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8734" w14:textId="77777777" w:rsidR="0094417E" w:rsidRPr="0094417E" w:rsidRDefault="00C8624C" w:rsidP="0094417E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72B49BA5" w14:textId="77777777" w:rsidR="009C4E94" w:rsidRDefault="0094417E" w:rsidP="00D52418">
      <w:pPr>
        <w:spacing w:after="0"/>
        <w:jc w:val="center"/>
        <w:rPr>
          <w:b/>
          <w:bCs/>
          <w:sz w:val="36"/>
          <w:szCs w:val="36"/>
        </w:rPr>
      </w:pPr>
      <w:r w:rsidRPr="0094417E">
        <w:rPr>
          <w:b/>
          <w:bCs/>
          <w:sz w:val="36"/>
          <w:szCs w:val="36"/>
        </w:rPr>
        <w:t>MANOVRA 202</w:t>
      </w:r>
      <w:r w:rsidR="00D52418">
        <w:rPr>
          <w:b/>
          <w:bCs/>
          <w:sz w:val="36"/>
          <w:szCs w:val="36"/>
        </w:rPr>
        <w:t>6</w:t>
      </w:r>
      <w:r w:rsidR="003602E2">
        <w:rPr>
          <w:b/>
          <w:bCs/>
          <w:sz w:val="36"/>
          <w:szCs w:val="36"/>
        </w:rPr>
        <w:t>,</w:t>
      </w:r>
      <w:r w:rsidRPr="0094417E">
        <w:rPr>
          <w:b/>
          <w:bCs/>
          <w:sz w:val="36"/>
          <w:szCs w:val="36"/>
        </w:rPr>
        <w:t xml:space="preserve"> </w:t>
      </w:r>
      <w:r w:rsidR="002A21F1">
        <w:rPr>
          <w:b/>
          <w:bCs/>
          <w:sz w:val="36"/>
          <w:szCs w:val="36"/>
        </w:rPr>
        <w:t xml:space="preserve">L’APPARENTE CRESCITA NASCONDE UN </w:t>
      </w:r>
      <w:r w:rsidR="00D52418">
        <w:rPr>
          <w:b/>
          <w:bCs/>
          <w:sz w:val="36"/>
          <w:szCs w:val="36"/>
        </w:rPr>
        <w:t>D</w:t>
      </w:r>
      <w:r w:rsidR="00D52418" w:rsidRPr="00D52418">
        <w:rPr>
          <w:b/>
          <w:bCs/>
          <w:sz w:val="36"/>
          <w:szCs w:val="36"/>
        </w:rPr>
        <w:t xml:space="preserve">EFINANZIAMENTO: DAL 2023 AL 2026 </w:t>
      </w:r>
      <w:r w:rsidR="00D52418">
        <w:rPr>
          <w:b/>
          <w:bCs/>
          <w:sz w:val="36"/>
          <w:szCs w:val="36"/>
        </w:rPr>
        <w:t xml:space="preserve">€ </w:t>
      </w:r>
      <w:r w:rsidR="00D52418" w:rsidRPr="00D52418">
        <w:rPr>
          <w:b/>
          <w:bCs/>
          <w:sz w:val="36"/>
          <w:szCs w:val="36"/>
        </w:rPr>
        <w:t xml:space="preserve">17,5 MILIARDI </w:t>
      </w:r>
      <w:r w:rsidR="00D52418">
        <w:rPr>
          <w:b/>
          <w:bCs/>
          <w:sz w:val="36"/>
          <w:szCs w:val="36"/>
        </w:rPr>
        <w:t xml:space="preserve">IN MENO ALLA SANITÀ. </w:t>
      </w:r>
      <w:r w:rsidR="00D52418">
        <w:rPr>
          <w:b/>
          <w:bCs/>
          <w:sz w:val="36"/>
          <w:szCs w:val="36"/>
        </w:rPr>
        <w:br/>
        <w:t xml:space="preserve">LE RISORSE AUMENTANO SOLO NEL 2026, POI </w:t>
      </w:r>
      <w:r w:rsidR="007412FD">
        <w:rPr>
          <w:b/>
          <w:bCs/>
          <w:sz w:val="36"/>
          <w:szCs w:val="36"/>
        </w:rPr>
        <w:t xml:space="preserve">È </w:t>
      </w:r>
      <w:r w:rsidR="006C28DF">
        <w:rPr>
          <w:b/>
          <w:bCs/>
          <w:sz w:val="36"/>
          <w:szCs w:val="36"/>
        </w:rPr>
        <w:t>BUIO PESTO.</w:t>
      </w:r>
      <w:r w:rsidR="00D52418">
        <w:rPr>
          <w:b/>
          <w:bCs/>
          <w:sz w:val="36"/>
          <w:szCs w:val="36"/>
        </w:rPr>
        <w:br/>
        <w:t xml:space="preserve">OLTRE € 430 MILIONI DELLE MISURE SONO </w:t>
      </w:r>
      <w:r w:rsidR="002A21F1">
        <w:rPr>
          <w:b/>
          <w:bCs/>
          <w:sz w:val="36"/>
          <w:szCs w:val="36"/>
        </w:rPr>
        <w:t xml:space="preserve">FINANZIATE DA </w:t>
      </w:r>
      <w:r w:rsidR="003D0F35">
        <w:rPr>
          <w:b/>
          <w:bCs/>
          <w:sz w:val="36"/>
          <w:szCs w:val="36"/>
        </w:rPr>
        <w:t>FONDI DELL</w:t>
      </w:r>
      <w:r w:rsidR="00D52418">
        <w:rPr>
          <w:b/>
          <w:bCs/>
          <w:sz w:val="36"/>
          <w:szCs w:val="36"/>
        </w:rPr>
        <w:t xml:space="preserve">A </w:t>
      </w:r>
      <w:r w:rsidR="003D0F35">
        <w:rPr>
          <w:b/>
          <w:bCs/>
          <w:sz w:val="36"/>
          <w:szCs w:val="36"/>
        </w:rPr>
        <w:t xml:space="preserve">MANOVRA </w:t>
      </w:r>
      <w:r w:rsidR="0031698B">
        <w:rPr>
          <w:b/>
          <w:bCs/>
          <w:sz w:val="36"/>
          <w:szCs w:val="36"/>
        </w:rPr>
        <w:t>PRECEDENTE.</w:t>
      </w:r>
    </w:p>
    <w:p w14:paraId="15C40D45" w14:textId="77777777" w:rsidR="00AE4CC8" w:rsidRDefault="0094417E" w:rsidP="003602E2">
      <w:pPr>
        <w:spacing w:after="0"/>
        <w:jc w:val="center"/>
        <w:rPr>
          <w:b/>
          <w:bCs/>
          <w:sz w:val="36"/>
          <w:szCs w:val="36"/>
        </w:rPr>
      </w:pPr>
      <w:r w:rsidRPr="0094417E">
        <w:rPr>
          <w:b/>
          <w:bCs/>
          <w:sz w:val="36"/>
          <w:szCs w:val="36"/>
        </w:rPr>
        <w:t xml:space="preserve">IN </w:t>
      </w:r>
      <w:r w:rsidR="002A21F1">
        <w:rPr>
          <w:b/>
          <w:bCs/>
          <w:sz w:val="36"/>
          <w:szCs w:val="36"/>
        </w:rPr>
        <w:t xml:space="preserve">AUDIZIONE PRESSO LE </w:t>
      </w:r>
      <w:r w:rsidRPr="0094417E">
        <w:rPr>
          <w:b/>
          <w:bCs/>
          <w:sz w:val="36"/>
          <w:szCs w:val="36"/>
        </w:rPr>
        <w:t xml:space="preserve">COMMISSIONI BILANCIO RIUNITE </w:t>
      </w:r>
      <w:r w:rsidR="002A21F1" w:rsidRPr="0094417E">
        <w:rPr>
          <w:b/>
          <w:bCs/>
          <w:sz w:val="36"/>
          <w:szCs w:val="36"/>
        </w:rPr>
        <w:t xml:space="preserve">LE PROPOSTE </w:t>
      </w:r>
      <w:r w:rsidRPr="0094417E">
        <w:rPr>
          <w:b/>
          <w:bCs/>
          <w:sz w:val="36"/>
          <w:szCs w:val="36"/>
        </w:rPr>
        <w:t>DELLA FONDAZIONE GIMBE</w:t>
      </w:r>
      <w:r w:rsidR="002A21F1">
        <w:rPr>
          <w:b/>
          <w:bCs/>
          <w:sz w:val="36"/>
          <w:szCs w:val="36"/>
        </w:rPr>
        <w:t xml:space="preserve"> </w:t>
      </w:r>
      <w:r w:rsidR="002A21F1" w:rsidRPr="0094417E">
        <w:rPr>
          <w:b/>
          <w:bCs/>
          <w:sz w:val="36"/>
          <w:szCs w:val="36"/>
        </w:rPr>
        <w:t>SUL RIFINANZIAMENTO</w:t>
      </w:r>
    </w:p>
    <w:p w14:paraId="1D3DBB27" w14:textId="77777777" w:rsidR="003602E2" w:rsidRPr="003602E2" w:rsidRDefault="003602E2" w:rsidP="003602E2">
      <w:pPr>
        <w:spacing w:after="0"/>
        <w:jc w:val="center"/>
        <w:rPr>
          <w:b/>
          <w:bCs/>
          <w:sz w:val="24"/>
          <w:szCs w:val="24"/>
        </w:rPr>
      </w:pPr>
    </w:p>
    <w:p w14:paraId="64418BA7" w14:textId="51FE7559" w:rsidR="005B4F61" w:rsidRPr="008B3612" w:rsidRDefault="00BC196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="00664D3E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3602E2"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 w:rsidRPr="008B3612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4F5B37"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D52418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543256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14:paraId="41976042" w14:textId="114EAB0C" w:rsidR="007B3720" w:rsidRPr="00D52418" w:rsidRDefault="007B3720" w:rsidP="00D52418">
      <w:pPr>
        <w:jc w:val="both"/>
      </w:pPr>
      <w:r w:rsidRPr="0051541C">
        <w:t xml:space="preserve">La Fondazione GIMBE, nell’audizione </w:t>
      </w:r>
      <w:r w:rsidR="00A536AE">
        <w:t xml:space="preserve">odierna </w:t>
      </w:r>
      <w:r w:rsidR="00AF3EF3">
        <w:t xml:space="preserve">davanti </w:t>
      </w:r>
      <w:r w:rsidRPr="0051541C">
        <w:t xml:space="preserve">alle Commissioni Bilancio riunite di Senato e Camera, </w:t>
      </w:r>
      <w:r w:rsidR="00AF3EF3">
        <w:t>ha documentato</w:t>
      </w:r>
      <w:r w:rsidR="00AF3EF3" w:rsidRPr="0051541C">
        <w:t xml:space="preserve"> </w:t>
      </w:r>
      <w:r w:rsidRPr="0051541C">
        <w:t xml:space="preserve">come l’apparente aumento </w:t>
      </w:r>
      <w:r w:rsidR="00AF3EF3">
        <w:t>delle</w:t>
      </w:r>
      <w:r w:rsidR="00AF3EF3" w:rsidRPr="0051541C">
        <w:t xml:space="preserve"> </w:t>
      </w:r>
      <w:r w:rsidRPr="0051541C">
        <w:t xml:space="preserve">risorse mascheri </w:t>
      </w:r>
      <w:r w:rsidR="00AF3EF3">
        <w:t xml:space="preserve">in realtà </w:t>
      </w:r>
      <w:r w:rsidRPr="0051541C">
        <w:t xml:space="preserve">un </w:t>
      </w:r>
      <w:proofErr w:type="spellStart"/>
      <w:r w:rsidRPr="0051541C">
        <w:t>definanziamento</w:t>
      </w:r>
      <w:proofErr w:type="spellEnd"/>
      <w:r w:rsidRPr="0051541C">
        <w:t xml:space="preserve"> strutturale: tra il FSN effettivo e quello che si sarebbe ottenuto mantenendo</w:t>
      </w:r>
      <w:r w:rsidR="00AF3EF3">
        <w:t xml:space="preserve"> </w:t>
      </w:r>
      <w:r w:rsidR="00AF3EF3" w:rsidRPr="0051541C">
        <w:t>il livello di finanziamento</w:t>
      </w:r>
      <w:r w:rsidRPr="0051541C">
        <w:t xml:space="preserve"> stabile al 6,3% del PIL </w:t>
      </w:r>
      <w:r w:rsidR="00E17ECA">
        <w:t>nel 2022</w:t>
      </w:r>
      <w:r w:rsidRPr="0051541C">
        <w:t xml:space="preserve">, si registra un gap cumulato di € 17,5 miliardi nel periodo 2023–2026. In altre parole, a fronte di miliardi sbandierati in valore assoluto, la sanità pubblica ha perso in quattro anni l’equivalente </w:t>
      </w:r>
      <w:r w:rsidR="00AF3EF3">
        <w:t>di una</w:t>
      </w:r>
      <w:r w:rsidRPr="0051541C">
        <w:t xml:space="preserve"> legge di bilancio, mentre per cittadini e Regioni </w:t>
      </w:r>
      <w:r w:rsidR="00AF3EF3">
        <w:t>crescono liste di attesa</w:t>
      </w:r>
      <w:r w:rsidRPr="0051541C">
        <w:t>, spesa privata e diseguaglianze</w:t>
      </w:r>
      <w:r w:rsidR="00AF3EF3">
        <w:t xml:space="preserve"> di accesso</w:t>
      </w:r>
      <w:r w:rsidRPr="0051541C">
        <w:t>.</w:t>
      </w:r>
    </w:p>
    <w:p w14:paraId="67548E9A" w14:textId="77777777" w:rsidR="00AF3EF3" w:rsidRPr="00807D8D" w:rsidRDefault="00D52418" w:rsidP="00D52418">
      <w:pPr>
        <w:spacing w:after="140"/>
        <w:jc w:val="both"/>
        <w:rPr>
          <w:rFonts w:ascii="Calibri" w:hAnsi="Calibri" w:cs="Calibri"/>
        </w:rPr>
      </w:pPr>
      <w:r w:rsidRPr="00807D8D">
        <w:rPr>
          <w:rFonts w:ascii="Calibri" w:hAnsi="Calibri" w:cs="Calibri"/>
        </w:rPr>
        <w:t>«</w:t>
      </w:r>
      <w:r w:rsidRPr="00807D8D">
        <w:t>Il Disegno di Legge sull</w:t>
      </w:r>
      <w:r>
        <w:t xml:space="preserve">a Manovra 2026 </w:t>
      </w:r>
      <w:r w:rsidRPr="00807D8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ha </w:t>
      </w:r>
      <w:r w:rsidRPr="00807D8D">
        <w:t>dichiara</w:t>
      </w:r>
      <w:r>
        <w:t>to</w:t>
      </w:r>
      <w:r w:rsidRPr="00807D8D">
        <w:t xml:space="preserve"> Nino Cartabellotta, Presidente della Fondazione GIMBE </w:t>
      </w:r>
      <w:r w:rsidRPr="00807D8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è molto lontano</w:t>
      </w:r>
      <w:r w:rsidRPr="005F011F">
        <w:rPr>
          <w:rFonts w:ascii="Calibri" w:hAnsi="Calibri" w:cs="Calibri"/>
        </w:rPr>
        <w:t xml:space="preserve"> dalle necessità</w:t>
      </w:r>
      <w:r>
        <w:rPr>
          <w:rFonts w:ascii="Calibri" w:hAnsi="Calibri" w:cs="Calibri"/>
        </w:rPr>
        <w:t xml:space="preserve"> della sanità pubblica</w:t>
      </w:r>
      <w:r w:rsidRPr="005F011F">
        <w:rPr>
          <w:rFonts w:ascii="Calibri" w:hAnsi="Calibri" w:cs="Calibri"/>
        </w:rPr>
        <w:t xml:space="preserve">: le risorse </w:t>
      </w:r>
      <w:r>
        <w:rPr>
          <w:rFonts w:ascii="Calibri" w:hAnsi="Calibri" w:cs="Calibri"/>
        </w:rPr>
        <w:t>stanziate</w:t>
      </w:r>
      <w:r w:rsidRPr="005F011F">
        <w:rPr>
          <w:rFonts w:ascii="Calibri" w:hAnsi="Calibri" w:cs="Calibri"/>
        </w:rPr>
        <w:t xml:space="preserve"> non bastano </w:t>
      </w:r>
      <w:r>
        <w:rPr>
          <w:rFonts w:ascii="Calibri" w:hAnsi="Calibri" w:cs="Calibri"/>
        </w:rPr>
        <w:t xml:space="preserve">a risollevare un Servizio Sanitario Nazionale (SSN) in grave affanno, sono insufficienti per </w:t>
      </w:r>
      <w:r w:rsidR="00AF3EF3">
        <w:rPr>
          <w:rFonts w:ascii="Calibri" w:hAnsi="Calibri" w:cs="Calibri"/>
        </w:rPr>
        <w:t xml:space="preserve">coprire </w:t>
      </w:r>
      <w:r>
        <w:rPr>
          <w:rFonts w:ascii="Calibri" w:hAnsi="Calibri" w:cs="Calibri"/>
        </w:rPr>
        <w:t xml:space="preserve">tutte le misure previste e mancano all’appello priorità </w:t>
      </w:r>
      <w:r w:rsidR="00AF3EF3">
        <w:rPr>
          <w:rFonts w:ascii="Calibri" w:hAnsi="Calibri" w:cs="Calibri"/>
        </w:rPr>
        <w:t xml:space="preserve">cruciali </w:t>
      </w:r>
      <w:r>
        <w:rPr>
          <w:rFonts w:ascii="Calibri" w:hAnsi="Calibri" w:cs="Calibri"/>
        </w:rPr>
        <w:t>per la tenuta della sanità pubblica</w:t>
      </w:r>
      <w:r w:rsidRPr="00807D8D">
        <w:rPr>
          <w:rFonts w:ascii="Calibri" w:hAnsi="Calibri" w:cs="Calibri"/>
        </w:rPr>
        <w:t>»</w:t>
      </w:r>
      <w:r w:rsidRPr="00807D8D">
        <w:t xml:space="preserve">. </w:t>
      </w:r>
      <w:r>
        <w:t>Queste le criticità principali emerse</w:t>
      </w:r>
      <w:r w:rsidRPr="00807D8D">
        <w:t xml:space="preserve"> </w:t>
      </w:r>
      <w:r w:rsidR="00F74217">
        <w:t xml:space="preserve">ieri </w:t>
      </w:r>
      <w:r w:rsidRPr="00807D8D">
        <w:t>dall</w:t>
      </w:r>
      <w:r>
        <w:t xml:space="preserve">’audizione della Fondazione </w:t>
      </w:r>
      <w:r w:rsidRPr="00807D8D">
        <w:t>GIMBE</w:t>
      </w:r>
      <w:r>
        <w:t xml:space="preserve"> </w:t>
      </w:r>
      <w:r w:rsidRPr="005F049E">
        <w:t xml:space="preserve">presso le Commissioni Bilancio </w:t>
      </w:r>
      <w:r>
        <w:t xml:space="preserve">riunite </w:t>
      </w:r>
      <w:r w:rsidRPr="005F049E">
        <w:t xml:space="preserve">di </w:t>
      </w:r>
      <w:r>
        <w:t xml:space="preserve">Senato e </w:t>
      </w:r>
      <w:r w:rsidRPr="005F049E">
        <w:t>Camera</w:t>
      </w:r>
      <w:r>
        <w:t xml:space="preserve">, </w:t>
      </w:r>
      <w:r w:rsidR="00AF3EF3">
        <w:t xml:space="preserve">nel corso della quale </w:t>
      </w:r>
      <w:r>
        <w:t xml:space="preserve">il Presidente ha invitato a non </w:t>
      </w:r>
      <w:r w:rsidR="00AF3EF3">
        <w:t xml:space="preserve">trasformare </w:t>
      </w:r>
      <w:r>
        <w:t xml:space="preserve">la sanità </w:t>
      </w:r>
      <w:r w:rsidR="00AF3EF3">
        <w:t xml:space="preserve">in </w:t>
      </w:r>
      <w:r>
        <w:t xml:space="preserve">terreno di scontro politico e ha avanzato </w:t>
      </w:r>
      <w:r w:rsidRPr="005F049E">
        <w:t xml:space="preserve">proposte concrete per </w:t>
      </w:r>
      <w:r>
        <w:t>il rifinanziamento del Fondo Sanitario Nazionale (FSN)</w:t>
      </w:r>
      <w:r w:rsidRPr="005F049E">
        <w:t>.</w:t>
      </w:r>
    </w:p>
    <w:p w14:paraId="31EFA6DA" w14:textId="77777777" w:rsidR="00AF3EF3" w:rsidRDefault="00D52418" w:rsidP="00D52418">
      <w:pPr>
        <w:spacing w:after="120"/>
        <w:jc w:val="both"/>
        <w:rPr>
          <w:rFonts w:cstheme="minorHAnsi"/>
        </w:rPr>
      </w:pPr>
      <w:r>
        <w:rPr>
          <w:rFonts w:cstheme="minorHAnsi"/>
          <w:b/>
          <w:bCs/>
        </w:rPr>
        <w:t>FONDO SANITARIO NAZIONALE</w:t>
      </w:r>
      <w:r>
        <w:rPr>
          <w:rFonts w:cstheme="minorHAnsi"/>
        </w:rPr>
        <w:t xml:space="preserve">. </w:t>
      </w:r>
      <w:r w:rsidRPr="0046020B">
        <w:rPr>
          <w:rFonts w:cstheme="minorHAnsi"/>
        </w:rPr>
        <w:t>«</w:t>
      </w:r>
      <w:r>
        <w:rPr>
          <w:rFonts w:cstheme="minorHAnsi"/>
        </w:rPr>
        <w:t xml:space="preserve">Innanzitutto – ha spiegato </w:t>
      </w:r>
      <w:r w:rsidRPr="0046020B">
        <w:rPr>
          <w:rFonts w:cstheme="minorHAnsi"/>
        </w:rPr>
        <w:t>Cartabellotta</w:t>
      </w:r>
      <w:r>
        <w:rPr>
          <w:rFonts w:cstheme="minorHAnsi"/>
        </w:rPr>
        <w:t xml:space="preserve"> </w:t>
      </w:r>
      <w:r w:rsidRPr="0046020B">
        <w:rPr>
          <w:rFonts w:cstheme="minorHAnsi"/>
        </w:rPr>
        <w:t>–</w:t>
      </w:r>
      <w:r w:rsidRPr="00852852">
        <w:rPr>
          <w:rFonts w:cstheme="minorHAnsi"/>
        </w:rPr>
        <w:t xml:space="preserve"> </w:t>
      </w:r>
      <w:r>
        <w:rPr>
          <w:rFonts w:cstheme="minorHAnsi"/>
        </w:rPr>
        <w:t>il titolo dell’art. 63 “Rifinanziamento del Fabbisogno Sanitario Nazionale Standard”</w:t>
      </w:r>
      <w:r w:rsidRPr="00D52418">
        <w:rPr>
          <w:rFonts w:cstheme="minorHAnsi"/>
        </w:rPr>
        <w:t xml:space="preserve"> </w:t>
      </w:r>
      <w:r>
        <w:rPr>
          <w:rFonts w:cstheme="minorHAnsi"/>
        </w:rPr>
        <w:t xml:space="preserve">è fuorviante </w:t>
      </w:r>
      <w:r w:rsidR="00AF3EF3">
        <w:rPr>
          <w:rFonts w:cstheme="minorHAnsi"/>
        </w:rPr>
        <w:t>perché non riporta</w:t>
      </w:r>
      <w:r>
        <w:rPr>
          <w:rFonts w:cstheme="minorHAnsi"/>
        </w:rPr>
        <w:t xml:space="preserve"> gli importi del FSN rideterminati a seguito dello stanziamento di nuove risorse</w:t>
      </w:r>
      <w:r w:rsidRPr="0046020B">
        <w:rPr>
          <w:rFonts w:cstheme="minorHAnsi"/>
        </w:rPr>
        <w:t>»</w:t>
      </w:r>
      <w:r w:rsidRPr="00852852">
        <w:rPr>
          <w:rFonts w:cstheme="minorHAnsi"/>
        </w:rPr>
        <w:t>.</w:t>
      </w:r>
      <w:r w:rsidRPr="006D72B9">
        <w:rPr>
          <w:rFonts w:cstheme="minorHAnsi"/>
        </w:rPr>
        <w:t xml:space="preserve"> </w:t>
      </w:r>
      <w:r w:rsidR="00BF3704">
        <w:rPr>
          <w:rFonts w:cstheme="minorHAnsi"/>
        </w:rPr>
        <w:t>Per questo motivo l</w:t>
      </w:r>
      <w:r w:rsidR="003D0F35" w:rsidRPr="003D0F35">
        <w:rPr>
          <w:rFonts w:cstheme="minorHAnsi"/>
        </w:rPr>
        <w:t xml:space="preserve">a Fondazione GIMBE </w:t>
      </w:r>
      <w:r w:rsidRPr="00B628BD">
        <w:rPr>
          <w:rFonts w:cstheme="minorHAnsi"/>
        </w:rPr>
        <w:t xml:space="preserve">ha </w:t>
      </w:r>
      <w:r>
        <w:rPr>
          <w:rFonts w:cstheme="minorHAnsi"/>
        </w:rPr>
        <w:t>proposto</w:t>
      </w:r>
      <w:r w:rsidRPr="00B628BD">
        <w:rPr>
          <w:rFonts w:cstheme="minorHAnsi"/>
        </w:rPr>
        <w:t xml:space="preserve"> di rinominare l’art. </w:t>
      </w:r>
      <w:r w:rsidR="00F74217">
        <w:rPr>
          <w:rFonts w:cstheme="minorHAnsi"/>
        </w:rPr>
        <w:t>63</w:t>
      </w:r>
      <w:r w:rsidR="00F74217" w:rsidRPr="00B628BD">
        <w:rPr>
          <w:rFonts w:cstheme="minorHAnsi"/>
        </w:rPr>
        <w:t xml:space="preserve"> </w:t>
      </w:r>
      <w:r w:rsidRPr="00B628BD">
        <w:rPr>
          <w:rFonts w:cstheme="minorHAnsi"/>
        </w:rPr>
        <w:t>in “Fabbisogno Sanitario Nazionale Standard” e di</w:t>
      </w:r>
      <w:r w:rsidR="003D0F35">
        <w:rPr>
          <w:rFonts w:cstheme="minorHAnsi"/>
        </w:rPr>
        <w:t xml:space="preserve"> indicare</w:t>
      </w:r>
      <w:r w:rsidR="00BF370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B628BD">
        <w:rPr>
          <w:rFonts w:cstheme="minorHAnsi"/>
        </w:rPr>
        <w:t xml:space="preserve">per </w:t>
      </w:r>
      <w:r>
        <w:rPr>
          <w:rFonts w:cstheme="minorHAnsi"/>
        </w:rPr>
        <w:t xml:space="preserve">ciascun </w:t>
      </w:r>
      <w:r w:rsidRPr="00B628BD">
        <w:rPr>
          <w:rFonts w:cstheme="minorHAnsi"/>
        </w:rPr>
        <w:t>anno</w:t>
      </w:r>
      <w:r w:rsidR="00BF3704">
        <w:rPr>
          <w:rFonts w:cstheme="minorHAnsi"/>
        </w:rPr>
        <w:t>,</w:t>
      </w:r>
      <w:r w:rsidRPr="00B628BD">
        <w:rPr>
          <w:rFonts w:cstheme="minorHAnsi"/>
        </w:rPr>
        <w:t xml:space="preserve"> </w:t>
      </w:r>
      <w:r>
        <w:rPr>
          <w:rFonts w:cstheme="minorHAnsi"/>
        </w:rPr>
        <w:t xml:space="preserve">l’importo rideterminato del </w:t>
      </w:r>
      <w:r w:rsidRPr="00B628BD">
        <w:rPr>
          <w:rFonts w:cstheme="minorHAnsi"/>
        </w:rPr>
        <w:t>FSN</w:t>
      </w:r>
      <w:r>
        <w:rPr>
          <w:rFonts w:cstheme="minorHAnsi"/>
        </w:rPr>
        <w:t xml:space="preserve"> </w:t>
      </w:r>
      <w:r w:rsidRPr="00B628BD">
        <w:rPr>
          <w:rFonts w:cstheme="minorHAnsi"/>
        </w:rPr>
        <w:t>(</w:t>
      </w:r>
      <w:r w:rsidRPr="0088387D">
        <w:rPr>
          <w:rFonts w:cstheme="minorHAnsi"/>
          <w:highlight w:val="yellow"/>
        </w:rPr>
        <w:t>tabella 1</w:t>
      </w:r>
      <w:r w:rsidRPr="00B628BD">
        <w:rPr>
          <w:rFonts w:cstheme="minorHAnsi"/>
        </w:rPr>
        <w:t>).</w:t>
      </w:r>
    </w:p>
    <w:p w14:paraId="51E0CB2B" w14:textId="77777777" w:rsidR="00AF3EF3" w:rsidRDefault="007B3720" w:rsidP="00D52418">
      <w:pPr>
        <w:spacing w:after="120"/>
        <w:jc w:val="both"/>
        <w:rPr>
          <w:rFonts w:cstheme="minorHAnsi"/>
        </w:rPr>
      </w:pPr>
      <w:r w:rsidRPr="0051541C">
        <w:t xml:space="preserve">Il boom </w:t>
      </w:r>
      <w:r w:rsidR="00BF3704">
        <w:t xml:space="preserve">di </w:t>
      </w:r>
      <w:r>
        <w:t xml:space="preserve">risorse </w:t>
      </w:r>
      <w:r w:rsidRPr="0051541C">
        <w:t xml:space="preserve">riguarda </w:t>
      </w:r>
      <w:r w:rsidR="00BF3704">
        <w:t>esclusivamente</w:t>
      </w:r>
      <w:r w:rsidR="00BF3704" w:rsidRPr="0051541C">
        <w:t xml:space="preserve"> </w:t>
      </w:r>
      <w:r w:rsidRPr="0051541C">
        <w:t xml:space="preserve">il 2026, quando il FSN crescerà di € 6,6 miliardi (+4,8%) rispetto al 2025, grazie a € 2,4 miliardi </w:t>
      </w:r>
      <w:r w:rsidR="00BF3704">
        <w:t>previsti dalla</w:t>
      </w:r>
      <w:r w:rsidR="00BF3704" w:rsidRPr="0051541C">
        <w:t xml:space="preserve"> </w:t>
      </w:r>
      <w:r w:rsidRPr="0051541C">
        <w:t>Manovra 2026 e</w:t>
      </w:r>
      <w:r w:rsidR="00BF3704">
        <w:t>,</w:t>
      </w:r>
      <w:r w:rsidRPr="0051541C">
        <w:t xml:space="preserve"> soprattutto</w:t>
      </w:r>
      <w:r w:rsidR="00BF3704">
        <w:t>,</w:t>
      </w:r>
      <w:r w:rsidRPr="0051541C">
        <w:t xml:space="preserve"> a € 4,2 miliardi già </w:t>
      </w:r>
      <w:r w:rsidR="00BF3704">
        <w:t>stanziati con le precedenti</w:t>
      </w:r>
      <w:r w:rsidRPr="0051541C">
        <w:t xml:space="preserve"> manovre, in gran parte già allocati per i rinnovi contrattuali del personale sanitario. Nel biennio successivo</w:t>
      </w:r>
      <w:r w:rsidR="00BF3704">
        <w:t>, invece,</w:t>
      </w:r>
      <w:r w:rsidRPr="0051541C">
        <w:t xml:space="preserve"> </w:t>
      </w:r>
      <w:r>
        <w:rPr>
          <w:rFonts w:cstheme="minorHAnsi"/>
        </w:rPr>
        <w:t>la crescita del FSN in termini assoluti è irrisoria</w:t>
      </w:r>
      <w:r w:rsidR="00BF370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17436">
        <w:rPr>
          <w:rFonts w:cstheme="minorHAnsi"/>
        </w:rPr>
        <w:t>€ 995 milioni (+0,7%) nel 2027 e € 867 milioni (+0,6%) nel</w:t>
      </w:r>
      <w:r w:rsidRPr="00F96616">
        <w:rPr>
          <w:rFonts w:cstheme="minorHAnsi"/>
        </w:rPr>
        <w:t xml:space="preserve"> </w:t>
      </w:r>
      <w:r w:rsidRPr="00A17436">
        <w:rPr>
          <w:rFonts w:cstheme="minorHAnsi"/>
        </w:rPr>
        <w:t>2028</w:t>
      </w:r>
      <w:r>
        <w:rPr>
          <w:rFonts w:cstheme="minorHAnsi"/>
        </w:rPr>
        <w:t xml:space="preserve"> (</w:t>
      </w:r>
      <w:r w:rsidRPr="007E67C0">
        <w:rPr>
          <w:rFonts w:cstheme="minorHAnsi"/>
          <w:highlight w:val="yellow"/>
        </w:rPr>
        <w:t xml:space="preserve">figura </w:t>
      </w:r>
      <w:r w:rsidR="000A0E94" w:rsidRPr="000A0E94">
        <w:rPr>
          <w:rFonts w:cstheme="minorHAnsi"/>
          <w:highlight w:val="yellow"/>
        </w:rPr>
        <w:t>1</w:t>
      </w:r>
      <w:r>
        <w:rPr>
          <w:rFonts w:cstheme="minorHAnsi"/>
        </w:rPr>
        <w:t>)</w:t>
      </w:r>
    </w:p>
    <w:p w14:paraId="37DEFF85" w14:textId="77777777" w:rsidR="000B07D1" w:rsidRDefault="00A45EC1" w:rsidP="00A45EC1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Pr="00A17436">
        <w:rPr>
          <w:rFonts w:cstheme="minorHAnsi"/>
        </w:rPr>
        <w:t>n</w:t>
      </w:r>
      <w:r w:rsidRPr="00AD476B">
        <w:rPr>
          <w:rFonts w:cstheme="minorHAnsi"/>
        </w:rPr>
        <w:t xml:space="preserve"> rapporto al PIL, </w:t>
      </w:r>
      <w:r>
        <w:rPr>
          <w:rFonts w:cstheme="minorHAnsi"/>
        </w:rPr>
        <w:t xml:space="preserve">la quota destinata al FSN passa </w:t>
      </w:r>
      <w:r w:rsidRPr="00AD476B">
        <w:rPr>
          <w:rFonts w:cstheme="minorHAnsi"/>
        </w:rPr>
        <w:t xml:space="preserve">dal 6,04% del 2025 al 6,16% del 2026, </w:t>
      </w:r>
      <w:r>
        <w:rPr>
          <w:rFonts w:cstheme="minorHAnsi"/>
        </w:rPr>
        <w:t xml:space="preserve">per poi </w:t>
      </w:r>
      <w:r w:rsidR="007E67C0">
        <w:rPr>
          <w:rFonts w:cstheme="minorHAnsi"/>
        </w:rPr>
        <w:t>scendere</w:t>
      </w:r>
      <w:r w:rsidRPr="00AD476B">
        <w:rPr>
          <w:rFonts w:cstheme="minorHAnsi"/>
        </w:rPr>
        <w:t xml:space="preserve"> </w:t>
      </w:r>
      <w:r w:rsidR="007E67C0">
        <w:rPr>
          <w:rFonts w:cstheme="minorHAnsi"/>
        </w:rPr>
        <w:t xml:space="preserve">nuovamente </w:t>
      </w:r>
      <w:r w:rsidRPr="00AD476B">
        <w:rPr>
          <w:rFonts w:cstheme="minorHAnsi"/>
        </w:rPr>
        <w:t xml:space="preserve">al 6,05% nel 2027 e </w:t>
      </w:r>
      <w:r w:rsidR="007E67C0">
        <w:rPr>
          <w:rFonts w:cstheme="minorHAnsi"/>
        </w:rPr>
        <w:t xml:space="preserve">precipitare </w:t>
      </w:r>
      <w:r w:rsidRPr="00AD476B">
        <w:rPr>
          <w:rFonts w:cstheme="minorHAnsi"/>
        </w:rPr>
        <w:t>al 5,93% nel 2028</w:t>
      </w:r>
      <w:r>
        <w:rPr>
          <w:rFonts w:cstheme="minorHAnsi"/>
        </w:rPr>
        <w:t xml:space="preserve">, </w:t>
      </w:r>
      <w:r w:rsidR="00BF3704">
        <w:rPr>
          <w:rFonts w:cstheme="minorHAnsi"/>
        </w:rPr>
        <w:t xml:space="preserve">delineando </w:t>
      </w:r>
      <w:r>
        <w:rPr>
          <w:rFonts w:cstheme="minorHAnsi"/>
        </w:rPr>
        <w:t>una tendenza in calo progressivo</w:t>
      </w:r>
      <w:r w:rsidRPr="00AD476B">
        <w:rPr>
          <w:rFonts w:cstheme="minorHAnsi"/>
        </w:rPr>
        <w:t xml:space="preserve"> (</w:t>
      </w:r>
      <w:r w:rsidRPr="00AD476B">
        <w:rPr>
          <w:rFonts w:cstheme="minorHAnsi"/>
          <w:highlight w:val="yellow"/>
        </w:rPr>
        <w:t xml:space="preserve">figura </w:t>
      </w:r>
      <w:r w:rsidR="000A0E94" w:rsidRPr="000A0E94">
        <w:rPr>
          <w:rFonts w:cstheme="minorHAnsi"/>
          <w:highlight w:val="yellow"/>
        </w:rPr>
        <w:t>2</w:t>
      </w:r>
      <w:r w:rsidRPr="00AD476B">
        <w:rPr>
          <w:rFonts w:cstheme="minorHAnsi"/>
        </w:rPr>
        <w:t>).</w:t>
      </w:r>
      <w:r w:rsidRPr="00B0144E">
        <w:rPr>
          <w:rFonts w:cstheme="minorHAnsi"/>
        </w:rPr>
        <w:t xml:space="preserve"> </w:t>
      </w:r>
    </w:p>
    <w:p w14:paraId="00FD756D" w14:textId="417DFDDF" w:rsidR="000B07D1" w:rsidRPr="00896FCA" w:rsidRDefault="000B07D1" w:rsidP="00A45EC1">
      <w:pPr>
        <w:jc w:val="both"/>
      </w:pPr>
      <w:r w:rsidRPr="0046020B">
        <w:rPr>
          <w:rFonts w:cstheme="minorHAnsi"/>
        </w:rPr>
        <w:lastRenderedPageBreak/>
        <w:t>«</w:t>
      </w:r>
      <w:r>
        <w:rPr>
          <w:rFonts w:cstheme="minorHAnsi"/>
        </w:rPr>
        <w:t xml:space="preserve">Se </w:t>
      </w:r>
      <w:r w:rsidR="00DE6103">
        <w:rPr>
          <w:rFonts w:cstheme="minorHAnsi"/>
        </w:rPr>
        <w:t>le cifre assolute</w:t>
      </w:r>
      <w:r>
        <w:rPr>
          <w:rFonts w:cstheme="minorHAnsi"/>
        </w:rPr>
        <w:t xml:space="preserve"> </w:t>
      </w:r>
      <w:r w:rsidR="00BF3704">
        <w:rPr>
          <w:rFonts w:cstheme="minorHAnsi"/>
        </w:rPr>
        <w:t>riescono ad</w:t>
      </w:r>
      <w:r w:rsidR="00B20D54">
        <w:rPr>
          <w:rFonts w:cstheme="minorHAnsi"/>
        </w:rPr>
        <w:t xml:space="preserve"> </w:t>
      </w:r>
      <w:r>
        <w:rPr>
          <w:rFonts w:cstheme="minorHAnsi"/>
        </w:rPr>
        <w:t>abbagliare l’opinione pubblica</w:t>
      </w:r>
      <w:r w:rsidR="00BF3704">
        <w:rPr>
          <w:rFonts w:cstheme="minorHAnsi"/>
        </w:rPr>
        <w:t xml:space="preserve"> – ha commentato Cartabellotta </w:t>
      </w:r>
      <w:r w:rsidR="00BF3704" w:rsidRPr="0046020B">
        <w:rPr>
          <w:rFonts w:cstheme="minorHAnsi"/>
        </w:rPr>
        <w:t>–</w:t>
      </w:r>
      <w:r w:rsidR="00BF3704">
        <w:rPr>
          <w:rFonts w:cstheme="minorHAnsi"/>
        </w:rPr>
        <w:t xml:space="preserve"> </w:t>
      </w:r>
      <w:r w:rsidR="00DE6103">
        <w:rPr>
          <w:rFonts w:cstheme="minorHAnsi"/>
        </w:rPr>
        <w:t>cambiando</w:t>
      </w:r>
      <w:r w:rsidR="005748C4">
        <w:rPr>
          <w:rFonts w:cstheme="minorHAnsi"/>
        </w:rPr>
        <w:t xml:space="preserve"> prospettiva emergono i tagli invisibili nel quadriennio 2023-2026</w:t>
      </w:r>
      <w:r w:rsidR="005748C4" w:rsidRPr="0046020B">
        <w:rPr>
          <w:rFonts w:cstheme="minorHAnsi"/>
        </w:rPr>
        <w:t>»</w:t>
      </w:r>
      <w:r w:rsidR="00DE6103">
        <w:rPr>
          <w:rFonts w:cstheme="minorHAnsi"/>
        </w:rPr>
        <w:t>.</w:t>
      </w:r>
      <w:r w:rsidR="005748C4">
        <w:rPr>
          <w:rFonts w:cstheme="minorHAnsi"/>
        </w:rPr>
        <w:t xml:space="preserve"> </w:t>
      </w:r>
      <w:r>
        <w:rPr>
          <w:rFonts w:cstheme="minorHAnsi"/>
        </w:rPr>
        <w:t>Infatti, se va riconosciuto al Governo Meloni di aver aumentato il FSN di ben € 19,6 miliardi, cifra mai assegnata da nessun Esecutivo in 4 anni, è altrettanto vero che tagliando la quota di FSN sul PIL dal 6,3% del 2022 a percentuali intorno al 6% negli anni successivi, la sanità ha complessivamente lasciato per strada ben € 17,</w:t>
      </w:r>
      <w:r w:rsidR="000A0E94">
        <w:rPr>
          <w:rFonts w:cstheme="minorHAnsi"/>
        </w:rPr>
        <w:t>5</w:t>
      </w:r>
      <w:r>
        <w:rPr>
          <w:rFonts w:cstheme="minorHAnsi"/>
        </w:rPr>
        <w:t xml:space="preserve"> miliardi. </w:t>
      </w:r>
      <w:r w:rsidRPr="0046020B">
        <w:rPr>
          <w:rFonts w:cstheme="minorHAnsi"/>
        </w:rPr>
        <w:t>«</w:t>
      </w:r>
      <w:r>
        <w:rPr>
          <w:rFonts w:cstheme="minorHAnsi"/>
        </w:rPr>
        <w:t xml:space="preserve">Ovvero – ha chiosato Cartabellotta </w:t>
      </w:r>
      <w:r w:rsidRPr="0046020B">
        <w:rPr>
          <w:rFonts w:cstheme="minorHAnsi"/>
        </w:rPr>
        <w:t>–</w:t>
      </w:r>
      <w:r>
        <w:rPr>
          <w:rFonts w:cstheme="minorHAnsi"/>
        </w:rPr>
        <w:t xml:space="preserve"> </w:t>
      </w:r>
      <w:r>
        <w:t>n</w:t>
      </w:r>
      <w:r w:rsidRPr="00D52418">
        <w:t>onostante gli aumenti nominali, la sanità ha perso in</w:t>
      </w:r>
      <w:r>
        <w:t xml:space="preserve"> quattro</w:t>
      </w:r>
      <w:r w:rsidRPr="00D52418">
        <w:t xml:space="preserve"> anni l’equivalente </w:t>
      </w:r>
      <w:r>
        <w:t>d</w:t>
      </w:r>
      <w:r w:rsidRPr="00D52418">
        <w:t>ella prossima legge di bilancio</w:t>
      </w:r>
      <w:r w:rsidRPr="0046020B">
        <w:rPr>
          <w:rFonts w:cstheme="minorHAnsi"/>
        </w:rPr>
        <w:t>»</w:t>
      </w:r>
      <w:r w:rsidR="000A0E94">
        <w:rPr>
          <w:rFonts w:cstheme="minorHAnsi"/>
        </w:rPr>
        <w:t xml:space="preserve"> (</w:t>
      </w:r>
      <w:r w:rsidR="000A0E94" w:rsidRPr="00AA07C0">
        <w:rPr>
          <w:rFonts w:cstheme="minorHAnsi"/>
          <w:highlight w:val="yellow"/>
        </w:rPr>
        <w:t xml:space="preserve">figura </w:t>
      </w:r>
      <w:r w:rsidR="000A0E94" w:rsidRPr="000A0E94">
        <w:rPr>
          <w:rFonts w:cstheme="minorHAnsi"/>
          <w:highlight w:val="yellow"/>
        </w:rPr>
        <w:t>3</w:t>
      </w:r>
      <w:r w:rsidR="000A0E94">
        <w:rPr>
          <w:rFonts w:cstheme="minorHAnsi"/>
        </w:rPr>
        <w:t>)</w:t>
      </w:r>
      <w:r>
        <w:rPr>
          <w:rFonts w:cstheme="minorHAnsi"/>
        </w:rPr>
        <w:t>.</w:t>
      </w:r>
    </w:p>
    <w:p w14:paraId="168E7D7D" w14:textId="77777777" w:rsidR="00BF3704" w:rsidRDefault="00896FCA" w:rsidP="00896FCA">
      <w:pPr>
        <w:spacing w:after="120"/>
        <w:jc w:val="both"/>
        <w:rPr>
          <w:rFonts w:cstheme="minorHAnsi"/>
        </w:rPr>
      </w:pPr>
      <w:r w:rsidRPr="0046020B">
        <w:rPr>
          <w:rFonts w:cstheme="minorHAnsi"/>
        </w:rPr>
        <w:t>«</w:t>
      </w:r>
      <w:r>
        <w:rPr>
          <w:rFonts w:cstheme="minorHAnsi"/>
        </w:rPr>
        <w:t xml:space="preserve">Questo trend – ha osservato </w:t>
      </w:r>
      <w:r w:rsidRPr="0046020B">
        <w:rPr>
          <w:rFonts w:cstheme="minorHAnsi"/>
        </w:rPr>
        <w:t>Cartabellotta</w:t>
      </w:r>
      <w:r>
        <w:rPr>
          <w:rFonts w:cstheme="minorHAnsi"/>
        </w:rPr>
        <w:t xml:space="preserve"> </w:t>
      </w:r>
      <w:r w:rsidRPr="0046020B">
        <w:rPr>
          <w:rFonts w:cstheme="minorHAnsi"/>
        </w:rPr>
        <w:t>–</w:t>
      </w:r>
      <w:r>
        <w:rPr>
          <w:rFonts w:cstheme="minorHAnsi"/>
        </w:rPr>
        <w:t xml:space="preserve"> riflette il continuo disinvestimento dalla sanità pubblica, avviato nel 201</w:t>
      </w:r>
      <w:r w:rsidR="00ED12C8">
        <w:rPr>
          <w:rFonts w:cstheme="minorHAnsi"/>
        </w:rPr>
        <w:t>0</w:t>
      </w:r>
      <w:r>
        <w:rPr>
          <w:rFonts w:cstheme="minorHAnsi"/>
        </w:rPr>
        <w:t xml:space="preserve"> e perpetrato da tutti i Governi.</w:t>
      </w:r>
      <w:r w:rsidRPr="0070270B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70270B">
        <w:rPr>
          <w:rFonts w:cstheme="minorHAnsi"/>
        </w:rPr>
        <w:t>’aumento del FSN</w:t>
      </w:r>
      <w:r>
        <w:rPr>
          <w:rFonts w:cstheme="minorHAnsi"/>
        </w:rPr>
        <w:t xml:space="preserve"> in valore assoluto, </w:t>
      </w:r>
      <w:r w:rsidR="00BF3704">
        <w:rPr>
          <w:rFonts w:cstheme="minorHAnsi"/>
        </w:rPr>
        <w:t>spesso</w:t>
      </w:r>
      <w:r>
        <w:rPr>
          <w:rFonts w:cstheme="minorHAnsi"/>
        </w:rPr>
        <w:t xml:space="preserve"> sbandierato</w:t>
      </w:r>
      <w:r w:rsidRPr="0070270B">
        <w:rPr>
          <w:rFonts w:cstheme="minorHAnsi"/>
        </w:rPr>
        <w:t xml:space="preserve"> come un </w:t>
      </w:r>
      <w:r>
        <w:rPr>
          <w:rFonts w:cstheme="minorHAnsi"/>
        </w:rPr>
        <w:t>grande traguardo</w:t>
      </w:r>
      <w:r w:rsidRPr="0070270B">
        <w:rPr>
          <w:rFonts w:cstheme="minorHAnsi"/>
        </w:rPr>
        <w:t xml:space="preserve">, </w:t>
      </w:r>
      <w:r w:rsidR="00BF3704">
        <w:rPr>
          <w:rFonts w:cstheme="minorHAnsi"/>
        </w:rPr>
        <w:t>non è che un’</w:t>
      </w:r>
      <w:r w:rsidRPr="0070270B">
        <w:rPr>
          <w:rFonts w:cstheme="minorHAnsi"/>
        </w:rPr>
        <w:t>illusione</w:t>
      </w:r>
      <w:r w:rsidR="00181DC0">
        <w:rPr>
          <w:rFonts w:cstheme="minorHAnsi"/>
        </w:rPr>
        <w:t xml:space="preserve"> contabile</w:t>
      </w:r>
      <w:r w:rsidRPr="0070270B">
        <w:rPr>
          <w:rFonts w:cstheme="minorHAnsi"/>
        </w:rPr>
        <w:t xml:space="preserve">: </w:t>
      </w:r>
      <w:r>
        <w:rPr>
          <w:rFonts w:cstheme="minorHAnsi"/>
        </w:rPr>
        <w:t xml:space="preserve">la quota di PIL destinata alla sanità cala </w:t>
      </w:r>
      <w:r w:rsidR="00BF3704">
        <w:rPr>
          <w:rFonts w:cstheme="minorHAnsi"/>
        </w:rPr>
        <w:t xml:space="preserve">infatti </w:t>
      </w:r>
      <w:r>
        <w:rPr>
          <w:rFonts w:cstheme="minorHAnsi"/>
        </w:rPr>
        <w:t>inesorabilmente, fatta eccezione per gli anni della pandemia</w:t>
      </w:r>
      <w:r w:rsidRPr="00161DB8">
        <w:rPr>
          <w:rFonts w:cstheme="minorHAnsi"/>
        </w:rPr>
        <w:t xml:space="preserve"> quando </w:t>
      </w:r>
      <w:r>
        <w:rPr>
          <w:rFonts w:cstheme="minorHAnsi"/>
        </w:rPr>
        <w:t xml:space="preserve">i </w:t>
      </w:r>
      <w:r w:rsidRPr="00161DB8">
        <w:rPr>
          <w:rFonts w:cstheme="minorHAnsi"/>
        </w:rPr>
        <w:t>finanziamenti straordinari</w:t>
      </w:r>
      <w:r>
        <w:rPr>
          <w:rFonts w:cstheme="minorHAnsi"/>
        </w:rPr>
        <w:t xml:space="preserve"> per la gestione dell’emergenza</w:t>
      </w:r>
      <w:r w:rsidRPr="00161DB8">
        <w:rPr>
          <w:rFonts w:cstheme="minorHAnsi"/>
        </w:rPr>
        <w:t xml:space="preserve"> e il calo del PIL</w:t>
      </w:r>
      <w:r>
        <w:rPr>
          <w:rFonts w:cstheme="minorHAnsi"/>
        </w:rPr>
        <w:t xml:space="preserve"> nel 2020</w:t>
      </w:r>
      <w:r w:rsidRPr="00161DB8">
        <w:rPr>
          <w:rFonts w:cstheme="minorHAnsi"/>
        </w:rPr>
        <w:t xml:space="preserve"> hanno mascherato il problema</w:t>
      </w:r>
      <w:r>
        <w:rPr>
          <w:rFonts w:cstheme="minorHAnsi"/>
        </w:rPr>
        <w:t xml:space="preserve">. E con la Manovra 2026 si scende addirittura </w:t>
      </w:r>
      <w:r w:rsidRPr="0088387D">
        <w:rPr>
          <w:rFonts w:cstheme="minorHAnsi"/>
        </w:rPr>
        <w:t>sotto la soglia del 6%</w:t>
      </w:r>
      <w:r>
        <w:rPr>
          <w:rFonts w:cstheme="minorHAnsi"/>
        </w:rPr>
        <w:t xml:space="preserve">, toccando </w:t>
      </w:r>
      <w:r w:rsidR="00181DC0">
        <w:rPr>
          <w:rFonts w:cstheme="minorHAnsi"/>
        </w:rPr>
        <w:t xml:space="preserve">nel 2028 </w:t>
      </w:r>
      <w:r>
        <w:rPr>
          <w:rFonts w:cstheme="minorHAnsi"/>
        </w:rPr>
        <w:t>il</w:t>
      </w:r>
      <w:r w:rsidRPr="0088387D">
        <w:rPr>
          <w:rFonts w:cstheme="minorHAnsi"/>
        </w:rPr>
        <w:t xml:space="preserve"> minimo storico</w:t>
      </w:r>
      <w:r w:rsidR="00181DC0">
        <w:rPr>
          <w:rFonts w:cstheme="minorHAnsi"/>
        </w:rPr>
        <w:t xml:space="preserve"> del 5,93%</w:t>
      </w:r>
      <w:r w:rsidRPr="0088387D">
        <w:rPr>
          <w:rFonts w:cstheme="minorHAnsi"/>
        </w:rPr>
        <w:t>»</w:t>
      </w:r>
      <w:r>
        <w:rPr>
          <w:rFonts w:cstheme="minorHAnsi"/>
        </w:rPr>
        <w:t xml:space="preserve"> (</w:t>
      </w:r>
      <w:r w:rsidRPr="00AA07C0">
        <w:rPr>
          <w:rFonts w:cstheme="minorHAnsi"/>
          <w:highlight w:val="yellow"/>
        </w:rPr>
        <w:t xml:space="preserve">figura </w:t>
      </w:r>
      <w:r w:rsidR="000A0E94" w:rsidRPr="000A0E94">
        <w:rPr>
          <w:rFonts w:cstheme="minorHAnsi"/>
          <w:highlight w:val="yellow"/>
        </w:rPr>
        <w:t>4</w:t>
      </w:r>
      <w:r>
        <w:rPr>
          <w:rFonts w:cstheme="minorHAnsi"/>
        </w:rPr>
        <w:t>).</w:t>
      </w:r>
    </w:p>
    <w:p w14:paraId="7370E24D" w14:textId="3A5D0F4B" w:rsidR="00BF3704" w:rsidRDefault="003D0F35" w:rsidP="00896FCA">
      <w:pPr>
        <w:spacing w:after="120"/>
        <w:jc w:val="both"/>
        <w:rPr>
          <w:rFonts w:cstheme="minorHAnsi"/>
        </w:rPr>
      </w:pPr>
      <w:r w:rsidRPr="0051541C">
        <w:rPr>
          <w:b/>
        </w:rPr>
        <w:t>FSN VS PREVISIONI DI SPESA.</w:t>
      </w:r>
      <w:r w:rsidRPr="0051541C">
        <w:t xml:space="preserve"> </w:t>
      </w:r>
      <w:r>
        <w:t xml:space="preserve">Aumenta </w:t>
      </w:r>
      <w:r w:rsidRPr="0051541C">
        <w:t xml:space="preserve">il divario tra l’entità del FSN e le previsioni di spesa sanitaria </w:t>
      </w:r>
      <w:r w:rsidR="00BF3704">
        <w:t>indicate nel</w:t>
      </w:r>
      <w:r>
        <w:t xml:space="preserve"> </w:t>
      </w:r>
      <w:r w:rsidRPr="0051541C">
        <w:t xml:space="preserve">Documento Programmatico di Finanza Pubblica: 6,4% del PIL nel 2025, </w:t>
      </w:r>
      <w:r>
        <w:t>6,5% nel 2026 e nuovamente 6,4% nel</w:t>
      </w:r>
      <w:r w:rsidRPr="0051541C">
        <w:t xml:space="preserve"> 2027 e </w:t>
      </w:r>
      <w:r>
        <w:t xml:space="preserve">nel </w:t>
      </w:r>
      <w:r w:rsidRPr="0051541C">
        <w:t>2028</w:t>
      </w:r>
      <w:r w:rsidR="005135FA">
        <w:t>.</w:t>
      </w:r>
      <w:r w:rsidRPr="0051541C">
        <w:t xml:space="preserve"> In valore assoluto, il gap tra spesa attesa e risorse assegnate è di € 6,8 miliardi nel 2026, € 7,6 miliardi nel 2027 e € 10,7 miliardi nel 2028. «Un differenziale – ha osservato Cartabellotta – che non può essere colmato dalle risorse proprie delle Regioni,</w:t>
      </w:r>
      <w:r w:rsidR="00BF3704">
        <w:t xml:space="preserve"> che saranno</w:t>
      </w:r>
      <w:r w:rsidRPr="0051541C">
        <w:t xml:space="preserve"> costrette a ridurre i servizi o ad aumentare </w:t>
      </w:r>
      <w:r w:rsidR="00DE6103">
        <w:t>le imposte locali</w:t>
      </w:r>
      <w:r w:rsidRPr="0051541C">
        <w:t xml:space="preserve">. </w:t>
      </w:r>
      <w:r w:rsidR="00BF3704">
        <w:t>In questo modo</w:t>
      </w:r>
      <w:r w:rsidR="00BF3704" w:rsidRPr="0051541C">
        <w:t xml:space="preserve"> </w:t>
      </w:r>
      <w:r w:rsidRPr="0051541C">
        <w:t>lo Stato viene meno alla propria competenza esclusiva di garantire i L</w:t>
      </w:r>
      <w:r w:rsidR="00BF3704">
        <w:t xml:space="preserve">ivelli </w:t>
      </w:r>
      <w:r w:rsidRPr="0051541C">
        <w:t>E</w:t>
      </w:r>
      <w:r w:rsidR="00BF3704">
        <w:t xml:space="preserve">ssenziali di </w:t>
      </w:r>
      <w:r w:rsidRPr="0051541C">
        <w:t>A</w:t>
      </w:r>
      <w:r w:rsidR="00BF3704">
        <w:t>ssistenza</w:t>
      </w:r>
      <w:r w:rsidRPr="0051541C">
        <w:t xml:space="preserve">, </w:t>
      </w:r>
      <w:r w:rsidR="005135FA">
        <w:t xml:space="preserve">continuando a </w:t>
      </w:r>
      <w:r w:rsidRPr="0051541C">
        <w:t>ignora</w:t>
      </w:r>
      <w:r w:rsidR="005135FA">
        <w:t>re</w:t>
      </w:r>
      <w:r w:rsidRPr="0051541C">
        <w:t xml:space="preserve"> i più recenti orientamenti della Corte Costituzionale</w:t>
      </w:r>
      <w:r w:rsidR="005135FA">
        <w:t xml:space="preserve"> sulla tutela della salute</w:t>
      </w:r>
      <w:r w:rsidRPr="0051541C">
        <w:t>: dal</w:t>
      </w:r>
      <w:r w:rsidR="005135FA">
        <w:t xml:space="preserve"> principio </w:t>
      </w:r>
      <w:r w:rsidRPr="0051541C">
        <w:t xml:space="preserve">del “diritto finanziariamente condizionato” </w:t>
      </w:r>
      <w:r w:rsidR="005135FA">
        <w:t>a</w:t>
      </w:r>
      <w:r w:rsidRPr="0051541C">
        <w:t xml:space="preserve">lla </w:t>
      </w:r>
      <w:r w:rsidR="005135FA">
        <w:t>“</w:t>
      </w:r>
      <w:r w:rsidRPr="0051541C">
        <w:t>spesa costituzionalmente necessaria</w:t>
      </w:r>
      <w:r w:rsidR="005135FA">
        <w:t>”</w:t>
      </w:r>
      <w:r w:rsidRPr="0051541C">
        <w:t>».</w:t>
      </w:r>
    </w:p>
    <w:p w14:paraId="4CA68AA9" w14:textId="77777777" w:rsidR="00834059" w:rsidRDefault="003D0F35" w:rsidP="00502DF3">
      <w:pPr>
        <w:spacing w:after="120"/>
        <w:jc w:val="both"/>
        <w:rPr>
          <w:rFonts w:cstheme="minorHAnsi"/>
          <w:b/>
          <w:bCs/>
        </w:rPr>
      </w:pPr>
      <w:r w:rsidRPr="0051541C">
        <w:rPr>
          <w:b/>
        </w:rPr>
        <w:t>MISURE PREVISTE.</w:t>
      </w:r>
      <w:r w:rsidRPr="0051541C">
        <w:t xml:space="preserve"> L’analisi delle misure </w:t>
      </w:r>
      <w:r w:rsidR="00834059">
        <w:t>contenute nell’art</w:t>
      </w:r>
      <w:r w:rsidRPr="0051541C">
        <w:t>. 63 evidenzia inoltre un’anomalia: oltre € 430 milioni destinati a finanziare interventi del 2026 attingono a risorse già stanziate con la Legge di Bilancio 2025 per obiettivi di interesse nazionale (</w:t>
      </w:r>
      <w:r w:rsidRPr="000A0E94">
        <w:rPr>
          <w:highlight w:val="yellow"/>
        </w:rPr>
        <w:t>tabella</w:t>
      </w:r>
      <w:r w:rsidR="000A0E94">
        <w:rPr>
          <w:highlight w:val="yellow"/>
        </w:rPr>
        <w:t xml:space="preserve"> </w:t>
      </w:r>
      <w:r w:rsidR="000A0E94" w:rsidRPr="000A0E94">
        <w:rPr>
          <w:highlight w:val="yellow"/>
        </w:rPr>
        <w:t>2</w:t>
      </w:r>
      <w:r w:rsidRPr="0051541C">
        <w:t>). «È insolito – commenta Cartabellotta – che una quota così rilevante delle risorse per assunzioni e prestazioni aggiuntive derivi da fondi già impegnati: un segnale che il rilancio delle politiche del personale resta, di fatto, sulla carta. Più in generale, la frammentazione di misure e investimenti sembra pensata per non scontentare nessuno, senza una visione strategica di rilancio del SSN» (</w:t>
      </w:r>
      <w:r w:rsidRPr="003D0F35">
        <w:rPr>
          <w:highlight w:val="yellow"/>
        </w:rPr>
        <w:t xml:space="preserve">tabella </w:t>
      </w:r>
      <w:r w:rsidR="000A0E94">
        <w:rPr>
          <w:highlight w:val="yellow"/>
        </w:rPr>
        <w:t>3</w:t>
      </w:r>
      <w:r w:rsidRPr="003D0F35">
        <w:rPr>
          <w:highlight w:val="yellow"/>
        </w:rPr>
        <w:t>).</w:t>
      </w:r>
    </w:p>
    <w:p w14:paraId="2C22602B" w14:textId="1551225B" w:rsidR="00D1780F" w:rsidRDefault="00047D8B" w:rsidP="00B95B1B">
      <w:pPr>
        <w:spacing w:after="120"/>
        <w:jc w:val="both"/>
        <w:rPr>
          <w:rFonts w:cstheme="minorHAnsi"/>
        </w:rPr>
      </w:pPr>
      <w:r w:rsidRPr="00047D8B">
        <w:rPr>
          <w:rFonts w:cstheme="minorHAnsi"/>
          <w:b/>
          <w:bCs/>
        </w:rPr>
        <w:t>PROPOSTE PER IL RIFINANZIAMENTO DEL SSN</w:t>
      </w:r>
      <w:r w:rsidR="00FD4847">
        <w:rPr>
          <w:rFonts w:cstheme="minorHAnsi"/>
          <w:b/>
          <w:bCs/>
        </w:rPr>
        <w:t xml:space="preserve">. </w:t>
      </w:r>
      <w:r w:rsidRPr="0046020B">
        <w:rPr>
          <w:rFonts w:cstheme="minorHAnsi"/>
        </w:rPr>
        <w:t>«</w:t>
      </w:r>
      <w:r w:rsidR="00FD4847">
        <w:rPr>
          <w:rFonts w:cstheme="minorHAnsi"/>
        </w:rPr>
        <w:t xml:space="preserve">Se </w:t>
      </w:r>
      <w:r w:rsidR="00834059">
        <w:rPr>
          <w:rFonts w:cstheme="minorHAnsi"/>
        </w:rPr>
        <w:t>vogliamo</w:t>
      </w:r>
      <w:r w:rsidR="00D1780F">
        <w:rPr>
          <w:rFonts w:cstheme="minorHAnsi"/>
        </w:rPr>
        <w:t xml:space="preserve"> davvero </w:t>
      </w:r>
      <w:r w:rsidR="00FD4847">
        <w:rPr>
          <w:rFonts w:cstheme="minorHAnsi"/>
        </w:rPr>
        <w:t>rilanciare il S</w:t>
      </w:r>
      <w:r w:rsidR="009650F5">
        <w:rPr>
          <w:rFonts w:cstheme="minorHAnsi"/>
        </w:rPr>
        <w:t>SN</w:t>
      </w:r>
      <w:r w:rsidR="00FD4847">
        <w:rPr>
          <w:rFonts w:cstheme="minorHAnsi"/>
        </w:rPr>
        <w:t xml:space="preserve"> </w:t>
      </w:r>
      <w:r>
        <w:rPr>
          <w:rFonts w:cstheme="minorHAnsi"/>
        </w:rPr>
        <w:t xml:space="preserve">– ha </w:t>
      </w:r>
      <w:r w:rsidR="002F4530">
        <w:rPr>
          <w:rFonts w:cstheme="minorHAnsi"/>
        </w:rPr>
        <w:t xml:space="preserve">continuato il </w:t>
      </w:r>
      <w:r w:rsidR="00D1780F">
        <w:rPr>
          <w:rFonts w:cstheme="minorHAnsi"/>
        </w:rPr>
        <w:t>P</w:t>
      </w:r>
      <w:r w:rsidR="002F4530">
        <w:rPr>
          <w:rFonts w:cstheme="minorHAnsi"/>
        </w:rPr>
        <w:t xml:space="preserve">residente </w:t>
      </w:r>
      <w:r w:rsidRPr="0046020B">
        <w:rPr>
          <w:rFonts w:cstheme="minorHAnsi"/>
        </w:rPr>
        <w:t>–</w:t>
      </w:r>
      <w:r w:rsidR="00FD4847">
        <w:rPr>
          <w:rFonts w:cstheme="minorHAnsi"/>
        </w:rPr>
        <w:t xml:space="preserve"> è indispensabile </w:t>
      </w:r>
      <w:r w:rsidR="00502DF3">
        <w:rPr>
          <w:rFonts w:cstheme="minorHAnsi"/>
        </w:rPr>
        <w:t>avviare</w:t>
      </w:r>
      <w:r w:rsidR="00FD4847">
        <w:rPr>
          <w:rFonts w:cstheme="minorHAnsi"/>
        </w:rPr>
        <w:t xml:space="preserve"> un rifinanziamento progressivo </w:t>
      </w:r>
      <w:r w:rsidR="0058054F">
        <w:rPr>
          <w:rFonts w:cstheme="minorHAnsi"/>
        </w:rPr>
        <w:t>accompagnato da</w:t>
      </w:r>
      <w:r w:rsidR="00FD4847">
        <w:rPr>
          <w:rFonts w:cstheme="minorHAnsi"/>
        </w:rPr>
        <w:t xml:space="preserve"> coraggiose riforme </w:t>
      </w:r>
      <w:r w:rsidR="007E2D8A">
        <w:rPr>
          <w:rFonts w:cstheme="minorHAnsi"/>
        </w:rPr>
        <w:t xml:space="preserve">strutturali </w:t>
      </w:r>
      <w:r w:rsidR="00FD4847">
        <w:rPr>
          <w:rFonts w:cstheme="minorHAnsi"/>
        </w:rPr>
        <w:t xml:space="preserve">di sistema. </w:t>
      </w:r>
      <w:r w:rsidR="002F4530">
        <w:rPr>
          <w:rFonts w:cstheme="minorHAnsi"/>
        </w:rPr>
        <w:t>Perché a</w:t>
      </w:r>
      <w:r w:rsidR="0058054F">
        <w:rPr>
          <w:rFonts w:cstheme="minorHAnsi"/>
        </w:rPr>
        <w:t>g</w:t>
      </w:r>
      <w:r w:rsidR="00FD4847">
        <w:rPr>
          <w:rFonts w:cstheme="minorHAnsi"/>
        </w:rPr>
        <w:t xml:space="preserve">giungere </w:t>
      </w:r>
      <w:r w:rsidR="0058054F">
        <w:rPr>
          <w:rFonts w:cstheme="minorHAnsi"/>
        </w:rPr>
        <w:t xml:space="preserve">fondi </w:t>
      </w:r>
      <w:r w:rsidR="00FD4847">
        <w:rPr>
          <w:rFonts w:cstheme="minorHAnsi"/>
        </w:rPr>
        <w:t xml:space="preserve">senza riforme </w:t>
      </w:r>
      <w:r w:rsidR="0058054F">
        <w:rPr>
          <w:rFonts w:cstheme="minorHAnsi"/>
        </w:rPr>
        <w:t>ridu</w:t>
      </w:r>
      <w:r w:rsidR="00F64746">
        <w:rPr>
          <w:rFonts w:cstheme="minorHAnsi"/>
        </w:rPr>
        <w:t xml:space="preserve">ce </w:t>
      </w:r>
      <w:r w:rsidR="00FD4847">
        <w:rPr>
          <w:rFonts w:cstheme="minorHAnsi"/>
        </w:rPr>
        <w:t xml:space="preserve">il valore della spesa sanitaria, </w:t>
      </w:r>
      <w:r w:rsidR="0058054F">
        <w:rPr>
          <w:rFonts w:cstheme="minorHAnsi"/>
        </w:rPr>
        <w:t xml:space="preserve">mentre </w:t>
      </w:r>
      <w:r w:rsidR="00834059">
        <w:rPr>
          <w:rFonts w:cstheme="minorHAnsi"/>
        </w:rPr>
        <w:t xml:space="preserve">varare </w:t>
      </w:r>
      <w:r w:rsidR="00FD4847">
        <w:rPr>
          <w:rFonts w:cstheme="minorHAnsi"/>
        </w:rPr>
        <w:t>riforme senza maggiori oneri per la finanza pubblica</w:t>
      </w:r>
      <w:r w:rsidR="00DE6103">
        <w:rPr>
          <w:rFonts w:cstheme="minorHAnsi"/>
        </w:rPr>
        <w:t xml:space="preserve"> </w:t>
      </w:r>
      <w:r w:rsidR="0058054F">
        <w:rPr>
          <w:rFonts w:cstheme="minorHAnsi"/>
        </w:rPr>
        <w:t>crea solo</w:t>
      </w:r>
      <w:r w:rsidR="00FD4847">
        <w:rPr>
          <w:rFonts w:cstheme="minorHAnsi"/>
        </w:rPr>
        <w:t xml:space="preserve"> </w:t>
      </w:r>
      <w:r w:rsidR="00F64746">
        <w:rPr>
          <w:rFonts w:cstheme="minorHAnsi"/>
        </w:rPr>
        <w:t>“</w:t>
      </w:r>
      <w:r w:rsidR="00FD4847">
        <w:rPr>
          <w:rFonts w:cstheme="minorHAnsi"/>
        </w:rPr>
        <w:t xml:space="preserve">scatole </w:t>
      </w:r>
      <w:r w:rsidR="00FD4847" w:rsidRPr="00496F13">
        <w:rPr>
          <w:rFonts w:cstheme="minorHAnsi"/>
        </w:rPr>
        <w:t>vuote</w:t>
      </w:r>
      <w:r w:rsidR="0058054F" w:rsidRPr="00496F13">
        <w:rPr>
          <w:rFonts w:cstheme="minorHAnsi"/>
        </w:rPr>
        <w:t>”</w:t>
      </w:r>
      <w:r w:rsidR="00FD4847" w:rsidRPr="00496F13">
        <w:rPr>
          <w:rFonts w:cstheme="minorHAnsi"/>
        </w:rPr>
        <w:t xml:space="preserve">, </w:t>
      </w:r>
      <w:r w:rsidR="00834059">
        <w:rPr>
          <w:rFonts w:cstheme="minorHAnsi"/>
        </w:rPr>
        <w:t>così come è accaduto per</w:t>
      </w:r>
      <w:r w:rsidR="00834059" w:rsidRPr="00496F13">
        <w:rPr>
          <w:rFonts w:cstheme="minorHAnsi"/>
        </w:rPr>
        <w:t xml:space="preserve"> </w:t>
      </w:r>
      <w:r w:rsidR="00FD4847" w:rsidRPr="00496F13">
        <w:rPr>
          <w:rFonts w:cstheme="minorHAnsi"/>
        </w:rPr>
        <w:t xml:space="preserve">il </w:t>
      </w:r>
      <w:r w:rsidR="00496F13">
        <w:rPr>
          <w:rFonts w:cstheme="minorHAnsi"/>
        </w:rPr>
        <w:t xml:space="preserve">Decreto </w:t>
      </w:r>
      <w:r w:rsidR="00FD4847" w:rsidRPr="00496F13">
        <w:rPr>
          <w:rFonts w:cstheme="minorHAnsi"/>
        </w:rPr>
        <w:t>anziani</w:t>
      </w:r>
      <w:r w:rsidR="00496F13">
        <w:rPr>
          <w:rFonts w:cstheme="minorHAnsi"/>
        </w:rPr>
        <w:t xml:space="preserve"> e soprattutto</w:t>
      </w:r>
      <w:r w:rsidR="00834059">
        <w:rPr>
          <w:rFonts w:cstheme="minorHAnsi"/>
        </w:rPr>
        <w:t xml:space="preserve"> per</w:t>
      </w:r>
      <w:r w:rsidR="00496F13">
        <w:rPr>
          <w:rFonts w:cstheme="minorHAnsi"/>
        </w:rPr>
        <w:t xml:space="preserve"> </w:t>
      </w:r>
      <w:r w:rsidR="00FD4847" w:rsidRPr="00496F13">
        <w:rPr>
          <w:rFonts w:cstheme="minorHAnsi"/>
        </w:rPr>
        <w:t xml:space="preserve">il </w:t>
      </w:r>
      <w:r w:rsidR="00496F13">
        <w:rPr>
          <w:rFonts w:cstheme="minorHAnsi"/>
        </w:rPr>
        <w:t>Decreto Liste di attesa</w:t>
      </w:r>
      <w:r w:rsidR="002F4530">
        <w:rPr>
          <w:rFonts w:cstheme="minorHAnsi"/>
        </w:rPr>
        <w:t xml:space="preserve">. </w:t>
      </w:r>
      <w:r w:rsidR="00D1780F">
        <w:rPr>
          <w:rFonts w:cstheme="minorHAnsi"/>
        </w:rPr>
        <w:t>N</w:t>
      </w:r>
      <w:r w:rsidR="002F4530">
        <w:rPr>
          <w:rFonts w:cstheme="minorHAnsi"/>
        </w:rPr>
        <w:t xml:space="preserve">onostante </w:t>
      </w:r>
      <w:r w:rsidR="00213763">
        <w:rPr>
          <w:rFonts w:cstheme="minorHAnsi"/>
        </w:rPr>
        <w:t>la</w:t>
      </w:r>
      <w:r w:rsidR="002F4530">
        <w:rPr>
          <w:rFonts w:cstheme="minorHAnsi"/>
        </w:rPr>
        <w:t xml:space="preserve"> </w:t>
      </w:r>
      <w:r w:rsidR="00213763">
        <w:rPr>
          <w:rFonts w:cstheme="minorHAnsi"/>
        </w:rPr>
        <w:t xml:space="preserve">stagnante </w:t>
      </w:r>
      <w:r w:rsidR="002F4530">
        <w:rPr>
          <w:rFonts w:cstheme="minorHAnsi"/>
        </w:rPr>
        <w:t xml:space="preserve">crescita </w:t>
      </w:r>
      <w:r w:rsidR="00213763">
        <w:rPr>
          <w:rFonts w:cstheme="minorHAnsi"/>
        </w:rPr>
        <w:t>economica</w:t>
      </w:r>
      <w:r w:rsidR="002F4530">
        <w:rPr>
          <w:rFonts w:cstheme="minorHAnsi"/>
        </w:rPr>
        <w:t xml:space="preserve">, gli </w:t>
      </w:r>
      <w:r w:rsidR="00D437FC">
        <w:rPr>
          <w:rFonts w:cstheme="minorHAnsi"/>
        </w:rPr>
        <w:t xml:space="preserve">enormi </w:t>
      </w:r>
      <w:r w:rsidR="002F4530">
        <w:rPr>
          <w:rFonts w:cstheme="minorHAnsi"/>
        </w:rPr>
        <w:t>interessi sul debito pubblico e l’</w:t>
      </w:r>
      <w:r w:rsidR="00E11872">
        <w:rPr>
          <w:rFonts w:cstheme="minorHAnsi"/>
        </w:rPr>
        <w:t>entità dell’</w:t>
      </w:r>
      <w:r w:rsidR="002F4530">
        <w:rPr>
          <w:rFonts w:cstheme="minorHAnsi"/>
        </w:rPr>
        <w:t xml:space="preserve">evasione fiscale, </w:t>
      </w:r>
      <w:r w:rsidR="00834059">
        <w:rPr>
          <w:rFonts w:cstheme="minorHAnsi"/>
        </w:rPr>
        <w:t xml:space="preserve">se c’è la volontà politica </w:t>
      </w:r>
      <w:r w:rsidR="002F4530">
        <w:rPr>
          <w:rFonts w:cstheme="minorHAnsi"/>
        </w:rPr>
        <w:t xml:space="preserve">è </w:t>
      </w:r>
      <w:r w:rsidR="00B60EC9">
        <w:rPr>
          <w:rFonts w:cstheme="minorHAnsi"/>
        </w:rPr>
        <w:t xml:space="preserve">possibile pianificare </w:t>
      </w:r>
      <w:r w:rsidR="00834059">
        <w:rPr>
          <w:rFonts w:cstheme="minorHAnsi"/>
        </w:rPr>
        <w:t xml:space="preserve">con approccio scientifico </w:t>
      </w:r>
      <w:r w:rsidR="00BA5323">
        <w:rPr>
          <w:rFonts w:cstheme="minorHAnsi"/>
        </w:rPr>
        <w:t>un incremento percentuale annuo del FSN</w:t>
      </w:r>
      <w:r w:rsidR="00B60EC9">
        <w:rPr>
          <w:rFonts w:cstheme="minorHAnsi"/>
        </w:rPr>
        <w:t xml:space="preserve">, al di sotto del quale non scendere, </w:t>
      </w:r>
      <w:r w:rsidR="00213763">
        <w:rPr>
          <w:rFonts w:cstheme="minorHAnsi"/>
        </w:rPr>
        <w:t>a prescindere da</w:t>
      </w:r>
      <w:r w:rsidR="00D437FC">
        <w:rPr>
          <w:rFonts w:cstheme="minorHAnsi"/>
        </w:rPr>
        <w:t xml:space="preserve">gli avvicendamenti dei </w:t>
      </w:r>
      <w:r w:rsidR="00B60EC9">
        <w:rPr>
          <w:rFonts w:cstheme="minorHAnsi"/>
        </w:rPr>
        <w:t>Govern</w:t>
      </w:r>
      <w:r w:rsidR="00D437FC">
        <w:rPr>
          <w:rFonts w:cstheme="minorHAnsi"/>
        </w:rPr>
        <w:t>i</w:t>
      </w:r>
      <w:r w:rsidR="002F4530" w:rsidRPr="0046020B">
        <w:rPr>
          <w:rFonts w:cstheme="minorHAnsi"/>
        </w:rPr>
        <w:t>»</w:t>
      </w:r>
      <w:r w:rsidR="002F4530" w:rsidRPr="00852852">
        <w:rPr>
          <w:rFonts w:cstheme="minorHAnsi"/>
        </w:rPr>
        <w:t>.</w:t>
      </w:r>
      <w:r w:rsidR="002F4530">
        <w:rPr>
          <w:rFonts w:cstheme="minorHAnsi"/>
        </w:rPr>
        <w:t xml:space="preserve"> </w:t>
      </w:r>
    </w:p>
    <w:p w14:paraId="3DD0253E" w14:textId="77777777" w:rsidR="00A536AE" w:rsidRDefault="00834059" w:rsidP="00A536AE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In linea con le indicazioni </w:t>
      </w:r>
      <w:r w:rsidR="00D94B19">
        <w:rPr>
          <w:rFonts w:cstheme="minorHAnsi"/>
        </w:rPr>
        <w:t xml:space="preserve">politiche </w:t>
      </w:r>
      <w:r w:rsidR="00A26BEC">
        <w:rPr>
          <w:rFonts w:cstheme="minorHAnsi"/>
        </w:rPr>
        <w:t>suggerite da</w:t>
      </w:r>
      <w:r w:rsidR="006D72B9">
        <w:rPr>
          <w:rFonts w:cstheme="minorHAnsi"/>
        </w:rPr>
        <w:t xml:space="preserve">l </w:t>
      </w:r>
      <w:hyperlink r:id="rId8" w:history="1">
        <w:r w:rsidR="00496F13" w:rsidRPr="001A4439">
          <w:rPr>
            <w:rStyle w:val="Collegamentoipertestuale"/>
            <w:rFonts w:cstheme="minorHAnsi"/>
          </w:rPr>
          <w:t>report OCSE sulla sostenibilità fiscale dei servizi sanitari</w:t>
        </w:r>
      </w:hyperlink>
      <w:r w:rsidR="00496F13">
        <w:rPr>
          <w:rFonts w:cstheme="minorHAnsi"/>
        </w:rPr>
        <w:t>,</w:t>
      </w:r>
      <w:r w:rsidR="006C28DF">
        <w:rPr>
          <w:rFonts w:cstheme="minorHAnsi"/>
        </w:rPr>
        <w:t xml:space="preserve"> </w:t>
      </w:r>
      <w:r w:rsidR="00961C55">
        <w:rPr>
          <w:rFonts w:cstheme="minorHAnsi"/>
        </w:rPr>
        <w:t xml:space="preserve">la Fondazione GIMBE ha </w:t>
      </w:r>
      <w:r w:rsidR="00BA5323">
        <w:rPr>
          <w:rFonts w:cstheme="minorHAnsi"/>
        </w:rPr>
        <w:t>presentato</w:t>
      </w:r>
      <w:r w:rsidR="00961C55">
        <w:rPr>
          <w:rFonts w:cstheme="minorHAnsi"/>
        </w:rPr>
        <w:t xml:space="preserve"> </w:t>
      </w:r>
      <w:r w:rsidR="00B60EC9">
        <w:rPr>
          <w:rFonts w:cstheme="minorHAnsi"/>
        </w:rPr>
        <w:t xml:space="preserve">in audizione </w:t>
      </w:r>
      <w:r w:rsidR="00961C55">
        <w:rPr>
          <w:rFonts w:cstheme="minorHAnsi"/>
        </w:rPr>
        <w:t>proposte concrete</w:t>
      </w:r>
      <w:r w:rsidR="00213763" w:rsidRPr="00213763">
        <w:rPr>
          <w:rFonts w:cstheme="minorHAnsi"/>
        </w:rPr>
        <w:t xml:space="preserve"> per rifinanziare il SSN</w:t>
      </w:r>
      <w:r w:rsidR="00BA5323">
        <w:rPr>
          <w:rFonts w:cstheme="minorHAnsi"/>
        </w:rPr>
        <w:t xml:space="preserve">. </w:t>
      </w:r>
    </w:p>
    <w:p w14:paraId="75318A45" w14:textId="77777777" w:rsidR="00A536AE" w:rsidRDefault="00517913" w:rsidP="00A536AE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A536AE" w:rsidRPr="00A536AE">
        <w:rPr>
          <w:rFonts w:cstheme="minorHAnsi"/>
        </w:rPr>
        <w:t>ass</w:t>
      </w:r>
      <w:r>
        <w:rPr>
          <w:rFonts w:cstheme="minorHAnsi"/>
        </w:rPr>
        <w:t>a</w:t>
      </w:r>
      <w:r w:rsidR="00A536AE" w:rsidRPr="00A536AE">
        <w:rPr>
          <w:rFonts w:cstheme="minorHAnsi"/>
        </w:rPr>
        <w:t xml:space="preserve"> di scopo su prodotti nocivi alla salute (</w:t>
      </w:r>
      <w:r w:rsidR="00A536AE" w:rsidRPr="00517913">
        <w:rPr>
          <w:rFonts w:cstheme="minorHAnsi"/>
          <w:i/>
          <w:iCs/>
        </w:rPr>
        <w:t xml:space="preserve">sin </w:t>
      </w:r>
      <w:proofErr w:type="spellStart"/>
      <w:r w:rsidR="00A536AE" w:rsidRPr="00517913">
        <w:rPr>
          <w:rFonts w:cstheme="minorHAnsi"/>
          <w:i/>
          <w:iCs/>
        </w:rPr>
        <w:t>taxes</w:t>
      </w:r>
      <w:proofErr w:type="spellEnd"/>
      <w:r w:rsidR="00A536AE" w:rsidRPr="00A536AE">
        <w:rPr>
          <w:rFonts w:cstheme="minorHAnsi"/>
        </w:rPr>
        <w:t xml:space="preserve">: tabacco, alcol, gioco, bevande zuccherate), </w:t>
      </w:r>
      <w:r>
        <w:rPr>
          <w:rFonts w:cstheme="minorHAnsi"/>
        </w:rPr>
        <w:t>oltre</w:t>
      </w:r>
      <w:r w:rsidR="00A536AE" w:rsidRPr="00A536AE">
        <w:rPr>
          <w:rFonts w:cstheme="minorHAnsi"/>
        </w:rPr>
        <w:t xml:space="preserve"> a </w:t>
      </w:r>
      <w:r>
        <w:rPr>
          <w:rFonts w:cstheme="minorHAnsi"/>
        </w:rPr>
        <w:t xml:space="preserve">imposte su </w:t>
      </w:r>
      <w:r w:rsidR="00A536AE" w:rsidRPr="00A536AE">
        <w:rPr>
          <w:rFonts w:cstheme="minorHAnsi"/>
        </w:rPr>
        <w:t>extraprofitti e redditi molto elevati</w:t>
      </w:r>
      <w:r>
        <w:rPr>
          <w:rFonts w:cstheme="minorHAnsi"/>
        </w:rPr>
        <w:t>.</w:t>
      </w:r>
    </w:p>
    <w:p w14:paraId="0892759A" w14:textId="5E807B37" w:rsidR="00A536AE" w:rsidRDefault="00A536AE" w:rsidP="00A536AE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A536AE">
        <w:rPr>
          <w:rFonts w:cstheme="minorHAnsi"/>
        </w:rPr>
        <w:t>Rivalutazione dei confini tra spesa pubblica e privata: revisione del perimetro LEA</w:t>
      </w:r>
      <w:r w:rsidR="00517913">
        <w:rPr>
          <w:rFonts w:cstheme="minorHAnsi"/>
        </w:rPr>
        <w:t xml:space="preserve"> </w:t>
      </w:r>
      <w:r w:rsidR="00DE6103">
        <w:rPr>
          <w:rFonts w:cstheme="minorHAnsi"/>
        </w:rPr>
        <w:t>accompagnata da</w:t>
      </w:r>
      <w:r w:rsidR="00517913">
        <w:rPr>
          <w:rFonts w:cstheme="minorHAnsi"/>
        </w:rPr>
        <w:t xml:space="preserve"> una</w:t>
      </w:r>
      <w:r w:rsidRPr="00A536AE">
        <w:rPr>
          <w:rFonts w:cstheme="minorHAnsi"/>
        </w:rPr>
        <w:t xml:space="preserve"> </w:t>
      </w:r>
      <w:r w:rsidR="00517913">
        <w:rPr>
          <w:rFonts w:cstheme="minorHAnsi"/>
        </w:rPr>
        <w:t xml:space="preserve">“sana” </w:t>
      </w:r>
      <w:r w:rsidRPr="00A536AE">
        <w:rPr>
          <w:rFonts w:cstheme="minorHAnsi"/>
        </w:rPr>
        <w:t>riforma della sanità integrativa per aumentare l</w:t>
      </w:r>
      <w:r w:rsidR="00517913">
        <w:rPr>
          <w:rFonts w:cstheme="minorHAnsi"/>
        </w:rPr>
        <w:t>a spesa intermediata su prestazioni extra-LEA</w:t>
      </w:r>
      <w:r w:rsidR="00DE6103">
        <w:rPr>
          <w:rFonts w:cstheme="minorHAnsi"/>
        </w:rPr>
        <w:t xml:space="preserve"> e da una</w:t>
      </w:r>
      <w:r w:rsidRPr="00A536AE">
        <w:rPr>
          <w:rFonts w:cstheme="minorHAnsi"/>
        </w:rPr>
        <w:t xml:space="preserve"> revisione mirata delle compartecipazioni</w:t>
      </w:r>
      <w:r w:rsidR="00517913">
        <w:rPr>
          <w:rFonts w:cstheme="minorHAnsi"/>
        </w:rPr>
        <w:t xml:space="preserve"> alla spesa sanitaria (ticket)</w:t>
      </w:r>
      <w:r w:rsidR="00DE6103">
        <w:rPr>
          <w:rFonts w:cstheme="minorHAnsi"/>
        </w:rPr>
        <w:t>.</w:t>
      </w:r>
    </w:p>
    <w:p w14:paraId="75B64439" w14:textId="77777777" w:rsidR="00A536AE" w:rsidRPr="00517913" w:rsidRDefault="00A536AE" w:rsidP="00213763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A536AE">
        <w:rPr>
          <w:rFonts w:cstheme="minorHAnsi"/>
        </w:rPr>
        <w:lastRenderedPageBreak/>
        <w:t xml:space="preserve">Piano nazionale di disinvestimento da sprechi e inefficienze, con </w:t>
      </w:r>
      <w:r>
        <w:rPr>
          <w:rFonts w:cstheme="minorHAnsi"/>
        </w:rPr>
        <w:t>riallocazion</w:t>
      </w:r>
      <w:r w:rsidR="00517913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517913">
        <w:rPr>
          <w:rFonts w:cstheme="minorHAnsi"/>
        </w:rPr>
        <w:t>di risorse su servizi e prestazioni sotto-utilizzate</w:t>
      </w:r>
      <w:r w:rsidRPr="00A536AE">
        <w:rPr>
          <w:rFonts w:cstheme="minorHAnsi"/>
        </w:rPr>
        <w:t>.</w:t>
      </w:r>
    </w:p>
    <w:p w14:paraId="6C643025" w14:textId="502B6134" w:rsidR="00E11872" w:rsidRDefault="002F4530" w:rsidP="00517913">
      <w:pPr>
        <w:jc w:val="both"/>
        <w:rPr>
          <w:rFonts w:cstheme="minorHAnsi"/>
        </w:rPr>
      </w:pPr>
      <w:r w:rsidRPr="0046020B">
        <w:rPr>
          <w:rFonts w:cstheme="minorHAnsi"/>
        </w:rPr>
        <w:t>«</w:t>
      </w:r>
      <w:r w:rsidR="00A536AE">
        <w:rPr>
          <w:rFonts w:cstheme="minorHAnsi"/>
        </w:rPr>
        <w:t xml:space="preserve">Il tempo di rimboccarsi le maniche è quasi scaduto </w:t>
      </w:r>
      <w:r>
        <w:rPr>
          <w:rFonts w:cstheme="minorHAnsi"/>
        </w:rPr>
        <w:t xml:space="preserve">– ha concluso Cartabellotta – </w:t>
      </w:r>
      <w:r w:rsidR="00A536AE">
        <w:rPr>
          <w:rFonts w:cstheme="minorHAnsi"/>
        </w:rPr>
        <w:t xml:space="preserve">e bisogna agire </w:t>
      </w:r>
      <w:r>
        <w:rPr>
          <w:rFonts w:cstheme="minorHAnsi"/>
        </w:rPr>
        <w:t xml:space="preserve">abbandonando </w:t>
      </w:r>
      <w:r w:rsidR="00213763">
        <w:rPr>
          <w:rFonts w:cstheme="minorHAnsi"/>
        </w:rPr>
        <w:t xml:space="preserve">sia i </w:t>
      </w:r>
      <w:r>
        <w:rPr>
          <w:rFonts w:cstheme="minorHAnsi"/>
        </w:rPr>
        <w:t xml:space="preserve">proclami populisti </w:t>
      </w:r>
      <w:r w:rsidR="00A15A1D">
        <w:rPr>
          <w:rFonts w:cstheme="minorHAnsi"/>
        </w:rPr>
        <w:t xml:space="preserve">del Governo </w:t>
      </w:r>
      <w:r w:rsidR="00213763">
        <w:rPr>
          <w:rFonts w:cstheme="minorHAnsi"/>
        </w:rPr>
        <w:t xml:space="preserve">sia le </w:t>
      </w:r>
      <w:r>
        <w:rPr>
          <w:rFonts w:cstheme="minorHAnsi"/>
        </w:rPr>
        <w:t xml:space="preserve">proposte </w:t>
      </w:r>
      <w:r w:rsidR="00A15A1D">
        <w:rPr>
          <w:rFonts w:cstheme="minorHAnsi"/>
        </w:rPr>
        <w:t xml:space="preserve">irrealistiche </w:t>
      </w:r>
      <w:r>
        <w:rPr>
          <w:rFonts w:cstheme="minorHAnsi"/>
        </w:rPr>
        <w:t xml:space="preserve">di rifinanziamento </w:t>
      </w:r>
      <w:r w:rsidR="00834059">
        <w:rPr>
          <w:rFonts w:cstheme="minorHAnsi"/>
        </w:rPr>
        <w:t>delle opposizioni</w:t>
      </w:r>
      <w:r w:rsidR="0080197C">
        <w:rPr>
          <w:rFonts w:cstheme="minorHAnsi"/>
        </w:rPr>
        <w:t>. È</w:t>
      </w:r>
      <w:r w:rsidR="0080197C" w:rsidRPr="00A26BEC">
        <w:rPr>
          <w:rFonts w:cstheme="minorHAnsi"/>
        </w:rPr>
        <w:t xml:space="preserve"> indispensabile ripensare le politiche allocative del Paese per contrastare la progressiva demotivazione e fuga del personale sanitario dal SSN, le difficoltà di accesso alle innovazioni farmacologiche e tecnologiche, </w:t>
      </w:r>
      <w:r w:rsidR="0080197C">
        <w:rPr>
          <w:rFonts w:cstheme="minorHAnsi"/>
        </w:rPr>
        <w:t xml:space="preserve">le diseguaglianze nell’accesso a servizi e prestazioni sanitarie, </w:t>
      </w:r>
      <w:r w:rsidR="0080197C" w:rsidRPr="00A26BEC">
        <w:rPr>
          <w:rFonts w:cstheme="minorHAnsi"/>
        </w:rPr>
        <w:t>l’aumento della spesa privata e la rinuncia alle cure</w:t>
      </w:r>
      <w:r w:rsidR="00A15A1D">
        <w:rPr>
          <w:rFonts w:cstheme="minorHAnsi"/>
        </w:rPr>
        <w:t xml:space="preserve">. </w:t>
      </w:r>
      <w:r w:rsidR="0080197C">
        <w:rPr>
          <w:rFonts w:cstheme="minorHAnsi"/>
        </w:rPr>
        <w:t xml:space="preserve">La realtà è che oggi </w:t>
      </w:r>
      <w:r w:rsidR="0080197C">
        <w:t xml:space="preserve">alla sanità pubblica non viene destinato quello che serve, ma solo ciò che avanza. </w:t>
      </w:r>
      <w:r w:rsidR="00834059">
        <w:rPr>
          <w:rFonts w:cstheme="minorHAnsi"/>
        </w:rPr>
        <w:t>S</w:t>
      </w:r>
      <w:r w:rsidRPr="009650F5">
        <w:rPr>
          <w:rFonts w:cstheme="minorHAnsi"/>
        </w:rPr>
        <w:t xml:space="preserve">enza </w:t>
      </w:r>
      <w:r w:rsidR="00A50703">
        <w:rPr>
          <w:rFonts w:cstheme="minorHAnsi"/>
        </w:rPr>
        <w:t xml:space="preserve">un </w:t>
      </w:r>
      <w:r w:rsidR="00834059">
        <w:rPr>
          <w:rFonts w:cstheme="minorHAnsi"/>
        </w:rPr>
        <w:t xml:space="preserve">vero </w:t>
      </w:r>
      <w:r>
        <w:rPr>
          <w:rFonts w:cstheme="minorHAnsi"/>
        </w:rPr>
        <w:t>potenziamento</w:t>
      </w:r>
      <w:r w:rsidR="00A26BEC">
        <w:rPr>
          <w:rFonts w:cstheme="minorHAnsi"/>
        </w:rPr>
        <w:t xml:space="preserve"> del SSN</w:t>
      </w:r>
      <w:r w:rsidR="00834059">
        <w:rPr>
          <w:rFonts w:cstheme="minorHAnsi"/>
        </w:rPr>
        <w:t xml:space="preserve"> sostenuto da</w:t>
      </w:r>
      <w:r w:rsidR="00A26BEC">
        <w:rPr>
          <w:rFonts w:cstheme="minorHAnsi"/>
        </w:rPr>
        <w:t xml:space="preserve"> adeguate risorse e </w:t>
      </w:r>
      <w:r w:rsidR="00834059">
        <w:rPr>
          <w:rFonts w:cstheme="minorHAnsi"/>
        </w:rPr>
        <w:t xml:space="preserve">da </w:t>
      </w:r>
      <w:r w:rsidR="00A26BEC">
        <w:rPr>
          <w:rFonts w:cstheme="minorHAnsi"/>
        </w:rPr>
        <w:t xml:space="preserve">coraggiose riforme </w:t>
      </w:r>
      <w:r w:rsidR="00A536AE">
        <w:rPr>
          <w:rFonts w:cstheme="minorHAnsi"/>
        </w:rPr>
        <w:t>strutturali</w:t>
      </w:r>
      <w:r w:rsidR="00A15A1D">
        <w:rPr>
          <w:rFonts w:cstheme="minorHAnsi"/>
        </w:rPr>
        <w:t xml:space="preserve">, </w:t>
      </w:r>
      <w:r w:rsidR="00213763">
        <w:rPr>
          <w:rFonts w:cstheme="minorHAnsi"/>
        </w:rPr>
        <w:t xml:space="preserve">non resterà che </w:t>
      </w:r>
      <w:r w:rsidR="00213763" w:rsidRPr="001A4439">
        <w:rPr>
          <w:rFonts w:cstheme="minorHAnsi"/>
        </w:rPr>
        <w:t>assistere</w:t>
      </w:r>
      <w:r w:rsidR="00E11872" w:rsidRPr="001A4439">
        <w:rPr>
          <w:rFonts w:cstheme="minorHAnsi"/>
        </w:rPr>
        <w:t xml:space="preserve"> </w:t>
      </w:r>
      <w:r w:rsidR="00E11872">
        <w:rPr>
          <w:rFonts w:cstheme="minorHAnsi"/>
        </w:rPr>
        <w:t>impotenti</w:t>
      </w:r>
      <w:r>
        <w:rPr>
          <w:rFonts w:cstheme="minorHAnsi"/>
        </w:rPr>
        <w:t xml:space="preserve"> </w:t>
      </w:r>
      <w:r w:rsidR="00E11872">
        <w:rPr>
          <w:rFonts w:cstheme="minorHAnsi"/>
        </w:rPr>
        <w:t xml:space="preserve">al </w:t>
      </w:r>
      <w:r w:rsidR="00A26BEC">
        <w:rPr>
          <w:rFonts w:cstheme="minorHAnsi"/>
        </w:rPr>
        <w:t xml:space="preserve">suo </w:t>
      </w:r>
      <w:r w:rsidRPr="009650F5">
        <w:rPr>
          <w:rFonts w:cstheme="minorHAnsi"/>
        </w:rPr>
        <w:t>declino</w:t>
      </w:r>
      <w:r w:rsidR="00213763">
        <w:rPr>
          <w:rFonts w:cstheme="minorHAnsi"/>
        </w:rPr>
        <w:t xml:space="preserve">: </w:t>
      </w:r>
      <w:r w:rsidR="0080197C">
        <w:t>oggi la crisi del SSN non intacca solo l’inalienabile diritto costituzionale alla tutela della salute, ma mina la coesione sociale e la tenuta democratica del Paese.</w:t>
      </w:r>
      <w:r w:rsidR="00517913">
        <w:rPr>
          <w:rFonts w:cstheme="minorHAnsi"/>
        </w:rPr>
        <w:t xml:space="preserve"> </w:t>
      </w:r>
      <w:r w:rsidR="0080197C">
        <w:rPr>
          <w:rFonts w:cstheme="minorHAnsi"/>
        </w:rPr>
        <w:t>Perché</w:t>
      </w:r>
      <w:r w:rsidR="00517913" w:rsidRPr="00775625">
        <w:rPr>
          <w:rFonts w:cstheme="minorHAnsi"/>
        </w:rPr>
        <w:t xml:space="preserve"> </w:t>
      </w:r>
      <w:r w:rsidR="00517913">
        <w:rPr>
          <w:rFonts w:cstheme="minorHAnsi"/>
        </w:rPr>
        <w:t xml:space="preserve">se </w:t>
      </w:r>
      <w:r w:rsidR="00517913" w:rsidRPr="00775625">
        <w:rPr>
          <w:rFonts w:cstheme="minorHAnsi"/>
        </w:rPr>
        <w:t>la sanità pubblica arretra, l’Italia intera</w:t>
      </w:r>
      <w:r w:rsidR="00517913">
        <w:rPr>
          <w:rFonts w:cstheme="minorHAnsi"/>
        </w:rPr>
        <w:t xml:space="preserve"> rischia di affondare</w:t>
      </w:r>
      <w:r w:rsidR="00A26BEC" w:rsidRPr="00A26BEC">
        <w:rPr>
          <w:rFonts w:cstheme="minorHAnsi"/>
        </w:rPr>
        <w:t>».</w:t>
      </w:r>
      <w:bookmarkStart w:id="0" w:name="_Hlk148764366"/>
    </w:p>
    <w:bookmarkEnd w:id="0"/>
    <w:p w14:paraId="5A97FBF1" w14:textId="77777777" w:rsidR="005D18F5" w:rsidRDefault="005D18F5" w:rsidP="005D18F5">
      <w:pPr>
        <w:spacing w:after="0"/>
        <w:rPr>
          <w:rStyle w:val="Collegamentoipertestuale"/>
          <w:rFonts w:eastAsia="Calibri" w:cstheme="minorHAnsi"/>
        </w:rPr>
      </w:pPr>
    </w:p>
    <w:p w14:paraId="13A93A2D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5E2979DB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7834B885" w14:textId="77777777" w:rsidR="00472CFC" w:rsidRDefault="00DC2A0C" w:rsidP="00F60D04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1997D116" w14:textId="77777777" w:rsidR="00F60D04" w:rsidRDefault="00F60D04" w:rsidP="00F60D04">
      <w:pPr>
        <w:spacing w:after="0"/>
        <w:rPr>
          <w:rStyle w:val="Collegamentoipertestuale"/>
          <w:rFonts w:eastAsia="Calibri" w:cstheme="minorHAnsi"/>
        </w:rPr>
      </w:pPr>
    </w:p>
    <w:p w14:paraId="703CFBC0" w14:textId="77777777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6E92EEE1" w14:textId="77777777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5E330F1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47D94320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74F0F797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5B575B4F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4156BE7D" w14:textId="77777777" w:rsidR="001C71B6" w:rsidRDefault="001C71B6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37D6A49E" w14:textId="77777777" w:rsidR="001A4439" w:rsidRDefault="001A4439" w:rsidP="001A4439">
      <w:pPr>
        <w:spacing w:after="120"/>
        <w:jc w:val="both"/>
        <w:rPr>
          <w:rFonts w:cstheme="minorHAnsi"/>
        </w:rPr>
      </w:pPr>
      <w:bookmarkStart w:id="1" w:name="_Hlk181251921"/>
    </w:p>
    <w:p w14:paraId="407607C2" w14:textId="77777777" w:rsidR="000A0E94" w:rsidRPr="00674190" w:rsidRDefault="000A0E94" w:rsidP="000A0E94">
      <w:pPr>
        <w:spacing w:after="120"/>
        <w:jc w:val="center"/>
        <w:rPr>
          <w:rFonts w:eastAsia="Calibri" w:cstheme="minorHAnsi"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Tabella 1. Rideterminazione 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del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</w:p>
    <w:tbl>
      <w:tblPr>
        <w:tblW w:w="386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069"/>
        <w:gridCol w:w="1070"/>
        <w:gridCol w:w="1069"/>
        <w:gridCol w:w="1069"/>
      </w:tblGrid>
      <w:tr w:rsidR="000A0E94" w:rsidRPr="00941E2E" w14:paraId="2F1B190C" w14:textId="77777777" w:rsidTr="00DA7C42">
        <w:trPr>
          <w:trHeight w:val="293"/>
          <w:jc w:val="center"/>
        </w:trPr>
        <w:tc>
          <w:tcPr>
            <w:tcW w:w="2127" w:type="pct"/>
            <w:tcBorders>
              <w:top w:val="single" w:sz="8" w:space="0" w:color="00457D"/>
              <w:left w:val="single" w:sz="4" w:space="0" w:color="00457D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0B146676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28AB6D33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5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5388F712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487B5A8F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00457D"/>
            <w:noWrap/>
            <w:vAlign w:val="center"/>
          </w:tcPr>
          <w:p w14:paraId="3F4E04CE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2028</w:t>
            </w:r>
          </w:p>
        </w:tc>
      </w:tr>
      <w:tr w:rsidR="000A0E94" w:rsidRPr="00941E2E" w14:paraId="746B4CAB" w14:textId="77777777" w:rsidTr="00DA7C42">
        <w:trPr>
          <w:trHeight w:val="510"/>
          <w:jc w:val="center"/>
        </w:trPr>
        <w:tc>
          <w:tcPr>
            <w:tcW w:w="2127" w:type="pct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  <w:hideMark/>
          </w:tcPr>
          <w:p w14:paraId="3D9C9C67" w14:textId="77777777" w:rsidR="000A0E94" w:rsidRPr="00941E2E" w:rsidRDefault="000A0E94" w:rsidP="00DA7C42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DdL 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Bilancio 202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3C28FA5A" w14:textId="77777777" w:rsidR="000A0E94" w:rsidRPr="00941E2E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136.533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B192DDC" w14:textId="77777777" w:rsidR="000A0E94" w:rsidRPr="00941E2E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143.098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000F842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144.093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040E3AE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144.960</w:t>
            </w:r>
          </w:p>
        </w:tc>
      </w:tr>
      <w:tr w:rsidR="000A0E94" w:rsidRPr="00941E2E" w14:paraId="2E52DC10" w14:textId="77777777" w:rsidTr="00DA7C42">
        <w:trPr>
          <w:trHeight w:val="293"/>
          <w:jc w:val="center"/>
        </w:trPr>
        <w:tc>
          <w:tcPr>
            <w:tcW w:w="2127" w:type="pct"/>
            <w:vMerge w:val="restart"/>
            <w:tcBorders>
              <w:top w:val="nil"/>
              <w:left w:val="single" w:sz="8" w:space="0" w:color="00457D"/>
              <w:right w:val="single" w:sz="8" w:space="0" w:color="00457D"/>
            </w:tcBorders>
            <w:noWrap/>
            <w:vAlign w:val="center"/>
          </w:tcPr>
          <w:p w14:paraId="536940BE" w14:textId="77777777" w:rsidR="000A0E94" w:rsidRPr="00941E2E" w:rsidRDefault="000A0E94" w:rsidP="00DA7C42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Variazione 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vs anno precedente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7E5A659" w14:textId="77777777" w:rsidR="000A0E94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02B5856" w14:textId="77777777" w:rsidR="000A0E94" w:rsidRPr="000B6DD0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+6.565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9E890F7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+995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A0E36A3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+867</w:t>
            </w:r>
          </w:p>
        </w:tc>
      </w:tr>
      <w:tr w:rsidR="000A0E94" w:rsidRPr="00941E2E" w14:paraId="0292B415" w14:textId="77777777" w:rsidTr="00DA7C42">
        <w:trPr>
          <w:trHeight w:val="293"/>
          <w:jc w:val="center"/>
        </w:trPr>
        <w:tc>
          <w:tcPr>
            <w:tcW w:w="2127" w:type="pct"/>
            <w:vMerge/>
            <w:tcBorders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3BD12B47" w14:textId="77777777" w:rsidR="000A0E94" w:rsidRPr="00941E2E" w:rsidRDefault="000A0E94" w:rsidP="00DA7C42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27617FC" w14:textId="77777777" w:rsidR="000A0E94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7830C8A" w14:textId="77777777" w:rsidR="000A0E94" w:rsidRPr="000B6DD0" w:rsidRDefault="000A0E94" w:rsidP="00D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+4,8%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984FCDA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+0,7%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DE4EE31" w14:textId="77777777" w:rsidR="000A0E94" w:rsidRPr="00941E2E" w:rsidRDefault="000A0E94" w:rsidP="00DA7C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+0,6%</w:t>
            </w:r>
          </w:p>
        </w:tc>
      </w:tr>
      <w:tr w:rsidR="000A0E94" w:rsidRPr="001574B2" w14:paraId="69C5CA5C" w14:textId="77777777" w:rsidTr="00DA7C42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00457D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51133ADB" w14:textId="77777777" w:rsidR="000A0E94" w:rsidRPr="001574B2" w:rsidRDefault="000A0E94" w:rsidP="00DA7C42">
            <w:pPr>
              <w:spacing w:after="0"/>
              <w:rPr>
                <w:sz w:val="18"/>
                <w:szCs w:val="18"/>
              </w:rPr>
            </w:pPr>
            <w:r w:rsidRPr="001574B2">
              <w:rPr>
                <w:sz w:val="18"/>
                <w:szCs w:val="18"/>
              </w:rPr>
              <w:t>Dati in milioni di euro</w:t>
            </w:r>
          </w:p>
        </w:tc>
      </w:tr>
    </w:tbl>
    <w:p w14:paraId="63F1245B" w14:textId="77777777" w:rsidR="000A0E94" w:rsidRDefault="000A0E94" w:rsidP="000A0E94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350C9758" w14:textId="77777777" w:rsidR="000A0E94" w:rsidRPr="007E67C0" w:rsidRDefault="000A0E94" w:rsidP="000A0E94">
      <w:pPr>
        <w:spacing w:after="120"/>
        <w:jc w:val="center"/>
        <w:rPr>
          <w:rFonts w:cstheme="minorHAnsi"/>
          <w:b/>
          <w:bCs/>
          <w:color w:val="00457D"/>
        </w:rPr>
      </w:pPr>
      <w:r w:rsidRPr="007E67C0">
        <w:rPr>
          <w:rFonts w:cstheme="minorHAnsi"/>
          <w:b/>
          <w:bCs/>
          <w:color w:val="00457D"/>
        </w:rPr>
        <w:t xml:space="preserve">Figura </w:t>
      </w:r>
      <w:r>
        <w:rPr>
          <w:rFonts w:cstheme="minorHAnsi"/>
          <w:b/>
          <w:bCs/>
          <w:color w:val="00457D"/>
        </w:rPr>
        <w:t>1</w:t>
      </w:r>
      <w:r w:rsidRPr="007E67C0">
        <w:rPr>
          <w:rFonts w:cstheme="minorHAnsi"/>
          <w:b/>
          <w:bCs/>
          <w:color w:val="00457D"/>
        </w:rPr>
        <w:t>. Incrementi del Fondo Sanitario Nazionale rispetto all’anno precedente</w:t>
      </w:r>
    </w:p>
    <w:p w14:paraId="3F16CE1B" w14:textId="77777777" w:rsidR="000A0E94" w:rsidRDefault="000A0E94" w:rsidP="000A0E94">
      <w:pPr>
        <w:spacing w:after="120"/>
        <w:jc w:val="center"/>
        <w:rPr>
          <w:rFonts w:cstheme="minorHAnsi"/>
        </w:rPr>
      </w:pPr>
      <w:r>
        <w:rPr>
          <w:noProof/>
          <w:lang w:eastAsia="it-IT"/>
        </w:rPr>
        <w:drawing>
          <wp:inline distT="0" distB="0" distL="0" distR="0" wp14:anchorId="37C9AA3C" wp14:editId="4E949F2E">
            <wp:extent cx="5040000" cy="2851015"/>
            <wp:effectExtent l="0" t="0" r="8255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85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B20E" w14:textId="77777777" w:rsidR="000A0E94" w:rsidRPr="007E67C0" w:rsidRDefault="000A0E94" w:rsidP="000A0E94">
      <w:pPr>
        <w:spacing w:after="120"/>
        <w:jc w:val="center"/>
        <w:rPr>
          <w:rFonts w:cstheme="minorHAnsi"/>
          <w:b/>
          <w:bCs/>
          <w:color w:val="00457D"/>
        </w:rPr>
      </w:pPr>
      <w:r w:rsidRPr="007E67C0">
        <w:rPr>
          <w:rFonts w:cstheme="minorHAnsi"/>
          <w:b/>
          <w:bCs/>
          <w:color w:val="00457D"/>
        </w:rPr>
        <w:t xml:space="preserve">Figura </w:t>
      </w:r>
      <w:r>
        <w:rPr>
          <w:rFonts w:cstheme="minorHAnsi"/>
          <w:b/>
          <w:bCs/>
          <w:color w:val="00457D"/>
        </w:rPr>
        <w:t>2</w:t>
      </w:r>
      <w:r w:rsidRPr="007E67C0">
        <w:rPr>
          <w:rFonts w:cstheme="minorHAnsi"/>
          <w:b/>
          <w:bCs/>
          <w:color w:val="00457D"/>
        </w:rPr>
        <w:t>. Fabbisogno Sanitario Nazionale in % del PIL: trend 2022-2028</w:t>
      </w:r>
    </w:p>
    <w:p w14:paraId="01D4B189" w14:textId="77777777" w:rsidR="000A0E94" w:rsidRDefault="000A0E94" w:rsidP="000A0E94">
      <w:pPr>
        <w:jc w:val="center"/>
        <w:rPr>
          <w:rFonts w:cstheme="minorHAnsi"/>
        </w:rPr>
      </w:pPr>
      <w:r>
        <w:rPr>
          <w:noProof/>
          <w:lang w:eastAsia="it-IT"/>
        </w:rPr>
        <w:drawing>
          <wp:inline distT="0" distB="0" distL="0" distR="0" wp14:anchorId="36AB8A51" wp14:editId="6DE620C3">
            <wp:extent cx="5040000" cy="2866703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86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7E34" w14:textId="77777777" w:rsidR="000A0E94" w:rsidRDefault="000A0E94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69157BE3" w14:textId="77777777" w:rsidR="000A0E94" w:rsidRDefault="000A0E94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83EB2FD" w14:textId="77777777" w:rsidR="000A0E94" w:rsidRDefault="000A0E94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186599F6" w14:textId="77777777" w:rsidR="000A0E94" w:rsidRPr="00896FCA" w:rsidRDefault="000A0E94" w:rsidP="000A0E94">
      <w:pPr>
        <w:jc w:val="center"/>
        <w:rPr>
          <w:rFonts w:cstheme="minorHAnsi"/>
          <w:b/>
          <w:bCs/>
          <w:color w:val="00457D"/>
        </w:rPr>
      </w:pPr>
      <w:r w:rsidRPr="00896FCA">
        <w:rPr>
          <w:rFonts w:cstheme="minorHAnsi"/>
          <w:b/>
          <w:bCs/>
          <w:color w:val="00457D"/>
        </w:rPr>
        <w:lastRenderedPageBreak/>
        <w:t xml:space="preserve">Figura </w:t>
      </w:r>
      <w:r>
        <w:rPr>
          <w:rFonts w:cstheme="minorHAnsi"/>
          <w:b/>
          <w:bCs/>
          <w:color w:val="00457D"/>
        </w:rPr>
        <w:t>3</w:t>
      </w:r>
      <w:r w:rsidRPr="00896FCA">
        <w:rPr>
          <w:rFonts w:cstheme="minorHAnsi"/>
          <w:b/>
          <w:bCs/>
          <w:color w:val="00457D"/>
        </w:rPr>
        <w:t>. Fondo sanitario nazionale effettivo vs FSN al 6,3% del PIL</w:t>
      </w:r>
    </w:p>
    <w:p w14:paraId="0CD02433" w14:textId="77777777" w:rsidR="000A0E94" w:rsidRDefault="000A0E94" w:rsidP="000A0E94">
      <w:pPr>
        <w:jc w:val="center"/>
        <w:rPr>
          <w:rFonts w:cstheme="minorHAnsi"/>
        </w:rPr>
      </w:pPr>
      <w:r>
        <w:rPr>
          <w:noProof/>
          <w:lang w:eastAsia="it-IT"/>
        </w:rPr>
        <w:drawing>
          <wp:inline distT="0" distB="0" distL="0" distR="0" wp14:anchorId="3083C2CA" wp14:editId="49D4933A">
            <wp:extent cx="5040000" cy="2831666"/>
            <wp:effectExtent l="0" t="0" r="8255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83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63FD" w14:textId="77777777" w:rsidR="000A0E94" w:rsidRDefault="000A0E94" w:rsidP="000A0E94">
      <w:pPr>
        <w:jc w:val="center"/>
        <w:rPr>
          <w:rFonts w:cstheme="minorHAnsi"/>
        </w:rPr>
      </w:pPr>
    </w:p>
    <w:p w14:paraId="0B4DA1E0" w14:textId="77777777" w:rsidR="000A0E94" w:rsidRPr="00ED12C8" w:rsidRDefault="000A0E94" w:rsidP="000A0E94">
      <w:pPr>
        <w:jc w:val="center"/>
        <w:rPr>
          <w:rFonts w:cstheme="minorHAnsi"/>
          <w:b/>
          <w:bCs/>
          <w:color w:val="00457D"/>
        </w:rPr>
      </w:pPr>
      <w:r>
        <w:rPr>
          <w:rFonts w:cstheme="minorHAnsi"/>
          <w:b/>
          <w:bCs/>
          <w:color w:val="00457D"/>
        </w:rPr>
        <w:t xml:space="preserve">Figura 4. </w:t>
      </w:r>
      <w:r w:rsidRPr="00ED12C8">
        <w:rPr>
          <w:rFonts w:cstheme="minorHAnsi"/>
          <w:b/>
          <w:bCs/>
          <w:color w:val="00457D"/>
        </w:rPr>
        <w:t>Fabbisogno Sanitario Nazionale: trend 2010-2028</w:t>
      </w:r>
    </w:p>
    <w:p w14:paraId="3C47D45C" w14:textId="77777777" w:rsidR="000A0E94" w:rsidRDefault="000A0E94" w:rsidP="000A0E94">
      <w:pPr>
        <w:spacing w:after="120"/>
        <w:jc w:val="center"/>
        <w:rPr>
          <w:rFonts w:cstheme="minorHAnsi"/>
        </w:rPr>
      </w:pPr>
      <w:r>
        <w:rPr>
          <w:noProof/>
          <w:lang w:eastAsia="it-IT"/>
        </w:rPr>
        <w:drawing>
          <wp:inline distT="0" distB="0" distL="0" distR="0" wp14:anchorId="7B20FBB9" wp14:editId="3B65D860">
            <wp:extent cx="5040000" cy="2695182"/>
            <wp:effectExtent l="0" t="0" r="825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9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A99ED" w14:textId="77777777" w:rsidR="000A0E94" w:rsidRDefault="000A0E94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6DDFDE07" w14:textId="77777777" w:rsidR="000A0E94" w:rsidRDefault="000A0E94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4055B6F1" w14:textId="77777777" w:rsidR="004511B6" w:rsidRPr="004D2E11" w:rsidRDefault="004511B6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Tabella </w:t>
      </w:r>
      <w:r w:rsidR="000A0E94">
        <w:rPr>
          <w:rFonts w:eastAsia="Calibri" w:cstheme="minorHAnsi"/>
          <w:b/>
          <w:bCs/>
          <w:color w:val="00457D"/>
          <w:sz w:val="24"/>
          <w:szCs w:val="24"/>
        </w:rPr>
        <w:t>2</w:t>
      </w:r>
      <w:r>
        <w:rPr>
          <w:rFonts w:eastAsia="Calibri" w:cstheme="minorHAnsi"/>
          <w:b/>
          <w:bCs/>
          <w:color w:val="00457D"/>
          <w:sz w:val="24"/>
          <w:szCs w:val="24"/>
        </w:rPr>
        <w:t>. M</w:t>
      </w:r>
      <w:r w:rsidRPr="00CA2619">
        <w:rPr>
          <w:rFonts w:eastAsia="Calibri" w:cstheme="minorHAnsi"/>
          <w:b/>
          <w:bCs/>
          <w:color w:val="00457D"/>
          <w:sz w:val="24"/>
          <w:szCs w:val="24"/>
        </w:rPr>
        <w:t xml:space="preserve">isure previste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dall’art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>. 6</w:t>
      </w:r>
      <w:r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  <w:r>
        <w:rPr>
          <w:rFonts w:eastAsia="Calibri" w:cstheme="minorHAnsi"/>
          <w:b/>
          <w:bCs/>
          <w:color w:val="00457D"/>
          <w:sz w:val="24"/>
          <w:szCs w:val="24"/>
        </w:rPr>
        <w:t>finanziate a valere sulle risorse stanziate dalla Legge di Bilancio 2025</w:t>
      </w:r>
    </w:p>
    <w:tbl>
      <w:tblPr>
        <w:tblW w:w="50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9"/>
        <w:gridCol w:w="907"/>
        <w:gridCol w:w="907"/>
        <w:gridCol w:w="907"/>
      </w:tblGrid>
      <w:tr w:rsidR="004511B6" w:rsidRPr="008022FF" w14:paraId="5B97F874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00457D"/>
              <w:left w:val="single" w:sz="4" w:space="0" w:color="00457D"/>
              <w:bottom w:val="single" w:sz="4" w:space="0" w:color="auto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54FFF196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MISURE</w:t>
            </w:r>
          </w:p>
        </w:tc>
        <w:tc>
          <w:tcPr>
            <w:tcW w:w="466" w:type="pct"/>
            <w:tcBorders>
              <w:top w:val="single" w:sz="4" w:space="0" w:color="00457D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79E3E693" w14:textId="77777777" w:rsidR="004511B6" w:rsidRPr="008022FF" w:rsidRDefault="004511B6" w:rsidP="009B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2026</w:t>
            </w:r>
          </w:p>
        </w:tc>
        <w:tc>
          <w:tcPr>
            <w:tcW w:w="466" w:type="pct"/>
            <w:tcBorders>
              <w:top w:val="single" w:sz="4" w:space="0" w:color="00457D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37118280" w14:textId="77777777" w:rsidR="004511B6" w:rsidRPr="008022FF" w:rsidRDefault="004511B6" w:rsidP="009B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2027</w:t>
            </w:r>
          </w:p>
        </w:tc>
        <w:tc>
          <w:tcPr>
            <w:tcW w:w="466" w:type="pct"/>
            <w:tcBorders>
              <w:top w:val="single" w:sz="4" w:space="0" w:color="00457D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35C82DF6" w14:textId="77777777" w:rsidR="004511B6" w:rsidRPr="008022FF" w:rsidRDefault="004511B6" w:rsidP="009B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2028</w:t>
            </w:r>
          </w:p>
        </w:tc>
      </w:tr>
      <w:tr w:rsidR="004511B6" w:rsidRPr="008022FF" w14:paraId="276F08BB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BEB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Ulteriore potenziamento delle misure di prevenzione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64, c. 2)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826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€ 127,0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45C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CFE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</w:tr>
      <w:tr w:rsidR="004511B6" w:rsidRPr="008022FF" w14:paraId="43EABFDE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C88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Campagne di comunicazione istituzionale sulla prevenzione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64, c. 3)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9BFF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89BD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420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€ 1,0</w:t>
            </w:r>
          </w:p>
        </w:tc>
      </w:tr>
      <w:tr w:rsidR="004511B6" w:rsidRPr="008022FF" w14:paraId="773CE35B" w14:textId="77777777" w:rsidTr="009B7AB3">
        <w:trPr>
          <w:trHeight w:val="3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563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Prestazioni aggiuntive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69, c. 5)</w:t>
            </w:r>
          </w:p>
        </w:tc>
      </w:tr>
      <w:tr w:rsidR="004511B6" w:rsidRPr="008022FF" w14:paraId="3406FF94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354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Medici dirigenti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B5A9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€ 101,9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FE3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2A0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</w:tr>
      <w:tr w:rsidR="004511B6" w:rsidRPr="008022FF" w14:paraId="1E5518B7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73D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Personale sanitario del comparto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3CC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€ 41,6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27D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F80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€ 0,0</w:t>
            </w:r>
          </w:p>
        </w:tc>
      </w:tr>
      <w:tr w:rsidR="004511B6" w:rsidRPr="008022FF" w14:paraId="2354FBE0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795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Assunzioni personale sanitario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70)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452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€ 243,0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EBC9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€ 122,0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A5E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€ 110,0</w:t>
            </w:r>
          </w:p>
        </w:tc>
      </w:tr>
      <w:tr w:rsidR="004511B6" w:rsidRPr="008022FF" w14:paraId="789BEFAA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8071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Dematerializzazione della ricetta per l’erogazione dei prodotti per celiaci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77)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E25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€ 2,0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F2AB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€ 1,0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0ED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€ 1,0</w:t>
            </w:r>
          </w:p>
        </w:tc>
      </w:tr>
      <w:tr w:rsidR="004511B6" w:rsidRPr="008022FF" w14:paraId="4E682665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61C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Ospedali di rilievo nazionale e di alta specializzazione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82)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2A2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€ 20,0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F1D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257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</w:tr>
      <w:tr w:rsidR="004511B6" w:rsidRPr="008022FF" w14:paraId="20140743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D506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Servizi di scambio transfrontaliero</w:t>
            </w:r>
            <w:r w:rsidRPr="008022F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(art. 83)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2F8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€ 1,0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259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4CB8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€ 0,8</w:t>
            </w:r>
          </w:p>
        </w:tc>
      </w:tr>
      <w:tr w:rsidR="004511B6" w:rsidRPr="008022FF" w14:paraId="3CA38BCB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5B4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Potenziamento dei servizi di telemedicina</w:t>
            </w: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(art. 85)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55B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€ 20,0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B2B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28F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€ 0,0</w:t>
            </w:r>
          </w:p>
        </w:tc>
      </w:tr>
      <w:tr w:rsidR="004511B6" w:rsidRPr="008022FF" w14:paraId="61315C7F" w14:textId="77777777" w:rsidTr="009B7AB3">
        <w:trPr>
          <w:trHeight w:val="380"/>
        </w:trPr>
        <w:tc>
          <w:tcPr>
            <w:tcW w:w="3602" w:type="pct"/>
            <w:tcBorders>
              <w:top w:val="single" w:sz="4" w:space="0" w:color="auto"/>
              <w:left w:val="single" w:sz="4" w:space="0" w:color="00457D"/>
              <w:bottom w:val="single" w:sz="4" w:space="0" w:color="FFFFFF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6936CE66" w14:textId="77777777" w:rsidR="004511B6" w:rsidRPr="008022FF" w:rsidRDefault="004511B6" w:rsidP="009B7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457D"/>
              <w:bottom w:val="single" w:sz="4" w:space="0" w:color="FFFFFF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76990F38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€ 429,5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457D"/>
              <w:bottom w:val="single" w:sz="4" w:space="0" w:color="FFFFFF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68E9D452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€ 123,8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457D"/>
              <w:bottom w:val="single" w:sz="4" w:space="0" w:color="FFFFFF"/>
              <w:right w:val="single" w:sz="4" w:space="0" w:color="FFFFFF"/>
            </w:tcBorders>
            <w:shd w:val="clear" w:color="000000" w:fill="00457D"/>
            <w:noWrap/>
            <w:vAlign w:val="bottom"/>
            <w:hideMark/>
          </w:tcPr>
          <w:p w14:paraId="6D834D17" w14:textId="77777777" w:rsidR="004511B6" w:rsidRPr="008022FF" w:rsidRDefault="004511B6" w:rsidP="009B7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8022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€ 111,8</w:t>
            </w:r>
          </w:p>
        </w:tc>
      </w:tr>
    </w:tbl>
    <w:p w14:paraId="3DB658C4" w14:textId="77777777" w:rsidR="004511B6" w:rsidRPr="00CA2619" w:rsidRDefault="004511B6" w:rsidP="004511B6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p w14:paraId="17782EDF" w14:textId="77777777" w:rsidR="004511B6" w:rsidRDefault="004511B6" w:rsidP="004511B6">
      <w:pPr>
        <w:spacing w:after="120"/>
        <w:rPr>
          <w:rFonts w:cstheme="minorHAnsi"/>
        </w:rPr>
      </w:pPr>
    </w:p>
    <w:p w14:paraId="78AAE86A" w14:textId="77777777" w:rsidR="004511B6" w:rsidRDefault="004511B6" w:rsidP="004511B6">
      <w:pPr>
        <w:spacing w:after="120"/>
        <w:rPr>
          <w:rFonts w:cstheme="minorHAnsi"/>
        </w:rPr>
      </w:pPr>
    </w:p>
    <w:p w14:paraId="4FA32EAE" w14:textId="77777777" w:rsidR="004511B6" w:rsidRDefault="004511B6" w:rsidP="004511B6">
      <w:pPr>
        <w:spacing w:after="120"/>
        <w:rPr>
          <w:rFonts w:cstheme="minorHAnsi"/>
        </w:rPr>
      </w:pPr>
    </w:p>
    <w:p w14:paraId="4242B2EF" w14:textId="77777777" w:rsidR="004511B6" w:rsidRDefault="004511B6" w:rsidP="004511B6">
      <w:pPr>
        <w:spacing w:after="120"/>
        <w:rPr>
          <w:rFonts w:cstheme="minorHAnsi"/>
        </w:rPr>
      </w:pPr>
    </w:p>
    <w:p w14:paraId="13D75FFB" w14:textId="77777777" w:rsidR="004511B6" w:rsidRDefault="004511B6" w:rsidP="004511B6">
      <w:pPr>
        <w:spacing w:after="120"/>
        <w:rPr>
          <w:rFonts w:cstheme="minorHAnsi"/>
        </w:rPr>
      </w:pPr>
    </w:p>
    <w:p w14:paraId="4889DBE7" w14:textId="77777777" w:rsidR="004511B6" w:rsidRDefault="004511B6" w:rsidP="004511B6">
      <w:pPr>
        <w:spacing w:after="120"/>
        <w:rPr>
          <w:rFonts w:cstheme="minorHAnsi"/>
        </w:rPr>
      </w:pPr>
    </w:p>
    <w:p w14:paraId="6BC5FDD7" w14:textId="77777777" w:rsidR="004511B6" w:rsidRDefault="004511B6" w:rsidP="004511B6">
      <w:pPr>
        <w:spacing w:after="120"/>
        <w:rPr>
          <w:rFonts w:cstheme="minorHAnsi"/>
        </w:rPr>
      </w:pPr>
    </w:p>
    <w:p w14:paraId="25A8018A" w14:textId="77777777" w:rsidR="004511B6" w:rsidRDefault="004511B6" w:rsidP="004511B6">
      <w:pPr>
        <w:spacing w:after="120"/>
        <w:rPr>
          <w:rFonts w:cstheme="minorHAnsi"/>
        </w:rPr>
      </w:pPr>
    </w:p>
    <w:p w14:paraId="394FDC48" w14:textId="77777777" w:rsidR="004511B6" w:rsidRDefault="004511B6" w:rsidP="004511B6">
      <w:pPr>
        <w:spacing w:after="120"/>
        <w:rPr>
          <w:rFonts w:cstheme="minorHAnsi"/>
        </w:rPr>
      </w:pPr>
    </w:p>
    <w:p w14:paraId="47C28521" w14:textId="77777777" w:rsidR="004511B6" w:rsidRDefault="004511B6" w:rsidP="004511B6">
      <w:pPr>
        <w:spacing w:after="120"/>
        <w:rPr>
          <w:rFonts w:cstheme="minorHAnsi"/>
        </w:rPr>
      </w:pPr>
    </w:p>
    <w:p w14:paraId="0C7A2E10" w14:textId="77777777" w:rsidR="004511B6" w:rsidRDefault="004511B6" w:rsidP="004511B6">
      <w:pPr>
        <w:spacing w:after="120"/>
        <w:rPr>
          <w:rFonts w:cstheme="minorHAnsi"/>
        </w:rPr>
      </w:pPr>
    </w:p>
    <w:p w14:paraId="4645E4F1" w14:textId="77777777" w:rsidR="004511B6" w:rsidRDefault="004511B6" w:rsidP="004511B6">
      <w:pPr>
        <w:spacing w:after="120"/>
        <w:rPr>
          <w:rFonts w:cstheme="minorHAnsi"/>
        </w:rPr>
      </w:pPr>
    </w:p>
    <w:p w14:paraId="026CD62F" w14:textId="77777777" w:rsidR="004511B6" w:rsidRDefault="004511B6" w:rsidP="004511B6">
      <w:pPr>
        <w:spacing w:after="120"/>
        <w:rPr>
          <w:rFonts w:cstheme="minorHAnsi"/>
        </w:rPr>
      </w:pPr>
    </w:p>
    <w:p w14:paraId="24617A61" w14:textId="77777777" w:rsidR="004511B6" w:rsidRDefault="004511B6" w:rsidP="004511B6">
      <w:pPr>
        <w:spacing w:after="120"/>
        <w:rPr>
          <w:rFonts w:cstheme="minorHAnsi"/>
        </w:rPr>
      </w:pPr>
    </w:p>
    <w:p w14:paraId="4AA0A2A6" w14:textId="77777777" w:rsidR="004511B6" w:rsidRDefault="004511B6" w:rsidP="004511B6">
      <w:pPr>
        <w:spacing w:after="120"/>
        <w:rPr>
          <w:rFonts w:cstheme="minorHAnsi"/>
        </w:rPr>
      </w:pPr>
    </w:p>
    <w:p w14:paraId="0F8C88C2" w14:textId="77777777" w:rsidR="004511B6" w:rsidRDefault="004511B6" w:rsidP="004511B6">
      <w:pPr>
        <w:spacing w:after="120"/>
        <w:rPr>
          <w:rFonts w:cstheme="minorHAnsi"/>
        </w:rPr>
      </w:pPr>
    </w:p>
    <w:p w14:paraId="1D6734C6" w14:textId="77777777" w:rsidR="004511B6" w:rsidRDefault="004511B6" w:rsidP="004511B6">
      <w:pPr>
        <w:spacing w:after="120"/>
        <w:rPr>
          <w:rFonts w:cstheme="minorHAnsi"/>
        </w:rPr>
      </w:pPr>
    </w:p>
    <w:p w14:paraId="1B604F8C" w14:textId="77777777" w:rsidR="004511B6" w:rsidRDefault="004511B6" w:rsidP="004511B6">
      <w:pPr>
        <w:spacing w:after="120"/>
        <w:rPr>
          <w:rFonts w:cstheme="minorHAnsi"/>
        </w:rPr>
      </w:pPr>
    </w:p>
    <w:p w14:paraId="58D86980" w14:textId="77777777" w:rsidR="004511B6" w:rsidRDefault="004511B6" w:rsidP="004511B6">
      <w:pPr>
        <w:spacing w:after="120"/>
        <w:rPr>
          <w:rFonts w:cstheme="minorHAnsi"/>
        </w:rPr>
      </w:pPr>
    </w:p>
    <w:p w14:paraId="015443D2" w14:textId="77777777" w:rsidR="004511B6" w:rsidRDefault="004511B6" w:rsidP="004511B6">
      <w:pPr>
        <w:spacing w:after="120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18BA8D7B" w14:textId="77777777" w:rsidR="004511B6" w:rsidRDefault="004511B6" w:rsidP="004511B6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Tabella </w:t>
      </w:r>
      <w:r w:rsidR="000A0E94">
        <w:rPr>
          <w:rFonts w:eastAsia="Calibri" w:cstheme="minorHAnsi"/>
          <w:b/>
          <w:bCs/>
          <w:color w:val="00457D"/>
          <w:sz w:val="24"/>
          <w:szCs w:val="24"/>
        </w:rPr>
        <w:t>3</w:t>
      </w:r>
      <w:r>
        <w:rPr>
          <w:rFonts w:eastAsia="Calibri" w:cstheme="minorHAnsi"/>
          <w:b/>
          <w:bCs/>
          <w:color w:val="00457D"/>
          <w:sz w:val="24"/>
          <w:szCs w:val="24"/>
        </w:rPr>
        <w:t>. M</w:t>
      </w:r>
      <w:r w:rsidRPr="00CA2619">
        <w:rPr>
          <w:rFonts w:eastAsia="Calibri" w:cstheme="minorHAnsi"/>
          <w:b/>
          <w:bCs/>
          <w:color w:val="00457D"/>
          <w:sz w:val="24"/>
          <w:szCs w:val="24"/>
        </w:rPr>
        <w:t xml:space="preserve">isure per la sanità previste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dall’art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>. 6</w:t>
      </w:r>
      <w:r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  <w:r>
        <w:rPr>
          <w:rFonts w:eastAsia="Calibri" w:cstheme="minorHAnsi"/>
          <w:b/>
          <w:bCs/>
          <w:color w:val="00457D"/>
          <w:sz w:val="24"/>
          <w:szCs w:val="24"/>
        </w:rPr>
        <w:t>finanziate dal DdL Bilancio 2026</w:t>
      </w:r>
    </w:p>
    <w:tbl>
      <w:tblPr>
        <w:tblStyle w:val="Grigliatabella2"/>
        <w:tblW w:w="9813" w:type="dxa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6799"/>
        <w:gridCol w:w="992"/>
        <w:gridCol w:w="993"/>
        <w:gridCol w:w="1029"/>
      </w:tblGrid>
      <w:tr w:rsidR="004511B6" w:rsidRPr="00AD476B" w14:paraId="538AF600" w14:textId="77777777" w:rsidTr="009B7AB3">
        <w:trPr>
          <w:trHeight w:val="380"/>
        </w:trPr>
        <w:tc>
          <w:tcPr>
            <w:tcW w:w="6799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47D27862" w14:textId="77777777" w:rsidR="004511B6" w:rsidRPr="00AD476B" w:rsidRDefault="004511B6" w:rsidP="009B7AB3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Rifinanziamento del Servizio Sanitario Nazionale 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(art. 6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70611EA1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8E0F28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2027</w:t>
            </w:r>
          </w:p>
        </w:tc>
        <w:tc>
          <w:tcPr>
            <w:tcW w:w="102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48C548E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2028</w:t>
            </w:r>
          </w:p>
        </w:tc>
      </w:tr>
      <w:tr w:rsidR="004511B6" w:rsidRPr="00AD476B" w14:paraId="5DA724EB" w14:textId="77777777" w:rsidTr="009B7AB3">
        <w:trPr>
          <w:trHeight w:val="380"/>
        </w:trPr>
        <w:tc>
          <w:tcPr>
            <w:tcW w:w="6799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50C324C" w14:textId="77777777" w:rsidR="004511B6" w:rsidRPr="00AD476B" w:rsidRDefault="004511B6" w:rsidP="009B7AB3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FF24E5A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€ 2.400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DB483C6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71301BC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</w:tr>
      <w:tr w:rsidR="004511B6" w:rsidRPr="00AD476B" w14:paraId="05D1FD00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040340B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Alzheimer e altre patologie di demenza senile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. c 2)</w:t>
            </w:r>
          </w:p>
        </w:tc>
        <w:tc>
          <w:tcPr>
            <w:tcW w:w="992" w:type="dxa"/>
            <w:vAlign w:val="center"/>
          </w:tcPr>
          <w:p w14:paraId="6A1980A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6F6A889F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1029" w:type="dxa"/>
            <w:vAlign w:val="center"/>
          </w:tcPr>
          <w:p w14:paraId="65082DCD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</w:tr>
      <w:tr w:rsidR="004511B6" w:rsidRPr="00AD476B" w14:paraId="68273BFC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3E38F36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Obiettivi sanitari di carattere prioritario e di rilievo nazionale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5)</w:t>
            </w:r>
          </w:p>
        </w:tc>
        <w:tc>
          <w:tcPr>
            <w:tcW w:w="992" w:type="dxa"/>
            <w:vAlign w:val="center"/>
          </w:tcPr>
          <w:p w14:paraId="2BF9FCE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€ 206</w:t>
            </w:r>
          </w:p>
        </w:tc>
        <w:tc>
          <w:tcPr>
            <w:tcW w:w="993" w:type="dxa"/>
            <w:vAlign w:val="center"/>
          </w:tcPr>
          <w:p w14:paraId="30674404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€ 17</w:t>
            </w:r>
          </w:p>
        </w:tc>
        <w:tc>
          <w:tcPr>
            <w:tcW w:w="1029" w:type="dxa"/>
            <w:vAlign w:val="center"/>
          </w:tcPr>
          <w:p w14:paraId="04A9261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€ 60</w:t>
            </w:r>
          </w:p>
        </w:tc>
      </w:tr>
      <w:tr w:rsidR="004511B6" w:rsidRPr="00AD476B" w14:paraId="0CEFCC1A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44352783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c.1)</w:t>
            </w:r>
          </w:p>
        </w:tc>
        <w:tc>
          <w:tcPr>
            <w:tcW w:w="992" w:type="dxa"/>
            <w:vAlign w:val="center"/>
          </w:tcPr>
          <w:p w14:paraId="463994D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993" w:type="dxa"/>
            <w:vAlign w:val="center"/>
          </w:tcPr>
          <w:p w14:paraId="2A0F1A07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1029" w:type="dxa"/>
            <w:vAlign w:val="center"/>
          </w:tcPr>
          <w:p w14:paraId="20663AF0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</w:tr>
      <w:tr w:rsidR="004511B6" w:rsidRPr="00AD476B" w14:paraId="0DB04D1F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675BCC9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Ulteriore potenziamento delle 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 2)</w:t>
            </w:r>
          </w:p>
        </w:tc>
        <w:tc>
          <w:tcPr>
            <w:tcW w:w="992" w:type="dxa"/>
            <w:vAlign w:val="center"/>
          </w:tcPr>
          <w:p w14:paraId="4DD865D4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€ 120</w:t>
            </w:r>
            <w:r w:rsidRPr="00AD476B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3" w:type="dxa"/>
            <w:vAlign w:val="center"/>
          </w:tcPr>
          <w:p w14:paraId="01C744B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54A30980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4511B6" w:rsidRPr="00AD476B" w14:paraId="4430F01C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3F8B4BAB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Campagne di comunicazione istituzionale sulla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3)</w:t>
            </w:r>
          </w:p>
        </w:tc>
        <w:tc>
          <w:tcPr>
            <w:tcW w:w="992" w:type="dxa"/>
            <w:vAlign w:val="center"/>
          </w:tcPr>
          <w:p w14:paraId="5DE2BBC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5E4BC220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1B631BDF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4511B6" w:rsidRPr="00AD476B" w14:paraId="7B00C399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2478418F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Piano nazionale di azioni per la salute mentale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1)</w:t>
            </w:r>
          </w:p>
        </w:tc>
        <w:tc>
          <w:tcPr>
            <w:tcW w:w="992" w:type="dxa"/>
            <w:vAlign w:val="center"/>
          </w:tcPr>
          <w:p w14:paraId="3477C731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€ 80</w:t>
            </w:r>
          </w:p>
        </w:tc>
        <w:tc>
          <w:tcPr>
            <w:tcW w:w="993" w:type="dxa"/>
            <w:vAlign w:val="center"/>
          </w:tcPr>
          <w:p w14:paraId="72217E23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09F0EEA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€ 90</w:t>
            </w:r>
          </w:p>
        </w:tc>
      </w:tr>
      <w:tr w:rsidR="004511B6" w:rsidRPr="00AD476B" w14:paraId="16CA6B49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75CCE99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Funzionamento degli Istituti zooprofilattici sperimentali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E6EB3E6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993" w:type="dxa"/>
            <w:vAlign w:val="center"/>
          </w:tcPr>
          <w:p w14:paraId="27F8631C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1029" w:type="dxa"/>
            <w:vAlign w:val="center"/>
          </w:tcPr>
          <w:p w14:paraId="7EFEFA04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</w:tr>
      <w:tr w:rsidR="004511B6" w:rsidRPr="00AD476B" w14:paraId="71D03385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E827E7F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Tariffe DRG per acuti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c, 1)</w:t>
            </w:r>
          </w:p>
        </w:tc>
        <w:tc>
          <w:tcPr>
            <w:tcW w:w="992" w:type="dxa"/>
            <w:vAlign w:val="center"/>
          </w:tcPr>
          <w:p w14:paraId="1F3BCA12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3C3D8CC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  <w:tc>
          <w:tcPr>
            <w:tcW w:w="1029" w:type="dxa"/>
            <w:vAlign w:val="center"/>
          </w:tcPr>
          <w:p w14:paraId="1B60F629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</w:tr>
      <w:tr w:rsidR="004511B6" w:rsidRPr="00AD476B" w14:paraId="7775E040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5B557119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Prestazioni di assistenza specialistica ambulatoriale e di assistenza protesica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77E0A89E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00B19BC1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  <w:tc>
          <w:tcPr>
            <w:tcW w:w="1029" w:type="dxa"/>
            <w:vAlign w:val="center"/>
          </w:tcPr>
          <w:p w14:paraId="38B0F363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</w:tr>
      <w:tr w:rsidR="004511B6" w:rsidRPr="00AD476B" w14:paraId="03794DFD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0028E0E7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Farmacia dei servizi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8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3B48B5E4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6F76B99A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38BB4600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4511B6" w:rsidRPr="00AD476B" w14:paraId="390E9AB8" w14:textId="77777777" w:rsidTr="009B7AB3">
        <w:trPr>
          <w:trHeight w:val="380"/>
        </w:trPr>
        <w:tc>
          <w:tcPr>
            <w:tcW w:w="9813" w:type="dxa"/>
            <w:gridSpan w:val="4"/>
            <w:vAlign w:val="center"/>
          </w:tcPr>
          <w:p w14:paraId="5FB18A2C" w14:textId="77777777" w:rsidR="004511B6" w:rsidRPr="000C7EF3" w:rsidRDefault="004511B6" w:rsidP="009B7AB3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Indennità del personale del SSN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4511B6" w:rsidRPr="00AD476B" w14:paraId="77BBB5E7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00524B6E" w14:textId="77777777" w:rsidR="004511B6" w:rsidRPr="000C7EF3" w:rsidRDefault="004511B6" w:rsidP="009B7AB3">
            <w:pPr>
              <w:suppressAutoHyphens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medica e veterinaria (c.1)</w:t>
            </w:r>
          </w:p>
        </w:tc>
        <w:tc>
          <w:tcPr>
            <w:tcW w:w="992" w:type="dxa"/>
            <w:vAlign w:val="center"/>
          </w:tcPr>
          <w:p w14:paraId="7024727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993" w:type="dxa"/>
            <w:vAlign w:val="center"/>
          </w:tcPr>
          <w:p w14:paraId="4148C961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2062574C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</w:tr>
      <w:tr w:rsidR="004511B6" w:rsidRPr="00AD476B" w14:paraId="0BCE09B2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73E6111" w14:textId="77777777" w:rsidR="004511B6" w:rsidRPr="000C7EF3" w:rsidRDefault="004511B6" w:rsidP="009B7AB3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Infermieri (c.2)</w:t>
            </w:r>
          </w:p>
        </w:tc>
        <w:tc>
          <w:tcPr>
            <w:tcW w:w="992" w:type="dxa"/>
            <w:vAlign w:val="center"/>
          </w:tcPr>
          <w:p w14:paraId="2F1EB6A6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993" w:type="dxa"/>
            <w:vAlign w:val="center"/>
          </w:tcPr>
          <w:p w14:paraId="4851C051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1029" w:type="dxa"/>
            <w:vAlign w:val="center"/>
          </w:tcPr>
          <w:p w14:paraId="034BBE3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</w:tr>
      <w:tr w:rsidR="004511B6" w:rsidRPr="00AD476B" w14:paraId="23B17610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A56BBD8" w14:textId="77777777" w:rsidR="004511B6" w:rsidRPr="000C7EF3" w:rsidRDefault="004511B6" w:rsidP="009B7AB3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sanitaria non medica (c. 3)</w:t>
            </w:r>
          </w:p>
        </w:tc>
        <w:tc>
          <w:tcPr>
            <w:tcW w:w="992" w:type="dxa"/>
            <w:vAlign w:val="center"/>
          </w:tcPr>
          <w:p w14:paraId="6C71378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993" w:type="dxa"/>
            <w:vAlign w:val="center"/>
          </w:tcPr>
          <w:p w14:paraId="4E6D3B7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1029" w:type="dxa"/>
            <w:vAlign w:val="center"/>
          </w:tcPr>
          <w:p w14:paraId="4F8E5DC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</w:tr>
      <w:tr w:rsidR="004511B6" w:rsidRPr="00AD476B" w14:paraId="7E978BAA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A0B0F90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</w:t>
            </w:r>
            <w:r w:rsidRPr="00A75D6C">
              <w:rPr>
                <w:rFonts w:cstheme="minorHAnsi"/>
                <w:spacing w:val="-2"/>
                <w:sz w:val="20"/>
                <w:szCs w:val="20"/>
              </w:rPr>
              <w:t xml:space="preserve">Altre professioni sanitarie e operatori socio-sanitari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(c.</w:t>
            </w:r>
            <w:r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14:paraId="4560F9A7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993" w:type="dxa"/>
            <w:vAlign w:val="center"/>
          </w:tcPr>
          <w:p w14:paraId="34565C8D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1029" w:type="dxa"/>
            <w:vAlign w:val="center"/>
          </w:tcPr>
          <w:p w14:paraId="702961BD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</w:tr>
      <w:tr w:rsidR="004511B6" w:rsidRPr="00AD476B" w14:paraId="7616F569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16D5EA47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Assunzioni personale sanitario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>
              <w:rPr>
                <w:rFonts w:cstheme="minorHAnsi"/>
                <w:bCs/>
                <w:sz w:val="20"/>
                <w:szCs w:val="20"/>
              </w:rPr>
              <w:t>70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7896077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€ 207</w:t>
            </w:r>
          </w:p>
        </w:tc>
        <w:tc>
          <w:tcPr>
            <w:tcW w:w="993" w:type="dxa"/>
            <w:vAlign w:val="center"/>
          </w:tcPr>
          <w:p w14:paraId="5C46715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€ 328</w:t>
            </w:r>
          </w:p>
        </w:tc>
        <w:tc>
          <w:tcPr>
            <w:tcW w:w="1029" w:type="dxa"/>
            <w:vAlign w:val="center"/>
          </w:tcPr>
          <w:p w14:paraId="15764A8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€ 340</w:t>
            </w:r>
          </w:p>
        </w:tc>
      </w:tr>
      <w:tr w:rsidR="004511B6" w:rsidRPr="00AD476B" w14:paraId="38DD9D9D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9D1B674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Valorizzazione del personale operante nei servizi di pronto soccorso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D515CFA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 N.D.</w:t>
            </w:r>
          </w:p>
        </w:tc>
        <w:tc>
          <w:tcPr>
            <w:tcW w:w="993" w:type="dxa"/>
            <w:vAlign w:val="center"/>
          </w:tcPr>
          <w:p w14:paraId="2568BEAF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  <w:tc>
          <w:tcPr>
            <w:tcW w:w="1029" w:type="dxa"/>
            <w:vAlign w:val="center"/>
          </w:tcPr>
          <w:p w14:paraId="3E680D93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</w:tr>
      <w:tr w:rsidR="004511B6" w:rsidRPr="00AD476B" w14:paraId="0DE70B32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28F46861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Cure palliative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3550AA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 w:rsidRPr="00AD476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085C7F0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 w:rsidRPr="00AD476B">
              <w:rPr>
                <w:sz w:val="20"/>
                <w:szCs w:val="20"/>
              </w:rPr>
              <w:t>0</w:t>
            </w:r>
          </w:p>
        </w:tc>
        <w:tc>
          <w:tcPr>
            <w:tcW w:w="1029" w:type="dxa"/>
            <w:vAlign w:val="center"/>
          </w:tcPr>
          <w:p w14:paraId="175408EC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 w:rsidRPr="00AD476B">
              <w:rPr>
                <w:sz w:val="20"/>
                <w:szCs w:val="20"/>
              </w:rPr>
              <w:t>0</w:t>
            </w:r>
          </w:p>
        </w:tc>
      </w:tr>
      <w:tr w:rsidR="004511B6" w:rsidRPr="00AD476B" w14:paraId="420D776F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3A53F3F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Adeguamento piattaforme informatiche INPS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5785C0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993" w:type="dxa"/>
            <w:vAlign w:val="center"/>
          </w:tcPr>
          <w:p w14:paraId="156F7A66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1029" w:type="dxa"/>
            <w:vAlign w:val="center"/>
          </w:tcPr>
          <w:p w14:paraId="70B74636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</w:tr>
      <w:tr w:rsidR="004511B6" w:rsidRPr="00AD476B" w14:paraId="72D4999E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19ABB3DE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Dematerializzazione della ricetta per l’erogazione dei prodotti per celiaci 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(art. 7</w:t>
            </w:r>
            <w:r>
              <w:rPr>
                <w:rFonts w:cstheme="minorHAnsi"/>
                <w:bCs/>
                <w:spacing w:val="-2"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B201D9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4A1D2BA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5C20D69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4511B6" w:rsidRPr="00AD476B" w14:paraId="189F9FA0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611648E5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A75D6C">
              <w:rPr>
                <w:rFonts w:cstheme="minorHAnsi"/>
                <w:b/>
                <w:bCs/>
                <w:sz w:val="20"/>
                <w:szCs w:val="20"/>
              </w:rPr>
              <w:t xml:space="preserve">Rideterminazione dei tetti della spesa farmaceutica </w:t>
            </w:r>
            <w:r w:rsidRPr="00A75D6C">
              <w:rPr>
                <w:rFonts w:cstheme="minorHAnsi"/>
                <w:sz w:val="20"/>
                <w:szCs w:val="20"/>
              </w:rPr>
              <w:t>(art. 78, c.1)</w:t>
            </w:r>
          </w:p>
        </w:tc>
        <w:tc>
          <w:tcPr>
            <w:tcW w:w="992" w:type="dxa"/>
            <w:vAlign w:val="center"/>
          </w:tcPr>
          <w:p w14:paraId="2EF754D4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3</w:t>
            </w:r>
            <w:r w:rsidRPr="00AD476B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617E287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€ 350</w:t>
            </w:r>
          </w:p>
        </w:tc>
        <w:tc>
          <w:tcPr>
            <w:tcW w:w="1029" w:type="dxa"/>
            <w:vAlign w:val="center"/>
          </w:tcPr>
          <w:p w14:paraId="3FE39388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€ 350</w:t>
            </w:r>
          </w:p>
        </w:tc>
      </w:tr>
      <w:tr w:rsidR="004511B6" w:rsidRPr="00AD476B" w14:paraId="4422479A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3EBB8116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per il finanziamento dell'Ospedale pediatrico Bambino Gesù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A53F92B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428AA7BC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5C51AB37" w14:textId="77777777" w:rsidR="004511B6" w:rsidRPr="00AD476B" w:rsidRDefault="004511B6" w:rsidP="009B7AB3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4511B6" w:rsidRPr="00AD476B" w14:paraId="6DC7E25A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221CAFD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Spesa per l’acquisto di dispositivi medici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>
              <w:rPr>
                <w:rFonts w:cstheme="minorHAnsi"/>
                <w:bCs/>
                <w:sz w:val="20"/>
                <w:szCs w:val="20"/>
              </w:rPr>
              <w:t>80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5754945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993" w:type="dxa"/>
            <w:vAlign w:val="center"/>
          </w:tcPr>
          <w:p w14:paraId="4F888B3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1029" w:type="dxa"/>
            <w:vAlign w:val="center"/>
          </w:tcPr>
          <w:p w14:paraId="4450E0A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</w:tr>
      <w:tr w:rsidR="004511B6" w:rsidRPr="00AD476B" w14:paraId="11FB4BAD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2843758E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Acquisto di prestazioni sanitarie da soggetti privati accreditati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F01A0ED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14:paraId="3C8783D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123</w:t>
            </w:r>
          </w:p>
        </w:tc>
        <w:tc>
          <w:tcPr>
            <w:tcW w:w="1029" w:type="dxa"/>
            <w:vAlign w:val="center"/>
          </w:tcPr>
          <w:p w14:paraId="35DA47A5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123</w:t>
            </w:r>
          </w:p>
        </w:tc>
      </w:tr>
      <w:tr w:rsidR="004511B6" w:rsidRPr="00AD476B" w14:paraId="0F4DC2CE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092F14E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Ospedali di rilievo nazionale e di alta specializzazione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04025C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47F671F3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547E60A0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4511B6" w:rsidRPr="00AD476B" w14:paraId="206EB426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353702CC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Servizi di scambio transfrontaliero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A731B29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4CE5BF9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  <w:tc>
          <w:tcPr>
            <w:tcW w:w="1029" w:type="dxa"/>
            <w:vAlign w:val="center"/>
          </w:tcPr>
          <w:p w14:paraId="24F32F6A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</w:tr>
      <w:tr w:rsidR="004511B6" w:rsidRPr="00AD476B" w14:paraId="22B4675D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5201E9F3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Potenziamento dei servizi di telemedicina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85)</w:t>
            </w:r>
          </w:p>
        </w:tc>
        <w:tc>
          <w:tcPr>
            <w:tcW w:w="992" w:type="dxa"/>
            <w:vAlign w:val="center"/>
          </w:tcPr>
          <w:p w14:paraId="2E78E872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6F7A16BB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39C7026A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4511B6" w:rsidRPr="00AD476B" w14:paraId="6D370600" w14:textId="77777777" w:rsidTr="009B7AB3">
        <w:trPr>
          <w:trHeight w:val="380"/>
        </w:trPr>
        <w:tc>
          <w:tcPr>
            <w:tcW w:w="6799" w:type="dxa"/>
            <w:vAlign w:val="center"/>
          </w:tcPr>
          <w:p w14:paraId="7DEE1FDE" w14:textId="77777777" w:rsidR="004511B6" w:rsidRPr="000C7EF3" w:rsidRDefault="004511B6" w:rsidP="009B7AB3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Fondo destinato ai bambini affetti da malattie oncologiche e misure in materia di epilessia farmacoresistente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9</w:t>
            </w:r>
            <w:r>
              <w:rPr>
                <w:rFonts w:cstheme="minorHAnsi"/>
                <w:bCs/>
                <w:sz w:val="20"/>
                <w:szCs w:val="20"/>
              </w:rPr>
              <w:t>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349739F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23E56ADD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1029" w:type="dxa"/>
            <w:vAlign w:val="center"/>
          </w:tcPr>
          <w:p w14:paraId="33415A6E" w14:textId="77777777" w:rsidR="004511B6" w:rsidRPr="00AD476B" w:rsidRDefault="004511B6" w:rsidP="009B7AB3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</w:tr>
      <w:tr w:rsidR="004511B6" w:rsidRPr="000C7EF3" w14:paraId="3325189B" w14:textId="77777777" w:rsidTr="009B7AB3">
        <w:trPr>
          <w:trHeight w:val="340"/>
        </w:trPr>
        <w:tc>
          <w:tcPr>
            <w:tcW w:w="9813" w:type="dxa"/>
            <w:gridSpan w:val="4"/>
            <w:tcBorders>
              <w:bottom w:val="single" w:sz="4" w:space="0" w:color="FFFFFF" w:themeColor="background1"/>
            </w:tcBorders>
            <w:vAlign w:val="bottom"/>
          </w:tcPr>
          <w:p w14:paraId="72EE183F" w14:textId="77777777" w:rsidR="004511B6" w:rsidRPr="000C7EF3" w:rsidRDefault="004511B6" w:rsidP="009B7AB3">
            <w:pPr>
              <w:suppressAutoHyphens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0C7EF3">
              <w:rPr>
                <w:i/>
                <w:iCs/>
                <w:sz w:val="20"/>
                <w:szCs w:val="20"/>
              </w:rPr>
              <w:t>Dati in milioni</w:t>
            </w:r>
          </w:p>
        </w:tc>
      </w:tr>
      <w:tr w:rsidR="004511B6" w:rsidRPr="00AD476B" w14:paraId="68A77E54" w14:textId="77777777" w:rsidTr="009B7AB3">
        <w:trPr>
          <w:trHeight w:val="380"/>
        </w:trPr>
        <w:tc>
          <w:tcPr>
            <w:tcW w:w="9813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12DC58E" w14:textId="77777777" w:rsidR="004511B6" w:rsidRPr="00AD476B" w:rsidRDefault="004511B6" w:rsidP="009B7AB3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1</w:t>
            </w:r>
            <w:r w:rsidRPr="00AD476B">
              <w:rPr>
                <w:sz w:val="20"/>
                <w:szCs w:val="20"/>
              </w:rPr>
              <w:t xml:space="preserve">In aggiunta ai € 127 milioni </w:t>
            </w:r>
            <w:r>
              <w:rPr>
                <w:sz w:val="20"/>
                <w:szCs w:val="20"/>
              </w:rPr>
              <w:t>assegnati</w:t>
            </w:r>
            <w:r w:rsidRPr="00AD476B">
              <w:rPr>
                <w:sz w:val="20"/>
                <w:szCs w:val="20"/>
              </w:rPr>
              <w:t xml:space="preserve"> dalla Legge di Bilancio 2025</w:t>
            </w:r>
          </w:p>
          <w:p w14:paraId="4400AADB" w14:textId="77777777" w:rsidR="004511B6" w:rsidRPr="00AD476B" w:rsidRDefault="004511B6" w:rsidP="009B7AB3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2</w:t>
            </w:r>
            <w:r w:rsidRPr="00AD476B">
              <w:rPr>
                <w:sz w:val="20"/>
                <w:szCs w:val="20"/>
              </w:rPr>
              <w:t xml:space="preserve">In aggiunta ai € 243 milioni per il 2026, € 122 milioni per i 2027 e € 110 milioni per il 2028 </w:t>
            </w:r>
            <w:r>
              <w:rPr>
                <w:sz w:val="20"/>
                <w:szCs w:val="20"/>
              </w:rPr>
              <w:t>assegnati</w:t>
            </w:r>
            <w:r w:rsidRPr="00AD476B">
              <w:rPr>
                <w:sz w:val="20"/>
                <w:szCs w:val="20"/>
              </w:rPr>
              <w:t xml:space="preserve"> dalla Legge di Bilancio 2025</w:t>
            </w:r>
          </w:p>
        </w:tc>
      </w:tr>
    </w:tbl>
    <w:p w14:paraId="7CA6567F" w14:textId="77777777" w:rsidR="004511B6" w:rsidRDefault="004511B6" w:rsidP="004511B6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bookmarkEnd w:id="1"/>
    <w:p w14:paraId="14513B41" w14:textId="77777777" w:rsidR="006057CE" w:rsidRDefault="006057CE" w:rsidP="001A4439">
      <w:pPr>
        <w:spacing w:after="0"/>
        <w:rPr>
          <w:rFonts w:eastAsia="Calibri" w:cstheme="minorHAnsi"/>
          <w:b/>
          <w:bCs/>
          <w:color w:val="00457D"/>
        </w:rPr>
        <w:sectPr w:rsidR="006057CE" w:rsidSect="005D780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5ADC7F" w14:textId="77777777" w:rsidR="00B413E9" w:rsidRPr="00F60D04" w:rsidRDefault="00B413E9" w:rsidP="00C7306D">
      <w:pPr>
        <w:spacing w:after="0"/>
        <w:rPr>
          <w:rFonts w:eastAsia="Calibri" w:cstheme="minorHAnsi"/>
          <w:b/>
          <w:bCs/>
          <w:color w:val="00457D"/>
        </w:rPr>
      </w:pPr>
    </w:p>
    <w:sectPr w:rsidR="00B413E9" w:rsidRPr="00F60D04" w:rsidSect="0039730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8192BC" w16cid:durableId="2CB32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CD9B" w14:textId="77777777" w:rsidR="002B0F82" w:rsidRDefault="002B0F82" w:rsidP="00ED0CFD">
      <w:pPr>
        <w:spacing w:after="0" w:line="240" w:lineRule="auto"/>
      </w:pPr>
      <w:r>
        <w:separator/>
      </w:r>
    </w:p>
  </w:endnote>
  <w:endnote w:type="continuationSeparator" w:id="0">
    <w:p w14:paraId="1A13C8E5" w14:textId="77777777" w:rsidR="002B0F82" w:rsidRDefault="002B0F82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66FCD" w14:textId="77777777" w:rsidR="00895397" w:rsidRDefault="008953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B1F8" w14:textId="77777777" w:rsidR="00895397" w:rsidRDefault="008953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60634" w14:textId="77777777" w:rsidR="00895397" w:rsidRDefault="008953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C098" w14:textId="77777777" w:rsidR="002B0F82" w:rsidRDefault="002B0F82" w:rsidP="00ED0CFD">
      <w:pPr>
        <w:spacing w:after="0" w:line="240" w:lineRule="auto"/>
      </w:pPr>
      <w:r>
        <w:separator/>
      </w:r>
    </w:p>
  </w:footnote>
  <w:footnote w:type="continuationSeparator" w:id="0">
    <w:p w14:paraId="18AB092D" w14:textId="77777777" w:rsidR="002B0F82" w:rsidRDefault="002B0F82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D8F4" w14:textId="77777777" w:rsidR="00895397" w:rsidRDefault="008953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A7A7B" w14:textId="1E2DD2C0" w:rsidR="00895397" w:rsidRPr="00F44E42" w:rsidRDefault="00895397" w:rsidP="00F44E42">
    <w:pPr>
      <w:pStyle w:val="Intestazione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0992" w14:textId="77777777" w:rsidR="00895397" w:rsidRDefault="008953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2237"/>
    <w:multiLevelType w:val="multilevel"/>
    <w:tmpl w:val="8A9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84538"/>
    <w:multiLevelType w:val="hybridMultilevel"/>
    <w:tmpl w:val="4EB265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D7B"/>
    <w:rsid w:val="00002AAC"/>
    <w:rsid w:val="00002C1B"/>
    <w:rsid w:val="00002EC3"/>
    <w:rsid w:val="00003615"/>
    <w:rsid w:val="00003744"/>
    <w:rsid w:val="00003F78"/>
    <w:rsid w:val="000042B2"/>
    <w:rsid w:val="00004B0A"/>
    <w:rsid w:val="00005664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46FF"/>
    <w:rsid w:val="00015D8E"/>
    <w:rsid w:val="000170A0"/>
    <w:rsid w:val="00017968"/>
    <w:rsid w:val="00017FB4"/>
    <w:rsid w:val="00020006"/>
    <w:rsid w:val="00021B81"/>
    <w:rsid w:val="00021D7F"/>
    <w:rsid w:val="000239FE"/>
    <w:rsid w:val="00023D8A"/>
    <w:rsid w:val="00024F8A"/>
    <w:rsid w:val="000252D2"/>
    <w:rsid w:val="00025ADB"/>
    <w:rsid w:val="00025FA4"/>
    <w:rsid w:val="0003112C"/>
    <w:rsid w:val="00034188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410A"/>
    <w:rsid w:val="00046B2C"/>
    <w:rsid w:val="0004703D"/>
    <w:rsid w:val="00047D8B"/>
    <w:rsid w:val="00051F7A"/>
    <w:rsid w:val="000520CC"/>
    <w:rsid w:val="00053C8D"/>
    <w:rsid w:val="00053EBE"/>
    <w:rsid w:val="0005402C"/>
    <w:rsid w:val="00054250"/>
    <w:rsid w:val="00054CC5"/>
    <w:rsid w:val="00055180"/>
    <w:rsid w:val="0005529E"/>
    <w:rsid w:val="00055AE9"/>
    <w:rsid w:val="00055D27"/>
    <w:rsid w:val="0005693E"/>
    <w:rsid w:val="000602AA"/>
    <w:rsid w:val="00063813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3868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E94"/>
    <w:rsid w:val="000A0FC3"/>
    <w:rsid w:val="000A10CF"/>
    <w:rsid w:val="000A1367"/>
    <w:rsid w:val="000A2084"/>
    <w:rsid w:val="000A226B"/>
    <w:rsid w:val="000A3932"/>
    <w:rsid w:val="000A471C"/>
    <w:rsid w:val="000A4C27"/>
    <w:rsid w:val="000A58EB"/>
    <w:rsid w:val="000A62A9"/>
    <w:rsid w:val="000A6EB6"/>
    <w:rsid w:val="000A7B66"/>
    <w:rsid w:val="000B07B0"/>
    <w:rsid w:val="000B07D1"/>
    <w:rsid w:val="000B12EB"/>
    <w:rsid w:val="000B185F"/>
    <w:rsid w:val="000B1C52"/>
    <w:rsid w:val="000B2168"/>
    <w:rsid w:val="000B2E57"/>
    <w:rsid w:val="000B3A46"/>
    <w:rsid w:val="000B50CD"/>
    <w:rsid w:val="000B6DD0"/>
    <w:rsid w:val="000B710C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D02E4"/>
    <w:rsid w:val="000D1377"/>
    <w:rsid w:val="000D17FB"/>
    <w:rsid w:val="000D25AC"/>
    <w:rsid w:val="000D2AE0"/>
    <w:rsid w:val="000D37C1"/>
    <w:rsid w:val="000D3C58"/>
    <w:rsid w:val="000D44D4"/>
    <w:rsid w:val="000D5771"/>
    <w:rsid w:val="000D5893"/>
    <w:rsid w:val="000D6150"/>
    <w:rsid w:val="000D7252"/>
    <w:rsid w:val="000D7A72"/>
    <w:rsid w:val="000D7D83"/>
    <w:rsid w:val="000D7F45"/>
    <w:rsid w:val="000E0D27"/>
    <w:rsid w:val="000E2CC8"/>
    <w:rsid w:val="000E2E4F"/>
    <w:rsid w:val="000E65F5"/>
    <w:rsid w:val="000E6B01"/>
    <w:rsid w:val="000E7CC2"/>
    <w:rsid w:val="000E7DE3"/>
    <w:rsid w:val="000F0B1B"/>
    <w:rsid w:val="000F0BBD"/>
    <w:rsid w:val="000F10F8"/>
    <w:rsid w:val="000F1BEA"/>
    <w:rsid w:val="000F39EF"/>
    <w:rsid w:val="000F5C0F"/>
    <w:rsid w:val="000F63AF"/>
    <w:rsid w:val="0010059E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5039"/>
    <w:rsid w:val="001167D9"/>
    <w:rsid w:val="0011796A"/>
    <w:rsid w:val="00117F68"/>
    <w:rsid w:val="00120465"/>
    <w:rsid w:val="00120DEC"/>
    <w:rsid w:val="0012322D"/>
    <w:rsid w:val="00123473"/>
    <w:rsid w:val="00125838"/>
    <w:rsid w:val="00125C6A"/>
    <w:rsid w:val="001262A5"/>
    <w:rsid w:val="00127AEF"/>
    <w:rsid w:val="00130907"/>
    <w:rsid w:val="001317CF"/>
    <w:rsid w:val="00132082"/>
    <w:rsid w:val="00134A6D"/>
    <w:rsid w:val="00134C8C"/>
    <w:rsid w:val="00135D93"/>
    <w:rsid w:val="0013620E"/>
    <w:rsid w:val="00137A73"/>
    <w:rsid w:val="00142460"/>
    <w:rsid w:val="00143689"/>
    <w:rsid w:val="00143F81"/>
    <w:rsid w:val="00144377"/>
    <w:rsid w:val="00144B49"/>
    <w:rsid w:val="00144F94"/>
    <w:rsid w:val="001458FE"/>
    <w:rsid w:val="001465C6"/>
    <w:rsid w:val="001471AF"/>
    <w:rsid w:val="001504F4"/>
    <w:rsid w:val="00150EF3"/>
    <w:rsid w:val="00151E5F"/>
    <w:rsid w:val="0015229D"/>
    <w:rsid w:val="00153985"/>
    <w:rsid w:val="00154086"/>
    <w:rsid w:val="00155161"/>
    <w:rsid w:val="00155751"/>
    <w:rsid w:val="001560D3"/>
    <w:rsid w:val="001617D2"/>
    <w:rsid w:val="00161DB8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3BB7"/>
    <w:rsid w:val="00173DF0"/>
    <w:rsid w:val="0017405D"/>
    <w:rsid w:val="001748BA"/>
    <w:rsid w:val="0017496A"/>
    <w:rsid w:val="00181DC0"/>
    <w:rsid w:val="00182F55"/>
    <w:rsid w:val="0018554D"/>
    <w:rsid w:val="00185694"/>
    <w:rsid w:val="00185966"/>
    <w:rsid w:val="00185B9F"/>
    <w:rsid w:val="00186FCE"/>
    <w:rsid w:val="00192DAD"/>
    <w:rsid w:val="00192F75"/>
    <w:rsid w:val="00193485"/>
    <w:rsid w:val="00193F19"/>
    <w:rsid w:val="00194C03"/>
    <w:rsid w:val="00196C2D"/>
    <w:rsid w:val="001A038D"/>
    <w:rsid w:val="001A2B0C"/>
    <w:rsid w:val="001A3E0D"/>
    <w:rsid w:val="001A3E96"/>
    <w:rsid w:val="001A4439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143D"/>
    <w:rsid w:val="001C167E"/>
    <w:rsid w:val="001C367A"/>
    <w:rsid w:val="001C43F9"/>
    <w:rsid w:val="001C4562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1523"/>
    <w:rsid w:val="001E1854"/>
    <w:rsid w:val="001E1E52"/>
    <w:rsid w:val="001E42B9"/>
    <w:rsid w:val="001E53AB"/>
    <w:rsid w:val="001E6902"/>
    <w:rsid w:val="001F0746"/>
    <w:rsid w:val="001F1C35"/>
    <w:rsid w:val="001F20B8"/>
    <w:rsid w:val="001F22DB"/>
    <w:rsid w:val="001F568E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A4B"/>
    <w:rsid w:val="00211D1A"/>
    <w:rsid w:val="00213763"/>
    <w:rsid w:val="00216226"/>
    <w:rsid w:val="00216F04"/>
    <w:rsid w:val="00220D18"/>
    <w:rsid w:val="0022389A"/>
    <w:rsid w:val="00223F01"/>
    <w:rsid w:val="00224E88"/>
    <w:rsid w:val="00224EF1"/>
    <w:rsid w:val="00227E91"/>
    <w:rsid w:val="002304E3"/>
    <w:rsid w:val="0023195E"/>
    <w:rsid w:val="002328C6"/>
    <w:rsid w:val="00233DCB"/>
    <w:rsid w:val="00233EF5"/>
    <w:rsid w:val="002349C3"/>
    <w:rsid w:val="0023515D"/>
    <w:rsid w:val="00235FC2"/>
    <w:rsid w:val="00236116"/>
    <w:rsid w:val="00236239"/>
    <w:rsid w:val="0023633F"/>
    <w:rsid w:val="0023771D"/>
    <w:rsid w:val="00237CA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35F4"/>
    <w:rsid w:val="00253A7D"/>
    <w:rsid w:val="00254FF5"/>
    <w:rsid w:val="002551A1"/>
    <w:rsid w:val="0025636B"/>
    <w:rsid w:val="002571A3"/>
    <w:rsid w:val="00260A01"/>
    <w:rsid w:val="00261479"/>
    <w:rsid w:val="00262274"/>
    <w:rsid w:val="00262D92"/>
    <w:rsid w:val="00265450"/>
    <w:rsid w:val="00265B05"/>
    <w:rsid w:val="00265F6C"/>
    <w:rsid w:val="00266561"/>
    <w:rsid w:val="00266E0C"/>
    <w:rsid w:val="00266E1A"/>
    <w:rsid w:val="00267635"/>
    <w:rsid w:val="00270A49"/>
    <w:rsid w:val="002723FC"/>
    <w:rsid w:val="0027468B"/>
    <w:rsid w:val="002762A4"/>
    <w:rsid w:val="00281794"/>
    <w:rsid w:val="00282655"/>
    <w:rsid w:val="00282DAE"/>
    <w:rsid w:val="0028369A"/>
    <w:rsid w:val="00284792"/>
    <w:rsid w:val="00285433"/>
    <w:rsid w:val="00287105"/>
    <w:rsid w:val="00287452"/>
    <w:rsid w:val="00290375"/>
    <w:rsid w:val="002914F8"/>
    <w:rsid w:val="00291602"/>
    <w:rsid w:val="00291DFC"/>
    <w:rsid w:val="00291E15"/>
    <w:rsid w:val="00293854"/>
    <w:rsid w:val="0029392F"/>
    <w:rsid w:val="00294781"/>
    <w:rsid w:val="00295416"/>
    <w:rsid w:val="00297583"/>
    <w:rsid w:val="002A0718"/>
    <w:rsid w:val="002A1ECA"/>
    <w:rsid w:val="002A1FE0"/>
    <w:rsid w:val="002A2034"/>
    <w:rsid w:val="002A21F1"/>
    <w:rsid w:val="002A3232"/>
    <w:rsid w:val="002A3CD4"/>
    <w:rsid w:val="002A538A"/>
    <w:rsid w:val="002A5A93"/>
    <w:rsid w:val="002A6F12"/>
    <w:rsid w:val="002B0F82"/>
    <w:rsid w:val="002B12E6"/>
    <w:rsid w:val="002B1329"/>
    <w:rsid w:val="002B2CE2"/>
    <w:rsid w:val="002B7295"/>
    <w:rsid w:val="002B7C26"/>
    <w:rsid w:val="002B7F03"/>
    <w:rsid w:val="002C0B56"/>
    <w:rsid w:val="002C0B93"/>
    <w:rsid w:val="002C0BE4"/>
    <w:rsid w:val="002C0F1B"/>
    <w:rsid w:val="002C4190"/>
    <w:rsid w:val="002C433C"/>
    <w:rsid w:val="002C4460"/>
    <w:rsid w:val="002C4581"/>
    <w:rsid w:val="002C5187"/>
    <w:rsid w:val="002C5517"/>
    <w:rsid w:val="002C7967"/>
    <w:rsid w:val="002D02BA"/>
    <w:rsid w:val="002D1354"/>
    <w:rsid w:val="002D196A"/>
    <w:rsid w:val="002D1A9D"/>
    <w:rsid w:val="002D1CBC"/>
    <w:rsid w:val="002D2C39"/>
    <w:rsid w:val="002D390F"/>
    <w:rsid w:val="002D48A6"/>
    <w:rsid w:val="002D4D2D"/>
    <w:rsid w:val="002D61E1"/>
    <w:rsid w:val="002D6AD0"/>
    <w:rsid w:val="002D7409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412E"/>
    <w:rsid w:val="002F4170"/>
    <w:rsid w:val="002F4530"/>
    <w:rsid w:val="002F4586"/>
    <w:rsid w:val="002F605D"/>
    <w:rsid w:val="002F6DC5"/>
    <w:rsid w:val="00300EF7"/>
    <w:rsid w:val="00305113"/>
    <w:rsid w:val="00306B44"/>
    <w:rsid w:val="00310511"/>
    <w:rsid w:val="00310654"/>
    <w:rsid w:val="003109FD"/>
    <w:rsid w:val="00311603"/>
    <w:rsid w:val="003119DB"/>
    <w:rsid w:val="00311E5C"/>
    <w:rsid w:val="003121F3"/>
    <w:rsid w:val="00312539"/>
    <w:rsid w:val="00313AD1"/>
    <w:rsid w:val="003149A9"/>
    <w:rsid w:val="00314A83"/>
    <w:rsid w:val="00315407"/>
    <w:rsid w:val="00315734"/>
    <w:rsid w:val="0031648A"/>
    <w:rsid w:val="0031698B"/>
    <w:rsid w:val="0031755E"/>
    <w:rsid w:val="0032033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237"/>
    <w:rsid w:val="00331B49"/>
    <w:rsid w:val="00331F29"/>
    <w:rsid w:val="00333119"/>
    <w:rsid w:val="00333A1D"/>
    <w:rsid w:val="00334417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7675"/>
    <w:rsid w:val="00347BD4"/>
    <w:rsid w:val="00347CD5"/>
    <w:rsid w:val="00350B80"/>
    <w:rsid w:val="00351462"/>
    <w:rsid w:val="00351B97"/>
    <w:rsid w:val="00353E36"/>
    <w:rsid w:val="003540DC"/>
    <w:rsid w:val="003554E0"/>
    <w:rsid w:val="00355B64"/>
    <w:rsid w:val="00355DBF"/>
    <w:rsid w:val="00356991"/>
    <w:rsid w:val="003576FF"/>
    <w:rsid w:val="00357F80"/>
    <w:rsid w:val="0036003F"/>
    <w:rsid w:val="003602E2"/>
    <w:rsid w:val="003622B7"/>
    <w:rsid w:val="0036304D"/>
    <w:rsid w:val="003631B2"/>
    <w:rsid w:val="00363764"/>
    <w:rsid w:val="0036462F"/>
    <w:rsid w:val="00366B36"/>
    <w:rsid w:val="00366D58"/>
    <w:rsid w:val="00367A4B"/>
    <w:rsid w:val="00372887"/>
    <w:rsid w:val="00373EDC"/>
    <w:rsid w:val="00374404"/>
    <w:rsid w:val="003752A0"/>
    <w:rsid w:val="00375C4D"/>
    <w:rsid w:val="0037629E"/>
    <w:rsid w:val="00380A73"/>
    <w:rsid w:val="00380DD7"/>
    <w:rsid w:val="00381E8E"/>
    <w:rsid w:val="00382F29"/>
    <w:rsid w:val="00384AF1"/>
    <w:rsid w:val="00385A79"/>
    <w:rsid w:val="00386324"/>
    <w:rsid w:val="00386385"/>
    <w:rsid w:val="00386798"/>
    <w:rsid w:val="00387555"/>
    <w:rsid w:val="0039006E"/>
    <w:rsid w:val="0039084E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6F18"/>
    <w:rsid w:val="0039730F"/>
    <w:rsid w:val="0039786B"/>
    <w:rsid w:val="003978DA"/>
    <w:rsid w:val="003A13B4"/>
    <w:rsid w:val="003A3AF0"/>
    <w:rsid w:val="003A47A3"/>
    <w:rsid w:val="003A72AE"/>
    <w:rsid w:val="003B04B0"/>
    <w:rsid w:val="003B1262"/>
    <w:rsid w:val="003B231B"/>
    <w:rsid w:val="003B2F0B"/>
    <w:rsid w:val="003B34E6"/>
    <w:rsid w:val="003B3769"/>
    <w:rsid w:val="003B436C"/>
    <w:rsid w:val="003B4A8D"/>
    <w:rsid w:val="003B4EFB"/>
    <w:rsid w:val="003B5D7A"/>
    <w:rsid w:val="003B72C4"/>
    <w:rsid w:val="003C276B"/>
    <w:rsid w:val="003C3908"/>
    <w:rsid w:val="003C404D"/>
    <w:rsid w:val="003C48B6"/>
    <w:rsid w:val="003C4D0F"/>
    <w:rsid w:val="003C6764"/>
    <w:rsid w:val="003C6B6D"/>
    <w:rsid w:val="003C7C89"/>
    <w:rsid w:val="003D06AF"/>
    <w:rsid w:val="003D0F35"/>
    <w:rsid w:val="003D23F8"/>
    <w:rsid w:val="003D4318"/>
    <w:rsid w:val="003D4DA4"/>
    <w:rsid w:val="003D58EA"/>
    <w:rsid w:val="003D5F92"/>
    <w:rsid w:val="003D6200"/>
    <w:rsid w:val="003D66C8"/>
    <w:rsid w:val="003D6B2B"/>
    <w:rsid w:val="003E0375"/>
    <w:rsid w:val="003E2B21"/>
    <w:rsid w:val="003E4422"/>
    <w:rsid w:val="003E4FF7"/>
    <w:rsid w:val="003E5D9E"/>
    <w:rsid w:val="003E7EEF"/>
    <w:rsid w:val="003F0358"/>
    <w:rsid w:val="003F11CA"/>
    <w:rsid w:val="003F1AAC"/>
    <w:rsid w:val="003F35EF"/>
    <w:rsid w:val="003F3B35"/>
    <w:rsid w:val="003F470F"/>
    <w:rsid w:val="003F4D39"/>
    <w:rsid w:val="003F5B78"/>
    <w:rsid w:val="003F72AB"/>
    <w:rsid w:val="004011FF"/>
    <w:rsid w:val="00402689"/>
    <w:rsid w:val="00404750"/>
    <w:rsid w:val="00404BE7"/>
    <w:rsid w:val="004052B2"/>
    <w:rsid w:val="00405B21"/>
    <w:rsid w:val="00405C0C"/>
    <w:rsid w:val="00405FC1"/>
    <w:rsid w:val="00405FFB"/>
    <w:rsid w:val="00406F4B"/>
    <w:rsid w:val="00410B03"/>
    <w:rsid w:val="00410B6F"/>
    <w:rsid w:val="004115E0"/>
    <w:rsid w:val="00411F08"/>
    <w:rsid w:val="00412253"/>
    <w:rsid w:val="0041320C"/>
    <w:rsid w:val="004146E8"/>
    <w:rsid w:val="00415770"/>
    <w:rsid w:val="00415FC6"/>
    <w:rsid w:val="004173A2"/>
    <w:rsid w:val="004179EB"/>
    <w:rsid w:val="004235B1"/>
    <w:rsid w:val="00423722"/>
    <w:rsid w:val="00424784"/>
    <w:rsid w:val="00425BA5"/>
    <w:rsid w:val="00425CC1"/>
    <w:rsid w:val="00426711"/>
    <w:rsid w:val="00427102"/>
    <w:rsid w:val="00430270"/>
    <w:rsid w:val="00430387"/>
    <w:rsid w:val="004303BA"/>
    <w:rsid w:val="00433F53"/>
    <w:rsid w:val="00434060"/>
    <w:rsid w:val="00436E44"/>
    <w:rsid w:val="00437173"/>
    <w:rsid w:val="0043755D"/>
    <w:rsid w:val="0044012A"/>
    <w:rsid w:val="00441D52"/>
    <w:rsid w:val="00442312"/>
    <w:rsid w:val="004432F6"/>
    <w:rsid w:val="004443BE"/>
    <w:rsid w:val="004446C5"/>
    <w:rsid w:val="00446775"/>
    <w:rsid w:val="004469F9"/>
    <w:rsid w:val="00446D56"/>
    <w:rsid w:val="00446F85"/>
    <w:rsid w:val="004511B6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775E"/>
    <w:rsid w:val="0047009B"/>
    <w:rsid w:val="004707D9"/>
    <w:rsid w:val="00470D92"/>
    <w:rsid w:val="00472CFC"/>
    <w:rsid w:val="00475510"/>
    <w:rsid w:val="0047586E"/>
    <w:rsid w:val="00475D67"/>
    <w:rsid w:val="00476B9B"/>
    <w:rsid w:val="00480464"/>
    <w:rsid w:val="00480E9D"/>
    <w:rsid w:val="004813BB"/>
    <w:rsid w:val="00485168"/>
    <w:rsid w:val="004851ED"/>
    <w:rsid w:val="0048588A"/>
    <w:rsid w:val="00487C49"/>
    <w:rsid w:val="00487D31"/>
    <w:rsid w:val="00490397"/>
    <w:rsid w:val="00490692"/>
    <w:rsid w:val="00494AD0"/>
    <w:rsid w:val="004952D7"/>
    <w:rsid w:val="00495C7D"/>
    <w:rsid w:val="00496108"/>
    <w:rsid w:val="00496192"/>
    <w:rsid w:val="00496F13"/>
    <w:rsid w:val="00497373"/>
    <w:rsid w:val="00497823"/>
    <w:rsid w:val="00497E27"/>
    <w:rsid w:val="004A0830"/>
    <w:rsid w:val="004A0E05"/>
    <w:rsid w:val="004A11C7"/>
    <w:rsid w:val="004A18D7"/>
    <w:rsid w:val="004A1B26"/>
    <w:rsid w:val="004A49DD"/>
    <w:rsid w:val="004A4A39"/>
    <w:rsid w:val="004A4A80"/>
    <w:rsid w:val="004A5489"/>
    <w:rsid w:val="004B0C50"/>
    <w:rsid w:val="004B7AD5"/>
    <w:rsid w:val="004C17CB"/>
    <w:rsid w:val="004C20EC"/>
    <w:rsid w:val="004C3A98"/>
    <w:rsid w:val="004C420E"/>
    <w:rsid w:val="004C6C35"/>
    <w:rsid w:val="004C7929"/>
    <w:rsid w:val="004C7B3B"/>
    <w:rsid w:val="004D0248"/>
    <w:rsid w:val="004D0BDF"/>
    <w:rsid w:val="004D3A0B"/>
    <w:rsid w:val="004D469E"/>
    <w:rsid w:val="004D4B67"/>
    <w:rsid w:val="004D4F66"/>
    <w:rsid w:val="004D6DAE"/>
    <w:rsid w:val="004D7D30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70AD"/>
    <w:rsid w:val="004E7D7F"/>
    <w:rsid w:val="004E7F6A"/>
    <w:rsid w:val="004F064A"/>
    <w:rsid w:val="004F0FD3"/>
    <w:rsid w:val="004F1D5B"/>
    <w:rsid w:val="004F3ABE"/>
    <w:rsid w:val="004F3F3B"/>
    <w:rsid w:val="004F3FEB"/>
    <w:rsid w:val="004F5454"/>
    <w:rsid w:val="004F5B37"/>
    <w:rsid w:val="004F6AEC"/>
    <w:rsid w:val="005014CD"/>
    <w:rsid w:val="00501793"/>
    <w:rsid w:val="00502DF3"/>
    <w:rsid w:val="00505BFD"/>
    <w:rsid w:val="00505C4E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35FA"/>
    <w:rsid w:val="005151BE"/>
    <w:rsid w:val="0051541C"/>
    <w:rsid w:val="00517913"/>
    <w:rsid w:val="005204CB"/>
    <w:rsid w:val="0052211A"/>
    <w:rsid w:val="00522208"/>
    <w:rsid w:val="005240BD"/>
    <w:rsid w:val="00524404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5A6B"/>
    <w:rsid w:val="00536FE8"/>
    <w:rsid w:val="005371B9"/>
    <w:rsid w:val="00537869"/>
    <w:rsid w:val="005419E9"/>
    <w:rsid w:val="00541DC9"/>
    <w:rsid w:val="00542475"/>
    <w:rsid w:val="00543256"/>
    <w:rsid w:val="005440CF"/>
    <w:rsid w:val="0054498A"/>
    <w:rsid w:val="0054516B"/>
    <w:rsid w:val="005458FE"/>
    <w:rsid w:val="00545910"/>
    <w:rsid w:val="00546397"/>
    <w:rsid w:val="00550757"/>
    <w:rsid w:val="00550C9C"/>
    <w:rsid w:val="00551444"/>
    <w:rsid w:val="005516A8"/>
    <w:rsid w:val="00552B8F"/>
    <w:rsid w:val="005533C4"/>
    <w:rsid w:val="00554741"/>
    <w:rsid w:val="0055482E"/>
    <w:rsid w:val="005602F8"/>
    <w:rsid w:val="00560786"/>
    <w:rsid w:val="00560B81"/>
    <w:rsid w:val="005621C6"/>
    <w:rsid w:val="0056268F"/>
    <w:rsid w:val="00564802"/>
    <w:rsid w:val="005653D8"/>
    <w:rsid w:val="00565C3C"/>
    <w:rsid w:val="005661CB"/>
    <w:rsid w:val="00566974"/>
    <w:rsid w:val="00567623"/>
    <w:rsid w:val="0057085B"/>
    <w:rsid w:val="00570C6B"/>
    <w:rsid w:val="0057169A"/>
    <w:rsid w:val="00571AA7"/>
    <w:rsid w:val="005723B3"/>
    <w:rsid w:val="00572DF6"/>
    <w:rsid w:val="00573388"/>
    <w:rsid w:val="00573AB6"/>
    <w:rsid w:val="005748C4"/>
    <w:rsid w:val="00577D77"/>
    <w:rsid w:val="0058054F"/>
    <w:rsid w:val="00580725"/>
    <w:rsid w:val="005807CD"/>
    <w:rsid w:val="005811B9"/>
    <w:rsid w:val="00581CAA"/>
    <w:rsid w:val="005821F9"/>
    <w:rsid w:val="0058245E"/>
    <w:rsid w:val="00583C1D"/>
    <w:rsid w:val="00584397"/>
    <w:rsid w:val="0058608A"/>
    <w:rsid w:val="00586657"/>
    <w:rsid w:val="0058695B"/>
    <w:rsid w:val="00586FDE"/>
    <w:rsid w:val="00587B6A"/>
    <w:rsid w:val="00587C9B"/>
    <w:rsid w:val="00587F5D"/>
    <w:rsid w:val="00590E5A"/>
    <w:rsid w:val="005940D1"/>
    <w:rsid w:val="00594E34"/>
    <w:rsid w:val="00595908"/>
    <w:rsid w:val="00596B3D"/>
    <w:rsid w:val="005A0477"/>
    <w:rsid w:val="005A06E6"/>
    <w:rsid w:val="005A07E1"/>
    <w:rsid w:val="005A1BC7"/>
    <w:rsid w:val="005A2279"/>
    <w:rsid w:val="005A2BB7"/>
    <w:rsid w:val="005A3A8D"/>
    <w:rsid w:val="005A4ADA"/>
    <w:rsid w:val="005A6F2F"/>
    <w:rsid w:val="005A7757"/>
    <w:rsid w:val="005B283E"/>
    <w:rsid w:val="005B2D6F"/>
    <w:rsid w:val="005B3A18"/>
    <w:rsid w:val="005B41AA"/>
    <w:rsid w:val="005B4F61"/>
    <w:rsid w:val="005B57EF"/>
    <w:rsid w:val="005B6905"/>
    <w:rsid w:val="005B724E"/>
    <w:rsid w:val="005C0B5C"/>
    <w:rsid w:val="005C5968"/>
    <w:rsid w:val="005C5E8F"/>
    <w:rsid w:val="005C7707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EE9"/>
    <w:rsid w:val="005E2F7A"/>
    <w:rsid w:val="005E37DA"/>
    <w:rsid w:val="005E4206"/>
    <w:rsid w:val="005E4217"/>
    <w:rsid w:val="005E485F"/>
    <w:rsid w:val="005F011F"/>
    <w:rsid w:val="005F023A"/>
    <w:rsid w:val="005F049E"/>
    <w:rsid w:val="005F2729"/>
    <w:rsid w:val="005F2A98"/>
    <w:rsid w:val="005F3758"/>
    <w:rsid w:val="005F71F9"/>
    <w:rsid w:val="006002AA"/>
    <w:rsid w:val="006031F5"/>
    <w:rsid w:val="006033AD"/>
    <w:rsid w:val="006057CE"/>
    <w:rsid w:val="0060698B"/>
    <w:rsid w:val="00611C67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21AD"/>
    <w:rsid w:val="0062275E"/>
    <w:rsid w:val="00624351"/>
    <w:rsid w:val="0062554E"/>
    <w:rsid w:val="00630230"/>
    <w:rsid w:val="00630BEB"/>
    <w:rsid w:val="00631233"/>
    <w:rsid w:val="006316F4"/>
    <w:rsid w:val="0063197E"/>
    <w:rsid w:val="00633689"/>
    <w:rsid w:val="00634739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732B"/>
    <w:rsid w:val="00647993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6E2"/>
    <w:rsid w:val="006707F5"/>
    <w:rsid w:val="00670AD9"/>
    <w:rsid w:val="006713C2"/>
    <w:rsid w:val="00671713"/>
    <w:rsid w:val="00672EDC"/>
    <w:rsid w:val="00673AE4"/>
    <w:rsid w:val="00673B51"/>
    <w:rsid w:val="0067402D"/>
    <w:rsid w:val="006759A1"/>
    <w:rsid w:val="00675CCA"/>
    <w:rsid w:val="00675E56"/>
    <w:rsid w:val="0067632C"/>
    <w:rsid w:val="00677740"/>
    <w:rsid w:val="00677934"/>
    <w:rsid w:val="00677A85"/>
    <w:rsid w:val="006805A5"/>
    <w:rsid w:val="006809F1"/>
    <w:rsid w:val="00680B51"/>
    <w:rsid w:val="006821E3"/>
    <w:rsid w:val="00684686"/>
    <w:rsid w:val="00685B14"/>
    <w:rsid w:val="00685DB6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3404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55BE"/>
    <w:rsid w:val="006B57A0"/>
    <w:rsid w:val="006B5E7A"/>
    <w:rsid w:val="006B62B7"/>
    <w:rsid w:val="006B6956"/>
    <w:rsid w:val="006C087D"/>
    <w:rsid w:val="006C09E3"/>
    <w:rsid w:val="006C0A34"/>
    <w:rsid w:val="006C28DF"/>
    <w:rsid w:val="006C2E4C"/>
    <w:rsid w:val="006C30A0"/>
    <w:rsid w:val="006C3647"/>
    <w:rsid w:val="006C3B4B"/>
    <w:rsid w:val="006C41FF"/>
    <w:rsid w:val="006C4E62"/>
    <w:rsid w:val="006C6AAB"/>
    <w:rsid w:val="006C7C8E"/>
    <w:rsid w:val="006D0D45"/>
    <w:rsid w:val="006D1D72"/>
    <w:rsid w:val="006D26DC"/>
    <w:rsid w:val="006D27F0"/>
    <w:rsid w:val="006D2EBE"/>
    <w:rsid w:val="006D30E8"/>
    <w:rsid w:val="006D502F"/>
    <w:rsid w:val="006D5067"/>
    <w:rsid w:val="006D5713"/>
    <w:rsid w:val="006D6623"/>
    <w:rsid w:val="006D72B9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3EB0"/>
    <w:rsid w:val="006F5C05"/>
    <w:rsid w:val="006F5E1D"/>
    <w:rsid w:val="006F6ADA"/>
    <w:rsid w:val="006F707F"/>
    <w:rsid w:val="006F70DE"/>
    <w:rsid w:val="00701DCC"/>
    <w:rsid w:val="0070270B"/>
    <w:rsid w:val="0070382E"/>
    <w:rsid w:val="0070459E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568"/>
    <w:rsid w:val="00714EA4"/>
    <w:rsid w:val="00715755"/>
    <w:rsid w:val="00715A96"/>
    <w:rsid w:val="00720199"/>
    <w:rsid w:val="0072122E"/>
    <w:rsid w:val="007232BF"/>
    <w:rsid w:val="00723781"/>
    <w:rsid w:val="00723B85"/>
    <w:rsid w:val="00723D1E"/>
    <w:rsid w:val="007250D3"/>
    <w:rsid w:val="007257B8"/>
    <w:rsid w:val="00727A83"/>
    <w:rsid w:val="00730A03"/>
    <w:rsid w:val="0073174A"/>
    <w:rsid w:val="00732468"/>
    <w:rsid w:val="00732503"/>
    <w:rsid w:val="007333BE"/>
    <w:rsid w:val="007335A8"/>
    <w:rsid w:val="00735079"/>
    <w:rsid w:val="0073593C"/>
    <w:rsid w:val="00736A14"/>
    <w:rsid w:val="00737013"/>
    <w:rsid w:val="0073764E"/>
    <w:rsid w:val="00737DDD"/>
    <w:rsid w:val="00741006"/>
    <w:rsid w:val="007412FD"/>
    <w:rsid w:val="00743AC6"/>
    <w:rsid w:val="00744072"/>
    <w:rsid w:val="00747D3C"/>
    <w:rsid w:val="0075099D"/>
    <w:rsid w:val="00750E1A"/>
    <w:rsid w:val="00752052"/>
    <w:rsid w:val="00754D59"/>
    <w:rsid w:val="00754EA3"/>
    <w:rsid w:val="00756B84"/>
    <w:rsid w:val="00757880"/>
    <w:rsid w:val="00757A75"/>
    <w:rsid w:val="00757B7B"/>
    <w:rsid w:val="00760136"/>
    <w:rsid w:val="00760496"/>
    <w:rsid w:val="0076053B"/>
    <w:rsid w:val="007622E3"/>
    <w:rsid w:val="00762B0D"/>
    <w:rsid w:val="00763FB0"/>
    <w:rsid w:val="007644E5"/>
    <w:rsid w:val="00765150"/>
    <w:rsid w:val="00766DD2"/>
    <w:rsid w:val="007675EB"/>
    <w:rsid w:val="00770D2D"/>
    <w:rsid w:val="00770D5D"/>
    <w:rsid w:val="00771FBC"/>
    <w:rsid w:val="007722B6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5B9B"/>
    <w:rsid w:val="0078737D"/>
    <w:rsid w:val="00787F94"/>
    <w:rsid w:val="00790464"/>
    <w:rsid w:val="00791D81"/>
    <w:rsid w:val="0079362D"/>
    <w:rsid w:val="007939B6"/>
    <w:rsid w:val="00794997"/>
    <w:rsid w:val="0079622D"/>
    <w:rsid w:val="007964C7"/>
    <w:rsid w:val="007A35B4"/>
    <w:rsid w:val="007A4846"/>
    <w:rsid w:val="007A4969"/>
    <w:rsid w:val="007A5746"/>
    <w:rsid w:val="007A66DF"/>
    <w:rsid w:val="007A6D9A"/>
    <w:rsid w:val="007A6FD9"/>
    <w:rsid w:val="007A763A"/>
    <w:rsid w:val="007A7C15"/>
    <w:rsid w:val="007B01D2"/>
    <w:rsid w:val="007B05F7"/>
    <w:rsid w:val="007B0717"/>
    <w:rsid w:val="007B14C5"/>
    <w:rsid w:val="007B1924"/>
    <w:rsid w:val="007B199A"/>
    <w:rsid w:val="007B1BA6"/>
    <w:rsid w:val="007B1EBA"/>
    <w:rsid w:val="007B2669"/>
    <w:rsid w:val="007B3720"/>
    <w:rsid w:val="007B48F8"/>
    <w:rsid w:val="007B51E6"/>
    <w:rsid w:val="007B53A9"/>
    <w:rsid w:val="007B55B5"/>
    <w:rsid w:val="007B5624"/>
    <w:rsid w:val="007B6CC9"/>
    <w:rsid w:val="007C249E"/>
    <w:rsid w:val="007C3D92"/>
    <w:rsid w:val="007C5420"/>
    <w:rsid w:val="007C6133"/>
    <w:rsid w:val="007D06C0"/>
    <w:rsid w:val="007D076E"/>
    <w:rsid w:val="007D1008"/>
    <w:rsid w:val="007D1B67"/>
    <w:rsid w:val="007D241A"/>
    <w:rsid w:val="007D2672"/>
    <w:rsid w:val="007D3F3A"/>
    <w:rsid w:val="007D4B6B"/>
    <w:rsid w:val="007D62DC"/>
    <w:rsid w:val="007D6B1D"/>
    <w:rsid w:val="007D7930"/>
    <w:rsid w:val="007D7CCF"/>
    <w:rsid w:val="007E0965"/>
    <w:rsid w:val="007E2D8A"/>
    <w:rsid w:val="007E58BF"/>
    <w:rsid w:val="007E67C0"/>
    <w:rsid w:val="007E728E"/>
    <w:rsid w:val="007E784C"/>
    <w:rsid w:val="007F0756"/>
    <w:rsid w:val="007F130A"/>
    <w:rsid w:val="007F1525"/>
    <w:rsid w:val="007F1C0D"/>
    <w:rsid w:val="007F1E22"/>
    <w:rsid w:val="007F3D4F"/>
    <w:rsid w:val="007F46C8"/>
    <w:rsid w:val="007F52BD"/>
    <w:rsid w:val="007F5D18"/>
    <w:rsid w:val="00801420"/>
    <w:rsid w:val="0080197C"/>
    <w:rsid w:val="00802069"/>
    <w:rsid w:val="008025DC"/>
    <w:rsid w:val="00802652"/>
    <w:rsid w:val="00802D8D"/>
    <w:rsid w:val="00803C62"/>
    <w:rsid w:val="00806DED"/>
    <w:rsid w:val="00806EB6"/>
    <w:rsid w:val="00806EC8"/>
    <w:rsid w:val="00807BF9"/>
    <w:rsid w:val="00807EEF"/>
    <w:rsid w:val="008135C7"/>
    <w:rsid w:val="00814CE9"/>
    <w:rsid w:val="00815D4F"/>
    <w:rsid w:val="00815D73"/>
    <w:rsid w:val="00816728"/>
    <w:rsid w:val="00816DAA"/>
    <w:rsid w:val="008176D9"/>
    <w:rsid w:val="00817D1E"/>
    <w:rsid w:val="00817DDD"/>
    <w:rsid w:val="00820BE1"/>
    <w:rsid w:val="00825BCB"/>
    <w:rsid w:val="0082609D"/>
    <w:rsid w:val="008270A6"/>
    <w:rsid w:val="008277E5"/>
    <w:rsid w:val="00827BB7"/>
    <w:rsid w:val="00831988"/>
    <w:rsid w:val="00832233"/>
    <w:rsid w:val="00832428"/>
    <w:rsid w:val="00832BDC"/>
    <w:rsid w:val="008335D7"/>
    <w:rsid w:val="0083364D"/>
    <w:rsid w:val="00833E10"/>
    <w:rsid w:val="00834059"/>
    <w:rsid w:val="008340F1"/>
    <w:rsid w:val="00834A4A"/>
    <w:rsid w:val="008352B1"/>
    <w:rsid w:val="0083539A"/>
    <w:rsid w:val="0083564F"/>
    <w:rsid w:val="008356C6"/>
    <w:rsid w:val="0083673F"/>
    <w:rsid w:val="0083695E"/>
    <w:rsid w:val="008379ED"/>
    <w:rsid w:val="00837B9C"/>
    <w:rsid w:val="008409F8"/>
    <w:rsid w:val="00841E0B"/>
    <w:rsid w:val="008421FA"/>
    <w:rsid w:val="00844028"/>
    <w:rsid w:val="0084493B"/>
    <w:rsid w:val="00844B59"/>
    <w:rsid w:val="00844F82"/>
    <w:rsid w:val="00845D51"/>
    <w:rsid w:val="008469EE"/>
    <w:rsid w:val="00851085"/>
    <w:rsid w:val="008513F9"/>
    <w:rsid w:val="008521CA"/>
    <w:rsid w:val="00852852"/>
    <w:rsid w:val="0085300C"/>
    <w:rsid w:val="008532B7"/>
    <w:rsid w:val="008566B3"/>
    <w:rsid w:val="00856765"/>
    <w:rsid w:val="008567CE"/>
    <w:rsid w:val="0085760A"/>
    <w:rsid w:val="00862746"/>
    <w:rsid w:val="008638C5"/>
    <w:rsid w:val="00864335"/>
    <w:rsid w:val="008660A5"/>
    <w:rsid w:val="00867247"/>
    <w:rsid w:val="00867980"/>
    <w:rsid w:val="00867AEB"/>
    <w:rsid w:val="008727DE"/>
    <w:rsid w:val="008737DB"/>
    <w:rsid w:val="008775A4"/>
    <w:rsid w:val="008809B6"/>
    <w:rsid w:val="00881122"/>
    <w:rsid w:val="00881AF4"/>
    <w:rsid w:val="008826A3"/>
    <w:rsid w:val="008834FE"/>
    <w:rsid w:val="0088387D"/>
    <w:rsid w:val="00883BC1"/>
    <w:rsid w:val="00884AE7"/>
    <w:rsid w:val="0088568F"/>
    <w:rsid w:val="00886263"/>
    <w:rsid w:val="00886365"/>
    <w:rsid w:val="00890070"/>
    <w:rsid w:val="00890405"/>
    <w:rsid w:val="008920DC"/>
    <w:rsid w:val="008927EE"/>
    <w:rsid w:val="00892C6D"/>
    <w:rsid w:val="00895397"/>
    <w:rsid w:val="008956D1"/>
    <w:rsid w:val="008957EF"/>
    <w:rsid w:val="00895BB6"/>
    <w:rsid w:val="008963AE"/>
    <w:rsid w:val="00896FCA"/>
    <w:rsid w:val="008972B2"/>
    <w:rsid w:val="008976A1"/>
    <w:rsid w:val="00897928"/>
    <w:rsid w:val="00897CA1"/>
    <w:rsid w:val="008A065B"/>
    <w:rsid w:val="008A0BDA"/>
    <w:rsid w:val="008A0E25"/>
    <w:rsid w:val="008A1766"/>
    <w:rsid w:val="008A1D53"/>
    <w:rsid w:val="008A2949"/>
    <w:rsid w:val="008A433C"/>
    <w:rsid w:val="008A49C8"/>
    <w:rsid w:val="008A5013"/>
    <w:rsid w:val="008A6231"/>
    <w:rsid w:val="008B0CEC"/>
    <w:rsid w:val="008B2BA7"/>
    <w:rsid w:val="008B3494"/>
    <w:rsid w:val="008B3612"/>
    <w:rsid w:val="008B4960"/>
    <w:rsid w:val="008B5FC3"/>
    <w:rsid w:val="008B6370"/>
    <w:rsid w:val="008B7022"/>
    <w:rsid w:val="008B743F"/>
    <w:rsid w:val="008C0A82"/>
    <w:rsid w:val="008C4980"/>
    <w:rsid w:val="008C55C7"/>
    <w:rsid w:val="008C5798"/>
    <w:rsid w:val="008C63DB"/>
    <w:rsid w:val="008D0A73"/>
    <w:rsid w:val="008D0FDD"/>
    <w:rsid w:val="008D1B70"/>
    <w:rsid w:val="008D2BDD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62DE"/>
    <w:rsid w:val="008E6744"/>
    <w:rsid w:val="008E78E9"/>
    <w:rsid w:val="008F1521"/>
    <w:rsid w:val="008F1906"/>
    <w:rsid w:val="008F1F12"/>
    <w:rsid w:val="008F2550"/>
    <w:rsid w:val="008F2BFA"/>
    <w:rsid w:val="008F2E54"/>
    <w:rsid w:val="008F43E5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FBD"/>
    <w:rsid w:val="00906DD1"/>
    <w:rsid w:val="009117A8"/>
    <w:rsid w:val="00914BD8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307D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46CA"/>
    <w:rsid w:val="009353AC"/>
    <w:rsid w:val="009360C0"/>
    <w:rsid w:val="0093653B"/>
    <w:rsid w:val="00936FF7"/>
    <w:rsid w:val="0093731E"/>
    <w:rsid w:val="00937550"/>
    <w:rsid w:val="00937B56"/>
    <w:rsid w:val="00937F6B"/>
    <w:rsid w:val="0094028A"/>
    <w:rsid w:val="0094183B"/>
    <w:rsid w:val="0094417E"/>
    <w:rsid w:val="00947084"/>
    <w:rsid w:val="00947A7B"/>
    <w:rsid w:val="00947FBD"/>
    <w:rsid w:val="00951A4B"/>
    <w:rsid w:val="0095258E"/>
    <w:rsid w:val="0095482F"/>
    <w:rsid w:val="00955403"/>
    <w:rsid w:val="0095645B"/>
    <w:rsid w:val="00957526"/>
    <w:rsid w:val="00957C85"/>
    <w:rsid w:val="00957D24"/>
    <w:rsid w:val="00961C55"/>
    <w:rsid w:val="009630B4"/>
    <w:rsid w:val="0096330A"/>
    <w:rsid w:val="00963735"/>
    <w:rsid w:val="009650B3"/>
    <w:rsid w:val="009650F5"/>
    <w:rsid w:val="00965964"/>
    <w:rsid w:val="009715CE"/>
    <w:rsid w:val="0097162D"/>
    <w:rsid w:val="009721C4"/>
    <w:rsid w:val="009722DB"/>
    <w:rsid w:val="0097272E"/>
    <w:rsid w:val="00973B94"/>
    <w:rsid w:val="00974433"/>
    <w:rsid w:val="009745D8"/>
    <w:rsid w:val="00974683"/>
    <w:rsid w:val="00975D21"/>
    <w:rsid w:val="00976F80"/>
    <w:rsid w:val="00977612"/>
    <w:rsid w:val="009805F2"/>
    <w:rsid w:val="00984C33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139B"/>
    <w:rsid w:val="009B1B7D"/>
    <w:rsid w:val="009B2E68"/>
    <w:rsid w:val="009B398F"/>
    <w:rsid w:val="009B45ED"/>
    <w:rsid w:val="009B4C84"/>
    <w:rsid w:val="009B67E9"/>
    <w:rsid w:val="009C1A22"/>
    <w:rsid w:val="009C2C3C"/>
    <w:rsid w:val="009C4E94"/>
    <w:rsid w:val="009C60D3"/>
    <w:rsid w:val="009C6AFA"/>
    <w:rsid w:val="009C7037"/>
    <w:rsid w:val="009C727F"/>
    <w:rsid w:val="009C7943"/>
    <w:rsid w:val="009D1A5C"/>
    <w:rsid w:val="009D1BC0"/>
    <w:rsid w:val="009D217B"/>
    <w:rsid w:val="009D219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E496A"/>
    <w:rsid w:val="009F03B6"/>
    <w:rsid w:val="009F0432"/>
    <w:rsid w:val="009F1126"/>
    <w:rsid w:val="009F2842"/>
    <w:rsid w:val="009F2CAA"/>
    <w:rsid w:val="009F3AB0"/>
    <w:rsid w:val="009F3CB2"/>
    <w:rsid w:val="009F482B"/>
    <w:rsid w:val="009F68F5"/>
    <w:rsid w:val="009F691A"/>
    <w:rsid w:val="00A004B0"/>
    <w:rsid w:val="00A02FC4"/>
    <w:rsid w:val="00A0487E"/>
    <w:rsid w:val="00A04E54"/>
    <w:rsid w:val="00A061EB"/>
    <w:rsid w:val="00A0698F"/>
    <w:rsid w:val="00A11849"/>
    <w:rsid w:val="00A12E53"/>
    <w:rsid w:val="00A13CF1"/>
    <w:rsid w:val="00A13DFC"/>
    <w:rsid w:val="00A14F7E"/>
    <w:rsid w:val="00A15A1D"/>
    <w:rsid w:val="00A16B16"/>
    <w:rsid w:val="00A170FF"/>
    <w:rsid w:val="00A203F4"/>
    <w:rsid w:val="00A23E03"/>
    <w:rsid w:val="00A25176"/>
    <w:rsid w:val="00A269CF"/>
    <w:rsid w:val="00A26BEC"/>
    <w:rsid w:val="00A2792B"/>
    <w:rsid w:val="00A31956"/>
    <w:rsid w:val="00A319F8"/>
    <w:rsid w:val="00A32303"/>
    <w:rsid w:val="00A33251"/>
    <w:rsid w:val="00A3541E"/>
    <w:rsid w:val="00A364A1"/>
    <w:rsid w:val="00A36649"/>
    <w:rsid w:val="00A36D32"/>
    <w:rsid w:val="00A36E5F"/>
    <w:rsid w:val="00A401BC"/>
    <w:rsid w:val="00A40F25"/>
    <w:rsid w:val="00A4115D"/>
    <w:rsid w:val="00A423A7"/>
    <w:rsid w:val="00A44F7D"/>
    <w:rsid w:val="00A45DE2"/>
    <w:rsid w:val="00A45EC1"/>
    <w:rsid w:val="00A50703"/>
    <w:rsid w:val="00A52E45"/>
    <w:rsid w:val="00A536AE"/>
    <w:rsid w:val="00A55D49"/>
    <w:rsid w:val="00A604D6"/>
    <w:rsid w:val="00A60FC8"/>
    <w:rsid w:val="00A61A79"/>
    <w:rsid w:val="00A6235C"/>
    <w:rsid w:val="00A63606"/>
    <w:rsid w:val="00A64D76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D3F"/>
    <w:rsid w:val="00A71FF1"/>
    <w:rsid w:val="00A7213D"/>
    <w:rsid w:val="00A7339D"/>
    <w:rsid w:val="00A74BBA"/>
    <w:rsid w:val="00A74C3A"/>
    <w:rsid w:val="00A76386"/>
    <w:rsid w:val="00A7781C"/>
    <w:rsid w:val="00A84F3D"/>
    <w:rsid w:val="00A86DA7"/>
    <w:rsid w:val="00A90870"/>
    <w:rsid w:val="00A91DC0"/>
    <w:rsid w:val="00A91E49"/>
    <w:rsid w:val="00A9205A"/>
    <w:rsid w:val="00AA07C0"/>
    <w:rsid w:val="00AA0FE4"/>
    <w:rsid w:val="00AA10CE"/>
    <w:rsid w:val="00AA1F1E"/>
    <w:rsid w:val="00AA2A57"/>
    <w:rsid w:val="00AA3E9B"/>
    <w:rsid w:val="00AA5738"/>
    <w:rsid w:val="00AA6191"/>
    <w:rsid w:val="00AA6486"/>
    <w:rsid w:val="00AA65EF"/>
    <w:rsid w:val="00AB09A7"/>
    <w:rsid w:val="00AB0EF6"/>
    <w:rsid w:val="00AB0FBF"/>
    <w:rsid w:val="00AB1853"/>
    <w:rsid w:val="00AB2912"/>
    <w:rsid w:val="00AB2FF1"/>
    <w:rsid w:val="00AB5A9E"/>
    <w:rsid w:val="00AB5B65"/>
    <w:rsid w:val="00AC0C82"/>
    <w:rsid w:val="00AC1513"/>
    <w:rsid w:val="00AC18D7"/>
    <w:rsid w:val="00AC2611"/>
    <w:rsid w:val="00AC2635"/>
    <w:rsid w:val="00AC2BF4"/>
    <w:rsid w:val="00AC2E6A"/>
    <w:rsid w:val="00AC3E12"/>
    <w:rsid w:val="00AC64DF"/>
    <w:rsid w:val="00AC7DFA"/>
    <w:rsid w:val="00AD01B1"/>
    <w:rsid w:val="00AD05A6"/>
    <w:rsid w:val="00AD1F5E"/>
    <w:rsid w:val="00AD3232"/>
    <w:rsid w:val="00AD3252"/>
    <w:rsid w:val="00AD436F"/>
    <w:rsid w:val="00AD50D3"/>
    <w:rsid w:val="00AD5368"/>
    <w:rsid w:val="00AE0C7A"/>
    <w:rsid w:val="00AE0F77"/>
    <w:rsid w:val="00AE1EFF"/>
    <w:rsid w:val="00AE2657"/>
    <w:rsid w:val="00AE2F6B"/>
    <w:rsid w:val="00AE4385"/>
    <w:rsid w:val="00AE4758"/>
    <w:rsid w:val="00AE4C5E"/>
    <w:rsid w:val="00AE4CC8"/>
    <w:rsid w:val="00AE52B8"/>
    <w:rsid w:val="00AE7125"/>
    <w:rsid w:val="00AE7BCB"/>
    <w:rsid w:val="00AE7C72"/>
    <w:rsid w:val="00AF0726"/>
    <w:rsid w:val="00AF0CAF"/>
    <w:rsid w:val="00AF2287"/>
    <w:rsid w:val="00AF24B2"/>
    <w:rsid w:val="00AF3EF3"/>
    <w:rsid w:val="00AF529C"/>
    <w:rsid w:val="00AF5345"/>
    <w:rsid w:val="00AF5B03"/>
    <w:rsid w:val="00AF5EB2"/>
    <w:rsid w:val="00AF60B7"/>
    <w:rsid w:val="00AF7F31"/>
    <w:rsid w:val="00B00247"/>
    <w:rsid w:val="00B00F06"/>
    <w:rsid w:val="00B01528"/>
    <w:rsid w:val="00B01F41"/>
    <w:rsid w:val="00B03791"/>
    <w:rsid w:val="00B047F1"/>
    <w:rsid w:val="00B051CC"/>
    <w:rsid w:val="00B0573A"/>
    <w:rsid w:val="00B072C8"/>
    <w:rsid w:val="00B07E1B"/>
    <w:rsid w:val="00B104E2"/>
    <w:rsid w:val="00B13092"/>
    <w:rsid w:val="00B13461"/>
    <w:rsid w:val="00B14A4A"/>
    <w:rsid w:val="00B15E45"/>
    <w:rsid w:val="00B166A5"/>
    <w:rsid w:val="00B17FF8"/>
    <w:rsid w:val="00B20D54"/>
    <w:rsid w:val="00B20DA5"/>
    <w:rsid w:val="00B22D3D"/>
    <w:rsid w:val="00B22D55"/>
    <w:rsid w:val="00B235F7"/>
    <w:rsid w:val="00B242B8"/>
    <w:rsid w:val="00B244A4"/>
    <w:rsid w:val="00B24831"/>
    <w:rsid w:val="00B24D6A"/>
    <w:rsid w:val="00B254D8"/>
    <w:rsid w:val="00B265A5"/>
    <w:rsid w:val="00B30840"/>
    <w:rsid w:val="00B30A72"/>
    <w:rsid w:val="00B30CF7"/>
    <w:rsid w:val="00B30F3E"/>
    <w:rsid w:val="00B3280B"/>
    <w:rsid w:val="00B32D0D"/>
    <w:rsid w:val="00B33A63"/>
    <w:rsid w:val="00B344AB"/>
    <w:rsid w:val="00B34570"/>
    <w:rsid w:val="00B3482E"/>
    <w:rsid w:val="00B365C9"/>
    <w:rsid w:val="00B36D6F"/>
    <w:rsid w:val="00B40113"/>
    <w:rsid w:val="00B40C28"/>
    <w:rsid w:val="00B413E9"/>
    <w:rsid w:val="00B43BAA"/>
    <w:rsid w:val="00B444F7"/>
    <w:rsid w:val="00B46F5D"/>
    <w:rsid w:val="00B510D1"/>
    <w:rsid w:val="00B516F4"/>
    <w:rsid w:val="00B53031"/>
    <w:rsid w:val="00B53695"/>
    <w:rsid w:val="00B5371C"/>
    <w:rsid w:val="00B55B2A"/>
    <w:rsid w:val="00B56122"/>
    <w:rsid w:val="00B6021A"/>
    <w:rsid w:val="00B60672"/>
    <w:rsid w:val="00B60EC9"/>
    <w:rsid w:val="00B61CD8"/>
    <w:rsid w:val="00B61DDE"/>
    <w:rsid w:val="00B62892"/>
    <w:rsid w:val="00B628BD"/>
    <w:rsid w:val="00B6396E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86F"/>
    <w:rsid w:val="00B829A8"/>
    <w:rsid w:val="00B829B3"/>
    <w:rsid w:val="00B83749"/>
    <w:rsid w:val="00B85372"/>
    <w:rsid w:val="00B8560B"/>
    <w:rsid w:val="00B860F7"/>
    <w:rsid w:val="00B86579"/>
    <w:rsid w:val="00B86801"/>
    <w:rsid w:val="00B87617"/>
    <w:rsid w:val="00B912EC"/>
    <w:rsid w:val="00B9203C"/>
    <w:rsid w:val="00B925FF"/>
    <w:rsid w:val="00B92684"/>
    <w:rsid w:val="00B93167"/>
    <w:rsid w:val="00B94198"/>
    <w:rsid w:val="00B95065"/>
    <w:rsid w:val="00B95B1B"/>
    <w:rsid w:val="00B96704"/>
    <w:rsid w:val="00B96E93"/>
    <w:rsid w:val="00B971AE"/>
    <w:rsid w:val="00B97AE8"/>
    <w:rsid w:val="00BA2289"/>
    <w:rsid w:val="00BA3745"/>
    <w:rsid w:val="00BA424D"/>
    <w:rsid w:val="00BA5323"/>
    <w:rsid w:val="00BA54BC"/>
    <w:rsid w:val="00BB01C4"/>
    <w:rsid w:val="00BB1DDF"/>
    <w:rsid w:val="00BB1F05"/>
    <w:rsid w:val="00BB4665"/>
    <w:rsid w:val="00BB4A4E"/>
    <w:rsid w:val="00BB4CBA"/>
    <w:rsid w:val="00BB658A"/>
    <w:rsid w:val="00BC196E"/>
    <w:rsid w:val="00BC1CC8"/>
    <w:rsid w:val="00BC2CE3"/>
    <w:rsid w:val="00BC2D7C"/>
    <w:rsid w:val="00BC47BA"/>
    <w:rsid w:val="00BC6124"/>
    <w:rsid w:val="00BC76D0"/>
    <w:rsid w:val="00BD15DC"/>
    <w:rsid w:val="00BD2737"/>
    <w:rsid w:val="00BD3529"/>
    <w:rsid w:val="00BD3EE5"/>
    <w:rsid w:val="00BD5207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3704"/>
    <w:rsid w:val="00BF4913"/>
    <w:rsid w:val="00BF5106"/>
    <w:rsid w:val="00BF583E"/>
    <w:rsid w:val="00BF5D19"/>
    <w:rsid w:val="00BF5DF9"/>
    <w:rsid w:val="00BF73FF"/>
    <w:rsid w:val="00C0043D"/>
    <w:rsid w:val="00C032E9"/>
    <w:rsid w:val="00C03950"/>
    <w:rsid w:val="00C04AEB"/>
    <w:rsid w:val="00C04E50"/>
    <w:rsid w:val="00C053AA"/>
    <w:rsid w:val="00C05572"/>
    <w:rsid w:val="00C1025A"/>
    <w:rsid w:val="00C10CA2"/>
    <w:rsid w:val="00C1154C"/>
    <w:rsid w:val="00C11CA8"/>
    <w:rsid w:val="00C14AED"/>
    <w:rsid w:val="00C1561D"/>
    <w:rsid w:val="00C17B97"/>
    <w:rsid w:val="00C20338"/>
    <w:rsid w:val="00C20F02"/>
    <w:rsid w:val="00C2114D"/>
    <w:rsid w:val="00C21D67"/>
    <w:rsid w:val="00C22CE5"/>
    <w:rsid w:val="00C231F2"/>
    <w:rsid w:val="00C2442E"/>
    <w:rsid w:val="00C24B34"/>
    <w:rsid w:val="00C26ABE"/>
    <w:rsid w:val="00C276B1"/>
    <w:rsid w:val="00C33502"/>
    <w:rsid w:val="00C343BD"/>
    <w:rsid w:val="00C3561A"/>
    <w:rsid w:val="00C36730"/>
    <w:rsid w:val="00C374D4"/>
    <w:rsid w:val="00C401B2"/>
    <w:rsid w:val="00C4141D"/>
    <w:rsid w:val="00C437B1"/>
    <w:rsid w:val="00C455E2"/>
    <w:rsid w:val="00C45AAA"/>
    <w:rsid w:val="00C46721"/>
    <w:rsid w:val="00C46EC8"/>
    <w:rsid w:val="00C505B3"/>
    <w:rsid w:val="00C529FD"/>
    <w:rsid w:val="00C52EC9"/>
    <w:rsid w:val="00C52FF7"/>
    <w:rsid w:val="00C536FD"/>
    <w:rsid w:val="00C5413F"/>
    <w:rsid w:val="00C54450"/>
    <w:rsid w:val="00C546FF"/>
    <w:rsid w:val="00C54B84"/>
    <w:rsid w:val="00C54C86"/>
    <w:rsid w:val="00C56178"/>
    <w:rsid w:val="00C56687"/>
    <w:rsid w:val="00C56F97"/>
    <w:rsid w:val="00C57124"/>
    <w:rsid w:val="00C577A9"/>
    <w:rsid w:val="00C604D6"/>
    <w:rsid w:val="00C62367"/>
    <w:rsid w:val="00C643DC"/>
    <w:rsid w:val="00C674B4"/>
    <w:rsid w:val="00C70197"/>
    <w:rsid w:val="00C717FC"/>
    <w:rsid w:val="00C723B7"/>
    <w:rsid w:val="00C72455"/>
    <w:rsid w:val="00C7306D"/>
    <w:rsid w:val="00C74392"/>
    <w:rsid w:val="00C74422"/>
    <w:rsid w:val="00C75800"/>
    <w:rsid w:val="00C75948"/>
    <w:rsid w:val="00C75A2D"/>
    <w:rsid w:val="00C76D3F"/>
    <w:rsid w:val="00C776F7"/>
    <w:rsid w:val="00C77828"/>
    <w:rsid w:val="00C80D62"/>
    <w:rsid w:val="00C81292"/>
    <w:rsid w:val="00C82C39"/>
    <w:rsid w:val="00C8337E"/>
    <w:rsid w:val="00C83CDE"/>
    <w:rsid w:val="00C83E21"/>
    <w:rsid w:val="00C85EEF"/>
    <w:rsid w:val="00C8624C"/>
    <w:rsid w:val="00C9025D"/>
    <w:rsid w:val="00C92B2B"/>
    <w:rsid w:val="00C9334E"/>
    <w:rsid w:val="00C93F32"/>
    <w:rsid w:val="00C94775"/>
    <w:rsid w:val="00C947A9"/>
    <w:rsid w:val="00C94D3F"/>
    <w:rsid w:val="00C95D73"/>
    <w:rsid w:val="00C96A92"/>
    <w:rsid w:val="00C96E31"/>
    <w:rsid w:val="00C97A89"/>
    <w:rsid w:val="00CA2AB4"/>
    <w:rsid w:val="00CA4575"/>
    <w:rsid w:val="00CA45DC"/>
    <w:rsid w:val="00CA492E"/>
    <w:rsid w:val="00CA4C09"/>
    <w:rsid w:val="00CA4FA9"/>
    <w:rsid w:val="00CA6166"/>
    <w:rsid w:val="00CA633A"/>
    <w:rsid w:val="00CA6DEF"/>
    <w:rsid w:val="00CA74CA"/>
    <w:rsid w:val="00CA7A8F"/>
    <w:rsid w:val="00CB072D"/>
    <w:rsid w:val="00CB09A1"/>
    <w:rsid w:val="00CB146D"/>
    <w:rsid w:val="00CB23DA"/>
    <w:rsid w:val="00CB2E28"/>
    <w:rsid w:val="00CB3355"/>
    <w:rsid w:val="00CB38CA"/>
    <w:rsid w:val="00CB3F35"/>
    <w:rsid w:val="00CB4D1B"/>
    <w:rsid w:val="00CB5011"/>
    <w:rsid w:val="00CB69CF"/>
    <w:rsid w:val="00CB79A7"/>
    <w:rsid w:val="00CC1780"/>
    <w:rsid w:val="00CC48D3"/>
    <w:rsid w:val="00CC495F"/>
    <w:rsid w:val="00CC4A07"/>
    <w:rsid w:val="00CC4E9E"/>
    <w:rsid w:val="00CC4F1D"/>
    <w:rsid w:val="00CC5853"/>
    <w:rsid w:val="00CC5D86"/>
    <w:rsid w:val="00CC6E1E"/>
    <w:rsid w:val="00CC7338"/>
    <w:rsid w:val="00CC7BDF"/>
    <w:rsid w:val="00CD12F5"/>
    <w:rsid w:val="00CD1693"/>
    <w:rsid w:val="00CD2317"/>
    <w:rsid w:val="00CD262F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1E83"/>
    <w:rsid w:val="00CE202C"/>
    <w:rsid w:val="00CE279A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C60"/>
    <w:rsid w:val="00D0603C"/>
    <w:rsid w:val="00D061F7"/>
    <w:rsid w:val="00D06F63"/>
    <w:rsid w:val="00D07635"/>
    <w:rsid w:val="00D07DF0"/>
    <w:rsid w:val="00D10C37"/>
    <w:rsid w:val="00D114FD"/>
    <w:rsid w:val="00D12876"/>
    <w:rsid w:val="00D13147"/>
    <w:rsid w:val="00D14818"/>
    <w:rsid w:val="00D15111"/>
    <w:rsid w:val="00D1657F"/>
    <w:rsid w:val="00D167ED"/>
    <w:rsid w:val="00D1701F"/>
    <w:rsid w:val="00D17072"/>
    <w:rsid w:val="00D1780F"/>
    <w:rsid w:val="00D20341"/>
    <w:rsid w:val="00D20C23"/>
    <w:rsid w:val="00D21751"/>
    <w:rsid w:val="00D21D42"/>
    <w:rsid w:val="00D21F6E"/>
    <w:rsid w:val="00D22310"/>
    <w:rsid w:val="00D22CFE"/>
    <w:rsid w:val="00D23A72"/>
    <w:rsid w:val="00D23AB2"/>
    <w:rsid w:val="00D24C4C"/>
    <w:rsid w:val="00D2503F"/>
    <w:rsid w:val="00D258D8"/>
    <w:rsid w:val="00D26331"/>
    <w:rsid w:val="00D2652D"/>
    <w:rsid w:val="00D27104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969"/>
    <w:rsid w:val="00D37C16"/>
    <w:rsid w:val="00D40E17"/>
    <w:rsid w:val="00D413C5"/>
    <w:rsid w:val="00D42242"/>
    <w:rsid w:val="00D437FC"/>
    <w:rsid w:val="00D45208"/>
    <w:rsid w:val="00D45568"/>
    <w:rsid w:val="00D46F84"/>
    <w:rsid w:val="00D51C6E"/>
    <w:rsid w:val="00D51D87"/>
    <w:rsid w:val="00D52418"/>
    <w:rsid w:val="00D52E7C"/>
    <w:rsid w:val="00D53CE2"/>
    <w:rsid w:val="00D542CC"/>
    <w:rsid w:val="00D543F3"/>
    <w:rsid w:val="00D609E5"/>
    <w:rsid w:val="00D62905"/>
    <w:rsid w:val="00D634B5"/>
    <w:rsid w:val="00D636FC"/>
    <w:rsid w:val="00D640C7"/>
    <w:rsid w:val="00D651BC"/>
    <w:rsid w:val="00D66971"/>
    <w:rsid w:val="00D708B7"/>
    <w:rsid w:val="00D7296B"/>
    <w:rsid w:val="00D7359C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60F5"/>
    <w:rsid w:val="00D870A5"/>
    <w:rsid w:val="00D90217"/>
    <w:rsid w:val="00D91F7D"/>
    <w:rsid w:val="00D93FC2"/>
    <w:rsid w:val="00D94B19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0B04"/>
    <w:rsid w:val="00DA2926"/>
    <w:rsid w:val="00DA52E8"/>
    <w:rsid w:val="00DA54E1"/>
    <w:rsid w:val="00DA6836"/>
    <w:rsid w:val="00DB22C3"/>
    <w:rsid w:val="00DB32CD"/>
    <w:rsid w:val="00DB56F6"/>
    <w:rsid w:val="00DC2A0C"/>
    <w:rsid w:val="00DC3FF0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91C"/>
    <w:rsid w:val="00DE6103"/>
    <w:rsid w:val="00DE68E0"/>
    <w:rsid w:val="00DE6AEA"/>
    <w:rsid w:val="00DF0535"/>
    <w:rsid w:val="00DF20F8"/>
    <w:rsid w:val="00DF274C"/>
    <w:rsid w:val="00DF2811"/>
    <w:rsid w:val="00DF3C21"/>
    <w:rsid w:val="00DF6487"/>
    <w:rsid w:val="00DF6C32"/>
    <w:rsid w:val="00E00537"/>
    <w:rsid w:val="00E00E5A"/>
    <w:rsid w:val="00E0144B"/>
    <w:rsid w:val="00E0203D"/>
    <w:rsid w:val="00E03AED"/>
    <w:rsid w:val="00E03BB1"/>
    <w:rsid w:val="00E03F63"/>
    <w:rsid w:val="00E04BEC"/>
    <w:rsid w:val="00E0503D"/>
    <w:rsid w:val="00E06001"/>
    <w:rsid w:val="00E07CA5"/>
    <w:rsid w:val="00E102BB"/>
    <w:rsid w:val="00E11872"/>
    <w:rsid w:val="00E118ED"/>
    <w:rsid w:val="00E11FDC"/>
    <w:rsid w:val="00E12040"/>
    <w:rsid w:val="00E126E0"/>
    <w:rsid w:val="00E13656"/>
    <w:rsid w:val="00E1655E"/>
    <w:rsid w:val="00E17D68"/>
    <w:rsid w:val="00E17ECA"/>
    <w:rsid w:val="00E219A1"/>
    <w:rsid w:val="00E21DED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59D0"/>
    <w:rsid w:val="00E36560"/>
    <w:rsid w:val="00E36BE2"/>
    <w:rsid w:val="00E36EB6"/>
    <w:rsid w:val="00E3755B"/>
    <w:rsid w:val="00E3783A"/>
    <w:rsid w:val="00E37CC9"/>
    <w:rsid w:val="00E408AE"/>
    <w:rsid w:val="00E411A2"/>
    <w:rsid w:val="00E4169D"/>
    <w:rsid w:val="00E42270"/>
    <w:rsid w:val="00E426BC"/>
    <w:rsid w:val="00E43930"/>
    <w:rsid w:val="00E43CF7"/>
    <w:rsid w:val="00E44E3C"/>
    <w:rsid w:val="00E45037"/>
    <w:rsid w:val="00E45CD7"/>
    <w:rsid w:val="00E46192"/>
    <w:rsid w:val="00E46DBD"/>
    <w:rsid w:val="00E4730E"/>
    <w:rsid w:val="00E4759B"/>
    <w:rsid w:val="00E5027B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72F8"/>
    <w:rsid w:val="00E574FC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2C10"/>
    <w:rsid w:val="00E72DD0"/>
    <w:rsid w:val="00E73406"/>
    <w:rsid w:val="00E75B91"/>
    <w:rsid w:val="00E7625C"/>
    <w:rsid w:val="00E76BC5"/>
    <w:rsid w:val="00E772DB"/>
    <w:rsid w:val="00E7781F"/>
    <w:rsid w:val="00E81782"/>
    <w:rsid w:val="00E824FD"/>
    <w:rsid w:val="00E83879"/>
    <w:rsid w:val="00E83CDE"/>
    <w:rsid w:val="00E8596C"/>
    <w:rsid w:val="00E865C0"/>
    <w:rsid w:val="00E900AF"/>
    <w:rsid w:val="00E91CC1"/>
    <w:rsid w:val="00E927ED"/>
    <w:rsid w:val="00E94FC2"/>
    <w:rsid w:val="00E95659"/>
    <w:rsid w:val="00E95716"/>
    <w:rsid w:val="00E95C92"/>
    <w:rsid w:val="00E97CC8"/>
    <w:rsid w:val="00EA1430"/>
    <w:rsid w:val="00EA3C71"/>
    <w:rsid w:val="00EA5674"/>
    <w:rsid w:val="00EA5DD7"/>
    <w:rsid w:val="00EA78E0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7638"/>
    <w:rsid w:val="00ED073D"/>
    <w:rsid w:val="00ED0CFD"/>
    <w:rsid w:val="00ED0ED7"/>
    <w:rsid w:val="00ED12C8"/>
    <w:rsid w:val="00ED1C0B"/>
    <w:rsid w:val="00ED26C2"/>
    <w:rsid w:val="00ED3457"/>
    <w:rsid w:val="00ED4AC1"/>
    <w:rsid w:val="00ED4B85"/>
    <w:rsid w:val="00ED61B1"/>
    <w:rsid w:val="00ED6F5A"/>
    <w:rsid w:val="00EE1759"/>
    <w:rsid w:val="00EE38DB"/>
    <w:rsid w:val="00EE622A"/>
    <w:rsid w:val="00EE6DB9"/>
    <w:rsid w:val="00EF21D8"/>
    <w:rsid w:val="00EF21E1"/>
    <w:rsid w:val="00EF36E0"/>
    <w:rsid w:val="00EF462D"/>
    <w:rsid w:val="00EF4908"/>
    <w:rsid w:val="00EF5B96"/>
    <w:rsid w:val="00EF67C4"/>
    <w:rsid w:val="00EF7BCC"/>
    <w:rsid w:val="00F00618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479C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039F"/>
    <w:rsid w:val="00F306F9"/>
    <w:rsid w:val="00F30A0D"/>
    <w:rsid w:val="00F320EE"/>
    <w:rsid w:val="00F33B5B"/>
    <w:rsid w:val="00F36965"/>
    <w:rsid w:val="00F36DEA"/>
    <w:rsid w:val="00F400FA"/>
    <w:rsid w:val="00F4050E"/>
    <w:rsid w:val="00F4071A"/>
    <w:rsid w:val="00F416C6"/>
    <w:rsid w:val="00F4217C"/>
    <w:rsid w:val="00F4406F"/>
    <w:rsid w:val="00F4461F"/>
    <w:rsid w:val="00F44E42"/>
    <w:rsid w:val="00F46D61"/>
    <w:rsid w:val="00F47D25"/>
    <w:rsid w:val="00F5033A"/>
    <w:rsid w:val="00F5041E"/>
    <w:rsid w:val="00F50D9D"/>
    <w:rsid w:val="00F60D04"/>
    <w:rsid w:val="00F61E47"/>
    <w:rsid w:val="00F61E7A"/>
    <w:rsid w:val="00F6436F"/>
    <w:rsid w:val="00F64746"/>
    <w:rsid w:val="00F654AE"/>
    <w:rsid w:val="00F6596E"/>
    <w:rsid w:val="00F6679F"/>
    <w:rsid w:val="00F67BB5"/>
    <w:rsid w:val="00F67CAA"/>
    <w:rsid w:val="00F71E30"/>
    <w:rsid w:val="00F72C51"/>
    <w:rsid w:val="00F72F47"/>
    <w:rsid w:val="00F73177"/>
    <w:rsid w:val="00F74217"/>
    <w:rsid w:val="00F74F47"/>
    <w:rsid w:val="00F775A0"/>
    <w:rsid w:val="00F82796"/>
    <w:rsid w:val="00F83A61"/>
    <w:rsid w:val="00F86243"/>
    <w:rsid w:val="00F87942"/>
    <w:rsid w:val="00F9162E"/>
    <w:rsid w:val="00F916E8"/>
    <w:rsid w:val="00F948AD"/>
    <w:rsid w:val="00F94908"/>
    <w:rsid w:val="00F96D2D"/>
    <w:rsid w:val="00F97009"/>
    <w:rsid w:val="00F97E31"/>
    <w:rsid w:val="00FA028D"/>
    <w:rsid w:val="00FA09BA"/>
    <w:rsid w:val="00FA1696"/>
    <w:rsid w:val="00FA1D06"/>
    <w:rsid w:val="00FA4086"/>
    <w:rsid w:val="00FA55CD"/>
    <w:rsid w:val="00FA68F1"/>
    <w:rsid w:val="00FA6B31"/>
    <w:rsid w:val="00FA6B98"/>
    <w:rsid w:val="00FA6CD2"/>
    <w:rsid w:val="00FA70A4"/>
    <w:rsid w:val="00FB028A"/>
    <w:rsid w:val="00FB1AA9"/>
    <w:rsid w:val="00FB242E"/>
    <w:rsid w:val="00FB37C0"/>
    <w:rsid w:val="00FB3E48"/>
    <w:rsid w:val="00FB41F7"/>
    <w:rsid w:val="00FB4811"/>
    <w:rsid w:val="00FB59BA"/>
    <w:rsid w:val="00FB5FD1"/>
    <w:rsid w:val="00FC01D2"/>
    <w:rsid w:val="00FC094C"/>
    <w:rsid w:val="00FC0BD8"/>
    <w:rsid w:val="00FC0D4E"/>
    <w:rsid w:val="00FC183E"/>
    <w:rsid w:val="00FC3BAE"/>
    <w:rsid w:val="00FC4E8E"/>
    <w:rsid w:val="00FC52A9"/>
    <w:rsid w:val="00FC5FCE"/>
    <w:rsid w:val="00FC6102"/>
    <w:rsid w:val="00FC7166"/>
    <w:rsid w:val="00FC73BA"/>
    <w:rsid w:val="00FD06B6"/>
    <w:rsid w:val="00FD1399"/>
    <w:rsid w:val="00FD146A"/>
    <w:rsid w:val="00FD1DDA"/>
    <w:rsid w:val="00FD237E"/>
    <w:rsid w:val="00FD2E62"/>
    <w:rsid w:val="00FD47E8"/>
    <w:rsid w:val="00FD4847"/>
    <w:rsid w:val="00FD4B4C"/>
    <w:rsid w:val="00FD59F0"/>
    <w:rsid w:val="00FD710E"/>
    <w:rsid w:val="00FD728D"/>
    <w:rsid w:val="00FE03AB"/>
    <w:rsid w:val="00FE09E6"/>
    <w:rsid w:val="00FE2505"/>
    <w:rsid w:val="00FE277E"/>
    <w:rsid w:val="00FE38BE"/>
    <w:rsid w:val="00FE51BE"/>
    <w:rsid w:val="00FE5B99"/>
    <w:rsid w:val="00FE63F6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BD9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14FB7"/>
  <w15:docId w15:val="{F83EA3FB-78C0-4B3D-8ABB-F8DEC1D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84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C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61C55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A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-ilibrary.org/social-issues-migration-health/fiscal-sustainability-of-health-systems_880f3195-en" TargetMode="Externa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8269-9E62-48F8-A80A-607CC74E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8</cp:revision>
  <cp:lastPrinted>2025-11-03T12:54:00Z</cp:lastPrinted>
  <dcterms:created xsi:type="dcterms:W3CDTF">2025-11-03T12:51:00Z</dcterms:created>
  <dcterms:modified xsi:type="dcterms:W3CDTF">2025-11-03T13:32:00Z</dcterms:modified>
</cp:coreProperties>
</file>