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E85B9" w14:textId="77777777"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</w:t>
      </w:r>
      <w:bookmarkStart w:id="0" w:name="_GoBack"/>
      <w:bookmarkEnd w:id="0"/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CATO STAMPA</w:t>
      </w:r>
    </w:p>
    <w:p w14:paraId="612FE9F5" w14:textId="0E30919E" w:rsidR="00FE6D27" w:rsidRDefault="00E35858" w:rsidP="00E3585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E35858">
        <w:rPr>
          <w:rFonts w:ascii="Calibri" w:eastAsia="Calibri" w:hAnsi="Calibri" w:cs="Times New Roman"/>
          <w:b/>
          <w:bCs/>
          <w:sz w:val="36"/>
          <w:szCs w:val="36"/>
        </w:rPr>
        <w:t>SANITÀ PUBBLICA SENZA OSSIGENO: DAL 2012 € 33 MILIARDI SOTTRATTI AL PERSONALE.</w:t>
      </w:r>
      <w:r>
        <w:rPr>
          <w:rFonts w:ascii="Calibri" w:eastAsia="Calibri" w:hAnsi="Calibri" w:cs="Times New Roman"/>
          <w:b/>
          <w:bCs/>
          <w:sz w:val="36"/>
          <w:szCs w:val="36"/>
        </w:rPr>
        <w:br/>
      </w:r>
      <w:r w:rsidRPr="00E35858">
        <w:rPr>
          <w:rFonts w:ascii="Calibri" w:eastAsia="Calibri" w:hAnsi="Calibri" w:cs="Times New Roman"/>
          <w:b/>
          <w:bCs/>
          <w:sz w:val="36"/>
          <w:szCs w:val="36"/>
        </w:rPr>
        <w:t xml:space="preserve">LA RIFORMA È L’ULTIMA CHIAMATA, MA SENZA RISORSE NON </w:t>
      </w:r>
      <w:r w:rsidR="00C4205D">
        <w:rPr>
          <w:rFonts w:ascii="Calibri" w:eastAsia="Calibri" w:hAnsi="Calibri" w:cs="Times New Roman"/>
          <w:b/>
          <w:bCs/>
          <w:sz w:val="36"/>
          <w:szCs w:val="36"/>
        </w:rPr>
        <w:t xml:space="preserve">SI PUÒ </w:t>
      </w:r>
      <w:r w:rsidRPr="00E35858">
        <w:rPr>
          <w:rFonts w:ascii="Calibri" w:eastAsia="Calibri" w:hAnsi="Calibri" w:cs="Times New Roman"/>
          <w:b/>
          <w:bCs/>
          <w:sz w:val="36"/>
          <w:szCs w:val="36"/>
        </w:rPr>
        <w:t>FERMA</w:t>
      </w:r>
      <w:r w:rsidR="00C4205D">
        <w:rPr>
          <w:rFonts w:ascii="Calibri" w:eastAsia="Calibri" w:hAnsi="Calibri" w:cs="Times New Roman"/>
          <w:b/>
          <w:bCs/>
          <w:sz w:val="36"/>
          <w:szCs w:val="36"/>
        </w:rPr>
        <w:t>RE</w:t>
      </w:r>
      <w:r w:rsidRPr="00E35858">
        <w:rPr>
          <w:rFonts w:ascii="Calibri" w:eastAsia="Calibri" w:hAnsi="Calibri" w:cs="Times New Roman"/>
          <w:b/>
          <w:bCs/>
          <w:sz w:val="36"/>
          <w:szCs w:val="36"/>
        </w:rPr>
        <w:t xml:space="preserve"> LA FUGA DAL SSN</w:t>
      </w:r>
      <w:r w:rsidR="00C4205D">
        <w:rPr>
          <w:rFonts w:ascii="Calibri" w:eastAsia="Calibri" w:hAnsi="Calibri" w:cs="Times New Roman"/>
          <w:b/>
          <w:bCs/>
          <w:sz w:val="36"/>
          <w:szCs w:val="36"/>
        </w:rPr>
        <w:t>,</w:t>
      </w:r>
      <w:r w:rsidRPr="00E35858">
        <w:rPr>
          <w:rFonts w:ascii="Calibri" w:eastAsia="Calibri" w:hAnsi="Calibri" w:cs="Times New Roman"/>
          <w:b/>
          <w:bCs/>
          <w:sz w:val="36"/>
          <w:szCs w:val="36"/>
        </w:rPr>
        <w:t xml:space="preserve"> NÉ RENDE</w:t>
      </w:r>
      <w:r w:rsidR="00C4205D">
        <w:rPr>
          <w:rFonts w:ascii="Calibri" w:eastAsia="Calibri" w:hAnsi="Calibri" w:cs="Times New Roman"/>
          <w:b/>
          <w:bCs/>
          <w:sz w:val="36"/>
          <w:szCs w:val="36"/>
        </w:rPr>
        <w:t>RE</w:t>
      </w:r>
      <w:r w:rsidRPr="00E35858">
        <w:rPr>
          <w:rFonts w:ascii="Calibri" w:eastAsia="Calibri" w:hAnsi="Calibri" w:cs="Times New Roman"/>
          <w:b/>
          <w:bCs/>
          <w:sz w:val="36"/>
          <w:szCs w:val="36"/>
        </w:rPr>
        <w:t xml:space="preserve"> ATTRATTIVE PROFESSIONI E SPECIALITÀ DISERTATE.</w:t>
      </w:r>
      <w:r w:rsidR="00FE6D27">
        <w:rPr>
          <w:rFonts w:ascii="Calibri" w:eastAsia="Calibri" w:hAnsi="Calibri" w:cs="Times New Roman"/>
          <w:b/>
          <w:bCs/>
          <w:sz w:val="36"/>
          <w:szCs w:val="36"/>
        </w:rPr>
        <w:br/>
      </w:r>
      <w:r w:rsidR="00FE6D27" w:rsidRPr="00FE6D27">
        <w:rPr>
          <w:rFonts w:ascii="Calibri" w:eastAsia="Calibri" w:hAnsi="Calibri" w:cs="Times New Roman"/>
          <w:b/>
          <w:bCs/>
          <w:sz w:val="36"/>
          <w:szCs w:val="36"/>
        </w:rPr>
        <w:t>NODI IRRISOLTI SULLA RESPONSABILITÀ PROFESSIONALE</w:t>
      </w:r>
      <w:r w:rsidR="00B9276B">
        <w:rPr>
          <w:rFonts w:ascii="Calibri" w:eastAsia="Calibri" w:hAnsi="Calibri" w:cs="Times New Roman"/>
          <w:b/>
          <w:bCs/>
          <w:sz w:val="36"/>
          <w:szCs w:val="36"/>
        </w:rPr>
        <w:t xml:space="preserve">: </w:t>
      </w:r>
      <w:r w:rsidR="00B9276B" w:rsidRPr="00B9276B">
        <w:rPr>
          <w:rFonts w:ascii="Calibri" w:eastAsia="Calibri" w:hAnsi="Calibri" w:cs="Times New Roman"/>
          <w:b/>
          <w:bCs/>
          <w:sz w:val="36"/>
          <w:szCs w:val="36"/>
        </w:rPr>
        <w:t>SCUDO</w:t>
      </w:r>
      <w:r w:rsidR="00DC6FFE" w:rsidRPr="00DC6FFE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DC6FFE" w:rsidRPr="00B9276B">
        <w:rPr>
          <w:rFonts w:ascii="Calibri" w:eastAsia="Calibri" w:hAnsi="Calibri" w:cs="Times New Roman"/>
          <w:b/>
          <w:bCs/>
          <w:sz w:val="36"/>
          <w:szCs w:val="36"/>
        </w:rPr>
        <w:t>PIÙ</w:t>
      </w:r>
      <w:r w:rsidR="00DC6FFE">
        <w:rPr>
          <w:rFonts w:ascii="Calibri" w:eastAsia="Calibri" w:hAnsi="Calibri" w:cs="Times New Roman"/>
          <w:b/>
          <w:bCs/>
          <w:sz w:val="36"/>
          <w:szCs w:val="36"/>
        </w:rPr>
        <w:t xml:space="preserve"> ROBUSTO</w:t>
      </w:r>
      <w:r w:rsidR="00B9276B" w:rsidRPr="00B9276B">
        <w:rPr>
          <w:rFonts w:ascii="Calibri" w:eastAsia="Calibri" w:hAnsi="Calibri" w:cs="Times New Roman"/>
          <w:b/>
          <w:bCs/>
          <w:sz w:val="36"/>
          <w:szCs w:val="36"/>
        </w:rPr>
        <w:t xml:space="preserve">, MA </w:t>
      </w:r>
      <w:r w:rsidR="0027461A">
        <w:rPr>
          <w:rFonts w:ascii="Calibri" w:eastAsia="Calibri" w:hAnsi="Calibri" w:cs="Times New Roman"/>
          <w:b/>
          <w:bCs/>
          <w:sz w:val="36"/>
          <w:szCs w:val="36"/>
        </w:rPr>
        <w:t>INCERTEZZE</w:t>
      </w:r>
      <w:r w:rsidR="00AB51C6">
        <w:rPr>
          <w:rFonts w:ascii="Calibri" w:eastAsia="Calibri" w:hAnsi="Calibri" w:cs="Times New Roman"/>
          <w:b/>
          <w:bCs/>
          <w:sz w:val="36"/>
          <w:szCs w:val="36"/>
        </w:rPr>
        <w:t xml:space="preserve"> TRA LINEE GUIDA E BUONE PRATICHE</w:t>
      </w:r>
      <w:r w:rsidR="00891046">
        <w:rPr>
          <w:rFonts w:ascii="Calibri" w:eastAsia="Calibri" w:hAnsi="Calibri" w:cs="Times New Roman"/>
          <w:b/>
          <w:bCs/>
          <w:sz w:val="36"/>
          <w:szCs w:val="36"/>
        </w:rPr>
        <w:t>.</w:t>
      </w:r>
      <w:r w:rsidR="00891046">
        <w:rPr>
          <w:rFonts w:ascii="Calibri" w:eastAsia="Calibri" w:hAnsi="Calibri" w:cs="Times New Roman"/>
          <w:b/>
          <w:bCs/>
          <w:sz w:val="36"/>
          <w:szCs w:val="36"/>
        </w:rPr>
        <w:br/>
        <w:t>AUDIZIONE DELLA FONDAZIONE GIMBE ALLA CAMERA DEI DEPUTATI SULLA RIFORMA DELLE PROFESSIONI SANITARIE</w:t>
      </w:r>
    </w:p>
    <w:p w14:paraId="6AB6095D" w14:textId="6F157E66" w:rsidR="00925B50" w:rsidRPr="00925B50" w:rsidRDefault="00DD418D" w:rsidP="00925B5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23 gennaio 2026</w:t>
      </w:r>
      <w:r w:rsidR="005E595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950BD4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6169B3DE" w14:textId="4CFD6CE0" w:rsidR="00191410" w:rsidRDefault="00DD418D" w:rsidP="003470C8">
      <w:pPr>
        <w:jc w:val="both"/>
      </w:pPr>
      <w:r>
        <w:t>«</w:t>
      </w:r>
      <w:r>
        <w:rPr>
          <w:rFonts w:ascii="Calibri" w:hAnsi="Calibri" w:cs="Calibri"/>
        </w:rPr>
        <w:t xml:space="preserve">La legge delega sulla riforma delle professioni sanitarie </w:t>
      </w:r>
      <w:r w:rsidR="00191410">
        <w:rPr>
          <w:rFonts w:ascii="Calibri" w:hAnsi="Calibri" w:cs="Calibri"/>
        </w:rPr>
        <w:t>enuncia</w:t>
      </w:r>
      <w:r w:rsidRPr="00DD418D">
        <w:rPr>
          <w:rFonts w:ascii="Calibri" w:hAnsi="Calibri" w:cs="Calibri"/>
        </w:rPr>
        <w:t xml:space="preserve"> </w:t>
      </w:r>
      <w:r w:rsidR="00191410" w:rsidRPr="00DD418D">
        <w:rPr>
          <w:rFonts w:ascii="Calibri" w:hAnsi="Calibri" w:cs="Calibri"/>
        </w:rPr>
        <w:t>princ</w:t>
      </w:r>
      <w:r w:rsidR="00191410">
        <w:rPr>
          <w:rFonts w:ascii="Calibri" w:hAnsi="Calibri" w:cs="Calibri"/>
        </w:rPr>
        <w:t>ì</w:t>
      </w:r>
      <w:r w:rsidR="00191410" w:rsidRPr="00DD418D">
        <w:rPr>
          <w:rFonts w:ascii="Calibri" w:hAnsi="Calibri" w:cs="Calibri"/>
        </w:rPr>
        <w:t>pi</w:t>
      </w:r>
      <w:r w:rsidR="00191410">
        <w:rPr>
          <w:rFonts w:ascii="Calibri" w:hAnsi="Calibri" w:cs="Calibri"/>
        </w:rPr>
        <w:t xml:space="preserve"> condivisibili</w:t>
      </w:r>
      <w:r w:rsidRPr="00DD418D">
        <w:rPr>
          <w:rFonts w:ascii="Calibri" w:hAnsi="Calibri" w:cs="Calibri"/>
        </w:rPr>
        <w:t xml:space="preserve">, ma senza </w:t>
      </w:r>
      <w:r w:rsidR="00212396">
        <w:rPr>
          <w:rFonts w:ascii="Calibri" w:hAnsi="Calibri" w:cs="Calibri"/>
        </w:rPr>
        <w:t xml:space="preserve">alcun </w:t>
      </w:r>
      <w:r w:rsidR="00191410" w:rsidRPr="00191410">
        <w:rPr>
          <w:rFonts w:ascii="Calibri" w:hAnsi="Calibri" w:cs="Calibri"/>
        </w:rPr>
        <w:t>impegno finanziario</w:t>
      </w:r>
      <w:r w:rsidR="00191410" w:rsidRPr="00191410" w:rsidDel="00191410">
        <w:rPr>
          <w:rFonts w:ascii="Calibri" w:hAnsi="Calibri" w:cs="Calibri"/>
        </w:rPr>
        <w:t xml:space="preserve"> </w:t>
      </w:r>
      <w:r w:rsidRPr="00DD418D">
        <w:rPr>
          <w:rFonts w:ascii="Calibri" w:hAnsi="Calibri" w:cs="Calibri"/>
        </w:rPr>
        <w:t xml:space="preserve">rischia di restare </w:t>
      </w:r>
      <w:r w:rsidR="008A20B7">
        <w:rPr>
          <w:rFonts w:ascii="Calibri" w:hAnsi="Calibri" w:cs="Calibri"/>
        </w:rPr>
        <w:t>lettera morta e di non riuscire ad</w:t>
      </w:r>
      <w:r w:rsidR="00191410">
        <w:rPr>
          <w:rFonts w:ascii="Calibri" w:hAnsi="Calibri" w:cs="Calibri"/>
        </w:rPr>
        <w:t xml:space="preserve"> </w:t>
      </w:r>
      <w:r w:rsidR="00867E34">
        <w:rPr>
          <w:rFonts w:ascii="Calibri" w:hAnsi="Calibri" w:cs="Calibri"/>
        </w:rPr>
        <w:t xml:space="preserve">arginare </w:t>
      </w:r>
      <w:r w:rsidRPr="00DD418D">
        <w:rPr>
          <w:rFonts w:ascii="Calibri" w:hAnsi="Calibri" w:cs="Calibri"/>
        </w:rPr>
        <w:t>la fuga dei professionisti dal Servizio Sanitario Nazionale</w:t>
      </w:r>
      <w:r w:rsidRPr="00DD418D">
        <w:t xml:space="preserve"> </w:t>
      </w:r>
      <w:r>
        <w:t>(SSN)</w:t>
      </w:r>
      <w:r w:rsidR="00867E34">
        <w:t xml:space="preserve"> e </w:t>
      </w:r>
      <w:r w:rsidR="008A20B7">
        <w:t xml:space="preserve">a </w:t>
      </w:r>
      <w:r w:rsidR="00191410">
        <w:t>rendere davvero attrattive le</w:t>
      </w:r>
      <w:r w:rsidR="00867E34">
        <w:t xml:space="preserve"> professioni e le specialità mediche sempre più disertate</w:t>
      </w:r>
      <w:r w:rsidR="00AB51C6">
        <w:t xml:space="preserve">. </w:t>
      </w:r>
      <w:r w:rsidR="00191410">
        <w:t>Preoccupa inoltre la</w:t>
      </w:r>
      <w:r w:rsidR="00B9276B">
        <w:t xml:space="preserve"> revisione della </w:t>
      </w:r>
      <w:r w:rsidR="00AB51C6">
        <w:t xml:space="preserve">norma sulla </w:t>
      </w:r>
      <w:r w:rsidR="00B9276B">
        <w:t>responsabilità professionale</w:t>
      </w:r>
      <w:r w:rsidR="00191410">
        <w:t>,</w:t>
      </w:r>
      <w:r w:rsidR="00B9276B">
        <w:t xml:space="preserve"> che </w:t>
      </w:r>
      <w:r w:rsidR="00AB51C6">
        <w:t xml:space="preserve">risolve </w:t>
      </w:r>
      <w:r w:rsidR="00191410">
        <w:t>parzialmente</w:t>
      </w:r>
      <w:r w:rsidR="00AB51C6">
        <w:t xml:space="preserve"> </w:t>
      </w:r>
      <w:r w:rsidR="00B9276B">
        <w:t>le criticità</w:t>
      </w:r>
      <w:r w:rsidR="00AB51C6">
        <w:t xml:space="preserve">, ma ne </w:t>
      </w:r>
      <w:r w:rsidR="00191410">
        <w:t>introduce di nuove, finendo per equiparare impropriamente l</w:t>
      </w:r>
      <w:r w:rsidR="00AB51C6">
        <w:t>inee guida e buone pratiche</w:t>
      </w:r>
      <w:r w:rsidR="00212396">
        <w:t xml:space="preserve"> clinico-assistenziali</w:t>
      </w:r>
      <w:r>
        <w:t xml:space="preserve">». È la posizione </w:t>
      </w:r>
      <w:r w:rsidR="008A20B7">
        <w:t xml:space="preserve">che </w:t>
      </w:r>
      <w:r>
        <w:t xml:space="preserve">Nino Cartabellotta, </w:t>
      </w:r>
      <w:r w:rsidR="00191410">
        <w:t xml:space="preserve">Presidente </w:t>
      </w:r>
      <w:r>
        <w:t xml:space="preserve">della Fondazione GIMBE, </w:t>
      </w:r>
      <w:r w:rsidR="008A20B7">
        <w:t xml:space="preserve">ha espresso </w:t>
      </w:r>
      <w:r>
        <w:t xml:space="preserve">nel corso dell’audizione </w:t>
      </w:r>
      <w:r w:rsidR="00191410">
        <w:t xml:space="preserve">di ieri presso la Camera dei Deputati </w:t>
      </w:r>
      <w:r>
        <w:t xml:space="preserve">sul </w:t>
      </w:r>
      <w:proofErr w:type="spellStart"/>
      <w:r w:rsidR="00191410">
        <w:t>DdL</w:t>
      </w:r>
      <w:proofErr w:type="spellEnd"/>
      <w:r w:rsidR="00191410">
        <w:t xml:space="preserve"> </w:t>
      </w:r>
      <w:r>
        <w:t>C. 2700</w:t>
      </w:r>
      <w:r w:rsidR="00191410">
        <w:t>,</w:t>
      </w:r>
      <w:r>
        <w:t xml:space="preserve"> recante “Delega al Governo in materia di professioni sanitarie e disposizioni relative alla responsabilità professionale degli esercenti le professioni sanitarie”.</w:t>
      </w:r>
      <w:r w:rsidR="008B297C">
        <w:t xml:space="preserve"> </w:t>
      </w:r>
    </w:p>
    <w:p w14:paraId="063E6183" w14:textId="6C310D25" w:rsidR="00E13FF9" w:rsidRDefault="00E13FF9" w:rsidP="003470C8">
      <w:pPr>
        <w:jc w:val="both"/>
      </w:pPr>
      <w:r w:rsidRPr="00E13FF9">
        <w:rPr>
          <w:b/>
          <w:bCs/>
        </w:rPr>
        <w:t>PERSONALE SANITARIO</w:t>
      </w:r>
      <w:r>
        <w:rPr>
          <w:b/>
          <w:bCs/>
        </w:rPr>
        <w:t xml:space="preserve">: </w:t>
      </w:r>
      <w:r w:rsidRPr="00E13FF9">
        <w:rPr>
          <w:b/>
          <w:bCs/>
        </w:rPr>
        <w:t>I NUMERI DELLA CRISI</w:t>
      </w:r>
      <w:r>
        <w:t>. Nella parte iniziale dell’audizione</w:t>
      </w:r>
      <w:r w:rsidR="00A30901">
        <w:t>,</w:t>
      </w:r>
      <w:r>
        <w:t xml:space="preserve"> il Presidente ha </w:t>
      </w:r>
      <w:r w:rsidR="00A30901">
        <w:t xml:space="preserve">richiamato </w:t>
      </w:r>
      <w:r>
        <w:t>i numeri principali documentando che:</w:t>
      </w:r>
    </w:p>
    <w:p w14:paraId="26AA48AD" w14:textId="47ADFBFD" w:rsidR="00AB51C6" w:rsidRDefault="009A4906" w:rsidP="00E13FF9">
      <w:pPr>
        <w:pStyle w:val="Paragrafoelenco"/>
        <w:numPr>
          <w:ilvl w:val="0"/>
          <w:numId w:val="35"/>
        </w:numPr>
        <w:spacing w:line="276" w:lineRule="auto"/>
        <w:jc w:val="both"/>
      </w:pPr>
      <w:r>
        <w:t>In Italia</w:t>
      </w:r>
      <w:r w:rsidR="00AB51C6" w:rsidRPr="00AB51C6">
        <w:t xml:space="preserve"> </w:t>
      </w:r>
      <w:r w:rsidR="00A30901">
        <w:t xml:space="preserve">i </w:t>
      </w:r>
      <w:r w:rsidR="00A30901" w:rsidRPr="00AB51C6">
        <w:t xml:space="preserve">medici </w:t>
      </w:r>
      <w:r w:rsidR="00AB51C6" w:rsidRPr="00AB51C6">
        <w:t xml:space="preserve">non mancano in </w:t>
      </w:r>
      <w:r w:rsidR="00A30901">
        <w:t>valore</w:t>
      </w:r>
      <w:r w:rsidR="00A30901" w:rsidRPr="00AB51C6">
        <w:t xml:space="preserve"> </w:t>
      </w:r>
      <w:r w:rsidR="00AB51C6" w:rsidRPr="00AB51C6">
        <w:t>assoluto</w:t>
      </w:r>
      <w:r w:rsidR="00A30901">
        <w:t>:</w:t>
      </w:r>
      <w:r w:rsidR="00AB51C6" w:rsidRPr="00AB51C6">
        <w:t xml:space="preserve"> con 5,4 medici per 1.000 abitanti</w:t>
      </w:r>
      <w:r w:rsidR="00A30901">
        <w:t>, il nostro Paese si colloca a</w:t>
      </w:r>
      <w:r w:rsidR="00212396">
        <w:t xml:space="preserve">l secondo posto tra i paesi </w:t>
      </w:r>
      <w:r w:rsidR="00AB51C6" w:rsidRPr="00AB51C6">
        <w:t xml:space="preserve">OCSE </w:t>
      </w:r>
      <w:r w:rsidR="00A30901">
        <w:t xml:space="preserve">(media </w:t>
      </w:r>
      <w:r w:rsidR="00AB51C6" w:rsidRPr="00AB51C6">
        <w:t>3,9)</w:t>
      </w:r>
      <w:r w:rsidR="00A30901">
        <w:t xml:space="preserve">. </w:t>
      </w:r>
      <w:r w:rsidR="00212396">
        <w:t>«</w:t>
      </w:r>
      <w:r w:rsidR="00A30901">
        <w:t xml:space="preserve">Il paradosso </w:t>
      </w:r>
      <w:r w:rsidR="00212396">
        <w:t xml:space="preserve">– ha commentato Cartabellotta – </w:t>
      </w:r>
      <w:r w:rsidR="00A30901">
        <w:t>è che</w:t>
      </w:r>
      <w:r w:rsidR="00AB51C6" w:rsidRPr="00AB51C6">
        <w:t xml:space="preserve"> oltre 92 mila medici</w:t>
      </w:r>
      <w:r w:rsidR="00212396">
        <w:t xml:space="preserve"> </w:t>
      </w:r>
      <w:r w:rsidR="00AB51C6" w:rsidRPr="00AB51C6">
        <w:t xml:space="preserve">non </w:t>
      </w:r>
      <w:r w:rsidR="00212396">
        <w:t xml:space="preserve">lavorano </w:t>
      </w:r>
      <w:r w:rsidR="00AB51C6" w:rsidRPr="00AB51C6">
        <w:t xml:space="preserve">nel </w:t>
      </w:r>
      <w:r w:rsidR="00A30901">
        <w:t>SSN né</w:t>
      </w:r>
      <w:r w:rsidR="00AB51C6" w:rsidRPr="00AB51C6">
        <w:t xml:space="preserve"> come dipendenti, </w:t>
      </w:r>
      <w:r w:rsidR="00A30901">
        <w:t xml:space="preserve">né come </w:t>
      </w:r>
      <w:r w:rsidR="00AB51C6" w:rsidRPr="00AB51C6">
        <w:t>convenzionati</w:t>
      </w:r>
      <w:r w:rsidR="00A30901">
        <w:t xml:space="preserve">, né come medici </w:t>
      </w:r>
      <w:r w:rsidR="00AB51C6" w:rsidRPr="00AB51C6">
        <w:t>in formazione</w:t>
      </w:r>
      <w:r w:rsidR="00212396">
        <w:t xml:space="preserve"> specialistica»</w:t>
      </w:r>
      <w:r w:rsidR="00AB51C6" w:rsidRPr="00AB51C6">
        <w:t xml:space="preserve"> (</w:t>
      </w:r>
      <w:r w:rsidR="00AB51C6" w:rsidRPr="00BB0C48">
        <w:rPr>
          <w:highlight w:val="yellow"/>
        </w:rPr>
        <w:t xml:space="preserve">figura </w:t>
      </w:r>
      <w:r w:rsidR="0027461A">
        <w:rPr>
          <w:highlight w:val="yellow"/>
        </w:rPr>
        <w:t>1</w:t>
      </w:r>
      <w:r w:rsidR="00AB51C6" w:rsidRPr="00BB0C48">
        <w:rPr>
          <w:highlight w:val="yellow"/>
        </w:rPr>
        <w:t xml:space="preserve"> e</w:t>
      </w:r>
      <w:r w:rsidR="0027461A">
        <w:rPr>
          <w:highlight w:val="yellow"/>
        </w:rPr>
        <w:t xml:space="preserve"> tabella 1</w:t>
      </w:r>
      <w:r w:rsidR="00AB51C6" w:rsidRPr="00AB51C6">
        <w:t>)</w:t>
      </w:r>
      <w:r w:rsidR="00C905C8">
        <w:t>.</w:t>
      </w:r>
    </w:p>
    <w:p w14:paraId="7CFB554F" w14:textId="0D86DD25" w:rsidR="00E13FF9" w:rsidRDefault="00E13FF9" w:rsidP="00472233">
      <w:pPr>
        <w:pStyle w:val="Paragrafoelenco"/>
        <w:numPr>
          <w:ilvl w:val="0"/>
          <w:numId w:val="35"/>
        </w:numPr>
        <w:spacing w:line="276" w:lineRule="auto"/>
        <w:jc w:val="both"/>
      </w:pPr>
      <w:r>
        <w:t xml:space="preserve">Le carenze </w:t>
      </w:r>
      <w:r w:rsidR="00A30901">
        <w:t xml:space="preserve">sono </w:t>
      </w:r>
      <w:r>
        <w:t>selettive</w:t>
      </w:r>
      <w:r w:rsidR="00A30901">
        <w:t xml:space="preserve"> e</w:t>
      </w:r>
      <w:r>
        <w:t xml:space="preserve"> riguardano i medici di famiglia (al 1° gennaio 2024 ne mancavano oltre 5.500) e tutte le specialità </w:t>
      </w:r>
      <w:r w:rsidR="00A30901">
        <w:t xml:space="preserve">meno </w:t>
      </w:r>
      <w:r>
        <w:t xml:space="preserve">attrattive: </w:t>
      </w:r>
      <w:r w:rsidR="00472233">
        <w:t>emergenza-</w:t>
      </w:r>
      <w:r>
        <w:t>urgenza</w:t>
      </w:r>
      <w:r w:rsidR="00AD4D14">
        <w:t>,</w:t>
      </w:r>
      <w:r>
        <w:t xml:space="preserve"> </w:t>
      </w:r>
      <w:r w:rsidR="00A30901">
        <w:t>discipline</w:t>
      </w:r>
      <w:r>
        <w:t xml:space="preserve"> di laboratorio, radioterapi</w:t>
      </w:r>
      <w:r w:rsidR="00A30901">
        <w:t>a</w:t>
      </w:r>
      <w:r w:rsidR="00AD4D14">
        <w:t>,</w:t>
      </w:r>
      <w:r w:rsidR="00A30901">
        <w:t xml:space="preserve"> </w:t>
      </w:r>
      <w:r w:rsidR="00472233">
        <w:t>medicina nucleare</w:t>
      </w:r>
      <w:r w:rsidR="00A30901">
        <w:t xml:space="preserve">, </w:t>
      </w:r>
      <w:r w:rsidR="00E35858">
        <w:t>cure palliative</w:t>
      </w:r>
      <w:r w:rsidR="00AD4D14">
        <w:t>,</w:t>
      </w:r>
      <w:r w:rsidR="00472233" w:rsidRPr="00212396">
        <w:t xml:space="preserve"> medicina di comunità e delle cure primarie</w:t>
      </w:r>
      <w:r w:rsidR="00462573" w:rsidRPr="00212396">
        <w:t xml:space="preserve"> </w:t>
      </w:r>
      <w:r w:rsidR="00462573">
        <w:t>(</w:t>
      </w:r>
      <w:r w:rsidR="00462573" w:rsidRPr="00462573">
        <w:rPr>
          <w:highlight w:val="yellow"/>
        </w:rPr>
        <w:t xml:space="preserve">tabella </w:t>
      </w:r>
      <w:r w:rsidR="0027461A">
        <w:rPr>
          <w:highlight w:val="yellow"/>
        </w:rPr>
        <w:t>2</w:t>
      </w:r>
      <w:r w:rsidR="00462573">
        <w:t>)</w:t>
      </w:r>
      <w:r>
        <w:t>.</w:t>
      </w:r>
    </w:p>
    <w:p w14:paraId="41DC5F4B" w14:textId="78A8EDCD" w:rsidR="00E13FF9" w:rsidRPr="00E13FF9" w:rsidRDefault="00E13FF9" w:rsidP="00E13FF9">
      <w:pPr>
        <w:pStyle w:val="Paragrafoelenco"/>
        <w:numPr>
          <w:ilvl w:val="0"/>
          <w:numId w:val="35"/>
        </w:numPr>
        <w:spacing w:line="276" w:lineRule="auto"/>
        <w:jc w:val="both"/>
      </w:pPr>
      <w:r>
        <w:t xml:space="preserve">La </w:t>
      </w:r>
      <w:r w:rsidR="002C32A5">
        <w:t>situazione più critica</w:t>
      </w:r>
      <w:r>
        <w:t xml:space="preserve"> riguarda il personale infermieristico: </w:t>
      </w:r>
      <w:r w:rsidR="002C32A5">
        <w:t xml:space="preserve">l’Italia è </w:t>
      </w:r>
      <w:r>
        <w:t>al 23° posto su 31 paesi europei dell’area OCSE</w:t>
      </w:r>
      <w:r w:rsidR="002C32A5">
        <w:t>,</w:t>
      </w:r>
      <w:r>
        <w:t xml:space="preserve"> con 6,9 infermieri per 1.000 abitanti (media OCSE 9,5)</w:t>
      </w:r>
      <w:r w:rsidR="007D126B" w:rsidRPr="007D126B">
        <w:t xml:space="preserve"> </w:t>
      </w:r>
      <w:r w:rsidR="007D126B">
        <w:t>(</w:t>
      </w:r>
      <w:r w:rsidR="007D126B" w:rsidRPr="00462573">
        <w:rPr>
          <w:highlight w:val="yellow"/>
        </w:rPr>
        <w:t xml:space="preserve">figura </w:t>
      </w:r>
      <w:r w:rsidR="007D126B" w:rsidRPr="007D126B">
        <w:rPr>
          <w:highlight w:val="yellow"/>
        </w:rPr>
        <w:t>2</w:t>
      </w:r>
      <w:r w:rsidR="007D126B">
        <w:t xml:space="preserve">). </w:t>
      </w:r>
      <w:r w:rsidR="00AD4D14">
        <w:t xml:space="preserve">«Ma </w:t>
      </w:r>
      <w:r>
        <w:t xml:space="preserve">soprattutto </w:t>
      </w:r>
      <w:r w:rsidR="00AD4D14">
        <w:t xml:space="preserve">– ha spiegato il Presidente – la professione non è più attrattiva e </w:t>
      </w:r>
      <w:r w:rsidR="00C905C8">
        <w:t>i laureati sono</w:t>
      </w:r>
      <w:r>
        <w:t xml:space="preserve"> sempre meno: nell’anno accademico 2025-2026 il numero di domande</w:t>
      </w:r>
      <w:r w:rsidR="002C32A5">
        <w:t xml:space="preserve"> </w:t>
      </w:r>
      <w:r w:rsidR="002C32A5" w:rsidRPr="002C32A5">
        <w:t>di accesso ai corsi di laurea in infermieristica</w:t>
      </w:r>
      <w:r>
        <w:t xml:space="preserve"> è stato addirittura inferiore a quello</w:t>
      </w:r>
      <w:r w:rsidR="00212396">
        <w:t xml:space="preserve"> dei posti disponibili</w:t>
      </w:r>
      <w:r w:rsidR="00AD4D14">
        <w:t>»</w:t>
      </w:r>
      <w:r w:rsidR="00462573">
        <w:t xml:space="preserve"> (</w:t>
      </w:r>
      <w:r w:rsidR="00462573" w:rsidRPr="00462573">
        <w:rPr>
          <w:highlight w:val="yellow"/>
        </w:rPr>
        <w:t xml:space="preserve">figura </w:t>
      </w:r>
      <w:r w:rsidR="007D126B">
        <w:rPr>
          <w:highlight w:val="yellow"/>
        </w:rPr>
        <w:t>3</w:t>
      </w:r>
      <w:r w:rsidR="00462573">
        <w:t>)</w:t>
      </w:r>
      <w:r>
        <w:t xml:space="preserve">.  </w:t>
      </w:r>
    </w:p>
    <w:p w14:paraId="2A74E016" w14:textId="3D62784C" w:rsidR="00E13FF9" w:rsidRDefault="00E13FF9" w:rsidP="00A30901">
      <w:pPr>
        <w:jc w:val="both"/>
      </w:pPr>
    </w:p>
    <w:p w14:paraId="38DD8AF9" w14:textId="67D0578C" w:rsidR="00970049" w:rsidRDefault="008B297C" w:rsidP="00A600A9">
      <w:pPr>
        <w:jc w:val="both"/>
      </w:pPr>
      <w:r>
        <w:rPr>
          <w:b/>
          <w:bCs/>
        </w:rPr>
        <w:lastRenderedPageBreak/>
        <w:t xml:space="preserve">PROFESSIONI SANITARIE: </w:t>
      </w:r>
      <w:r w:rsidRPr="008B297C">
        <w:rPr>
          <w:b/>
          <w:bCs/>
        </w:rPr>
        <w:t>POCHE LEVE CONCRETE</w:t>
      </w:r>
      <w:r w:rsidR="00F76881" w:rsidRPr="00F76881">
        <w:t xml:space="preserve">. </w:t>
      </w:r>
      <w:r w:rsidR="00562D63">
        <w:t>«</w:t>
      </w:r>
      <w:r w:rsidR="00970049">
        <w:t>Di fronte a una crisi senza precedenti del</w:t>
      </w:r>
      <w:r w:rsidR="00E13FF9">
        <w:t xml:space="preserve"> personale sanitario </w:t>
      </w:r>
      <w:r w:rsidR="00C25FEE">
        <w:t>– ha spiegato Cartabellotta – l</w:t>
      </w:r>
      <w:r w:rsidR="00562D63" w:rsidRPr="00565837">
        <w:t xml:space="preserve">a sezione </w:t>
      </w:r>
      <w:r w:rsidR="00562D63">
        <w:t xml:space="preserve">della </w:t>
      </w:r>
      <w:r w:rsidR="00C905C8">
        <w:t xml:space="preserve">legge delega </w:t>
      </w:r>
      <w:r w:rsidR="00970049">
        <w:t>dedicata</w:t>
      </w:r>
      <w:r w:rsidR="00970049" w:rsidRPr="00565837">
        <w:t xml:space="preserve"> </w:t>
      </w:r>
      <w:r w:rsidR="00562D63" w:rsidRPr="00565837">
        <w:t>all</w:t>
      </w:r>
      <w:r w:rsidR="00562D63">
        <w:t>a valorizzazione</w:t>
      </w:r>
      <w:r w:rsidR="00562D63" w:rsidRPr="00565837">
        <w:t xml:space="preserve"> </w:t>
      </w:r>
      <w:r w:rsidR="00562D63">
        <w:t xml:space="preserve">delle </w:t>
      </w:r>
      <w:r w:rsidR="00562D63" w:rsidRPr="00565837">
        <w:t>professioni sanitarie</w:t>
      </w:r>
      <w:r w:rsidR="00562D63">
        <w:t xml:space="preserve"> </w:t>
      </w:r>
      <w:r w:rsidR="00970049">
        <w:t>si limita ad un’elencazione di</w:t>
      </w:r>
      <w:r w:rsidR="00562D63" w:rsidRPr="00565837">
        <w:t xml:space="preserve"> </w:t>
      </w:r>
      <w:r w:rsidR="00970049" w:rsidRPr="00565837">
        <w:t>princ</w:t>
      </w:r>
      <w:r w:rsidR="00970049">
        <w:t>ì</w:t>
      </w:r>
      <w:r w:rsidR="00970049" w:rsidRPr="00565837">
        <w:t xml:space="preserve">pi </w:t>
      </w:r>
      <w:r w:rsidR="00C25FEE">
        <w:t xml:space="preserve">molto </w:t>
      </w:r>
      <w:r w:rsidR="00562D63" w:rsidRPr="00565837">
        <w:t xml:space="preserve">generici, </w:t>
      </w:r>
      <w:r w:rsidR="00C905C8">
        <w:t>offrendo</w:t>
      </w:r>
      <w:r w:rsidR="00970049">
        <w:t xml:space="preserve"> pochissime leve concrete. Il risultato è una norma </w:t>
      </w:r>
      <w:r w:rsidR="00562D63" w:rsidRPr="00565837">
        <w:t>sovrabbondante nella forma</w:t>
      </w:r>
      <w:r w:rsidR="00970049">
        <w:t>, ma povera nella sostanza:</w:t>
      </w:r>
      <w:r w:rsidR="00562D63" w:rsidRPr="00565837">
        <w:t xml:space="preserve"> </w:t>
      </w:r>
      <w:r w:rsidR="00970049">
        <w:t>molte misure sono</w:t>
      </w:r>
      <w:r w:rsidR="00562D63" w:rsidRPr="00565837">
        <w:t xml:space="preserve"> difficilmente attuabili </w:t>
      </w:r>
      <w:r w:rsidR="00970049">
        <w:t>e</w:t>
      </w:r>
      <w:r w:rsidR="00562D63" w:rsidRPr="00565837">
        <w:t xml:space="preserve">, soprattutto, </w:t>
      </w:r>
      <w:r w:rsidR="00970049">
        <w:t>non è previsto alcun investimento</w:t>
      </w:r>
      <w:r w:rsidR="00562D63" w:rsidRPr="00565837">
        <w:t xml:space="preserve"> </w:t>
      </w:r>
      <w:r w:rsidR="00970049" w:rsidRPr="00565837">
        <w:t>aggiuntiv</w:t>
      </w:r>
      <w:r w:rsidR="00970049">
        <w:t>o</w:t>
      </w:r>
      <w:r w:rsidR="00562D63">
        <w:t xml:space="preserve">». In </w:t>
      </w:r>
      <w:r w:rsidR="00AD4D14">
        <w:t>dettaglio</w:t>
      </w:r>
      <w:r w:rsidR="00562D63">
        <w:t>, il</w:t>
      </w:r>
      <w:r w:rsidR="0043123B">
        <w:t xml:space="preserve"> Presidente ha </w:t>
      </w:r>
      <w:r w:rsidR="00970049">
        <w:t xml:space="preserve">illustrato </w:t>
      </w:r>
      <w:r w:rsidR="0043123B">
        <w:t>le valutazioni della Fondazione GIMBE sulle misure previste dal Capo I</w:t>
      </w:r>
      <w:r w:rsidR="00970049">
        <w:t>,</w:t>
      </w:r>
      <w:r w:rsidR="0043123B">
        <w:t xml:space="preserve"> </w:t>
      </w:r>
      <w:r w:rsidR="00970049" w:rsidRPr="00970049">
        <w:t xml:space="preserve">distinguendo tra interventi privi di effetti tangibili, disposizioni che richiedono chiarimenti e misure </w:t>
      </w:r>
      <w:r w:rsidR="00AD4D14">
        <w:t xml:space="preserve">con criticità </w:t>
      </w:r>
      <w:r w:rsidR="00970049" w:rsidRPr="00970049">
        <w:t>di attuazione</w:t>
      </w:r>
      <w:r w:rsidR="0043123B">
        <w:t>.</w:t>
      </w:r>
    </w:p>
    <w:p w14:paraId="2782780F" w14:textId="3B1750E7" w:rsidR="00565837" w:rsidRDefault="0043123B" w:rsidP="000B5D7F">
      <w:pPr>
        <w:jc w:val="both"/>
      </w:pPr>
      <w:r w:rsidRPr="000B5D7F">
        <w:rPr>
          <w:b/>
          <w:bCs/>
        </w:rPr>
        <w:t>Misure senza effetti tangibili</w:t>
      </w:r>
      <w:r w:rsidR="00AB51C6">
        <w:rPr>
          <w:b/>
          <w:bCs/>
        </w:rPr>
        <w:t xml:space="preserve">. </w:t>
      </w:r>
      <w:r w:rsidR="00970049">
        <w:t>Diversi interventi introdotti dalla legge delega appaiono</w:t>
      </w:r>
      <w:r w:rsidR="00AB51C6" w:rsidRPr="00AB51C6">
        <w:t xml:space="preserve">, nel complesso, </w:t>
      </w:r>
      <w:r w:rsidR="00970049">
        <w:t>incapaci di produrre cambiamenti reali</w:t>
      </w:r>
      <w:r w:rsidR="00AB51C6" w:rsidRPr="00AB51C6">
        <w:t>: il riordino dell’impiego degli specializzandi</w:t>
      </w:r>
      <w:r w:rsidR="00970049">
        <w:t>, ad esempio,</w:t>
      </w:r>
      <w:r w:rsidR="00AB51C6" w:rsidRPr="00AB51C6">
        <w:t xml:space="preserve"> non </w:t>
      </w:r>
      <w:r w:rsidR="00970049">
        <w:t>interviene su</w:t>
      </w:r>
      <w:r w:rsidR="00970049" w:rsidRPr="00AB51C6">
        <w:t xml:space="preserve"> </w:t>
      </w:r>
      <w:r w:rsidR="00AB51C6" w:rsidRPr="00AB51C6">
        <w:t>contratti, tutele e continuità formazione</w:t>
      </w:r>
      <w:r w:rsidR="00970049">
        <w:t>-</w:t>
      </w:r>
      <w:r w:rsidR="00AB51C6" w:rsidRPr="00AB51C6">
        <w:t>lavoro</w:t>
      </w:r>
      <w:r w:rsidR="00AB51C6">
        <w:t>.</w:t>
      </w:r>
      <w:r w:rsidR="00AB51C6" w:rsidRPr="00AB51C6">
        <w:t xml:space="preserve"> </w:t>
      </w:r>
      <w:r w:rsidR="00AB51C6">
        <w:t>L</w:t>
      </w:r>
      <w:r w:rsidR="00AB51C6" w:rsidRPr="00AB51C6">
        <w:t xml:space="preserve">e misure </w:t>
      </w:r>
      <w:r w:rsidR="00970049">
        <w:t>finalizzate a “</w:t>
      </w:r>
      <w:r w:rsidR="00AB51C6" w:rsidRPr="00AB51C6">
        <w:t>trattenere</w:t>
      </w:r>
      <w:r w:rsidR="00970049">
        <w:t>”</w:t>
      </w:r>
      <w:r w:rsidR="00AB51C6" w:rsidRPr="00AB51C6">
        <w:t xml:space="preserve"> </w:t>
      </w:r>
      <w:r w:rsidR="00AD4D14">
        <w:t xml:space="preserve">in servizio </w:t>
      </w:r>
      <w:r w:rsidR="00AB51C6" w:rsidRPr="00AB51C6">
        <w:t xml:space="preserve">il personale sanitario si </w:t>
      </w:r>
      <w:r w:rsidR="00C905C8">
        <w:t>limitano a</w:t>
      </w:r>
      <w:r w:rsidR="00970049">
        <w:t xml:space="preserve"> </w:t>
      </w:r>
      <w:r w:rsidR="00AB51C6" w:rsidRPr="00AB51C6">
        <w:t xml:space="preserve">riconoscimenti formali, </w:t>
      </w:r>
      <w:r w:rsidR="00970049">
        <w:t>privi di</w:t>
      </w:r>
      <w:r w:rsidR="00970049" w:rsidRPr="00AB51C6">
        <w:t xml:space="preserve"> </w:t>
      </w:r>
      <w:r w:rsidR="00AB51C6" w:rsidRPr="00AB51C6">
        <w:t xml:space="preserve">progressioni economiche, professionali o incentivi </w:t>
      </w:r>
      <w:r w:rsidR="00970049">
        <w:t>concreti</w:t>
      </w:r>
      <w:r w:rsidR="00AB51C6" w:rsidRPr="00AB51C6">
        <w:t xml:space="preserve">, anche nelle aree </w:t>
      </w:r>
      <w:r w:rsidR="00927668">
        <w:t xml:space="preserve">più </w:t>
      </w:r>
      <w:r w:rsidR="00AB51C6" w:rsidRPr="00AB51C6">
        <w:t xml:space="preserve">disagiate. </w:t>
      </w:r>
      <w:r w:rsidR="00927668">
        <w:t>Analogamente, i</w:t>
      </w:r>
      <w:r w:rsidR="00AB51C6" w:rsidRPr="00AB51C6">
        <w:t xml:space="preserve">l tentativo di </w:t>
      </w:r>
      <w:r w:rsidR="00927668">
        <w:t>affinare la stima del</w:t>
      </w:r>
      <w:r w:rsidR="00AB51C6" w:rsidRPr="00AB51C6">
        <w:t xml:space="preserve"> fabbisogno di specializzandi non affronta il vero nodo</w:t>
      </w:r>
      <w:r w:rsidR="00C905C8">
        <w:t xml:space="preserve">, </w:t>
      </w:r>
      <w:r w:rsidR="00AD4D14">
        <w:t>ovvero</w:t>
      </w:r>
      <w:r w:rsidR="00AB51C6" w:rsidRPr="00AB51C6">
        <w:t xml:space="preserve"> </w:t>
      </w:r>
      <w:r w:rsidR="00927668" w:rsidRPr="00970049">
        <w:rPr>
          <w:bCs/>
        </w:rPr>
        <w:t xml:space="preserve">la crescente disaffezione verso </w:t>
      </w:r>
      <w:r w:rsidR="00927668">
        <w:rPr>
          <w:bCs/>
        </w:rPr>
        <w:t xml:space="preserve">numerose </w:t>
      </w:r>
      <w:r w:rsidR="00AB51C6" w:rsidRPr="00AB51C6">
        <w:t xml:space="preserve">specialità, che alimenta </w:t>
      </w:r>
      <w:r w:rsidR="00927668">
        <w:t xml:space="preserve">le </w:t>
      </w:r>
      <w:r w:rsidR="00AB51C6" w:rsidRPr="00AB51C6">
        <w:t xml:space="preserve">carenze indipendentemente </w:t>
      </w:r>
      <w:r w:rsidR="00927668">
        <w:t xml:space="preserve">da qualsiasi esercizio di </w:t>
      </w:r>
      <w:r w:rsidR="00AB51C6" w:rsidRPr="00AB51C6">
        <w:t>programmazione.</w:t>
      </w:r>
    </w:p>
    <w:p w14:paraId="4B13E461" w14:textId="51113EED" w:rsidR="00AB51C6" w:rsidRDefault="0043123B" w:rsidP="000B5D7F">
      <w:pPr>
        <w:jc w:val="both"/>
      </w:pPr>
      <w:r w:rsidRPr="000B5D7F">
        <w:rPr>
          <w:b/>
          <w:bCs/>
        </w:rPr>
        <w:t>Misure che richiedono chiarimenti</w:t>
      </w:r>
      <w:r w:rsidR="00042E1E">
        <w:t xml:space="preserve">. </w:t>
      </w:r>
      <w:r w:rsidR="00AB51C6" w:rsidRPr="00E2215E">
        <w:t xml:space="preserve">Alcune </w:t>
      </w:r>
      <w:r w:rsidR="00AB51C6">
        <w:t>disposizioni</w:t>
      </w:r>
      <w:r w:rsidR="00AB51C6" w:rsidRPr="00E2215E">
        <w:t xml:space="preserve"> risultano </w:t>
      </w:r>
      <w:r w:rsidR="00927668">
        <w:t>ambigue e poco definite. È il caso dell</w:t>
      </w:r>
      <w:r w:rsidR="00AB51C6" w:rsidRPr="00E2215E">
        <w:t xml:space="preserve">’aggiornamento dei criteri per la formazione manageriale del personale del SSN e </w:t>
      </w:r>
      <w:r w:rsidR="00927668">
        <w:t>del</w:t>
      </w:r>
      <w:r w:rsidR="00AB51C6" w:rsidRPr="00E2215E">
        <w:t xml:space="preserve">la ridefinizione del percorso della medicina generale, </w:t>
      </w:r>
      <w:r w:rsidR="00927668" w:rsidRPr="00970049">
        <w:rPr>
          <w:bCs/>
        </w:rPr>
        <w:t xml:space="preserve">rispetto </w:t>
      </w:r>
      <w:r w:rsidR="00C905C8">
        <w:rPr>
          <w:bCs/>
        </w:rPr>
        <w:t>al</w:t>
      </w:r>
      <w:r w:rsidR="00C905C8" w:rsidRPr="00970049">
        <w:rPr>
          <w:bCs/>
        </w:rPr>
        <w:t xml:space="preserve"> </w:t>
      </w:r>
      <w:r w:rsidR="00927668" w:rsidRPr="00970049">
        <w:rPr>
          <w:bCs/>
        </w:rPr>
        <w:t xml:space="preserve">quale non è chiarito se si intenda o meno istituire </w:t>
      </w:r>
      <w:r w:rsidR="00927668">
        <w:rPr>
          <w:bCs/>
        </w:rPr>
        <w:t xml:space="preserve">una </w:t>
      </w:r>
      <w:r w:rsidR="00AB51C6" w:rsidRPr="00E2215E">
        <w:t>Scuola di Specializzazione</w:t>
      </w:r>
      <w:r w:rsidR="00AD4D14">
        <w:t xml:space="preserve"> e soprattutto allinearsi alla normativa europea</w:t>
      </w:r>
      <w:r w:rsidR="00AB51C6" w:rsidRPr="00E2215E">
        <w:t>.</w:t>
      </w:r>
    </w:p>
    <w:p w14:paraId="5E220933" w14:textId="066050E9" w:rsidR="00970049" w:rsidRPr="00212396" w:rsidRDefault="0043123B" w:rsidP="00970049">
      <w:pPr>
        <w:jc w:val="both"/>
        <w:rPr>
          <w:bCs/>
        </w:rPr>
      </w:pPr>
      <w:r w:rsidRPr="00042E1E">
        <w:rPr>
          <w:b/>
          <w:bCs/>
        </w:rPr>
        <w:t xml:space="preserve">Misure con </w:t>
      </w:r>
      <w:r w:rsidR="00927668">
        <w:rPr>
          <w:b/>
          <w:bCs/>
        </w:rPr>
        <w:t>criticità attuative</w:t>
      </w:r>
      <w:r w:rsidR="00AB51C6">
        <w:rPr>
          <w:b/>
          <w:bCs/>
        </w:rPr>
        <w:t xml:space="preserve">. </w:t>
      </w:r>
      <w:r w:rsidR="00AB51C6" w:rsidRPr="00AB51C6">
        <w:t xml:space="preserve">Altre misure presentano </w:t>
      </w:r>
      <w:r w:rsidR="00927668" w:rsidRPr="00970049">
        <w:rPr>
          <w:bCs/>
        </w:rPr>
        <w:t>criticità ancora più evidenti sul piano dell’</w:t>
      </w:r>
      <w:r w:rsidR="00AB51C6" w:rsidRPr="00AB51C6">
        <w:t xml:space="preserve">attuazione: la semplificazione amministrativa e i meccanismi premiali dipendono quasi interamente da competenze e risorse regionali, </w:t>
      </w:r>
      <w:r w:rsidR="00927668" w:rsidRPr="00970049">
        <w:rPr>
          <w:bCs/>
        </w:rPr>
        <w:t>in un contesto segnato da profonde disomogeneità organizzative e, soprattutto, dall’assenza di risorse aggiuntive</w:t>
      </w:r>
      <w:r w:rsidR="00927668">
        <w:t xml:space="preserve">. Anche il </w:t>
      </w:r>
      <w:r w:rsidR="00AB51C6" w:rsidRPr="00AB51C6">
        <w:t>sistema nazionale di certificazione delle competenze</w:t>
      </w:r>
      <w:r w:rsidR="00AD4D14">
        <w:t xml:space="preserve"> </w:t>
      </w:r>
      <w:r w:rsidR="00AB51C6" w:rsidRPr="00AB51C6">
        <w:t>rischia di restare marginale</w:t>
      </w:r>
      <w:r w:rsidR="00AD4D14">
        <w:t xml:space="preserve">: in Italia la certificazione è </w:t>
      </w:r>
      <w:r w:rsidR="00AD4D14" w:rsidRPr="00AB51C6">
        <w:t>facoltativ</w:t>
      </w:r>
      <w:r w:rsidR="00AD4D14">
        <w:t>a</w:t>
      </w:r>
      <w:r w:rsidR="00AD4D14" w:rsidRPr="00AB51C6">
        <w:t xml:space="preserve"> e </w:t>
      </w:r>
      <w:r w:rsidR="00AD4D14">
        <w:t xml:space="preserve">gestita da </w:t>
      </w:r>
      <w:r w:rsidR="00AD4D14" w:rsidRPr="00AB51C6">
        <w:t>soggetti privati</w:t>
      </w:r>
      <w:r w:rsidR="00AD4D14">
        <w:t xml:space="preserve"> e </w:t>
      </w:r>
      <w:r w:rsidR="00927668">
        <w:t>l’ipotesi di un</w:t>
      </w:r>
      <w:r w:rsidR="00AB51C6" w:rsidRPr="00AB51C6">
        <w:t xml:space="preserve"> </w:t>
      </w:r>
      <w:r w:rsidR="00AB51C6">
        <w:t xml:space="preserve">accreditamento obbligatorio da parte del </w:t>
      </w:r>
      <w:r w:rsidR="00AB51C6" w:rsidRPr="00AB51C6">
        <w:t>sistema pubblico non appare realistic</w:t>
      </w:r>
      <w:r w:rsidR="00AB51C6">
        <w:t>o</w:t>
      </w:r>
      <w:r w:rsidR="00AB51C6" w:rsidRPr="00AB51C6">
        <w:t xml:space="preserve"> nel contesto </w:t>
      </w:r>
      <w:r w:rsidR="00AD4D14">
        <w:t xml:space="preserve">normativo </w:t>
      </w:r>
      <w:r w:rsidR="00AB51C6" w:rsidRPr="00AB51C6">
        <w:t>attuale.</w:t>
      </w:r>
    </w:p>
    <w:p w14:paraId="16F8F2A8" w14:textId="3151722A" w:rsidR="00376166" w:rsidRPr="00E35858" w:rsidRDefault="008B297C" w:rsidP="00E35858">
      <w:pPr>
        <w:jc w:val="both"/>
        <w:rPr>
          <w:b/>
          <w:bCs/>
        </w:rPr>
      </w:pPr>
      <w:r w:rsidRPr="008B297C">
        <w:rPr>
          <w:b/>
          <w:bCs/>
        </w:rPr>
        <w:t>RESPONSABILITÀ PROFESSIONALE</w:t>
      </w:r>
      <w:r>
        <w:rPr>
          <w:b/>
          <w:bCs/>
        </w:rPr>
        <w:t>:</w:t>
      </w:r>
      <w:r w:rsidRPr="008B297C">
        <w:rPr>
          <w:b/>
          <w:bCs/>
        </w:rPr>
        <w:t xml:space="preserve"> ATT</w:t>
      </w:r>
      <w:r>
        <w:rPr>
          <w:b/>
          <w:bCs/>
        </w:rPr>
        <w:t>ENZIONE AL “RIGORE” DELLE FONTI</w:t>
      </w:r>
      <w:r w:rsidR="00A64C82">
        <w:rPr>
          <w:b/>
          <w:bCs/>
        </w:rPr>
        <w:t xml:space="preserve"> E AL VACUUM NORMATIVO</w:t>
      </w:r>
      <w:r>
        <w:rPr>
          <w:b/>
          <w:bCs/>
        </w:rPr>
        <w:t xml:space="preserve">. </w:t>
      </w:r>
      <w:r w:rsidR="00E35858">
        <w:rPr>
          <w:b/>
          <w:bCs/>
        </w:rPr>
        <w:t xml:space="preserve"> </w:t>
      </w:r>
      <w:r w:rsidR="00E35858">
        <w:rPr>
          <w:b/>
          <w:bCs/>
        </w:rPr>
        <w:br/>
      </w:r>
      <w:r w:rsidR="00AB51C6" w:rsidRPr="00AB51C6">
        <w:t xml:space="preserve">Il Capo II del </w:t>
      </w:r>
      <w:proofErr w:type="spellStart"/>
      <w:r w:rsidR="00AB51C6" w:rsidRPr="00AB51C6">
        <w:t>DdL</w:t>
      </w:r>
      <w:proofErr w:type="spellEnd"/>
      <w:r w:rsidR="00AB51C6" w:rsidRPr="00AB51C6">
        <w:t xml:space="preserve"> delega rafforza lo scudo penale per i professionisti sanitari e tiene conto delle criticità organizzative del SSN</w:t>
      </w:r>
      <w:r w:rsidR="00AD4D14">
        <w:t xml:space="preserve"> per </w:t>
      </w:r>
      <w:r w:rsidR="00AB51C6" w:rsidRPr="00AB51C6">
        <w:t>limitare la responsabilità penale e civile. Tuttavia, questa impostazione presenta criticità rilevanti legate all’evoluzione del Sistema Nazionale Linee Guida (SNLG).</w:t>
      </w:r>
      <w:r w:rsidR="00AB51C6">
        <w:t xml:space="preserve"> </w:t>
      </w:r>
      <w:r w:rsidR="00AB51C6" w:rsidRPr="00AB51C6">
        <w:t xml:space="preserve">Negli ultimi anni, infatti, la produzione documentale si è progressivamente spostata dalle linee guida alle buone pratiche clinico-assistenziali (BPCA), spesso basate sul consenso </w:t>
      </w:r>
      <w:r w:rsidR="00376166">
        <w:t xml:space="preserve">tra esperti </w:t>
      </w:r>
      <w:r w:rsidR="00AB51C6" w:rsidRPr="00AB51C6">
        <w:t>e caratterizzate da un minore rigore metodologico. «Questa involuzione – spiega Nino Cartabellotta – non è stata accompagnata da un necessario intervento normativo, creando un vuoto che si riflette direttamente sulla responsabilità penale e civile dei professionisti sanitari</w:t>
      </w:r>
      <w:r w:rsidR="00125268" w:rsidRPr="007313B0">
        <w:t>»</w:t>
      </w:r>
      <w:r w:rsidR="00AB51C6" w:rsidRPr="00AB51C6">
        <w:t xml:space="preserve">. Le società scientifiche, infatti, sono chiamate per legge a produrre linee guida, ma non buone pratiche clinico-assistenziali. </w:t>
      </w:r>
      <w:r w:rsidR="007313B0" w:rsidRPr="007313B0">
        <w:t xml:space="preserve">«La </w:t>
      </w:r>
      <w:r w:rsidR="007313B0">
        <w:t>scelta</w:t>
      </w:r>
      <w:r w:rsidR="007313B0" w:rsidRPr="007313B0">
        <w:t xml:space="preserve"> dell’Istituto Superiore di Sanità di estendere alle società scientifiche la possibilità di elaborare BPCA </w:t>
      </w:r>
      <w:r w:rsidR="00376166" w:rsidRPr="007313B0">
        <w:t xml:space="preserve">– ha precisato Cartabellotta – </w:t>
      </w:r>
      <w:r w:rsidR="007313B0" w:rsidRPr="007313B0">
        <w:t xml:space="preserve">è </w:t>
      </w:r>
      <w:r w:rsidR="007313B0">
        <w:t xml:space="preserve">avvenuta </w:t>
      </w:r>
      <w:r w:rsidR="007313B0" w:rsidRPr="007313B0">
        <w:t>senza sanare una lacuna normativa</w:t>
      </w:r>
      <w:r w:rsidR="007313B0">
        <w:t>,</w:t>
      </w:r>
      <w:r w:rsidR="007313B0" w:rsidRPr="007313B0">
        <w:t xml:space="preserve"> </w:t>
      </w:r>
      <w:r w:rsidR="007313B0" w:rsidRPr="00AB51C6">
        <w:t xml:space="preserve">con il rischio di indebolire le tutele giuridiche </w:t>
      </w:r>
      <w:r w:rsidR="00376166">
        <w:t>dei</w:t>
      </w:r>
      <w:r w:rsidR="007313B0" w:rsidRPr="00AB51C6">
        <w:t xml:space="preserve"> professionisti</w:t>
      </w:r>
      <w:r w:rsidR="007313B0">
        <w:t xml:space="preserve"> sanitari, sia in ambito penale che </w:t>
      </w:r>
      <w:r w:rsidR="007313B0" w:rsidRPr="007313B0">
        <w:t>civile».</w:t>
      </w:r>
      <w:r w:rsidR="00AD4D14">
        <w:t xml:space="preserve"> Di conseguenza, l</w:t>
      </w:r>
      <w:r w:rsidR="00AD4D14" w:rsidRPr="00AB51C6">
        <w:t>a parificazione tra linee guida e BPCA rischia di generare incertezza applicativa, ampliare la discrezionalità dei giudici e</w:t>
      </w:r>
      <w:r w:rsidR="00AD4D14">
        <w:t>, paradossalmente,</w:t>
      </w:r>
      <w:r w:rsidR="00AD4D14" w:rsidRPr="00AB51C6">
        <w:t xml:space="preserve"> aument</w:t>
      </w:r>
      <w:r w:rsidR="00AD4D14">
        <w:t>are i</w:t>
      </w:r>
      <w:r w:rsidR="00AD4D14" w:rsidRPr="00AB51C6">
        <w:t>l contenzioso</w:t>
      </w:r>
      <w:r w:rsidR="00AD4D14">
        <w:t>.</w:t>
      </w:r>
    </w:p>
    <w:p w14:paraId="7546207C" w14:textId="17B6C927" w:rsidR="00376166" w:rsidRDefault="00125268" w:rsidP="00E2659A">
      <w:pPr>
        <w:jc w:val="both"/>
      </w:pPr>
      <w:r w:rsidRPr="00125268">
        <w:rPr>
          <w:b/>
          <w:bCs/>
        </w:rPr>
        <w:t>IL NODO DELLE RISORSE: UNA RIFORMA SULLA CARTA</w:t>
      </w:r>
      <w:r w:rsidR="00992CCB">
        <w:rPr>
          <w:b/>
          <w:bCs/>
        </w:rPr>
        <w:t xml:space="preserve">. </w:t>
      </w:r>
      <w:r w:rsidR="00376166" w:rsidRPr="00376166">
        <w:rPr>
          <w:bCs/>
        </w:rPr>
        <w:t>Nel corso dell’audizione,</w:t>
      </w:r>
      <w:r w:rsidR="00376166">
        <w:rPr>
          <w:b/>
          <w:bCs/>
        </w:rPr>
        <w:t xml:space="preserve"> </w:t>
      </w:r>
      <w:r w:rsidR="00376166">
        <w:t xml:space="preserve">il </w:t>
      </w:r>
      <w:r w:rsidR="002A701A">
        <w:t xml:space="preserve">Presidente ha documentato </w:t>
      </w:r>
      <w:r w:rsidR="00376166">
        <w:t xml:space="preserve">come, </w:t>
      </w:r>
      <w:r w:rsidR="002A701A">
        <w:t xml:space="preserve">nel </w:t>
      </w:r>
      <w:r w:rsidR="002A701A" w:rsidRPr="002A701A">
        <w:t>periodo 2012-2024</w:t>
      </w:r>
      <w:r w:rsidR="00376166">
        <w:t>,</w:t>
      </w:r>
      <w:r w:rsidR="002A701A" w:rsidRPr="002A701A">
        <w:t xml:space="preserve"> </w:t>
      </w:r>
      <w:r w:rsidR="002A701A">
        <w:t xml:space="preserve">il capitolo di spesa </w:t>
      </w:r>
      <w:r w:rsidR="002A701A" w:rsidRPr="002A701A">
        <w:t xml:space="preserve">per il personale sanitario </w:t>
      </w:r>
      <w:r w:rsidR="00376166">
        <w:t>sia</w:t>
      </w:r>
      <w:r w:rsidR="00376166" w:rsidRPr="002A701A">
        <w:t xml:space="preserve"> </w:t>
      </w:r>
      <w:r w:rsidR="002A701A" w:rsidRPr="002A701A">
        <w:t xml:space="preserve">stato notevolmente </w:t>
      </w:r>
      <w:r w:rsidR="005F4E9B">
        <w:t>sacrificato</w:t>
      </w:r>
      <w:r w:rsidR="002A701A" w:rsidRPr="002A701A">
        <w:t>. In termini percentuali, la quota destinata al personale dipendente e convenzionato è scesa dal 39,7% del 2012 al 36,6% del 2024 (</w:t>
      </w:r>
      <w:r w:rsidR="002A701A" w:rsidRPr="00A64C82">
        <w:rPr>
          <w:highlight w:val="yellow"/>
        </w:rPr>
        <w:t xml:space="preserve">figura </w:t>
      </w:r>
      <w:r w:rsidR="001A7B97">
        <w:rPr>
          <w:highlight w:val="yellow"/>
        </w:rPr>
        <w:t>4</w:t>
      </w:r>
      <w:r w:rsidR="002A701A">
        <w:t>)</w:t>
      </w:r>
      <w:r w:rsidR="002A701A" w:rsidRPr="002A701A">
        <w:t>.</w:t>
      </w:r>
      <w:r w:rsidR="002A701A">
        <w:t xml:space="preserve"> </w:t>
      </w:r>
      <w:r w:rsidR="002A701A" w:rsidRPr="002A701A">
        <w:t xml:space="preserve">L’entità della riduzione emerge </w:t>
      </w:r>
      <w:r w:rsidR="00AD4D14">
        <w:t xml:space="preserve">in tutta la sua gravità </w:t>
      </w:r>
      <w:r w:rsidR="002A701A" w:rsidRPr="002A701A">
        <w:t xml:space="preserve">da una simulazione che ipotizza </w:t>
      </w:r>
      <w:r w:rsidR="00376166">
        <w:t>il mantenimento</w:t>
      </w:r>
      <w:r w:rsidR="002A701A" w:rsidRPr="002A701A">
        <w:t xml:space="preserve"> costante, </w:t>
      </w:r>
      <w:r w:rsidR="00376166">
        <w:t>nel</w:t>
      </w:r>
      <w:r w:rsidR="002A701A" w:rsidRPr="002A701A">
        <w:t xml:space="preserve"> periodo 2012-2024, </w:t>
      </w:r>
      <w:r w:rsidR="00376166">
        <w:t>del</w:t>
      </w:r>
      <w:r w:rsidR="002A701A" w:rsidRPr="002A701A">
        <w:t xml:space="preserve">la quota di spesa per </w:t>
      </w:r>
      <w:r w:rsidR="002A701A" w:rsidRPr="002A701A">
        <w:lastRenderedPageBreak/>
        <w:t xml:space="preserve">il personale </w:t>
      </w:r>
      <w:r w:rsidR="00AD4D14">
        <w:t xml:space="preserve">del </w:t>
      </w:r>
      <w:r w:rsidR="002A701A" w:rsidRPr="002A701A">
        <w:t xml:space="preserve">2012 (39,7%). </w:t>
      </w:r>
      <w:r w:rsidR="00AD4D14">
        <w:t>In soli 12 anni il personale sanitario del SSN ha</w:t>
      </w:r>
      <w:r w:rsidR="002A701A" w:rsidRPr="002A701A">
        <w:t xml:space="preserve"> complessivamente </w:t>
      </w:r>
      <w:r w:rsidR="00376166">
        <w:t>“</w:t>
      </w:r>
      <w:r w:rsidR="00376166" w:rsidRPr="002A701A">
        <w:t>pers</w:t>
      </w:r>
      <w:r w:rsidR="00AD4D14">
        <w:t>o</w:t>
      </w:r>
      <w:r w:rsidR="00376166">
        <w:t>”</w:t>
      </w:r>
      <w:r w:rsidR="00376166" w:rsidRPr="002A701A">
        <w:t xml:space="preserve"> </w:t>
      </w:r>
      <w:r w:rsidR="002A701A" w:rsidRPr="002A701A">
        <w:t>€ 33,04 miliardi, di cui € 12,82</w:t>
      </w:r>
      <w:r w:rsidR="00376166">
        <w:t xml:space="preserve"> miliardi</w:t>
      </w:r>
      <w:r w:rsidR="002A701A" w:rsidRPr="002A701A">
        <w:t xml:space="preserve"> nel</w:t>
      </w:r>
      <w:r w:rsidR="00376166">
        <w:t xml:space="preserve"> solo</w:t>
      </w:r>
      <w:r w:rsidR="002A701A" w:rsidRPr="002A701A">
        <w:t xml:space="preserve"> periodo 2020-2024 </w:t>
      </w:r>
      <w:r w:rsidR="002A701A">
        <w:t>(</w:t>
      </w:r>
      <w:r w:rsidR="002A701A" w:rsidRPr="00A64C82">
        <w:rPr>
          <w:highlight w:val="yellow"/>
        </w:rPr>
        <w:t xml:space="preserve">figura </w:t>
      </w:r>
      <w:r w:rsidR="001A7B97">
        <w:rPr>
          <w:highlight w:val="yellow"/>
        </w:rPr>
        <w:t>5</w:t>
      </w:r>
      <w:r w:rsidR="002A701A">
        <w:t xml:space="preserve">). </w:t>
      </w:r>
      <w:r w:rsidR="00E2659A">
        <w:t>«</w:t>
      </w:r>
      <w:r w:rsidR="00E2215E">
        <w:t xml:space="preserve">È </w:t>
      </w:r>
      <w:r w:rsidR="00E2659A">
        <w:t xml:space="preserve">del tutto evidente – ha commentato il Presidente – che un “saccheggio” di risorse pubbliche di tale </w:t>
      </w:r>
      <w:r w:rsidR="00376166">
        <w:t xml:space="preserve">portata </w:t>
      </w:r>
      <w:r w:rsidR="00E2659A">
        <w:t xml:space="preserve">ha </w:t>
      </w:r>
      <w:r w:rsidR="00376166">
        <w:t xml:space="preserve">progressivamente </w:t>
      </w:r>
      <w:r w:rsidR="00E2659A">
        <w:t xml:space="preserve">indebolito e demotivato il capitale umano del SSN, alimentando l’abbandono del servizio pubblico e la </w:t>
      </w:r>
      <w:r w:rsidR="00376166" w:rsidRPr="00376166">
        <w:t xml:space="preserve">crescente disaffezione verso </w:t>
      </w:r>
      <w:r w:rsidR="00E2659A">
        <w:t>alcune professioni e specialità»</w:t>
      </w:r>
      <w:r w:rsidR="00C905C8">
        <w:t>.</w:t>
      </w:r>
    </w:p>
    <w:p w14:paraId="65E40E72" w14:textId="23199C3A" w:rsidR="00AD4D14" w:rsidRDefault="002A701A" w:rsidP="00B2757B">
      <w:pPr>
        <w:spacing w:after="0"/>
        <w:jc w:val="both"/>
      </w:pPr>
      <w:r>
        <w:t>«</w:t>
      </w:r>
      <w:r w:rsidR="00E2215E" w:rsidRPr="00E2659A">
        <w:t xml:space="preserve">Senza </w:t>
      </w:r>
      <w:r w:rsidR="00E2659A" w:rsidRPr="00E2659A">
        <w:t>risorse aggiuntive e vincolate al personale sanitario</w:t>
      </w:r>
      <w:r w:rsidR="00E2215E">
        <w:t xml:space="preserve"> – ha concluso Cartabellotta –</w:t>
      </w:r>
      <w:r w:rsidR="00E2659A" w:rsidRPr="00E2659A">
        <w:t xml:space="preserve"> la </w:t>
      </w:r>
      <w:r w:rsidR="00105BFE">
        <w:t>l</w:t>
      </w:r>
      <w:r w:rsidR="00105BFE" w:rsidRPr="00E2659A">
        <w:t xml:space="preserve">egge </w:t>
      </w:r>
      <w:r w:rsidR="00E2659A" w:rsidRPr="00E2659A">
        <w:t xml:space="preserve">delega e i successivi </w:t>
      </w:r>
      <w:r w:rsidR="00EC5A04">
        <w:t>decreti legislativi</w:t>
      </w:r>
      <w:r w:rsidR="00E2659A" w:rsidRPr="00E2659A">
        <w:t xml:space="preserve"> rischiano di </w:t>
      </w:r>
      <w:r w:rsidR="00EC5A04">
        <w:t xml:space="preserve">ridursi a </w:t>
      </w:r>
      <w:r w:rsidR="00E2659A" w:rsidRPr="00E2659A">
        <w:t>un intervento meramente ordinamentale</w:t>
      </w:r>
      <w:r w:rsidR="00EC5A04">
        <w:t>,</w:t>
      </w:r>
      <w:r w:rsidR="00E2659A" w:rsidRPr="00E2659A">
        <w:t xml:space="preserve"> </w:t>
      </w:r>
      <w:r w:rsidR="00EC5A04">
        <w:t>incapace di incidere</w:t>
      </w:r>
      <w:r w:rsidR="00E2659A" w:rsidRPr="00E2659A">
        <w:t xml:space="preserve"> sulla crisi </w:t>
      </w:r>
      <w:r w:rsidR="00EC5A04">
        <w:t xml:space="preserve">strutturale </w:t>
      </w:r>
      <w:r w:rsidR="00E2659A" w:rsidRPr="00E2659A">
        <w:t>del personale sanitario, in termini sia di attrattività delle professioni e delle specialità</w:t>
      </w:r>
      <w:r w:rsidR="00EC5A04">
        <w:t xml:space="preserve"> più</w:t>
      </w:r>
      <w:r w:rsidR="00E2659A" w:rsidRPr="00E2659A">
        <w:t xml:space="preserve"> disertate, sia di capacità di </w:t>
      </w:r>
      <w:r w:rsidR="00EC5A04">
        <w:t>trattenere i professionisti nel servizio pubblico</w:t>
      </w:r>
      <w:r w:rsidR="00E2659A">
        <w:t xml:space="preserve">. </w:t>
      </w:r>
      <w:r w:rsidR="00EC5A04">
        <w:t>In assenza di</w:t>
      </w:r>
      <w:r w:rsidR="00E2659A" w:rsidRPr="00E2659A">
        <w:t xml:space="preserve"> criteri </w:t>
      </w:r>
      <w:r w:rsidR="00EC5A04" w:rsidRPr="00E2659A">
        <w:t xml:space="preserve">rigorosi </w:t>
      </w:r>
      <w:r w:rsidR="00E2659A" w:rsidRPr="00E2659A">
        <w:t xml:space="preserve">per la determinazione dei fabbisogni, </w:t>
      </w:r>
      <w:r w:rsidR="00EC5A04">
        <w:t xml:space="preserve">la riforma </w:t>
      </w:r>
      <w:r w:rsidR="00E2659A" w:rsidRPr="00E2659A">
        <w:t xml:space="preserve">rischia </w:t>
      </w:r>
      <w:r w:rsidR="00EC5A04">
        <w:t xml:space="preserve">inoltre </w:t>
      </w:r>
      <w:r w:rsidR="00E2659A" w:rsidRPr="00E2659A">
        <w:t xml:space="preserve">di produrre interventi disomogenei e </w:t>
      </w:r>
      <w:r w:rsidR="00EC5A04">
        <w:t xml:space="preserve">di </w:t>
      </w:r>
      <w:r w:rsidR="00E2659A" w:rsidRPr="00E2659A">
        <w:t>aggravare le diseguaglianze territoriali, anche in considerazione della legge sull’autonomia differenziata</w:t>
      </w:r>
      <w:r w:rsidR="00E2659A">
        <w:t>.</w:t>
      </w:r>
      <w:r w:rsidR="00EC5A04">
        <w:t xml:space="preserve"> </w:t>
      </w:r>
      <w:r w:rsidR="00125268">
        <w:t>È molto grave perché</w:t>
      </w:r>
      <w:r w:rsidR="00DC6FFE">
        <w:t xml:space="preserve"> </w:t>
      </w:r>
      <w:r w:rsidR="00212396">
        <w:t>q</w:t>
      </w:r>
      <w:r w:rsidR="00EC5A04" w:rsidRPr="00EC5A04">
        <w:t xml:space="preserve">uesta riforma rappresenta un’ultima chiamata per </w:t>
      </w:r>
      <w:r w:rsidR="006B5F3A">
        <w:t xml:space="preserve">rilanciare </w:t>
      </w:r>
      <w:r w:rsidR="00EC5A04" w:rsidRPr="00EC5A04">
        <w:t>le politiche del personale sanitario</w:t>
      </w:r>
      <w:r w:rsidR="006B5F3A">
        <w:t>. S</w:t>
      </w:r>
      <w:r w:rsidR="00EC5A04" w:rsidRPr="00EC5A04">
        <w:t>e anche questa volta si interverrà senza risorse, senza scelte strutturali e senza una visione di lungo periodo, il SSN non avrà più margini per recuperare il capitale umano perduto</w:t>
      </w:r>
      <w:r w:rsidR="00EC5A04">
        <w:t>.</w:t>
      </w:r>
      <w:r w:rsidR="00E2659A">
        <w:t xml:space="preserve"> </w:t>
      </w:r>
      <w:r w:rsidR="00EC5A04">
        <w:t xml:space="preserve">In presenza della </w:t>
      </w:r>
      <w:r>
        <w:t>clausola di invarianza finanziaria</w:t>
      </w:r>
      <w:r w:rsidR="00EC5A04">
        <w:t xml:space="preserve">, </w:t>
      </w:r>
      <w:r w:rsidR="001F67CF">
        <w:t xml:space="preserve">la </w:t>
      </w:r>
      <w:r w:rsidR="00105BFE">
        <w:t xml:space="preserve">legge delega </w:t>
      </w:r>
      <w:r>
        <w:t xml:space="preserve">sulle professioni sanitarie </w:t>
      </w:r>
      <w:r w:rsidR="00105BFE">
        <w:t xml:space="preserve">si traduce in </w:t>
      </w:r>
      <w:r w:rsidR="00EC5A04">
        <w:t>un</w:t>
      </w:r>
      <w:r w:rsidRPr="00F60CBB">
        <w:t xml:space="preserve"> mero esercizio di stile, rendendo </w:t>
      </w:r>
      <w:r w:rsidR="00EC5A04">
        <w:t xml:space="preserve">di fatto </w:t>
      </w:r>
      <w:r w:rsidRPr="00F60CBB">
        <w:t xml:space="preserve">impossibile il rilancio delle politiche del personale sanitario, </w:t>
      </w:r>
      <w:r w:rsidRPr="00212396">
        <w:rPr>
          <w:i/>
        </w:rPr>
        <w:t>condicio sine qua non</w:t>
      </w:r>
      <w:r w:rsidRPr="00F60CBB">
        <w:t xml:space="preserve"> per la sopravvivenza del SSN</w:t>
      </w:r>
      <w:r>
        <w:t xml:space="preserve"> e per la tutela della salute pubblica»</w:t>
      </w:r>
      <w:r w:rsidR="00EC5A04">
        <w:t>.</w:t>
      </w:r>
    </w:p>
    <w:p w14:paraId="3BD7669B" w14:textId="77777777" w:rsidR="00AD4D14" w:rsidRDefault="00AD4D14" w:rsidP="00E3755B">
      <w:pPr>
        <w:spacing w:after="0"/>
      </w:pPr>
    </w:p>
    <w:p w14:paraId="004723C6" w14:textId="790B26AB" w:rsidR="00E3755B" w:rsidRPr="00AD4D14" w:rsidRDefault="00E3755B" w:rsidP="00E3755B">
      <w:pPr>
        <w:spacing w:after="0"/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44340B9E" w14:textId="77777777"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1BAE7814" w14:textId="77777777" w:rsidR="00505619" w:rsidRDefault="00E3755B" w:rsidP="00171A9C">
      <w:pPr>
        <w:spacing w:after="0"/>
        <w:rPr>
          <w:rStyle w:val="Collegamentoipertestuale"/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8" w:history="1">
        <w:r w:rsidR="00B66D4E" w:rsidRPr="004051FE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45337AB3" w14:textId="66502446" w:rsidR="0027461A" w:rsidRDefault="0027461A">
      <w:pPr>
        <w:rPr>
          <w:rFonts w:cstheme="minorHAnsi"/>
          <w:b/>
          <w:color w:val="00457D"/>
          <w:sz w:val="20"/>
        </w:rPr>
      </w:pPr>
      <w:r>
        <w:rPr>
          <w:rFonts w:cstheme="minorHAnsi"/>
          <w:b/>
          <w:color w:val="00457D"/>
          <w:sz w:val="20"/>
        </w:rPr>
        <w:br w:type="page"/>
      </w:r>
    </w:p>
    <w:p w14:paraId="00C02DAA" w14:textId="5E923B81" w:rsidR="0027461A" w:rsidRDefault="0027461A" w:rsidP="0027461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Cs/>
          <w:color w:val="00457D"/>
          <w:sz w:val="20"/>
          <w:szCs w:val="20"/>
          <w:lang w:eastAsia="it-IT"/>
        </w:rPr>
      </w:pPr>
      <w:r w:rsidRPr="00B115C3">
        <w:rPr>
          <w:rFonts w:cstheme="minorHAnsi"/>
          <w:b/>
          <w:color w:val="00457D"/>
          <w:sz w:val="20"/>
          <w:szCs w:val="20"/>
          <w:lang w:eastAsia="it-IT"/>
        </w:rPr>
        <w:lastRenderedPageBreak/>
        <w:t xml:space="preserve">Figura </w:t>
      </w:r>
      <w:r>
        <w:rPr>
          <w:rFonts w:cstheme="minorHAnsi"/>
          <w:b/>
          <w:color w:val="00457D"/>
          <w:sz w:val="20"/>
          <w:szCs w:val="20"/>
          <w:lang w:eastAsia="it-IT"/>
        </w:rPr>
        <w:t>1</w:t>
      </w:r>
      <w:r w:rsidRPr="00B115C3">
        <w:rPr>
          <w:rFonts w:cstheme="minorHAnsi"/>
          <w:b/>
          <w:color w:val="00457D"/>
          <w:sz w:val="20"/>
          <w:szCs w:val="20"/>
          <w:lang w:eastAsia="it-IT"/>
        </w:rPr>
        <w:t>. Medici per 1.000 abitanti</w:t>
      </w:r>
      <w:r w:rsidRPr="00B115C3">
        <w:rPr>
          <w:rFonts w:cstheme="minorHAnsi"/>
          <w:b/>
          <w:color w:val="00457D"/>
          <w:sz w:val="20"/>
          <w:szCs w:val="20"/>
          <w:lang w:eastAsia="it-IT"/>
        </w:rPr>
        <w:br/>
      </w:r>
      <w:r w:rsidRPr="00B115C3">
        <w:rPr>
          <w:rFonts w:cstheme="minorHAnsi"/>
          <w:bCs/>
          <w:color w:val="00457D"/>
          <w:sz w:val="20"/>
          <w:szCs w:val="20"/>
          <w:lang w:eastAsia="it-IT"/>
        </w:rPr>
        <w:t>(dati OCSE, anno 2023 o più recente disponibile)</w:t>
      </w:r>
      <w:r w:rsidRPr="00B115C3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67A47F57" wp14:editId="2CB6095F">
            <wp:extent cx="5040000" cy="2648141"/>
            <wp:effectExtent l="0" t="0" r="8255" b="0"/>
            <wp:docPr id="64552868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64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30ACE" w14:textId="77777777" w:rsidR="0027461A" w:rsidRDefault="0027461A" w:rsidP="0027461A">
      <w:pPr>
        <w:spacing w:after="120"/>
        <w:jc w:val="center"/>
        <w:rPr>
          <w:rFonts w:cs="Calibri"/>
          <w:b/>
          <w:color w:val="00457D"/>
          <w:sz w:val="24"/>
          <w:szCs w:val="24"/>
        </w:rPr>
      </w:pPr>
    </w:p>
    <w:p w14:paraId="41C4D3C9" w14:textId="3CA562FB" w:rsidR="0027461A" w:rsidRPr="0074340E" w:rsidRDefault="0027461A" w:rsidP="0027461A">
      <w:pPr>
        <w:spacing w:after="120"/>
        <w:jc w:val="center"/>
        <w:rPr>
          <w:rFonts w:cs="Calibri"/>
          <w:b/>
          <w:color w:val="00457D"/>
          <w:sz w:val="24"/>
          <w:szCs w:val="24"/>
        </w:rPr>
      </w:pPr>
      <w:r w:rsidRPr="0074340E">
        <w:rPr>
          <w:rFonts w:cs="Calibri"/>
          <w:b/>
          <w:color w:val="00457D"/>
          <w:sz w:val="24"/>
          <w:szCs w:val="24"/>
        </w:rPr>
        <w:t xml:space="preserve">Tabella </w:t>
      </w:r>
      <w:r>
        <w:rPr>
          <w:rFonts w:cs="Calibri"/>
          <w:b/>
          <w:color w:val="00457D"/>
          <w:sz w:val="24"/>
          <w:szCs w:val="24"/>
        </w:rPr>
        <w:t>1</w:t>
      </w:r>
      <w:r w:rsidRPr="0074340E">
        <w:rPr>
          <w:rFonts w:cs="Calibri"/>
          <w:b/>
          <w:color w:val="00457D"/>
          <w:sz w:val="24"/>
          <w:szCs w:val="24"/>
        </w:rPr>
        <w:t>. Medici: confronto tra le fonti analizzate (anno 2023)</w:t>
      </w:r>
    </w:p>
    <w:tbl>
      <w:tblPr>
        <w:tblW w:w="8926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4"/>
        <w:gridCol w:w="904"/>
        <w:gridCol w:w="904"/>
        <w:gridCol w:w="905"/>
        <w:gridCol w:w="904"/>
        <w:gridCol w:w="905"/>
      </w:tblGrid>
      <w:tr w:rsidR="0027461A" w:rsidRPr="00D14C7D" w14:paraId="3A4236CD" w14:textId="77777777" w:rsidTr="00811A78">
        <w:trPr>
          <w:trHeight w:val="397"/>
          <w:jc w:val="center"/>
        </w:trPr>
        <w:tc>
          <w:tcPr>
            <w:tcW w:w="4404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6FDA8A0" w14:textId="77777777" w:rsidR="0027461A" w:rsidRPr="00D14C7D" w:rsidRDefault="0027461A" w:rsidP="00811A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3C3ADD77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OCSE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94EE1D1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CA-RGS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239E29F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SISAC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1B7C37B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ALS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21D317BB" w14:textId="77777777" w:rsidR="0027461A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FIMMG</w:t>
            </w:r>
          </w:p>
        </w:tc>
      </w:tr>
      <w:tr w:rsidR="0027461A" w:rsidRPr="00D14C7D" w14:paraId="20434CBA" w14:textId="77777777" w:rsidTr="00811A78">
        <w:trPr>
          <w:trHeight w:val="425"/>
          <w:jc w:val="center"/>
        </w:trPr>
        <w:tc>
          <w:tcPr>
            <w:tcW w:w="4404" w:type="dxa"/>
            <w:vAlign w:val="center"/>
            <w:hideMark/>
          </w:tcPr>
          <w:p w14:paraId="193D3675" w14:textId="77777777" w:rsidR="0027461A" w:rsidRPr="00D14C7D" w:rsidRDefault="00F80487" w:rsidP="00811A7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hyperlink r:id="rId10" w:history="1">
              <w:r w:rsidR="0027461A" w:rsidRPr="00D14C7D">
                <w:rPr>
                  <w:rFonts w:eastAsia="Times New Roman" w:cs="Calibri"/>
                  <w:bCs/>
                  <w:sz w:val="20"/>
                  <w:szCs w:val="20"/>
                </w:rPr>
                <w:t>Medici</w:t>
              </w:r>
            </w:hyperlink>
            <w:r w:rsidR="0027461A" w:rsidRPr="00D14C7D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27461A" w:rsidRPr="00D14C7D">
              <w:rPr>
                <w:rFonts w:eastAsia="Times New Roman" w:cs="Calibri"/>
                <w:bCs/>
                <w:sz w:val="20"/>
                <w:szCs w:val="20"/>
              </w:rPr>
              <w:t>specialisti</w:t>
            </w:r>
            <w:r w:rsidR="0027461A"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a,b</w:t>
            </w:r>
            <w:proofErr w:type="spellEnd"/>
          </w:p>
        </w:tc>
        <w:tc>
          <w:tcPr>
            <w:tcW w:w="904" w:type="dxa"/>
            <w:noWrap/>
            <w:vAlign w:val="center"/>
            <w:hideMark/>
          </w:tcPr>
          <w:p w14:paraId="5C5EF421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256.490</w:t>
            </w:r>
          </w:p>
        </w:tc>
        <w:tc>
          <w:tcPr>
            <w:tcW w:w="904" w:type="dxa"/>
            <w:vAlign w:val="center"/>
          </w:tcPr>
          <w:p w14:paraId="41C876B9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27F5DCA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2B3DEC45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019DDD66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</w:tr>
      <w:tr w:rsidR="0027461A" w:rsidRPr="00D14C7D" w14:paraId="4EB2A5E5" w14:textId="77777777" w:rsidTr="00811A78">
        <w:trPr>
          <w:trHeight w:val="425"/>
          <w:jc w:val="center"/>
        </w:trPr>
        <w:tc>
          <w:tcPr>
            <w:tcW w:w="4404" w:type="dxa"/>
            <w:vAlign w:val="center"/>
          </w:tcPr>
          <w:p w14:paraId="50E337AA" w14:textId="77777777" w:rsidR="0027461A" w:rsidRPr="00D14C7D" w:rsidRDefault="00F80487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hyperlink r:id="rId11" w:history="1">
              <w:r w:rsidR="0027461A" w:rsidRPr="00D14C7D">
                <w:rPr>
                  <w:rFonts w:eastAsia="Times New Roman" w:cs="Calibri"/>
                  <w:sz w:val="20"/>
                  <w:szCs w:val="20"/>
                </w:rPr>
                <w:t xml:space="preserve">Medici di Medicina Generale </w:t>
              </w:r>
            </w:hyperlink>
            <w:r w:rsidR="0027461A" w:rsidRPr="00D14C7D">
              <w:rPr>
                <w:rFonts w:eastAsia="Times New Roman" w:cs="Calibri"/>
                <w:sz w:val="20"/>
                <w:szCs w:val="20"/>
              </w:rPr>
              <w:t>(MMG)</w:t>
            </w:r>
          </w:p>
        </w:tc>
        <w:tc>
          <w:tcPr>
            <w:tcW w:w="904" w:type="dxa"/>
            <w:noWrap/>
            <w:vAlign w:val="center"/>
          </w:tcPr>
          <w:p w14:paraId="37DB4DA9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37.983</w:t>
            </w:r>
          </w:p>
        </w:tc>
        <w:tc>
          <w:tcPr>
            <w:tcW w:w="904" w:type="dxa"/>
            <w:vAlign w:val="center"/>
          </w:tcPr>
          <w:p w14:paraId="733F26E8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58C47C4E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37.260</w:t>
            </w:r>
          </w:p>
        </w:tc>
        <w:tc>
          <w:tcPr>
            <w:tcW w:w="904" w:type="dxa"/>
            <w:vAlign w:val="center"/>
          </w:tcPr>
          <w:p w14:paraId="04E19714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5D6D8C77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27461A" w:rsidRPr="00D14C7D" w14:paraId="38B2603F" w14:textId="77777777" w:rsidTr="00811A78">
        <w:trPr>
          <w:trHeight w:val="425"/>
          <w:jc w:val="center"/>
        </w:trPr>
        <w:tc>
          <w:tcPr>
            <w:tcW w:w="4404" w:type="dxa"/>
            <w:vAlign w:val="center"/>
          </w:tcPr>
          <w:p w14:paraId="369314EA" w14:textId="77777777" w:rsidR="0027461A" w:rsidRPr="00D14C7D" w:rsidRDefault="0027461A" w:rsidP="00811A7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Altri medici generalisti</w:t>
            </w:r>
          </w:p>
        </w:tc>
        <w:tc>
          <w:tcPr>
            <w:tcW w:w="904" w:type="dxa"/>
            <w:noWrap/>
            <w:vAlign w:val="center"/>
          </w:tcPr>
          <w:p w14:paraId="43961CDD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21.247</w:t>
            </w:r>
          </w:p>
        </w:tc>
        <w:tc>
          <w:tcPr>
            <w:tcW w:w="904" w:type="dxa"/>
            <w:vAlign w:val="center"/>
          </w:tcPr>
          <w:p w14:paraId="70DE2B8A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1639447F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2E057D40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23A2D42C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</w:t>
            </w:r>
          </w:p>
        </w:tc>
      </w:tr>
      <w:tr w:rsidR="0027461A" w:rsidRPr="00D14C7D" w14:paraId="55CD6ADC" w14:textId="77777777" w:rsidTr="00811A78">
        <w:trPr>
          <w:trHeight w:val="425"/>
          <w:jc w:val="center"/>
        </w:trPr>
        <w:tc>
          <w:tcPr>
            <w:tcW w:w="4404" w:type="dxa"/>
            <w:vAlign w:val="center"/>
          </w:tcPr>
          <w:p w14:paraId="2E231692" w14:textId="77777777" w:rsidR="0027461A" w:rsidRPr="00D14C7D" w:rsidRDefault="0027461A" w:rsidP="00811A7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 xml:space="preserve">Dipendenti </w:t>
            </w:r>
            <w:r>
              <w:rPr>
                <w:rFonts w:eastAsia="Times New Roman" w:cs="Calibri"/>
                <w:bCs/>
                <w:sz w:val="20"/>
                <w:szCs w:val="20"/>
              </w:rPr>
              <w:t xml:space="preserve">pubblici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con CCNL sanità</w:t>
            </w:r>
          </w:p>
        </w:tc>
        <w:tc>
          <w:tcPr>
            <w:tcW w:w="904" w:type="dxa"/>
            <w:noWrap/>
            <w:vAlign w:val="center"/>
          </w:tcPr>
          <w:p w14:paraId="1325B609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28C52654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109.124</w:t>
            </w:r>
          </w:p>
        </w:tc>
        <w:tc>
          <w:tcPr>
            <w:tcW w:w="905" w:type="dxa"/>
            <w:vAlign w:val="center"/>
          </w:tcPr>
          <w:p w14:paraId="2E5C1AB1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1E78B84B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1842CD5F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7461A" w:rsidRPr="00D14C7D" w14:paraId="1F37C03D" w14:textId="77777777" w:rsidTr="00811A78">
        <w:trPr>
          <w:trHeight w:val="425"/>
          <w:jc w:val="center"/>
        </w:trPr>
        <w:tc>
          <w:tcPr>
            <w:tcW w:w="4404" w:type="dxa"/>
            <w:vAlign w:val="center"/>
          </w:tcPr>
          <w:p w14:paraId="44896059" w14:textId="77777777" w:rsidR="0027461A" w:rsidRPr="00D14C7D" w:rsidRDefault="0027461A" w:rsidP="00811A78">
            <w:pPr>
              <w:spacing w:after="0" w:line="240" w:lineRule="auto"/>
              <w:rPr>
                <w:rFonts w:eastAsia="Times New Roman" w:cs="Calibri"/>
                <w:bCs/>
                <w:spacing w:val="-2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pacing w:val="-2"/>
                <w:sz w:val="20"/>
                <w:szCs w:val="20"/>
              </w:rPr>
              <w:t>Specialisti convenzionati con il SSN</w:t>
            </w:r>
          </w:p>
        </w:tc>
        <w:tc>
          <w:tcPr>
            <w:tcW w:w="904" w:type="dxa"/>
            <w:noWrap/>
            <w:vAlign w:val="center"/>
          </w:tcPr>
          <w:p w14:paraId="65421BC8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3430C59D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4E19D879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14.136</w:t>
            </w:r>
          </w:p>
        </w:tc>
        <w:tc>
          <w:tcPr>
            <w:tcW w:w="904" w:type="dxa"/>
            <w:vAlign w:val="center"/>
          </w:tcPr>
          <w:p w14:paraId="50927BE3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1EA79CD1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7461A" w:rsidRPr="00D14C7D" w14:paraId="59E042A1" w14:textId="77777777" w:rsidTr="00811A78">
        <w:trPr>
          <w:trHeight w:val="425"/>
          <w:jc w:val="center"/>
        </w:trPr>
        <w:tc>
          <w:tcPr>
            <w:tcW w:w="4404" w:type="dxa"/>
            <w:vAlign w:val="center"/>
          </w:tcPr>
          <w:p w14:paraId="38D6B47C" w14:textId="77777777" w:rsidR="0027461A" w:rsidRPr="00D14C7D" w:rsidRDefault="0027461A" w:rsidP="00811A7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Pediatri di libera scelta (PLS)</w:t>
            </w: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4" w:type="dxa"/>
            <w:noWrap/>
            <w:vAlign w:val="center"/>
          </w:tcPr>
          <w:p w14:paraId="1FD6C819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0DC732C3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cs="Calibri"/>
                <w:color w:val="EE0000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2DF327DA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14C7D">
              <w:rPr>
                <w:rFonts w:cs="Calibri"/>
                <w:sz w:val="20"/>
                <w:szCs w:val="20"/>
              </w:rPr>
              <w:t>6.484</w:t>
            </w:r>
          </w:p>
        </w:tc>
        <w:tc>
          <w:tcPr>
            <w:tcW w:w="904" w:type="dxa"/>
            <w:vAlign w:val="center"/>
          </w:tcPr>
          <w:p w14:paraId="644C94D5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68F6A9E2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27461A" w:rsidRPr="00776F0B" w14:paraId="6F8DB07E" w14:textId="77777777" w:rsidTr="00811A78">
        <w:trPr>
          <w:trHeight w:val="425"/>
          <w:jc w:val="center"/>
        </w:trPr>
        <w:tc>
          <w:tcPr>
            <w:tcW w:w="4404" w:type="dxa"/>
            <w:vAlign w:val="center"/>
          </w:tcPr>
          <w:p w14:paraId="0B68FA2D" w14:textId="77777777" w:rsidR="0027461A" w:rsidRPr="00776F0B" w:rsidRDefault="0027461A" w:rsidP="00811A7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sz w:val="20"/>
                <w:szCs w:val="20"/>
              </w:rPr>
              <w:t xml:space="preserve">Iscritti a Scuole di </w:t>
            </w:r>
            <w:proofErr w:type="spellStart"/>
            <w:r w:rsidRPr="00776F0B">
              <w:rPr>
                <w:rFonts w:eastAsia="Times New Roman" w:cs="Calibri"/>
                <w:bCs/>
                <w:sz w:val="20"/>
                <w:szCs w:val="20"/>
              </w:rPr>
              <w:t>Specializzazione</w:t>
            </w:r>
            <w:r w:rsidRPr="00776F0B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c</w:t>
            </w:r>
            <w:proofErr w:type="spellEnd"/>
            <w:r w:rsidRPr="00776F0B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noWrap/>
            <w:vAlign w:val="center"/>
          </w:tcPr>
          <w:p w14:paraId="55524219" w14:textId="77777777" w:rsidR="0027461A" w:rsidRPr="00776F0B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4FBEAA4C" w14:textId="77777777" w:rsidR="0027461A" w:rsidRPr="00776F0B" w:rsidRDefault="0027461A" w:rsidP="0081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6098110E" w14:textId="77777777" w:rsidR="0027461A" w:rsidRPr="00776F0B" w:rsidRDefault="0027461A" w:rsidP="0081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76F0B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44D3320F" w14:textId="77777777" w:rsidR="0027461A" w:rsidRPr="00776F0B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F0B">
              <w:rPr>
                <w:rFonts w:cs="Calibri"/>
                <w:sz w:val="20"/>
                <w:szCs w:val="20"/>
              </w:rPr>
              <w:t>50.677</w:t>
            </w:r>
          </w:p>
        </w:tc>
        <w:tc>
          <w:tcPr>
            <w:tcW w:w="905" w:type="dxa"/>
            <w:vAlign w:val="center"/>
          </w:tcPr>
          <w:p w14:paraId="75343978" w14:textId="77777777" w:rsidR="0027461A" w:rsidRPr="00776F0B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776F0B">
              <w:rPr>
                <w:rFonts w:cs="Calibri"/>
                <w:sz w:val="20"/>
                <w:szCs w:val="20"/>
              </w:rPr>
              <w:t>-</w:t>
            </w:r>
          </w:p>
        </w:tc>
      </w:tr>
      <w:tr w:rsidR="0027461A" w:rsidRPr="00D14C7D" w14:paraId="635AF182" w14:textId="77777777" w:rsidTr="00811A78">
        <w:trPr>
          <w:trHeight w:val="425"/>
          <w:jc w:val="center"/>
        </w:trPr>
        <w:tc>
          <w:tcPr>
            <w:tcW w:w="4404" w:type="dxa"/>
            <w:vAlign w:val="center"/>
          </w:tcPr>
          <w:p w14:paraId="29B8D460" w14:textId="77777777" w:rsidR="0027461A" w:rsidRPr="00D14C7D" w:rsidRDefault="0027461A" w:rsidP="00811A7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Iscritti al corso di Formazione in Medicina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</w:rPr>
              <w:t>Generale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904" w:type="dxa"/>
            <w:noWrap/>
            <w:vAlign w:val="center"/>
          </w:tcPr>
          <w:p w14:paraId="32B8316E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5F4D1888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2BB315DD" w14:textId="77777777" w:rsidR="0027461A" w:rsidRPr="00D14C7D" w:rsidRDefault="0027461A" w:rsidP="0081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14:paraId="105A8DD0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center"/>
          </w:tcPr>
          <w:p w14:paraId="7CFF25D2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6.000</w:t>
            </w:r>
          </w:p>
        </w:tc>
      </w:tr>
      <w:tr w:rsidR="0027461A" w:rsidRPr="00D14C7D" w14:paraId="5129FDD2" w14:textId="77777777" w:rsidTr="00811A78">
        <w:trPr>
          <w:trHeight w:val="397"/>
          <w:jc w:val="center"/>
        </w:trPr>
        <w:tc>
          <w:tcPr>
            <w:tcW w:w="4404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32EFEAC2" w14:textId="77777777" w:rsidR="0027461A" w:rsidRPr="00D14C7D" w:rsidRDefault="0027461A" w:rsidP="00811A78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TOTALE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28" w:type="dxa"/>
              <w:right w:w="57" w:type="dxa"/>
            </w:tcMar>
            <w:vAlign w:val="center"/>
            <w:hideMark/>
          </w:tcPr>
          <w:p w14:paraId="390DE8D9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315.720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left w:w="28" w:type="dxa"/>
              <w:right w:w="57" w:type="dxa"/>
            </w:tcMar>
            <w:vAlign w:val="center"/>
          </w:tcPr>
          <w:p w14:paraId="65AA9489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109.124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left w:w="28" w:type="dxa"/>
              <w:right w:w="57" w:type="dxa"/>
            </w:tcMar>
            <w:vAlign w:val="center"/>
          </w:tcPr>
          <w:p w14:paraId="5C114574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14C7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57.880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DA24C62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64881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50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.000</w:t>
            </w:r>
          </w:p>
        </w:tc>
        <w:tc>
          <w:tcPr>
            <w:tcW w:w="905" w:type="dxa"/>
            <w:tcBorders>
              <w:left w:val="single" w:sz="4" w:space="0" w:color="FFFFFF" w:themeColor="background1"/>
              <w:right w:val="single" w:sz="4" w:space="0" w:color="00457D"/>
            </w:tcBorders>
            <w:shd w:val="clear" w:color="auto" w:fill="00457D"/>
            <w:vAlign w:val="center"/>
          </w:tcPr>
          <w:p w14:paraId="76590BE3" w14:textId="77777777" w:rsidR="0027461A" w:rsidRPr="00D14C7D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</w:rPr>
              <w:t>6.000</w:t>
            </w:r>
          </w:p>
        </w:tc>
      </w:tr>
      <w:tr w:rsidR="0027461A" w:rsidRPr="00D14C7D" w14:paraId="35D3E004" w14:textId="77777777" w:rsidTr="00811A78">
        <w:trPr>
          <w:trHeight w:val="624"/>
          <w:jc w:val="center"/>
        </w:trPr>
        <w:tc>
          <w:tcPr>
            <w:tcW w:w="8926" w:type="dxa"/>
            <w:gridSpan w:val="6"/>
            <w:vAlign w:val="center"/>
          </w:tcPr>
          <w:p w14:paraId="52FB52F4" w14:textId="77777777" w:rsidR="0027461A" w:rsidRDefault="0027461A" w:rsidP="00811A78">
            <w:pPr>
              <w:spacing w:after="0"/>
              <w:rPr>
                <w:rFonts w:eastAsia="Times New Roman" w:cs="Calibri"/>
                <w:bCs/>
                <w:sz w:val="20"/>
                <w:szCs w:val="20"/>
              </w:rPr>
            </w:pP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a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I medici iscritti alle scuole di specializzazione sono inclusi tra gli specialisti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br/>
            </w:r>
            <w:r w:rsidRPr="00D14C7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b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 w:rsidRPr="00D14C7D">
              <w:rPr>
                <w:rFonts w:eastAsia="Times New Roman" w:cs="Calibri"/>
                <w:bCs/>
                <w:sz w:val="20"/>
                <w:szCs w:val="20"/>
              </w:rPr>
              <w:t>6.484 PLS sono inclusi da OCSE tra i medici specialisti</w:t>
            </w:r>
            <w:r>
              <w:rPr>
                <w:rFonts w:eastAsia="Times New Roman" w:cs="Calibri"/>
                <w:bCs/>
                <w:sz w:val="20"/>
                <w:szCs w:val="20"/>
              </w:rPr>
              <w:br/>
            </w:r>
            <w:r w:rsidRPr="003E1CFD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c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Dati Associazione Liberi Specializzandi (ALS)</w:t>
            </w:r>
          </w:p>
          <w:p w14:paraId="0EAA498A" w14:textId="77777777" w:rsidR="0027461A" w:rsidRPr="00CE5521" w:rsidRDefault="0027461A" w:rsidP="00811A78">
            <w:pPr>
              <w:spacing w:after="0"/>
              <w:rPr>
                <w:rFonts w:eastAsia="Times New Roman" w:cs="Calibri"/>
                <w:bCs/>
                <w:sz w:val="20"/>
                <w:szCs w:val="20"/>
              </w:rPr>
            </w:pPr>
            <w:r w:rsidRPr="00CE5521"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>d</w:t>
            </w:r>
            <w:r>
              <w:rPr>
                <w:rFonts w:eastAsia="Times New Roman" w:cs="Calibri"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Stima FIMMG</w:t>
            </w:r>
          </w:p>
        </w:tc>
      </w:tr>
    </w:tbl>
    <w:p w14:paraId="1C45CBBA" w14:textId="77777777" w:rsidR="0027461A" w:rsidRDefault="0027461A" w:rsidP="0027461A">
      <w:pPr>
        <w:spacing w:after="0" w:line="240" w:lineRule="auto"/>
        <w:rPr>
          <w:rStyle w:val="Collegamentoipertestuale"/>
          <w:rFonts w:eastAsia="Calibri" w:cs="Calibri"/>
          <w:u w:color="0563C1"/>
        </w:rPr>
      </w:pPr>
      <w:r>
        <w:rPr>
          <w:rStyle w:val="Collegamentoipertestuale"/>
          <w:rFonts w:eastAsia="Calibri" w:cs="Calibri"/>
          <w:u w:color="0563C1"/>
        </w:rPr>
        <w:br w:type="page"/>
      </w:r>
    </w:p>
    <w:p w14:paraId="4255B68C" w14:textId="77777777" w:rsidR="0027461A" w:rsidRPr="00287C5F" w:rsidRDefault="0027461A" w:rsidP="0027461A">
      <w:pPr>
        <w:spacing w:after="120"/>
        <w:jc w:val="center"/>
        <w:rPr>
          <w:rFonts w:cs="Calibri"/>
          <w:b/>
          <w:color w:val="00457D"/>
        </w:rPr>
      </w:pPr>
      <w:r w:rsidRPr="00287C5F">
        <w:rPr>
          <w:rFonts w:cs="Calibri"/>
          <w:b/>
          <w:color w:val="00457D"/>
        </w:rPr>
        <w:lastRenderedPageBreak/>
        <w:t>Tabella 2. Contratti di Scuola di Specializzazione Medica assegnati al 30 settembre 2025</w:t>
      </w:r>
      <w:r w:rsidRPr="00287C5F">
        <w:rPr>
          <w:rFonts w:cs="Calibri"/>
          <w:b/>
          <w:color w:val="00457D"/>
        </w:rPr>
        <w:br/>
      </w:r>
      <w:r w:rsidRPr="00287C5F">
        <w:rPr>
          <w:rFonts w:cs="Calibri"/>
          <w:color w:val="00457D"/>
        </w:rPr>
        <w:t>(dati da Associazione Liberi Specializzandi)</w:t>
      </w:r>
    </w:p>
    <w:tbl>
      <w:tblPr>
        <w:tblW w:w="8855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1487"/>
        <w:gridCol w:w="1417"/>
        <w:gridCol w:w="1307"/>
      </w:tblGrid>
      <w:tr w:rsidR="0027461A" w:rsidRPr="000E21C5" w14:paraId="71A7774B" w14:textId="77777777" w:rsidTr="00811A78">
        <w:trPr>
          <w:trHeight w:val="244"/>
          <w:jc w:val="center"/>
        </w:trPr>
        <w:tc>
          <w:tcPr>
            <w:tcW w:w="464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D48E3C9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Scuola di Specializzazione</w:t>
            </w:r>
          </w:p>
        </w:tc>
        <w:tc>
          <w:tcPr>
            <w:tcW w:w="14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0578870" w14:textId="77777777" w:rsidR="0027461A" w:rsidRPr="004A0ABA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 xml:space="preserve">N. di contratti disponibili 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919F240" w14:textId="77777777" w:rsidR="0027461A" w:rsidRPr="004A0ABA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N. di contratti assegnati</w:t>
            </w:r>
          </w:p>
        </w:tc>
        <w:tc>
          <w:tcPr>
            <w:tcW w:w="130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36F589E" w14:textId="77777777" w:rsidR="0027461A" w:rsidRPr="004A0ABA" w:rsidRDefault="0027461A" w:rsidP="00811A7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% assegnazione</w:t>
            </w:r>
          </w:p>
        </w:tc>
      </w:tr>
      <w:tr w:rsidR="0027461A" w:rsidRPr="00A447F5" w14:paraId="14FBD866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4098668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Pediatria</w:t>
            </w:r>
          </w:p>
        </w:tc>
        <w:tc>
          <w:tcPr>
            <w:tcW w:w="1487" w:type="dxa"/>
            <w:noWrap/>
          </w:tcPr>
          <w:p w14:paraId="31A2A45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823</w:t>
            </w:r>
          </w:p>
        </w:tc>
        <w:tc>
          <w:tcPr>
            <w:tcW w:w="1417" w:type="dxa"/>
            <w:noWrap/>
          </w:tcPr>
          <w:p w14:paraId="47882A4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823</w:t>
            </w:r>
          </w:p>
        </w:tc>
        <w:tc>
          <w:tcPr>
            <w:tcW w:w="1307" w:type="dxa"/>
            <w:noWrap/>
          </w:tcPr>
          <w:p w14:paraId="4DCB8D6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64128734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1CA974D5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Radiodiagnostica</w:t>
            </w:r>
          </w:p>
        </w:tc>
        <w:tc>
          <w:tcPr>
            <w:tcW w:w="1487" w:type="dxa"/>
            <w:noWrap/>
          </w:tcPr>
          <w:p w14:paraId="2BF3D69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658</w:t>
            </w:r>
          </w:p>
        </w:tc>
        <w:tc>
          <w:tcPr>
            <w:tcW w:w="1417" w:type="dxa"/>
            <w:noWrap/>
          </w:tcPr>
          <w:p w14:paraId="447B1B3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658</w:t>
            </w:r>
          </w:p>
        </w:tc>
        <w:tc>
          <w:tcPr>
            <w:tcW w:w="1307" w:type="dxa"/>
            <w:noWrap/>
          </w:tcPr>
          <w:p w14:paraId="41D0031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09542CFD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5D9C28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cardiovascolare</w:t>
            </w:r>
          </w:p>
        </w:tc>
        <w:tc>
          <w:tcPr>
            <w:tcW w:w="1487" w:type="dxa"/>
            <w:noWrap/>
          </w:tcPr>
          <w:p w14:paraId="7E08EA24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1417" w:type="dxa"/>
            <w:noWrap/>
          </w:tcPr>
          <w:p w14:paraId="370B684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606</w:t>
            </w:r>
          </w:p>
        </w:tc>
        <w:tc>
          <w:tcPr>
            <w:tcW w:w="1307" w:type="dxa"/>
            <w:noWrap/>
          </w:tcPr>
          <w:p w14:paraId="4BAB652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5E8AA65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7D4E92A4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Psichiatria</w:t>
            </w:r>
          </w:p>
        </w:tc>
        <w:tc>
          <w:tcPr>
            <w:tcW w:w="1487" w:type="dxa"/>
            <w:noWrap/>
          </w:tcPr>
          <w:p w14:paraId="4A5C8847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548</w:t>
            </w:r>
          </w:p>
        </w:tc>
        <w:tc>
          <w:tcPr>
            <w:tcW w:w="1417" w:type="dxa"/>
            <w:noWrap/>
          </w:tcPr>
          <w:p w14:paraId="5AE4D87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548</w:t>
            </w:r>
          </w:p>
        </w:tc>
        <w:tc>
          <w:tcPr>
            <w:tcW w:w="1307" w:type="dxa"/>
            <w:noWrap/>
          </w:tcPr>
          <w:p w14:paraId="1850604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19CD1F3B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081B2415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Ginecologia ed Ostetricia</w:t>
            </w:r>
          </w:p>
        </w:tc>
        <w:tc>
          <w:tcPr>
            <w:tcW w:w="1487" w:type="dxa"/>
            <w:noWrap/>
          </w:tcPr>
          <w:p w14:paraId="1443E504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535</w:t>
            </w:r>
          </w:p>
        </w:tc>
        <w:tc>
          <w:tcPr>
            <w:tcW w:w="1417" w:type="dxa"/>
            <w:noWrap/>
          </w:tcPr>
          <w:p w14:paraId="0BB5847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535</w:t>
            </w:r>
          </w:p>
        </w:tc>
        <w:tc>
          <w:tcPr>
            <w:tcW w:w="1307" w:type="dxa"/>
            <w:noWrap/>
          </w:tcPr>
          <w:p w14:paraId="4DA6F9E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45936BE4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6D33E2E3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Ortopedia e traumatologia</w:t>
            </w:r>
          </w:p>
        </w:tc>
        <w:tc>
          <w:tcPr>
            <w:tcW w:w="1487" w:type="dxa"/>
            <w:noWrap/>
          </w:tcPr>
          <w:p w14:paraId="7A94111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470</w:t>
            </w:r>
          </w:p>
        </w:tc>
        <w:tc>
          <w:tcPr>
            <w:tcW w:w="1417" w:type="dxa"/>
            <w:noWrap/>
          </w:tcPr>
          <w:p w14:paraId="1D610F5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470</w:t>
            </w:r>
          </w:p>
        </w:tc>
        <w:tc>
          <w:tcPr>
            <w:tcW w:w="1307" w:type="dxa"/>
            <w:noWrap/>
          </w:tcPr>
          <w:p w14:paraId="2F96C1BE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350AF69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439EE9D0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fisica e riabilitativa</w:t>
            </w:r>
          </w:p>
        </w:tc>
        <w:tc>
          <w:tcPr>
            <w:tcW w:w="1487" w:type="dxa"/>
            <w:noWrap/>
          </w:tcPr>
          <w:p w14:paraId="427C9E3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373</w:t>
            </w:r>
          </w:p>
        </w:tc>
        <w:tc>
          <w:tcPr>
            <w:tcW w:w="1417" w:type="dxa"/>
            <w:noWrap/>
          </w:tcPr>
          <w:p w14:paraId="41CD782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373</w:t>
            </w:r>
          </w:p>
        </w:tc>
        <w:tc>
          <w:tcPr>
            <w:tcW w:w="1307" w:type="dxa"/>
            <w:noWrap/>
          </w:tcPr>
          <w:p w14:paraId="0287F69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181D809F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00A1BCA6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Neurologia</w:t>
            </w:r>
          </w:p>
        </w:tc>
        <w:tc>
          <w:tcPr>
            <w:tcW w:w="1487" w:type="dxa"/>
            <w:noWrap/>
          </w:tcPr>
          <w:p w14:paraId="57CED79D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329</w:t>
            </w:r>
          </w:p>
        </w:tc>
        <w:tc>
          <w:tcPr>
            <w:tcW w:w="1417" w:type="dxa"/>
            <w:noWrap/>
          </w:tcPr>
          <w:p w14:paraId="35327B6D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329</w:t>
            </w:r>
          </w:p>
        </w:tc>
        <w:tc>
          <w:tcPr>
            <w:tcW w:w="1307" w:type="dxa"/>
            <w:noWrap/>
          </w:tcPr>
          <w:p w14:paraId="6CB5DE4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685740DF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EDC0F08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respiratorio</w:t>
            </w:r>
          </w:p>
        </w:tc>
        <w:tc>
          <w:tcPr>
            <w:tcW w:w="1487" w:type="dxa"/>
            <w:noWrap/>
          </w:tcPr>
          <w:p w14:paraId="1B39736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246</w:t>
            </w:r>
          </w:p>
        </w:tc>
        <w:tc>
          <w:tcPr>
            <w:tcW w:w="1417" w:type="dxa"/>
            <w:noWrap/>
          </w:tcPr>
          <w:p w14:paraId="060C4967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246</w:t>
            </w:r>
          </w:p>
        </w:tc>
        <w:tc>
          <w:tcPr>
            <w:tcW w:w="1307" w:type="dxa"/>
            <w:noWrap/>
          </w:tcPr>
          <w:p w14:paraId="20689CE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55CD70AA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7660A2BE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Neuropsichiatria infantile</w:t>
            </w:r>
          </w:p>
        </w:tc>
        <w:tc>
          <w:tcPr>
            <w:tcW w:w="1487" w:type="dxa"/>
            <w:noWrap/>
          </w:tcPr>
          <w:p w14:paraId="74505D4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224</w:t>
            </w:r>
          </w:p>
        </w:tc>
        <w:tc>
          <w:tcPr>
            <w:tcW w:w="1417" w:type="dxa"/>
            <w:noWrap/>
          </w:tcPr>
          <w:p w14:paraId="4A16D87D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224</w:t>
            </w:r>
          </w:p>
        </w:tc>
        <w:tc>
          <w:tcPr>
            <w:tcW w:w="1307" w:type="dxa"/>
            <w:noWrap/>
          </w:tcPr>
          <w:p w14:paraId="697C04B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56B6C1E3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45680C97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dell'apparato digerente</w:t>
            </w:r>
          </w:p>
        </w:tc>
        <w:tc>
          <w:tcPr>
            <w:tcW w:w="1487" w:type="dxa"/>
            <w:noWrap/>
          </w:tcPr>
          <w:p w14:paraId="43B7C6B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209</w:t>
            </w:r>
          </w:p>
        </w:tc>
        <w:tc>
          <w:tcPr>
            <w:tcW w:w="1417" w:type="dxa"/>
            <w:noWrap/>
          </w:tcPr>
          <w:p w14:paraId="7C4FF7E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209</w:t>
            </w:r>
          </w:p>
        </w:tc>
        <w:tc>
          <w:tcPr>
            <w:tcW w:w="1307" w:type="dxa"/>
            <w:noWrap/>
          </w:tcPr>
          <w:p w14:paraId="22E56DE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0E65C76F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C39026C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Oftalmologia</w:t>
            </w:r>
          </w:p>
        </w:tc>
        <w:tc>
          <w:tcPr>
            <w:tcW w:w="1487" w:type="dxa"/>
            <w:noWrap/>
          </w:tcPr>
          <w:p w14:paraId="721EC4B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417" w:type="dxa"/>
            <w:noWrap/>
          </w:tcPr>
          <w:p w14:paraId="216DBEB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307" w:type="dxa"/>
            <w:noWrap/>
          </w:tcPr>
          <w:p w14:paraId="0A3AD764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5E923AED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71A0B853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Endocrinologia e malattie del metabolismo</w:t>
            </w:r>
          </w:p>
        </w:tc>
        <w:tc>
          <w:tcPr>
            <w:tcW w:w="1487" w:type="dxa"/>
            <w:noWrap/>
          </w:tcPr>
          <w:p w14:paraId="3DCC418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1417" w:type="dxa"/>
            <w:noWrap/>
          </w:tcPr>
          <w:p w14:paraId="5FFB087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204</w:t>
            </w:r>
          </w:p>
        </w:tc>
        <w:tc>
          <w:tcPr>
            <w:tcW w:w="1307" w:type="dxa"/>
            <w:noWrap/>
          </w:tcPr>
          <w:p w14:paraId="3C81E74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2C2E5E0E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2AEB6F6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del lavoro</w:t>
            </w:r>
          </w:p>
        </w:tc>
        <w:tc>
          <w:tcPr>
            <w:tcW w:w="1487" w:type="dxa"/>
            <w:noWrap/>
          </w:tcPr>
          <w:p w14:paraId="251DFCC4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187</w:t>
            </w:r>
          </w:p>
        </w:tc>
        <w:tc>
          <w:tcPr>
            <w:tcW w:w="1417" w:type="dxa"/>
            <w:noWrap/>
          </w:tcPr>
          <w:p w14:paraId="0A76BB1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187</w:t>
            </w:r>
          </w:p>
        </w:tc>
        <w:tc>
          <w:tcPr>
            <w:tcW w:w="1307" w:type="dxa"/>
            <w:noWrap/>
          </w:tcPr>
          <w:p w14:paraId="07F3B9D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25D7E58A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09DB01D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Otorinolaringoiatria</w:t>
            </w:r>
          </w:p>
        </w:tc>
        <w:tc>
          <w:tcPr>
            <w:tcW w:w="1487" w:type="dxa"/>
            <w:noWrap/>
          </w:tcPr>
          <w:p w14:paraId="31E2B59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182</w:t>
            </w:r>
          </w:p>
        </w:tc>
        <w:tc>
          <w:tcPr>
            <w:tcW w:w="1417" w:type="dxa"/>
            <w:noWrap/>
          </w:tcPr>
          <w:p w14:paraId="615DB1A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182</w:t>
            </w:r>
          </w:p>
        </w:tc>
        <w:tc>
          <w:tcPr>
            <w:tcW w:w="1307" w:type="dxa"/>
            <w:noWrap/>
          </w:tcPr>
          <w:p w14:paraId="627461C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796335F8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668D953B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legale</w:t>
            </w:r>
          </w:p>
        </w:tc>
        <w:tc>
          <w:tcPr>
            <w:tcW w:w="1487" w:type="dxa"/>
            <w:noWrap/>
          </w:tcPr>
          <w:p w14:paraId="60A2D7D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417" w:type="dxa"/>
            <w:noWrap/>
          </w:tcPr>
          <w:p w14:paraId="623E4F8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153</w:t>
            </w:r>
          </w:p>
        </w:tc>
        <w:tc>
          <w:tcPr>
            <w:tcW w:w="1307" w:type="dxa"/>
            <w:noWrap/>
          </w:tcPr>
          <w:p w14:paraId="0B7DEFB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269F3995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6E1A6526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Neurochirurgia</w:t>
            </w:r>
          </w:p>
        </w:tc>
        <w:tc>
          <w:tcPr>
            <w:tcW w:w="1487" w:type="dxa"/>
            <w:noWrap/>
          </w:tcPr>
          <w:p w14:paraId="05A75EF7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</w:tcPr>
          <w:p w14:paraId="00F2DC7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130</w:t>
            </w:r>
          </w:p>
        </w:tc>
        <w:tc>
          <w:tcPr>
            <w:tcW w:w="1307" w:type="dxa"/>
            <w:noWrap/>
          </w:tcPr>
          <w:p w14:paraId="00004D3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32876F99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4570DF1B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Dermatologia e venereologia</w:t>
            </w:r>
          </w:p>
        </w:tc>
        <w:tc>
          <w:tcPr>
            <w:tcW w:w="1487" w:type="dxa"/>
            <w:noWrap/>
          </w:tcPr>
          <w:p w14:paraId="162BF7B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119</w:t>
            </w:r>
          </w:p>
        </w:tc>
        <w:tc>
          <w:tcPr>
            <w:tcW w:w="1417" w:type="dxa"/>
            <w:noWrap/>
          </w:tcPr>
          <w:p w14:paraId="2FCABFF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119</w:t>
            </w:r>
          </w:p>
        </w:tc>
        <w:tc>
          <w:tcPr>
            <w:tcW w:w="1307" w:type="dxa"/>
            <w:noWrap/>
          </w:tcPr>
          <w:p w14:paraId="1033E93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089A9231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10D12165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Vascolare</w:t>
            </w:r>
          </w:p>
        </w:tc>
        <w:tc>
          <w:tcPr>
            <w:tcW w:w="1487" w:type="dxa"/>
            <w:noWrap/>
          </w:tcPr>
          <w:p w14:paraId="41FAC6E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117</w:t>
            </w:r>
          </w:p>
        </w:tc>
        <w:tc>
          <w:tcPr>
            <w:tcW w:w="1417" w:type="dxa"/>
            <w:noWrap/>
          </w:tcPr>
          <w:p w14:paraId="4CAC7F8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117</w:t>
            </w:r>
          </w:p>
        </w:tc>
        <w:tc>
          <w:tcPr>
            <w:tcW w:w="1307" w:type="dxa"/>
            <w:noWrap/>
          </w:tcPr>
          <w:p w14:paraId="10A4429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1265A3A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2CE7094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Reumatologia</w:t>
            </w:r>
          </w:p>
        </w:tc>
        <w:tc>
          <w:tcPr>
            <w:tcW w:w="1487" w:type="dxa"/>
            <w:noWrap/>
          </w:tcPr>
          <w:p w14:paraId="365C2B2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417" w:type="dxa"/>
            <w:noWrap/>
          </w:tcPr>
          <w:p w14:paraId="08F07E1E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307" w:type="dxa"/>
            <w:noWrap/>
          </w:tcPr>
          <w:p w14:paraId="0D22FD8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1483145B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6042FAB4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plastica ricostruttiva ed estetica</w:t>
            </w:r>
          </w:p>
        </w:tc>
        <w:tc>
          <w:tcPr>
            <w:tcW w:w="1487" w:type="dxa"/>
            <w:noWrap/>
          </w:tcPr>
          <w:p w14:paraId="0498B37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101</w:t>
            </w:r>
          </w:p>
        </w:tc>
        <w:tc>
          <w:tcPr>
            <w:tcW w:w="1417" w:type="dxa"/>
            <w:noWrap/>
          </w:tcPr>
          <w:p w14:paraId="7129C18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101</w:t>
            </w:r>
          </w:p>
        </w:tc>
        <w:tc>
          <w:tcPr>
            <w:tcW w:w="1307" w:type="dxa"/>
            <w:noWrap/>
          </w:tcPr>
          <w:p w14:paraId="69F26E6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11504707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03B0A8D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 xml:space="preserve">Allergologia </w:t>
            </w:r>
            <w:proofErr w:type="spellStart"/>
            <w:r w:rsidRPr="004A0ABA">
              <w:rPr>
                <w:rFonts w:cs="Calibri"/>
                <w:sz w:val="20"/>
                <w:szCs w:val="20"/>
              </w:rPr>
              <w:t>ed</w:t>
            </w:r>
            <w:proofErr w:type="spellEnd"/>
            <w:r w:rsidRPr="004A0ABA">
              <w:rPr>
                <w:rFonts w:cs="Calibri"/>
                <w:sz w:val="20"/>
                <w:szCs w:val="20"/>
              </w:rPr>
              <w:t xml:space="preserve"> immunologia clinica</w:t>
            </w:r>
          </w:p>
        </w:tc>
        <w:tc>
          <w:tcPr>
            <w:tcW w:w="1487" w:type="dxa"/>
            <w:noWrap/>
          </w:tcPr>
          <w:p w14:paraId="2B4A52BE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417" w:type="dxa"/>
            <w:noWrap/>
          </w:tcPr>
          <w:p w14:paraId="5D55088E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307" w:type="dxa"/>
            <w:noWrap/>
          </w:tcPr>
          <w:p w14:paraId="22361F0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23BBB06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4FC18CF7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dello sport e dell'esercizio fisico</w:t>
            </w:r>
          </w:p>
        </w:tc>
        <w:tc>
          <w:tcPr>
            <w:tcW w:w="1487" w:type="dxa"/>
            <w:noWrap/>
          </w:tcPr>
          <w:p w14:paraId="4F49CD2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417" w:type="dxa"/>
            <w:noWrap/>
          </w:tcPr>
          <w:p w14:paraId="5D4F25F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307" w:type="dxa"/>
            <w:noWrap/>
          </w:tcPr>
          <w:p w14:paraId="406FFFF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76BD3C3C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726A2033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pediatrica</w:t>
            </w:r>
          </w:p>
        </w:tc>
        <w:tc>
          <w:tcPr>
            <w:tcW w:w="1487" w:type="dxa"/>
            <w:noWrap/>
          </w:tcPr>
          <w:p w14:paraId="6C622FB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417" w:type="dxa"/>
            <w:noWrap/>
          </w:tcPr>
          <w:p w14:paraId="0DCEAFE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307" w:type="dxa"/>
            <w:noWrap/>
          </w:tcPr>
          <w:p w14:paraId="4D3EA14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2FAE2BEC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54BCD324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 xml:space="preserve">Chirurgia </w:t>
            </w:r>
            <w:proofErr w:type="spellStart"/>
            <w:r w:rsidRPr="004A0ABA">
              <w:rPr>
                <w:rFonts w:cs="Calibri"/>
                <w:sz w:val="20"/>
                <w:szCs w:val="20"/>
              </w:rPr>
              <w:t>maxillo</w:t>
            </w:r>
            <w:proofErr w:type="spellEnd"/>
            <w:r w:rsidRPr="004A0ABA">
              <w:rPr>
                <w:rFonts w:cs="Calibri"/>
                <w:sz w:val="20"/>
                <w:szCs w:val="20"/>
              </w:rPr>
              <w:t xml:space="preserve"> facciale</w:t>
            </w:r>
          </w:p>
        </w:tc>
        <w:tc>
          <w:tcPr>
            <w:tcW w:w="1487" w:type="dxa"/>
            <w:noWrap/>
          </w:tcPr>
          <w:p w14:paraId="6AFCE3F7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1417" w:type="dxa"/>
            <w:noWrap/>
          </w:tcPr>
          <w:p w14:paraId="02C27D6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51</w:t>
            </w:r>
          </w:p>
        </w:tc>
        <w:tc>
          <w:tcPr>
            <w:tcW w:w="1307" w:type="dxa"/>
            <w:noWrap/>
          </w:tcPr>
          <w:p w14:paraId="7A51D03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7CDC6C45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47D7C80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termale</w:t>
            </w:r>
          </w:p>
        </w:tc>
        <w:tc>
          <w:tcPr>
            <w:tcW w:w="1487" w:type="dxa"/>
            <w:noWrap/>
          </w:tcPr>
          <w:p w14:paraId="3C21F02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</w:tcPr>
          <w:p w14:paraId="7D074E8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07" w:type="dxa"/>
            <w:noWrap/>
          </w:tcPr>
          <w:p w14:paraId="1C5B7D2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27461A" w:rsidRPr="00A447F5" w14:paraId="364E9471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2F329AFD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Oncologia medica</w:t>
            </w:r>
          </w:p>
        </w:tc>
        <w:tc>
          <w:tcPr>
            <w:tcW w:w="1487" w:type="dxa"/>
            <w:noWrap/>
          </w:tcPr>
          <w:p w14:paraId="4370A29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298</w:t>
            </w:r>
          </w:p>
        </w:tc>
        <w:tc>
          <w:tcPr>
            <w:tcW w:w="1417" w:type="dxa"/>
            <w:noWrap/>
          </w:tcPr>
          <w:p w14:paraId="53197987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293</w:t>
            </w:r>
          </w:p>
        </w:tc>
        <w:tc>
          <w:tcPr>
            <w:tcW w:w="1307" w:type="dxa"/>
            <w:noWrap/>
          </w:tcPr>
          <w:p w14:paraId="13581C9E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98%</w:t>
            </w:r>
          </w:p>
        </w:tc>
      </w:tr>
      <w:tr w:rsidR="0027461A" w:rsidRPr="00A447F5" w14:paraId="60B0F995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7FA191FB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Urologia</w:t>
            </w:r>
          </w:p>
        </w:tc>
        <w:tc>
          <w:tcPr>
            <w:tcW w:w="1487" w:type="dxa"/>
            <w:noWrap/>
          </w:tcPr>
          <w:p w14:paraId="746A4FB4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264</w:t>
            </w:r>
          </w:p>
        </w:tc>
        <w:tc>
          <w:tcPr>
            <w:tcW w:w="1417" w:type="dxa"/>
            <w:noWrap/>
          </w:tcPr>
          <w:p w14:paraId="2D80A09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254</w:t>
            </w:r>
          </w:p>
        </w:tc>
        <w:tc>
          <w:tcPr>
            <w:tcW w:w="1307" w:type="dxa"/>
            <w:noWrap/>
          </w:tcPr>
          <w:p w14:paraId="3A9E29A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96%</w:t>
            </w:r>
          </w:p>
        </w:tc>
      </w:tr>
      <w:tr w:rsidR="0027461A" w:rsidRPr="00A447F5" w14:paraId="02317588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0063A405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Scienza dell'alimentazione</w:t>
            </w:r>
          </w:p>
        </w:tc>
        <w:tc>
          <w:tcPr>
            <w:tcW w:w="1487" w:type="dxa"/>
            <w:noWrap/>
          </w:tcPr>
          <w:p w14:paraId="099813F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1417" w:type="dxa"/>
            <w:noWrap/>
          </w:tcPr>
          <w:p w14:paraId="2A42641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307" w:type="dxa"/>
            <w:noWrap/>
          </w:tcPr>
          <w:p w14:paraId="50059BA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95%</w:t>
            </w:r>
          </w:p>
        </w:tc>
      </w:tr>
      <w:tr w:rsidR="0027461A" w:rsidRPr="00A447F5" w14:paraId="5490352C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E769702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Cardiochirurgia</w:t>
            </w:r>
          </w:p>
        </w:tc>
        <w:tc>
          <w:tcPr>
            <w:tcW w:w="1487" w:type="dxa"/>
            <w:noWrap/>
          </w:tcPr>
          <w:p w14:paraId="668BEED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116</w:t>
            </w:r>
          </w:p>
        </w:tc>
        <w:tc>
          <w:tcPr>
            <w:tcW w:w="1417" w:type="dxa"/>
            <w:noWrap/>
          </w:tcPr>
          <w:p w14:paraId="215660A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307" w:type="dxa"/>
            <w:noWrap/>
          </w:tcPr>
          <w:p w14:paraId="09C7E45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93%</w:t>
            </w:r>
          </w:p>
        </w:tc>
      </w:tr>
      <w:tr w:rsidR="0027461A" w:rsidRPr="00A447F5" w14:paraId="60E70EA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B54C914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Audiologia e foniatria</w:t>
            </w:r>
          </w:p>
        </w:tc>
        <w:tc>
          <w:tcPr>
            <w:tcW w:w="1487" w:type="dxa"/>
            <w:noWrap/>
          </w:tcPr>
          <w:p w14:paraId="3EB2D3E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34</w:t>
            </w:r>
          </w:p>
        </w:tc>
        <w:tc>
          <w:tcPr>
            <w:tcW w:w="1417" w:type="dxa"/>
            <w:noWrap/>
          </w:tcPr>
          <w:p w14:paraId="6D78951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307" w:type="dxa"/>
            <w:noWrap/>
          </w:tcPr>
          <w:p w14:paraId="45FB9DF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88%</w:t>
            </w:r>
          </w:p>
        </w:tc>
      </w:tr>
      <w:tr w:rsidR="0027461A" w:rsidRPr="00A447F5" w14:paraId="1B5E69CF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1B28F56E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interna</w:t>
            </w:r>
          </w:p>
        </w:tc>
        <w:tc>
          <w:tcPr>
            <w:tcW w:w="1487" w:type="dxa"/>
            <w:noWrap/>
          </w:tcPr>
          <w:p w14:paraId="0D5C469E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820</w:t>
            </w:r>
          </w:p>
        </w:tc>
        <w:tc>
          <w:tcPr>
            <w:tcW w:w="1417" w:type="dxa"/>
            <w:noWrap/>
          </w:tcPr>
          <w:p w14:paraId="280DE41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717</w:t>
            </w:r>
          </w:p>
        </w:tc>
        <w:tc>
          <w:tcPr>
            <w:tcW w:w="1307" w:type="dxa"/>
            <w:noWrap/>
          </w:tcPr>
          <w:p w14:paraId="37F3B47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87%</w:t>
            </w:r>
          </w:p>
        </w:tc>
      </w:tr>
      <w:tr w:rsidR="0027461A" w:rsidRPr="00A447F5" w14:paraId="303D7A86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100DEF5C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Genetica medica</w:t>
            </w:r>
          </w:p>
        </w:tc>
        <w:tc>
          <w:tcPr>
            <w:tcW w:w="1487" w:type="dxa"/>
            <w:noWrap/>
          </w:tcPr>
          <w:p w14:paraId="01A4690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70</w:t>
            </w:r>
          </w:p>
        </w:tc>
        <w:tc>
          <w:tcPr>
            <w:tcW w:w="1417" w:type="dxa"/>
            <w:noWrap/>
          </w:tcPr>
          <w:p w14:paraId="1B5CF0E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307" w:type="dxa"/>
            <w:noWrap/>
          </w:tcPr>
          <w:p w14:paraId="5792A7D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84%</w:t>
            </w:r>
          </w:p>
        </w:tc>
      </w:tr>
      <w:tr w:rsidR="0027461A" w:rsidRPr="00A447F5" w14:paraId="08F3542C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41922445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Igiene e medicina preventiva</w:t>
            </w:r>
          </w:p>
        </w:tc>
        <w:tc>
          <w:tcPr>
            <w:tcW w:w="1487" w:type="dxa"/>
            <w:noWrap/>
          </w:tcPr>
          <w:p w14:paraId="1E8650B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542</w:t>
            </w:r>
          </w:p>
        </w:tc>
        <w:tc>
          <w:tcPr>
            <w:tcW w:w="1417" w:type="dxa"/>
            <w:noWrap/>
          </w:tcPr>
          <w:p w14:paraId="21D4758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451</w:t>
            </w:r>
          </w:p>
        </w:tc>
        <w:tc>
          <w:tcPr>
            <w:tcW w:w="1307" w:type="dxa"/>
            <w:noWrap/>
          </w:tcPr>
          <w:p w14:paraId="6EAD49C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83%</w:t>
            </w:r>
          </w:p>
        </w:tc>
      </w:tr>
      <w:tr w:rsidR="0027461A" w:rsidRPr="00A447F5" w14:paraId="6A6C30E8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79F0D48D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Geriatria</w:t>
            </w:r>
          </w:p>
        </w:tc>
        <w:tc>
          <w:tcPr>
            <w:tcW w:w="1487" w:type="dxa"/>
            <w:noWrap/>
          </w:tcPr>
          <w:p w14:paraId="27172AB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353</w:t>
            </w:r>
          </w:p>
        </w:tc>
        <w:tc>
          <w:tcPr>
            <w:tcW w:w="1417" w:type="dxa"/>
            <w:noWrap/>
          </w:tcPr>
          <w:p w14:paraId="3ECFAF3D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292</w:t>
            </w:r>
          </w:p>
        </w:tc>
        <w:tc>
          <w:tcPr>
            <w:tcW w:w="1307" w:type="dxa"/>
            <w:noWrap/>
          </w:tcPr>
          <w:p w14:paraId="4082866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83%</w:t>
            </w:r>
          </w:p>
        </w:tc>
      </w:tr>
      <w:tr w:rsidR="0027461A" w:rsidRPr="00A447F5" w14:paraId="18F55B78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539D134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Anestesia Rianimazione Terapia Intensiva e del dolore</w:t>
            </w:r>
          </w:p>
        </w:tc>
        <w:tc>
          <w:tcPr>
            <w:tcW w:w="1487" w:type="dxa"/>
            <w:noWrap/>
          </w:tcPr>
          <w:p w14:paraId="4BF9E40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1.438</w:t>
            </w:r>
          </w:p>
        </w:tc>
        <w:tc>
          <w:tcPr>
            <w:tcW w:w="1417" w:type="dxa"/>
            <w:noWrap/>
          </w:tcPr>
          <w:p w14:paraId="4CAD10A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1.166</w:t>
            </w:r>
          </w:p>
        </w:tc>
        <w:tc>
          <w:tcPr>
            <w:tcW w:w="1307" w:type="dxa"/>
            <w:noWrap/>
          </w:tcPr>
          <w:p w14:paraId="2665583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81%</w:t>
            </w:r>
          </w:p>
        </w:tc>
      </w:tr>
      <w:tr w:rsidR="0027461A" w:rsidRPr="00A447F5" w14:paraId="0603BE9F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17C2D440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Ematologia</w:t>
            </w:r>
          </w:p>
        </w:tc>
        <w:tc>
          <w:tcPr>
            <w:tcW w:w="1487" w:type="dxa"/>
            <w:noWrap/>
          </w:tcPr>
          <w:p w14:paraId="285563E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217</w:t>
            </w:r>
          </w:p>
        </w:tc>
        <w:tc>
          <w:tcPr>
            <w:tcW w:w="1417" w:type="dxa"/>
            <w:noWrap/>
          </w:tcPr>
          <w:p w14:paraId="6EE782A4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175</w:t>
            </w:r>
          </w:p>
        </w:tc>
        <w:tc>
          <w:tcPr>
            <w:tcW w:w="1307" w:type="dxa"/>
            <w:noWrap/>
          </w:tcPr>
          <w:p w14:paraId="428BBDF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81%</w:t>
            </w:r>
          </w:p>
        </w:tc>
      </w:tr>
      <w:tr w:rsidR="0027461A" w:rsidRPr="00A447F5" w14:paraId="197A403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58B47FF9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Anatomia patologica</w:t>
            </w:r>
          </w:p>
        </w:tc>
        <w:tc>
          <w:tcPr>
            <w:tcW w:w="1487" w:type="dxa"/>
            <w:noWrap/>
          </w:tcPr>
          <w:p w14:paraId="1F9E65B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168</w:t>
            </w:r>
          </w:p>
        </w:tc>
        <w:tc>
          <w:tcPr>
            <w:tcW w:w="1417" w:type="dxa"/>
            <w:noWrap/>
          </w:tcPr>
          <w:p w14:paraId="1AB1442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132</w:t>
            </w:r>
          </w:p>
        </w:tc>
        <w:tc>
          <w:tcPr>
            <w:tcW w:w="1307" w:type="dxa"/>
            <w:noWrap/>
          </w:tcPr>
          <w:p w14:paraId="1D8F31E8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79%</w:t>
            </w:r>
          </w:p>
        </w:tc>
      </w:tr>
      <w:tr w:rsidR="0027461A" w:rsidRPr="00A447F5" w14:paraId="7EFC9B9B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01FD400B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Malattie Infettive e Tropicali</w:t>
            </w:r>
          </w:p>
        </w:tc>
        <w:tc>
          <w:tcPr>
            <w:tcW w:w="1487" w:type="dxa"/>
            <w:noWrap/>
          </w:tcPr>
          <w:p w14:paraId="6B8E87DD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228</w:t>
            </w:r>
          </w:p>
        </w:tc>
        <w:tc>
          <w:tcPr>
            <w:tcW w:w="1417" w:type="dxa"/>
            <w:noWrap/>
          </w:tcPr>
          <w:p w14:paraId="55FF070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1307" w:type="dxa"/>
            <w:noWrap/>
          </w:tcPr>
          <w:p w14:paraId="33BD449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74%</w:t>
            </w:r>
          </w:p>
        </w:tc>
      </w:tr>
      <w:tr w:rsidR="0027461A" w:rsidRPr="00A447F5" w14:paraId="26302EA8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BEA9234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Generale</w:t>
            </w:r>
          </w:p>
        </w:tc>
        <w:tc>
          <w:tcPr>
            <w:tcW w:w="1487" w:type="dxa"/>
            <w:noWrap/>
          </w:tcPr>
          <w:p w14:paraId="30F7A95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646</w:t>
            </w:r>
          </w:p>
        </w:tc>
        <w:tc>
          <w:tcPr>
            <w:tcW w:w="1417" w:type="dxa"/>
            <w:noWrap/>
          </w:tcPr>
          <w:p w14:paraId="282816E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415</w:t>
            </w:r>
          </w:p>
        </w:tc>
        <w:tc>
          <w:tcPr>
            <w:tcW w:w="1307" w:type="dxa"/>
            <w:noWrap/>
          </w:tcPr>
          <w:p w14:paraId="2504049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64%</w:t>
            </w:r>
          </w:p>
        </w:tc>
      </w:tr>
      <w:tr w:rsidR="0027461A" w:rsidRPr="00A447F5" w14:paraId="3F22AE75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217A9FCD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Nefrologia</w:t>
            </w:r>
          </w:p>
        </w:tc>
        <w:tc>
          <w:tcPr>
            <w:tcW w:w="1487" w:type="dxa"/>
            <w:noWrap/>
          </w:tcPr>
          <w:p w14:paraId="78513AD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340</w:t>
            </w:r>
          </w:p>
        </w:tc>
        <w:tc>
          <w:tcPr>
            <w:tcW w:w="1417" w:type="dxa"/>
            <w:noWrap/>
          </w:tcPr>
          <w:p w14:paraId="5F4BFD6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208</w:t>
            </w:r>
          </w:p>
        </w:tc>
        <w:tc>
          <w:tcPr>
            <w:tcW w:w="1307" w:type="dxa"/>
            <w:noWrap/>
          </w:tcPr>
          <w:p w14:paraId="0144955C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61%</w:t>
            </w:r>
          </w:p>
        </w:tc>
      </w:tr>
      <w:tr w:rsidR="0027461A" w:rsidRPr="00A447F5" w14:paraId="6D9A7C05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08B95A6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d'emergenza urgenza</w:t>
            </w:r>
          </w:p>
        </w:tc>
        <w:tc>
          <w:tcPr>
            <w:tcW w:w="1487" w:type="dxa"/>
            <w:noWrap/>
          </w:tcPr>
          <w:p w14:paraId="75F8C9C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954</w:t>
            </w:r>
          </w:p>
        </w:tc>
        <w:tc>
          <w:tcPr>
            <w:tcW w:w="1417" w:type="dxa"/>
            <w:noWrap/>
          </w:tcPr>
          <w:p w14:paraId="64610A1D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537</w:t>
            </w:r>
          </w:p>
        </w:tc>
        <w:tc>
          <w:tcPr>
            <w:tcW w:w="1307" w:type="dxa"/>
            <w:noWrap/>
          </w:tcPr>
          <w:p w14:paraId="79CDF77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56%</w:t>
            </w:r>
          </w:p>
        </w:tc>
      </w:tr>
      <w:tr w:rsidR="0027461A" w:rsidRPr="00A447F5" w14:paraId="35D80CD9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5A94C13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Chirurgia Toracica</w:t>
            </w:r>
          </w:p>
        </w:tc>
        <w:tc>
          <w:tcPr>
            <w:tcW w:w="1487" w:type="dxa"/>
            <w:noWrap/>
          </w:tcPr>
          <w:p w14:paraId="17C5C03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87</w:t>
            </w:r>
          </w:p>
        </w:tc>
        <w:tc>
          <w:tcPr>
            <w:tcW w:w="1417" w:type="dxa"/>
            <w:noWrap/>
          </w:tcPr>
          <w:p w14:paraId="186ABD6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49</w:t>
            </w:r>
          </w:p>
        </w:tc>
        <w:tc>
          <w:tcPr>
            <w:tcW w:w="1307" w:type="dxa"/>
            <w:noWrap/>
          </w:tcPr>
          <w:p w14:paraId="51F16C64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56%</w:t>
            </w:r>
          </w:p>
        </w:tc>
      </w:tr>
      <w:tr w:rsidR="0027461A" w:rsidRPr="00A447F5" w14:paraId="139CAC54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C71B67A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nucleare</w:t>
            </w:r>
          </w:p>
        </w:tc>
        <w:tc>
          <w:tcPr>
            <w:tcW w:w="1487" w:type="dxa"/>
            <w:noWrap/>
          </w:tcPr>
          <w:p w14:paraId="7172316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80</w:t>
            </w:r>
          </w:p>
        </w:tc>
        <w:tc>
          <w:tcPr>
            <w:tcW w:w="1417" w:type="dxa"/>
            <w:noWrap/>
          </w:tcPr>
          <w:p w14:paraId="44DDF00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</w:t>
            </w:r>
          </w:p>
        </w:tc>
        <w:tc>
          <w:tcPr>
            <w:tcW w:w="1307" w:type="dxa"/>
            <w:noWrap/>
          </w:tcPr>
          <w:p w14:paraId="114EB5A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45%</w:t>
            </w:r>
          </w:p>
        </w:tc>
      </w:tr>
      <w:tr w:rsidR="0027461A" w:rsidRPr="00A447F5" w14:paraId="0A6D73FA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7C8BDD5E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e Cure Palliative</w:t>
            </w:r>
          </w:p>
        </w:tc>
        <w:tc>
          <w:tcPr>
            <w:tcW w:w="1487" w:type="dxa"/>
            <w:noWrap/>
          </w:tcPr>
          <w:p w14:paraId="1CB84A9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155</w:t>
            </w:r>
          </w:p>
        </w:tc>
        <w:tc>
          <w:tcPr>
            <w:tcW w:w="1417" w:type="dxa"/>
            <w:noWrap/>
          </w:tcPr>
          <w:p w14:paraId="65129557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64</w:t>
            </w:r>
          </w:p>
        </w:tc>
        <w:tc>
          <w:tcPr>
            <w:tcW w:w="1307" w:type="dxa"/>
            <w:noWrap/>
          </w:tcPr>
          <w:p w14:paraId="14F8089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41%</w:t>
            </w:r>
          </w:p>
        </w:tc>
      </w:tr>
      <w:tr w:rsidR="0027461A" w:rsidRPr="00A447F5" w14:paraId="54575FF3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2406F45F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Statistica sanitaria e Biometria</w:t>
            </w:r>
          </w:p>
        </w:tc>
        <w:tc>
          <w:tcPr>
            <w:tcW w:w="1487" w:type="dxa"/>
            <w:noWrap/>
          </w:tcPr>
          <w:p w14:paraId="39D99CFB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1417" w:type="dxa"/>
            <w:noWrap/>
          </w:tcPr>
          <w:p w14:paraId="6C68130F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307" w:type="dxa"/>
            <w:noWrap/>
          </w:tcPr>
          <w:p w14:paraId="6FB02A6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36%</w:t>
            </w:r>
          </w:p>
        </w:tc>
      </w:tr>
      <w:tr w:rsidR="0027461A" w:rsidRPr="00A447F5" w14:paraId="3546208E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3708BF79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Medicina di comunità e delle cure primarie</w:t>
            </w:r>
          </w:p>
        </w:tc>
        <w:tc>
          <w:tcPr>
            <w:tcW w:w="1487" w:type="dxa"/>
            <w:noWrap/>
          </w:tcPr>
          <w:p w14:paraId="65A668C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134</w:t>
            </w:r>
          </w:p>
        </w:tc>
        <w:tc>
          <w:tcPr>
            <w:tcW w:w="1417" w:type="dxa"/>
            <w:noWrap/>
          </w:tcPr>
          <w:p w14:paraId="3C0DD89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48</w:t>
            </w:r>
          </w:p>
        </w:tc>
        <w:tc>
          <w:tcPr>
            <w:tcW w:w="1307" w:type="dxa"/>
            <w:noWrap/>
          </w:tcPr>
          <w:p w14:paraId="7A3A9A8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36%</w:t>
            </w:r>
          </w:p>
        </w:tc>
      </w:tr>
      <w:tr w:rsidR="0027461A" w:rsidRPr="00A447F5" w14:paraId="137B9D26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5E5BAB65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Radioterapia</w:t>
            </w:r>
          </w:p>
        </w:tc>
        <w:tc>
          <w:tcPr>
            <w:tcW w:w="1487" w:type="dxa"/>
            <w:noWrap/>
          </w:tcPr>
          <w:p w14:paraId="7DCB2A4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139</w:t>
            </w:r>
          </w:p>
        </w:tc>
        <w:tc>
          <w:tcPr>
            <w:tcW w:w="1417" w:type="dxa"/>
            <w:noWrap/>
          </w:tcPr>
          <w:p w14:paraId="76224899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49</w:t>
            </w:r>
          </w:p>
        </w:tc>
        <w:tc>
          <w:tcPr>
            <w:tcW w:w="1307" w:type="dxa"/>
            <w:noWrap/>
          </w:tcPr>
          <w:p w14:paraId="1C480F31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35%</w:t>
            </w:r>
          </w:p>
        </w:tc>
      </w:tr>
      <w:tr w:rsidR="0027461A" w:rsidRPr="00A447F5" w14:paraId="7741AE3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08488630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Patologia Clinica e Biochimica Clinica</w:t>
            </w:r>
          </w:p>
        </w:tc>
        <w:tc>
          <w:tcPr>
            <w:tcW w:w="1487" w:type="dxa"/>
            <w:noWrap/>
          </w:tcPr>
          <w:p w14:paraId="6150889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272</w:t>
            </w:r>
          </w:p>
        </w:tc>
        <w:tc>
          <w:tcPr>
            <w:tcW w:w="1417" w:type="dxa"/>
            <w:noWrap/>
          </w:tcPr>
          <w:p w14:paraId="69943E86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66</w:t>
            </w:r>
          </w:p>
        </w:tc>
        <w:tc>
          <w:tcPr>
            <w:tcW w:w="1307" w:type="dxa"/>
            <w:noWrap/>
          </w:tcPr>
          <w:p w14:paraId="772F93B0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24%</w:t>
            </w:r>
          </w:p>
        </w:tc>
      </w:tr>
      <w:tr w:rsidR="0027461A" w:rsidRPr="00A447F5" w14:paraId="7580B880" w14:textId="77777777" w:rsidTr="00811A78">
        <w:trPr>
          <w:trHeight w:val="238"/>
          <w:jc w:val="center"/>
        </w:trPr>
        <w:tc>
          <w:tcPr>
            <w:tcW w:w="4644" w:type="dxa"/>
            <w:noWrap/>
          </w:tcPr>
          <w:p w14:paraId="2DC44CF7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Farmacologia e Tossicologia Clinica</w:t>
            </w:r>
          </w:p>
        </w:tc>
        <w:tc>
          <w:tcPr>
            <w:tcW w:w="1487" w:type="dxa"/>
            <w:noWrap/>
          </w:tcPr>
          <w:p w14:paraId="5EC97E5D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114</w:t>
            </w:r>
          </w:p>
        </w:tc>
        <w:tc>
          <w:tcPr>
            <w:tcW w:w="1417" w:type="dxa"/>
            <w:noWrap/>
          </w:tcPr>
          <w:p w14:paraId="73019F6E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307" w:type="dxa"/>
            <w:noWrap/>
          </w:tcPr>
          <w:p w14:paraId="204E4383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22%</w:t>
            </w:r>
          </w:p>
        </w:tc>
      </w:tr>
      <w:tr w:rsidR="0027461A" w:rsidRPr="00A447F5" w14:paraId="5AB51F36" w14:textId="77777777" w:rsidTr="00811A78">
        <w:trPr>
          <w:trHeight w:val="238"/>
          <w:jc w:val="center"/>
        </w:trPr>
        <w:tc>
          <w:tcPr>
            <w:tcW w:w="4644" w:type="dxa"/>
            <w:tcBorders>
              <w:bottom w:val="single" w:sz="4" w:space="0" w:color="00457D"/>
            </w:tcBorders>
            <w:noWrap/>
          </w:tcPr>
          <w:p w14:paraId="66330461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Microbiologia e virologia</w:t>
            </w:r>
          </w:p>
        </w:tc>
        <w:tc>
          <w:tcPr>
            <w:tcW w:w="1487" w:type="dxa"/>
            <w:tcBorders>
              <w:bottom w:val="single" w:sz="4" w:space="0" w:color="00457D"/>
            </w:tcBorders>
            <w:noWrap/>
          </w:tcPr>
          <w:p w14:paraId="4E3BDD1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bottom w:val="single" w:sz="4" w:space="0" w:color="00457D"/>
            </w:tcBorders>
            <w:noWrap/>
          </w:tcPr>
          <w:p w14:paraId="699CE197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1307" w:type="dxa"/>
            <w:tcBorders>
              <w:bottom w:val="single" w:sz="4" w:space="0" w:color="00457D"/>
            </w:tcBorders>
            <w:noWrap/>
          </w:tcPr>
          <w:p w14:paraId="428746D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A0ABA">
              <w:rPr>
                <w:rFonts w:cs="Calibri"/>
                <w:sz w:val="20"/>
                <w:szCs w:val="20"/>
              </w:rPr>
              <w:t>20%</w:t>
            </w:r>
          </w:p>
        </w:tc>
      </w:tr>
      <w:tr w:rsidR="0027461A" w:rsidRPr="000E21C5" w14:paraId="4AAE8B9C" w14:textId="77777777" w:rsidTr="00811A78">
        <w:trPr>
          <w:trHeight w:val="238"/>
          <w:jc w:val="center"/>
        </w:trPr>
        <w:tc>
          <w:tcPr>
            <w:tcW w:w="464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17B3F8B" w14:textId="77777777" w:rsidR="0027461A" w:rsidRPr="004A0ABA" w:rsidRDefault="0027461A" w:rsidP="00811A78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TOTALE</w:t>
            </w:r>
          </w:p>
        </w:tc>
        <w:tc>
          <w:tcPr>
            <w:tcW w:w="14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041AB0A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ab/>
              <w:t>14.493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24B55B5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12.248</w:t>
            </w:r>
          </w:p>
        </w:tc>
        <w:tc>
          <w:tcPr>
            <w:tcW w:w="130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F23C7A2" w14:textId="77777777" w:rsidR="0027461A" w:rsidRPr="004A0ABA" w:rsidRDefault="0027461A" w:rsidP="00811A78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</w:pPr>
            <w:r w:rsidRPr="004A0ABA">
              <w:rPr>
                <w:rFonts w:eastAsia="Times New Roman" w:cs="Calibri"/>
                <w:b/>
                <w:color w:val="FFFFFF" w:themeColor="background1"/>
                <w:sz w:val="20"/>
                <w:szCs w:val="20"/>
              </w:rPr>
              <w:t>85%</w:t>
            </w:r>
          </w:p>
        </w:tc>
      </w:tr>
    </w:tbl>
    <w:p w14:paraId="4FC366A5" w14:textId="28FC06E0" w:rsidR="007D126B" w:rsidRPr="00AE262E" w:rsidRDefault="007D126B" w:rsidP="001A7B97">
      <w:pPr>
        <w:spacing w:after="120"/>
        <w:jc w:val="center"/>
        <w:rPr>
          <w:rFonts w:cstheme="minorHAnsi"/>
          <w:bCs/>
          <w:color w:val="00457D"/>
          <w:sz w:val="20"/>
          <w:szCs w:val="20"/>
          <w:lang w:eastAsia="it-IT"/>
        </w:rPr>
      </w:pPr>
      <w:r w:rsidRPr="00AE262E">
        <w:rPr>
          <w:rFonts w:cstheme="minorHAnsi"/>
          <w:b/>
          <w:color w:val="00457D"/>
          <w:sz w:val="20"/>
          <w:szCs w:val="20"/>
          <w:lang w:eastAsia="it-IT"/>
        </w:rPr>
        <w:lastRenderedPageBreak/>
        <w:t>Figura</w:t>
      </w:r>
      <w:r>
        <w:rPr>
          <w:rFonts w:cstheme="minorHAnsi"/>
          <w:b/>
          <w:color w:val="00457D"/>
          <w:sz w:val="20"/>
          <w:szCs w:val="20"/>
          <w:lang w:eastAsia="it-IT"/>
        </w:rPr>
        <w:t xml:space="preserve"> 2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t xml:space="preserve">. Infermieri per 1.000 abitanti 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br/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>(dati OCSE, anno 2023 o più recente disponibile)</w:t>
      </w:r>
    </w:p>
    <w:p w14:paraId="16459F9C" w14:textId="77777777" w:rsidR="007D126B" w:rsidRPr="000E21C5" w:rsidRDefault="007D126B" w:rsidP="007D126B">
      <w:pPr>
        <w:spacing w:after="120"/>
        <w:jc w:val="center"/>
        <w:rPr>
          <w:rFonts w:ascii="Cambria" w:hAnsi="Cambria"/>
          <w:spacing w:val="-2"/>
          <w:lang w:eastAsia="it-IT"/>
        </w:rPr>
      </w:pPr>
      <w:r w:rsidRPr="000E21C5">
        <w:rPr>
          <w:rFonts w:ascii="Cambria" w:hAnsi="Cambria"/>
          <w:noProof/>
          <w:spacing w:val="-2"/>
          <w:lang w:eastAsia="it-IT"/>
        </w:rPr>
        <w:drawing>
          <wp:inline distT="0" distB="0" distL="0" distR="0" wp14:anchorId="592F3C13" wp14:editId="04208EA1">
            <wp:extent cx="5040000" cy="2517060"/>
            <wp:effectExtent l="0" t="0" r="8255" b="0"/>
            <wp:docPr id="714241356" name="Immagine 9" descr="Immagine che contiene testo, schermata, line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41356" name="Immagine 9" descr="Immagine che contiene testo, schermata, linea, Paralle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51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2B60D" w14:textId="77777777" w:rsidR="007D126B" w:rsidRDefault="007D126B" w:rsidP="007D126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0808EB15" w14:textId="489161B3" w:rsidR="007D126B" w:rsidRPr="007D126B" w:rsidRDefault="007D126B" w:rsidP="001A7B97">
      <w:pPr>
        <w:spacing w:after="120"/>
        <w:jc w:val="center"/>
        <w:rPr>
          <w:rFonts w:cstheme="minorHAnsi"/>
          <w:bCs/>
          <w:color w:val="00457D"/>
          <w:sz w:val="20"/>
          <w:szCs w:val="20"/>
          <w:lang w:eastAsia="it-IT"/>
        </w:rPr>
      </w:pPr>
      <w:r w:rsidRPr="00AE262E">
        <w:rPr>
          <w:rFonts w:cstheme="minorHAnsi"/>
          <w:b/>
          <w:color w:val="00457D"/>
          <w:sz w:val="20"/>
          <w:szCs w:val="20"/>
          <w:lang w:eastAsia="it-IT"/>
        </w:rPr>
        <w:t>Figura</w:t>
      </w:r>
      <w:r>
        <w:rPr>
          <w:rFonts w:cstheme="minorHAnsi"/>
          <w:b/>
          <w:color w:val="00457D"/>
          <w:sz w:val="20"/>
          <w:szCs w:val="20"/>
          <w:lang w:eastAsia="it-IT"/>
        </w:rPr>
        <w:t xml:space="preserve"> 3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t xml:space="preserve">. </w:t>
      </w:r>
      <w:r w:rsidR="001A7B97">
        <w:rPr>
          <w:rFonts w:cstheme="minorHAnsi"/>
          <w:b/>
          <w:color w:val="00457D"/>
          <w:sz w:val="20"/>
          <w:szCs w:val="20"/>
          <w:lang w:eastAsia="it-IT"/>
        </w:rPr>
        <w:t>Coro di laurea in infermieristica: rapporto tra domande di iscrizione e posti disponibili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t xml:space="preserve"> 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br/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 xml:space="preserve">(dati </w:t>
      </w:r>
      <w:r w:rsidR="001A7B97">
        <w:rPr>
          <w:rFonts w:cstheme="minorHAnsi"/>
          <w:bCs/>
          <w:color w:val="00457D"/>
          <w:sz w:val="20"/>
          <w:szCs w:val="20"/>
          <w:lang w:eastAsia="it-IT"/>
        </w:rPr>
        <w:t>MUR</w:t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>, anno 202</w:t>
      </w:r>
      <w:r w:rsidR="001A7B97">
        <w:rPr>
          <w:rFonts w:cstheme="minorHAnsi"/>
          <w:bCs/>
          <w:color w:val="00457D"/>
          <w:sz w:val="20"/>
          <w:szCs w:val="20"/>
          <w:lang w:eastAsia="it-IT"/>
        </w:rPr>
        <w:t>5</w:t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>)</w:t>
      </w:r>
    </w:p>
    <w:p w14:paraId="2B8C6F2B" w14:textId="1427BD20" w:rsidR="00402D84" w:rsidRDefault="007D126B" w:rsidP="007D126B">
      <w:pPr>
        <w:jc w:val="center"/>
        <w:rPr>
          <w:rFonts w:cstheme="minorHAnsi"/>
          <w:b/>
          <w:color w:val="00457D"/>
          <w:sz w:val="20"/>
        </w:rPr>
      </w:pPr>
      <w:r w:rsidRPr="007D126B">
        <w:rPr>
          <w:rFonts w:cstheme="minorHAnsi"/>
          <w:b/>
          <w:noProof/>
          <w:color w:val="00457D"/>
          <w:sz w:val="20"/>
          <w:lang w:eastAsia="it-IT"/>
        </w:rPr>
        <w:drawing>
          <wp:inline distT="0" distB="0" distL="0" distR="0" wp14:anchorId="40A1F806" wp14:editId="47ED2D1C">
            <wp:extent cx="5040000" cy="3195103"/>
            <wp:effectExtent l="0" t="0" r="8255" b="5715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DA19C457-89AF-41D9-90B3-61065E744A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DA19C457-89AF-41D9-90B3-61065E744A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19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4D88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3CCA10D5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77B71AE4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0FBE7FB0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09B9CC8D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7CD746AC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66DF3B0F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4A76BE81" w14:textId="77777777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538F3EE1" w14:textId="781D7BCE" w:rsidR="001A7B97" w:rsidRDefault="001A7B97" w:rsidP="001A7B97">
      <w:pPr>
        <w:spacing w:after="120"/>
        <w:jc w:val="center"/>
        <w:rPr>
          <w:rFonts w:cstheme="minorHAnsi"/>
          <w:b/>
          <w:color w:val="00457D"/>
          <w:sz w:val="20"/>
        </w:rPr>
      </w:pPr>
      <w:r w:rsidRPr="00AE262E">
        <w:rPr>
          <w:rFonts w:cstheme="minorHAnsi"/>
          <w:b/>
          <w:color w:val="00457D"/>
          <w:sz w:val="20"/>
          <w:szCs w:val="20"/>
          <w:lang w:eastAsia="it-IT"/>
        </w:rPr>
        <w:lastRenderedPageBreak/>
        <w:t>Figura</w:t>
      </w:r>
      <w:r>
        <w:rPr>
          <w:rFonts w:cstheme="minorHAnsi"/>
          <w:b/>
          <w:color w:val="00457D"/>
          <w:sz w:val="20"/>
          <w:szCs w:val="20"/>
          <w:lang w:eastAsia="it-IT"/>
        </w:rPr>
        <w:t xml:space="preserve"> </w:t>
      </w:r>
      <w:r w:rsidR="00D1372D">
        <w:rPr>
          <w:rFonts w:cstheme="minorHAnsi"/>
          <w:b/>
          <w:color w:val="00457D"/>
          <w:sz w:val="20"/>
          <w:szCs w:val="20"/>
          <w:lang w:eastAsia="it-IT"/>
        </w:rPr>
        <w:t>4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t xml:space="preserve">. </w:t>
      </w:r>
      <w:r w:rsidR="00D1372D" w:rsidRPr="00D1372D">
        <w:rPr>
          <w:rFonts w:cstheme="minorHAnsi"/>
          <w:b/>
          <w:color w:val="00457D"/>
          <w:sz w:val="20"/>
          <w:szCs w:val="20"/>
          <w:lang w:eastAsia="it-IT"/>
        </w:rPr>
        <w:t>Spesa sanitaria per redditi da lavoro dipendente e assistenza medico-generica da convenzione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br/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 xml:space="preserve">(dati </w:t>
      </w:r>
      <w:r w:rsidR="00D1372D">
        <w:rPr>
          <w:rFonts w:cstheme="minorHAnsi"/>
          <w:bCs/>
          <w:color w:val="00457D"/>
          <w:sz w:val="20"/>
          <w:szCs w:val="20"/>
          <w:lang w:eastAsia="it-IT"/>
        </w:rPr>
        <w:t>ISTAT</w:t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 xml:space="preserve">, </w:t>
      </w:r>
      <w:r w:rsidR="00D1372D" w:rsidRPr="00D1372D">
        <w:rPr>
          <w:rFonts w:cstheme="minorHAnsi"/>
          <w:bCs/>
          <w:color w:val="00457D"/>
          <w:sz w:val="20"/>
          <w:szCs w:val="20"/>
          <w:lang w:eastAsia="it-IT"/>
        </w:rPr>
        <w:t>percentuale sul totale della spesa sanitaria</w:t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>)</w:t>
      </w:r>
    </w:p>
    <w:p w14:paraId="02D9FA0E" w14:textId="588BB58D" w:rsidR="001A7B97" w:rsidRDefault="001A7B97" w:rsidP="007D126B">
      <w:pPr>
        <w:jc w:val="center"/>
        <w:rPr>
          <w:rFonts w:cstheme="minorHAnsi"/>
          <w:b/>
          <w:color w:val="00457D"/>
          <w:sz w:val="20"/>
        </w:rPr>
      </w:pPr>
      <w:r w:rsidRPr="001A7B97">
        <w:rPr>
          <w:rFonts w:cstheme="minorHAnsi"/>
          <w:b/>
          <w:noProof/>
          <w:color w:val="00457D"/>
          <w:sz w:val="20"/>
          <w:lang w:eastAsia="it-IT"/>
        </w:rPr>
        <w:drawing>
          <wp:inline distT="0" distB="0" distL="0" distR="0" wp14:anchorId="4A7D1963" wp14:editId="737D9805">
            <wp:extent cx="5040000" cy="2660145"/>
            <wp:effectExtent l="0" t="0" r="8255" b="6985"/>
            <wp:docPr id="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D9A69D9-AB3C-4105-9051-CBC1721B3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3D9A69D9-AB3C-4105-9051-CBC1721B3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C6999" w14:textId="77777777" w:rsidR="00D1372D" w:rsidRDefault="00D1372D" w:rsidP="00D1372D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3E45B76E" w14:textId="2B2C1BB7" w:rsidR="00D1372D" w:rsidRPr="00D1372D" w:rsidRDefault="00D1372D" w:rsidP="00D1372D">
      <w:pPr>
        <w:spacing w:after="120"/>
        <w:jc w:val="center"/>
        <w:rPr>
          <w:rFonts w:cstheme="minorHAnsi"/>
          <w:b/>
          <w:color w:val="00457D"/>
          <w:sz w:val="20"/>
          <w:szCs w:val="20"/>
          <w:lang w:eastAsia="it-IT"/>
        </w:rPr>
      </w:pPr>
      <w:r w:rsidRPr="00AE262E">
        <w:rPr>
          <w:rFonts w:cstheme="minorHAnsi"/>
          <w:b/>
          <w:color w:val="00457D"/>
          <w:sz w:val="20"/>
          <w:szCs w:val="20"/>
          <w:lang w:eastAsia="it-IT"/>
        </w:rPr>
        <w:t>Figura</w:t>
      </w:r>
      <w:r>
        <w:rPr>
          <w:rFonts w:cstheme="minorHAnsi"/>
          <w:b/>
          <w:color w:val="00457D"/>
          <w:sz w:val="20"/>
          <w:szCs w:val="20"/>
          <w:lang w:eastAsia="it-IT"/>
        </w:rPr>
        <w:t xml:space="preserve"> </w:t>
      </w:r>
      <w:r w:rsidR="006D4D16">
        <w:rPr>
          <w:rFonts w:cstheme="minorHAnsi"/>
          <w:b/>
          <w:color w:val="00457D"/>
          <w:sz w:val="20"/>
          <w:szCs w:val="20"/>
          <w:lang w:eastAsia="it-IT"/>
        </w:rPr>
        <w:t>5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t xml:space="preserve">. </w:t>
      </w:r>
      <w:r w:rsidRPr="00D1372D">
        <w:rPr>
          <w:rFonts w:cstheme="minorHAnsi"/>
          <w:b/>
          <w:color w:val="00457D"/>
          <w:sz w:val="20"/>
          <w:szCs w:val="20"/>
          <w:lang w:eastAsia="it-IT"/>
        </w:rPr>
        <w:t>Riduzione assoluta della spesa sanitaria per il persona</w:t>
      </w:r>
      <w:r>
        <w:rPr>
          <w:rFonts w:cstheme="minorHAnsi"/>
          <w:b/>
          <w:color w:val="00457D"/>
          <w:sz w:val="20"/>
          <w:szCs w:val="20"/>
          <w:lang w:eastAsia="it-IT"/>
        </w:rPr>
        <w:t xml:space="preserve">le dipendente </w:t>
      </w:r>
      <w:r>
        <w:rPr>
          <w:rFonts w:cstheme="minorHAnsi"/>
          <w:b/>
          <w:color w:val="00457D"/>
          <w:sz w:val="20"/>
          <w:szCs w:val="20"/>
          <w:lang w:eastAsia="it-IT"/>
        </w:rPr>
        <w:br/>
        <w:t>parametrandola al 39,7% della spesa sanitaria totale</w:t>
      </w:r>
      <w:r>
        <w:rPr>
          <w:rFonts w:cstheme="minorHAnsi"/>
          <w:b/>
          <w:color w:val="00457D"/>
          <w:sz w:val="20"/>
          <w:szCs w:val="20"/>
          <w:lang w:eastAsia="it-IT"/>
        </w:rPr>
        <w:br/>
      </w:r>
      <w:r w:rsidRPr="00D1372D">
        <w:rPr>
          <w:rFonts w:cstheme="minorHAnsi"/>
          <w:color w:val="00457D"/>
          <w:sz w:val="20"/>
          <w:szCs w:val="20"/>
          <w:lang w:eastAsia="it-IT"/>
        </w:rPr>
        <w:t>(elaborazione GIMBE dati ISTAT)</w:t>
      </w:r>
    </w:p>
    <w:p w14:paraId="02C0C9C7" w14:textId="5C453283" w:rsidR="00D1372D" w:rsidRDefault="00D1372D" w:rsidP="007D126B">
      <w:pPr>
        <w:jc w:val="center"/>
        <w:rPr>
          <w:rFonts w:cstheme="minorHAnsi"/>
          <w:b/>
          <w:color w:val="00457D"/>
          <w:sz w:val="20"/>
        </w:rPr>
      </w:pPr>
      <w:r w:rsidRPr="00D1372D">
        <w:rPr>
          <w:rFonts w:cstheme="minorHAnsi"/>
          <w:b/>
          <w:noProof/>
          <w:color w:val="00457D"/>
          <w:sz w:val="20"/>
          <w:lang w:eastAsia="it-IT"/>
        </w:rPr>
        <w:drawing>
          <wp:inline distT="0" distB="0" distL="0" distR="0" wp14:anchorId="65AFAE0B" wp14:editId="4B6FD96C">
            <wp:extent cx="5040000" cy="2966059"/>
            <wp:effectExtent l="0" t="0" r="8255" b="6350"/>
            <wp:docPr id="3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068D5F88-D8C5-417B-8A84-9501DAA732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id="{068D5F88-D8C5-417B-8A84-9501DAA732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96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72D" w:rsidSect="00D019D7">
      <w:headerReference w:type="default" r:id="rId1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C9A3B" w16cex:dateUtc="2026-01-22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983B4B" w16cid:durableId="2D1C9A3B"/>
  <w16cid:commentId w16cid:paraId="62BCC4AC" w16cid:durableId="2D1C9E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B2C97" w14:textId="77777777" w:rsidR="00F80487" w:rsidRDefault="00F80487" w:rsidP="00F9179C">
      <w:pPr>
        <w:spacing w:after="0" w:line="240" w:lineRule="auto"/>
      </w:pPr>
      <w:r>
        <w:separator/>
      </w:r>
    </w:p>
  </w:endnote>
  <w:endnote w:type="continuationSeparator" w:id="0">
    <w:p w14:paraId="23A40D7B" w14:textId="77777777" w:rsidR="00F80487" w:rsidRDefault="00F80487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35C09" w14:textId="77777777" w:rsidR="00F80487" w:rsidRDefault="00F80487" w:rsidP="00F9179C">
      <w:pPr>
        <w:spacing w:after="0" w:line="240" w:lineRule="auto"/>
      </w:pPr>
      <w:r>
        <w:separator/>
      </w:r>
    </w:p>
  </w:footnote>
  <w:footnote w:type="continuationSeparator" w:id="0">
    <w:p w14:paraId="024237CA" w14:textId="77777777" w:rsidR="00F80487" w:rsidRDefault="00F80487" w:rsidP="00F9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923" w14:textId="28676568" w:rsidR="006B5F3A" w:rsidRPr="006B5F3A" w:rsidRDefault="006B5F3A" w:rsidP="006B5F3A">
    <w:pPr>
      <w:pStyle w:val="Intestazione"/>
      <w:jc w:val="center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18C"/>
    <w:multiLevelType w:val="hybridMultilevel"/>
    <w:tmpl w:val="46A8E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C145B"/>
    <w:multiLevelType w:val="hybridMultilevel"/>
    <w:tmpl w:val="C1B82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C71A8"/>
    <w:multiLevelType w:val="hybridMultilevel"/>
    <w:tmpl w:val="359AA8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03CF5"/>
    <w:multiLevelType w:val="hybridMultilevel"/>
    <w:tmpl w:val="882A1566"/>
    <w:lvl w:ilvl="0" w:tplc="54885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61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23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A0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2A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92F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82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2BD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E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02423"/>
    <w:multiLevelType w:val="hybridMultilevel"/>
    <w:tmpl w:val="226CD7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76D2A"/>
    <w:multiLevelType w:val="hybridMultilevel"/>
    <w:tmpl w:val="52145E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B0806"/>
    <w:multiLevelType w:val="hybridMultilevel"/>
    <w:tmpl w:val="FDE842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6ED"/>
    <w:multiLevelType w:val="hybridMultilevel"/>
    <w:tmpl w:val="50F43A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B7B34"/>
    <w:multiLevelType w:val="hybridMultilevel"/>
    <w:tmpl w:val="BEAC50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70F73"/>
    <w:multiLevelType w:val="hybridMultilevel"/>
    <w:tmpl w:val="E6E0E6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C17E47"/>
    <w:multiLevelType w:val="hybridMultilevel"/>
    <w:tmpl w:val="95A0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A72C0"/>
    <w:multiLevelType w:val="hybridMultilevel"/>
    <w:tmpl w:val="F07C72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075B7E"/>
    <w:multiLevelType w:val="hybridMultilevel"/>
    <w:tmpl w:val="6F5CA1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7139F9"/>
    <w:multiLevelType w:val="hybridMultilevel"/>
    <w:tmpl w:val="310E6934"/>
    <w:lvl w:ilvl="0" w:tplc="9D26544C"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3715F7"/>
    <w:multiLevelType w:val="hybridMultilevel"/>
    <w:tmpl w:val="C7B055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0C70A8"/>
    <w:multiLevelType w:val="hybridMultilevel"/>
    <w:tmpl w:val="3FECBE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A94AF9"/>
    <w:multiLevelType w:val="hybridMultilevel"/>
    <w:tmpl w:val="0BEA87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0C3B41"/>
    <w:multiLevelType w:val="hybridMultilevel"/>
    <w:tmpl w:val="BB0434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9"/>
  </w:num>
  <w:num w:numId="4">
    <w:abstractNumId w:val="31"/>
  </w:num>
  <w:num w:numId="5">
    <w:abstractNumId w:val="21"/>
  </w:num>
  <w:num w:numId="6">
    <w:abstractNumId w:val="16"/>
  </w:num>
  <w:num w:numId="7">
    <w:abstractNumId w:val="24"/>
  </w:num>
  <w:num w:numId="8">
    <w:abstractNumId w:val="23"/>
  </w:num>
  <w:num w:numId="9">
    <w:abstractNumId w:val="5"/>
  </w:num>
  <w:num w:numId="10">
    <w:abstractNumId w:val="6"/>
  </w:num>
  <w:num w:numId="11">
    <w:abstractNumId w:val="9"/>
  </w:num>
  <w:num w:numId="12">
    <w:abstractNumId w:val="14"/>
  </w:num>
  <w:num w:numId="13">
    <w:abstractNumId w:val="12"/>
  </w:num>
  <w:num w:numId="14">
    <w:abstractNumId w:val="3"/>
  </w:num>
  <w:num w:numId="15">
    <w:abstractNumId w:val="11"/>
  </w:num>
  <w:num w:numId="16">
    <w:abstractNumId w:val="27"/>
  </w:num>
  <w:num w:numId="17">
    <w:abstractNumId w:val="2"/>
  </w:num>
  <w:num w:numId="18">
    <w:abstractNumId w:val="7"/>
  </w:num>
  <w:num w:numId="19">
    <w:abstractNumId w:val="1"/>
  </w:num>
  <w:num w:numId="20">
    <w:abstractNumId w:val="28"/>
  </w:num>
  <w:num w:numId="21">
    <w:abstractNumId w:val="29"/>
  </w:num>
  <w:num w:numId="22">
    <w:abstractNumId w:val="25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5"/>
  </w:num>
  <w:num w:numId="28">
    <w:abstractNumId w:val="17"/>
  </w:num>
  <w:num w:numId="29">
    <w:abstractNumId w:val="8"/>
  </w:num>
  <w:num w:numId="30">
    <w:abstractNumId w:val="33"/>
  </w:num>
  <w:num w:numId="31">
    <w:abstractNumId w:val="10"/>
  </w:num>
  <w:num w:numId="32">
    <w:abstractNumId w:val="34"/>
  </w:num>
  <w:num w:numId="33">
    <w:abstractNumId w:val="13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F0F"/>
    <w:rsid w:val="0000150F"/>
    <w:rsid w:val="00002C1B"/>
    <w:rsid w:val="000036C0"/>
    <w:rsid w:val="00003762"/>
    <w:rsid w:val="00003F78"/>
    <w:rsid w:val="00004918"/>
    <w:rsid w:val="0000491D"/>
    <w:rsid w:val="00005565"/>
    <w:rsid w:val="00005B25"/>
    <w:rsid w:val="00006555"/>
    <w:rsid w:val="00010498"/>
    <w:rsid w:val="00010A21"/>
    <w:rsid w:val="00010EE6"/>
    <w:rsid w:val="00013725"/>
    <w:rsid w:val="0001384A"/>
    <w:rsid w:val="00013DFA"/>
    <w:rsid w:val="00014A0C"/>
    <w:rsid w:val="00016482"/>
    <w:rsid w:val="00017968"/>
    <w:rsid w:val="00017FB4"/>
    <w:rsid w:val="00022343"/>
    <w:rsid w:val="00023D8A"/>
    <w:rsid w:val="00025A25"/>
    <w:rsid w:val="00031106"/>
    <w:rsid w:val="00032F5A"/>
    <w:rsid w:val="0003363A"/>
    <w:rsid w:val="000347D1"/>
    <w:rsid w:val="000351B7"/>
    <w:rsid w:val="00035404"/>
    <w:rsid w:val="0004054A"/>
    <w:rsid w:val="00040FE8"/>
    <w:rsid w:val="00042E1E"/>
    <w:rsid w:val="00043945"/>
    <w:rsid w:val="00043ED4"/>
    <w:rsid w:val="0004410A"/>
    <w:rsid w:val="00044DE6"/>
    <w:rsid w:val="0004630A"/>
    <w:rsid w:val="0004762E"/>
    <w:rsid w:val="00047F99"/>
    <w:rsid w:val="00050758"/>
    <w:rsid w:val="00050DE4"/>
    <w:rsid w:val="00051F7A"/>
    <w:rsid w:val="00052BA3"/>
    <w:rsid w:val="0005313F"/>
    <w:rsid w:val="00053837"/>
    <w:rsid w:val="0005398F"/>
    <w:rsid w:val="0005402C"/>
    <w:rsid w:val="00055AE9"/>
    <w:rsid w:val="00055D27"/>
    <w:rsid w:val="00056A78"/>
    <w:rsid w:val="00056D5E"/>
    <w:rsid w:val="000602AA"/>
    <w:rsid w:val="00060DA3"/>
    <w:rsid w:val="0006266B"/>
    <w:rsid w:val="00062E1F"/>
    <w:rsid w:val="00063001"/>
    <w:rsid w:val="00063215"/>
    <w:rsid w:val="0006440E"/>
    <w:rsid w:val="000657A8"/>
    <w:rsid w:val="00065F61"/>
    <w:rsid w:val="00066B64"/>
    <w:rsid w:val="00067914"/>
    <w:rsid w:val="00067B8F"/>
    <w:rsid w:val="000707B3"/>
    <w:rsid w:val="00070B39"/>
    <w:rsid w:val="00070C42"/>
    <w:rsid w:val="000715A9"/>
    <w:rsid w:val="00073870"/>
    <w:rsid w:val="00074788"/>
    <w:rsid w:val="00075271"/>
    <w:rsid w:val="00077E1D"/>
    <w:rsid w:val="000801B5"/>
    <w:rsid w:val="00080253"/>
    <w:rsid w:val="00082861"/>
    <w:rsid w:val="00086146"/>
    <w:rsid w:val="000867F0"/>
    <w:rsid w:val="000870F2"/>
    <w:rsid w:val="00087876"/>
    <w:rsid w:val="000879E2"/>
    <w:rsid w:val="000901CF"/>
    <w:rsid w:val="000903A9"/>
    <w:rsid w:val="00090A39"/>
    <w:rsid w:val="000914D5"/>
    <w:rsid w:val="000927C7"/>
    <w:rsid w:val="000927C9"/>
    <w:rsid w:val="00092D08"/>
    <w:rsid w:val="00093C8A"/>
    <w:rsid w:val="00093F73"/>
    <w:rsid w:val="00094258"/>
    <w:rsid w:val="000963AF"/>
    <w:rsid w:val="000A0FC3"/>
    <w:rsid w:val="000A170D"/>
    <w:rsid w:val="000A1978"/>
    <w:rsid w:val="000A2073"/>
    <w:rsid w:val="000A2084"/>
    <w:rsid w:val="000A2351"/>
    <w:rsid w:val="000A3087"/>
    <w:rsid w:val="000A358D"/>
    <w:rsid w:val="000A62A9"/>
    <w:rsid w:val="000A7B66"/>
    <w:rsid w:val="000B07B0"/>
    <w:rsid w:val="000B442B"/>
    <w:rsid w:val="000B4DE8"/>
    <w:rsid w:val="000B5D7F"/>
    <w:rsid w:val="000C0120"/>
    <w:rsid w:val="000C0998"/>
    <w:rsid w:val="000C2118"/>
    <w:rsid w:val="000C3BC0"/>
    <w:rsid w:val="000C4706"/>
    <w:rsid w:val="000C544C"/>
    <w:rsid w:val="000C6130"/>
    <w:rsid w:val="000C7AD0"/>
    <w:rsid w:val="000D02E4"/>
    <w:rsid w:val="000D0F15"/>
    <w:rsid w:val="000D1F7A"/>
    <w:rsid w:val="000D23C3"/>
    <w:rsid w:val="000D29E1"/>
    <w:rsid w:val="000D44D4"/>
    <w:rsid w:val="000D504E"/>
    <w:rsid w:val="000D563F"/>
    <w:rsid w:val="000D5D6D"/>
    <w:rsid w:val="000D64F4"/>
    <w:rsid w:val="000D7252"/>
    <w:rsid w:val="000D77CA"/>
    <w:rsid w:val="000E023F"/>
    <w:rsid w:val="000E0C16"/>
    <w:rsid w:val="000E26EE"/>
    <w:rsid w:val="000E2A40"/>
    <w:rsid w:val="000E2E4F"/>
    <w:rsid w:val="000E2F3B"/>
    <w:rsid w:val="000E32E7"/>
    <w:rsid w:val="000E3BEC"/>
    <w:rsid w:val="000E4CA9"/>
    <w:rsid w:val="000E6970"/>
    <w:rsid w:val="000E709E"/>
    <w:rsid w:val="000E76D8"/>
    <w:rsid w:val="000E7CC2"/>
    <w:rsid w:val="000F0BBD"/>
    <w:rsid w:val="000F10F8"/>
    <w:rsid w:val="000F27FD"/>
    <w:rsid w:val="000F31A6"/>
    <w:rsid w:val="000F3229"/>
    <w:rsid w:val="000F36BB"/>
    <w:rsid w:val="000F39EF"/>
    <w:rsid w:val="000F42F1"/>
    <w:rsid w:val="000F46DF"/>
    <w:rsid w:val="000F5ADA"/>
    <w:rsid w:val="000F5C0F"/>
    <w:rsid w:val="000F5D99"/>
    <w:rsid w:val="0010059E"/>
    <w:rsid w:val="00100643"/>
    <w:rsid w:val="00101B09"/>
    <w:rsid w:val="00101DC8"/>
    <w:rsid w:val="00105BFE"/>
    <w:rsid w:val="00106462"/>
    <w:rsid w:val="00107096"/>
    <w:rsid w:val="00111CC5"/>
    <w:rsid w:val="00111EC8"/>
    <w:rsid w:val="0011205F"/>
    <w:rsid w:val="001134E3"/>
    <w:rsid w:val="001139A6"/>
    <w:rsid w:val="00113D4A"/>
    <w:rsid w:val="0011527C"/>
    <w:rsid w:val="00115417"/>
    <w:rsid w:val="001167D9"/>
    <w:rsid w:val="00122860"/>
    <w:rsid w:val="00125268"/>
    <w:rsid w:val="001259E9"/>
    <w:rsid w:val="00125C6A"/>
    <w:rsid w:val="0012615E"/>
    <w:rsid w:val="00126A64"/>
    <w:rsid w:val="0013083D"/>
    <w:rsid w:val="00130A97"/>
    <w:rsid w:val="001317CF"/>
    <w:rsid w:val="00134C8C"/>
    <w:rsid w:val="00136A68"/>
    <w:rsid w:val="0014019C"/>
    <w:rsid w:val="00140700"/>
    <w:rsid w:val="00140A6C"/>
    <w:rsid w:val="00142AB1"/>
    <w:rsid w:val="00143689"/>
    <w:rsid w:val="00144CB7"/>
    <w:rsid w:val="00144F94"/>
    <w:rsid w:val="001458FE"/>
    <w:rsid w:val="001463FF"/>
    <w:rsid w:val="001471AF"/>
    <w:rsid w:val="001507C2"/>
    <w:rsid w:val="001507F5"/>
    <w:rsid w:val="0015229D"/>
    <w:rsid w:val="00153E1F"/>
    <w:rsid w:val="00156B47"/>
    <w:rsid w:val="0016045C"/>
    <w:rsid w:val="00162FBC"/>
    <w:rsid w:val="001630D7"/>
    <w:rsid w:val="001635D3"/>
    <w:rsid w:val="00163BFB"/>
    <w:rsid w:val="00164615"/>
    <w:rsid w:val="001654A5"/>
    <w:rsid w:val="00165AD7"/>
    <w:rsid w:val="0017060C"/>
    <w:rsid w:val="001706D0"/>
    <w:rsid w:val="00170760"/>
    <w:rsid w:val="00170B46"/>
    <w:rsid w:val="00171745"/>
    <w:rsid w:val="00171A9C"/>
    <w:rsid w:val="00173764"/>
    <w:rsid w:val="0017405D"/>
    <w:rsid w:val="001744B6"/>
    <w:rsid w:val="001748BA"/>
    <w:rsid w:val="001750C1"/>
    <w:rsid w:val="00176C26"/>
    <w:rsid w:val="00177828"/>
    <w:rsid w:val="001817B7"/>
    <w:rsid w:val="00182F15"/>
    <w:rsid w:val="001833C0"/>
    <w:rsid w:val="00187353"/>
    <w:rsid w:val="001879D5"/>
    <w:rsid w:val="00191410"/>
    <w:rsid w:val="00192312"/>
    <w:rsid w:val="00192DAD"/>
    <w:rsid w:val="00192FDC"/>
    <w:rsid w:val="00193F19"/>
    <w:rsid w:val="00196F7C"/>
    <w:rsid w:val="001A3E0D"/>
    <w:rsid w:val="001A3FC7"/>
    <w:rsid w:val="001A5BDA"/>
    <w:rsid w:val="001A6BC9"/>
    <w:rsid w:val="001A776D"/>
    <w:rsid w:val="001A7A7F"/>
    <w:rsid w:val="001A7B97"/>
    <w:rsid w:val="001B2B44"/>
    <w:rsid w:val="001B36EA"/>
    <w:rsid w:val="001C2B8B"/>
    <w:rsid w:val="001C51E2"/>
    <w:rsid w:val="001C591C"/>
    <w:rsid w:val="001C7C2C"/>
    <w:rsid w:val="001D02DD"/>
    <w:rsid w:val="001D0E41"/>
    <w:rsid w:val="001D153D"/>
    <w:rsid w:val="001D4CE8"/>
    <w:rsid w:val="001E088B"/>
    <w:rsid w:val="001E1658"/>
    <w:rsid w:val="001E1A63"/>
    <w:rsid w:val="001E1EB7"/>
    <w:rsid w:val="001E2C6F"/>
    <w:rsid w:val="001E2ED0"/>
    <w:rsid w:val="001E4C36"/>
    <w:rsid w:val="001E5F20"/>
    <w:rsid w:val="001E6902"/>
    <w:rsid w:val="001E6975"/>
    <w:rsid w:val="001E6FCB"/>
    <w:rsid w:val="001F1222"/>
    <w:rsid w:val="001F1C35"/>
    <w:rsid w:val="001F20B8"/>
    <w:rsid w:val="001F34EE"/>
    <w:rsid w:val="001F3E69"/>
    <w:rsid w:val="001F4329"/>
    <w:rsid w:val="001F67CF"/>
    <w:rsid w:val="001F6889"/>
    <w:rsid w:val="001F6C5B"/>
    <w:rsid w:val="001F7891"/>
    <w:rsid w:val="0020007B"/>
    <w:rsid w:val="00200A03"/>
    <w:rsid w:val="00200B3D"/>
    <w:rsid w:val="00202A01"/>
    <w:rsid w:val="0020435A"/>
    <w:rsid w:val="0020551A"/>
    <w:rsid w:val="00206047"/>
    <w:rsid w:val="002073BD"/>
    <w:rsid w:val="00207B90"/>
    <w:rsid w:val="0021006B"/>
    <w:rsid w:val="0021155E"/>
    <w:rsid w:val="00212396"/>
    <w:rsid w:val="00212C7C"/>
    <w:rsid w:val="00212E00"/>
    <w:rsid w:val="00213DCA"/>
    <w:rsid w:val="00214662"/>
    <w:rsid w:val="00214F0B"/>
    <w:rsid w:val="002160C4"/>
    <w:rsid w:val="002165B9"/>
    <w:rsid w:val="00217B39"/>
    <w:rsid w:val="00220F78"/>
    <w:rsid w:val="002217C0"/>
    <w:rsid w:val="00222234"/>
    <w:rsid w:val="00223F01"/>
    <w:rsid w:val="00224656"/>
    <w:rsid w:val="0022513D"/>
    <w:rsid w:val="00226321"/>
    <w:rsid w:val="00227030"/>
    <w:rsid w:val="002318A9"/>
    <w:rsid w:val="00231FEE"/>
    <w:rsid w:val="002321B4"/>
    <w:rsid w:val="0023261F"/>
    <w:rsid w:val="002332A3"/>
    <w:rsid w:val="00233A32"/>
    <w:rsid w:val="00233C17"/>
    <w:rsid w:val="00233EF5"/>
    <w:rsid w:val="002349C3"/>
    <w:rsid w:val="0023771D"/>
    <w:rsid w:val="00237EA8"/>
    <w:rsid w:val="00242077"/>
    <w:rsid w:val="00243803"/>
    <w:rsid w:val="0024555E"/>
    <w:rsid w:val="0024562D"/>
    <w:rsid w:val="00245ED9"/>
    <w:rsid w:val="002464B4"/>
    <w:rsid w:val="00246D41"/>
    <w:rsid w:val="0025100A"/>
    <w:rsid w:val="00252716"/>
    <w:rsid w:val="00254528"/>
    <w:rsid w:val="002551A1"/>
    <w:rsid w:val="002602FA"/>
    <w:rsid w:val="00260B57"/>
    <w:rsid w:val="00261B23"/>
    <w:rsid w:val="00262CC3"/>
    <w:rsid w:val="0026425C"/>
    <w:rsid w:val="00264E8A"/>
    <w:rsid w:val="0026548A"/>
    <w:rsid w:val="0026647B"/>
    <w:rsid w:val="00266561"/>
    <w:rsid w:val="00266E1A"/>
    <w:rsid w:val="00267CD0"/>
    <w:rsid w:val="002723FC"/>
    <w:rsid w:val="002744EB"/>
    <w:rsid w:val="0027461A"/>
    <w:rsid w:val="0027468B"/>
    <w:rsid w:val="002770A4"/>
    <w:rsid w:val="00277526"/>
    <w:rsid w:val="00282655"/>
    <w:rsid w:val="00282DAE"/>
    <w:rsid w:val="00283994"/>
    <w:rsid w:val="00283FE0"/>
    <w:rsid w:val="0028551B"/>
    <w:rsid w:val="00287105"/>
    <w:rsid w:val="00290547"/>
    <w:rsid w:val="00291602"/>
    <w:rsid w:val="0029392F"/>
    <w:rsid w:val="002943CF"/>
    <w:rsid w:val="002953B3"/>
    <w:rsid w:val="00295E95"/>
    <w:rsid w:val="00296441"/>
    <w:rsid w:val="00297583"/>
    <w:rsid w:val="00297964"/>
    <w:rsid w:val="002A2034"/>
    <w:rsid w:val="002A29FA"/>
    <w:rsid w:val="002A3232"/>
    <w:rsid w:val="002A4BF8"/>
    <w:rsid w:val="002A5BE6"/>
    <w:rsid w:val="002A69A4"/>
    <w:rsid w:val="002A701A"/>
    <w:rsid w:val="002B0589"/>
    <w:rsid w:val="002B12E6"/>
    <w:rsid w:val="002B1329"/>
    <w:rsid w:val="002B393B"/>
    <w:rsid w:val="002B579A"/>
    <w:rsid w:val="002B67C5"/>
    <w:rsid w:val="002B6EF1"/>
    <w:rsid w:val="002B7295"/>
    <w:rsid w:val="002C0135"/>
    <w:rsid w:val="002C0B56"/>
    <w:rsid w:val="002C0F1B"/>
    <w:rsid w:val="002C1BF4"/>
    <w:rsid w:val="002C1C95"/>
    <w:rsid w:val="002C32A5"/>
    <w:rsid w:val="002C3A9C"/>
    <w:rsid w:val="002C3C29"/>
    <w:rsid w:val="002C5129"/>
    <w:rsid w:val="002C5187"/>
    <w:rsid w:val="002C5517"/>
    <w:rsid w:val="002C56E1"/>
    <w:rsid w:val="002C78F1"/>
    <w:rsid w:val="002D0BC1"/>
    <w:rsid w:val="002D1A9D"/>
    <w:rsid w:val="002D1F39"/>
    <w:rsid w:val="002D2C39"/>
    <w:rsid w:val="002D329A"/>
    <w:rsid w:val="002D4723"/>
    <w:rsid w:val="002D61E1"/>
    <w:rsid w:val="002D7409"/>
    <w:rsid w:val="002E248B"/>
    <w:rsid w:val="002E29A6"/>
    <w:rsid w:val="002E2D66"/>
    <w:rsid w:val="002E33A2"/>
    <w:rsid w:val="002E3B1D"/>
    <w:rsid w:val="002E4B50"/>
    <w:rsid w:val="002E5382"/>
    <w:rsid w:val="002E5E3C"/>
    <w:rsid w:val="002F29C9"/>
    <w:rsid w:val="002F2D7E"/>
    <w:rsid w:val="002F2E6A"/>
    <w:rsid w:val="002F323D"/>
    <w:rsid w:val="002F3856"/>
    <w:rsid w:val="002F5002"/>
    <w:rsid w:val="002F605D"/>
    <w:rsid w:val="002F6557"/>
    <w:rsid w:val="002F67C1"/>
    <w:rsid w:val="002F6810"/>
    <w:rsid w:val="002F6B4D"/>
    <w:rsid w:val="002F6E0C"/>
    <w:rsid w:val="002F7F74"/>
    <w:rsid w:val="003009A4"/>
    <w:rsid w:val="00300EF7"/>
    <w:rsid w:val="00301227"/>
    <w:rsid w:val="00301F89"/>
    <w:rsid w:val="00302197"/>
    <w:rsid w:val="00302EBD"/>
    <w:rsid w:val="00305113"/>
    <w:rsid w:val="003061BB"/>
    <w:rsid w:val="00306345"/>
    <w:rsid w:val="0030769D"/>
    <w:rsid w:val="00307F51"/>
    <w:rsid w:val="00310654"/>
    <w:rsid w:val="00311A6F"/>
    <w:rsid w:val="00311B1F"/>
    <w:rsid w:val="00313AD1"/>
    <w:rsid w:val="00313F3A"/>
    <w:rsid w:val="0031517B"/>
    <w:rsid w:val="00315734"/>
    <w:rsid w:val="00315EE2"/>
    <w:rsid w:val="0031648A"/>
    <w:rsid w:val="003164E2"/>
    <w:rsid w:val="0031755E"/>
    <w:rsid w:val="00321195"/>
    <w:rsid w:val="00321C3D"/>
    <w:rsid w:val="00322EE1"/>
    <w:rsid w:val="0032362A"/>
    <w:rsid w:val="00323A55"/>
    <w:rsid w:val="00325E98"/>
    <w:rsid w:val="003268B6"/>
    <w:rsid w:val="003268D1"/>
    <w:rsid w:val="00327AF0"/>
    <w:rsid w:val="00331B49"/>
    <w:rsid w:val="00331F29"/>
    <w:rsid w:val="003341AD"/>
    <w:rsid w:val="0033460B"/>
    <w:rsid w:val="003361D0"/>
    <w:rsid w:val="00336637"/>
    <w:rsid w:val="003370D1"/>
    <w:rsid w:val="0033752D"/>
    <w:rsid w:val="00340DAA"/>
    <w:rsid w:val="0034291E"/>
    <w:rsid w:val="003454D8"/>
    <w:rsid w:val="00345DE3"/>
    <w:rsid w:val="003470C8"/>
    <w:rsid w:val="00347675"/>
    <w:rsid w:val="00347BD4"/>
    <w:rsid w:val="00350D4E"/>
    <w:rsid w:val="00351273"/>
    <w:rsid w:val="00353E36"/>
    <w:rsid w:val="003554E0"/>
    <w:rsid w:val="00355DBF"/>
    <w:rsid w:val="003576FF"/>
    <w:rsid w:val="00357F80"/>
    <w:rsid w:val="003605E8"/>
    <w:rsid w:val="0036086B"/>
    <w:rsid w:val="00363764"/>
    <w:rsid w:val="00364DCF"/>
    <w:rsid w:val="00365FFA"/>
    <w:rsid w:val="003714B0"/>
    <w:rsid w:val="00371F2C"/>
    <w:rsid w:val="003732E1"/>
    <w:rsid w:val="00373435"/>
    <w:rsid w:val="00373841"/>
    <w:rsid w:val="00373F30"/>
    <w:rsid w:val="00376166"/>
    <w:rsid w:val="00376974"/>
    <w:rsid w:val="0037736F"/>
    <w:rsid w:val="00380A73"/>
    <w:rsid w:val="00380EA6"/>
    <w:rsid w:val="0038139F"/>
    <w:rsid w:val="00381EDF"/>
    <w:rsid w:val="00382F29"/>
    <w:rsid w:val="00384AF1"/>
    <w:rsid w:val="00385EE6"/>
    <w:rsid w:val="0038626D"/>
    <w:rsid w:val="003874D1"/>
    <w:rsid w:val="00387753"/>
    <w:rsid w:val="00390EF1"/>
    <w:rsid w:val="003933A7"/>
    <w:rsid w:val="00393B9D"/>
    <w:rsid w:val="003955A0"/>
    <w:rsid w:val="00396618"/>
    <w:rsid w:val="003972F8"/>
    <w:rsid w:val="0039787F"/>
    <w:rsid w:val="003A02C7"/>
    <w:rsid w:val="003A13B4"/>
    <w:rsid w:val="003A3187"/>
    <w:rsid w:val="003A4C21"/>
    <w:rsid w:val="003A691F"/>
    <w:rsid w:val="003A76F7"/>
    <w:rsid w:val="003B0278"/>
    <w:rsid w:val="003B0688"/>
    <w:rsid w:val="003B0E78"/>
    <w:rsid w:val="003B1F96"/>
    <w:rsid w:val="003B3743"/>
    <w:rsid w:val="003B37EE"/>
    <w:rsid w:val="003B4A8D"/>
    <w:rsid w:val="003B5971"/>
    <w:rsid w:val="003B5D7A"/>
    <w:rsid w:val="003C043D"/>
    <w:rsid w:val="003C0FD2"/>
    <w:rsid w:val="003C1E2C"/>
    <w:rsid w:val="003C276B"/>
    <w:rsid w:val="003C28A4"/>
    <w:rsid w:val="003C2EB1"/>
    <w:rsid w:val="003C48B6"/>
    <w:rsid w:val="003C534E"/>
    <w:rsid w:val="003C5A0A"/>
    <w:rsid w:val="003C6FE2"/>
    <w:rsid w:val="003C71B9"/>
    <w:rsid w:val="003D2F57"/>
    <w:rsid w:val="003D381D"/>
    <w:rsid w:val="003D4318"/>
    <w:rsid w:val="003D660F"/>
    <w:rsid w:val="003D66C8"/>
    <w:rsid w:val="003D6FD5"/>
    <w:rsid w:val="003D7065"/>
    <w:rsid w:val="003D7BC7"/>
    <w:rsid w:val="003E0375"/>
    <w:rsid w:val="003E07E2"/>
    <w:rsid w:val="003E1F24"/>
    <w:rsid w:val="003E4422"/>
    <w:rsid w:val="003E4B11"/>
    <w:rsid w:val="003E4E14"/>
    <w:rsid w:val="003E4FF7"/>
    <w:rsid w:val="003E5A2E"/>
    <w:rsid w:val="003E5D76"/>
    <w:rsid w:val="003E634B"/>
    <w:rsid w:val="003F1AAC"/>
    <w:rsid w:val="003F1EF8"/>
    <w:rsid w:val="003F29C9"/>
    <w:rsid w:val="003F2E93"/>
    <w:rsid w:val="003F35EF"/>
    <w:rsid w:val="003F39DE"/>
    <w:rsid w:val="003F3B35"/>
    <w:rsid w:val="003F4157"/>
    <w:rsid w:val="003F470F"/>
    <w:rsid w:val="003F4C33"/>
    <w:rsid w:val="003F6638"/>
    <w:rsid w:val="003F67AB"/>
    <w:rsid w:val="003F724B"/>
    <w:rsid w:val="003F7730"/>
    <w:rsid w:val="004009D7"/>
    <w:rsid w:val="004014D2"/>
    <w:rsid w:val="00401AA7"/>
    <w:rsid w:val="00401BC6"/>
    <w:rsid w:val="00402068"/>
    <w:rsid w:val="00402D84"/>
    <w:rsid w:val="00403B4A"/>
    <w:rsid w:val="00404520"/>
    <w:rsid w:val="004052B2"/>
    <w:rsid w:val="00405775"/>
    <w:rsid w:val="00405C0C"/>
    <w:rsid w:val="00407AC6"/>
    <w:rsid w:val="00410A12"/>
    <w:rsid w:val="00412253"/>
    <w:rsid w:val="004123C5"/>
    <w:rsid w:val="00412C44"/>
    <w:rsid w:val="00415FC6"/>
    <w:rsid w:val="00416E78"/>
    <w:rsid w:val="004227EF"/>
    <w:rsid w:val="00422EF9"/>
    <w:rsid w:val="00424713"/>
    <w:rsid w:val="00426105"/>
    <w:rsid w:val="00427BC4"/>
    <w:rsid w:val="00427D4C"/>
    <w:rsid w:val="00430270"/>
    <w:rsid w:val="004305D3"/>
    <w:rsid w:val="0043123B"/>
    <w:rsid w:val="004343EA"/>
    <w:rsid w:val="0043572C"/>
    <w:rsid w:val="00436368"/>
    <w:rsid w:val="00436D17"/>
    <w:rsid w:val="0043778C"/>
    <w:rsid w:val="004379CB"/>
    <w:rsid w:val="004400D4"/>
    <w:rsid w:val="0044012A"/>
    <w:rsid w:val="004419C5"/>
    <w:rsid w:val="00441D52"/>
    <w:rsid w:val="00442312"/>
    <w:rsid w:val="004432F6"/>
    <w:rsid w:val="00445677"/>
    <w:rsid w:val="0044645A"/>
    <w:rsid w:val="0044687F"/>
    <w:rsid w:val="00446F85"/>
    <w:rsid w:val="00447B1A"/>
    <w:rsid w:val="004505DF"/>
    <w:rsid w:val="00450E26"/>
    <w:rsid w:val="00452891"/>
    <w:rsid w:val="00452900"/>
    <w:rsid w:val="00452A94"/>
    <w:rsid w:val="00452E6B"/>
    <w:rsid w:val="00456AC9"/>
    <w:rsid w:val="00457AAB"/>
    <w:rsid w:val="004608B4"/>
    <w:rsid w:val="00460DA0"/>
    <w:rsid w:val="0046149A"/>
    <w:rsid w:val="00461BFF"/>
    <w:rsid w:val="00462573"/>
    <w:rsid w:val="0046349E"/>
    <w:rsid w:val="00465039"/>
    <w:rsid w:val="0046775E"/>
    <w:rsid w:val="004706BD"/>
    <w:rsid w:val="00470D92"/>
    <w:rsid w:val="00471770"/>
    <w:rsid w:val="004719FB"/>
    <w:rsid w:val="00472233"/>
    <w:rsid w:val="0047337E"/>
    <w:rsid w:val="004745B0"/>
    <w:rsid w:val="0047586E"/>
    <w:rsid w:val="00476086"/>
    <w:rsid w:val="004763D1"/>
    <w:rsid w:val="0047690B"/>
    <w:rsid w:val="00480E9D"/>
    <w:rsid w:val="0048225B"/>
    <w:rsid w:val="004823AE"/>
    <w:rsid w:val="00485B90"/>
    <w:rsid w:val="00486ABB"/>
    <w:rsid w:val="004900AE"/>
    <w:rsid w:val="00490397"/>
    <w:rsid w:val="00490F61"/>
    <w:rsid w:val="0049170E"/>
    <w:rsid w:val="00491F2B"/>
    <w:rsid w:val="00492117"/>
    <w:rsid w:val="004927CE"/>
    <w:rsid w:val="004936B8"/>
    <w:rsid w:val="00494020"/>
    <w:rsid w:val="004945E2"/>
    <w:rsid w:val="004948BA"/>
    <w:rsid w:val="004952D7"/>
    <w:rsid w:val="0049542C"/>
    <w:rsid w:val="00495587"/>
    <w:rsid w:val="00496108"/>
    <w:rsid w:val="004977BD"/>
    <w:rsid w:val="00497912"/>
    <w:rsid w:val="004A0E05"/>
    <w:rsid w:val="004A18D7"/>
    <w:rsid w:val="004A1B26"/>
    <w:rsid w:val="004A20BE"/>
    <w:rsid w:val="004A23C0"/>
    <w:rsid w:val="004A5489"/>
    <w:rsid w:val="004A62A6"/>
    <w:rsid w:val="004A63D2"/>
    <w:rsid w:val="004A6552"/>
    <w:rsid w:val="004B0561"/>
    <w:rsid w:val="004B301E"/>
    <w:rsid w:val="004B4684"/>
    <w:rsid w:val="004B48CC"/>
    <w:rsid w:val="004B5B72"/>
    <w:rsid w:val="004B5EA8"/>
    <w:rsid w:val="004C0634"/>
    <w:rsid w:val="004C24CF"/>
    <w:rsid w:val="004C459C"/>
    <w:rsid w:val="004C46AA"/>
    <w:rsid w:val="004C5955"/>
    <w:rsid w:val="004C6924"/>
    <w:rsid w:val="004D0248"/>
    <w:rsid w:val="004D174B"/>
    <w:rsid w:val="004D25A4"/>
    <w:rsid w:val="004D3A0B"/>
    <w:rsid w:val="004D469E"/>
    <w:rsid w:val="004D4B67"/>
    <w:rsid w:val="004D7D99"/>
    <w:rsid w:val="004E1BBE"/>
    <w:rsid w:val="004E4903"/>
    <w:rsid w:val="004E4BBD"/>
    <w:rsid w:val="004E5018"/>
    <w:rsid w:val="004E5EFE"/>
    <w:rsid w:val="004F064A"/>
    <w:rsid w:val="004F0671"/>
    <w:rsid w:val="004F0F8F"/>
    <w:rsid w:val="004F0FD3"/>
    <w:rsid w:val="004F1121"/>
    <w:rsid w:val="004F1F7A"/>
    <w:rsid w:val="004F319B"/>
    <w:rsid w:val="004F3D24"/>
    <w:rsid w:val="004F3D78"/>
    <w:rsid w:val="004F3F81"/>
    <w:rsid w:val="004F3FD3"/>
    <w:rsid w:val="004F3FEB"/>
    <w:rsid w:val="004F5962"/>
    <w:rsid w:val="004F6B0F"/>
    <w:rsid w:val="00501459"/>
    <w:rsid w:val="0050147C"/>
    <w:rsid w:val="005014CD"/>
    <w:rsid w:val="00501793"/>
    <w:rsid w:val="00505619"/>
    <w:rsid w:val="00505BFD"/>
    <w:rsid w:val="00510011"/>
    <w:rsid w:val="005104E1"/>
    <w:rsid w:val="005109C0"/>
    <w:rsid w:val="00510AA1"/>
    <w:rsid w:val="005119B1"/>
    <w:rsid w:val="00511A0C"/>
    <w:rsid w:val="00511E6F"/>
    <w:rsid w:val="00512141"/>
    <w:rsid w:val="00512879"/>
    <w:rsid w:val="005133FF"/>
    <w:rsid w:val="0051471D"/>
    <w:rsid w:val="005152A3"/>
    <w:rsid w:val="005155EE"/>
    <w:rsid w:val="005157D2"/>
    <w:rsid w:val="0051720D"/>
    <w:rsid w:val="005204CB"/>
    <w:rsid w:val="005209CD"/>
    <w:rsid w:val="00524600"/>
    <w:rsid w:val="00524F37"/>
    <w:rsid w:val="00525AEA"/>
    <w:rsid w:val="00525FA8"/>
    <w:rsid w:val="00526A8A"/>
    <w:rsid w:val="005272D8"/>
    <w:rsid w:val="005315D4"/>
    <w:rsid w:val="00531EA2"/>
    <w:rsid w:val="00532878"/>
    <w:rsid w:val="00532D90"/>
    <w:rsid w:val="00536E86"/>
    <w:rsid w:val="00537886"/>
    <w:rsid w:val="00537B9C"/>
    <w:rsid w:val="00541811"/>
    <w:rsid w:val="005419E9"/>
    <w:rsid w:val="00541DC9"/>
    <w:rsid w:val="00542475"/>
    <w:rsid w:val="005440CF"/>
    <w:rsid w:val="005463E9"/>
    <w:rsid w:val="00547659"/>
    <w:rsid w:val="0055030C"/>
    <w:rsid w:val="00550953"/>
    <w:rsid w:val="005516A8"/>
    <w:rsid w:val="00555648"/>
    <w:rsid w:val="00555825"/>
    <w:rsid w:val="005559C9"/>
    <w:rsid w:val="00556339"/>
    <w:rsid w:val="00557DAA"/>
    <w:rsid w:val="00561366"/>
    <w:rsid w:val="00561F6D"/>
    <w:rsid w:val="00562D63"/>
    <w:rsid w:val="0056420A"/>
    <w:rsid w:val="00564914"/>
    <w:rsid w:val="00564A20"/>
    <w:rsid w:val="00565837"/>
    <w:rsid w:val="00565C3C"/>
    <w:rsid w:val="00566830"/>
    <w:rsid w:val="00567C5D"/>
    <w:rsid w:val="0057085B"/>
    <w:rsid w:val="00570FF6"/>
    <w:rsid w:val="0057172F"/>
    <w:rsid w:val="00572DF6"/>
    <w:rsid w:val="00573AB6"/>
    <w:rsid w:val="00573E7E"/>
    <w:rsid w:val="00574278"/>
    <w:rsid w:val="0057703A"/>
    <w:rsid w:val="00577D77"/>
    <w:rsid w:val="00580631"/>
    <w:rsid w:val="00580725"/>
    <w:rsid w:val="00581CD5"/>
    <w:rsid w:val="00582DE9"/>
    <w:rsid w:val="005838AE"/>
    <w:rsid w:val="00586FDE"/>
    <w:rsid w:val="00590E5A"/>
    <w:rsid w:val="00592000"/>
    <w:rsid w:val="0059337B"/>
    <w:rsid w:val="00593818"/>
    <w:rsid w:val="005940D1"/>
    <w:rsid w:val="00594E34"/>
    <w:rsid w:val="005A03A1"/>
    <w:rsid w:val="005A1309"/>
    <w:rsid w:val="005A1434"/>
    <w:rsid w:val="005A198A"/>
    <w:rsid w:val="005A2BB7"/>
    <w:rsid w:val="005A34AB"/>
    <w:rsid w:val="005A36D6"/>
    <w:rsid w:val="005A3A8D"/>
    <w:rsid w:val="005A3DF9"/>
    <w:rsid w:val="005A436A"/>
    <w:rsid w:val="005A4ADA"/>
    <w:rsid w:val="005A728A"/>
    <w:rsid w:val="005A7853"/>
    <w:rsid w:val="005B09BF"/>
    <w:rsid w:val="005B3363"/>
    <w:rsid w:val="005B3A18"/>
    <w:rsid w:val="005B3B71"/>
    <w:rsid w:val="005B4102"/>
    <w:rsid w:val="005B43B5"/>
    <w:rsid w:val="005B4F61"/>
    <w:rsid w:val="005B57EF"/>
    <w:rsid w:val="005C7707"/>
    <w:rsid w:val="005D0037"/>
    <w:rsid w:val="005D133C"/>
    <w:rsid w:val="005D33D4"/>
    <w:rsid w:val="005D5CF2"/>
    <w:rsid w:val="005D6177"/>
    <w:rsid w:val="005D7FCA"/>
    <w:rsid w:val="005E0543"/>
    <w:rsid w:val="005E0616"/>
    <w:rsid w:val="005E1232"/>
    <w:rsid w:val="005E33CF"/>
    <w:rsid w:val="005E3BF0"/>
    <w:rsid w:val="005E3E1D"/>
    <w:rsid w:val="005E40C9"/>
    <w:rsid w:val="005E485F"/>
    <w:rsid w:val="005E55AB"/>
    <w:rsid w:val="005E5950"/>
    <w:rsid w:val="005E6CDA"/>
    <w:rsid w:val="005F1A06"/>
    <w:rsid w:val="005F39C7"/>
    <w:rsid w:val="005F446B"/>
    <w:rsid w:val="005F4E9B"/>
    <w:rsid w:val="005F757D"/>
    <w:rsid w:val="006000FE"/>
    <w:rsid w:val="006002AA"/>
    <w:rsid w:val="006013BE"/>
    <w:rsid w:val="006021B6"/>
    <w:rsid w:val="00604C85"/>
    <w:rsid w:val="006050CB"/>
    <w:rsid w:val="00605B10"/>
    <w:rsid w:val="00606BF5"/>
    <w:rsid w:val="00607874"/>
    <w:rsid w:val="00607F5E"/>
    <w:rsid w:val="006107A4"/>
    <w:rsid w:val="00611C67"/>
    <w:rsid w:val="00614076"/>
    <w:rsid w:val="00614E5A"/>
    <w:rsid w:val="006159FC"/>
    <w:rsid w:val="006208DD"/>
    <w:rsid w:val="0062129B"/>
    <w:rsid w:val="0062275E"/>
    <w:rsid w:val="0062528D"/>
    <w:rsid w:val="0062554E"/>
    <w:rsid w:val="00625B72"/>
    <w:rsid w:val="006267A9"/>
    <w:rsid w:val="00630230"/>
    <w:rsid w:val="00631233"/>
    <w:rsid w:val="006317A9"/>
    <w:rsid w:val="0063197E"/>
    <w:rsid w:val="00631BE0"/>
    <w:rsid w:val="00633896"/>
    <w:rsid w:val="006346C3"/>
    <w:rsid w:val="0063498A"/>
    <w:rsid w:val="00635B31"/>
    <w:rsid w:val="00636594"/>
    <w:rsid w:val="00640B8B"/>
    <w:rsid w:val="00640F9A"/>
    <w:rsid w:val="00643AB4"/>
    <w:rsid w:val="00643E28"/>
    <w:rsid w:val="00644A40"/>
    <w:rsid w:val="00645153"/>
    <w:rsid w:val="00645174"/>
    <w:rsid w:val="0064610F"/>
    <w:rsid w:val="00646223"/>
    <w:rsid w:val="00646C20"/>
    <w:rsid w:val="006471FE"/>
    <w:rsid w:val="0064730E"/>
    <w:rsid w:val="006501FB"/>
    <w:rsid w:val="00650304"/>
    <w:rsid w:val="006506C2"/>
    <w:rsid w:val="00650B0F"/>
    <w:rsid w:val="006513AE"/>
    <w:rsid w:val="0065180B"/>
    <w:rsid w:val="00652E93"/>
    <w:rsid w:val="00652FAD"/>
    <w:rsid w:val="00653388"/>
    <w:rsid w:val="006534B0"/>
    <w:rsid w:val="006535F8"/>
    <w:rsid w:val="00653A12"/>
    <w:rsid w:val="0065519F"/>
    <w:rsid w:val="0065715D"/>
    <w:rsid w:val="00660C91"/>
    <w:rsid w:val="00660F61"/>
    <w:rsid w:val="00662095"/>
    <w:rsid w:val="00662490"/>
    <w:rsid w:val="006634E0"/>
    <w:rsid w:val="00663B7B"/>
    <w:rsid w:val="006640FF"/>
    <w:rsid w:val="00667145"/>
    <w:rsid w:val="00670AD9"/>
    <w:rsid w:val="006713C2"/>
    <w:rsid w:val="006728D6"/>
    <w:rsid w:val="0067466A"/>
    <w:rsid w:val="00675E56"/>
    <w:rsid w:val="00676022"/>
    <w:rsid w:val="0067632C"/>
    <w:rsid w:val="006771C7"/>
    <w:rsid w:val="00677A85"/>
    <w:rsid w:val="006805A5"/>
    <w:rsid w:val="0068096E"/>
    <w:rsid w:val="00680A04"/>
    <w:rsid w:val="00680B51"/>
    <w:rsid w:val="00681241"/>
    <w:rsid w:val="00681EF6"/>
    <w:rsid w:val="006821E3"/>
    <w:rsid w:val="006833A4"/>
    <w:rsid w:val="0068712E"/>
    <w:rsid w:val="00687758"/>
    <w:rsid w:val="0069075A"/>
    <w:rsid w:val="00691792"/>
    <w:rsid w:val="006930DC"/>
    <w:rsid w:val="0069378E"/>
    <w:rsid w:val="00694C51"/>
    <w:rsid w:val="006951E7"/>
    <w:rsid w:val="0069554D"/>
    <w:rsid w:val="00695599"/>
    <w:rsid w:val="006955E7"/>
    <w:rsid w:val="00695FCF"/>
    <w:rsid w:val="00696965"/>
    <w:rsid w:val="00696BFF"/>
    <w:rsid w:val="00696DDA"/>
    <w:rsid w:val="00697684"/>
    <w:rsid w:val="006A135C"/>
    <w:rsid w:val="006A150F"/>
    <w:rsid w:val="006A1C4D"/>
    <w:rsid w:val="006A3457"/>
    <w:rsid w:val="006A4BBC"/>
    <w:rsid w:val="006A4CFB"/>
    <w:rsid w:val="006A51BC"/>
    <w:rsid w:val="006A71A2"/>
    <w:rsid w:val="006A764F"/>
    <w:rsid w:val="006A775F"/>
    <w:rsid w:val="006A7DD3"/>
    <w:rsid w:val="006B01B2"/>
    <w:rsid w:val="006B221D"/>
    <w:rsid w:val="006B2270"/>
    <w:rsid w:val="006B302F"/>
    <w:rsid w:val="006B3AD4"/>
    <w:rsid w:val="006B3F20"/>
    <w:rsid w:val="006B4E75"/>
    <w:rsid w:val="006B5E7A"/>
    <w:rsid w:val="006B5F3A"/>
    <w:rsid w:val="006B6956"/>
    <w:rsid w:val="006C075C"/>
    <w:rsid w:val="006C09E3"/>
    <w:rsid w:val="006C1F0A"/>
    <w:rsid w:val="006C267B"/>
    <w:rsid w:val="006C36D2"/>
    <w:rsid w:val="006C41FF"/>
    <w:rsid w:val="006C4BCD"/>
    <w:rsid w:val="006C4E62"/>
    <w:rsid w:val="006C5880"/>
    <w:rsid w:val="006C733B"/>
    <w:rsid w:val="006D0B5E"/>
    <w:rsid w:val="006D0E59"/>
    <w:rsid w:val="006D1B63"/>
    <w:rsid w:val="006D4D16"/>
    <w:rsid w:val="006D502F"/>
    <w:rsid w:val="006D5067"/>
    <w:rsid w:val="006D6829"/>
    <w:rsid w:val="006D6ED4"/>
    <w:rsid w:val="006E0050"/>
    <w:rsid w:val="006E1EA3"/>
    <w:rsid w:val="006E27FD"/>
    <w:rsid w:val="006E2AC8"/>
    <w:rsid w:val="006E4DAD"/>
    <w:rsid w:val="006E4E12"/>
    <w:rsid w:val="006E6CC2"/>
    <w:rsid w:val="006E7399"/>
    <w:rsid w:val="006F01B9"/>
    <w:rsid w:val="006F5C05"/>
    <w:rsid w:val="006F6ADA"/>
    <w:rsid w:val="006F707F"/>
    <w:rsid w:val="006F7D8C"/>
    <w:rsid w:val="007004B5"/>
    <w:rsid w:val="00700FB1"/>
    <w:rsid w:val="0070119A"/>
    <w:rsid w:val="0070382E"/>
    <w:rsid w:val="0070621C"/>
    <w:rsid w:val="00706355"/>
    <w:rsid w:val="007074BF"/>
    <w:rsid w:val="00710EE9"/>
    <w:rsid w:val="0071123A"/>
    <w:rsid w:val="00711E25"/>
    <w:rsid w:val="0071312B"/>
    <w:rsid w:val="0071439B"/>
    <w:rsid w:val="00717377"/>
    <w:rsid w:val="00717BAE"/>
    <w:rsid w:val="00720166"/>
    <w:rsid w:val="007209C9"/>
    <w:rsid w:val="0072122E"/>
    <w:rsid w:val="007213F0"/>
    <w:rsid w:val="00723B85"/>
    <w:rsid w:val="0072408D"/>
    <w:rsid w:val="007257B8"/>
    <w:rsid w:val="00726692"/>
    <w:rsid w:val="00727A83"/>
    <w:rsid w:val="00727F4D"/>
    <w:rsid w:val="007306C2"/>
    <w:rsid w:val="00731217"/>
    <w:rsid w:val="007313B0"/>
    <w:rsid w:val="007314D7"/>
    <w:rsid w:val="0073165F"/>
    <w:rsid w:val="0073174A"/>
    <w:rsid w:val="007333BE"/>
    <w:rsid w:val="007335A8"/>
    <w:rsid w:val="00733BEC"/>
    <w:rsid w:val="00734C96"/>
    <w:rsid w:val="00735E51"/>
    <w:rsid w:val="00736185"/>
    <w:rsid w:val="007367F9"/>
    <w:rsid w:val="007369CE"/>
    <w:rsid w:val="00737013"/>
    <w:rsid w:val="0073764E"/>
    <w:rsid w:val="00741719"/>
    <w:rsid w:val="007446DC"/>
    <w:rsid w:val="0074492F"/>
    <w:rsid w:val="00744B7F"/>
    <w:rsid w:val="007453D1"/>
    <w:rsid w:val="007461C5"/>
    <w:rsid w:val="007467BF"/>
    <w:rsid w:val="0075099D"/>
    <w:rsid w:val="00750CC8"/>
    <w:rsid w:val="00750EB7"/>
    <w:rsid w:val="00754EA8"/>
    <w:rsid w:val="00755A80"/>
    <w:rsid w:val="00756B84"/>
    <w:rsid w:val="00756DDE"/>
    <w:rsid w:val="00760136"/>
    <w:rsid w:val="00760496"/>
    <w:rsid w:val="00763FB0"/>
    <w:rsid w:val="00765427"/>
    <w:rsid w:val="0076561E"/>
    <w:rsid w:val="00765AC5"/>
    <w:rsid w:val="007665B2"/>
    <w:rsid w:val="007673BA"/>
    <w:rsid w:val="00767AC3"/>
    <w:rsid w:val="00770D2D"/>
    <w:rsid w:val="00772213"/>
    <w:rsid w:val="00772C0B"/>
    <w:rsid w:val="00773574"/>
    <w:rsid w:val="007738D0"/>
    <w:rsid w:val="00773EC0"/>
    <w:rsid w:val="00774E33"/>
    <w:rsid w:val="0077567A"/>
    <w:rsid w:val="00777C62"/>
    <w:rsid w:val="00780533"/>
    <w:rsid w:val="00780B4A"/>
    <w:rsid w:val="00781741"/>
    <w:rsid w:val="00783811"/>
    <w:rsid w:val="00783DE0"/>
    <w:rsid w:val="00783E42"/>
    <w:rsid w:val="00783F79"/>
    <w:rsid w:val="00785BEE"/>
    <w:rsid w:val="0078737D"/>
    <w:rsid w:val="00790464"/>
    <w:rsid w:val="007905DA"/>
    <w:rsid w:val="007909D5"/>
    <w:rsid w:val="00791F5B"/>
    <w:rsid w:val="007939B6"/>
    <w:rsid w:val="0079438C"/>
    <w:rsid w:val="00795838"/>
    <w:rsid w:val="0079592E"/>
    <w:rsid w:val="007964C7"/>
    <w:rsid w:val="0079705B"/>
    <w:rsid w:val="00797159"/>
    <w:rsid w:val="007A1014"/>
    <w:rsid w:val="007A12C9"/>
    <w:rsid w:val="007A19E0"/>
    <w:rsid w:val="007A2CC9"/>
    <w:rsid w:val="007A3CC5"/>
    <w:rsid w:val="007A5127"/>
    <w:rsid w:val="007A5425"/>
    <w:rsid w:val="007A57A9"/>
    <w:rsid w:val="007A6DF1"/>
    <w:rsid w:val="007B0125"/>
    <w:rsid w:val="007B05F7"/>
    <w:rsid w:val="007B1924"/>
    <w:rsid w:val="007B199A"/>
    <w:rsid w:val="007B1BA6"/>
    <w:rsid w:val="007B1F2A"/>
    <w:rsid w:val="007B33AC"/>
    <w:rsid w:val="007B48F8"/>
    <w:rsid w:val="007B5624"/>
    <w:rsid w:val="007C517D"/>
    <w:rsid w:val="007C53FD"/>
    <w:rsid w:val="007C5420"/>
    <w:rsid w:val="007C61BF"/>
    <w:rsid w:val="007D1008"/>
    <w:rsid w:val="007D126B"/>
    <w:rsid w:val="007D2672"/>
    <w:rsid w:val="007D3978"/>
    <w:rsid w:val="007D4B6B"/>
    <w:rsid w:val="007D5674"/>
    <w:rsid w:val="007D56C9"/>
    <w:rsid w:val="007D5BFB"/>
    <w:rsid w:val="007D62DC"/>
    <w:rsid w:val="007D7930"/>
    <w:rsid w:val="007D7B45"/>
    <w:rsid w:val="007E0639"/>
    <w:rsid w:val="007E1DAF"/>
    <w:rsid w:val="007E2EBD"/>
    <w:rsid w:val="007E4019"/>
    <w:rsid w:val="007E4613"/>
    <w:rsid w:val="007E46DC"/>
    <w:rsid w:val="007E4A46"/>
    <w:rsid w:val="007E728E"/>
    <w:rsid w:val="007E7565"/>
    <w:rsid w:val="007E784C"/>
    <w:rsid w:val="007E7AFD"/>
    <w:rsid w:val="007F103F"/>
    <w:rsid w:val="007F130A"/>
    <w:rsid w:val="007F2553"/>
    <w:rsid w:val="007F38BE"/>
    <w:rsid w:val="007F3D4F"/>
    <w:rsid w:val="007F46C8"/>
    <w:rsid w:val="007F5966"/>
    <w:rsid w:val="00802069"/>
    <w:rsid w:val="008025DC"/>
    <w:rsid w:val="00803C03"/>
    <w:rsid w:val="00803C62"/>
    <w:rsid w:val="00805963"/>
    <w:rsid w:val="008060AB"/>
    <w:rsid w:val="00806EC8"/>
    <w:rsid w:val="00807CBD"/>
    <w:rsid w:val="00811546"/>
    <w:rsid w:val="0081177A"/>
    <w:rsid w:val="00814CE9"/>
    <w:rsid w:val="00815806"/>
    <w:rsid w:val="00815D73"/>
    <w:rsid w:val="00816E10"/>
    <w:rsid w:val="00816FBA"/>
    <w:rsid w:val="00820B71"/>
    <w:rsid w:val="00821BCB"/>
    <w:rsid w:val="00824C98"/>
    <w:rsid w:val="008253C7"/>
    <w:rsid w:val="00825BCB"/>
    <w:rsid w:val="008270A6"/>
    <w:rsid w:val="00830D51"/>
    <w:rsid w:val="008311CA"/>
    <w:rsid w:val="008317E3"/>
    <w:rsid w:val="00831988"/>
    <w:rsid w:val="00832233"/>
    <w:rsid w:val="00832BDC"/>
    <w:rsid w:val="00833241"/>
    <w:rsid w:val="0083364D"/>
    <w:rsid w:val="00834A4A"/>
    <w:rsid w:val="0083564F"/>
    <w:rsid w:val="008356C6"/>
    <w:rsid w:val="008363C6"/>
    <w:rsid w:val="0083673F"/>
    <w:rsid w:val="00837B95"/>
    <w:rsid w:val="008409F8"/>
    <w:rsid w:val="00842389"/>
    <w:rsid w:val="00843315"/>
    <w:rsid w:val="00844028"/>
    <w:rsid w:val="0084493B"/>
    <w:rsid w:val="00845A87"/>
    <w:rsid w:val="00845D51"/>
    <w:rsid w:val="00846B81"/>
    <w:rsid w:val="00847CDD"/>
    <w:rsid w:val="00847E19"/>
    <w:rsid w:val="008513F9"/>
    <w:rsid w:val="00851EEF"/>
    <w:rsid w:val="008521CA"/>
    <w:rsid w:val="008558D1"/>
    <w:rsid w:val="00855A59"/>
    <w:rsid w:val="00855D84"/>
    <w:rsid w:val="008566B3"/>
    <w:rsid w:val="00856765"/>
    <w:rsid w:val="00856A57"/>
    <w:rsid w:val="00860B12"/>
    <w:rsid w:val="00860C97"/>
    <w:rsid w:val="00861252"/>
    <w:rsid w:val="00861701"/>
    <w:rsid w:val="008627F0"/>
    <w:rsid w:val="00862841"/>
    <w:rsid w:val="00862A34"/>
    <w:rsid w:val="00863285"/>
    <w:rsid w:val="00863EF7"/>
    <w:rsid w:val="00867E34"/>
    <w:rsid w:val="0087479D"/>
    <w:rsid w:val="008775A4"/>
    <w:rsid w:val="008800A8"/>
    <w:rsid w:val="008800F6"/>
    <w:rsid w:val="008803E7"/>
    <w:rsid w:val="00881122"/>
    <w:rsid w:val="00881AF4"/>
    <w:rsid w:val="00881F58"/>
    <w:rsid w:val="008821F1"/>
    <w:rsid w:val="008826D1"/>
    <w:rsid w:val="008834FE"/>
    <w:rsid w:val="00883BC1"/>
    <w:rsid w:val="0088479B"/>
    <w:rsid w:val="00884AE7"/>
    <w:rsid w:val="00884B8D"/>
    <w:rsid w:val="00884CEA"/>
    <w:rsid w:val="0088652A"/>
    <w:rsid w:val="0088726D"/>
    <w:rsid w:val="00891046"/>
    <w:rsid w:val="008916F5"/>
    <w:rsid w:val="00891AD9"/>
    <w:rsid w:val="00893DB0"/>
    <w:rsid w:val="008956D1"/>
    <w:rsid w:val="00895AE7"/>
    <w:rsid w:val="00896474"/>
    <w:rsid w:val="008976A1"/>
    <w:rsid w:val="008A0095"/>
    <w:rsid w:val="008A1766"/>
    <w:rsid w:val="008A1D18"/>
    <w:rsid w:val="008A20B7"/>
    <w:rsid w:val="008A27E7"/>
    <w:rsid w:val="008A71A5"/>
    <w:rsid w:val="008A7D0A"/>
    <w:rsid w:val="008B0B4E"/>
    <w:rsid w:val="008B13E3"/>
    <w:rsid w:val="008B297C"/>
    <w:rsid w:val="008B2BA7"/>
    <w:rsid w:val="008B2C35"/>
    <w:rsid w:val="008B3E80"/>
    <w:rsid w:val="008B41CC"/>
    <w:rsid w:val="008B4768"/>
    <w:rsid w:val="008B50C8"/>
    <w:rsid w:val="008C0A82"/>
    <w:rsid w:val="008C1153"/>
    <w:rsid w:val="008C1226"/>
    <w:rsid w:val="008C56FD"/>
    <w:rsid w:val="008C76E2"/>
    <w:rsid w:val="008D1200"/>
    <w:rsid w:val="008D2BDD"/>
    <w:rsid w:val="008D33F8"/>
    <w:rsid w:val="008D4BC6"/>
    <w:rsid w:val="008E2454"/>
    <w:rsid w:val="008E2579"/>
    <w:rsid w:val="008E2647"/>
    <w:rsid w:val="008E3BDB"/>
    <w:rsid w:val="008E3D88"/>
    <w:rsid w:val="008E4A60"/>
    <w:rsid w:val="008E4AD4"/>
    <w:rsid w:val="008E767E"/>
    <w:rsid w:val="008F11E5"/>
    <w:rsid w:val="008F2550"/>
    <w:rsid w:val="008F2920"/>
    <w:rsid w:val="008F2E54"/>
    <w:rsid w:val="008F3CCD"/>
    <w:rsid w:val="008F4C9E"/>
    <w:rsid w:val="008F690A"/>
    <w:rsid w:val="008F6975"/>
    <w:rsid w:val="008F6D75"/>
    <w:rsid w:val="008F72C4"/>
    <w:rsid w:val="008F75EA"/>
    <w:rsid w:val="00900A5F"/>
    <w:rsid w:val="00900F3A"/>
    <w:rsid w:val="00902826"/>
    <w:rsid w:val="00902865"/>
    <w:rsid w:val="00905DD9"/>
    <w:rsid w:val="009062BE"/>
    <w:rsid w:val="00912437"/>
    <w:rsid w:val="00912D5A"/>
    <w:rsid w:val="009147BE"/>
    <w:rsid w:val="009171F5"/>
    <w:rsid w:val="009172E3"/>
    <w:rsid w:val="00917BA0"/>
    <w:rsid w:val="00917D94"/>
    <w:rsid w:val="00920965"/>
    <w:rsid w:val="00921057"/>
    <w:rsid w:val="00922E1F"/>
    <w:rsid w:val="00924122"/>
    <w:rsid w:val="009241E0"/>
    <w:rsid w:val="00924E7A"/>
    <w:rsid w:val="00925B50"/>
    <w:rsid w:val="00927668"/>
    <w:rsid w:val="00927844"/>
    <w:rsid w:val="00930CCE"/>
    <w:rsid w:val="00931A17"/>
    <w:rsid w:val="00931A99"/>
    <w:rsid w:val="00931BE5"/>
    <w:rsid w:val="00931F69"/>
    <w:rsid w:val="00932493"/>
    <w:rsid w:val="009348C2"/>
    <w:rsid w:val="009353AC"/>
    <w:rsid w:val="009360C0"/>
    <w:rsid w:val="0093653B"/>
    <w:rsid w:val="00937550"/>
    <w:rsid w:val="009401E4"/>
    <w:rsid w:val="00942B17"/>
    <w:rsid w:val="00943F13"/>
    <w:rsid w:val="0094441B"/>
    <w:rsid w:val="00944806"/>
    <w:rsid w:val="00944E62"/>
    <w:rsid w:val="00945DA7"/>
    <w:rsid w:val="00946D74"/>
    <w:rsid w:val="00947084"/>
    <w:rsid w:val="0094709F"/>
    <w:rsid w:val="009475F8"/>
    <w:rsid w:val="009476F2"/>
    <w:rsid w:val="00950BD4"/>
    <w:rsid w:val="0095267E"/>
    <w:rsid w:val="009528A1"/>
    <w:rsid w:val="00952AF3"/>
    <w:rsid w:val="00953113"/>
    <w:rsid w:val="00953F1B"/>
    <w:rsid w:val="00954B52"/>
    <w:rsid w:val="0095540E"/>
    <w:rsid w:val="00957469"/>
    <w:rsid w:val="00957A45"/>
    <w:rsid w:val="00957D24"/>
    <w:rsid w:val="009602CE"/>
    <w:rsid w:val="00960A6C"/>
    <w:rsid w:val="00961E32"/>
    <w:rsid w:val="00963F93"/>
    <w:rsid w:val="009648D9"/>
    <w:rsid w:val="00965654"/>
    <w:rsid w:val="00965964"/>
    <w:rsid w:val="00966657"/>
    <w:rsid w:val="00967EF1"/>
    <w:rsid w:val="00970049"/>
    <w:rsid w:val="00970AB9"/>
    <w:rsid w:val="009722DB"/>
    <w:rsid w:val="00973B94"/>
    <w:rsid w:val="009740EE"/>
    <w:rsid w:val="009742B1"/>
    <w:rsid w:val="009761C3"/>
    <w:rsid w:val="00976212"/>
    <w:rsid w:val="00976F80"/>
    <w:rsid w:val="009805F2"/>
    <w:rsid w:val="00981884"/>
    <w:rsid w:val="009843AA"/>
    <w:rsid w:val="00985850"/>
    <w:rsid w:val="009869BA"/>
    <w:rsid w:val="009873A4"/>
    <w:rsid w:val="00987C74"/>
    <w:rsid w:val="00992AF9"/>
    <w:rsid w:val="00992BC1"/>
    <w:rsid w:val="00992CCB"/>
    <w:rsid w:val="00996FA7"/>
    <w:rsid w:val="009971A5"/>
    <w:rsid w:val="00997738"/>
    <w:rsid w:val="009A2DA3"/>
    <w:rsid w:val="009A4480"/>
    <w:rsid w:val="009A4906"/>
    <w:rsid w:val="009A5324"/>
    <w:rsid w:val="009A5C99"/>
    <w:rsid w:val="009A646A"/>
    <w:rsid w:val="009A6C03"/>
    <w:rsid w:val="009A6DF2"/>
    <w:rsid w:val="009A6F80"/>
    <w:rsid w:val="009A7F2E"/>
    <w:rsid w:val="009B0C1D"/>
    <w:rsid w:val="009B1522"/>
    <w:rsid w:val="009B2533"/>
    <w:rsid w:val="009B2BDA"/>
    <w:rsid w:val="009B2C0E"/>
    <w:rsid w:val="009B48D0"/>
    <w:rsid w:val="009B5ACC"/>
    <w:rsid w:val="009B662D"/>
    <w:rsid w:val="009C274D"/>
    <w:rsid w:val="009C2C3C"/>
    <w:rsid w:val="009C39D1"/>
    <w:rsid w:val="009C5A29"/>
    <w:rsid w:val="009C6361"/>
    <w:rsid w:val="009C7037"/>
    <w:rsid w:val="009C7943"/>
    <w:rsid w:val="009D1A5C"/>
    <w:rsid w:val="009D48B7"/>
    <w:rsid w:val="009D673D"/>
    <w:rsid w:val="009D6E1C"/>
    <w:rsid w:val="009D7574"/>
    <w:rsid w:val="009E0232"/>
    <w:rsid w:val="009E19CA"/>
    <w:rsid w:val="009E3EAC"/>
    <w:rsid w:val="009E4342"/>
    <w:rsid w:val="009F0432"/>
    <w:rsid w:val="009F0818"/>
    <w:rsid w:val="009F2CAA"/>
    <w:rsid w:val="009F2F55"/>
    <w:rsid w:val="009F3599"/>
    <w:rsid w:val="009F539E"/>
    <w:rsid w:val="009F5C3E"/>
    <w:rsid w:val="009F691A"/>
    <w:rsid w:val="009F6C42"/>
    <w:rsid w:val="00A04E54"/>
    <w:rsid w:val="00A05093"/>
    <w:rsid w:val="00A061EB"/>
    <w:rsid w:val="00A12A7F"/>
    <w:rsid w:val="00A12E53"/>
    <w:rsid w:val="00A13DFC"/>
    <w:rsid w:val="00A14035"/>
    <w:rsid w:val="00A14206"/>
    <w:rsid w:val="00A14297"/>
    <w:rsid w:val="00A14440"/>
    <w:rsid w:val="00A16474"/>
    <w:rsid w:val="00A224AC"/>
    <w:rsid w:val="00A23E03"/>
    <w:rsid w:val="00A2436B"/>
    <w:rsid w:val="00A251C9"/>
    <w:rsid w:val="00A25C9B"/>
    <w:rsid w:val="00A26C22"/>
    <w:rsid w:val="00A301E1"/>
    <w:rsid w:val="00A30499"/>
    <w:rsid w:val="00A307E4"/>
    <w:rsid w:val="00A30901"/>
    <w:rsid w:val="00A30B54"/>
    <w:rsid w:val="00A31D6A"/>
    <w:rsid w:val="00A32CD8"/>
    <w:rsid w:val="00A33DAA"/>
    <w:rsid w:val="00A33F37"/>
    <w:rsid w:val="00A34072"/>
    <w:rsid w:val="00A36649"/>
    <w:rsid w:val="00A36D32"/>
    <w:rsid w:val="00A3735C"/>
    <w:rsid w:val="00A373EC"/>
    <w:rsid w:val="00A401BC"/>
    <w:rsid w:val="00A405F9"/>
    <w:rsid w:val="00A40F25"/>
    <w:rsid w:val="00A41AC2"/>
    <w:rsid w:val="00A41AD9"/>
    <w:rsid w:val="00A44F7D"/>
    <w:rsid w:val="00A47816"/>
    <w:rsid w:val="00A50339"/>
    <w:rsid w:val="00A506D6"/>
    <w:rsid w:val="00A518A5"/>
    <w:rsid w:val="00A51B77"/>
    <w:rsid w:val="00A521EA"/>
    <w:rsid w:val="00A54001"/>
    <w:rsid w:val="00A5403C"/>
    <w:rsid w:val="00A5742E"/>
    <w:rsid w:val="00A57A3B"/>
    <w:rsid w:val="00A600A9"/>
    <w:rsid w:val="00A63606"/>
    <w:rsid w:val="00A63D9F"/>
    <w:rsid w:val="00A64544"/>
    <w:rsid w:val="00A64AEB"/>
    <w:rsid w:val="00A64B47"/>
    <w:rsid w:val="00A64C82"/>
    <w:rsid w:val="00A650B3"/>
    <w:rsid w:val="00A65B9D"/>
    <w:rsid w:val="00A66317"/>
    <w:rsid w:val="00A66E9E"/>
    <w:rsid w:val="00A70B2C"/>
    <w:rsid w:val="00A70F15"/>
    <w:rsid w:val="00A710F1"/>
    <w:rsid w:val="00A71808"/>
    <w:rsid w:val="00A72497"/>
    <w:rsid w:val="00A725DC"/>
    <w:rsid w:val="00A77007"/>
    <w:rsid w:val="00A7781C"/>
    <w:rsid w:val="00A8121B"/>
    <w:rsid w:val="00A81680"/>
    <w:rsid w:val="00A86DA7"/>
    <w:rsid w:val="00A87330"/>
    <w:rsid w:val="00A90B94"/>
    <w:rsid w:val="00A91E49"/>
    <w:rsid w:val="00A93802"/>
    <w:rsid w:val="00A95B38"/>
    <w:rsid w:val="00A95D09"/>
    <w:rsid w:val="00AA2A57"/>
    <w:rsid w:val="00AA3227"/>
    <w:rsid w:val="00AA3368"/>
    <w:rsid w:val="00AA5738"/>
    <w:rsid w:val="00AA57CB"/>
    <w:rsid w:val="00AA5992"/>
    <w:rsid w:val="00AA6288"/>
    <w:rsid w:val="00AB0FBF"/>
    <w:rsid w:val="00AB258B"/>
    <w:rsid w:val="00AB2DAF"/>
    <w:rsid w:val="00AB44A8"/>
    <w:rsid w:val="00AB4962"/>
    <w:rsid w:val="00AB51C6"/>
    <w:rsid w:val="00AB56A5"/>
    <w:rsid w:val="00AB5A9E"/>
    <w:rsid w:val="00AB5D13"/>
    <w:rsid w:val="00AB6CF0"/>
    <w:rsid w:val="00AC05E9"/>
    <w:rsid w:val="00AC18D7"/>
    <w:rsid w:val="00AC249C"/>
    <w:rsid w:val="00AC2B50"/>
    <w:rsid w:val="00AC2E6A"/>
    <w:rsid w:val="00AC3716"/>
    <w:rsid w:val="00AC46D0"/>
    <w:rsid w:val="00AC7267"/>
    <w:rsid w:val="00AC741C"/>
    <w:rsid w:val="00AD05A6"/>
    <w:rsid w:val="00AD0AFB"/>
    <w:rsid w:val="00AD0FFE"/>
    <w:rsid w:val="00AD1DAF"/>
    <w:rsid w:val="00AD3AD1"/>
    <w:rsid w:val="00AD4443"/>
    <w:rsid w:val="00AD4D14"/>
    <w:rsid w:val="00AD62AF"/>
    <w:rsid w:val="00AD6C1D"/>
    <w:rsid w:val="00AE001A"/>
    <w:rsid w:val="00AE03AD"/>
    <w:rsid w:val="00AE05A9"/>
    <w:rsid w:val="00AE0F77"/>
    <w:rsid w:val="00AE23F0"/>
    <w:rsid w:val="00AE2445"/>
    <w:rsid w:val="00AE28DC"/>
    <w:rsid w:val="00AE3FCA"/>
    <w:rsid w:val="00AE4822"/>
    <w:rsid w:val="00AE52B8"/>
    <w:rsid w:val="00AE5E84"/>
    <w:rsid w:val="00AE7AB3"/>
    <w:rsid w:val="00AE7BCB"/>
    <w:rsid w:val="00AE7C72"/>
    <w:rsid w:val="00AE7D7D"/>
    <w:rsid w:val="00AF0726"/>
    <w:rsid w:val="00AF1239"/>
    <w:rsid w:val="00AF24B2"/>
    <w:rsid w:val="00AF324B"/>
    <w:rsid w:val="00AF529C"/>
    <w:rsid w:val="00AF5345"/>
    <w:rsid w:val="00AF5B03"/>
    <w:rsid w:val="00AF60B7"/>
    <w:rsid w:val="00AF6F29"/>
    <w:rsid w:val="00B000C3"/>
    <w:rsid w:val="00B03791"/>
    <w:rsid w:val="00B051CC"/>
    <w:rsid w:val="00B0534C"/>
    <w:rsid w:val="00B11093"/>
    <w:rsid w:val="00B1172D"/>
    <w:rsid w:val="00B1257C"/>
    <w:rsid w:val="00B149A9"/>
    <w:rsid w:val="00B16981"/>
    <w:rsid w:val="00B17FF8"/>
    <w:rsid w:val="00B21D97"/>
    <w:rsid w:val="00B23E47"/>
    <w:rsid w:val="00B24279"/>
    <w:rsid w:val="00B24831"/>
    <w:rsid w:val="00B2757B"/>
    <w:rsid w:val="00B30A72"/>
    <w:rsid w:val="00B30CF7"/>
    <w:rsid w:val="00B30F3E"/>
    <w:rsid w:val="00B31AFC"/>
    <w:rsid w:val="00B3280B"/>
    <w:rsid w:val="00B33C29"/>
    <w:rsid w:val="00B34570"/>
    <w:rsid w:val="00B3582F"/>
    <w:rsid w:val="00B365C9"/>
    <w:rsid w:val="00B401A6"/>
    <w:rsid w:val="00B43BAA"/>
    <w:rsid w:val="00B46F5D"/>
    <w:rsid w:val="00B50159"/>
    <w:rsid w:val="00B50382"/>
    <w:rsid w:val="00B510D1"/>
    <w:rsid w:val="00B512D1"/>
    <w:rsid w:val="00B512DB"/>
    <w:rsid w:val="00B516F4"/>
    <w:rsid w:val="00B52302"/>
    <w:rsid w:val="00B52B57"/>
    <w:rsid w:val="00B53695"/>
    <w:rsid w:val="00B54E69"/>
    <w:rsid w:val="00B55BD9"/>
    <w:rsid w:val="00B568D2"/>
    <w:rsid w:val="00B575A1"/>
    <w:rsid w:val="00B6021A"/>
    <w:rsid w:val="00B60D2B"/>
    <w:rsid w:val="00B61039"/>
    <w:rsid w:val="00B619E4"/>
    <w:rsid w:val="00B6394F"/>
    <w:rsid w:val="00B63F07"/>
    <w:rsid w:val="00B65FD9"/>
    <w:rsid w:val="00B66D4E"/>
    <w:rsid w:val="00B671D0"/>
    <w:rsid w:val="00B67FDC"/>
    <w:rsid w:val="00B708CF"/>
    <w:rsid w:val="00B7167D"/>
    <w:rsid w:val="00B71781"/>
    <w:rsid w:val="00B7222E"/>
    <w:rsid w:val="00B7336C"/>
    <w:rsid w:val="00B73569"/>
    <w:rsid w:val="00B73CE2"/>
    <w:rsid w:val="00B7630C"/>
    <w:rsid w:val="00B763E9"/>
    <w:rsid w:val="00B77794"/>
    <w:rsid w:val="00B77FFA"/>
    <w:rsid w:val="00B80677"/>
    <w:rsid w:val="00B81FD8"/>
    <w:rsid w:val="00B82437"/>
    <w:rsid w:val="00B829A8"/>
    <w:rsid w:val="00B829B3"/>
    <w:rsid w:val="00B82FC5"/>
    <w:rsid w:val="00B85637"/>
    <w:rsid w:val="00B860F7"/>
    <w:rsid w:val="00B9174B"/>
    <w:rsid w:val="00B926F2"/>
    <w:rsid w:val="00B9276B"/>
    <w:rsid w:val="00B95065"/>
    <w:rsid w:val="00B95300"/>
    <w:rsid w:val="00B95662"/>
    <w:rsid w:val="00B95CD4"/>
    <w:rsid w:val="00B96325"/>
    <w:rsid w:val="00B96E93"/>
    <w:rsid w:val="00B971AE"/>
    <w:rsid w:val="00B972B5"/>
    <w:rsid w:val="00B97AE8"/>
    <w:rsid w:val="00BA0AD3"/>
    <w:rsid w:val="00BA0C20"/>
    <w:rsid w:val="00BA14A9"/>
    <w:rsid w:val="00BA4AB5"/>
    <w:rsid w:val="00BA56E7"/>
    <w:rsid w:val="00BA6996"/>
    <w:rsid w:val="00BB01C4"/>
    <w:rsid w:val="00BB0C48"/>
    <w:rsid w:val="00BB1DDF"/>
    <w:rsid w:val="00BB21C1"/>
    <w:rsid w:val="00BB381E"/>
    <w:rsid w:val="00BB3B10"/>
    <w:rsid w:val="00BB4665"/>
    <w:rsid w:val="00BB4A4E"/>
    <w:rsid w:val="00BB56E7"/>
    <w:rsid w:val="00BC1CC8"/>
    <w:rsid w:val="00BC2D7C"/>
    <w:rsid w:val="00BC5391"/>
    <w:rsid w:val="00BC53AC"/>
    <w:rsid w:val="00BD062E"/>
    <w:rsid w:val="00BD1AF9"/>
    <w:rsid w:val="00BD2F2D"/>
    <w:rsid w:val="00BD3529"/>
    <w:rsid w:val="00BD467C"/>
    <w:rsid w:val="00BD6881"/>
    <w:rsid w:val="00BE0157"/>
    <w:rsid w:val="00BE0FE1"/>
    <w:rsid w:val="00BE18B0"/>
    <w:rsid w:val="00BE3172"/>
    <w:rsid w:val="00BE4EA8"/>
    <w:rsid w:val="00BE56ED"/>
    <w:rsid w:val="00BE592A"/>
    <w:rsid w:val="00BF158F"/>
    <w:rsid w:val="00BF2FCF"/>
    <w:rsid w:val="00BF32CB"/>
    <w:rsid w:val="00BF37C5"/>
    <w:rsid w:val="00BF38BC"/>
    <w:rsid w:val="00BF3EE0"/>
    <w:rsid w:val="00BF4783"/>
    <w:rsid w:val="00BF5106"/>
    <w:rsid w:val="00BF5226"/>
    <w:rsid w:val="00BF5D19"/>
    <w:rsid w:val="00BF5D22"/>
    <w:rsid w:val="00BF709C"/>
    <w:rsid w:val="00C00867"/>
    <w:rsid w:val="00C0090F"/>
    <w:rsid w:val="00C032E9"/>
    <w:rsid w:val="00C0499C"/>
    <w:rsid w:val="00C04E50"/>
    <w:rsid w:val="00C053AA"/>
    <w:rsid w:val="00C05572"/>
    <w:rsid w:val="00C07E24"/>
    <w:rsid w:val="00C10130"/>
    <w:rsid w:val="00C10B14"/>
    <w:rsid w:val="00C1154C"/>
    <w:rsid w:val="00C11CA8"/>
    <w:rsid w:val="00C12569"/>
    <w:rsid w:val="00C1350A"/>
    <w:rsid w:val="00C13B1E"/>
    <w:rsid w:val="00C14415"/>
    <w:rsid w:val="00C14439"/>
    <w:rsid w:val="00C14CC5"/>
    <w:rsid w:val="00C1592E"/>
    <w:rsid w:val="00C15D13"/>
    <w:rsid w:val="00C16203"/>
    <w:rsid w:val="00C16786"/>
    <w:rsid w:val="00C16C11"/>
    <w:rsid w:val="00C17B97"/>
    <w:rsid w:val="00C2114D"/>
    <w:rsid w:val="00C24B34"/>
    <w:rsid w:val="00C25FEE"/>
    <w:rsid w:val="00C328D2"/>
    <w:rsid w:val="00C33C3A"/>
    <w:rsid w:val="00C343BD"/>
    <w:rsid w:val="00C3561A"/>
    <w:rsid w:val="00C36730"/>
    <w:rsid w:val="00C37F02"/>
    <w:rsid w:val="00C41725"/>
    <w:rsid w:val="00C4205D"/>
    <w:rsid w:val="00C424A1"/>
    <w:rsid w:val="00C43A55"/>
    <w:rsid w:val="00C44960"/>
    <w:rsid w:val="00C44FAD"/>
    <w:rsid w:val="00C46EC8"/>
    <w:rsid w:val="00C511C3"/>
    <w:rsid w:val="00C5191B"/>
    <w:rsid w:val="00C52F68"/>
    <w:rsid w:val="00C52FF7"/>
    <w:rsid w:val="00C533EE"/>
    <w:rsid w:val="00C546FF"/>
    <w:rsid w:val="00C54EF6"/>
    <w:rsid w:val="00C56178"/>
    <w:rsid w:val="00C56C4D"/>
    <w:rsid w:val="00C57780"/>
    <w:rsid w:val="00C60B6C"/>
    <w:rsid w:val="00C6123B"/>
    <w:rsid w:val="00C62247"/>
    <w:rsid w:val="00C652E3"/>
    <w:rsid w:val="00C65503"/>
    <w:rsid w:val="00C65DF2"/>
    <w:rsid w:val="00C674B4"/>
    <w:rsid w:val="00C67708"/>
    <w:rsid w:val="00C711F6"/>
    <w:rsid w:val="00C716A2"/>
    <w:rsid w:val="00C716D7"/>
    <w:rsid w:val="00C71B40"/>
    <w:rsid w:val="00C7326B"/>
    <w:rsid w:val="00C74392"/>
    <w:rsid w:val="00C74422"/>
    <w:rsid w:val="00C747A7"/>
    <w:rsid w:val="00C7736F"/>
    <w:rsid w:val="00C8203A"/>
    <w:rsid w:val="00C82712"/>
    <w:rsid w:val="00C82952"/>
    <w:rsid w:val="00C8337E"/>
    <w:rsid w:val="00C8624C"/>
    <w:rsid w:val="00C86678"/>
    <w:rsid w:val="00C86F0B"/>
    <w:rsid w:val="00C8739D"/>
    <w:rsid w:val="00C90491"/>
    <w:rsid w:val="00C905C8"/>
    <w:rsid w:val="00C917CF"/>
    <w:rsid w:val="00C91C93"/>
    <w:rsid w:val="00C9243F"/>
    <w:rsid w:val="00C924DE"/>
    <w:rsid w:val="00C92AE4"/>
    <w:rsid w:val="00C92B2B"/>
    <w:rsid w:val="00C93F32"/>
    <w:rsid w:val="00C94775"/>
    <w:rsid w:val="00C94D3F"/>
    <w:rsid w:val="00C95BEA"/>
    <w:rsid w:val="00C95D73"/>
    <w:rsid w:val="00C96FBB"/>
    <w:rsid w:val="00CA0F72"/>
    <w:rsid w:val="00CA2318"/>
    <w:rsid w:val="00CA35D6"/>
    <w:rsid w:val="00CA492E"/>
    <w:rsid w:val="00CA4C09"/>
    <w:rsid w:val="00CA4FA9"/>
    <w:rsid w:val="00CA5D56"/>
    <w:rsid w:val="00CA626C"/>
    <w:rsid w:val="00CA6DEF"/>
    <w:rsid w:val="00CB33D1"/>
    <w:rsid w:val="00CB3F1B"/>
    <w:rsid w:val="00CB4D1B"/>
    <w:rsid w:val="00CB556A"/>
    <w:rsid w:val="00CB58E4"/>
    <w:rsid w:val="00CB685E"/>
    <w:rsid w:val="00CC1780"/>
    <w:rsid w:val="00CC1B6E"/>
    <w:rsid w:val="00CC2F13"/>
    <w:rsid w:val="00CC3591"/>
    <w:rsid w:val="00CC4166"/>
    <w:rsid w:val="00CC680F"/>
    <w:rsid w:val="00CC7BDF"/>
    <w:rsid w:val="00CD13C0"/>
    <w:rsid w:val="00CD3C2B"/>
    <w:rsid w:val="00CD3E40"/>
    <w:rsid w:val="00CD6B09"/>
    <w:rsid w:val="00CD7E41"/>
    <w:rsid w:val="00CE0098"/>
    <w:rsid w:val="00CE0269"/>
    <w:rsid w:val="00CE1728"/>
    <w:rsid w:val="00CE2386"/>
    <w:rsid w:val="00CE4325"/>
    <w:rsid w:val="00CE47F3"/>
    <w:rsid w:val="00CE4A39"/>
    <w:rsid w:val="00CE4A88"/>
    <w:rsid w:val="00CE5C43"/>
    <w:rsid w:val="00CE6351"/>
    <w:rsid w:val="00CE6CA6"/>
    <w:rsid w:val="00CE7924"/>
    <w:rsid w:val="00CE7E1F"/>
    <w:rsid w:val="00CF1C62"/>
    <w:rsid w:val="00CF20B2"/>
    <w:rsid w:val="00CF2586"/>
    <w:rsid w:val="00CF540D"/>
    <w:rsid w:val="00CF7239"/>
    <w:rsid w:val="00D00292"/>
    <w:rsid w:val="00D018D6"/>
    <w:rsid w:val="00D019D7"/>
    <w:rsid w:val="00D01A60"/>
    <w:rsid w:val="00D01B22"/>
    <w:rsid w:val="00D01B55"/>
    <w:rsid w:val="00D02682"/>
    <w:rsid w:val="00D03E15"/>
    <w:rsid w:val="00D07D5D"/>
    <w:rsid w:val="00D07DF0"/>
    <w:rsid w:val="00D11983"/>
    <w:rsid w:val="00D123A4"/>
    <w:rsid w:val="00D13147"/>
    <w:rsid w:val="00D1372D"/>
    <w:rsid w:val="00D1389E"/>
    <w:rsid w:val="00D14818"/>
    <w:rsid w:val="00D15111"/>
    <w:rsid w:val="00D155A6"/>
    <w:rsid w:val="00D167ED"/>
    <w:rsid w:val="00D17005"/>
    <w:rsid w:val="00D1749E"/>
    <w:rsid w:val="00D20922"/>
    <w:rsid w:val="00D2149B"/>
    <w:rsid w:val="00D21F6E"/>
    <w:rsid w:val="00D2215E"/>
    <w:rsid w:val="00D22CFE"/>
    <w:rsid w:val="00D23AB2"/>
    <w:rsid w:val="00D23BF9"/>
    <w:rsid w:val="00D2414D"/>
    <w:rsid w:val="00D24640"/>
    <w:rsid w:val="00D24CB2"/>
    <w:rsid w:val="00D27104"/>
    <w:rsid w:val="00D2786E"/>
    <w:rsid w:val="00D27ECB"/>
    <w:rsid w:val="00D31C1B"/>
    <w:rsid w:val="00D33A1A"/>
    <w:rsid w:val="00D353A8"/>
    <w:rsid w:val="00D36A75"/>
    <w:rsid w:val="00D3795B"/>
    <w:rsid w:val="00D4149E"/>
    <w:rsid w:val="00D41A67"/>
    <w:rsid w:val="00D42242"/>
    <w:rsid w:val="00D422A1"/>
    <w:rsid w:val="00D42B5A"/>
    <w:rsid w:val="00D43798"/>
    <w:rsid w:val="00D43E1D"/>
    <w:rsid w:val="00D44D40"/>
    <w:rsid w:val="00D45208"/>
    <w:rsid w:val="00D45334"/>
    <w:rsid w:val="00D45568"/>
    <w:rsid w:val="00D47B2B"/>
    <w:rsid w:val="00D50A75"/>
    <w:rsid w:val="00D50D35"/>
    <w:rsid w:val="00D51C6E"/>
    <w:rsid w:val="00D5452C"/>
    <w:rsid w:val="00D5467D"/>
    <w:rsid w:val="00D55028"/>
    <w:rsid w:val="00D56619"/>
    <w:rsid w:val="00D57FC7"/>
    <w:rsid w:val="00D609E5"/>
    <w:rsid w:val="00D61C56"/>
    <w:rsid w:val="00D62AA5"/>
    <w:rsid w:val="00D636FC"/>
    <w:rsid w:val="00D651BC"/>
    <w:rsid w:val="00D66971"/>
    <w:rsid w:val="00D66C82"/>
    <w:rsid w:val="00D67FA5"/>
    <w:rsid w:val="00D70205"/>
    <w:rsid w:val="00D708B7"/>
    <w:rsid w:val="00D72572"/>
    <w:rsid w:val="00D73234"/>
    <w:rsid w:val="00D73628"/>
    <w:rsid w:val="00D755A7"/>
    <w:rsid w:val="00D75627"/>
    <w:rsid w:val="00D80173"/>
    <w:rsid w:val="00D823A9"/>
    <w:rsid w:val="00D83FB6"/>
    <w:rsid w:val="00D85B57"/>
    <w:rsid w:val="00D85C56"/>
    <w:rsid w:val="00D87B59"/>
    <w:rsid w:val="00D90217"/>
    <w:rsid w:val="00D90FFF"/>
    <w:rsid w:val="00D91D7A"/>
    <w:rsid w:val="00D91F7D"/>
    <w:rsid w:val="00D924F2"/>
    <w:rsid w:val="00D92A8D"/>
    <w:rsid w:val="00D93ABB"/>
    <w:rsid w:val="00D95334"/>
    <w:rsid w:val="00D958FB"/>
    <w:rsid w:val="00D95989"/>
    <w:rsid w:val="00D95C6B"/>
    <w:rsid w:val="00D96C89"/>
    <w:rsid w:val="00D97320"/>
    <w:rsid w:val="00D9795F"/>
    <w:rsid w:val="00D979A3"/>
    <w:rsid w:val="00DA19DF"/>
    <w:rsid w:val="00DA2FCD"/>
    <w:rsid w:val="00DA36D0"/>
    <w:rsid w:val="00DA37D5"/>
    <w:rsid w:val="00DA493F"/>
    <w:rsid w:val="00DA52E8"/>
    <w:rsid w:val="00DA5C1B"/>
    <w:rsid w:val="00DA5DB1"/>
    <w:rsid w:val="00DA6657"/>
    <w:rsid w:val="00DA6836"/>
    <w:rsid w:val="00DA685B"/>
    <w:rsid w:val="00DA6A89"/>
    <w:rsid w:val="00DB066C"/>
    <w:rsid w:val="00DB06FC"/>
    <w:rsid w:val="00DB0A77"/>
    <w:rsid w:val="00DB4220"/>
    <w:rsid w:val="00DB4640"/>
    <w:rsid w:val="00DB4A45"/>
    <w:rsid w:val="00DB5827"/>
    <w:rsid w:val="00DC0ACB"/>
    <w:rsid w:val="00DC24BB"/>
    <w:rsid w:val="00DC260A"/>
    <w:rsid w:val="00DC3C2D"/>
    <w:rsid w:val="00DC4698"/>
    <w:rsid w:val="00DC532D"/>
    <w:rsid w:val="00DC54A4"/>
    <w:rsid w:val="00DC6FFE"/>
    <w:rsid w:val="00DC760F"/>
    <w:rsid w:val="00DD078F"/>
    <w:rsid w:val="00DD08D8"/>
    <w:rsid w:val="00DD0DE3"/>
    <w:rsid w:val="00DD2C65"/>
    <w:rsid w:val="00DD3E7A"/>
    <w:rsid w:val="00DD418D"/>
    <w:rsid w:val="00DD41AE"/>
    <w:rsid w:val="00DD491D"/>
    <w:rsid w:val="00DD675D"/>
    <w:rsid w:val="00DD7163"/>
    <w:rsid w:val="00DD73B1"/>
    <w:rsid w:val="00DD7BB6"/>
    <w:rsid w:val="00DE1AE3"/>
    <w:rsid w:val="00DE2CCA"/>
    <w:rsid w:val="00DE4E8D"/>
    <w:rsid w:val="00DE5012"/>
    <w:rsid w:val="00DE517E"/>
    <w:rsid w:val="00DE591C"/>
    <w:rsid w:val="00DE68E0"/>
    <w:rsid w:val="00DE6C37"/>
    <w:rsid w:val="00DF018A"/>
    <w:rsid w:val="00DF20F8"/>
    <w:rsid w:val="00DF3207"/>
    <w:rsid w:val="00DF3969"/>
    <w:rsid w:val="00DF3C21"/>
    <w:rsid w:val="00DF5551"/>
    <w:rsid w:val="00DF5FBB"/>
    <w:rsid w:val="00DF6487"/>
    <w:rsid w:val="00DF796E"/>
    <w:rsid w:val="00E00E5A"/>
    <w:rsid w:val="00E0203D"/>
    <w:rsid w:val="00E03034"/>
    <w:rsid w:val="00E10E5F"/>
    <w:rsid w:val="00E10FA2"/>
    <w:rsid w:val="00E126E0"/>
    <w:rsid w:val="00E13FF9"/>
    <w:rsid w:val="00E1406B"/>
    <w:rsid w:val="00E143DD"/>
    <w:rsid w:val="00E15E12"/>
    <w:rsid w:val="00E1655E"/>
    <w:rsid w:val="00E206FA"/>
    <w:rsid w:val="00E2215E"/>
    <w:rsid w:val="00E22F11"/>
    <w:rsid w:val="00E23C48"/>
    <w:rsid w:val="00E25363"/>
    <w:rsid w:val="00E263F2"/>
    <w:rsid w:val="00E2659A"/>
    <w:rsid w:val="00E273FA"/>
    <w:rsid w:val="00E27E4C"/>
    <w:rsid w:val="00E301EE"/>
    <w:rsid w:val="00E32609"/>
    <w:rsid w:val="00E3342F"/>
    <w:rsid w:val="00E3395C"/>
    <w:rsid w:val="00E34CF0"/>
    <w:rsid w:val="00E3566F"/>
    <w:rsid w:val="00E35858"/>
    <w:rsid w:val="00E36BE2"/>
    <w:rsid w:val="00E36F7A"/>
    <w:rsid w:val="00E3755B"/>
    <w:rsid w:val="00E377BE"/>
    <w:rsid w:val="00E37CC9"/>
    <w:rsid w:val="00E4109B"/>
    <w:rsid w:val="00E428A2"/>
    <w:rsid w:val="00E43930"/>
    <w:rsid w:val="00E4400E"/>
    <w:rsid w:val="00E44872"/>
    <w:rsid w:val="00E44C06"/>
    <w:rsid w:val="00E44CA9"/>
    <w:rsid w:val="00E451CF"/>
    <w:rsid w:val="00E45CD7"/>
    <w:rsid w:val="00E45DC9"/>
    <w:rsid w:val="00E4759B"/>
    <w:rsid w:val="00E51DB1"/>
    <w:rsid w:val="00E520B4"/>
    <w:rsid w:val="00E54201"/>
    <w:rsid w:val="00E544CF"/>
    <w:rsid w:val="00E5485A"/>
    <w:rsid w:val="00E568E1"/>
    <w:rsid w:val="00E5706C"/>
    <w:rsid w:val="00E60695"/>
    <w:rsid w:val="00E61043"/>
    <w:rsid w:val="00E61CF3"/>
    <w:rsid w:val="00E61E4D"/>
    <w:rsid w:val="00E64ACB"/>
    <w:rsid w:val="00E650A8"/>
    <w:rsid w:val="00E6515F"/>
    <w:rsid w:val="00E65370"/>
    <w:rsid w:val="00E65AAE"/>
    <w:rsid w:val="00E6731C"/>
    <w:rsid w:val="00E674E5"/>
    <w:rsid w:val="00E67CE7"/>
    <w:rsid w:val="00E7024A"/>
    <w:rsid w:val="00E70F40"/>
    <w:rsid w:val="00E723F7"/>
    <w:rsid w:val="00E7386F"/>
    <w:rsid w:val="00E739C0"/>
    <w:rsid w:val="00E73A5A"/>
    <w:rsid w:val="00E745EE"/>
    <w:rsid w:val="00E74D0B"/>
    <w:rsid w:val="00E75047"/>
    <w:rsid w:val="00E75B91"/>
    <w:rsid w:val="00E75F52"/>
    <w:rsid w:val="00E7781F"/>
    <w:rsid w:val="00E80E0E"/>
    <w:rsid w:val="00E82242"/>
    <w:rsid w:val="00E824FD"/>
    <w:rsid w:val="00E831FE"/>
    <w:rsid w:val="00E83879"/>
    <w:rsid w:val="00E84BC6"/>
    <w:rsid w:val="00E85690"/>
    <w:rsid w:val="00E8596C"/>
    <w:rsid w:val="00E8646A"/>
    <w:rsid w:val="00E865C0"/>
    <w:rsid w:val="00E900AF"/>
    <w:rsid w:val="00E915C3"/>
    <w:rsid w:val="00E9198B"/>
    <w:rsid w:val="00E91EBD"/>
    <w:rsid w:val="00E94124"/>
    <w:rsid w:val="00E94595"/>
    <w:rsid w:val="00E94FC2"/>
    <w:rsid w:val="00E959CA"/>
    <w:rsid w:val="00E95C92"/>
    <w:rsid w:val="00E960A7"/>
    <w:rsid w:val="00E96DCC"/>
    <w:rsid w:val="00E97CC8"/>
    <w:rsid w:val="00EA0416"/>
    <w:rsid w:val="00EA04AA"/>
    <w:rsid w:val="00EA3C71"/>
    <w:rsid w:val="00EA5054"/>
    <w:rsid w:val="00EA544B"/>
    <w:rsid w:val="00EA66BE"/>
    <w:rsid w:val="00EA6EA0"/>
    <w:rsid w:val="00EA737D"/>
    <w:rsid w:val="00EA7A2B"/>
    <w:rsid w:val="00EB0134"/>
    <w:rsid w:val="00EB0371"/>
    <w:rsid w:val="00EB14C9"/>
    <w:rsid w:val="00EB205B"/>
    <w:rsid w:val="00EB336C"/>
    <w:rsid w:val="00EB572D"/>
    <w:rsid w:val="00EB654E"/>
    <w:rsid w:val="00EB6D4C"/>
    <w:rsid w:val="00EB7238"/>
    <w:rsid w:val="00EB7BF9"/>
    <w:rsid w:val="00EC0A15"/>
    <w:rsid w:val="00EC1815"/>
    <w:rsid w:val="00EC1E91"/>
    <w:rsid w:val="00EC43CF"/>
    <w:rsid w:val="00EC55CB"/>
    <w:rsid w:val="00EC5A04"/>
    <w:rsid w:val="00EC5F3F"/>
    <w:rsid w:val="00EC606D"/>
    <w:rsid w:val="00ED073D"/>
    <w:rsid w:val="00ED1FFF"/>
    <w:rsid w:val="00ED26C2"/>
    <w:rsid w:val="00ED2C92"/>
    <w:rsid w:val="00ED378D"/>
    <w:rsid w:val="00ED39A0"/>
    <w:rsid w:val="00ED471A"/>
    <w:rsid w:val="00EE01C3"/>
    <w:rsid w:val="00EE1D08"/>
    <w:rsid w:val="00EE25DC"/>
    <w:rsid w:val="00EE26A9"/>
    <w:rsid w:val="00EE4B4E"/>
    <w:rsid w:val="00EE53F9"/>
    <w:rsid w:val="00EE6DB9"/>
    <w:rsid w:val="00EE75DA"/>
    <w:rsid w:val="00EF11F5"/>
    <w:rsid w:val="00EF1AC2"/>
    <w:rsid w:val="00EF1E8E"/>
    <w:rsid w:val="00EF3225"/>
    <w:rsid w:val="00EF4412"/>
    <w:rsid w:val="00EF47BB"/>
    <w:rsid w:val="00EF67C4"/>
    <w:rsid w:val="00EF6A1A"/>
    <w:rsid w:val="00F002DC"/>
    <w:rsid w:val="00F00618"/>
    <w:rsid w:val="00F00998"/>
    <w:rsid w:val="00F01759"/>
    <w:rsid w:val="00F01ED5"/>
    <w:rsid w:val="00F03D1A"/>
    <w:rsid w:val="00F0789D"/>
    <w:rsid w:val="00F079D6"/>
    <w:rsid w:val="00F1138D"/>
    <w:rsid w:val="00F11576"/>
    <w:rsid w:val="00F115AA"/>
    <w:rsid w:val="00F117D2"/>
    <w:rsid w:val="00F11A12"/>
    <w:rsid w:val="00F12475"/>
    <w:rsid w:val="00F12BCE"/>
    <w:rsid w:val="00F13B37"/>
    <w:rsid w:val="00F13F24"/>
    <w:rsid w:val="00F16B41"/>
    <w:rsid w:val="00F17700"/>
    <w:rsid w:val="00F20B69"/>
    <w:rsid w:val="00F21D19"/>
    <w:rsid w:val="00F221C6"/>
    <w:rsid w:val="00F22F18"/>
    <w:rsid w:val="00F23700"/>
    <w:rsid w:val="00F2448E"/>
    <w:rsid w:val="00F245C8"/>
    <w:rsid w:val="00F25155"/>
    <w:rsid w:val="00F275D7"/>
    <w:rsid w:val="00F27BAF"/>
    <w:rsid w:val="00F30D32"/>
    <w:rsid w:val="00F316BC"/>
    <w:rsid w:val="00F31A77"/>
    <w:rsid w:val="00F320EE"/>
    <w:rsid w:val="00F333AF"/>
    <w:rsid w:val="00F33B5B"/>
    <w:rsid w:val="00F33CA0"/>
    <w:rsid w:val="00F357A0"/>
    <w:rsid w:val="00F36DEA"/>
    <w:rsid w:val="00F37E09"/>
    <w:rsid w:val="00F4071A"/>
    <w:rsid w:val="00F411D2"/>
    <w:rsid w:val="00F41612"/>
    <w:rsid w:val="00F416C6"/>
    <w:rsid w:val="00F42211"/>
    <w:rsid w:val="00F42912"/>
    <w:rsid w:val="00F42EAB"/>
    <w:rsid w:val="00F4406F"/>
    <w:rsid w:val="00F552CE"/>
    <w:rsid w:val="00F60CBB"/>
    <w:rsid w:val="00F6136F"/>
    <w:rsid w:val="00F61E47"/>
    <w:rsid w:val="00F61E7A"/>
    <w:rsid w:val="00F62C65"/>
    <w:rsid w:val="00F63AC6"/>
    <w:rsid w:val="00F6436F"/>
    <w:rsid w:val="00F6596E"/>
    <w:rsid w:val="00F66210"/>
    <w:rsid w:val="00F6679F"/>
    <w:rsid w:val="00F677B4"/>
    <w:rsid w:val="00F678BC"/>
    <w:rsid w:val="00F67CAA"/>
    <w:rsid w:val="00F704B9"/>
    <w:rsid w:val="00F7091D"/>
    <w:rsid w:val="00F70D0E"/>
    <w:rsid w:val="00F72F47"/>
    <w:rsid w:val="00F74ACA"/>
    <w:rsid w:val="00F753F1"/>
    <w:rsid w:val="00F75BD3"/>
    <w:rsid w:val="00F76881"/>
    <w:rsid w:val="00F76A3E"/>
    <w:rsid w:val="00F77A26"/>
    <w:rsid w:val="00F77DD4"/>
    <w:rsid w:val="00F80487"/>
    <w:rsid w:val="00F82796"/>
    <w:rsid w:val="00F82E4D"/>
    <w:rsid w:val="00F8383B"/>
    <w:rsid w:val="00F839E2"/>
    <w:rsid w:val="00F83CA0"/>
    <w:rsid w:val="00F84830"/>
    <w:rsid w:val="00F856C6"/>
    <w:rsid w:val="00F86243"/>
    <w:rsid w:val="00F912ED"/>
    <w:rsid w:val="00F9179C"/>
    <w:rsid w:val="00F94514"/>
    <w:rsid w:val="00F948AD"/>
    <w:rsid w:val="00F95B73"/>
    <w:rsid w:val="00F9624E"/>
    <w:rsid w:val="00F9657F"/>
    <w:rsid w:val="00FA028D"/>
    <w:rsid w:val="00FA11C2"/>
    <w:rsid w:val="00FA1AF8"/>
    <w:rsid w:val="00FA1D06"/>
    <w:rsid w:val="00FA24AC"/>
    <w:rsid w:val="00FA38FF"/>
    <w:rsid w:val="00FA4859"/>
    <w:rsid w:val="00FA5AF5"/>
    <w:rsid w:val="00FA5E67"/>
    <w:rsid w:val="00FA68F1"/>
    <w:rsid w:val="00FB028A"/>
    <w:rsid w:val="00FB0318"/>
    <w:rsid w:val="00FB189F"/>
    <w:rsid w:val="00FB2A4D"/>
    <w:rsid w:val="00FB41F7"/>
    <w:rsid w:val="00FB7B46"/>
    <w:rsid w:val="00FC01D2"/>
    <w:rsid w:val="00FC1356"/>
    <w:rsid w:val="00FC3379"/>
    <w:rsid w:val="00FC4E8E"/>
    <w:rsid w:val="00FC5526"/>
    <w:rsid w:val="00FC564F"/>
    <w:rsid w:val="00FC5BF0"/>
    <w:rsid w:val="00FC7166"/>
    <w:rsid w:val="00FC7ACD"/>
    <w:rsid w:val="00FD146A"/>
    <w:rsid w:val="00FD1886"/>
    <w:rsid w:val="00FD1DDA"/>
    <w:rsid w:val="00FD1DF3"/>
    <w:rsid w:val="00FD4B4C"/>
    <w:rsid w:val="00FD58F7"/>
    <w:rsid w:val="00FE0061"/>
    <w:rsid w:val="00FE277E"/>
    <w:rsid w:val="00FE38BE"/>
    <w:rsid w:val="00FE4ECF"/>
    <w:rsid w:val="00FE509E"/>
    <w:rsid w:val="00FE52C6"/>
    <w:rsid w:val="00FE58DA"/>
    <w:rsid w:val="00FE60EA"/>
    <w:rsid w:val="00FE624D"/>
    <w:rsid w:val="00FE63F6"/>
    <w:rsid w:val="00FE6D27"/>
    <w:rsid w:val="00FE7671"/>
    <w:rsid w:val="00FE7A5E"/>
    <w:rsid w:val="00FE7C89"/>
    <w:rsid w:val="00FF02CD"/>
    <w:rsid w:val="00FF0FAF"/>
    <w:rsid w:val="00FF1283"/>
    <w:rsid w:val="00FF1529"/>
    <w:rsid w:val="00FF2530"/>
    <w:rsid w:val="00FF4296"/>
    <w:rsid w:val="00FF4867"/>
    <w:rsid w:val="00FF4940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D6897"/>
  <w15:docId w15:val="{5BB9929F-86C1-42A4-AD18-5388219F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0867F0"/>
    <w:rPr>
      <w:color w:val="800080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0963AF"/>
    <w:pPr>
      <w:spacing w:before="120"/>
      <w:jc w:val="center"/>
    </w:pPr>
    <w:rPr>
      <w:rFonts w:ascii="Cambria" w:hAnsi="Cambria"/>
      <w:b/>
      <w:iCs/>
      <w:color w:val="00457D"/>
      <w:sz w:val="18"/>
      <w:szCs w:val="18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4E7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13B3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558D1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847CD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47C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7CDD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39"/>
    <w:rsid w:val="00847C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textincomma">
    <w:name w:val="art_text_in_comma"/>
    <w:basedOn w:val="Carpredefinitoparagrafo"/>
    <w:rsid w:val="00847CDD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E3566F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C9243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47608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B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056A7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76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07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8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85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22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s.oecd.org/OECDStat_Metadata/ShowMetadata.ashx?Dataset=HEALTH_REAC&amp;Coords=%5bVAR%5d.%5bEMPLGENP%5d&amp;ShowOnWeb=true&amp;Lang=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stats.oecd.org/OECDStat_Metadata/ShowMetadata.ashx?Dataset=HEALTH_REAC&amp;Coords=%5bVAR%5d.%5bEMPLSPMP%5d&amp;ShowOnWeb=true&amp;Lang=en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B36A-8A19-4032-BD68-6EF11C96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4</cp:revision>
  <cp:lastPrinted>2025-01-28T09:22:00Z</cp:lastPrinted>
  <dcterms:created xsi:type="dcterms:W3CDTF">2026-01-22T12:57:00Z</dcterms:created>
  <dcterms:modified xsi:type="dcterms:W3CDTF">2026-01-22T14:21:00Z</dcterms:modified>
</cp:coreProperties>
</file>