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1A06" w14:textId="77777777"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5E6C2CC6" w14:textId="54A060F8" w:rsidR="00A506D6" w:rsidRPr="00FB251D" w:rsidRDefault="00BD7AA7" w:rsidP="009E4BD0">
      <w:pPr>
        <w:jc w:val="center"/>
        <w:rPr>
          <w:rFonts w:ascii="Calibri" w:eastAsia="Calibri" w:hAnsi="Calibri" w:cs="Times New Roman"/>
          <w:b/>
          <w:bCs/>
          <w:color w:val="FF0000"/>
          <w:sz w:val="36"/>
          <w:szCs w:val="36"/>
        </w:rPr>
      </w:pPr>
      <w:r w:rsidRPr="00890139">
        <w:rPr>
          <w:rFonts w:ascii="Calibri" w:eastAsia="Calibri" w:hAnsi="Calibri" w:cs="Times New Roman"/>
          <w:b/>
          <w:bCs/>
          <w:sz w:val="36"/>
          <w:szCs w:val="36"/>
        </w:rPr>
        <w:t>DISEGNO DI LEGGE SULLE PRESTAZIONI SANITARIE:</w:t>
      </w:r>
      <w:r w:rsidR="00890139"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890139" w:rsidRPr="00890139">
        <w:rPr>
          <w:rFonts w:ascii="Calibri" w:eastAsia="Calibri" w:hAnsi="Calibri" w:cs="Times New Roman"/>
          <w:b/>
          <w:bCs/>
          <w:sz w:val="36"/>
          <w:szCs w:val="36"/>
        </w:rPr>
        <w:t xml:space="preserve">MISURE A COSTO ZERO E </w:t>
      </w:r>
      <w:r w:rsidR="00890139">
        <w:rPr>
          <w:rFonts w:ascii="Calibri" w:eastAsia="Calibri" w:hAnsi="Calibri" w:cs="Times New Roman"/>
          <w:b/>
          <w:bCs/>
          <w:sz w:val="36"/>
          <w:szCs w:val="36"/>
        </w:rPr>
        <w:t xml:space="preserve">7 </w:t>
      </w:r>
      <w:r w:rsidR="00890139" w:rsidRPr="00890139">
        <w:rPr>
          <w:rFonts w:ascii="Calibri" w:eastAsia="Calibri" w:hAnsi="Calibri" w:cs="Times New Roman"/>
          <w:b/>
          <w:bCs/>
          <w:sz w:val="36"/>
          <w:szCs w:val="36"/>
        </w:rPr>
        <w:t xml:space="preserve">DECRETI ATTUATIVI RISCHIANO DI LASCIARE </w:t>
      </w:r>
      <w:r w:rsidR="00AB2976">
        <w:rPr>
          <w:rFonts w:ascii="Calibri" w:eastAsia="Calibri" w:hAnsi="Calibri" w:cs="Times New Roman"/>
          <w:b/>
          <w:bCs/>
          <w:sz w:val="36"/>
          <w:szCs w:val="36"/>
        </w:rPr>
        <w:t xml:space="preserve">IRRISOLTO IL PROBLEMA DELLE </w:t>
      </w:r>
      <w:r w:rsidR="00890139" w:rsidRPr="00890139">
        <w:rPr>
          <w:rFonts w:ascii="Calibri" w:eastAsia="Calibri" w:hAnsi="Calibri" w:cs="Times New Roman"/>
          <w:b/>
          <w:bCs/>
          <w:sz w:val="36"/>
          <w:szCs w:val="36"/>
        </w:rPr>
        <w:t>LISTE D'ATTESA.</w:t>
      </w:r>
      <w:r w:rsidR="00AB2976">
        <w:rPr>
          <w:rFonts w:ascii="Calibri" w:eastAsia="Calibri" w:hAnsi="Calibri" w:cs="Times New Roman"/>
          <w:b/>
          <w:bCs/>
          <w:sz w:val="36"/>
          <w:szCs w:val="36"/>
        </w:rPr>
        <w:br/>
        <w:t>SENZA RISORSE IN LEGGE DI BILANCIO 2025 IL D</w:t>
      </w:r>
      <w:r w:rsidR="005A66DA">
        <w:rPr>
          <w:rFonts w:ascii="Calibri" w:eastAsia="Calibri" w:hAnsi="Calibri" w:cs="Times New Roman"/>
          <w:b/>
          <w:bCs/>
          <w:sz w:val="36"/>
          <w:szCs w:val="36"/>
        </w:rPr>
        <w:t>D</w:t>
      </w:r>
      <w:r w:rsidR="00AB2976">
        <w:rPr>
          <w:rFonts w:ascii="Calibri" w:eastAsia="Calibri" w:hAnsi="Calibri" w:cs="Times New Roman"/>
          <w:b/>
          <w:bCs/>
          <w:sz w:val="36"/>
          <w:szCs w:val="36"/>
        </w:rPr>
        <w:t>L RIMANE UNA SCATOLA</w:t>
      </w:r>
      <w:bookmarkStart w:id="0" w:name="_GoBack"/>
      <w:bookmarkEnd w:id="0"/>
      <w:r w:rsidR="00AB2976">
        <w:rPr>
          <w:rFonts w:ascii="Calibri" w:eastAsia="Calibri" w:hAnsi="Calibri" w:cs="Times New Roman"/>
          <w:b/>
          <w:bCs/>
          <w:sz w:val="36"/>
          <w:szCs w:val="36"/>
        </w:rPr>
        <w:t xml:space="preserve"> VUOTA</w:t>
      </w:r>
      <w:r w:rsidR="005A66DA">
        <w:rPr>
          <w:rFonts w:ascii="Calibri" w:eastAsia="Calibri" w:hAnsi="Calibri" w:cs="Times New Roman"/>
          <w:b/>
          <w:bCs/>
          <w:sz w:val="36"/>
          <w:szCs w:val="36"/>
        </w:rPr>
        <w:t>.</w:t>
      </w:r>
      <w:r w:rsidR="005A66DA"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A506D6" w:rsidRPr="00890139">
        <w:rPr>
          <w:rFonts w:ascii="Calibri" w:eastAsia="Calibri" w:hAnsi="Calibri" w:cs="Times New Roman"/>
          <w:b/>
          <w:bCs/>
          <w:sz w:val="36"/>
          <w:szCs w:val="36"/>
        </w:rPr>
        <w:t>AUDIZIONE DELLA FONDAZIONE GIMBE AL SENATO</w:t>
      </w:r>
    </w:p>
    <w:p w14:paraId="76FE848A" w14:textId="77777777" w:rsidR="00925B50" w:rsidRPr="00925B50" w:rsidRDefault="007B0125" w:rsidP="00925B50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FB251D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CE5C4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FB251D"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 xml:space="preserve"> 202</w:t>
      </w:r>
      <w:r w:rsidR="003A76F7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1D2F8F75" w14:textId="77777777" w:rsidR="00E64ACB" w:rsidRPr="00807D8D" w:rsidRDefault="00957469" w:rsidP="0012063A">
      <w:pPr>
        <w:spacing w:after="140"/>
        <w:jc w:val="both"/>
        <w:rPr>
          <w:rFonts w:ascii="Calibri" w:hAnsi="Calibri" w:cs="Calibri"/>
        </w:rPr>
      </w:pPr>
      <w:r w:rsidRPr="00807D8D">
        <w:rPr>
          <w:rFonts w:ascii="Calibri" w:hAnsi="Calibri" w:cs="Calibri"/>
        </w:rPr>
        <w:t>«</w:t>
      </w:r>
      <w:r w:rsidR="007B0125" w:rsidRPr="00807D8D">
        <w:t xml:space="preserve">Il </w:t>
      </w:r>
      <w:r w:rsidR="00807D8D" w:rsidRPr="00807D8D">
        <w:t xml:space="preserve">Disegno </w:t>
      </w:r>
      <w:r w:rsidR="003A0219" w:rsidRPr="00807D8D">
        <w:t xml:space="preserve">di </w:t>
      </w:r>
      <w:r w:rsidR="00807D8D" w:rsidRPr="00807D8D">
        <w:t xml:space="preserve">Legge </w:t>
      </w:r>
      <w:r w:rsidRPr="00807D8D">
        <w:t>sulle</w:t>
      </w:r>
      <w:r w:rsidR="003A0219" w:rsidRPr="00807D8D">
        <w:t xml:space="preserve"> prestazioni sanitarie</w:t>
      </w:r>
      <w:r w:rsidR="00C1592E" w:rsidRPr="00807D8D">
        <w:t xml:space="preserve"> </w:t>
      </w:r>
      <w:r w:rsidR="00C1592E" w:rsidRPr="00807D8D">
        <w:rPr>
          <w:rFonts w:ascii="Calibri" w:hAnsi="Calibri" w:cs="Calibri"/>
        </w:rPr>
        <w:t xml:space="preserve">– </w:t>
      </w:r>
      <w:r w:rsidR="00C1592E" w:rsidRPr="00807D8D">
        <w:t xml:space="preserve">dichiara Nino Cartabellotta, Presidente della Fondazione GIMBE </w:t>
      </w:r>
      <w:r w:rsidR="00C1592E" w:rsidRPr="00807D8D">
        <w:rPr>
          <w:rFonts w:ascii="Calibri" w:hAnsi="Calibri" w:cs="Calibri"/>
        </w:rPr>
        <w:t xml:space="preserve">– </w:t>
      </w:r>
      <w:r w:rsidR="003A0219" w:rsidRPr="00807D8D">
        <w:t xml:space="preserve">non prevede investimenti ad hoc </w:t>
      </w:r>
      <w:r w:rsidR="00807D8D" w:rsidRPr="00807D8D">
        <w:t>e sarà</w:t>
      </w:r>
      <w:r w:rsidR="003A0219" w:rsidRPr="00807D8D">
        <w:t xml:space="preserve"> necessario attendere il testo della </w:t>
      </w:r>
      <w:r w:rsidR="00807D8D" w:rsidRPr="00807D8D">
        <w:t>manovra per capire se la norma diventerà operativa</w:t>
      </w:r>
      <w:r w:rsidR="005A66DA">
        <w:t xml:space="preserve"> o rimarrà una scatola vuota</w:t>
      </w:r>
      <w:r w:rsidR="00F57151">
        <w:t xml:space="preserve">. Si </w:t>
      </w:r>
      <w:r w:rsidR="00A1524A">
        <w:t>continua sulla strada di</w:t>
      </w:r>
      <w:r w:rsidR="00F57151">
        <w:t xml:space="preserve"> un </w:t>
      </w:r>
      <w:r w:rsidR="00F57151" w:rsidRPr="00F57151">
        <w:t xml:space="preserve">approccio </w:t>
      </w:r>
      <w:r w:rsidR="000066C0">
        <w:t>“</w:t>
      </w:r>
      <w:r w:rsidR="00F57151" w:rsidRPr="00F57151">
        <w:t>a costo zero</w:t>
      </w:r>
      <w:r w:rsidR="000066C0">
        <w:t>”</w:t>
      </w:r>
      <w:r w:rsidR="00F57151">
        <w:t xml:space="preserve"> che</w:t>
      </w:r>
      <w:r w:rsidR="00F57151" w:rsidRPr="00F57151">
        <w:t xml:space="preserve"> non risponde alle reali esigenze di potenziamento della sanità pubblica e rischia di compromettere l’efficacia delle azioni proposte, soprattutto in un contesto in cui il SSN soffre di un cronico sottofinanziamento</w:t>
      </w:r>
      <w:r w:rsidRPr="00807D8D">
        <w:rPr>
          <w:rFonts w:ascii="Calibri" w:hAnsi="Calibri" w:cs="Calibri"/>
        </w:rPr>
        <w:t>»</w:t>
      </w:r>
      <w:r w:rsidR="00D07D5D" w:rsidRPr="00807D8D">
        <w:t xml:space="preserve">. </w:t>
      </w:r>
      <w:r w:rsidR="00807D8D" w:rsidRPr="00807D8D">
        <w:t>Questa la principale criticità emersa dall’analisi GIMBE del testo del DdL</w:t>
      </w:r>
      <w:r w:rsidR="00890139">
        <w:t xml:space="preserve"> S. 1241</w:t>
      </w:r>
      <w:r w:rsidR="00807D8D" w:rsidRPr="00807D8D">
        <w:t xml:space="preserve"> presentata </w:t>
      </w:r>
      <w:r w:rsidR="00807D8D" w:rsidRPr="00807D8D">
        <w:rPr>
          <w:rFonts w:ascii="Calibri" w:hAnsi="Calibri" w:cs="Calibri"/>
        </w:rPr>
        <w:t>ieri, insieme ad alcune proposte, in audizione</w:t>
      </w:r>
      <w:r w:rsidR="00807D8D" w:rsidRPr="00807D8D">
        <w:t xml:space="preserve"> presso la 10</w:t>
      </w:r>
      <w:r w:rsidR="00807D8D" w:rsidRPr="00807D8D">
        <w:rPr>
          <w:vertAlign w:val="superscript"/>
        </w:rPr>
        <w:t>a</w:t>
      </w:r>
      <w:r w:rsidR="00807D8D" w:rsidRPr="00807D8D">
        <w:t xml:space="preserve"> Commissione del Senato</w:t>
      </w:r>
      <w:r w:rsidR="00807D8D" w:rsidRPr="00807D8D">
        <w:rPr>
          <w:rFonts w:ascii="Calibri" w:hAnsi="Calibri" w:cs="Calibri"/>
        </w:rPr>
        <w:t xml:space="preserve">. </w:t>
      </w:r>
    </w:p>
    <w:p w14:paraId="449F2F94" w14:textId="77777777" w:rsidR="007F2553" w:rsidRDefault="00E64ACB" w:rsidP="0012063A">
      <w:pPr>
        <w:spacing w:after="140"/>
        <w:jc w:val="both"/>
        <w:rPr>
          <w:rFonts w:ascii="Calibri" w:hAnsi="Calibri" w:cs="Calibri"/>
        </w:rPr>
      </w:pPr>
      <w:r w:rsidRPr="00E64ACB">
        <w:rPr>
          <w:rFonts w:ascii="Calibri" w:hAnsi="Calibri" w:cs="Calibri"/>
          <w:b/>
          <w:bCs/>
        </w:rPr>
        <w:t xml:space="preserve">CRITICITÀ RELATIVE </w:t>
      </w:r>
      <w:r>
        <w:rPr>
          <w:rFonts w:ascii="Calibri" w:hAnsi="Calibri" w:cs="Calibri"/>
          <w:b/>
          <w:bCs/>
        </w:rPr>
        <w:t>ALL’IMPIANTO GENERALE DEL D</w:t>
      </w:r>
      <w:r w:rsidR="00B12EB0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>L</w:t>
      </w:r>
    </w:p>
    <w:p w14:paraId="29F123D3" w14:textId="52062B70" w:rsidR="00A307E4" w:rsidRDefault="00D20922" w:rsidP="0012063A">
      <w:pPr>
        <w:spacing w:after="140"/>
        <w:jc w:val="both"/>
      </w:pPr>
      <w:r w:rsidRPr="00F57151">
        <w:rPr>
          <w:rFonts w:ascii="Calibri" w:hAnsi="Calibri" w:cs="Calibri"/>
          <w:b/>
          <w:bCs/>
        </w:rPr>
        <w:t>Misure previste</w:t>
      </w:r>
      <w:r w:rsidRPr="00F57151">
        <w:rPr>
          <w:rFonts w:ascii="Calibri" w:hAnsi="Calibri" w:cs="Calibri"/>
        </w:rPr>
        <w:t xml:space="preserve">. </w:t>
      </w:r>
      <w:r w:rsidR="007F2553" w:rsidRPr="00F57151">
        <w:rPr>
          <w:rFonts w:ascii="Calibri" w:hAnsi="Calibri" w:cs="Calibri"/>
        </w:rPr>
        <w:t xml:space="preserve">I tempi di attesa aumentano </w:t>
      </w:r>
      <w:r w:rsidR="00C16C11" w:rsidRPr="00F57151">
        <w:rPr>
          <w:rFonts w:ascii="Calibri" w:hAnsi="Calibri" w:cs="Calibri"/>
        </w:rPr>
        <w:t xml:space="preserve">a causa dello </w:t>
      </w:r>
      <w:r w:rsidR="007F2553" w:rsidRPr="00F57151">
        <w:rPr>
          <w:rFonts w:ascii="Calibri" w:hAnsi="Calibri" w:cs="Calibri"/>
        </w:rPr>
        <w:t xml:space="preserve">squilibrio tra </w:t>
      </w:r>
      <w:r w:rsidR="00E64ACB" w:rsidRPr="00F57151">
        <w:rPr>
          <w:rFonts w:ascii="Calibri" w:hAnsi="Calibri" w:cs="Calibri"/>
        </w:rPr>
        <w:t>l’</w:t>
      </w:r>
      <w:r w:rsidR="007F2553" w:rsidRPr="00F57151">
        <w:rPr>
          <w:rFonts w:ascii="Calibri" w:hAnsi="Calibri" w:cs="Calibri"/>
        </w:rPr>
        <w:t xml:space="preserve">offerta e </w:t>
      </w:r>
      <w:r w:rsidR="00E64ACB" w:rsidRPr="00F57151">
        <w:rPr>
          <w:rFonts w:ascii="Calibri" w:hAnsi="Calibri" w:cs="Calibri"/>
        </w:rPr>
        <w:t xml:space="preserve">la </w:t>
      </w:r>
      <w:r w:rsidR="007F2553" w:rsidRPr="00F57151">
        <w:rPr>
          <w:rFonts w:ascii="Calibri" w:hAnsi="Calibri" w:cs="Calibri"/>
        </w:rPr>
        <w:t>domanda di prestazioni</w:t>
      </w:r>
      <w:r w:rsidR="00E64ACB" w:rsidRPr="00F57151">
        <w:rPr>
          <w:rFonts w:ascii="Calibri" w:hAnsi="Calibri" w:cs="Calibri"/>
        </w:rPr>
        <w:t xml:space="preserve"> sanitarie</w:t>
      </w:r>
      <w:r w:rsidR="00A1524A">
        <w:rPr>
          <w:rFonts w:ascii="Calibri" w:hAnsi="Calibri" w:cs="Calibri"/>
        </w:rPr>
        <w:t>, che non sempre soddisfa</w:t>
      </w:r>
      <w:r w:rsidR="004F3FD3" w:rsidRPr="00F57151">
        <w:rPr>
          <w:rFonts w:ascii="Calibri" w:hAnsi="Calibri" w:cs="Calibri"/>
        </w:rPr>
        <w:t xml:space="preserve"> reali bisogni di </w:t>
      </w:r>
      <w:r w:rsidR="007F2553" w:rsidRPr="00F57151">
        <w:rPr>
          <w:rFonts w:ascii="Calibri" w:hAnsi="Calibri" w:cs="Calibri"/>
        </w:rPr>
        <w:t xml:space="preserve">salute. </w:t>
      </w:r>
      <w:r w:rsidR="00A1524A">
        <w:rPr>
          <w:rFonts w:ascii="Calibri" w:hAnsi="Calibri" w:cs="Calibri"/>
        </w:rPr>
        <w:t>Infatti</w:t>
      </w:r>
      <w:r w:rsidR="00A1524A" w:rsidRPr="00F57151">
        <w:rPr>
          <w:rFonts w:ascii="Calibri" w:hAnsi="Calibri" w:cs="Calibri"/>
        </w:rPr>
        <w:t xml:space="preserve"> </w:t>
      </w:r>
      <w:r w:rsidR="007F2553" w:rsidRPr="00F57151">
        <w:rPr>
          <w:rFonts w:ascii="Calibri" w:hAnsi="Calibri" w:cs="Calibri"/>
        </w:rPr>
        <w:t xml:space="preserve">una quota di esami diagnostici e visite specialistiche </w:t>
      </w:r>
      <w:r w:rsidR="009F539E" w:rsidRPr="00F57151">
        <w:rPr>
          <w:rFonts w:ascii="Calibri" w:hAnsi="Calibri" w:cs="Calibri"/>
        </w:rPr>
        <w:t>è inappropriata</w:t>
      </w:r>
      <w:r w:rsidR="004F3FD3" w:rsidRPr="00F57151">
        <w:rPr>
          <w:rFonts w:ascii="Calibri" w:hAnsi="Calibri" w:cs="Calibri"/>
        </w:rPr>
        <w:t xml:space="preserve">: </w:t>
      </w:r>
      <w:r w:rsidR="009F539E" w:rsidRPr="00F57151">
        <w:rPr>
          <w:rFonts w:ascii="Calibri" w:hAnsi="Calibri" w:cs="Calibri"/>
        </w:rPr>
        <w:t>la loro esecuzione non apporta alcun beneficio</w:t>
      </w:r>
      <w:r w:rsidR="00DC260A" w:rsidRPr="00F57151">
        <w:rPr>
          <w:rFonts w:ascii="Calibri" w:hAnsi="Calibri" w:cs="Calibri"/>
        </w:rPr>
        <w:t xml:space="preserve"> in termini di salute</w:t>
      </w:r>
      <w:r w:rsidR="009F539E" w:rsidRPr="00F57151">
        <w:rPr>
          <w:rFonts w:ascii="Calibri" w:hAnsi="Calibri" w:cs="Calibri"/>
        </w:rPr>
        <w:t xml:space="preserve"> </w:t>
      </w:r>
      <w:r w:rsidR="0064610F" w:rsidRPr="00F57151">
        <w:rPr>
          <w:rFonts w:ascii="Calibri" w:hAnsi="Calibri" w:cs="Calibri"/>
        </w:rPr>
        <w:t>e</w:t>
      </w:r>
      <w:r w:rsidR="004F3FD3" w:rsidRPr="00F57151">
        <w:rPr>
          <w:rFonts w:ascii="Calibri" w:hAnsi="Calibri" w:cs="Calibri"/>
        </w:rPr>
        <w:t xml:space="preserve"> contribuisce ad “ingolfare” il sistema, </w:t>
      </w:r>
      <w:r w:rsidR="0064610F" w:rsidRPr="00F57151">
        <w:rPr>
          <w:rFonts w:ascii="Calibri" w:hAnsi="Calibri" w:cs="Calibri"/>
        </w:rPr>
        <w:t xml:space="preserve">lasciando indietro </w:t>
      </w:r>
      <w:r w:rsidR="00B12EB0" w:rsidRPr="00F57151">
        <w:rPr>
          <w:rFonts w:ascii="Calibri" w:hAnsi="Calibri" w:cs="Calibri"/>
        </w:rPr>
        <w:t xml:space="preserve">i </w:t>
      </w:r>
      <w:r w:rsidR="004F3FD3" w:rsidRPr="00F57151">
        <w:rPr>
          <w:rFonts w:ascii="Calibri" w:hAnsi="Calibri" w:cs="Calibri"/>
        </w:rPr>
        <w:t>pazienti più gravi</w:t>
      </w:r>
      <w:r w:rsidR="00A307E4" w:rsidRPr="00F57151">
        <w:rPr>
          <w:rFonts w:ascii="Calibri" w:hAnsi="Calibri" w:cs="Calibri"/>
        </w:rPr>
        <w:t xml:space="preserve">. </w:t>
      </w:r>
      <w:r w:rsidR="004F3FD3" w:rsidRPr="00F57151">
        <w:rPr>
          <w:rFonts w:ascii="Calibri" w:hAnsi="Calibri" w:cs="Calibri"/>
        </w:rPr>
        <w:t>«</w:t>
      </w:r>
      <w:r w:rsidR="00A307E4" w:rsidRPr="00F57151">
        <w:rPr>
          <w:rFonts w:ascii="Calibri" w:hAnsi="Calibri" w:cs="Calibri"/>
        </w:rPr>
        <w:t>Tuttavia</w:t>
      </w:r>
      <w:r w:rsidR="004F3FD3" w:rsidRPr="00F57151">
        <w:rPr>
          <w:rFonts w:ascii="Calibri" w:hAnsi="Calibri" w:cs="Calibri"/>
        </w:rPr>
        <w:t xml:space="preserve"> </w:t>
      </w:r>
      <w:r w:rsidR="00A307E4" w:rsidRPr="00F57151">
        <w:rPr>
          <w:rFonts w:ascii="Calibri" w:hAnsi="Calibri" w:cs="Calibri"/>
        </w:rPr>
        <w:t>le misure previste dal D</w:t>
      </w:r>
      <w:r w:rsidR="00B12EB0" w:rsidRPr="00F57151">
        <w:rPr>
          <w:rFonts w:ascii="Calibri" w:hAnsi="Calibri" w:cs="Calibri"/>
        </w:rPr>
        <w:t>d</w:t>
      </w:r>
      <w:r w:rsidR="00A307E4" w:rsidRPr="00F57151">
        <w:rPr>
          <w:rFonts w:ascii="Calibri" w:hAnsi="Calibri" w:cs="Calibri"/>
        </w:rPr>
        <w:t>L</w:t>
      </w:r>
      <w:r w:rsidR="009F539E" w:rsidRPr="00F57151">
        <w:rPr>
          <w:rFonts w:ascii="Calibri" w:hAnsi="Calibri" w:cs="Calibri"/>
        </w:rPr>
        <w:t xml:space="preserve"> – </w:t>
      </w:r>
      <w:r w:rsidR="009F539E" w:rsidRPr="00F57151">
        <w:t xml:space="preserve">commenta Cartabellotta </w:t>
      </w:r>
      <w:r w:rsidR="009F539E" w:rsidRPr="00F57151">
        <w:rPr>
          <w:rFonts w:ascii="Calibri" w:hAnsi="Calibri" w:cs="Calibri"/>
        </w:rPr>
        <w:t xml:space="preserve">– </w:t>
      </w:r>
      <w:r w:rsidR="00BD4FC7">
        <w:rPr>
          <w:rFonts w:ascii="Calibri" w:hAnsi="Calibri" w:cs="Calibri"/>
        </w:rPr>
        <w:t>su</w:t>
      </w:r>
      <w:r w:rsidR="00A1524A">
        <w:rPr>
          <w:rFonts w:ascii="Calibri" w:hAnsi="Calibri" w:cs="Calibri"/>
        </w:rPr>
        <w:t>l</w:t>
      </w:r>
      <w:r w:rsidR="00BD4FC7">
        <w:rPr>
          <w:rFonts w:ascii="Calibri" w:hAnsi="Calibri" w:cs="Calibri"/>
        </w:rPr>
        <w:t>la scia del DL “Liste di Attesa”</w:t>
      </w:r>
      <w:r w:rsidR="00A1524A">
        <w:rPr>
          <w:rFonts w:ascii="Calibri" w:hAnsi="Calibri" w:cs="Calibri"/>
        </w:rPr>
        <w:t>,</w:t>
      </w:r>
      <w:r w:rsidR="00BD4FC7">
        <w:rPr>
          <w:rFonts w:ascii="Calibri" w:hAnsi="Calibri" w:cs="Calibri"/>
        </w:rPr>
        <w:t xml:space="preserve"> oltre a potenziare gli strumenti di governance centrale, </w:t>
      </w:r>
      <w:r w:rsidR="00A307E4" w:rsidRPr="00F57151">
        <w:rPr>
          <w:rFonts w:ascii="Calibri" w:hAnsi="Calibri" w:cs="Calibri"/>
        </w:rPr>
        <w:t xml:space="preserve">prevedono solo di </w:t>
      </w:r>
      <w:r w:rsidR="007F2553" w:rsidRPr="00F57151">
        <w:t xml:space="preserve">inseguire la domanda </w:t>
      </w:r>
      <w:r w:rsidR="00A307E4" w:rsidRPr="00F57151">
        <w:t>aumentando</w:t>
      </w:r>
      <w:r w:rsidR="007F2553" w:rsidRPr="00F57151">
        <w:t xml:space="preserve"> l’offerta</w:t>
      </w:r>
      <w:r w:rsidR="00A1524A">
        <w:t>. U</w:t>
      </w:r>
      <w:r w:rsidR="007F2553" w:rsidRPr="00F57151">
        <w:t xml:space="preserve">na </w:t>
      </w:r>
      <w:r w:rsidR="00A307E4" w:rsidRPr="00F57151">
        <w:t>strategia perdente</w:t>
      </w:r>
      <w:r w:rsidR="00A95B38" w:rsidRPr="00F57151">
        <w:t>:</w:t>
      </w:r>
      <w:r w:rsidR="00A307E4" w:rsidRPr="00F57151">
        <w:t xml:space="preserve"> come dimostra</w:t>
      </w:r>
      <w:r w:rsidR="004F3FD3" w:rsidRPr="00F57151">
        <w:t>no numerosi studi</w:t>
      </w:r>
      <w:r w:rsidR="00A307E4" w:rsidRPr="00F57151">
        <w:t xml:space="preserve">, </w:t>
      </w:r>
      <w:r w:rsidR="00A95B38" w:rsidRPr="00F57151">
        <w:t xml:space="preserve">infatti, </w:t>
      </w:r>
      <w:r w:rsidR="004F3FD3" w:rsidRPr="00F57151">
        <w:t xml:space="preserve">una volta esaurito </w:t>
      </w:r>
      <w:r w:rsidR="00A1524A" w:rsidRPr="00F57151">
        <w:t xml:space="preserve">nel breve periodo </w:t>
      </w:r>
      <w:r w:rsidR="00A307E4" w:rsidRPr="00F57151">
        <w:t>il cosiddetto “effetto spugna”</w:t>
      </w:r>
      <w:r w:rsidR="00277526" w:rsidRPr="00F57151">
        <w:t>,</w:t>
      </w:r>
      <w:r w:rsidR="00A71808" w:rsidRPr="00F57151">
        <w:t xml:space="preserve"> </w:t>
      </w:r>
      <w:r w:rsidR="009F539E" w:rsidRPr="00F57151">
        <w:t xml:space="preserve">l’incremento </w:t>
      </w:r>
      <w:r w:rsidR="00A307E4" w:rsidRPr="00F57151">
        <w:t xml:space="preserve">dell’offerta </w:t>
      </w:r>
      <w:r w:rsidR="000066C0">
        <w:t>finisce per indurre</w:t>
      </w:r>
      <w:r w:rsidR="00A307E4" w:rsidRPr="00F57151">
        <w:t xml:space="preserve"> un ulteriore aumento della domanda</w:t>
      </w:r>
      <w:r w:rsidR="004F3FD3" w:rsidRPr="00F57151">
        <w:rPr>
          <w:rFonts w:ascii="Calibri" w:hAnsi="Calibri" w:cs="Calibri"/>
        </w:rPr>
        <w:t>»</w:t>
      </w:r>
      <w:r w:rsidR="00556339" w:rsidRPr="00F57151">
        <w:rPr>
          <w:rFonts w:ascii="Calibri" w:hAnsi="Calibri" w:cs="Calibri"/>
        </w:rPr>
        <w:t>.</w:t>
      </w:r>
      <w:r w:rsidR="00A71808" w:rsidRPr="00F57151">
        <w:rPr>
          <w:rFonts w:ascii="Calibri" w:hAnsi="Calibri" w:cs="Calibri"/>
        </w:rPr>
        <w:t xml:space="preserve"> In tal senso, è indispensabile definire criteri di appropriatezza di esami e visite specialistiche e un piano </w:t>
      </w:r>
      <w:r w:rsidR="00A71808" w:rsidRPr="00F57151">
        <w:t>di formazione sui professionisti e d’informazione sui pazienti</w:t>
      </w:r>
      <w:r w:rsidR="00D85B57" w:rsidRPr="00F57151">
        <w:t>, al fine di arginare la domanda inappropriata di prestazioni.</w:t>
      </w:r>
    </w:p>
    <w:p w14:paraId="22F80E13" w14:textId="51BD5B73" w:rsidR="008A7948" w:rsidRPr="00FD7FDC" w:rsidRDefault="00B635F9" w:rsidP="0012063A">
      <w:pPr>
        <w:spacing w:after="140"/>
        <w:jc w:val="both"/>
      </w:pPr>
      <w:r>
        <w:t>Nello specifico, ha spiegato Cartabellotta</w:t>
      </w:r>
      <w:r w:rsidRPr="00F57151">
        <w:rPr>
          <w:rFonts w:ascii="Calibri" w:hAnsi="Calibri" w:cs="Calibri"/>
        </w:rPr>
        <w:t xml:space="preserve"> «</w:t>
      </w:r>
      <w:r>
        <w:t>i</w:t>
      </w:r>
      <w:r w:rsidRPr="00B635F9">
        <w:t xml:space="preserve">ntegrando le misure del </w:t>
      </w:r>
      <w:r>
        <w:t>DL liste di attesa</w:t>
      </w:r>
      <w:r w:rsidR="008A7948">
        <w:t>,</w:t>
      </w:r>
      <w:r>
        <w:t xml:space="preserve"> il nuovo provvedimento</w:t>
      </w:r>
      <w:r w:rsidR="008A7948">
        <w:t xml:space="preserve"> </w:t>
      </w:r>
      <w:r w:rsidRPr="00B635F9">
        <w:t>pone le basi per valutare l’appropriatezza delle prestazioni</w:t>
      </w:r>
      <w:r w:rsidR="00805281">
        <w:t xml:space="preserve"> (</w:t>
      </w:r>
      <w:r w:rsidR="00805281" w:rsidRPr="00AB2976">
        <w:rPr>
          <w:i/>
        </w:rPr>
        <w:t>Disposizioni in materia di prescrizione ed erogazione delle prestazioni di specialistica ambulatoriale</w:t>
      </w:r>
      <w:r w:rsidR="00805281">
        <w:t>)</w:t>
      </w:r>
      <w:r w:rsidR="008A7948">
        <w:t xml:space="preserve">, </w:t>
      </w:r>
      <w:r w:rsidRPr="00B635F9">
        <w:t xml:space="preserve">espande gli strumenti di governance nazionale </w:t>
      </w:r>
      <w:r w:rsidR="00805281">
        <w:t>(</w:t>
      </w:r>
      <w:r w:rsidR="00805281" w:rsidRPr="00AB2976">
        <w:rPr>
          <w:i/>
        </w:rPr>
        <w:t>Istituzione e funzionamento del Sistema nazionale di governo delle liste di attesa</w:t>
      </w:r>
      <w:r w:rsidR="00805281">
        <w:t xml:space="preserve">) </w:t>
      </w:r>
      <w:r w:rsidR="00805281" w:rsidRPr="00B635F9">
        <w:t>e di feedback degli utenti</w:t>
      </w:r>
      <w:r w:rsidR="00805281">
        <w:t xml:space="preserve"> </w:t>
      </w:r>
      <w:r w:rsidR="00805281" w:rsidRPr="00FD7FDC">
        <w:t>(</w:t>
      </w:r>
      <w:r w:rsidR="00805281" w:rsidRPr="00AB2976">
        <w:rPr>
          <w:i/>
        </w:rPr>
        <w:t>Istituzione del registro delle segnalazioni e funzionalità dell’Osservatorio nazionale sulle liste di attesa</w:t>
      </w:r>
      <w:r w:rsidR="00FD7FDC">
        <w:t>)</w:t>
      </w:r>
      <w:r w:rsidR="00A1524A">
        <w:t>. Tuttavia p</w:t>
      </w:r>
      <w:r w:rsidR="008A7948" w:rsidRPr="00B635F9">
        <w:t xml:space="preserve">er aumentare l’offerta </w:t>
      </w:r>
      <w:r w:rsidRPr="00B635F9">
        <w:t>punta sugli specialisti ambulatoriali convenzionati</w:t>
      </w:r>
      <w:r w:rsidR="008A7948">
        <w:t xml:space="preserve">, </w:t>
      </w:r>
      <w:r w:rsidRPr="00B635F9">
        <w:t>sul privato accreditato</w:t>
      </w:r>
      <w:r w:rsidR="008A7948">
        <w:t xml:space="preserve"> e sul lavoro flessibile</w:t>
      </w:r>
      <w:r w:rsidR="008A7948" w:rsidRPr="00F57151">
        <w:rPr>
          <w:rFonts w:ascii="Calibri" w:hAnsi="Calibri" w:cs="Calibri"/>
        </w:rPr>
        <w:t>»</w:t>
      </w:r>
      <w:r w:rsidR="008A7948">
        <w:rPr>
          <w:rFonts w:ascii="Calibri" w:hAnsi="Calibri" w:cs="Calibri"/>
        </w:rPr>
        <w:t xml:space="preserve">. In particolare, prevede di investire € 100 milioni per il 2025 e per il 2026 (ma a valere sul FSN, ovvero senza risorse aggiuntive), aumentando il numero delle ore degli specialisti ambulatoriali: la previsione è di oltre 1 milione di ore aggiuntive </w:t>
      </w:r>
      <w:r w:rsidR="00A1524A">
        <w:rPr>
          <w:rFonts w:ascii="Calibri" w:hAnsi="Calibri" w:cs="Calibri"/>
        </w:rPr>
        <w:t>per arrivare ad</w:t>
      </w:r>
      <w:r w:rsidR="008A7948">
        <w:rPr>
          <w:rFonts w:ascii="Calibri" w:hAnsi="Calibri" w:cs="Calibri"/>
        </w:rPr>
        <w:t xml:space="preserve"> erogare più di 3 milioni di prestazioni. Inoltre</w:t>
      </w:r>
      <w:r w:rsidR="004030CE">
        <w:rPr>
          <w:rFonts w:ascii="Calibri" w:hAnsi="Calibri" w:cs="Calibri"/>
        </w:rPr>
        <w:t>,</w:t>
      </w:r>
      <w:r w:rsidR="008A7948">
        <w:rPr>
          <w:rFonts w:ascii="Calibri" w:hAnsi="Calibri" w:cs="Calibri"/>
        </w:rPr>
        <w:t xml:space="preserve"> aumenta le soglie per acquisto di prestazioni dal privato accreditato, oltre quanto già </w:t>
      </w:r>
      <w:r w:rsidR="000066C0">
        <w:rPr>
          <w:rFonts w:ascii="Calibri" w:hAnsi="Calibri" w:cs="Calibri"/>
        </w:rPr>
        <w:t xml:space="preserve">previsto </w:t>
      </w:r>
      <w:r w:rsidR="008A7948">
        <w:rPr>
          <w:rFonts w:ascii="Calibri" w:hAnsi="Calibri" w:cs="Calibri"/>
        </w:rPr>
        <w:t>dalla Legge di Bilancio 2024</w:t>
      </w:r>
      <w:r w:rsidR="005A66DA">
        <w:rPr>
          <w:rFonts w:ascii="Calibri" w:hAnsi="Calibri" w:cs="Calibri"/>
        </w:rPr>
        <w:t>, mettendo sul piatto ulteriori € 184,5 milioni per i prossimi due anni</w:t>
      </w:r>
      <w:r w:rsidR="008A7948">
        <w:rPr>
          <w:rFonts w:ascii="Calibri" w:hAnsi="Calibri" w:cs="Calibri"/>
        </w:rPr>
        <w:t xml:space="preserve"> (</w:t>
      </w:r>
      <w:r w:rsidR="00BD7AA7" w:rsidRPr="005A66DA">
        <w:rPr>
          <w:rFonts w:ascii="Calibri" w:hAnsi="Calibri" w:cs="Calibri"/>
          <w:highlight w:val="yellow"/>
        </w:rPr>
        <w:t xml:space="preserve">Tabella </w:t>
      </w:r>
      <w:r w:rsidR="008A7948" w:rsidRPr="005A66DA">
        <w:rPr>
          <w:rFonts w:ascii="Calibri" w:hAnsi="Calibri" w:cs="Calibri"/>
          <w:highlight w:val="yellow"/>
        </w:rPr>
        <w:t>1</w:t>
      </w:r>
      <w:r w:rsidR="008A7948">
        <w:rPr>
          <w:rFonts w:ascii="Calibri" w:hAnsi="Calibri" w:cs="Calibri"/>
        </w:rPr>
        <w:t xml:space="preserve">). Tale </w:t>
      </w:r>
      <w:r w:rsidR="008A7948" w:rsidRPr="008A7948">
        <w:rPr>
          <w:rFonts w:ascii="Calibri" w:hAnsi="Calibri" w:cs="Calibri"/>
        </w:rPr>
        <w:t xml:space="preserve">incremento è destinato </w:t>
      </w:r>
      <w:r w:rsidR="008A7948">
        <w:rPr>
          <w:rFonts w:ascii="Calibri" w:hAnsi="Calibri" w:cs="Calibri"/>
        </w:rPr>
        <w:t xml:space="preserve">prioritariamente </w:t>
      </w:r>
      <w:r w:rsidR="008A7948" w:rsidRPr="008A7948">
        <w:rPr>
          <w:rFonts w:ascii="Calibri" w:hAnsi="Calibri" w:cs="Calibri"/>
        </w:rPr>
        <w:t>alle prestazioni erogate dalle strutture (n. 54) dotate di pronto soccorso e inserite nella rete dell’emergenza-urgenza</w:t>
      </w:r>
      <w:r w:rsidR="008A7948">
        <w:rPr>
          <w:rFonts w:ascii="Calibri" w:hAnsi="Calibri" w:cs="Calibri"/>
        </w:rPr>
        <w:t xml:space="preserve">. </w:t>
      </w:r>
      <w:r w:rsidR="008A7948" w:rsidRPr="00F57151">
        <w:rPr>
          <w:rFonts w:ascii="Calibri" w:hAnsi="Calibri" w:cs="Calibri"/>
        </w:rPr>
        <w:t>«</w:t>
      </w:r>
      <w:r w:rsidR="008A7948">
        <w:rPr>
          <w:rFonts w:ascii="Calibri" w:hAnsi="Calibri" w:cs="Calibri"/>
        </w:rPr>
        <w:t xml:space="preserve">Un criterio – ha commentato il Presidente – che </w:t>
      </w:r>
      <w:r w:rsidR="008A7948" w:rsidRPr="008A7948">
        <w:rPr>
          <w:rFonts w:ascii="Calibri" w:hAnsi="Calibri" w:cs="Calibri"/>
        </w:rPr>
        <w:t xml:space="preserve">favorisce prevalentemente Lombardia (n. 24 strutture) e Lazio (n. 13 strutture), così come </w:t>
      </w:r>
      <w:r w:rsidR="00A1524A">
        <w:rPr>
          <w:rFonts w:ascii="Calibri" w:hAnsi="Calibri" w:cs="Calibri"/>
        </w:rPr>
        <w:t>già accaduto con</w:t>
      </w:r>
      <w:r w:rsidR="008A7948">
        <w:rPr>
          <w:rFonts w:ascii="Calibri" w:hAnsi="Calibri" w:cs="Calibri"/>
        </w:rPr>
        <w:t xml:space="preserve"> </w:t>
      </w:r>
      <w:r w:rsidR="008A7948" w:rsidRPr="008A7948">
        <w:rPr>
          <w:rFonts w:ascii="Calibri" w:hAnsi="Calibri" w:cs="Calibri"/>
        </w:rPr>
        <w:lastRenderedPageBreak/>
        <w:t>l’aumento del tetto per l’acquisto di prestazioni dal privato accreditato disposto dalla Legge di Bilancio 2024</w:t>
      </w:r>
      <w:r w:rsidR="008A7948">
        <w:rPr>
          <w:rFonts w:ascii="Calibri" w:hAnsi="Calibri" w:cs="Calibri"/>
        </w:rPr>
        <w:t>, parametrato alla spesa del 2011</w:t>
      </w:r>
      <w:r w:rsidR="008A7948" w:rsidRPr="00F57151">
        <w:rPr>
          <w:rFonts w:ascii="Calibri" w:hAnsi="Calibri" w:cs="Calibri"/>
        </w:rPr>
        <w:t>»</w:t>
      </w:r>
      <w:r w:rsidR="008A7948">
        <w:rPr>
          <w:rFonts w:ascii="Calibri" w:hAnsi="Calibri" w:cs="Calibri"/>
        </w:rPr>
        <w:t>.</w:t>
      </w:r>
    </w:p>
    <w:p w14:paraId="2140C020" w14:textId="77777777" w:rsidR="00B635F9" w:rsidRPr="00F57151" w:rsidRDefault="008A7948" w:rsidP="0012063A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Altra misura d</w:t>
      </w:r>
      <w:r w:rsidR="004030CE">
        <w:rPr>
          <w:rFonts w:ascii="Calibri" w:hAnsi="Calibri" w:cs="Calibri"/>
        </w:rPr>
        <w:t xml:space="preserve">egna di rilievo </w:t>
      </w:r>
      <w:r>
        <w:rPr>
          <w:rFonts w:ascii="Calibri" w:hAnsi="Calibri" w:cs="Calibri"/>
        </w:rPr>
        <w:t>è l’i</w:t>
      </w:r>
      <w:r w:rsidRPr="008A7948">
        <w:rPr>
          <w:rFonts w:ascii="Calibri" w:hAnsi="Calibri" w:cs="Calibri"/>
        </w:rPr>
        <w:t xml:space="preserve">ndennità di risultato (≥ 30%) per direttori generali, </w:t>
      </w:r>
      <w:r w:rsidR="004030CE" w:rsidRPr="008A7948">
        <w:rPr>
          <w:rFonts w:ascii="Calibri" w:hAnsi="Calibri" w:cs="Calibri"/>
        </w:rPr>
        <w:t>sanitari</w:t>
      </w:r>
      <w:r w:rsidR="004030CE">
        <w:rPr>
          <w:rFonts w:ascii="Calibri" w:hAnsi="Calibri" w:cs="Calibri"/>
        </w:rPr>
        <w:t xml:space="preserve">, </w:t>
      </w:r>
      <w:r w:rsidRPr="008A7948">
        <w:rPr>
          <w:rFonts w:ascii="Calibri" w:hAnsi="Calibri" w:cs="Calibri"/>
        </w:rPr>
        <w:t>amministrativi, e direttori di struttura complessa</w:t>
      </w:r>
      <w:r w:rsidR="004030CE">
        <w:rPr>
          <w:rFonts w:ascii="Calibri" w:hAnsi="Calibri" w:cs="Calibri"/>
        </w:rPr>
        <w:t xml:space="preserve"> delle Aziende sanitarie. </w:t>
      </w:r>
      <w:r w:rsidR="004030CE" w:rsidRPr="00F57151">
        <w:rPr>
          <w:rFonts w:ascii="Calibri" w:hAnsi="Calibri" w:cs="Calibri"/>
        </w:rPr>
        <w:t>«</w:t>
      </w:r>
      <w:r w:rsidR="004030CE">
        <w:rPr>
          <w:rFonts w:ascii="Calibri" w:hAnsi="Calibri" w:cs="Calibri"/>
        </w:rPr>
        <w:t>Una strategia sicuramente efficace – ha spiegato Cartabellotta – ma n</w:t>
      </w:r>
      <w:r w:rsidR="004030CE" w:rsidRPr="008A7948">
        <w:rPr>
          <w:rFonts w:ascii="Calibri" w:hAnsi="Calibri" w:cs="Calibri"/>
        </w:rPr>
        <w:t xml:space="preserve">ell’impossibilità di </w:t>
      </w:r>
      <w:r w:rsidR="004030CE">
        <w:rPr>
          <w:rFonts w:ascii="Calibri" w:hAnsi="Calibri" w:cs="Calibri"/>
        </w:rPr>
        <w:t>“</w:t>
      </w:r>
      <w:r w:rsidR="004030CE" w:rsidRPr="008A7948">
        <w:rPr>
          <w:rFonts w:ascii="Calibri" w:hAnsi="Calibri" w:cs="Calibri"/>
        </w:rPr>
        <w:t>aggiustare</w:t>
      </w:r>
      <w:r w:rsidR="004030CE">
        <w:rPr>
          <w:rFonts w:ascii="Calibri" w:hAnsi="Calibri" w:cs="Calibri"/>
        </w:rPr>
        <w:t>”</w:t>
      </w:r>
      <w:r w:rsidR="004030CE" w:rsidRPr="008A7948">
        <w:rPr>
          <w:rFonts w:ascii="Calibri" w:hAnsi="Calibri" w:cs="Calibri"/>
        </w:rPr>
        <w:t xml:space="preserve"> statisticamente il dato </w:t>
      </w:r>
      <w:r w:rsidR="00A1524A">
        <w:rPr>
          <w:rFonts w:ascii="Calibri" w:hAnsi="Calibri" w:cs="Calibri"/>
        </w:rPr>
        <w:t>sull’appropriatezza delle prestazioni</w:t>
      </w:r>
      <w:r w:rsidR="004030CE" w:rsidRPr="008A7948">
        <w:rPr>
          <w:rFonts w:ascii="Calibri" w:hAnsi="Calibri" w:cs="Calibri"/>
        </w:rPr>
        <w:t xml:space="preserve"> c’è il rischio, ben documentato in letteratura, di comportamenti opportunistici al fine di ottenere l’indennità di risultato</w:t>
      </w:r>
      <w:r w:rsidR="004030CE" w:rsidRPr="00F57151">
        <w:rPr>
          <w:rFonts w:ascii="Calibri" w:hAnsi="Calibri" w:cs="Calibri"/>
        </w:rPr>
        <w:t>»</w:t>
      </w:r>
      <w:r w:rsidR="004030CE">
        <w:rPr>
          <w:rFonts w:ascii="Calibri" w:hAnsi="Calibri" w:cs="Calibri"/>
        </w:rPr>
        <w:t>.</w:t>
      </w:r>
    </w:p>
    <w:p w14:paraId="4C176191" w14:textId="4EB1C90A" w:rsidR="004F3FD3" w:rsidRPr="00807D8D" w:rsidRDefault="008F6D75" w:rsidP="0012063A">
      <w:pPr>
        <w:spacing w:after="140"/>
        <w:jc w:val="both"/>
        <w:rPr>
          <w:rFonts w:ascii="Calibri" w:hAnsi="Calibri" w:cs="Calibri"/>
        </w:rPr>
      </w:pPr>
      <w:r w:rsidRPr="00F57151">
        <w:rPr>
          <w:rFonts w:ascii="Calibri" w:hAnsi="Calibri" w:cs="Calibri"/>
          <w:b/>
          <w:bCs/>
        </w:rPr>
        <w:t>Decreti attuativi e tempi di attuazione</w:t>
      </w:r>
      <w:r w:rsidRPr="00F57151">
        <w:rPr>
          <w:rFonts w:ascii="Calibri" w:hAnsi="Calibri" w:cs="Calibri"/>
        </w:rPr>
        <w:t xml:space="preserve">. </w:t>
      </w:r>
      <w:r w:rsidR="00FA5AF5" w:rsidRPr="00F57151">
        <w:rPr>
          <w:rFonts w:ascii="Calibri" w:hAnsi="Calibri" w:cs="Calibri"/>
        </w:rPr>
        <w:t>Il D</w:t>
      </w:r>
      <w:r w:rsidR="00B12EB0" w:rsidRPr="00F57151">
        <w:rPr>
          <w:rFonts w:ascii="Calibri" w:hAnsi="Calibri" w:cs="Calibri"/>
        </w:rPr>
        <w:t>d</w:t>
      </w:r>
      <w:r w:rsidR="00FA5AF5" w:rsidRPr="00F57151">
        <w:rPr>
          <w:rFonts w:ascii="Calibri" w:hAnsi="Calibri" w:cs="Calibri"/>
        </w:rPr>
        <w:t xml:space="preserve">L prevede </w:t>
      </w:r>
      <w:r w:rsidR="005F4207">
        <w:rPr>
          <w:rFonts w:ascii="Calibri" w:hAnsi="Calibri" w:cs="Calibri"/>
        </w:rPr>
        <w:t>7</w:t>
      </w:r>
      <w:r w:rsidR="005F4207" w:rsidRPr="00F57151">
        <w:rPr>
          <w:rFonts w:ascii="Calibri" w:hAnsi="Calibri" w:cs="Calibri"/>
        </w:rPr>
        <w:t xml:space="preserve"> </w:t>
      </w:r>
      <w:r w:rsidR="00FA5AF5" w:rsidRPr="00F57151">
        <w:rPr>
          <w:rFonts w:ascii="Calibri" w:hAnsi="Calibri" w:cs="Calibri"/>
        </w:rPr>
        <w:t xml:space="preserve">decreti attuativi e per </w:t>
      </w:r>
      <w:r w:rsidR="005F4207">
        <w:rPr>
          <w:rFonts w:ascii="Calibri" w:hAnsi="Calibri" w:cs="Calibri"/>
        </w:rPr>
        <w:t>2</w:t>
      </w:r>
      <w:r w:rsidR="005F4207" w:rsidRPr="00F57151">
        <w:rPr>
          <w:rFonts w:ascii="Calibri" w:hAnsi="Calibri" w:cs="Calibri"/>
        </w:rPr>
        <w:t xml:space="preserve"> </w:t>
      </w:r>
      <w:r w:rsidR="00FA5AF5" w:rsidRPr="00F57151">
        <w:rPr>
          <w:rFonts w:ascii="Calibri" w:hAnsi="Calibri" w:cs="Calibri"/>
        </w:rPr>
        <w:t xml:space="preserve">di loro non sono </w:t>
      </w:r>
      <w:r w:rsidR="00556339" w:rsidRPr="00F57151">
        <w:rPr>
          <w:rFonts w:ascii="Calibri" w:hAnsi="Calibri" w:cs="Calibri"/>
        </w:rPr>
        <w:t xml:space="preserve">nemmeno </w:t>
      </w:r>
      <w:r w:rsidR="00C34DAD">
        <w:rPr>
          <w:rFonts w:ascii="Calibri" w:hAnsi="Calibri" w:cs="Calibri"/>
        </w:rPr>
        <w:t>stabiliti</w:t>
      </w:r>
      <w:r w:rsidR="00C34DAD" w:rsidRPr="00F57151">
        <w:rPr>
          <w:rFonts w:ascii="Calibri" w:hAnsi="Calibri" w:cs="Calibri"/>
        </w:rPr>
        <w:t xml:space="preserve"> </w:t>
      </w:r>
      <w:r w:rsidR="00FA5AF5" w:rsidRPr="00F57151">
        <w:rPr>
          <w:rFonts w:ascii="Calibri" w:hAnsi="Calibri" w:cs="Calibri"/>
        </w:rPr>
        <w:t>i te</w:t>
      </w:r>
      <w:r w:rsidR="00735E51" w:rsidRPr="00F57151">
        <w:rPr>
          <w:rFonts w:ascii="Calibri" w:hAnsi="Calibri" w:cs="Calibri"/>
        </w:rPr>
        <w:t xml:space="preserve">rmini </w:t>
      </w:r>
      <w:r w:rsidR="00FA5AF5" w:rsidRPr="00F57151">
        <w:rPr>
          <w:rFonts w:ascii="Calibri" w:hAnsi="Calibri" w:cs="Calibri"/>
        </w:rPr>
        <w:t xml:space="preserve">di </w:t>
      </w:r>
      <w:r w:rsidR="00735E51" w:rsidRPr="00F57151">
        <w:rPr>
          <w:rFonts w:ascii="Calibri" w:hAnsi="Calibri" w:cs="Calibri"/>
        </w:rPr>
        <w:t>pubblicazione</w:t>
      </w:r>
      <w:r w:rsidR="00FA5AF5" w:rsidRPr="00F57151">
        <w:rPr>
          <w:rFonts w:ascii="Calibri" w:hAnsi="Calibri" w:cs="Calibri"/>
        </w:rPr>
        <w:t>. «</w:t>
      </w:r>
      <w:r w:rsidR="009F6C42" w:rsidRPr="00F57151">
        <w:rPr>
          <w:rFonts w:ascii="Calibri" w:hAnsi="Calibri" w:cs="Calibri"/>
        </w:rPr>
        <w:t xml:space="preserve">Un numero così elevato di decreti attuativi </w:t>
      </w:r>
      <w:r w:rsidR="00FA5AF5" w:rsidRPr="00F57151">
        <w:rPr>
          <w:rFonts w:ascii="Calibri" w:hAnsi="Calibri" w:cs="Calibri"/>
        </w:rPr>
        <w:t>– commenta Cartabellotta –</w:t>
      </w:r>
      <w:r w:rsidR="009F6C42" w:rsidRPr="00F57151">
        <w:rPr>
          <w:rFonts w:ascii="Calibri" w:hAnsi="Calibri" w:cs="Calibri"/>
        </w:rPr>
        <w:t xml:space="preserve"> lascia molte perplessità sui tempi di attuazione </w:t>
      </w:r>
      <w:r w:rsidR="00A95B38" w:rsidRPr="00F57151">
        <w:rPr>
          <w:rFonts w:ascii="Calibri" w:hAnsi="Calibri" w:cs="Calibri"/>
        </w:rPr>
        <w:t>delle misure</w:t>
      </w:r>
      <w:r w:rsidR="009F6C42" w:rsidRPr="00F57151">
        <w:rPr>
          <w:rFonts w:ascii="Calibri" w:hAnsi="Calibri" w:cs="Calibri"/>
        </w:rPr>
        <w:t xml:space="preserve">. </w:t>
      </w:r>
      <w:r w:rsidR="00B5321A" w:rsidRPr="00F57151">
        <w:rPr>
          <w:rFonts w:ascii="Calibri" w:hAnsi="Calibri" w:cs="Calibri"/>
        </w:rPr>
        <w:t>I tempi previsti per la pubblicazione dei decreti attuativi, rispetto alle loro finalità</w:t>
      </w:r>
      <w:r w:rsidR="0048646C">
        <w:rPr>
          <w:rFonts w:ascii="Calibri" w:hAnsi="Calibri" w:cs="Calibri"/>
        </w:rPr>
        <w:t>,</w:t>
      </w:r>
      <w:r w:rsidR="00B5321A" w:rsidRPr="00F57151">
        <w:rPr>
          <w:rFonts w:ascii="Calibri" w:hAnsi="Calibri" w:cs="Calibri"/>
        </w:rPr>
        <w:t xml:space="preserve"> sono troppo </w:t>
      </w:r>
      <w:r w:rsidR="005F4207">
        <w:rPr>
          <w:rFonts w:ascii="Calibri" w:hAnsi="Calibri" w:cs="Calibri"/>
        </w:rPr>
        <w:t>stretti</w:t>
      </w:r>
      <w:r w:rsidR="00B5321A" w:rsidRPr="00F57151">
        <w:rPr>
          <w:rFonts w:ascii="Calibri" w:hAnsi="Calibri" w:cs="Calibri"/>
        </w:rPr>
        <w:t xml:space="preserve"> </w:t>
      </w:r>
      <w:r w:rsidR="0048646C">
        <w:rPr>
          <w:rFonts w:ascii="Calibri" w:hAnsi="Calibri" w:cs="Calibri"/>
        </w:rPr>
        <w:t>considerati</w:t>
      </w:r>
      <w:r w:rsidR="0048646C" w:rsidRPr="00F57151">
        <w:rPr>
          <w:rFonts w:ascii="Calibri" w:hAnsi="Calibri" w:cs="Calibri"/>
        </w:rPr>
        <w:t xml:space="preserve"> </w:t>
      </w:r>
      <w:r w:rsidR="00B5321A" w:rsidRPr="00F57151">
        <w:rPr>
          <w:rFonts w:ascii="Calibri" w:hAnsi="Calibri" w:cs="Calibri"/>
        </w:rPr>
        <w:t xml:space="preserve">anche i ritardi già accumulati da quelli previsti dal DL 74/2024, di cui </w:t>
      </w:r>
      <w:r w:rsidR="00807D8D" w:rsidRPr="00BD4FC7">
        <w:rPr>
          <w:rFonts w:ascii="Calibri" w:hAnsi="Calibri" w:cs="Calibri"/>
        </w:rPr>
        <w:t xml:space="preserve">6 </w:t>
      </w:r>
      <w:r w:rsidR="00B5321A" w:rsidRPr="00807D8D">
        <w:rPr>
          <w:rFonts w:ascii="Calibri" w:hAnsi="Calibri" w:cs="Calibri"/>
        </w:rPr>
        <w:t>sono già scaduti</w:t>
      </w:r>
      <w:r w:rsidR="00FA5AF5" w:rsidRPr="00807D8D">
        <w:rPr>
          <w:rFonts w:ascii="Calibri" w:hAnsi="Calibri" w:cs="Calibri"/>
        </w:rPr>
        <w:t>»</w:t>
      </w:r>
      <w:r w:rsidR="00556339" w:rsidRPr="00807D8D">
        <w:rPr>
          <w:rFonts w:ascii="Calibri" w:hAnsi="Calibri" w:cs="Calibri"/>
        </w:rPr>
        <w:t>.</w:t>
      </w:r>
      <w:r w:rsidR="00B5321A" w:rsidRPr="00807D8D">
        <w:rPr>
          <w:rFonts w:ascii="Calibri" w:hAnsi="Calibri" w:cs="Calibri"/>
        </w:rPr>
        <w:t xml:space="preserve"> Questo aumenta l’incertezza sui tempi di attuazione delle misure, perché tra valutazioni tecniche, passaggi </w:t>
      </w:r>
      <w:r w:rsidR="00F65A44" w:rsidRPr="00807D8D">
        <w:rPr>
          <w:rFonts w:ascii="Calibri" w:hAnsi="Calibri" w:cs="Calibri"/>
        </w:rPr>
        <w:t xml:space="preserve">burocratici </w:t>
      </w:r>
      <w:r w:rsidR="00B5321A" w:rsidRPr="00807D8D">
        <w:rPr>
          <w:rFonts w:ascii="Calibri" w:hAnsi="Calibri" w:cs="Calibri"/>
        </w:rPr>
        <w:t>tra Ministeri e attriti politici, dei decreti attuativi si perdono spesso le tracce</w:t>
      </w:r>
      <w:r w:rsidR="005F4207">
        <w:rPr>
          <w:rFonts w:ascii="Calibri" w:hAnsi="Calibri" w:cs="Calibri"/>
        </w:rPr>
        <w:t xml:space="preserve">, </w:t>
      </w:r>
      <w:r w:rsidR="005F4207" w:rsidRPr="00807D8D">
        <w:rPr>
          <w:rFonts w:ascii="Calibri" w:hAnsi="Calibri" w:cs="Calibri"/>
        </w:rPr>
        <w:t xml:space="preserve">rendendo </w:t>
      </w:r>
      <w:r w:rsidR="00B5321A" w:rsidRPr="00807D8D">
        <w:rPr>
          <w:rFonts w:ascii="Calibri" w:hAnsi="Calibri" w:cs="Calibri"/>
        </w:rPr>
        <w:t>impossibile applicare le misure previste.</w:t>
      </w:r>
    </w:p>
    <w:p w14:paraId="3806DEA1" w14:textId="77777777" w:rsidR="00450EB0" w:rsidRPr="004030CE" w:rsidRDefault="0024562D" w:rsidP="0012063A">
      <w:pPr>
        <w:spacing w:after="140"/>
        <w:jc w:val="both"/>
        <w:rPr>
          <w:rFonts w:ascii="Calibri" w:hAnsi="Calibri" w:cs="Calibri"/>
        </w:rPr>
      </w:pPr>
      <w:r w:rsidRPr="00807D8D">
        <w:rPr>
          <w:rFonts w:ascii="Calibri" w:hAnsi="Calibri" w:cs="Calibri"/>
          <w:b/>
          <w:bCs/>
        </w:rPr>
        <w:t>Aspetti finanziari</w:t>
      </w:r>
      <w:r w:rsidRPr="00807D8D">
        <w:rPr>
          <w:rFonts w:ascii="Calibri" w:hAnsi="Calibri" w:cs="Calibri"/>
        </w:rPr>
        <w:t xml:space="preserve">. </w:t>
      </w:r>
      <w:r w:rsidR="00B5321A" w:rsidRPr="00807D8D">
        <w:rPr>
          <w:rFonts w:ascii="Calibri" w:hAnsi="Calibri" w:cs="Calibri"/>
        </w:rPr>
        <w:t>T</w:t>
      </w:r>
      <w:r w:rsidRPr="00807D8D">
        <w:rPr>
          <w:rFonts w:ascii="Calibri" w:hAnsi="Calibri" w:cs="Calibri"/>
        </w:rPr>
        <w:t>utte le misure previste sono senza maggiori oneri per la finanza pubblica</w:t>
      </w:r>
      <w:r w:rsidR="00B5321A" w:rsidRPr="00807D8D">
        <w:rPr>
          <w:rFonts w:ascii="Calibri" w:hAnsi="Calibri" w:cs="Calibri"/>
        </w:rPr>
        <w:t>. Delle disposizioni 8 sono senza maggiori oneri per la finanza pubblica, 2 a valere su risorse già stanziate (es. Fondo Sanitario Nazionale) e 3 a valere su misure compensative</w:t>
      </w:r>
      <w:r w:rsidR="00B5321A" w:rsidRPr="00F57151">
        <w:rPr>
          <w:rFonts w:ascii="Calibri" w:hAnsi="Calibri" w:cs="Calibri"/>
        </w:rPr>
        <w:t xml:space="preserve">. </w:t>
      </w:r>
      <w:r w:rsidRPr="00F57151">
        <w:rPr>
          <w:rFonts w:ascii="Calibri" w:hAnsi="Calibri" w:cs="Calibri"/>
        </w:rPr>
        <w:t>«</w:t>
      </w:r>
      <w:r w:rsidR="00B5321A" w:rsidRPr="00F57151">
        <w:rPr>
          <w:rFonts w:ascii="Calibri" w:hAnsi="Calibri" w:cs="Calibri"/>
        </w:rPr>
        <w:t xml:space="preserve">In attesa del testo della Legge di Bilancio 2025 </w:t>
      </w:r>
      <w:r w:rsidRPr="00F57151">
        <w:rPr>
          <w:rFonts w:ascii="Calibri" w:hAnsi="Calibri" w:cs="Calibri"/>
        </w:rPr>
        <w:t xml:space="preserve">– commenta Cartabellotta – </w:t>
      </w:r>
      <w:r w:rsidR="00B5321A" w:rsidRPr="00F57151">
        <w:rPr>
          <w:rFonts w:ascii="Calibri" w:hAnsi="Calibri" w:cs="Calibri"/>
        </w:rPr>
        <w:t xml:space="preserve">il testo del DdL conferma </w:t>
      </w:r>
      <w:r w:rsidR="005F4207">
        <w:rPr>
          <w:rFonts w:ascii="Calibri" w:hAnsi="Calibri" w:cs="Calibri"/>
        </w:rPr>
        <w:t>la decisione</w:t>
      </w:r>
      <w:r w:rsidR="005F4207" w:rsidRPr="00F57151">
        <w:rPr>
          <w:rFonts w:ascii="Calibri" w:hAnsi="Calibri" w:cs="Calibri"/>
        </w:rPr>
        <w:t xml:space="preserve"> </w:t>
      </w:r>
      <w:r w:rsidRPr="00F57151">
        <w:rPr>
          <w:rFonts w:ascii="Calibri" w:hAnsi="Calibri" w:cs="Calibri"/>
        </w:rPr>
        <w:t xml:space="preserve">del Governo di </w:t>
      </w:r>
      <w:r w:rsidR="005F4207">
        <w:rPr>
          <w:rFonts w:ascii="Calibri" w:hAnsi="Calibri" w:cs="Calibri"/>
        </w:rPr>
        <w:t xml:space="preserve">non </w:t>
      </w:r>
      <w:r w:rsidRPr="00F57151">
        <w:rPr>
          <w:rFonts w:ascii="Calibri" w:hAnsi="Calibri" w:cs="Calibri"/>
        </w:rPr>
        <w:t>investire ulteriori risorse in sanità</w:t>
      </w:r>
      <w:r w:rsidR="00F65A44" w:rsidRPr="00F57151">
        <w:rPr>
          <w:rFonts w:ascii="Calibri" w:hAnsi="Calibri" w:cs="Calibri"/>
        </w:rPr>
        <w:t>»</w:t>
      </w:r>
      <w:r w:rsidR="008F4C9E" w:rsidRPr="00F57151">
        <w:rPr>
          <w:rFonts w:ascii="Calibri" w:hAnsi="Calibri" w:cs="Calibri"/>
        </w:rPr>
        <w:t>.</w:t>
      </w:r>
      <w:r w:rsidR="008F4C9E" w:rsidRPr="00F65A44">
        <w:rPr>
          <w:rFonts w:ascii="Calibri" w:hAnsi="Calibri" w:cs="Calibri"/>
        </w:rPr>
        <w:t xml:space="preserve"> </w:t>
      </w:r>
    </w:p>
    <w:p w14:paraId="7A978FFD" w14:textId="65BAD3DF" w:rsidR="00F65A44" w:rsidRPr="00F65A44" w:rsidRDefault="00F65A44" w:rsidP="0012063A">
      <w:pPr>
        <w:spacing w:after="140"/>
        <w:jc w:val="both"/>
        <w:rPr>
          <w:rFonts w:ascii="Calibri" w:hAnsi="Calibri" w:cs="Calibri"/>
        </w:rPr>
      </w:pPr>
      <w:r w:rsidRPr="00807D8D">
        <w:rPr>
          <w:rFonts w:ascii="Calibri" w:hAnsi="Calibri" w:cs="Calibri"/>
          <w:b/>
          <w:bCs/>
        </w:rPr>
        <w:t>Le proposte della Fondazione GIMBE.</w:t>
      </w:r>
      <w:r w:rsidRPr="00807D8D">
        <w:rPr>
          <w:rFonts w:ascii="Calibri" w:hAnsi="Calibri" w:cs="Calibri"/>
        </w:rPr>
        <w:t xml:space="preserve"> È </w:t>
      </w:r>
      <w:r w:rsidRPr="00F57151">
        <w:rPr>
          <w:rFonts w:ascii="Calibri" w:hAnsi="Calibri" w:cs="Calibri"/>
        </w:rPr>
        <w:t xml:space="preserve">urgente investire sul personale sanitario, sia </w:t>
      </w:r>
      <w:r w:rsidR="005F4207">
        <w:rPr>
          <w:rFonts w:ascii="Calibri" w:hAnsi="Calibri" w:cs="Calibri"/>
        </w:rPr>
        <w:t>per</w:t>
      </w:r>
      <w:r w:rsidRPr="00F57151">
        <w:rPr>
          <w:rFonts w:ascii="Calibri" w:hAnsi="Calibri" w:cs="Calibri"/>
        </w:rPr>
        <w:t xml:space="preserve"> </w:t>
      </w:r>
      <w:r w:rsidR="005F4207">
        <w:rPr>
          <w:rFonts w:ascii="Calibri" w:hAnsi="Calibri" w:cs="Calibri"/>
        </w:rPr>
        <w:t xml:space="preserve">incrementare </w:t>
      </w:r>
      <w:r w:rsidR="008F521F">
        <w:rPr>
          <w:rFonts w:ascii="Calibri" w:hAnsi="Calibri" w:cs="Calibri"/>
        </w:rPr>
        <w:t xml:space="preserve">l’attrattività </w:t>
      </w:r>
      <w:r w:rsidR="005F4207">
        <w:rPr>
          <w:rFonts w:ascii="Calibri" w:hAnsi="Calibri" w:cs="Calibri"/>
        </w:rPr>
        <w:t>d</w:t>
      </w:r>
      <w:r w:rsidR="00AB2976">
        <w:rPr>
          <w:rFonts w:ascii="Calibri" w:hAnsi="Calibri" w:cs="Calibri"/>
        </w:rPr>
        <w:t>ella</w:t>
      </w:r>
      <w:r w:rsidR="005F4207">
        <w:rPr>
          <w:rFonts w:ascii="Calibri" w:hAnsi="Calibri" w:cs="Calibri"/>
        </w:rPr>
        <w:t xml:space="preserve"> carriera nel</w:t>
      </w:r>
      <w:r w:rsidR="008F521F">
        <w:rPr>
          <w:rFonts w:ascii="Calibri" w:hAnsi="Calibri" w:cs="Calibri"/>
        </w:rPr>
        <w:t xml:space="preserve"> SSN, aumentando i salari e migliorando le condizioni di lavoro, </w:t>
      </w:r>
      <w:r w:rsidR="00C31BFE">
        <w:rPr>
          <w:rFonts w:ascii="Calibri" w:hAnsi="Calibri" w:cs="Calibri"/>
        </w:rPr>
        <w:t>sia</w:t>
      </w:r>
      <w:r w:rsidR="00C31BFE" w:rsidRPr="00F57151">
        <w:rPr>
          <w:rFonts w:ascii="Calibri" w:hAnsi="Calibri" w:cs="Calibri"/>
        </w:rPr>
        <w:t xml:space="preserve"> </w:t>
      </w:r>
      <w:r w:rsidR="005F4207">
        <w:rPr>
          <w:rFonts w:ascii="Calibri" w:hAnsi="Calibri" w:cs="Calibri"/>
        </w:rPr>
        <w:t xml:space="preserve">in termini di </w:t>
      </w:r>
      <w:r w:rsidRPr="00F57151">
        <w:rPr>
          <w:rFonts w:ascii="Calibri" w:hAnsi="Calibri" w:cs="Calibri"/>
        </w:rPr>
        <w:t xml:space="preserve">valorizzazione professionale. Attualmente, il SSN sta affrontando una crisi </w:t>
      </w:r>
      <w:r w:rsidR="004030CE">
        <w:rPr>
          <w:rFonts w:ascii="Calibri" w:hAnsi="Calibri" w:cs="Calibri"/>
        </w:rPr>
        <w:t xml:space="preserve">del capitale umano </w:t>
      </w:r>
      <w:r w:rsidRPr="00F57151">
        <w:rPr>
          <w:rFonts w:ascii="Calibri" w:hAnsi="Calibri" w:cs="Calibri"/>
        </w:rPr>
        <w:t xml:space="preserve">senza precedenti che riguarda non solo </w:t>
      </w:r>
      <w:r w:rsidR="004030CE">
        <w:rPr>
          <w:rFonts w:ascii="Calibri" w:hAnsi="Calibri" w:cs="Calibri"/>
        </w:rPr>
        <w:t xml:space="preserve">la carenza di </w:t>
      </w:r>
      <w:r w:rsidRPr="00F57151">
        <w:rPr>
          <w:rFonts w:ascii="Calibri" w:hAnsi="Calibri" w:cs="Calibri"/>
        </w:rPr>
        <w:t>medici e</w:t>
      </w:r>
      <w:r w:rsidR="004030CE">
        <w:rPr>
          <w:rFonts w:ascii="Calibri" w:hAnsi="Calibri" w:cs="Calibri"/>
        </w:rPr>
        <w:t>, soprattutto, di</w:t>
      </w:r>
      <w:r w:rsidRPr="00F57151">
        <w:rPr>
          <w:rFonts w:ascii="Calibri" w:hAnsi="Calibri" w:cs="Calibri"/>
        </w:rPr>
        <w:t xml:space="preserve"> infermieri</w:t>
      </w:r>
      <w:r w:rsidR="004030CE">
        <w:rPr>
          <w:rFonts w:ascii="Calibri" w:hAnsi="Calibri" w:cs="Calibri"/>
        </w:rPr>
        <w:t xml:space="preserve"> ed altri professionisti sanitari</w:t>
      </w:r>
      <w:r w:rsidRPr="00F57151">
        <w:rPr>
          <w:rFonts w:ascii="Calibri" w:hAnsi="Calibri" w:cs="Calibri"/>
        </w:rPr>
        <w:t>, ma anche la loro motivazione</w:t>
      </w:r>
      <w:r w:rsidR="005F4207">
        <w:rPr>
          <w:rFonts w:ascii="Calibri" w:hAnsi="Calibri" w:cs="Calibri"/>
        </w:rPr>
        <w:t xml:space="preserve"> personale,</w:t>
      </w:r>
      <w:r w:rsidRPr="00F57151">
        <w:rPr>
          <w:rFonts w:ascii="Calibri" w:hAnsi="Calibri" w:cs="Calibri"/>
        </w:rPr>
        <w:t xml:space="preserve"> </w:t>
      </w:r>
      <w:r w:rsidR="008F521F">
        <w:rPr>
          <w:rFonts w:ascii="Calibri" w:hAnsi="Calibri" w:cs="Calibri"/>
        </w:rPr>
        <w:t xml:space="preserve">fortemente in calo dopo </w:t>
      </w:r>
      <w:r w:rsidRPr="00F57151">
        <w:rPr>
          <w:rFonts w:ascii="Calibri" w:hAnsi="Calibri" w:cs="Calibri"/>
        </w:rPr>
        <w:t>la pandemia</w:t>
      </w:r>
      <w:r w:rsidRPr="00F65A44">
        <w:rPr>
          <w:rFonts w:ascii="Calibri" w:hAnsi="Calibri" w:cs="Calibri"/>
        </w:rPr>
        <w:t xml:space="preserve">. </w:t>
      </w:r>
      <w:r w:rsidRPr="003A0219">
        <w:rPr>
          <w:rFonts w:ascii="Calibri" w:hAnsi="Calibri" w:cs="Calibri"/>
        </w:rPr>
        <w:t>«</w:t>
      </w:r>
      <w:r w:rsidRPr="00F65A44">
        <w:rPr>
          <w:rFonts w:ascii="Calibri" w:hAnsi="Calibri" w:cs="Calibri"/>
        </w:rPr>
        <w:t>Un</w:t>
      </w:r>
      <w:r w:rsidR="000F6180">
        <w:rPr>
          <w:rFonts w:ascii="Calibri" w:hAnsi="Calibri" w:cs="Calibri"/>
        </w:rPr>
        <w:t>’</w:t>
      </w:r>
      <w:r w:rsidRPr="00F65A44">
        <w:rPr>
          <w:rFonts w:ascii="Calibri" w:hAnsi="Calibri" w:cs="Calibri"/>
        </w:rPr>
        <w:t>ulteriore pressione sui professionisti in servizio</w:t>
      </w:r>
      <w:r w:rsidRPr="003A0219">
        <w:rPr>
          <w:rFonts w:ascii="Calibri" w:hAnsi="Calibri" w:cs="Calibri"/>
        </w:rPr>
        <w:t xml:space="preserve"> – </w:t>
      </w:r>
      <w:r w:rsidRPr="00807D8D">
        <w:rPr>
          <w:rFonts w:ascii="Calibri" w:hAnsi="Calibri" w:cs="Calibri"/>
        </w:rPr>
        <w:t xml:space="preserve">afferma Cartabellotta – senza un adeguato ricambio generazionale e incentivi </w:t>
      </w:r>
      <w:r w:rsidR="000F6180">
        <w:rPr>
          <w:rFonts w:ascii="Calibri" w:hAnsi="Calibri" w:cs="Calibri"/>
        </w:rPr>
        <w:t>appropriati</w:t>
      </w:r>
      <w:r w:rsidRPr="00807D8D">
        <w:rPr>
          <w:rFonts w:ascii="Calibri" w:hAnsi="Calibri" w:cs="Calibri"/>
        </w:rPr>
        <w:t>, rischia di far aumentare i fenomeni di fuga dal SSN, già in preoccupante crescita</w:t>
      </w:r>
      <w:r w:rsidRPr="003A0219">
        <w:rPr>
          <w:rFonts w:ascii="Calibri" w:hAnsi="Calibri" w:cs="Calibri"/>
        </w:rPr>
        <w:t>»</w:t>
      </w:r>
      <w:r w:rsidRPr="00F65A44">
        <w:rPr>
          <w:rFonts w:ascii="Calibri" w:hAnsi="Calibri" w:cs="Calibri"/>
        </w:rPr>
        <w:t>.</w:t>
      </w:r>
    </w:p>
    <w:p w14:paraId="237BE462" w14:textId="728ED815" w:rsidR="00FD7FDC" w:rsidRPr="003A0219" w:rsidRDefault="003A0219" w:rsidP="0012063A">
      <w:pPr>
        <w:spacing w:after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È </w:t>
      </w:r>
      <w:r w:rsidR="00F65A44" w:rsidRPr="003A0219">
        <w:rPr>
          <w:rFonts w:ascii="Calibri" w:hAnsi="Calibri" w:cs="Calibri"/>
        </w:rPr>
        <w:t xml:space="preserve">essenziale </w:t>
      </w:r>
      <w:r w:rsidR="000F6180">
        <w:rPr>
          <w:rFonts w:ascii="Calibri" w:hAnsi="Calibri" w:cs="Calibri"/>
        </w:rPr>
        <w:t>superare la</w:t>
      </w:r>
      <w:r w:rsidR="005F4207" w:rsidRPr="003A0219">
        <w:rPr>
          <w:rFonts w:ascii="Calibri" w:hAnsi="Calibri" w:cs="Calibri"/>
        </w:rPr>
        <w:t xml:space="preserve"> </w:t>
      </w:r>
      <w:r w:rsidR="000F6180">
        <w:rPr>
          <w:rFonts w:ascii="Calibri" w:hAnsi="Calibri" w:cs="Calibri"/>
        </w:rPr>
        <w:t>“</w:t>
      </w:r>
      <w:r w:rsidR="00F65A44" w:rsidRPr="003A0219">
        <w:rPr>
          <w:rFonts w:ascii="Calibri" w:hAnsi="Calibri" w:cs="Calibri"/>
        </w:rPr>
        <w:t>visione prestazionistica</w:t>
      </w:r>
      <w:r w:rsidR="000F6180">
        <w:rPr>
          <w:rFonts w:ascii="Calibri" w:hAnsi="Calibri" w:cs="Calibri"/>
        </w:rPr>
        <w:t>”</w:t>
      </w:r>
      <w:r w:rsidR="00F65A44" w:rsidRPr="003A0219">
        <w:rPr>
          <w:rFonts w:ascii="Calibri" w:hAnsi="Calibri" w:cs="Calibri"/>
        </w:rPr>
        <w:t xml:space="preserve"> del SSN, per </w:t>
      </w:r>
      <w:r w:rsidR="000F6180">
        <w:rPr>
          <w:rFonts w:ascii="Calibri" w:hAnsi="Calibri" w:cs="Calibri"/>
        </w:rPr>
        <w:t>riportare</w:t>
      </w:r>
      <w:r w:rsidR="00F65A44" w:rsidRPr="003A0219">
        <w:rPr>
          <w:rFonts w:ascii="Calibri" w:hAnsi="Calibri" w:cs="Calibri"/>
        </w:rPr>
        <w:t xml:space="preserve"> al centro</w:t>
      </w:r>
      <w:r w:rsidR="005F4207">
        <w:rPr>
          <w:rFonts w:ascii="Calibri" w:hAnsi="Calibri" w:cs="Calibri"/>
        </w:rPr>
        <w:t xml:space="preserve"> delle attività dell’organizzazione</w:t>
      </w:r>
      <w:r w:rsidR="00F65A44" w:rsidRPr="003A0219">
        <w:rPr>
          <w:rFonts w:ascii="Calibri" w:hAnsi="Calibri" w:cs="Calibri"/>
        </w:rPr>
        <w:t xml:space="preserve"> i bisogni di salute </w:t>
      </w:r>
      <w:r w:rsidR="00FD7FDC">
        <w:rPr>
          <w:rFonts w:ascii="Calibri" w:hAnsi="Calibri" w:cs="Calibri"/>
        </w:rPr>
        <w:t xml:space="preserve">e la presa in carico </w:t>
      </w:r>
      <w:r w:rsidR="00F65A44" w:rsidRPr="003A0219">
        <w:rPr>
          <w:rFonts w:ascii="Calibri" w:hAnsi="Calibri" w:cs="Calibri"/>
        </w:rPr>
        <w:t xml:space="preserve">dei </w:t>
      </w:r>
      <w:r w:rsidR="00FD7FDC">
        <w:rPr>
          <w:rFonts w:ascii="Calibri" w:hAnsi="Calibri" w:cs="Calibri"/>
        </w:rPr>
        <w:t>pazienti, i</w:t>
      </w:r>
      <w:r w:rsidR="005A66DA">
        <w:rPr>
          <w:rFonts w:ascii="Calibri" w:hAnsi="Calibri" w:cs="Calibri"/>
        </w:rPr>
        <w:t>n</w:t>
      </w:r>
      <w:r w:rsidR="00FD7FDC">
        <w:rPr>
          <w:rFonts w:ascii="Calibri" w:hAnsi="Calibri" w:cs="Calibri"/>
        </w:rPr>
        <w:t xml:space="preserve"> particolare quelli cronici</w:t>
      </w:r>
      <w:r w:rsidR="00F65A44" w:rsidRPr="003A0219">
        <w:rPr>
          <w:rFonts w:ascii="Calibri" w:hAnsi="Calibri" w:cs="Calibri"/>
        </w:rPr>
        <w:t xml:space="preserve">. Per farlo, è necessaria una governance più snella e una </w:t>
      </w:r>
      <w:r w:rsidR="008F521F">
        <w:rPr>
          <w:rFonts w:ascii="Calibri" w:hAnsi="Calibri" w:cs="Calibri"/>
        </w:rPr>
        <w:t>l</w:t>
      </w:r>
      <w:r w:rsidR="00F65A44" w:rsidRPr="003A0219">
        <w:rPr>
          <w:rFonts w:ascii="Calibri" w:hAnsi="Calibri" w:cs="Calibri"/>
        </w:rPr>
        <w:t>eale collaborazione tra Stato e Regioni, superando i numerosi attriti che spesso rallentano l</w:t>
      </w:r>
      <w:r w:rsidR="000F6180">
        <w:rPr>
          <w:rFonts w:ascii="Calibri" w:hAnsi="Calibri" w:cs="Calibri"/>
        </w:rPr>
        <w:t>’</w:t>
      </w:r>
      <w:r w:rsidR="00F65A44" w:rsidRPr="003A0219">
        <w:rPr>
          <w:rFonts w:ascii="Calibri" w:hAnsi="Calibri" w:cs="Calibri"/>
        </w:rPr>
        <w:t>implementazione delle politiche sanitarie.</w:t>
      </w:r>
    </w:p>
    <w:p w14:paraId="62F546A9" w14:textId="13680705" w:rsidR="000F6180" w:rsidRDefault="003A0219" w:rsidP="0012063A">
      <w:pPr>
        <w:spacing w:after="140"/>
        <w:jc w:val="both"/>
        <w:rPr>
          <w:rFonts w:ascii="Calibri" w:hAnsi="Calibri" w:cs="Calibri"/>
        </w:rPr>
      </w:pPr>
      <w:r w:rsidRPr="003A0219">
        <w:rPr>
          <w:rFonts w:ascii="Calibri" w:hAnsi="Calibri" w:cs="Calibri"/>
        </w:rPr>
        <w:t>«</w:t>
      </w:r>
      <w:r w:rsidR="00F65A44" w:rsidRPr="003A0219">
        <w:rPr>
          <w:rFonts w:ascii="Calibri" w:hAnsi="Calibri" w:cs="Calibri"/>
        </w:rPr>
        <w:t xml:space="preserve">Il disegno di legge </w:t>
      </w:r>
      <w:r w:rsidRPr="002D15CD">
        <w:rPr>
          <w:rFonts w:ascii="Calibri" w:hAnsi="Calibri" w:cs="Calibri"/>
        </w:rPr>
        <w:t xml:space="preserve">– </w:t>
      </w:r>
      <w:r w:rsidR="00805281">
        <w:rPr>
          <w:rFonts w:ascii="Calibri" w:hAnsi="Calibri" w:cs="Calibri"/>
        </w:rPr>
        <w:t xml:space="preserve">ha </w:t>
      </w:r>
      <w:r>
        <w:rPr>
          <w:rFonts w:ascii="Calibri" w:hAnsi="Calibri" w:cs="Calibri"/>
        </w:rPr>
        <w:t>conclu</w:t>
      </w:r>
      <w:r w:rsidR="00805281">
        <w:rPr>
          <w:rFonts w:ascii="Calibri" w:hAnsi="Calibri" w:cs="Calibri"/>
        </w:rPr>
        <w:t>so</w:t>
      </w:r>
      <w:r w:rsidRPr="002D15CD">
        <w:rPr>
          <w:rFonts w:ascii="Calibri" w:hAnsi="Calibri" w:cs="Calibri"/>
        </w:rPr>
        <w:t xml:space="preserve"> Cartabellotta – </w:t>
      </w:r>
      <w:r w:rsidR="000F6180">
        <w:rPr>
          <w:rFonts w:ascii="Calibri" w:hAnsi="Calibri" w:cs="Calibri"/>
        </w:rPr>
        <w:t>integra</w:t>
      </w:r>
      <w:r w:rsidR="005F4207">
        <w:rPr>
          <w:rFonts w:ascii="Calibri" w:hAnsi="Calibri" w:cs="Calibri"/>
        </w:rPr>
        <w:t xml:space="preserve"> </w:t>
      </w:r>
      <w:r w:rsidR="004030CE">
        <w:rPr>
          <w:rFonts w:ascii="Calibri" w:hAnsi="Calibri" w:cs="Calibri"/>
        </w:rPr>
        <w:t xml:space="preserve">il DL liste di attesa </w:t>
      </w:r>
      <w:r w:rsidR="005F4207">
        <w:rPr>
          <w:rFonts w:ascii="Calibri" w:hAnsi="Calibri" w:cs="Calibri"/>
        </w:rPr>
        <w:t xml:space="preserve">offrendo </w:t>
      </w:r>
      <w:r w:rsidR="000F6180">
        <w:rPr>
          <w:rFonts w:ascii="Calibri" w:hAnsi="Calibri" w:cs="Calibri"/>
        </w:rPr>
        <w:t xml:space="preserve">diversi </w:t>
      </w:r>
      <w:r w:rsidR="004030CE">
        <w:rPr>
          <w:rFonts w:ascii="Calibri" w:hAnsi="Calibri" w:cs="Calibri"/>
        </w:rPr>
        <w:t xml:space="preserve">strumenti </w:t>
      </w:r>
      <w:r w:rsidR="004030CE" w:rsidRPr="003A0219">
        <w:rPr>
          <w:rFonts w:ascii="Calibri" w:hAnsi="Calibri" w:cs="Calibri"/>
        </w:rPr>
        <w:t xml:space="preserve">per </w:t>
      </w:r>
      <w:r w:rsidR="004030CE">
        <w:rPr>
          <w:rFonts w:ascii="Calibri" w:hAnsi="Calibri" w:cs="Calibri"/>
        </w:rPr>
        <w:t>la governance nazionale</w:t>
      </w:r>
      <w:r w:rsidR="000F6180">
        <w:rPr>
          <w:rFonts w:ascii="Calibri" w:hAnsi="Calibri" w:cs="Calibri"/>
        </w:rPr>
        <w:t>. Tuttavia la sua attuazione</w:t>
      </w:r>
      <w:r w:rsidR="00102169">
        <w:rPr>
          <w:rFonts w:ascii="Calibri" w:hAnsi="Calibri" w:cs="Calibri"/>
        </w:rPr>
        <w:t xml:space="preserve"> </w:t>
      </w:r>
      <w:r w:rsidR="004030CE">
        <w:rPr>
          <w:rFonts w:ascii="Calibri" w:hAnsi="Calibri" w:cs="Calibri"/>
        </w:rPr>
        <w:t xml:space="preserve">appare troppo </w:t>
      </w:r>
      <w:r w:rsidR="004030CE" w:rsidRPr="003A0219">
        <w:rPr>
          <w:rFonts w:ascii="Calibri" w:hAnsi="Calibri" w:cs="Calibri"/>
        </w:rPr>
        <w:t>macchinosa</w:t>
      </w:r>
      <w:r w:rsidR="0008676B">
        <w:rPr>
          <w:rFonts w:ascii="Calibri" w:hAnsi="Calibri" w:cs="Calibri"/>
        </w:rPr>
        <w:t>,</w:t>
      </w:r>
      <w:r w:rsidR="00805281">
        <w:rPr>
          <w:rFonts w:ascii="Calibri" w:hAnsi="Calibri" w:cs="Calibri"/>
        </w:rPr>
        <w:t xml:space="preserve"> con </w:t>
      </w:r>
      <w:r w:rsidR="00805281" w:rsidRPr="00805281">
        <w:rPr>
          <w:rFonts w:ascii="Calibri" w:hAnsi="Calibri" w:cs="Calibri"/>
        </w:rPr>
        <w:t>tempi medio-lunghi</w:t>
      </w:r>
      <w:r w:rsidR="00805281">
        <w:rPr>
          <w:rFonts w:ascii="Calibri" w:hAnsi="Calibri" w:cs="Calibri"/>
        </w:rPr>
        <w:t xml:space="preserve">, ostaggio di numerosi decreti attuativi </w:t>
      </w:r>
      <w:r w:rsidR="00805281" w:rsidRPr="00805281">
        <w:rPr>
          <w:rFonts w:ascii="Calibri" w:hAnsi="Calibri" w:cs="Calibri"/>
        </w:rPr>
        <w:t xml:space="preserve">e </w:t>
      </w:r>
      <w:r w:rsidR="00805281">
        <w:rPr>
          <w:rFonts w:ascii="Calibri" w:hAnsi="Calibri" w:cs="Calibri"/>
        </w:rPr>
        <w:t xml:space="preserve">che </w:t>
      </w:r>
      <w:r w:rsidR="00805281" w:rsidRPr="00805281">
        <w:rPr>
          <w:rFonts w:ascii="Calibri" w:hAnsi="Calibri" w:cs="Calibri"/>
        </w:rPr>
        <w:t>richiedono la stretta collaborazione di Regioni e Aziende sanitarie</w:t>
      </w:r>
      <w:r w:rsidR="004030CE">
        <w:rPr>
          <w:rFonts w:ascii="Calibri" w:hAnsi="Calibri" w:cs="Calibri"/>
        </w:rPr>
        <w:t xml:space="preserve">. </w:t>
      </w:r>
      <w:r w:rsidR="005C18F4">
        <w:rPr>
          <w:rFonts w:ascii="Calibri" w:hAnsi="Calibri" w:cs="Calibri"/>
        </w:rPr>
        <w:t>Il</w:t>
      </w:r>
      <w:r w:rsidR="005C18F4" w:rsidRPr="00805281">
        <w:rPr>
          <w:rFonts w:ascii="Calibri" w:hAnsi="Calibri" w:cs="Calibri"/>
        </w:rPr>
        <w:t xml:space="preserve"> </w:t>
      </w:r>
      <w:r w:rsidR="00805281" w:rsidRPr="00805281">
        <w:rPr>
          <w:rFonts w:ascii="Calibri" w:hAnsi="Calibri" w:cs="Calibri"/>
        </w:rPr>
        <w:t>DdL 1241</w:t>
      </w:r>
      <w:r w:rsidR="005C18F4">
        <w:rPr>
          <w:rFonts w:ascii="Calibri" w:hAnsi="Calibri" w:cs="Calibri"/>
        </w:rPr>
        <w:t>, di fatto,</w:t>
      </w:r>
      <w:r w:rsidR="00805281" w:rsidRPr="00805281">
        <w:rPr>
          <w:rFonts w:ascii="Calibri" w:hAnsi="Calibri" w:cs="Calibri"/>
        </w:rPr>
        <w:t xml:space="preserve"> </w:t>
      </w:r>
      <w:r w:rsidR="004030CE">
        <w:rPr>
          <w:rFonts w:ascii="Calibri" w:hAnsi="Calibri" w:cs="Calibri"/>
        </w:rPr>
        <w:t xml:space="preserve">non </w:t>
      </w:r>
      <w:r w:rsidR="005C18F4">
        <w:rPr>
          <w:rFonts w:ascii="Calibri" w:hAnsi="Calibri" w:cs="Calibri"/>
        </w:rPr>
        <w:t xml:space="preserve">introduce </w:t>
      </w:r>
      <w:r w:rsidR="004030CE">
        <w:rPr>
          <w:rFonts w:ascii="Calibri" w:hAnsi="Calibri" w:cs="Calibri"/>
        </w:rPr>
        <w:t>interventi efficaci per</w:t>
      </w:r>
      <w:r w:rsidR="00102169">
        <w:rPr>
          <w:rFonts w:ascii="Calibri" w:hAnsi="Calibri" w:cs="Calibri"/>
        </w:rPr>
        <w:t xml:space="preserve"> ridurre</w:t>
      </w:r>
      <w:r w:rsidR="004030CE">
        <w:rPr>
          <w:rFonts w:ascii="Calibri" w:hAnsi="Calibri" w:cs="Calibri"/>
        </w:rPr>
        <w:t xml:space="preserve"> </w:t>
      </w:r>
      <w:r w:rsidR="00102169">
        <w:rPr>
          <w:rFonts w:ascii="Calibri" w:hAnsi="Calibri" w:cs="Calibri"/>
        </w:rPr>
        <w:t xml:space="preserve">la </w:t>
      </w:r>
      <w:r w:rsidR="004030CE">
        <w:rPr>
          <w:rFonts w:ascii="Calibri" w:hAnsi="Calibri" w:cs="Calibri"/>
        </w:rPr>
        <w:t>domanda inappropriata</w:t>
      </w:r>
      <w:r w:rsidR="0008676B">
        <w:rPr>
          <w:rFonts w:ascii="Calibri" w:hAnsi="Calibri" w:cs="Calibri"/>
        </w:rPr>
        <w:t xml:space="preserve"> mentre, </w:t>
      </w:r>
      <w:r w:rsidR="005C18F4">
        <w:rPr>
          <w:rFonts w:ascii="Calibri" w:hAnsi="Calibri" w:cs="Calibri"/>
        </w:rPr>
        <w:t xml:space="preserve">sul fronte del potenziamento dell’offerta, </w:t>
      </w:r>
      <w:r w:rsidR="0008676B">
        <w:rPr>
          <w:rFonts w:ascii="Calibri" w:hAnsi="Calibri" w:cs="Calibri"/>
        </w:rPr>
        <w:t>ad invarianza di risorse</w:t>
      </w:r>
      <w:r w:rsidR="00805281">
        <w:rPr>
          <w:rFonts w:ascii="Calibri" w:hAnsi="Calibri" w:cs="Calibri"/>
        </w:rPr>
        <w:t xml:space="preserve"> </w:t>
      </w:r>
      <w:r w:rsidR="004030CE">
        <w:rPr>
          <w:rFonts w:ascii="Calibri" w:hAnsi="Calibri" w:cs="Calibri"/>
        </w:rPr>
        <w:t>punta</w:t>
      </w:r>
      <w:r w:rsidR="0008676B">
        <w:rPr>
          <w:rFonts w:ascii="Calibri" w:hAnsi="Calibri" w:cs="Calibri"/>
        </w:rPr>
        <w:t xml:space="preserve"> esclusivamente </w:t>
      </w:r>
      <w:r w:rsidR="00805281">
        <w:rPr>
          <w:rFonts w:ascii="Calibri" w:hAnsi="Calibri" w:cs="Calibri"/>
        </w:rPr>
        <w:t xml:space="preserve">su specialisti ambulatoriali convenzionati e privato accreditato, oltre che </w:t>
      </w:r>
      <w:r w:rsidR="005C18F4">
        <w:rPr>
          <w:rFonts w:ascii="Calibri" w:hAnsi="Calibri" w:cs="Calibri"/>
        </w:rPr>
        <w:t xml:space="preserve">su </w:t>
      </w:r>
      <w:r w:rsidR="00805281">
        <w:rPr>
          <w:rFonts w:ascii="Calibri" w:hAnsi="Calibri" w:cs="Calibri"/>
        </w:rPr>
        <w:t xml:space="preserve">contratti flessibili. Scelta imposta dalla necessità di tamponare </w:t>
      </w:r>
      <w:r w:rsidR="00F57151">
        <w:rPr>
          <w:rFonts w:ascii="Calibri" w:hAnsi="Calibri" w:cs="Calibri"/>
        </w:rPr>
        <w:t>l</w:t>
      </w:r>
      <w:r w:rsidR="00FD7FDC">
        <w:rPr>
          <w:rFonts w:ascii="Calibri" w:hAnsi="Calibri" w:cs="Calibri"/>
        </w:rPr>
        <w:t>’</w:t>
      </w:r>
      <w:r w:rsidR="00F57151">
        <w:rPr>
          <w:rFonts w:ascii="Calibri" w:hAnsi="Calibri" w:cs="Calibri"/>
        </w:rPr>
        <w:t>emergenz</w:t>
      </w:r>
      <w:r w:rsidR="00FD7FDC">
        <w:rPr>
          <w:rFonts w:ascii="Calibri" w:hAnsi="Calibri" w:cs="Calibri"/>
        </w:rPr>
        <w:t xml:space="preserve">a </w:t>
      </w:r>
      <w:r w:rsidR="0008676B">
        <w:rPr>
          <w:rFonts w:ascii="Calibri" w:hAnsi="Calibri" w:cs="Calibri"/>
        </w:rPr>
        <w:t xml:space="preserve">in </w:t>
      </w:r>
      <w:r w:rsidR="00805281">
        <w:rPr>
          <w:rFonts w:ascii="Calibri" w:hAnsi="Calibri" w:cs="Calibri"/>
        </w:rPr>
        <w:t xml:space="preserve">assenza di </w:t>
      </w:r>
      <w:r w:rsidR="00805281" w:rsidRPr="00805281">
        <w:rPr>
          <w:rFonts w:ascii="Calibri" w:hAnsi="Calibri" w:cs="Calibri"/>
        </w:rPr>
        <w:t xml:space="preserve">investimenti </w:t>
      </w:r>
      <w:r w:rsidR="005C18F4">
        <w:rPr>
          <w:rFonts w:ascii="Calibri" w:hAnsi="Calibri" w:cs="Calibri"/>
        </w:rPr>
        <w:t>mirati</w:t>
      </w:r>
      <w:r w:rsidR="00805281">
        <w:rPr>
          <w:rFonts w:ascii="Calibri" w:hAnsi="Calibri" w:cs="Calibri"/>
        </w:rPr>
        <w:t xml:space="preserve">, per i quali </w:t>
      </w:r>
      <w:r w:rsidR="0008676B">
        <w:rPr>
          <w:rFonts w:ascii="Calibri" w:hAnsi="Calibri" w:cs="Calibri"/>
        </w:rPr>
        <w:t xml:space="preserve">sarà </w:t>
      </w:r>
      <w:r w:rsidR="00805281" w:rsidRPr="00805281">
        <w:rPr>
          <w:rFonts w:ascii="Calibri" w:hAnsi="Calibri" w:cs="Calibri"/>
        </w:rPr>
        <w:t>necessario attendere il testo della Legge di Bilancio 2025</w:t>
      </w:r>
      <w:r w:rsidR="005C18F4">
        <w:rPr>
          <w:rFonts w:ascii="Calibri" w:hAnsi="Calibri" w:cs="Calibri"/>
        </w:rPr>
        <w:t>:</w:t>
      </w:r>
      <w:r w:rsidR="00102169">
        <w:rPr>
          <w:rFonts w:ascii="Calibri" w:hAnsi="Calibri" w:cs="Calibri"/>
        </w:rPr>
        <w:t xml:space="preserve"> </w:t>
      </w:r>
      <w:r w:rsidR="005C18F4">
        <w:rPr>
          <w:rFonts w:ascii="Calibri" w:hAnsi="Calibri" w:cs="Calibri"/>
        </w:rPr>
        <w:t>senza risorse dedicate</w:t>
      </w:r>
      <w:r w:rsidR="00F65A44" w:rsidRPr="003A0219">
        <w:rPr>
          <w:rFonts w:ascii="Calibri" w:hAnsi="Calibri" w:cs="Calibri"/>
        </w:rPr>
        <w:t xml:space="preserve"> </w:t>
      </w:r>
      <w:r w:rsidR="0008676B">
        <w:rPr>
          <w:rFonts w:ascii="Calibri" w:hAnsi="Calibri" w:cs="Calibri"/>
        </w:rPr>
        <w:t>saremo</w:t>
      </w:r>
      <w:r w:rsidR="00F65A44" w:rsidRPr="003A0219">
        <w:rPr>
          <w:rFonts w:ascii="Calibri" w:hAnsi="Calibri" w:cs="Calibri"/>
        </w:rPr>
        <w:t xml:space="preserve"> ancora una volta d</w:t>
      </w:r>
      <w:r w:rsidRPr="003A0219">
        <w:rPr>
          <w:rFonts w:ascii="Calibri" w:hAnsi="Calibri" w:cs="Calibri"/>
        </w:rPr>
        <w:t>i fronte a un</w:t>
      </w:r>
      <w:r w:rsidR="005C18F4">
        <w:rPr>
          <w:rFonts w:ascii="Calibri" w:hAnsi="Calibri" w:cs="Calibri"/>
        </w:rPr>
        <w:t>’</w:t>
      </w:r>
      <w:r w:rsidRPr="003A0219">
        <w:rPr>
          <w:rFonts w:ascii="Calibri" w:hAnsi="Calibri" w:cs="Calibri"/>
        </w:rPr>
        <w:t>occasione mancata</w:t>
      </w:r>
      <w:r w:rsidR="008F521F">
        <w:rPr>
          <w:rFonts w:ascii="Calibri" w:hAnsi="Calibri" w:cs="Calibri"/>
        </w:rPr>
        <w:t xml:space="preserve">. Perché se aumentare le risorse senza </w:t>
      </w:r>
      <w:r w:rsidR="0008676B">
        <w:rPr>
          <w:rFonts w:ascii="Calibri" w:hAnsi="Calibri" w:cs="Calibri"/>
        </w:rPr>
        <w:t xml:space="preserve">riforme </w:t>
      </w:r>
      <w:r w:rsidR="008F521F">
        <w:rPr>
          <w:rFonts w:ascii="Calibri" w:hAnsi="Calibri" w:cs="Calibri"/>
        </w:rPr>
        <w:t>rischia</w:t>
      </w:r>
      <w:r w:rsidR="00EE1A02">
        <w:rPr>
          <w:rFonts w:ascii="Calibri" w:hAnsi="Calibri" w:cs="Calibri"/>
        </w:rPr>
        <w:t xml:space="preserve"> </w:t>
      </w:r>
      <w:r w:rsidR="008F521F">
        <w:rPr>
          <w:rFonts w:ascii="Calibri" w:hAnsi="Calibri" w:cs="Calibri"/>
        </w:rPr>
        <w:t xml:space="preserve">di alimentare sprechi e inefficienze, le riforme senza risorse </w:t>
      </w:r>
      <w:r w:rsidR="00EE1A02">
        <w:rPr>
          <w:rFonts w:ascii="Calibri" w:hAnsi="Calibri" w:cs="Calibri"/>
        </w:rPr>
        <w:t>rimangono inevitabilmente</w:t>
      </w:r>
      <w:r w:rsidR="008F521F">
        <w:rPr>
          <w:rFonts w:ascii="Calibri" w:hAnsi="Calibri" w:cs="Calibri"/>
        </w:rPr>
        <w:t xml:space="preserve"> scatole vuote</w:t>
      </w:r>
      <w:r w:rsidRPr="003A0219">
        <w:rPr>
          <w:rFonts w:ascii="Calibri" w:hAnsi="Calibri" w:cs="Calibri"/>
        </w:rPr>
        <w:t>»</w:t>
      </w:r>
      <w:r w:rsidRPr="00F65A44">
        <w:rPr>
          <w:rFonts w:ascii="Calibri" w:hAnsi="Calibri" w:cs="Calibri"/>
        </w:rPr>
        <w:t>.</w:t>
      </w:r>
    </w:p>
    <w:p w14:paraId="76A4B109" w14:textId="77777777"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272898D6" w14:textId="77777777"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5B7C193D" w14:textId="77777777" w:rsidR="00505619" w:rsidRDefault="00E3755B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="00B66D4E" w:rsidRPr="004051F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42E12EA6" w14:textId="77777777" w:rsidR="00DD59AF" w:rsidRDefault="00DD59AF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</w:p>
    <w:p w14:paraId="53C768F3" w14:textId="77777777" w:rsidR="00CE5C43" w:rsidRDefault="00CE5C43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</w:p>
    <w:p w14:paraId="24121988" w14:textId="77777777" w:rsidR="00BD7AA7" w:rsidRPr="00DD59AF" w:rsidRDefault="00BD7AA7" w:rsidP="00DD59AF">
      <w:pPr>
        <w:suppressAutoHyphens/>
        <w:jc w:val="center"/>
        <w:rPr>
          <w:b/>
          <w:bCs/>
          <w:color w:val="00457D"/>
          <w:sz w:val="20"/>
          <w:szCs w:val="20"/>
        </w:rPr>
      </w:pPr>
      <w:r w:rsidRPr="00244DBE">
        <w:rPr>
          <w:b/>
          <w:bCs/>
          <w:color w:val="00457D"/>
          <w:sz w:val="20"/>
          <w:szCs w:val="20"/>
        </w:rPr>
        <w:lastRenderedPageBreak/>
        <w:t xml:space="preserve">Tabella </w:t>
      </w:r>
      <w:r>
        <w:rPr>
          <w:b/>
          <w:bCs/>
          <w:color w:val="00457D"/>
          <w:sz w:val="20"/>
          <w:szCs w:val="20"/>
        </w:rPr>
        <w:t>1</w:t>
      </w:r>
      <w:r w:rsidRPr="00244DBE">
        <w:rPr>
          <w:b/>
          <w:bCs/>
          <w:color w:val="00457D"/>
          <w:sz w:val="20"/>
          <w:szCs w:val="20"/>
        </w:rPr>
        <w:t>.</w:t>
      </w:r>
      <w:r>
        <w:rPr>
          <w:b/>
          <w:bCs/>
          <w:color w:val="00457D"/>
          <w:sz w:val="20"/>
          <w:szCs w:val="20"/>
        </w:rPr>
        <w:t xml:space="preserve"> </w:t>
      </w:r>
      <w:r w:rsidR="00DD59AF" w:rsidRPr="00DD59AF">
        <w:rPr>
          <w:b/>
          <w:bCs/>
          <w:color w:val="00457D"/>
          <w:sz w:val="20"/>
          <w:szCs w:val="20"/>
        </w:rPr>
        <w:t xml:space="preserve">Incremento, rispetto alla spesa consuntivata nel 2011, del tetto di spesa per l’acquisto </w:t>
      </w:r>
      <w:r w:rsidR="00866372">
        <w:rPr>
          <w:b/>
          <w:bCs/>
          <w:color w:val="00457D"/>
          <w:sz w:val="20"/>
          <w:szCs w:val="20"/>
        </w:rPr>
        <w:br/>
      </w:r>
      <w:r w:rsidR="00DD59AF" w:rsidRPr="00DD59AF">
        <w:rPr>
          <w:b/>
          <w:bCs/>
          <w:color w:val="00457D"/>
          <w:sz w:val="20"/>
          <w:szCs w:val="20"/>
        </w:rPr>
        <w:t>dal privato accreditato di prestazioni di assistenza specialistica ambulatoriale e ospedaliera</w:t>
      </w:r>
    </w:p>
    <w:tbl>
      <w:tblPr>
        <w:tblW w:w="8655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0"/>
        <w:gridCol w:w="1658"/>
        <w:gridCol w:w="1842"/>
        <w:gridCol w:w="1845"/>
      </w:tblGrid>
      <w:tr w:rsidR="00DD59AF" w:rsidRPr="00D95FBD" w14:paraId="7CDBFD07" w14:textId="77777777" w:rsidTr="0091226F">
        <w:trPr>
          <w:trHeight w:val="397"/>
          <w:jc w:val="center"/>
        </w:trPr>
        <w:tc>
          <w:tcPr>
            <w:tcW w:w="3310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56A356B" w14:textId="77777777" w:rsidR="00DD59AF" w:rsidRPr="00890139" w:rsidRDefault="00DD59AF" w:rsidP="00096541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890139">
              <w:rPr>
                <w:rFonts w:eastAsia="Times New Roman" w:cs="Calibri"/>
                <w:b/>
                <w:bCs/>
                <w:color w:val="FFFFFF" w:themeColor="background1"/>
              </w:rPr>
              <w:t>Provvedimento</w:t>
            </w:r>
          </w:p>
        </w:tc>
        <w:tc>
          <w:tcPr>
            <w:tcW w:w="16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</w:tcPr>
          <w:p w14:paraId="369040DC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890139">
              <w:rPr>
                <w:rFonts w:eastAsia="Times New Roman" w:cs="Calibri"/>
                <w:b/>
                <w:bCs/>
                <w:color w:val="FFFFFF"/>
              </w:rPr>
              <w:t>2024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</w:tcPr>
          <w:p w14:paraId="5714FC7B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890139">
              <w:rPr>
                <w:rFonts w:eastAsia="Times New Roman" w:cs="Calibri"/>
                <w:b/>
                <w:bCs/>
                <w:color w:val="FFFFFF"/>
              </w:rPr>
              <w:t>2025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000000" w:fill="00457D"/>
            <w:vAlign w:val="center"/>
          </w:tcPr>
          <w:p w14:paraId="5B26DC3D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890139">
              <w:rPr>
                <w:rFonts w:eastAsia="Times New Roman" w:cs="Calibri"/>
                <w:b/>
                <w:bCs/>
                <w:color w:val="FFFFFF"/>
              </w:rPr>
              <w:t>2026</w:t>
            </w:r>
          </w:p>
        </w:tc>
      </w:tr>
      <w:tr w:rsidR="00DD59AF" w:rsidRPr="00D95FBD" w14:paraId="5641F93D" w14:textId="77777777" w:rsidTr="0091226F">
        <w:trPr>
          <w:trHeight w:val="397"/>
          <w:jc w:val="center"/>
        </w:trPr>
        <w:tc>
          <w:tcPr>
            <w:tcW w:w="3310" w:type="dxa"/>
            <w:shd w:val="clear" w:color="auto" w:fill="auto"/>
            <w:vAlign w:val="center"/>
            <w:hideMark/>
          </w:tcPr>
          <w:p w14:paraId="1E86F2D3" w14:textId="77777777" w:rsidR="00DD59AF" w:rsidRPr="00890139" w:rsidRDefault="00DD59AF" w:rsidP="00096541">
            <w:pPr>
              <w:spacing w:after="0" w:line="240" w:lineRule="auto"/>
              <w:rPr>
                <w:rFonts w:eastAsia="Times New Roman" w:cs="Calibri"/>
              </w:rPr>
            </w:pPr>
            <w:r w:rsidRPr="00890139">
              <w:rPr>
                <w:rFonts w:eastAsia="Times New Roman" w:cs="Calibri"/>
              </w:rPr>
              <w:t>Legge di Bilancio 2024 (c. 233)</w:t>
            </w:r>
          </w:p>
        </w:tc>
        <w:tc>
          <w:tcPr>
            <w:tcW w:w="1658" w:type="dxa"/>
            <w:vAlign w:val="center"/>
          </w:tcPr>
          <w:p w14:paraId="3A1E571A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cs="Calibri"/>
              </w:rPr>
            </w:pPr>
            <w:r w:rsidRPr="00890139">
              <w:rPr>
                <w:rFonts w:eastAsia="Times New Roman" w:cs="Calibri"/>
              </w:rPr>
              <w:t>€ 123</w:t>
            </w:r>
          </w:p>
        </w:tc>
        <w:tc>
          <w:tcPr>
            <w:tcW w:w="1842" w:type="dxa"/>
            <w:vAlign w:val="center"/>
          </w:tcPr>
          <w:p w14:paraId="3900611B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cs="Calibri"/>
              </w:rPr>
            </w:pPr>
            <w:r w:rsidRPr="00890139">
              <w:rPr>
                <w:rFonts w:eastAsia="Times New Roman" w:cs="Calibri"/>
              </w:rPr>
              <w:t>€ 368</w:t>
            </w:r>
          </w:p>
        </w:tc>
        <w:tc>
          <w:tcPr>
            <w:tcW w:w="1843" w:type="dxa"/>
            <w:vAlign w:val="center"/>
          </w:tcPr>
          <w:p w14:paraId="5E9A086C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cs="Calibri"/>
              </w:rPr>
            </w:pPr>
            <w:r w:rsidRPr="00890139">
              <w:rPr>
                <w:rFonts w:eastAsia="Times New Roman" w:cs="Calibri"/>
              </w:rPr>
              <w:t>€ 490</w:t>
            </w:r>
          </w:p>
        </w:tc>
      </w:tr>
      <w:tr w:rsidR="00DD59AF" w:rsidRPr="00D95FBD" w14:paraId="26E97445" w14:textId="77777777" w:rsidTr="0091226F">
        <w:trPr>
          <w:trHeight w:val="397"/>
          <w:jc w:val="center"/>
        </w:trPr>
        <w:tc>
          <w:tcPr>
            <w:tcW w:w="3310" w:type="dxa"/>
            <w:tcBorders>
              <w:bottom w:val="single" w:sz="4" w:space="0" w:color="00457D"/>
            </w:tcBorders>
            <w:shd w:val="clear" w:color="auto" w:fill="auto"/>
            <w:vAlign w:val="center"/>
            <w:hideMark/>
          </w:tcPr>
          <w:p w14:paraId="3C03897A" w14:textId="77777777" w:rsidR="00DD59AF" w:rsidRPr="00890139" w:rsidRDefault="00DD59AF" w:rsidP="00096541">
            <w:pPr>
              <w:spacing w:after="0" w:line="240" w:lineRule="auto"/>
              <w:rPr>
                <w:rFonts w:eastAsia="Times New Roman" w:cs="Calibri"/>
              </w:rPr>
            </w:pPr>
            <w:r w:rsidRPr="00890139">
              <w:rPr>
                <w:rFonts w:eastAsia="Times New Roman" w:cs="Calibri"/>
              </w:rPr>
              <w:t>DdL S. 1241</w:t>
            </w:r>
          </w:p>
        </w:tc>
        <w:tc>
          <w:tcPr>
            <w:tcW w:w="1658" w:type="dxa"/>
            <w:tcBorders>
              <w:bottom w:val="single" w:sz="4" w:space="0" w:color="00457D"/>
            </w:tcBorders>
            <w:vAlign w:val="center"/>
          </w:tcPr>
          <w:p w14:paraId="6EBDF1DF" w14:textId="77777777" w:rsidR="00DD59AF" w:rsidRPr="00890139" w:rsidRDefault="00EA2171" w:rsidP="00DD59A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457D"/>
            </w:tcBorders>
            <w:vAlign w:val="center"/>
          </w:tcPr>
          <w:p w14:paraId="07F4EF14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cs="Calibri"/>
              </w:rPr>
            </w:pPr>
            <w:r w:rsidRPr="00890139">
              <w:rPr>
                <w:rFonts w:eastAsia="Times New Roman" w:cs="Calibri"/>
              </w:rPr>
              <w:t>€ 61,5</w:t>
            </w:r>
          </w:p>
        </w:tc>
        <w:tc>
          <w:tcPr>
            <w:tcW w:w="1843" w:type="dxa"/>
            <w:tcBorders>
              <w:bottom w:val="single" w:sz="4" w:space="0" w:color="00457D"/>
            </w:tcBorders>
            <w:vAlign w:val="center"/>
          </w:tcPr>
          <w:p w14:paraId="5A847781" w14:textId="77777777" w:rsidR="00DD59AF" w:rsidRPr="00890139" w:rsidRDefault="00DD59AF" w:rsidP="00DD59AF">
            <w:pPr>
              <w:spacing w:after="0" w:line="240" w:lineRule="auto"/>
              <w:jc w:val="center"/>
              <w:rPr>
                <w:rFonts w:cs="Calibri"/>
              </w:rPr>
            </w:pPr>
            <w:r w:rsidRPr="00890139">
              <w:rPr>
                <w:rFonts w:cs="Calibri"/>
              </w:rPr>
              <w:t>€ 123</w:t>
            </w:r>
          </w:p>
        </w:tc>
      </w:tr>
      <w:tr w:rsidR="0091226F" w:rsidRPr="0091226F" w14:paraId="39BDDA74" w14:textId="77777777" w:rsidTr="0091226F">
        <w:trPr>
          <w:trHeight w:val="397"/>
          <w:jc w:val="center"/>
        </w:trPr>
        <w:tc>
          <w:tcPr>
            <w:tcW w:w="3310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51E3DD3" w14:textId="77777777" w:rsidR="00DD59AF" w:rsidRPr="0091226F" w:rsidRDefault="00DD59AF" w:rsidP="0091226F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</w:rPr>
            </w:pPr>
            <w:r w:rsidRPr="0091226F">
              <w:rPr>
                <w:rFonts w:eastAsia="Times New Roman" w:cs="Calibri"/>
                <w:b/>
                <w:color w:val="FFFFFF" w:themeColor="background1"/>
              </w:rPr>
              <w:t>Totale</w:t>
            </w:r>
          </w:p>
        </w:tc>
        <w:tc>
          <w:tcPr>
            <w:tcW w:w="16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5436C1C9" w14:textId="77777777" w:rsidR="00DD59AF" w:rsidRPr="0091226F" w:rsidRDefault="00DD59AF" w:rsidP="00DD59A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</w:rPr>
            </w:pPr>
            <w:r w:rsidRPr="0091226F">
              <w:rPr>
                <w:rFonts w:eastAsia="Times New Roman" w:cs="Calibri"/>
                <w:b/>
                <w:color w:val="FFFFFF" w:themeColor="background1"/>
              </w:rPr>
              <w:t>€ 123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53B518B4" w14:textId="77777777" w:rsidR="00DD59AF" w:rsidRPr="0091226F" w:rsidRDefault="00DD59AF" w:rsidP="00DD59A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</w:rPr>
            </w:pPr>
            <w:r w:rsidRPr="0091226F">
              <w:rPr>
                <w:rFonts w:eastAsia="Times New Roman" w:cs="Calibri"/>
                <w:b/>
                <w:color w:val="FFFFFF" w:themeColor="background1"/>
              </w:rPr>
              <w:t>€ 429,5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6581A5AD" w14:textId="77777777" w:rsidR="00DD59AF" w:rsidRPr="0091226F" w:rsidRDefault="00DD59AF" w:rsidP="00DD59A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</w:rPr>
            </w:pPr>
            <w:r w:rsidRPr="0091226F">
              <w:rPr>
                <w:rFonts w:eastAsia="Times New Roman" w:cs="Calibri"/>
                <w:b/>
                <w:color w:val="FFFFFF" w:themeColor="background1"/>
              </w:rPr>
              <w:t>€ 613</w:t>
            </w:r>
          </w:p>
        </w:tc>
      </w:tr>
      <w:tr w:rsidR="00DD59AF" w:rsidRPr="0091226F" w14:paraId="1856A355" w14:textId="77777777" w:rsidTr="0091226F">
        <w:trPr>
          <w:trHeight w:val="466"/>
          <w:jc w:val="center"/>
        </w:trPr>
        <w:tc>
          <w:tcPr>
            <w:tcW w:w="8655" w:type="dxa"/>
            <w:gridSpan w:val="4"/>
            <w:vAlign w:val="center"/>
          </w:tcPr>
          <w:p w14:paraId="4372709A" w14:textId="77777777" w:rsidR="00DD59AF" w:rsidRPr="0091226F" w:rsidRDefault="00DD59AF" w:rsidP="009122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1226F">
              <w:rPr>
                <w:rFonts w:eastAsia="Times New Roman" w:cstheme="minorHAnsi"/>
                <w:sz w:val="20"/>
                <w:szCs w:val="20"/>
              </w:rPr>
              <w:t>Dati in milioni di euro</w:t>
            </w:r>
          </w:p>
        </w:tc>
      </w:tr>
    </w:tbl>
    <w:p w14:paraId="4EC4B01F" w14:textId="77777777" w:rsidR="00750EB7" w:rsidRPr="00D07D5D" w:rsidRDefault="00750EB7" w:rsidP="00D07D5D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sectPr w:rsidR="00750EB7" w:rsidRPr="00D07D5D" w:rsidSect="001F6C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3FDA" w14:textId="77777777" w:rsidR="00341269" w:rsidRDefault="00341269" w:rsidP="00F9179C">
      <w:pPr>
        <w:spacing w:after="0" w:line="240" w:lineRule="auto"/>
      </w:pPr>
      <w:r>
        <w:separator/>
      </w:r>
    </w:p>
  </w:endnote>
  <w:endnote w:type="continuationSeparator" w:id="0">
    <w:p w14:paraId="4789325A" w14:textId="77777777" w:rsidR="00341269" w:rsidRDefault="00341269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F1D5" w14:textId="77777777" w:rsidR="00341269" w:rsidRDefault="00341269" w:rsidP="00F9179C">
      <w:pPr>
        <w:spacing w:after="0" w:line="240" w:lineRule="auto"/>
      </w:pPr>
      <w:r>
        <w:separator/>
      </w:r>
    </w:p>
  </w:footnote>
  <w:footnote w:type="continuationSeparator" w:id="0">
    <w:p w14:paraId="00837606" w14:textId="77777777" w:rsidR="00341269" w:rsidRDefault="00341269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45B"/>
    <w:multiLevelType w:val="hybridMultilevel"/>
    <w:tmpl w:val="C1B82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03CF5"/>
    <w:multiLevelType w:val="hybridMultilevel"/>
    <w:tmpl w:val="882A1566"/>
    <w:lvl w:ilvl="0" w:tplc="54885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23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F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2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B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02423"/>
    <w:multiLevelType w:val="hybridMultilevel"/>
    <w:tmpl w:val="226CD7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76D2A"/>
    <w:multiLevelType w:val="hybridMultilevel"/>
    <w:tmpl w:val="52145E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A16ED"/>
    <w:multiLevelType w:val="hybridMultilevel"/>
    <w:tmpl w:val="50F43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7B34"/>
    <w:multiLevelType w:val="hybridMultilevel"/>
    <w:tmpl w:val="BEAC5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70F73"/>
    <w:multiLevelType w:val="hybridMultilevel"/>
    <w:tmpl w:val="E6E0E6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17E47"/>
    <w:multiLevelType w:val="hybridMultilevel"/>
    <w:tmpl w:val="95A09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A72C0"/>
    <w:multiLevelType w:val="hybridMultilevel"/>
    <w:tmpl w:val="F07C7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75B7E"/>
    <w:multiLevelType w:val="hybridMultilevel"/>
    <w:tmpl w:val="6F5CA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7139F9"/>
    <w:multiLevelType w:val="hybridMultilevel"/>
    <w:tmpl w:val="310E6934"/>
    <w:lvl w:ilvl="0" w:tplc="9D26544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715F7"/>
    <w:multiLevelType w:val="hybridMultilevel"/>
    <w:tmpl w:val="C7B05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C70A8"/>
    <w:multiLevelType w:val="hybridMultilevel"/>
    <w:tmpl w:val="3FECB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94AF9"/>
    <w:multiLevelType w:val="hybridMultilevel"/>
    <w:tmpl w:val="0BEA8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28"/>
  </w:num>
  <w:num w:numId="5">
    <w:abstractNumId w:val="18"/>
  </w:num>
  <w:num w:numId="6">
    <w:abstractNumId w:val="13"/>
  </w:num>
  <w:num w:numId="7">
    <w:abstractNumId w:val="21"/>
  </w:num>
  <w:num w:numId="8">
    <w:abstractNumId w:val="20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24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26"/>
  </w:num>
  <w:num w:numId="22">
    <w:abstractNumId w:val="22"/>
  </w:num>
  <w:num w:numId="23">
    <w:abstractNumId w:val="17"/>
  </w:num>
  <w:num w:numId="24">
    <w:abstractNumId w:val="23"/>
  </w:num>
  <w:num w:numId="25">
    <w:abstractNumId w:val="19"/>
  </w:num>
  <w:num w:numId="26">
    <w:abstractNumId w:val="15"/>
  </w:num>
  <w:num w:numId="27">
    <w:abstractNumId w:val="12"/>
  </w:num>
  <w:num w:numId="28">
    <w:abstractNumId w:val="14"/>
  </w:num>
  <w:num w:numId="29">
    <w:abstractNumId w:val="6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F0F"/>
    <w:rsid w:val="00002C1B"/>
    <w:rsid w:val="00003762"/>
    <w:rsid w:val="00003F78"/>
    <w:rsid w:val="00004918"/>
    <w:rsid w:val="0000491D"/>
    <w:rsid w:val="00005B25"/>
    <w:rsid w:val="00006555"/>
    <w:rsid w:val="000066C0"/>
    <w:rsid w:val="00010498"/>
    <w:rsid w:val="00010A21"/>
    <w:rsid w:val="00010EE6"/>
    <w:rsid w:val="0001384A"/>
    <w:rsid w:val="00013DFA"/>
    <w:rsid w:val="00014A0C"/>
    <w:rsid w:val="00016482"/>
    <w:rsid w:val="00017968"/>
    <w:rsid w:val="00017FB4"/>
    <w:rsid w:val="00023D8A"/>
    <w:rsid w:val="00025A25"/>
    <w:rsid w:val="00031106"/>
    <w:rsid w:val="0003363A"/>
    <w:rsid w:val="000347D1"/>
    <w:rsid w:val="000351B7"/>
    <w:rsid w:val="00035404"/>
    <w:rsid w:val="00040FE8"/>
    <w:rsid w:val="00043945"/>
    <w:rsid w:val="00043ED4"/>
    <w:rsid w:val="0004410A"/>
    <w:rsid w:val="00044DE6"/>
    <w:rsid w:val="0004630A"/>
    <w:rsid w:val="00047F99"/>
    <w:rsid w:val="00050758"/>
    <w:rsid w:val="00050DE4"/>
    <w:rsid w:val="00051F7A"/>
    <w:rsid w:val="0005313F"/>
    <w:rsid w:val="0005402C"/>
    <w:rsid w:val="00055AE9"/>
    <w:rsid w:val="00055D27"/>
    <w:rsid w:val="00056D5E"/>
    <w:rsid w:val="000602AA"/>
    <w:rsid w:val="00062E1F"/>
    <w:rsid w:val="00063001"/>
    <w:rsid w:val="0006440E"/>
    <w:rsid w:val="000657A8"/>
    <w:rsid w:val="00065F61"/>
    <w:rsid w:val="00066B64"/>
    <w:rsid w:val="00067B8F"/>
    <w:rsid w:val="000707B3"/>
    <w:rsid w:val="00070B39"/>
    <w:rsid w:val="000715A9"/>
    <w:rsid w:val="00073870"/>
    <w:rsid w:val="00074788"/>
    <w:rsid w:val="00075271"/>
    <w:rsid w:val="000801B5"/>
    <w:rsid w:val="00080253"/>
    <w:rsid w:val="00082861"/>
    <w:rsid w:val="00082FA8"/>
    <w:rsid w:val="0008676B"/>
    <w:rsid w:val="000867F0"/>
    <w:rsid w:val="000879E2"/>
    <w:rsid w:val="000901CF"/>
    <w:rsid w:val="000903A9"/>
    <w:rsid w:val="00090A39"/>
    <w:rsid w:val="000927C7"/>
    <w:rsid w:val="000927C9"/>
    <w:rsid w:val="00092D08"/>
    <w:rsid w:val="00093F73"/>
    <w:rsid w:val="00094258"/>
    <w:rsid w:val="000963AF"/>
    <w:rsid w:val="000A0FC3"/>
    <w:rsid w:val="000A170D"/>
    <w:rsid w:val="000A1978"/>
    <w:rsid w:val="000A2084"/>
    <w:rsid w:val="000A2351"/>
    <w:rsid w:val="000A3087"/>
    <w:rsid w:val="000A62A9"/>
    <w:rsid w:val="000A7B66"/>
    <w:rsid w:val="000B07B0"/>
    <w:rsid w:val="000B442B"/>
    <w:rsid w:val="000B4DE8"/>
    <w:rsid w:val="000C0998"/>
    <w:rsid w:val="000C2118"/>
    <w:rsid w:val="000C26A2"/>
    <w:rsid w:val="000C544C"/>
    <w:rsid w:val="000C6130"/>
    <w:rsid w:val="000C7AD0"/>
    <w:rsid w:val="000D02E4"/>
    <w:rsid w:val="000D0F15"/>
    <w:rsid w:val="000D1F7A"/>
    <w:rsid w:val="000D23C3"/>
    <w:rsid w:val="000D29E1"/>
    <w:rsid w:val="000D44D4"/>
    <w:rsid w:val="000D504E"/>
    <w:rsid w:val="000D563F"/>
    <w:rsid w:val="000D5D6D"/>
    <w:rsid w:val="000D7252"/>
    <w:rsid w:val="000D77CA"/>
    <w:rsid w:val="000E023F"/>
    <w:rsid w:val="000E0C16"/>
    <w:rsid w:val="000E26EE"/>
    <w:rsid w:val="000E2A40"/>
    <w:rsid w:val="000E2E4F"/>
    <w:rsid w:val="000E2F3B"/>
    <w:rsid w:val="000E3BEC"/>
    <w:rsid w:val="000E4CA9"/>
    <w:rsid w:val="000E6970"/>
    <w:rsid w:val="000E76D8"/>
    <w:rsid w:val="000E7CC2"/>
    <w:rsid w:val="000F0BBD"/>
    <w:rsid w:val="000F10F8"/>
    <w:rsid w:val="000F27FD"/>
    <w:rsid w:val="000F31A6"/>
    <w:rsid w:val="000F3229"/>
    <w:rsid w:val="000F36BB"/>
    <w:rsid w:val="000F39EF"/>
    <w:rsid w:val="000F42F1"/>
    <w:rsid w:val="000F5C0F"/>
    <w:rsid w:val="000F6180"/>
    <w:rsid w:val="0010059E"/>
    <w:rsid w:val="00100643"/>
    <w:rsid w:val="00102169"/>
    <w:rsid w:val="00106462"/>
    <w:rsid w:val="00107096"/>
    <w:rsid w:val="00111CC5"/>
    <w:rsid w:val="00111EC8"/>
    <w:rsid w:val="0011205F"/>
    <w:rsid w:val="001134E3"/>
    <w:rsid w:val="001139A6"/>
    <w:rsid w:val="00113D4A"/>
    <w:rsid w:val="0011527C"/>
    <w:rsid w:val="00115417"/>
    <w:rsid w:val="001167D9"/>
    <w:rsid w:val="0012063A"/>
    <w:rsid w:val="001259E9"/>
    <w:rsid w:val="00125C6A"/>
    <w:rsid w:val="0012615E"/>
    <w:rsid w:val="00126A64"/>
    <w:rsid w:val="0013083D"/>
    <w:rsid w:val="001317CF"/>
    <w:rsid w:val="00134C8C"/>
    <w:rsid w:val="00136A68"/>
    <w:rsid w:val="0014019C"/>
    <w:rsid w:val="00140A6C"/>
    <w:rsid w:val="00142AB1"/>
    <w:rsid w:val="00143689"/>
    <w:rsid w:val="00144CB7"/>
    <w:rsid w:val="00144F94"/>
    <w:rsid w:val="001458FE"/>
    <w:rsid w:val="001463FF"/>
    <w:rsid w:val="001471AF"/>
    <w:rsid w:val="001507C2"/>
    <w:rsid w:val="0015229D"/>
    <w:rsid w:val="001540BD"/>
    <w:rsid w:val="00156B47"/>
    <w:rsid w:val="0016045C"/>
    <w:rsid w:val="00162FBC"/>
    <w:rsid w:val="001635D3"/>
    <w:rsid w:val="00163BFB"/>
    <w:rsid w:val="001654A5"/>
    <w:rsid w:val="00165AD7"/>
    <w:rsid w:val="001706D0"/>
    <w:rsid w:val="00170760"/>
    <w:rsid w:val="00170B46"/>
    <w:rsid w:val="00171745"/>
    <w:rsid w:val="00171A9C"/>
    <w:rsid w:val="00173764"/>
    <w:rsid w:val="0017405D"/>
    <w:rsid w:val="001744B6"/>
    <w:rsid w:val="001748BA"/>
    <w:rsid w:val="001750C1"/>
    <w:rsid w:val="00176C26"/>
    <w:rsid w:val="00177828"/>
    <w:rsid w:val="001817B7"/>
    <w:rsid w:val="00182F15"/>
    <w:rsid w:val="001833C0"/>
    <w:rsid w:val="00192312"/>
    <w:rsid w:val="00192DAD"/>
    <w:rsid w:val="00193F19"/>
    <w:rsid w:val="00196F7C"/>
    <w:rsid w:val="00197414"/>
    <w:rsid w:val="001A3E0D"/>
    <w:rsid w:val="001A5BDA"/>
    <w:rsid w:val="001A6BC9"/>
    <w:rsid w:val="001A776D"/>
    <w:rsid w:val="001A7989"/>
    <w:rsid w:val="001A7A7F"/>
    <w:rsid w:val="001B2B44"/>
    <w:rsid w:val="001C2B8B"/>
    <w:rsid w:val="001C51E2"/>
    <w:rsid w:val="001C591C"/>
    <w:rsid w:val="001C7C2C"/>
    <w:rsid w:val="001D0E41"/>
    <w:rsid w:val="001D153D"/>
    <w:rsid w:val="001D4CE8"/>
    <w:rsid w:val="001E088B"/>
    <w:rsid w:val="001E1658"/>
    <w:rsid w:val="001E1A63"/>
    <w:rsid w:val="001E2C6F"/>
    <w:rsid w:val="001E2ED0"/>
    <w:rsid w:val="001E4C36"/>
    <w:rsid w:val="001E5F20"/>
    <w:rsid w:val="001E6902"/>
    <w:rsid w:val="001E6975"/>
    <w:rsid w:val="001E6FCB"/>
    <w:rsid w:val="001F1222"/>
    <w:rsid w:val="001F1C35"/>
    <w:rsid w:val="001F20B8"/>
    <w:rsid w:val="001F34EE"/>
    <w:rsid w:val="001F3E69"/>
    <w:rsid w:val="001F4329"/>
    <w:rsid w:val="001F6889"/>
    <w:rsid w:val="001F6C5B"/>
    <w:rsid w:val="001F7891"/>
    <w:rsid w:val="0020007B"/>
    <w:rsid w:val="00200A03"/>
    <w:rsid w:val="00200B3D"/>
    <w:rsid w:val="00202A01"/>
    <w:rsid w:val="0020435A"/>
    <w:rsid w:val="00206047"/>
    <w:rsid w:val="002073BD"/>
    <w:rsid w:val="00207B90"/>
    <w:rsid w:val="0021006B"/>
    <w:rsid w:val="0021155E"/>
    <w:rsid w:val="00212E00"/>
    <w:rsid w:val="00214662"/>
    <w:rsid w:val="002160C4"/>
    <w:rsid w:val="002165B9"/>
    <w:rsid w:val="00217B39"/>
    <w:rsid w:val="002217C0"/>
    <w:rsid w:val="00223F01"/>
    <w:rsid w:val="00224656"/>
    <w:rsid w:val="002318A9"/>
    <w:rsid w:val="002321B4"/>
    <w:rsid w:val="0023261F"/>
    <w:rsid w:val="002332A3"/>
    <w:rsid w:val="00233A32"/>
    <w:rsid w:val="00233C17"/>
    <w:rsid w:val="00233EF5"/>
    <w:rsid w:val="002349C3"/>
    <w:rsid w:val="0023771D"/>
    <w:rsid w:val="00237EA8"/>
    <w:rsid w:val="00242077"/>
    <w:rsid w:val="00243803"/>
    <w:rsid w:val="0024555E"/>
    <w:rsid w:val="0024562D"/>
    <w:rsid w:val="00245ED9"/>
    <w:rsid w:val="002464B4"/>
    <w:rsid w:val="0025100A"/>
    <w:rsid w:val="00252716"/>
    <w:rsid w:val="00254528"/>
    <w:rsid w:val="002551A1"/>
    <w:rsid w:val="002602FA"/>
    <w:rsid w:val="00260B57"/>
    <w:rsid w:val="00262CC3"/>
    <w:rsid w:val="0026425C"/>
    <w:rsid w:val="00264E8A"/>
    <w:rsid w:val="0026548A"/>
    <w:rsid w:val="0026647B"/>
    <w:rsid w:val="00266561"/>
    <w:rsid w:val="00266E1A"/>
    <w:rsid w:val="00267CD0"/>
    <w:rsid w:val="002723FC"/>
    <w:rsid w:val="0027468B"/>
    <w:rsid w:val="002770A4"/>
    <w:rsid w:val="00277526"/>
    <w:rsid w:val="00282655"/>
    <w:rsid w:val="00282DAE"/>
    <w:rsid w:val="00283994"/>
    <w:rsid w:val="00283FE0"/>
    <w:rsid w:val="0028551B"/>
    <w:rsid w:val="00287105"/>
    <w:rsid w:val="00290547"/>
    <w:rsid w:val="00291602"/>
    <w:rsid w:val="0029392F"/>
    <w:rsid w:val="002943CF"/>
    <w:rsid w:val="00295E95"/>
    <w:rsid w:val="00297583"/>
    <w:rsid w:val="00297964"/>
    <w:rsid w:val="002A2034"/>
    <w:rsid w:val="002A29FA"/>
    <w:rsid w:val="002A3232"/>
    <w:rsid w:val="002A4BF8"/>
    <w:rsid w:val="002A69A4"/>
    <w:rsid w:val="002B12E6"/>
    <w:rsid w:val="002B1329"/>
    <w:rsid w:val="002B393B"/>
    <w:rsid w:val="002B579A"/>
    <w:rsid w:val="002B67C5"/>
    <w:rsid w:val="002B7295"/>
    <w:rsid w:val="002C0B56"/>
    <w:rsid w:val="002C0F1B"/>
    <w:rsid w:val="002C1C95"/>
    <w:rsid w:val="002C3A9C"/>
    <w:rsid w:val="002C3C29"/>
    <w:rsid w:val="002C5187"/>
    <w:rsid w:val="002C5517"/>
    <w:rsid w:val="002D1A9D"/>
    <w:rsid w:val="002D1F39"/>
    <w:rsid w:val="002D2C39"/>
    <w:rsid w:val="002D329A"/>
    <w:rsid w:val="002D4723"/>
    <w:rsid w:val="002D61E1"/>
    <w:rsid w:val="002D7409"/>
    <w:rsid w:val="002E29A6"/>
    <w:rsid w:val="002E2D66"/>
    <w:rsid w:val="002E33A2"/>
    <w:rsid w:val="002E3B1D"/>
    <w:rsid w:val="002E5382"/>
    <w:rsid w:val="002E5E3C"/>
    <w:rsid w:val="002F2D7E"/>
    <w:rsid w:val="002F2E6A"/>
    <w:rsid w:val="002F323D"/>
    <w:rsid w:val="002F3856"/>
    <w:rsid w:val="002F5002"/>
    <w:rsid w:val="002F605D"/>
    <w:rsid w:val="002F6557"/>
    <w:rsid w:val="002F67C1"/>
    <w:rsid w:val="002F6810"/>
    <w:rsid w:val="002F6B4D"/>
    <w:rsid w:val="002F7F74"/>
    <w:rsid w:val="003009A4"/>
    <w:rsid w:val="00300EF7"/>
    <w:rsid w:val="00301F89"/>
    <w:rsid w:val="00302197"/>
    <w:rsid w:val="00305113"/>
    <w:rsid w:val="003061BB"/>
    <w:rsid w:val="00306345"/>
    <w:rsid w:val="0030769D"/>
    <w:rsid w:val="00307F51"/>
    <w:rsid w:val="00310654"/>
    <w:rsid w:val="00311876"/>
    <w:rsid w:val="00311A6F"/>
    <w:rsid w:val="00313AD1"/>
    <w:rsid w:val="0031517B"/>
    <w:rsid w:val="00315734"/>
    <w:rsid w:val="00315EE2"/>
    <w:rsid w:val="0031648A"/>
    <w:rsid w:val="003164E2"/>
    <w:rsid w:val="0031755E"/>
    <w:rsid w:val="00321195"/>
    <w:rsid w:val="00321C3D"/>
    <w:rsid w:val="00322EE1"/>
    <w:rsid w:val="0032362A"/>
    <w:rsid w:val="00323A55"/>
    <w:rsid w:val="00325E98"/>
    <w:rsid w:val="003268D1"/>
    <w:rsid w:val="00327AF0"/>
    <w:rsid w:val="00331B49"/>
    <w:rsid w:val="00331F29"/>
    <w:rsid w:val="003341AD"/>
    <w:rsid w:val="0033460B"/>
    <w:rsid w:val="003361D0"/>
    <w:rsid w:val="00336637"/>
    <w:rsid w:val="003370D1"/>
    <w:rsid w:val="0033752D"/>
    <w:rsid w:val="00340DAA"/>
    <w:rsid w:val="00341269"/>
    <w:rsid w:val="0034291E"/>
    <w:rsid w:val="003454D8"/>
    <w:rsid w:val="00347675"/>
    <w:rsid w:val="00347BD4"/>
    <w:rsid w:val="00350D4E"/>
    <w:rsid w:val="00351273"/>
    <w:rsid w:val="00353E36"/>
    <w:rsid w:val="003554E0"/>
    <w:rsid w:val="00355DBF"/>
    <w:rsid w:val="003576FF"/>
    <w:rsid w:val="00357F80"/>
    <w:rsid w:val="0036086B"/>
    <w:rsid w:val="00363764"/>
    <w:rsid w:val="00364DCF"/>
    <w:rsid w:val="003714B0"/>
    <w:rsid w:val="003732E1"/>
    <w:rsid w:val="00373435"/>
    <w:rsid w:val="00373F30"/>
    <w:rsid w:val="00376974"/>
    <w:rsid w:val="0037736F"/>
    <w:rsid w:val="00380A73"/>
    <w:rsid w:val="0038139F"/>
    <w:rsid w:val="00381EDF"/>
    <w:rsid w:val="00382F29"/>
    <w:rsid w:val="00384AF1"/>
    <w:rsid w:val="00385EE6"/>
    <w:rsid w:val="0038626D"/>
    <w:rsid w:val="00387753"/>
    <w:rsid w:val="00390EF1"/>
    <w:rsid w:val="003933A7"/>
    <w:rsid w:val="00393B9D"/>
    <w:rsid w:val="003955A0"/>
    <w:rsid w:val="00396618"/>
    <w:rsid w:val="003972F8"/>
    <w:rsid w:val="0039787F"/>
    <w:rsid w:val="003A0219"/>
    <w:rsid w:val="003A02C7"/>
    <w:rsid w:val="003A13B4"/>
    <w:rsid w:val="003A3187"/>
    <w:rsid w:val="003A4C21"/>
    <w:rsid w:val="003A50D1"/>
    <w:rsid w:val="003A691F"/>
    <w:rsid w:val="003A76F7"/>
    <w:rsid w:val="003B0278"/>
    <w:rsid w:val="003B1F96"/>
    <w:rsid w:val="003B3743"/>
    <w:rsid w:val="003B37EE"/>
    <w:rsid w:val="003B4A8D"/>
    <w:rsid w:val="003B5971"/>
    <w:rsid w:val="003B5D7A"/>
    <w:rsid w:val="003C043D"/>
    <w:rsid w:val="003C0FD2"/>
    <w:rsid w:val="003C1E2C"/>
    <w:rsid w:val="003C276B"/>
    <w:rsid w:val="003C2EB1"/>
    <w:rsid w:val="003C2FD3"/>
    <w:rsid w:val="003C48B6"/>
    <w:rsid w:val="003C5A0A"/>
    <w:rsid w:val="003C71B9"/>
    <w:rsid w:val="003D2F57"/>
    <w:rsid w:val="003D4318"/>
    <w:rsid w:val="003D660F"/>
    <w:rsid w:val="003D66C8"/>
    <w:rsid w:val="003D6FD5"/>
    <w:rsid w:val="003D7065"/>
    <w:rsid w:val="003E0375"/>
    <w:rsid w:val="003E1F24"/>
    <w:rsid w:val="003E4422"/>
    <w:rsid w:val="003E4B11"/>
    <w:rsid w:val="003E4E14"/>
    <w:rsid w:val="003E4FF7"/>
    <w:rsid w:val="003E5A2E"/>
    <w:rsid w:val="003E634B"/>
    <w:rsid w:val="003F1AAC"/>
    <w:rsid w:val="003F1EF8"/>
    <w:rsid w:val="003F29C9"/>
    <w:rsid w:val="003F2E93"/>
    <w:rsid w:val="003F35EF"/>
    <w:rsid w:val="003F3B35"/>
    <w:rsid w:val="003F4157"/>
    <w:rsid w:val="003F470F"/>
    <w:rsid w:val="003F4C33"/>
    <w:rsid w:val="003F6638"/>
    <w:rsid w:val="003F67AB"/>
    <w:rsid w:val="004009D7"/>
    <w:rsid w:val="004014D2"/>
    <w:rsid w:val="00401AA7"/>
    <w:rsid w:val="00401BC6"/>
    <w:rsid w:val="00402068"/>
    <w:rsid w:val="004030CE"/>
    <w:rsid w:val="00403B4A"/>
    <w:rsid w:val="00404520"/>
    <w:rsid w:val="004052B2"/>
    <w:rsid w:val="00405775"/>
    <w:rsid w:val="00405C0C"/>
    <w:rsid w:val="00407AC6"/>
    <w:rsid w:val="00410A12"/>
    <w:rsid w:val="00412253"/>
    <w:rsid w:val="004123C5"/>
    <w:rsid w:val="00412C44"/>
    <w:rsid w:val="00415FC6"/>
    <w:rsid w:val="004227EF"/>
    <w:rsid w:val="00427BC4"/>
    <w:rsid w:val="00427D4C"/>
    <w:rsid w:val="00430270"/>
    <w:rsid w:val="004305D3"/>
    <w:rsid w:val="004343EA"/>
    <w:rsid w:val="0043572C"/>
    <w:rsid w:val="00436368"/>
    <w:rsid w:val="00436D17"/>
    <w:rsid w:val="0043778C"/>
    <w:rsid w:val="0044012A"/>
    <w:rsid w:val="004419C5"/>
    <w:rsid w:val="00441D52"/>
    <w:rsid w:val="00442312"/>
    <w:rsid w:val="004432F6"/>
    <w:rsid w:val="00445677"/>
    <w:rsid w:val="0044687F"/>
    <w:rsid w:val="00446F85"/>
    <w:rsid w:val="00447B1A"/>
    <w:rsid w:val="00450E26"/>
    <w:rsid w:val="00450EB0"/>
    <w:rsid w:val="00452891"/>
    <w:rsid w:val="00452900"/>
    <w:rsid w:val="00452A94"/>
    <w:rsid w:val="00452E6B"/>
    <w:rsid w:val="00456AC9"/>
    <w:rsid w:val="00457AAB"/>
    <w:rsid w:val="004608B4"/>
    <w:rsid w:val="00460DA0"/>
    <w:rsid w:val="0046149A"/>
    <w:rsid w:val="00461BFF"/>
    <w:rsid w:val="00465039"/>
    <w:rsid w:val="0046775E"/>
    <w:rsid w:val="004706BD"/>
    <w:rsid w:val="00470D92"/>
    <w:rsid w:val="004719FB"/>
    <w:rsid w:val="0047337E"/>
    <w:rsid w:val="004745B0"/>
    <w:rsid w:val="0047586E"/>
    <w:rsid w:val="004763D1"/>
    <w:rsid w:val="00480E9D"/>
    <w:rsid w:val="0048225B"/>
    <w:rsid w:val="004823AE"/>
    <w:rsid w:val="00485B90"/>
    <w:rsid w:val="0048646C"/>
    <w:rsid w:val="004900AE"/>
    <w:rsid w:val="00490397"/>
    <w:rsid w:val="00490F61"/>
    <w:rsid w:val="0049170E"/>
    <w:rsid w:val="00491F2B"/>
    <w:rsid w:val="00492117"/>
    <w:rsid w:val="004945E2"/>
    <w:rsid w:val="004948BA"/>
    <w:rsid w:val="004952D7"/>
    <w:rsid w:val="0049542C"/>
    <w:rsid w:val="00495587"/>
    <w:rsid w:val="00496108"/>
    <w:rsid w:val="004977BD"/>
    <w:rsid w:val="004A0E05"/>
    <w:rsid w:val="004A18D7"/>
    <w:rsid w:val="004A1B26"/>
    <w:rsid w:val="004A20BE"/>
    <w:rsid w:val="004A23C0"/>
    <w:rsid w:val="004A5489"/>
    <w:rsid w:val="004A62A6"/>
    <w:rsid w:val="004A6552"/>
    <w:rsid w:val="004B4684"/>
    <w:rsid w:val="004B5B72"/>
    <w:rsid w:val="004C0634"/>
    <w:rsid w:val="004C08BE"/>
    <w:rsid w:val="004C24CF"/>
    <w:rsid w:val="004C459C"/>
    <w:rsid w:val="004C46AA"/>
    <w:rsid w:val="004C6924"/>
    <w:rsid w:val="004D0248"/>
    <w:rsid w:val="004D174B"/>
    <w:rsid w:val="004D25A4"/>
    <w:rsid w:val="004D3A0B"/>
    <w:rsid w:val="004D469E"/>
    <w:rsid w:val="004D4B67"/>
    <w:rsid w:val="004D7D99"/>
    <w:rsid w:val="004E1BBE"/>
    <w:rsid w:val="004E4903"/>
    <w:rsid w:val="004E4BBD"/>
    <w:rsid w:val="004E5018"/>
    <w:rsid w:val="004E5EFE"/>
    <w:rsid w:val="004F064A"/>
    <w:rsid w:val="004F0FD3"/>
    <w:rsid w:val="004F1121"/>
    <w:rsid w:val="004F1F7A"/>
    <w:rsid w:val="004F319B"/>
    <w:rsid w:val="004F3D78"/>
    <w:rsid w:val="004F3F81"/>
    <w:rsid w:val="004F3FD3"/>
    <w:rsid w:val="004F3FEB"/>
    <w:rsid w:val="00501459"/>
    <w:rsid w:val="0050147C"/>
    <w:rsid w:val="005014CD"/>
    <w:rsid w:val="00501793"/>
    <w:rsid w:val="00505619"/>
    <w:rsid w:val="00505BFD"/>
    <w:rsid w:val="005109C0"/>
    <w:rsid w:val="00510AA1"/>
    <w:rsid w:val="00511A0C"/>
    <w:rsid w:val="00511E6F"/>
    <w:rsid w:val="00512141"/>
    <w:rsid w:val="00512879"/>
    <w:rsid w:val="005133FF"/>
    <w:rsid w:val="005155EE"/>
    <w:rsid w:val="005157D2"/>
    <w:rsid w:val="0051720D"/>
    <w:rsid w:val="005204CB"/>
    <w:rsid w:val="005209CD"/>
    <w:rsid w:val="00524F37"/>
    <w:rsid w:val="00525AEA"/>
    <w:rsid w:val="00525FA8"/>
    <w:rsid w:val="00526A8A"/>
    <w:rsid w:val="005272D8"/>
    <w:rsid w:val="005315D4"/>
    <w:rsid w:val="00531EA2"/>
    <w:rsid w:val="00532D90"/>
    <w:rsid w:val="00536E86"/>
    <w:rsid w:val="00537886"/>
    <w:rsid w:val="00537B9C"/>
    <w:rsid w:val="00541811"/>
    <w:rsid w:val="005419E9"/>
    <w:rsid w:val="00541DC9"/>
    <w:rsid w:val="00542475"/>
    <w:rsid w:val="005440CF"/>
    <w:rsid w:val="005463E9"/>
    <w:rsid w:val="0055030C"/>
    <w:rsid w:val="00550953"/>
    <w:rsid w:val="005516A8"/>
    <w:rsid w:val="00555825"/>
    <w:rsid w:val="005559C9"/>
    <w:rsid w:val="00556339"/>
    <w:rsid w:val="00557DAA"/>
    <w:rsid w:val="00563CF8"/>
    <w:rsid w:val="0056420A"/>
    <w:rsid w:val="00564914"/>
    <w:rsid w:val="00564A20"/>
    <w:rsid w:val="00565C3C"/>
    <w:rsid w:val="00566830"/>
    <w:rsid w:val="00567C5D"/>
    <w:rsid w:val="0057085B"/>
    <w:rsid w:val="00570FF6"/>
    <w:rsid w:val="00572DF6"/>
    <w:rsid w:val="00573AB6"/>
    <w:rsid w:val="00573E7E"/>
    <w:rsid w:val="00574278"/>
    <w:rsid w:val="00577D77"/>
    <w:rsid w:val="00580631"/>
    <w:rsid w:val="00580725"/>
    <w:rsid w:val="00581CD5"/>
    <w:rsid w:val="00582DE9"/>
    <w:rsid w:val="005838AE"/>
    <w:rsid w:val="00586FDE"/>
    <w:rsid w:val="00590E5A"/>
    <w:rsid w:val="0059337B"/>
    <w:rsid w:val="00593818"/>
    <w:rsid w:val="005940D1"/>
    <w:rsid w:val="00594E34"/>
    <w:rsid w:val="005A03A1"/>
    <w:rsid w:val="005A1309"/>
    <w:rsid w:val="005A1434"/>
    <w:rsid w:val="005A198A"/>
    <w:rsid w:val="005A2BB7"/>
    <w:rsid w:val="005A36D6"/>
    <w:rsid w:val="005A3A8D"/>
    <w:rsid w:val="005A3DF9"/>
    <w:rsid w:val="005A436A"/>
    <w:rsid w:val="005A4ADA"/>
    <w:rsid w:val="005A66DA"/>
    <w:rsid w:val="005A728A"/>
    <w:rsid w:val="005A7853"/>
    <w:rsid w:val="005B09BF"/>
    <w:rsid w:val="005B3A18"/>
    <w:rsid w:val="005B3B71"/>
    <w:rsid w:val="005B43B5"/>
    <w:rsid w:val="005B4F61"/>
    <w:rsid w:val="005B57EF"/>
    <w:rsid w:val="005C18F4"/>
    <w:rsid w:val="005C7707"/>
    <w:rsid w:val="005D133C"/>
    <w:rsid w:val="005D33D4"/>
    <w:rsid w:val="005D5CF2"/>
    <w:rsid w:val="005D6177"/>
    <w:rsid w:val="005D7FCA"/>
    <w:rsid w:val="005E0543"/>
    <w:rsid w:val="005E0616"/>
    <w:rsid w:val="005E1232"/>
    <w:rsid w:val="005E33CF"/>
    <w:rsid w:val="005E40C9"/>
    <w:rsid w:val="005E485F"/>
    <w:rsid w:val="005E55AB"/>
    <w:rsid w:val="005E5950"/>
    <w:rsid w:val="005E6CDA"/>
    <w:rsid w:val="005F1A06"/>
    <w:rsid w:val="005F39C7"/>
    <w:rsid w:val="005F4207"/>
    <w:rsid w:val="005F446B"/>
    <w:rsid w:val="005F757D"/>
    <w:rsid w:val="006000FE"/>
    <w:rsid w:val="006002AA"/>
    <w:rsid w:val="006013BE"/>
    <w:rsid w:val="00604C85"/>
    <w:rsid w:val="006050CB"/>
    <w:rsid w:val="00605B10"/>
    <w:rsid w:val="00606BF5"/>
    <w:rsid w:val="006107A4"/>
    <w:rsid w:val="00611C67"/>
    <w:rsid w:val="00614076"/>
    <w:rsid w:val="00614E5A"/>
    <w:rsid w:val="006159FC"/>
    <w:rsid w:val="0062129B"/>
    <w:rsid w:val="0062275E"/>
    <w:rsid w:val="0062528D"/>
    <w:rsid w:val="0062554E"/>
    <w:rsid w:val="00625B72"/>
    <w:rsid w:val="006267A9"/>
    <w:rsid w:val="00630230"/>
    <w:rsid w:val="00631233"/>
    <w:rsid w:val="006317A9"/>
    <w:rsid w:val="0063197E"/>
    <w:rsid w:val="00631BE0"/>
    <w:rsid w:val="006346C3"/>
    <w:rsid w:val="00635B31"/>
    <w:rsid w:val="00636594"/>
    <w:rsid w:val="00640B8B"/>
    <w:rsid w:val="00640F9A"/>
    <w:rsid w:val="00643AB4"/>
    <w:rsid w:val="00643E28"/>
    <w:rsid w:val="00644A40"/>
    <w:rsid w:val="00645153"/>
    <w:rsid w:val="0064610F"/>
    <w:rsid w:val="00646223"/>
    <w:rsid w:val="00646C20"/>
    <w:rsid w:val="006471FE"/>
    <w:rsid w:val="006501FB"/>
    <w:rsid w:val="00650304"/>
    <w:rsid w:val="006513AE"/>
    <w:rsid w:val="0065180B"/>
    <w:rsid w:val="00652E93"/>
    <w:rsid w:val="00653388"/>
    <w:rsid w:val="006534B0"/>
    <w:rsid w:val="006535F8"/>
    <w:rsid w:val="00653A12"/>
    <w:rsid w:val="0065519F"/>
    <w:rsid w:val="0065715D"/>
    <w:rsid w:val="00660C91"/>
    <w:rsid w:val="00660F61"/>
    <w:rsid w:val="00662095"/>
    <w:rsid w:val="006634E0"/>
    <w:rsid w:val="00663B7B"/>
    <w:rsid w:val="006640FF"/>
    <w:rsid w:val="00667145"/>
    <w:rsid w:val="00670AD9"/>
    <w:rsid w:val="006713C2"/>
    <w:rsid w:val="0067466A"/>
    <w:rsid w:val="00675E56"/>
    <w:rsid w:val="0067632C"/>
    <w:rsid w:val="006771C7"/>
    <w:rsid w:val="00677A85"/>
    <w:rsid w:val="006805A5"/>
    <w:rsid w:val="00680A04"/>
    <w:rsid w:val="00680B51"/>
    <w:rsid w:val="00681241"/>
    <w:rsid w:val="006821E3"/>
    <w:rsid w:val="006833A4"/>
    <w:rsid w:val="00687758"/>
    <w:rsid w:val="00691792"/>
    <w:rsid w:val="0069378E"/>
    <w:rsid w:val="00694C51"/>
    <w:rsid w:val="006951E7"/>
    <w:rsid w:val="00695599"/>
    <w:rsid w:val="006955E7"/>
    <w:rsid w:val="00695FCF"/>
    <w:rsid w:val="00696965"/>
    <w:rsid w:val="00696BFF"/>
    <w:rsid w:val="00696DDA"/>
    <w:rsid w:val="006A135C"/>
    <w:rsid w:val="006A150F"/>
    <w:rsid w:val="006A3457"/>
    <w:rsid w:val="006A4BBC"/>
    <w:rsid w:val="006A4CFB"/>
    <w:rsid w:val="006A51BC"/>
    <w:rsid w:val="006A71A2"/>
    <w:rsid w:val="006A775F"/>
    <w:rsid w:val="006A7DD3"/>
    <w:rsid w:val="006B01B2"/>
    <w:rsid w:val="006B221D"/>
    <w:rsid w:val="006B2270"/>
    <w:rsid w:val="006B4E75"/>
    <w:rsid w:val="006B5E7A"/>
    <w:rsid w:val="006B6956"/>
    <w:rsid w:val="006C075C"/>
    <w:rsid w:val="006C09E3"/>
    <w:rsid w:val="006C267B"/>
    <w:rsid w:val="006C41FF"/>
    <w:rsid w:val="006C4E62"/>
    <w:rsid w:val="006C5880"/>
    <w:rsid w:val="006D0B5E"/>
    <w:rsid w:val="006D0E59"/>
    <w:rsid w:val="006D1B63"/>
    <w:rsid w:val="006D502F"/>
    <w:rsid w:val="006D5067"/>
    <w:rsid w:val="006D6829"/>
    <w:rsid w:val="006D6ED4"/>
    <w:rsid w:val="006E0050"/>
    <w:rsid w:val="006E1EA3"/>
    <w:rsid w:val="006E27FD"/>
    <w:rsid w:val="006E2AC8"/>
    <w:rsid w:val="006E4DAD"/>
    <w:rsid w:val="006E6CC2"/>
    <w:rsid w:val="006E7399"/>
    <w:rsid w:val="006F01B9"/>
    <w:rsid w:val="006F5C05"/>
    <w:rsid w:val="006F6ADA"/>
    <w:rsid w:val="006F707F"/>
    <w:rsid w:val="006F7D8C"/>
    <w:rsid w:val="007004B5"/>
    <w:rsid w:val="0070119A"/>
    <w:rsid w:val="0070382E"/>
    <w:rsid w:val="0070439D"/>
    <w:rsid w:val="0070621C"/>
    <w:rsid w:val="00706355"/>
    <w:rsid w:val="007074BF"/>
    <w:rsid w:val="00710EE9"/>
    <w:rsid w:val="0071123A"/>
    <w:rsid w:val="00711E25"/>
    <w:rsid w:val="0071439B"/>
    <w:rsid w:val="00717377"/>
    <w:rsid w:val="00717BAE"/>
    <w:rsid w:val="00720166"/>
    <w:rsid w:val="007209C9"/>
    <w:rsid w:val="0072122E"/>
    <w:rsid w:val="007213F0"/>
    <w:rsid w:val="00723B85"/>
    <w:rsid w:val="007257B8"/>
    <w:rsid w:val="00726692"/>
    <w:rsid w:val="00727A83"/>
    <w:rsid w:val="00727F4D"/>
    <w:rsid w:val="00731217"/>
    <w:rsid w:val="007314D7"/>
    <w:rsid w:val="0073165F"/>
    <w:rsid w:val="0073174A"/>
    <w:rsid w:val="007333BE"/>
    <w:rsid w:val="007335A8"/>
    <w:rsid w:val="00733BEC"/>
    <w:rsid w:val="00734C96"/>
    <w:rsid w:val="00735E51"/>
    <w:rsid w:val="007369CE"/>
    <w:rsid w:val="00737013"/>
    <w:rsid w:val="0073764E"/>
    <w:rsid w:val="00741719"/>
    <w:rsid w:val="00744B7F"/>
    <w:rsid w:val="007453D1"/>
    <w:rsid w:val="007461C5"/>
    <w:rsid w:val="007467BF"/>
    <w:rsid w:val="0075099D"/>
    <w:rsid w:val="00750CC8"/>
    <w:rsid w:val="00750EB7"/>
    <w:rsid w:val="00754EA8"/>
    <w:rsid w:val="00755A80"/>
    <w:rsid w:val="00756B84"/>
    <w:rsid w:val="00760136"/>
    <w:rsid w:val="00760496"/>
    <w:rsid w:val="00763FB0"/>
    <w:rsid w:val="00765427"/>
    <w:rsid w:val="0076561E"/>
    <w:rsid w:val="00765AC5"/>
    <w:rsid w:val="007665B2"/>
    <w:rsid w:val="007673BA"/>
    <w:rsid w:val="00767AC3"/>
    <w:rsid w:val="00770D2D"/>
    <w:rsid w:val="00772C0B"/>
    <w:rsid w:val="007738D0"/>
    <w:rsid w:val="00773EC0"/>
    <w:rsid w:val="00774E33"/>
    <w:rsid w:val="0077567A"/>
    <w:rsid w:val="00777631"/>
    <w:rsid w:val="00777C62"/>
    <w:rsid w:val="00780533"/>
    <w:rsid w:val="00780B4A"/>
    <w:rsid w:val="00781741"/>
    <w:rsid w:val="00783E42"/>
    <w:rsid w:val="00783F79"/>
    <w:rsid w:val="00785BEE"/>
    <w:rsid w:val="0078737D"/>
    <w:rsid w:val="00790464"/>
    <w:rsid w:val="007905DA"/>
    <w:rsid w:val="007909D5"/>
    <w:rsid w:val="00791F5B"/>
    <w:rsid w:val="007939B6"/>
    <w:rsid w:val="0079438C"/>
    <w:rsid w:val="0079592E"/>
    <w:rsid w:val="007964C7"/>
    <w:rsid w:val="0079705B"/>
    <w:rsid w:val="00797159"/>
    <w:rsid w:val="007A1014"/>
    <w:rsid w:val="007A12C9"/>
    <w:rsid w:val="007A19E0"/>
    <w:rsid w:val="007A2CC9"/>
    <w:rsid w:val="007A5127"/>
    <w:rsid w:val="007A5425"/>
    <w:rsid w:val="007B0125"/>
    <w:rsid w:val="007B05F7"/>
    <w:rsid w:val="007B1924"/>
    <w:rsid w:val="007B199A"/>
    <w:rsid w:val="007B1BA6"/>
    <w:rsid w:val="007B1F2A"/>
    <w:rsid w:val="007B33AC"/>
    <w:rsid w:val="007B48F8"/>
    <w:rsid w:val="007B5624"/>
    <w:rsid w:val="007C53FD"/>
    <w:rsid w:val="007C5420"/>
    <w:rsid w:val="007C61BF"/>
    <w:rsid w:val="007D1008"/>
    <w:rsid w:val="007D2672"/>
    <w:rsid w:val="007D3978"/>
    <w:rsid w:val="007D4B6B"/>
    <w:rsid w:val="007D5674"/>
    <w:rsid w:val="007D56C9"/>
    <w:rsid w:val="007D5BFB"/>
    <w:rsid w:val="007D62DC"/>
    <w:rsid w:val="007D7930"/>
    <w:rsid w:val="007D7B45"/>
    <w:rsid w:val="007E0639"/>
    <w:rsid w:val="007E2EBD"/>
    <w:rsid w:val="007E4019"/>
    <w:rsid w:val="007E4613"/>
    <w:rsid w:val="007E46DC"/>
    <w:rsid w:val="007E4A46"/>
    <w:rsid w:val="007E728E"/>
    <w:rsid w:val="007E7565"/>
    <w:rsid w:val="007E784C"/>
    <w:rsid w:val="007E7AFD"/>
    <w:rsid w:val="007F103F"/>
    <w:rsid w:val="007F130A"/>
    <w:rsid w:val="007F2553"/>
    <w:rsid w:val="007F38BE"/>
    <w:rsid w:val="007F3D4F"/>
    <w:rsid w:val="007F46C8"/>
    <w:rsid w:val="007F5966"/>
    <w:rsid w:val="00802069"/>
    <w:rsid w:val="008025DC"/>
    <w:rsid w:val="00803C03"/>
    <w:rsid w:val="00803C62"/>
    <w:rsid w:val="00805281"/>
    <w:rsid w:val="00805963"/>
    <w:rsid w:val="008060AB"/>
    <w:rsid w:val="00806EC8"/>
    <w:rsid w:val="00807D8D"/>
    <w:rsid w:val="0081177A"/>
    <w:rsid w:val="00814CE9"/>
    <w:rsid w:val="00815D73"/>
    <w:rsid w:val="00816FBA"/>
    <w:rsid w:val="00817FCF"/>
    <w:rsid w:val="00820B71"/>
    <w:rsid w:val="00821BCB"/>
    <w:rsid w:val="00825BCB"/>
    <w:rsid w:val="008270A6"/>
    <w:rsid w:val="008311CA"/>
    <w:rsid w:val="008317E3"/>
    <w:rsid w:val="00831988"/>
    <w:rsid w:val="00832233"/>
    <w:rsid w:val="00832BDC"/>
    <w:rsid w:val="00833241"/>
    <w:rsid w:val="0083364D"/>
    <w:rsid w:val="00834A4A"/>
    <w:rsid w:val="0083564F"/>
    <w:rsid w:val="008356C6"/>
    <w:rsid w:val="008363C6"/>
    <w:rsid w:val="0083673F"/>
    <w:rsid w:val="00837B95"/>
    <w:rsid w:val="008409F8"/>
    <w:rsid w:val="00842389"/>
    <w:rsid w:val="00843315"/>
    <w:rsid w:val="00844028"/>
    <w:rsid w:val="0084493B"/>
    <w:rsid w:val="00845A87"/>
    <w:rsid w:val="00845D51"/>
    <w:rsid w:val="00846B81"/>
    <w:rsid w:val="00847E19"/>
    <w:rsid w:val="008513F9"/>
    <w:rsid w:val="00851EEF"/>
    <w:rsid w:val="008521CA"/>
    <w:rsid w:val="00855A59"/>
    <w:rsid w:val="00855D84"/>
    <w:rsid w:val="008566B3"/>
    <w:rsid w:val="00856765"/>
    <w:rsid w:val="00860B12"/>
    <w:rsid w:val="00860C97"/>
    <w:rsid w:val="00861252"/>
    <w:rsid w:val="00861701"/>
    <w:rsid w:val="00862841"/>
    <w:rsid w:val="00862A34"/>
    <w:rsid w:val="00863285"/>
    <w:rsid w:val="00866372"/>
    <w:rsid w:val="008775A4"/>
    <w:rsid w:val="008800F6"/>
    <w:rsid w:val="008803E7"/>
    <w:rsid w:val="00881122"/>
    <w:rsid w:val="00881AF4"/>
    <w:rsid w:val="008821F1"/>
    <w:rsid w:val="008834FE"/>
    <w:rsid w:val="00883BC1"/>
    <w:rsid w:val="0088479B"/>
    <w:rsid w:val="00884AE7"/>
    <w:rsid w:val="00884B8D"/>
    <w:rsid w:val="0088726D"/>
    <w:rsid w:val="00890139"/>
    <w:rsid w:val="008916F5"/>
    <w:rsid w:val="00891AD9"/>
    <w:rsid w:val="008956D1"/>
    <w:rsid w:val="00895AE7"/>
    <w:rsid w:val="008976A1"/>
    <w:rsid w:val="008A0095"/>
    <w:rsid w:val="008A1766"/>
    <w:rsid w:val="008A1D18"/>
    <w:rsid w:val="008A27E7"/>
    <w:rsid w:val="008A682A"/>
    <w:rsid w:val="008A71A5"/>
    <w:rsid w:val="008A7948"/>
    <w:rsid w:val="008A7D0A"/>
    <w:rsid w:val="008B0B4E"/>
    <w:rsid w:val="008B13E3"/>
    <w:rsid w:val="008B2BA7"/>
    <w:rsid w:val="008B2C35"/>
    <w:rsid w:val="008B3E80"/>
    <w:rsid w:val="008B41CC"/>
    <w:rsid w:val="008B4768"/>
    <w:rsid w:val="008B50C8"/>
    <w:rsid w:val="008C0A82"/>
    <w:rsid w:val="008C1153"/>
    <w:rsid w:val="008C1226"/>
    <w:rsid w:val="008C56FD"/>
    <w:rsid w:val="008C76E2"/>
    <w:rsid w:val="008D1200"/>
    <w:rsid w:val="008D2BDD"/>
    <w:rsid w:val="008D33F8"/>
    <w:rsid w:val="008D4BC6"/>
    <w:rsid w:val="008E3D88"/>
    <w:rsid w:val="008E4A60"/>
    <w:rsid w:val="008E4AD4"/>
    <w:rsid w:val="008E767E"/>
    <w:rsid w:val="008F2550"/>
    <w:rsid w:val="008F2920"/>
    <w:rsid w:val="008F2E54"/>
    <w:rsid w:val="008F3CCD"/>
    <w:rsid w:val="008F4C9E"/>
    <w:rsid w:val="008F521F"/>
    <w:rsid w:val="008F690A"/>
    <w:rsid w:val="008F6975"/>
    <w:rsid w:val="008F6D75"/>
    <w:rsid w:val="008F72C4"/>
    <w:rsid w:val="008F75EA"/>
    <w:rsid w:val="00900A5F"/>
    <w:rsid w:val="00900F3A"/>
    <w:rsid w:val="00902826"/>
    <w:rsid w:val="00902865"/>
    <w:rsid w:val="00905DD9"/>
    <w:rsid w:val="009062BE"/>
    <w:rsid w:val="0091226F"/>
    <w:rsid w:val="00912D5A"/>
    <w:rsid w:val="009147BE"/>
    <w:rsid w:val="009171F5"/>
    <w:rsid w:val="009172E3"/>
    <w:rsid w:val="00917BA0"/>
    <w:rsid w:val="00917D94"/>
    <w:rsid w:val="00921057"/>
    <w:rsid w:val="00922E1F"/>
    <w:rsid w:val="00924122"/>
    <w:rsid w:val="009241E0"/>
    <w:rsid w:val="00925A86"/>
    <w:rsid w:val="00925B50"/>
    <w:rsid w:val="00930CCE"/>
    <w:rsid w:val="00931A17"/>
    <w:rsid w:val="00931BE5"/>
    <w:rsid w:val="00931F69"/>
    <w:rsid w:val="009348C2"/>
    <w:rsid w:val="009353AC"/>
    <w:rsid w:val="009360C0"/>
    <w:rsid w:val="0093653B"/>
    <w:rsid w:val="00937550"/>
    <w:rsid w:val="009401E4"/>
    <w:rsid w:val="00942B17"/>
    <w:rsid w:val="00943F13"/>
    <w:rsid w:val="0094441B"/>
    <w:rsid w:val="00944806"/>
    <w:rsid w:val="00944E62"/>
    <w:rsid w:val="00945DA7"/>
    <w:rsid w:val="00947084"/>
    <w:rsid w:val="0094709F"/>
    <w:rsid w:val="009475F8"/>
    <w:rsid w:val="009476F2"/>
    <w:rsid w:val="0095267E"/>
    <w:rsid w:val="009528A1"/>
    <w:rsid w:val="00953F1B"/>
    <w:rsid w:val="00957469"/>
    <w:rsid w:val="00957A45"/>
    <w:rsid w:val="00957D24"/>
    <w:rsid w:val="009602CE"/>
    <w:rsid w:val="00961E32"/>
    <w:rsid w:val="00963F93"/>
    <w:rsid w:val="009648D9"/>
    <w:rsid w:val="00965654"/>
    <w:rsid w:val="00965964"/>
    <w:rsid w:val="00967EF1"/>
    <w:rsid w:val="009722DB"/>
    <w:rsid w:val="00973B94"/>
    <w:rsid w:val="009742B1"/>
    <w:rsid w:val="009761C3"/>
    <w:rsid w:val="00976212"/>
    <w:rsid w:val="00976F80"/>
    <w:rsid w:val="009805F2"/>
    <w:rsid w:val="009843AA"/>
    <w:rsid w:val="00985850"/>
    <w:rsid w:val="009869BA"/>
    <w:rsid w:val="009873A4"/>
    <w:rsid w:val="00987C74"/>
    <w:rsid w:val="00996FA7"/>
    <w:rsid w:val="009971A5"/>
    <w:rsid w:val="00997738"/>
    <w:rsid w:val="009A2DA3"/>
    <w:rsid w:val="009A4480"/>
    <w:rsid w:val="009A5324"/>
    <w:rsid w:val="009A5C99"/>
    <w:rsid w:val="009A646A"/>
    <w:rsid w:val="009A6C03"/>
    <w:rsid w:val="009A6F80"/>
    <w:rsid w:val="009A7F2E"/>
    <w:rsid w:val="009B0C1D"/>
    <w:rsid w:val="009B1522"/>
    <w:rsid w:val="009B2C0E"/>
    <w:rsid w:val="009B48D0"/>
    <w:rsid w:val="009B5ACC"/>
    <w:rsid w:val="009B662D"/>
    <w:rsid w:val="009C2C3C"/>
    <w:rsid w:val="009C5A29"/>
    <w:rsid w:val="009C6361"/>
    <w:rsid w:val="009C7037"/>
    <w:rsid w:val="009C7943"/>
    <w:rsid w:val="009D1A5C"/>
    <w:rsid w:val="009D48B7"/>
    <w:rsid w:val="009D6E1C"/>
    <w:rsid w:val="009D7574"/>
    <w:rsid w:val="009E3EAC"/>
    <w:rsid w:val="009E4342"/>
    <w:rsid w:val="009E4BD0"/>
    <w:rsid w:val="009F0432"/>
    <w:rsid w:val="009F0818"/>
    <w:rsid w:val="009F2CAA"/>
    <w:rsid w:val="009F539E"/>
    <w:rsid w:val="009F5C3E"/>
    <w:rsid w:val="009F691A"/>
    <w:rsid w:val="009F6C42"/>
    <w:rsid w:val="00A04E54"/>
    <w:rsid w:val="00A05093"/>
    <w:rsid w:val="00A061EB"/>
    <w:rsid w:val="00A12E53"/>
    <w:rsid w:val="00A13DFC"/>
    <w:rsid w:val="00A14035"/>
    <w:rsid w:val="00A14206"/>
    <w:rsid w:val="00A14440"/>
    <w:rsid w:val="00A1524A"/>
    <w:rsid w:val="00A16474"/>
    <w:rsid w:val="00A23E03"/>
    <w:rsid w:val="00A2436B"/>
    <w:rsid w:val="00A251C9"/>
    <w:rsid w:val="00A25C9B"/>
    <w:rsid w:val="00A301E1"/>
    <w:rsid w:val="00A30499"/>
    <w:rsid w:val="00A307E4"/>
    <w:rsid w:val="00A30B54"/>
    <w:rsid w:val="00A31D6A"/>
    <w:rsid w:val="00A32CD8"/>
    <w:rsid w:val="00A33F37"/>
    <w:rsid w:val="00A34072"/>
    <w:rsid w:val="00A36649"/>
    <w:rsid w:val="00A36D32"/>
    <w:rsid w:val="00A401BC"/>
    <w:rsid w:val="00A405F9"/>
    <w:rsid w:val="00A40F25"/>
    <w:rsid w:val="00A41AC2"/>
    <w:rsid w:val="00A41AD9"/>
    <w:rsid w:val="00A44F7D"/>
    <w:rsid w:val="00A50339"/>
    <w:rsid w:val="00A506D6"/>
    <w:rsid w:val="00A518A5"/>
    <w:rsid w:val="00A51B77"/>
    <w:rsid w:val="00A521EA"/>
    <w:rsid w:val="00A54001"/>
    <w:rsid w:val="00A5742E"/>
    <w:rsid w:val="00A57A3B"/>
    <w:rsid w:val="00A63606"/>
    <w:rsid w:val="00A64544"/>
    <w:rsid w:val="00A64AEB"/>
    <w:rsid w:val="00A650B3"/>
    <w:rsid w:val="00A65B9D"/>
    <w:rsid w:val="00A66317"/>
    <w:rsid w:val="00A66E9E"/>
    <w:rsid w:val="00A70B2C"/>
    <w:rsid w:val="00A710F1"/>
    <w:rsid w:val="00A71808"/>
    <w:rsid w:val="00A7781C"/>
    <w:rsid w:val="00A8077B"/>
    <w:rsid w:val="00A81680"/>
    <w:rsid w:val="00A86DA7"/>
    <w:rsid w:val="00A87330"/>
    <w:rsid w:val="00A91E49"/>
    <w:rsid w:val="00A93802"/>
    <w:rsid w:val="00A95B38"/>
    <w:rsid w:val="00A95D09"/>
    <w:rsid w:val="00AA2A57"/>
    <w:rsid w:val="00AA3227"/>
    <w:rsid w:val="00AA5738"/>
    <w:rsid w:val="00AA57CB"/>
    <w:rsid w:val="00AA5992"/>
    <w:rsid w:val="00AA6288"/>
    <w:rsid w:val="00AB0FBF"/>
    <w:rsid w:val="00AB2976"/>
    <w:rsid w:val="00AB2DAF"/>
    <w:rsid w:val="00AB44A8"/>
    <w:rsid w:val="00AB4962"/>
    <w:rsid w:val="00AB5A9E"/>
    <w:rsid w:val="00AB5D13"/>
    <w:rsid w:val="00AB6CF0"/>
    <w:rsid w:val="00AC05E9"/>
    <w:rsid w:val="00AC18D7"/>
    <w:rsid w:val="00AC249C"/>
    <w:rsid w:val="00AC2B50"/>
    <w:rsid w:val="00AC2E6A"/>
    <w:rsid w:val="00AC3716"/>
    <w:rsid w:val="00AC46D0"/>
    <w:rsid w:val="00AC7267"/>
    <w:rsid w:val="00AC741C"/>
    <w:rsid w:val="00AD05A6"/>
    <w:rsid w:val="00AD0AFB"/>
    <w:rsid w:val="00AD1DAF"/>
    <w:rsid w:val="00AD4443"/>
    <w:rsid w:val="00AD62AF"/>
    <w:rsid w:val="00AE001A"/>
    <w:rsid w:val="00AE0F77"/>
    <w:rsid w:val="00AE23F0"/>
    <w:rsid w:val="00AE2445"/>
    <w:rsid w:val="00AE3FCA"/>
    <w:rsid w:val="00AE4822"/>
    <w:rsid w:val="00AE52B8"/>
    <w:rsid w:val="00AE7AB3"/>
    <w:rsid w:val="00AE7BCB"/>
    <w:rsid w:val="00AE7C72"/>
    <w:rsid w:val="00AE7D7D"/>
    <w:rsid w:val="00AF0726"/>
    <w:rsid w:val="00AF1239"/>
    <w:rsid w:val="00AF24B2"/>
    <w:rsid w:val="00AF324B"/>
    <w:rsid w:val="00AF529C"/>
    <w:rsid w:val="00AF5345"/>
    <w:rsid w:val="00AF5B03"/>
    <w:rsid w:val="00AF60B7"/>
    <w:rsid w:val="00AF6F29"/>
    <w:rsid w:val="00B03791"/>
    <w:rsid w:val="00B051CC"/>
    <w:rsid w:val="00B0534C"/>
    <w:rsid w:val="00B1257C"/>
    <w:rsid w:val="00B12EB0"/>
    <w:rsid w:val="00B149A9"/>
    <w:rsid w:val="00B16981"/>
    <w:rsid w:val="00B17FF8"/>
    <w:rsid w:val="00B23E47"/>
    <w:rsid w:val="00B24279"/>
    <w:rsid w:val="00B24831"/>
    <w:rsid w:val="00B30A72"/>
    <w:rsid w:val="00B30CF7"/>
    <w:rsid w:val="00B30F3E"/>
    <w:rsid w:val="00B31AFC"/>
    <w:rsid w:val="00B3280B"/>
    <w:rsid w:val="00B33C29"/>
    <w:rsid w:val="00B34570"/>
    <w:rsid w:val="00B365C9"/>
    <w:rsid w:val="00B401A6"/>
    <w:rsid w:val="00B43BAA"/>
    <w:rsid w:val="00B46F5D"/>
    <w:rsid w:val="00B510D1"/>
    <w:rsid w:val="00B512D1"/>
    <w:rsid w:val="00B516F4"/>
    <w:rsid w:val="00B52302"/>
    <w:rsid w:val="00B52B57"/>
    <w:rsid w:val="00B5321A"/>
    <w:rsid w:val="00B53695"/>
    <w:rsid w:val="00B568D2"/>
    <w:rsid w:val="00B6021A"/>
    <w:rsid w:val="00B60D2B"/>
    <w:rsid w:val="00B61039"/>
    <w:rsid w:val="00B619E4"/>
    <w:rsid w:val="00B635F9"/>
    <w:rsid w:val="00B6394F"/>
    <w:rsid w:val="00B63F07"/>
    <w:rsid w:val="00B65FD9"/>
    <w:rsid w:val="00B66D4E"/>
    <w:rsid w:val="00B67FDC"/>
    <w:rsid w:val="00B708CF"/>
    <w:rsid w:val="00B71781"/>
    <w:rsid w:val="00B7222E"/>
    <w:rsid w:val="00B7336C"/>
    <w:rsid w:val="00B73CE2"/>
    <w:rsid w:val="00B7630C"/>
    <w:rsid w:val="00B763E9"/>
    <w:rsid w:val="00B77794"/>
    <w:rsid w:val="00B80677"/>
    <w:rsid w:val="00B81FD8"/>
    <w:rsid w:val="00B82437"/>
    <w:rsid w:val="00B829A8"/>
    <w:rsid w:val="00B829B3"/>
    <w:rsid w:val="00B85637"/>
    <w:rsid w:val="00B860F7"/>
    <w:rsid w:val="00B95065"/>
    <w:rsid w:val="00B95300"/>
    <w:rsid w:val="00B95CD4"/>
    <w:rsid w:val="00B96325"/>
    <w:rsid w:val="00B96E93"/>
    <w:rsid w:val="00B971AE"/>
    <w:rsid w:val="00B97AE8"/>
    <w:rsid w:val="00BA14A9"/>
    <w:rsid w:val="00BA4AB5"/>
    <w:rsid w:val="00BA56E7"/>
    <w:rsid w:val="00BB01C4"/>
    <w:rsid w:val="00BB1DDF"/>
    <w:rsid w:val="00BB21C1"/>
    <w:rsid w:val="00BB381E"/>
    <w:rsid w:val="00BB3B10"/>
    <w:rsid w:val="00BB4665"/>
    <w:rsid w:val="00BB4A4E"/>
    <w:rsid w:val="00BB56E7"/>
    <w:rsid w:val="00BC1CC8"/>
    <w:rsid w:val="00BC1FE4"/>
    <w:rsid w:val="00BC2D7C"/>
    <w:rsid w:val="00BC53AC"/>
    <w:rsid w:val="00BD062E"/>
    <w:rsid w:val="00BD2F2D"/>
    <w:rsid w:val="00BD3529"/>
    <w:rsid w:val="00BD467C"/>
    <w:rsid w:val="00BD4FC7"/>
    <w:rsid w:val="00BD6881"/>
    <w:rsid w:val="00BD7AA7"/>
    <w:rsid w:val="00BE0FE1"/>
    <w:rsid w:val="00BE3172"/>
    <w:rsid w:val="00BE4EA8"/>
    <w:rsid w:val="00BE56ED"/>
    <w:rsid w:val="00BE592A"/>
    <w:rsid w:val="00BF158F"/>
    <w:rsid w:val="00BF37C5"/>
    <w:rsid w:val="00BF3EE0"/>
    <w:rsid w:val="00BF4783"/>
    <w:rsid w:val="00BF5106"/>
    <w:rsid w:val="00BF5226"/>
    <w:rsid w:val="00BF5D19"/>
    <w:rsid w:val="00BF5D22"/>
    <w:rsid w:val="00BF709C"/>
    <w:rsid w:val="00C00867"/>
    <w:rsid w:val="00C0090F"/>
    <w:rsid w:val="00C032E9"/>
    <w:rsid w:val="00C0499C"/>
    <w:rsid w:val="00C04E50"/>
    <w:rsid w:val="00C053AA"/>
    <w:rsid w:val="00C05572"/>
    <w:rsid w:val="00C07E24"/>
    <w:rsid w:val="00C10130"/>
    <w:rsid w:val="00C1154C"/>
    <w:rsid w:val="00C11CA8"/>
    <w:rsid w:val="00C1350A"/>
    <w:rsid w:val="00C13B1E"/>
    <w:rsid w:val="00C14415"/>
    <w:rsid w:val="00C14439"/>
    <w:rsid w:val="00C14CC5"/>
    <w:rsid w:val="00C1592E"/>
    <w:rsid w:val="00C15D13"/>
    <w:rsid w:val="00C16203"/>
    <w:rsid w:val="00C16C11"/>
    <w:rsid w:val="00C17B97"/>
    <w:rsid w:val="00C2114D"/>
    <w:rsid w:val="00C24B34"/>
    <w:rsid w:val="00C31BFE"/>
    <w:rsid w:val="00C343BD"/>
    <w:rsid w:val="00C34DAD"/>
    <w:rsid w:val="00C3561A"/>
    <w:rsid w:val="00C36730"/>
    <w:rsid w:val="00C37F02"/>
    <w:rsid w:val="00C424A1"/>
    <w:rsid w:val="00C44960"/>
    <w:rsid w:val="00C44FAD"/>
    <w:rsid w:val="00C46EC8"/>
    <w:rsid w:val="00C51092"/>
    <w:rsid w:val="00C511C3"/>
    <w:rsid w:val="00C5191B"/>
    <w:rsid w:val="00C52F68"/>
    <w:rsid w:val="00C52FF7"/>
    <w:rsid w:val="00C533EE"/>
    <w:rsid w:val="00C546FF"/>
    <w:rsid w:val="00C54EF6"/>
    <w:rsid w:val="00C56178"/>
    <w:rsid w:val="00C57780"/>
    <w:rsid w:val="00C60B6C"/>
    <w:rsid w:val="00C652E3"/>
    <w:rsid w:val="00C65503"/>
    <w:rsid w:val="00C65DF2"/>
    <w:rsid w:val="00C674B4"/>
    <w:rsid w:val="00C67708"/>
    <w:rsid w:val="00C716A2"/>
    <w:rsid w:val="00C71B40"/>
    <w:rsid w:val="00C7326B"/>
    <w:rsid w:val="00C74392"/>
    <w:rsid w:val="00C74422"/>
    <w:rsid w:val="00C747A7"/>
    <w:rsid w:val="00C7736F"/>
    <w:rsid w:val="00C8203A"/>
    <w:rsid w:val="00C82712"/>
    <w:rsid w:val="00C8337E"/>
    <w:rsid w:val="00C8624C"/>
    <w:rsid w:val="00C86678"/>
    <w:rsid w:val="00C86F0B"/>
    <w:rsid w:val="00C917CF"/>
    <w:rsid w:val="00C924DE"/>
    <w:rsid w:val="00C92B2B"/>
    <w:rsid w:val="00C93F32"/>
    <w:rsid w:val="00C94775"/>
    <w:rsid w:val="00C94D3F"/>
    <w:rsid w:val="00C95BEA"/>
    <w:rsid w:val="00C95D73"/>
    <w:rsid w:val="00C96FBB"/>
    <w:rsid w:val="00CA35D6"/>
    <w:rsid w:val="00CA492E"/>
    <w:rsid w:val="00CA4C09"/>
    <w:rsid w:val="00CA4FA9"/>
    <w:rsid w:val="00CA5D56"/>
    <w:rsid w:val="00CA626C"/>
    <w:rsid w:val="00CA6DEF"/>
    <w:rsid w:val="00CB33D1"/>
    <w:rsid w:val="00CB4D1B"/>
    <w:rsid w:val="00CB58E4"/>
    <w:rsid w:val="00CB685E"/>
    <w:rsid w:val="00CC1780"/>
    <w:rsid w:val="00CC1B6E"/>
    <w:rsid w:val="00CC2F13"/>
    <w:rsid w:val="00CC3591"/>
    <w:rsid w:val="00CC680F"/>
    <w:rsid w:val="00CC6F10"/>
    <w:rsid w:val="00CC7BDF"/>
    <w:rsid w:val="00CD3C2B"/>
    <w:rsid w:val="00CD7E41"/>
    <w:rsid w:val="00CE0098"/>
    <w:rsid w:val="00CE0269"/>
    <w:rsid w:val="00CE1728"/>
    <w:rsid w:val="00CE4325"/>
    <w:rsid w:val="00CE47F3"/>
    <w:rsid w:val="00CE4A39"/>
    <w:rsid w:val="00CE5C43"/>
    <w:rsid w:val="00CE7924"/>
    <w:rsid w:val="00CE7E1F"/>
    <w:rsid w:val="00CF1C62"/>
    <w:rsid w:val="00CF20B2"/>
    <w:rsid w:val="00CF2586"/>
    <w:rsid w:val="00CF540D"/>
    <w:rsid w:val="00CF7239"/>
    <w:rsid w:val="00D00292"/>
    <w:rsid w:val="00D018D6"/>
    <w:rsid w:val="00D01A60"/>
    <w:rsid w:val="00D01B22"/>
    <w:rsid w:val="00D01B55"/>
    <w:rsid w:val="00D02682"/>
    <w:rsid w:val="00D03E15"/>
    <w:rsid w:val="00D07D5D"/>
    <w:rsid w:val="00D07DF0"/>
    <w:rsid w:val="00D13147"/>
    <w:rsid w:val="00D14818"/>
    <w:rsid w:val="00D15111"/>
    <w:rsid w:val="00D155A6"/>
    <w:rsid w:val="00D167ED"/>
    <w:rsid w:val="00D17005"/>
    <w:rsid w:val="00D20922"/>
    <w:rsid w:val="00D21F6E"/>
    <w:rsid w:val="00D2215E"/>
    <w:rsid w:val="00D22CFE"/>
    <w:rsid w:val="00D23AB2"/>
    <w:rsid w:val="00D24640"/>
    <w:rsid w:val="00D27104"/>
    <w:rsid w:val="00D2786E"/>
    <w:rsid w:val="00D30AFB"/>
    <w:rsid w:val="00D31C1B"/>
    <w:rsid w:val="00D33A1A"/>
    <w:rsid w:val="00D353A8"/>
    <w:rsid w:val="00D36A75"/>
    <w:rsid w:val="00D3795B"/>
    <w:rsid w:val="00D4149E"/>
    <w:rsid w:val="00D42242"/>
    <w:rsid w:val="00D422A1"/>
    <w:rsid w:val="00D43798"/>
    <w:rsid w:val="00D44D40"/>
    <w:rsid w:val="00D45208"/>
    <w:rsid w:val="00D45334"/>
    <w:rsid w:val="00D45568"/>
    <w:rsid w:val="00D47B2B"/>
    <w:rsid w:val="00D50A75"/>
    <w:rsid w:val="00D50D35"/>
    <w:rsid w:val="00D51C6E"/>
    <w:rsid w:val="00D5452C"/>
    <w:rsid w:val="00D56619"/>
    <w:rsid w:val="00D57FC7"/>
    <w:rsid w:val="00D609E5"/>
    <w:rsid w:val="00D61C56"/>
    <w:rsid w:val="00D636FC"/>
    <w:rsid w:val="00D651BC"/>
    <w:rsid w:val="00D66971"/>
    <w:rsid w:val="00D67FA5"/>
    <w:rsid w:val="00D70205"/>
    <w:rsid w:val="00D708B7"/>
    <w:rsid w:val="00D72572"/>
    <w:rsid w:val="00D73234"/>
    <w:rsid w:val="00D755A7"/>
    <w:rsid w:val="00D75627"/>
    <w:rsid w:val="00D80173"/>
    <w:rsid w:val="00D823A9"/>
    <w:rsid w:val="00D83FB6"/>
    <w:rsid w:val="00D85B57"/>
    <w:rsid w:val="00D85C56"/>
    <w:rsid w:val="00D90217"/>
    <w:rsid w:val="00D90FFF"/>
    <w:rsid w:val="00D91F7D"/>
    <w:rsid w:val="00D924F2"/>
    <w:rsid w:val="00D92A8D"/>
    <w:rsid w:val="00D93ABB"/>
    <w:rsid w:val="00D95334"/>
    <w:rsid w:val="00D958FB"/>
    <w:rsid w:val="00D95989"/>
    <w:rsid w:val="00D95C6B"/>
    <w:rsid w:val="00D96C89"/>
    <w:rsid w:val="00D97320"/>
    <w:rsid w:val="00DA19DF"/>
    <w:rsid w:val="00DA2FCD"/>
    <w:rsid w:val="00DA36D0"/>
    <w:rsid w:val="00DA37D5"/>
    <w:rsid w:val="00DA52E8"/>
    <w:rsid w:val="00DA5C1B"/>
    <w:rsid w:val="00DA5DB1"/>
    <w:rsid w:val="00DA6657"/>
    <w:rsid w:val="00DA6836"/>
    <w:rsid w:val="00DA6A89"/>
    <w:rsid w:val="00DB066C"/>
    <w:rsid w:val="00DB0A77"/>
    <w:rsid w:val="00DB4220"/>
    <w:rsid w:val="00DB4A45"/>
    <w:rsid w:val="00DB5827"/>
    <w:rsid w:val="00DC0ACB"/>
    <w:rsid w:val="00DC24BB"/>
    <w:rsid w:val="00DC260A"/>
    <w:rsid w:val="00DC3C2D"/>
    <w:rsid w:val="00DC4698"/>
    <w:rsid w:val="00DC54A4"/>
    <w:rsid w:val="00DC760F"/>
    <w:rsid w:val="00DD078F"/>
    <w:rsid w:val="00DD08D8"/>
    <w:rsid w:val="00DD2C65"/>
    <w:rsid w:val="00DD3E7A"/>
    <w:rsid w:val="00DD41AE"/>
    <w:rsid w:val="00DD491D"/>
    <w:rsid w:val="00DD59AF"/>
    <w:rsid w:val="00DD7163"/>
    <w:rsid w:val="00DD7BB6"/>
    <w:rsid w:val="00DE1AE3"/>
    <w:rsid w:val="00DE4E8D"/>
    <w:rsid w:val="00DE5012"/>
    <w:rsid w:val="00DE591C"/>
    <w:rsid w:val="00DE68E0"/>
    <w:rsid w:val="00DE6C37"/>
    <w:rsid w:val="00DF018A"/>
    <w:rsid w:val="00DF20F8"/>
    <w:rsid w:val="00DF3207"/>
    <w:rsid w:val="00DF3C21"/>
    <w:rsid w:val="00DF6487"/>
    <w:rsid w:val="00DF796E"/>
    <w:rsid w:val="00E00E5A"/>
    <w:rsid w:val="00E011B0"/>
    <w:rsid w:val="00E0203D"/>
    <w:rsid w:val="00E126E0"/>
    <w:rsid w:val="00E1406B"/>
    <w:rsid w:val="00E15E12"/>
    <w:rsid w:val="00E1655E"/>
    <w:rsid w:val="00E206FA"/>
    <w:rsid w:val="00E22F11"/>
    <w:rsid w:val="00E23C48"/>
    <w:rsid w:val="00E25363"/>
    <w:rsid w:val="00E263F2"/>
    <w:rsid w:val="00E273FA"/>
    <w:rsid w:val="00E27E4C"/>
    <w:rsid w:val="00E301EE"/>
    <w:rsid w:val="00E32609"/>
    <w:rsid w:val="00E3342F"/>
    <w:rsid w:val="00E3395C"/>
    <w:rsid w:val="00E34CF0"/>
    <w:rsid w:val="00E36BE2"/>
    <w:rsid w:val="00E3755B"/>
    <w:rsid w:val="00E377BE"/>
    <w:rsid w:val="00E37CC9"/>
    <w:rsid w:val="00E4109B"/>
    <w:rsid w:val="00E428A2"/>
    <w:rsid w:val="00E43930"/>
    <w:rsid w:val="00E44872"/>
    <w:rsid w:val="00E44C06"/>
    <w:rsid w:val="00E45CD7"/>
    <w:rsid w:val="00E45DC9"/>
    <w:rsid w:val="00E4759B"/>
    <w:rsid w:val="00E51DB1"/>
    <w:rsid w:val="00E520B4"/>
    <w:rsid w:val="00E54201"/>
    <w:rsid w:val="00E544CF"/>
    <w:rsid w:val="00E5485A"/>
    <w:rsid w:val="00E568E1"/>
    <w:rsid w:val="00E5706C"/>
    <w:rsid w:val="00E60695"/>
    <w:rsid w:val="00E61043"/>
    <w:rsid w:val="00E61CF3"/>
    <w:rsid w:val="00E61E4D"/>
    <w:rsid w:val="00E64ACB"/>
    <w:rsid w:val="00E6515F"/>
    <w:rsid w:val="00E65370"/>
    <w:rsid w:val="00E65AAE"/>
    <w:rsid w:val="00E6731C"/>
    <w:rsid w:val="00E674E5"/>
    <w:rsid w:val="00E67CE7"/>
    <w:rsid w:val="00E7024A"/>
    <w:rsid w:val="00E70F40"/>
    <w:rsid w:val="00E723F7"/>
    <w:rsid w:val="00E73A5A"/>
    <w:rsid w:val="00E74D0B"/>
    <w:rsid w:val="00E75047"/>
    <w:rsid w:val="00E75B91"/>
    <w:rsid w:val="00E75F52"/>
    <w:rsid w:val="00E7781F"/>
    <w:rsid w:val="00E824FD"/>
    <w:rsid w:val="00E831FE"/>
    <w:rsid w:val="00E83879"/>
    <w:rsid w:val="00E83953"/>
    <w:rsid w:val="00E85690"/>
    <w:rsid w:val="00E8596C"/>
    <w:rsid w:val="00E8646A"/>
    <w:rsid w:val="00E865C0"/>
    <w:rsid w:val="00E900AF"/>
    <w:rsid w:val="00E915C3"/>
    <w:rsid w:val="00E9198B"/>
    <w:rsid w:val="00E91EBD"/>
    <w:rsid w:val="00E94124"/>
    <w:rsid w:val="00E94595"/>
    <w:rsid w:val="00E94FC2"/>
    <w:rsid w:val="00E959CA"/>
    <w:rsid w:val="00E95C92"/>
    <w:rsid w:val="00E960A7"/>
    <w:rsid w:val="00E96DCC"/>
    <w:rsid w:val="00E97CC8"/>
    <w:rsid w:val="00EA04AA"/>
    <w:rsid w:val="00EA2171"/>
    <w:rsid w:val="00EA3C71"/>
    <w:rsid w:val="00EA544B"/>
    <w:rsid w:val="00EA66BE"/>
    <w:rsid w:val="00EA6EA0"/>
    <w:rsid w:val="00EA7A2B"/>
    <w:rsid w:val="00EB0134"/>
    <w:rsid w:val="00EB0371"/>
    <w:rsid w:val="00EB14C9"/>
    <w:rsid w:val="00EB336C"/>
    <w:rsid w:val="00EB572D"/>
    <w:rsid w:val="00EB654E"/>
    <w:rsid w:val="00EB6D4C"/>
    <w:rsid w:val="00EB7238"/>
    <w:rsid w:val="00EB7BF9"/>
    <w:rsid w:val="00EC0A15"/>
    <w:rsid w:val="00EC1815"/>
    <w:rsid w:val="00EC1E91"/>
    <w:rsid w:val="00EC43CF"/>
    <w:rsid w:val="00EC55CB"/>
    <w:rsid w:val="00EC5F3F"/>
    <w:rsid w:val="00EC606D"/>
    <w:rsid w:val="00ED073D"/>
    <w:rsid w:val="00ED1FFF"/>
    <w:rsid w:val="00ED26C2"/>
    <w:rsid w:val="00ED2C92"/>
    <w:rsid w:val="00ED471A"/>
    <w:rsid w:val="00EE01C3"/>
    <w:rsid w:val="00EE1A02"/>
    <w:rsid w:val="00EE1D08"/>
    <w:rsid w:val="00EE26A9"/>
    <w:rsid w:val="00EE4B4E"/>
    <w:rsid w:val="00EE53F9"/>
    <w:rsid w:val="00EE6DB9"/>
    <w:rsid w:val="00EE75DA"/>
    <w:rsid w:val="00EE7C3F"/>
    <w:rsid w:val="00EF1E8E"/>
    <w:rsid w:val="00EF47BB"/>
    <w:rsid w:val="00EF67C4"/>
    <w:rsid w:val="00F002DC"/>
    <w:rsid w:val="00F00618"/>
    <w:rsid w:val="00F01ED5"/>
    <w:rsid w:val="00F03D1A"/>
    <w:rsid w:val="00F0789D"/>
    <w:rsid w:val="00F079D6"/>
    <w:rsid w:val="00F1138D"/>
    <w:rsid w:val="00F11576"/>
    <w:rsid w:val="00F115AA"/>
    <w:rsid w:val="00F117D2"/>
    <w:rsid w:val="00F12BCE"/>
    <w:rsid w:val="00F13B37"/>
    <w:rsid w:val="00F13F24"/>
    <w:rsid w:val="00F16B41"/>
    <w:rsid w:val="00F17700"/>
    <w:rsid w:val="00F20B69"/>
    <w:rsid w:val="00F221C6"/>
    <w:rsid w:val="00F22F18"/>
    <w:rsid w:val="00F23700"/>
    <w:rsid w:val="00F2448E"/>
    <w:rsid w:val="00F245C8"/>
    <w:rsid w:val="00F25155"/>
    <w:rsid w:val="00F275D7"/>
    <w:rsid w:val="00F27BAF"/>
    <w:rsid w:val="00F30D32"/>
    <w:rsid w:val="00F316BC"/>
    <w:rsid w:val="00F320EE"/>
    <w:rsid w:val="00F33B5B"/>
    <w:rsid w:val="00F357A0"/>
    <w:rsid w:val="00F36DEA"/>
    <w:rsid w:val="00F37E09"/>
    <w:rsid w:val="00F4071A"/>
    <w:rsid w:val="00F41612"/>
    <w:rsid w:val="00F416C6"/>
    <w:rsid w:val="00F42211"/>
    <w:rsid w:val="00F42912"/>
    <w:rsid w:val="00F42EAB"/>
    <w:rsid w:val="00F4406F"/>
    <w:rsid w:val="00F552CE"/>
    <w:rsid w:val="00F57151"/>
    <w:rsid w:val="00F6136F"/>
    <w:rsid w:val="00F61E47"/>
    <w:rsid w:val="00F61E7A"/>
    <w:rsid w:val="00F62C65"/>
    <w:rsid w:val="00F6436F"/>
    <w:rsid w:val="00F6596E"/>
    <w:rsid w:val="00F65A44"/>
    <w:rsid w:val="00F66210"/>
    <w:rsid w:val="00F6679F"/>
    <w:rsid w:val="00F677B4"/>
    <w:rsid w:val="00F678BC"/>
    <w:rsid w:val="00F67CAA"/>
    <w:rsid w:val="00F704B9"/>
    <w:rsid w:val="00F70D0E"/>
    <w:rsid w:val="00F72F47"/>
    <w:rsid w:val="00F74ACA"/>
    <w:rsid w:val="00F753F1"/>
    <w:rsid w:val="00F75BD3"/>
    <w:rsid w:val="00F76A3E"/>
    <w:rsid w:val="00F77A26"/>
    <w:rsid w:val="00F77DD4"/>
    <w:rsid w:val="00F82796"/>
    <w:rsid w:val="00F8383B"/>
    <w:rsid w:val="00F839E2"/>
    <w:rsid w:val="00F83CA0"/>
    <w:rsid w:val="00F856C6"/>
    <w:rsid w:val="00F86243"/>
    <w:rsid w:val="00F9179C"/>
    <w:rsid w:val="00F94514"/>
    <w:rsid w:val="00F948AD"/>
    <w:rsid w:val="00F9624E"/>
    <w:rsid w:val="00FA028D"/>
    <w:rsid w:val="00FA1AF8"/>
    <w:rsid w:val="00FA1D06"/>
    <w:rsid w:val="00FA24AC"/>
    <w:rsid w:val="00FA38FF"/>
    <w:rsid w:val="00FA5AF5"/>
    <w:rsid w:val="00FA68F1"/>
    <w:rsid w:val="00FB028A"/>
    <w:rsid w:val="00FB1F7D"/>
    <w:rsid w:val="00FB251D"/>
    <w:rsid w:val="00FB2A4D"/>
    <w:rsid w:val="00FB41F7"/>
    <w:rsid w:val="00FB7B46"/>
    <w:rsid w:val="00FC01D2"/>
    <w:rsid w:val="00FC02D5"/>
    <w:rsid w:val="00FC1356"/>
    <w:rsid w:val="00FC3379"/>
    <w:rsid w:val="00FC4E8E"/>
    <w:rsid w:val="00FC5526"/>
    <w:rsid w:val="00FC564F"/>
    <w:rsid w:val="00FC7166"/>
    <w:rsid w:val="00FC7ACD"/>
    <w:rsid w:val="00FD146A"/>
    <w:rsid w:val="00FD1DDA"/>
    <w:rsid w:val="00FD1DF3"/>
    <w:rsid w:val="00FD4B4C"/>
    <w:rsid w:val="00FD58F7"/>
    <w:rsid w:val="00FD7FDC"/>
    <w:rsid w:val="00FE0061"/>
    <w:rsid w:val="00FE277E"/>
    <w:rsid w:val="00FE38BE"/>
    <w:rsid w:val="00FE4ECF"/>
    <w:rsid w:val="00FE52C6"/>
    <w:rsid w:val="00FE58DA"/>
    <w:rsid w:val="00FE60EA"/>
    <w:rsid w:val="00FE624D"/>
    <w:rsid w:val="00FE63F6"/>
    <w:rsid w:val="00FE7671"/>
    <w:rsid w:val="00FE7A5E"/>
    <w:rsid w:val="00FE7C89"/>
    <w:rsid w:val="00FF1283"/>
    <w:rsid w:val="00FF1529"/>
    <w:rsid w:val="00FF2530"/>
    <w:rsid w:val="00FF4296"/>
    <w:rsid w:val="00FF4940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EA0"/>
  <w15:docId w15:val="{5BB9929F-86C1-42A4-AD18-5388219F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0867F0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963AF"/>
    <w:pPr>
      <w:spacing w:before="120"/>
      <w:jc w:val="center"/>
    </w:pPr>
    <w:rPr>
      <w:rFonts w:ascii="Cambria" w:hAnsi="Cambria"/>
      <w:b/>
      <w:iCs/>
      <w:color w:val="00457D"/>
      <w:sz w:val="18"/>
      <w:szCs w:val="18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4E7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13B37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BD7AA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DD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5874-D41E-408D-B0CF-92E7A79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5</cp:revision>
  <cp:lastPrinted>2014-01-27T15:53:00Z</cp:lastPrinted>
  <dcterms:created xsi:type="dcterms:W3CDTF">2024-10-22T14:17:00Z</dcterms:created>
  <dcterms:modified xsi:type="dcterms:W3CDTF">2024-10-22T14:22:00Z</dcterms:modified>
</cp:coreProperties>
</file>