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79DC" w14:textId="27F96C2D" w:rsidR="00A25C9B" w:rsidRPr="0036479F" w:rsidRDefault="00C8624C" w:rsidP="006861AE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  <w:r w:rsidR="00862A34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36479F" w:rsidRPr="0036479F">
        <w:rPr>
          <w:rFonts w:ascii="Calibri" w:eastAsia="Calibri" w:hAnsi="Calibri" w:cs="Times New Roman"/>
          <w:b/>
          <w:bCs/>
          <w:sz w:val="36"/>
          <w:szCs w:val="36"/>
        </w:rPr>
        <w:t xml:space="preserve">DECRETO ANZIANI: 14 MILIONI </w:t>
      </w:r>
      <w:r w:rsidR="00C0347C">
        <w:rPr>
          <w:rFonts w:ascii="Calibri" w:eastAsia="Calibri" w:hAnsi="Calibri" w:cs="Times New Roman"/>
          <w:b/>
          <w:bCs/>
          <w:sz w:val="36"/>
          <w:szCs w:val="36"/>
        </w:rPr>
        <w:t>DI PERSONE</w:t>
      </w:r>
      <w:bookmarkStart w:id="0" w:name="_GoBack"/>
      <w:bookmarkEnd w:id="0"/>
      <w:r w:rsidR="00C0347C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36479F" w:rsidRPr="0036479F">
        <w:rPr>
          <w:rFonts w:ascii="Calibri" w:eastAsia="Calibri" w:hAnsi="Calibri" w:cs="Times New Roman"/>
          <w:b/>
          <w:bCs/>
          <w:sz w:val="36"/>
          <w:szCs w:val="36"/>
        </w:rPr>
        <w:t xml:space="preserve">IN ATTESA DEL PROVVEDIMENTO, MA </w:t>
      </w:r>
      <w:r w:rsidR="00C0347C">
        <w:rPr>
          <w:rFonts w:ascii="Calibri" w:eastAsia="Calibri" w:hAnsi="Calibri" w:cs="Times New Roman"/>
          <w:b/>
          <w:bCs/>
          <w:sz w:val="36"/>
          <w:szCs w:val="36"/>
        </w:rPr>
        <w:t xml:space="preserve">NON </w:t>
      </w:r>
      <w:r w:rsidR="00E15129">
        <w:rPr>
          <w:rFonts w:ascii="Calibri" w:eastAsia="Calibri" w:hAnsi="Calibri" w:cs="Times New Roman"/>
          <w:b/>
          <w:bCs/>
          <w:sz w:val="36"/>
          <w:szCs w:val="36"/>
        </w:rPr>
        <w:t>CI SONO RISORSE AGGIUNTIVE</w:t>
      </w:r>
      <w:r w:rsidR="0036479F" w:rsidRPr="0036479F">
        <w:rPr>
          <w:rFonts w:ascii="Calibri" w:eastAsia="Calibri" w:hAnsi="Calibri" w:cs="Times New Roman"/>
          <w:b/>
          <w:bCs/>
          <w:sz w:val="36"/>
          <w:szCs w:val="36"/>
        </w:rPr>
        <w:t>.</w:t>
      </w:r>
      <w:r w:rsidR="006861AE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36479F" w:rsidRPr="0036479F">
        <w:rPr>
          <w:rFonts w:ascii="Calibri" w:eastAsia="Calibri" w:hAnsi="Calibri" w:cs="Times New Roman"/>
          <w:b/>
          <w:bCs/>
          <w:sz w:val="36"/>
          <w:szCs w:val="36"/>
        </w:rPr>
        <w:t>ACCESSO AI SERVIZI SOCIO-SANITARI: INACCETTABILI DISEGUAGLIANZE TRA NORD E SUD</w:t>
      </w:r>
      <w:r w:rsidR="0036479F">
        <w:rPr>
          <w:rFonts w:ascii="Calibri" w:eastAsia="Calibri" w:hAnsi="Calibri" w:cs="Times New Roman"/>
          <w:b/>
          <w:bCs/>
          <w:sz w:val="36"/>
          <w:szCs w:val="36"/>
        </w:rPr>
        <w:t>.</w:t>
      </w:r>
    </w:p>
    <w:p w14:paraId="6A09CBC7" w14:textId="6E86FC51" w:rsidR="00925B50" w:rsidRPr="00925B50" w:rsidRDefault="00CE5C43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6861AE">
        <w:rPr>
          <w:rFonts w:ascii="Calibri" w:eastAsia="Calibri" w:hAnsi="Calibri" w:cs="Times New Roman"/>
          <w:b/>
          <w:bCs/>
          <w:sz w:val="24"/>
          <w:szCs w:val="24"/>
        </w:rPr>
        <w:t>4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B3614">
        <w:rPr>
          <w:rFonts w:ascii="Calibri" w:eastAsia="Calibri" w:hAnsi="Calibri" w:cs="Times New Roman"/>
          <w:b/>
          <w:bCs/>
          <w:sz w:val="24"/>
          <w:szCs w:val="24"/>
        </w:rPr>
        <w:t>febbraio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0B3614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14DB8FDA" w14:textId="5C4D1187" w:rsidR="00C45662" w:rsidRDefault="00EF1E8E" w:rsidP="00CE4325">
      <w:pPr>
        <w:jc w:val="both"/>
      </w:pPr>
      <w:r w:rsidRPr="00EF1E8E">
        <w:t xml:space="preserve">Si è </w:t>
      </w:r>
      <w:r w:rsidR="00D20AB0">
        <w:t>svolta questa mattina</w:t>
      </w:r>
      <w:r w:rsidRPr="00EF1E8E">
        <w:t xml:space="preserve">, presso la </w:t>
      </w:r>
      <w:r w:rsidR="00F20B69" w:rsidRPr="00F20B69">
        <w:t>10</w:t>
      </w:r>
      <w:r w:rsidR="00F20B69" w:rsidRPr="00436368">
        <w:rPr>
          <w:vertAlign w:val="superscript"/>
        </w:rPr>
        <w:t>a</w:t>
      </w:r>
      <w:r w:rsidR="00F20B69" w:rsidRPr="00F20B69">
        <w:t xml:space="preserve"> Commissione</w:t>
      </w:r>
      <w:r w:rsidR="00F20B69">
        <w:t xml:space="preserve"> </w:t>
      </w:r>
      <w:r w:rsidR="00F20B69" w:rsidRPr="00F20B69">
        <w:t>Affari sociali, sanità, lavoro pubblico e privato, previdenza sociale</w:t>
      </w:r>
      <w:r w:rsidR="00F20B69">
        <w:t xml:space="preserve"> del Senato della Repubblica </w:t>
      </w:r>
      <w:r w:rsidRPr="00EF1E8E">
        <w:t xml:space="preserve">l’audizione della Fondazione GIMBE </w:t>
      </w:r>
      <w:r>
        <w:t>nell’ambito</w:t>
      </w:r>
      <w:r w:rsidR="000B3614">
        <w:t xml:space="preserve"> </w:t>
      </w:r>
      <w:r w:rsidR="000B3614" w:rsidRPr="000B3614">
        <w:t>dell</w:t>
      </w:r>
      <w:r w:rsidR="00D20AB0">
        <w:t>’</w:t>
      </w:r>
      <w:r w:rsidR="000B3614" w:rsidRPr="000B3614">
        <w:t xml:space="preserve">esame dell’atto del Governo n. 121, </w:t>
      </w:r>
      <w:r w:rsidR="00C45662">
        <w:t>“</w:t>
      </w:r>
      <w:r w:rsidR="000B3614" w:rsidRPr="00FE5197">
        <w:rPr>
          <w:b/>
          <w:bCs/>
        </w:rPr>
        <w:t>Schema di decreto legislativo recante politiche in favore delle persone anziane</w:t>
      </w:r>
      <w:r w:rsidR="00C45662">
        <w:t>”</w:t>
      </w:r>
      <w:r w:rsidR="00247E23">
        <w:t>, cd</w:t>
      </w:r>
      <w:r w:rsidR="00E15129">
        <w:t xml:space="preserve">. </w:t>
      </w:r>
      <w:r w:rsidR="00247E23">
        <w:t>“</w:t>
      </w:r>
      <w:r w:rsidR="00C0347C">
        <w:t>D</w:t>
      </w:r>
      <w:r w:rsidR="00247E23">
        <w:t xml:space="preserve">ecreto </w:t>
      </w:r>
      <w:r w:rsidR="00C0347C">
        <w:t>a</w:t>
      </w:r>
      <w:r w:rsidR="00247E23">
        <w:t>nziani”</w:t>
      </w:r>
      <w:r w:rsidR="00E15129">
        <w:t>.</w:t>
      </w:r>
    </w:p>
    <w:p w14:paraId="462A49A7" w14:textId="02A6D2E1" w:rsidR="00B9426D" w:rsidRDefault="00EF1E8E" w:rsidP="00CE4325">
      <w:pPr>
        <w:spacing w:after="0"/>
        <w:jc w:val="both"/>
      </w:pPr>
      <w:r w:rsidRPr="005838AE">
        <w:rPr>
          <w:rFonts w:cstheme="minorHAnsi"/>
        </w:rPr>
        <w:t>«</w:t>
      </w:r>
      <w:r w:rsidR="004840BB">
        <w:rPr>
          <w:rFonts w:cstheme="minorHAnsi"/>
        </w:rPr>
        <w:t>Lo schema d</w:t>
      </w:r>
      <w:r w:rsidR="00247E23">
        <w:rPr>
          <w:rFonts w:cstheme="minorHAnsi"/>
        </w:rPr>
        <w:t xml:space="preserve">el </w:t>
      </w:r>
      <w:r w:rsidR="00C0347C">
        <w:rPr>
          <w:rFonts w:cstheme="minorHAnsi"/>
        </w:rPr>
        <w:t>D</w:t>
      </w:r>
      <w:r w:rsidR="00247E23">
        <w:rPr>
          <w:rFonts w:cstheme="minorHAnsi"/>
        </w:rPr>
        <w:t xml:space="preserve">ecreto anziani </w:t>
      </w:r>
      <w:r w:rsidR="004840BB">
        <w:rPr>
          <w:rFonts w:cstheme="minorHAnsi"/>
        </w:rPr>
        <w:t xml:space="preserve">predisposto dal Governo </w:t>
      </w:r>
      <w:r w:rsidR="00D50A75" w:rsidRPr="005838AE">
        <w:rPr>
          <w:rFonts w:cstheme="minorHAnsi"/>
        </w:rPr>
        <w:t>–</w:t>
      </w:r>
      <w:r w:rsidR="00CE4325">
        <w:rPr>
          <w:rFonts w:cstheme="minorHAnsi"/>
        </w:rPr>
        <w:t xml:space="preserve"> </w:t>
      </w:r>
      <w:r>
        <w:t xml:space="preserve">ha </w:t>
      </w:r>
      <w:r w:rsidR="00F20B69">
        <w:t>esordito</w:t>
      </w:r>
      <w:r w:rsidRPr="005838AE">
        <w:t xml:space="preserve"> Nino Cartabellotta, Pre</w:t>
      </w:r>
      <w:r w:rsidR="004305D3">
        <w:t xml:space="preserve">sidente della Fondazione GIMBE </w:t>
      </w:r>
      <w:r w:rsidRPr="005838AE">
        <w:rPr>
          <w:rFonts w:cstheme="minorHAnsi"/>
        </w:rPr>
        <w:t>–</w:t>
      </w:r>
      <w:r w:rsidR="004840BB">
        <w:rPr>
          <w:rFonts w:cstheme="minorHAnsi"/>
        </w:rPr>
        <w:t xml:space="preserve"> rappresenta </w:t>
      </w:r>
      <w:r w:rsidR="000C3822">
        <w:rPr>
          <w:rFonts w:cstheme="minorHAnsi"/>
        </w:rPr>
        <w:t xml:space="preserve">indubbiamente </w:t>
      </w:r>
      <w:r w:rsidR="00D20AB0">
        <w:rPr>
          <w:rFonts w:cstheme="minorHAnsi"/>
        </w:rPr>
        <w:t>un grande passo</w:t>
      </w:r>
      <w:r w:rsidR="008B76E2">
        <w:rPr>
          <w:rFonts w:cstheme="minorHAnsi"/>
        </w:rPr>
        <w:t xml:space="preserve"> per rispondere</w:t>
      </w:r>
      <w:r w:rsidR="00E15129">
        <w:rPr>
          <w:rFonts w:cstheme="minorHAnsi"/>
        </w:rPr>
        <w:t xml:space="preserve"> </w:t>
      </w:r>
      <w:r w:rsidR="004840BB">
        <w:rPr>
          <w:rFonts w:cstheme="minorHAnsi"/>
        </w:rPr>
        <w:t>ai bisogn</w:t>
      </w:r>
      <w:r w:rsidR="00B9426D">
        <w:rPr>
          <w:rFonts w:cstheme="minorHAnsi"/>
        </w:rPr>
        <w:t>i</w:t>
      </w:r>
      <w:r w:rsidR="004840BB">
        <w:rPr>
          <w:rFonts w:cstheme="minorHAnsi"/>
        </w:rPr>
        <w:t xml:space="preserve"> di oltre 14 milioni di persone anziane che, insieme a familiari e caregiver</w:t>
      </w:r>
      <w:r w:rsidR="00B9426D">
        <w:rPr>
          <w:rFonts w:cstheme="minorHAnsi"/>
        </w:rPr>
        <w:t>,</w:t>
      </w:r>
      <w:r w:rsidR="004840BB">
        <w:rPr>
          <w:rFonts w:cstheme="minorHAnsi"/>
        </w:rPr>
        <w:t xml:space="preserve"> ogni giorno affrontano difficoltà, disagi e fenomeni di impoverimento economico. </w:t>
      </w:r>
      <w:r w:rsidR="00D20AB0">
        <w:rPr>
          <w:rFonts w:cstheme="minorHAnsi"/>
        </w:rPr>
        <w:t>Situazioni a</w:t>
      </w:r>
      <w:r w:rsidR="000C3822">
        <w:rPr>
          <w:rFonts w:cstheme="minorHAnsi"/>
        </w:rPr>
        <w:t xml:space="preserve">ggravate dalle enormi </w:t>
      </w:r>
      <w:r w:rsidR="004840BB">
        <w:rPr>
          <w:rFonts w:cstheme="minorHAnsi"/>
        </w:rPr>
        <w:t>diseguaglianze nell’erogazione dei servizi socio-sanitari</w:t>
      </w:r>
      <w:r w:rsidR="000C3822">
        <w:rPr>
          <w:rFonts w:cstheme="minorHAnsi"/>
        </w:rPr>
        <w:t>, sia tra</w:t>
      </w:r>
      <w:r w:rsidR="000C3822" w:rsidRPr="000C3822">
        <w:rPr>
          <w:rFonts w:cstheme="minorHAnsi"/>
        </w:rPr>
        <w:t xml:space="preserve"> </w:t>
      </w:r>
      <w:r w:rsidR="000C3822">
        <w:rPr>
          <w:rFonts w:cstheme="minorHAnsi"/>
        </w:rPr>
        <w:t>le Regioni, in particolare tra Nord e Sud, sia tra aree urbane e</w:t>
      </w:r>
      <w:r w:rsidR="00D20AB0">
        <w:rPr>
          <w:rFonts w:cstheme="minorHAnsi"/>
        </w:rPr>
        <w:t xml:space="preserve"> </w:t>
      </w:r>
      <w:r w:rsidR="000C3822">
        <w:rPr>
          <w:rFonts w:cstheme="minorHAnsi"/>
        </w:rPr>
        <w:t>rurali</w:t>
      </w:r>
      <w:r w:rsidRPr="005838AE">
        <w:t>».</w:t>
      </w:r>
      <w:r w:rsidR="00F20B69">
        <w:t xml:space="preserve"> </w:t>
      </w:r>
      <w:r w:rsidR="00427D4C">
        <w:t xml:space="preserve"> </w:t>
      </w:r>
    </w:p>
    <w:p w14:paraId="5F5872FE" w14:textId="77777777" w:rsidR="00F20B69" w:rsidRDefault="00F20B69" w:rsidP="00CE4325">
      <w:pPr>
        <w:spacing w:after="0"/>
        <w:jc w:val="both"/>
        <w:rPr>
          <w:rFonts w:cstheme="minorHAnsi"/>
        </w:rPr>
      </w:pPr>
    </w:p>
    <w:p w14:paraId="5F40669E" w14:textId="08771AD5" w:rsidR="00436368" w:rsidRDefault="00F20B69" w:rsidP="00CE4325">
      <w:pPr>
        <w:spacing w:after="0"/>
        <w:jc w:val="both"/>
      </w:pPr>
      <w:r w:rsidRPr="005838AE">
        <w:rPr>
          <w:rFonts w:cstheme="minorHAnsi"/>
        </w:rPr>
        <w:t>«</w:t>
      </w:r>
      <w:r w:rsidR="00E15129">
        <w:rPr>
          <w:rFonts w:cstheme="minorHAnsi"/>
        </w:rPr>
        <w:t>L’analisi ha riguardato anzitutto</w:t>
      </w:r>
      <w:r w:rsidR="000C3822">
        <w:rPr>
          <w:rFonts w:cstheme="minorHAnsi"/>
        </w:rPr>
        <w:t xml:space="preserve"> il testo dei 42 articoli</w:t>
      </w:r>
      <w:r w:rsidR="00F000C2" w:rsidRPr="00F000C2">
        <w:rPr>
          <w:rFonts w:cstheme="minorHAnsi"/>
        </w:rPr>
        <w:t xml:space="preserve"> </w:t>
      </w:r>
      <w:r w:rsidR="00F000C2">
        <w:rPr>
          <w:rFonts w:cstheme="minorHAnsi"/>
        </w:rPr>
        <w:t xml:space="preserve">del </w:t>
      </w:r>
      <w:r w:rsidR="00C0347C">
        <w:rPr>
          <w:rFonts w:cstheme="minorHAnsi"/>
        </w:rPr>
        <w:t>D</w:t>
      </w:r>
      <w:r w:rsidR="00247E23">
        <w:rPr>
          <w:rFonts w:cstheme="minorHAnsi"/>
        </w:rPr>
        <w:t>ecreto anziani</w:t>
      </w:r>
      <w:r w:rsidR="00E952FA">
        <w:rPr>
          <w:rFonts w:cstheme="minorHAnsi"/>
        </w:rPr>
        <w:t>,</w:t>
      </w:r>
      <w:r w:rsidR="000C3822">
        <w:rPr>
          <w:rFonts w:cstheme="minorHAnsi"/>
        </w:rPr>
        <w:t xml:space="preserve"> la relazione illustrativa</w:t>
      </w:r>
      <w:r w:rsidR="00E952FA">
        <w:rPr>
          <w:rFonts w:cstheme="minorHAnsi"/>
        </w:rPr>
        <w:t xml:space="preserve"> e la relazione tecnica </w:t>
      </w:r>
      <w:r w:rsidR="003454D8" w:rsidRPr="005838AE">
        <w:t xml:space="preserve">– </w:t>
      </w:r>
      <w:r w:rsidR="003454D8">
        <w:t xml:space="preserve">ha spiegato </w:t>
      </w:r>
      <w:r w:rsidR="003454D8" w:rsidRPr="005838AE">
        <w:t>Cartabellotta</w:t>
      </w:r>
      <w:r w:rsidR="003454D8">
        <w:t xml:space="preserve"> </w:t>
      </w:r>
      <w:r w:rsidR="003454D8" w:rsidRPr="005838AE">
        <w:rPr>
          <w:rFonts w:cstheme="minorHAnsi"/>
        </w:rPr>
        <w:t>–</w:t>
      </w:r>
      <w:r w:rsidR="00860CE8">
        <w:rPr>
          <w:rFonts w:cstheme="minorHAnsi"/>
        </w:rPr>
        <w:t xml:space="preserve"> </w:t>
      </w:r>
      <w:r w:rsidR="00F000C2">
        <w:rPr>
          <w:rFonts w:cstheme="minorHAnsi"/>
        </w:rPr>
        <w:t>al fine</w:t>
      </w:r>
      <w:r w:rsidR="00860CE8">
        <w:rPr>
          <w:rFonts w:cstheme="minorHAnsi"/>
        </w:rPr>
        <w:t xml:space="preserve"> </w:t>
      </w:r>
      <w:r w:rsidR="00F000C2">
        <w:rPr>
          <w:rFonts w:cstheme="minorHAnsi"/>
        </w:rPr>
        <w:t xml:space="preserve">di </w:t>
      </w:r>
      <w:r w:rsidR="00860CE8">
        <w:rPr>
          <w:rFonts w:cstheme="minorHAnsi"/>
        </w:rPr>
        <w:t>identificare l</w:t>
      </w:r>
      <w:r w:rsidR="00F000C2">
        <w:rPr>
          <w:rFonts w:cstheme="minorHAnsi"/>
        </w:rPr>
        <w:t xml:space="preserve">a copertura finanziaria delle </w:t>
      </w:r>
      <w:r w:rsidR="00860CE8">
        <w:rPr>
          <w:rFonts w:cstheme="minorHAnsi"/>
        </w:rPr>
        <w:t>misure</w:t>
      </w:r>
      <w:r w:rsidR="00AC741C" w:rsidRPr="005838AE">
        <w:t>»</w:t>
      </w:r>
      <w:r w:rsidR="00AC741C">
        <w:t>.</w:t>
      </w:r>
      <w:r w:rsidR="00860CE8">
        <w:t xml:space="preserve"> In sintesi:</w:t>
      </w:r>
    </w:p>
    <w:p w14:paraId="44ADAE43" w14:textId="77777777" w:rsidR="000C3822" w:rsidRDefault="000C3822" w:rsidP="007578B1">
      <w:pPr>
        <w:pStyle w:val="Paragrafoelenco"/>
        <w:numPr>
          <w:ilvl w:val="0"/>
          <w:numId w:val="33"/>
        </w:numPr>
        <w:spacing w:line="276" w:lineRule="auto"/>
        <w:jc w:val="both"/>
      </w:pPr>
      <w:r>
        <w:t>Per</w:t>
      </w:r>
      <w:r w:rsidR="00F000C2">
        <w:t xml:space="preserve"> 13 </w:t>
      </w:r>
      <w:r>
        <w:t>misure si fa riferimento a risorse già stanziate: PNRR</w:t>
      </w:r>
      <w:r w:rsidR="00FA442D">
        <w:t xml:space="preserve"> Missione 5 e Missione 6</w:t>
      </w:r>
      <w:r>
        <w:t xml:space="preserve">, Fabbisogno Sanitario Nazionale, </w:t>
      </w:r>
      <w:r w:rsidRPr="005E162C">
        <w:t>Fondo Nazionale per le Politiche Sociali</w:t>
      </w:r>
      <w:r>
        <w:t xml:space="preserve">, Fondo per la non autosufficienza, </w:t>
      </w:r>
      <w:r w:rsidRPr="009C0180">
        <w:t>Fondo per la promozione dell’attività sportiva</w:t>
      </w:r>
      <w:r>
        <w:t xml:space="preserve">, </w:t>
      </w:r>
      <w:r w:rsidRPr="009C0180">
        <w:t>Fondo per le politiche della famiglia</w:t>
      </w:r>
      <w:r>
        <w:t>, Ministero della Salute</w:t>
      </w:r>
      <w:r w:rsidR="00F000C2">
        <w:t>.</w:t>
      </w:r>
    </w:p>
    <w:p w14:paraId="56032BA3" w14:textId="44163BB9" w:rsidR="00436368" w:rsidRPr="005F3C10" w:rsidRDefault="00F000C2" w:rsidP="000C3822">
      <w:pPr>
        <w:pStyle w:val="Paragrafoelenco"/>
        <w:numPr>
          <w:ilvl w:val="0"/>
          <w:numId w:val="33"/>
        </w:numPr>
        <w:spacing w:line="276" w:lineRule="auto"/>
        <w:jc w:val="both"/>
      </w:pPr>
      <w:r>
        <w:t>U</w:t>
      </w:r>
      <w:r w:rsidR="00860CE8">
        <w:t>n finanziamento</w:t>
      </w:r>
      <w:r w:rsidR="00292379">
        <w:t xml:space="preserve"> apparentemente</w:t>
      </w:r>
      <w:r w:rsidR="00860CE8">
        <w:t xml:space="preserve"> </w:t>
      </w:r>
      <w:r>
        <w:t xml:space="preserve">aggiuntivo </w:t>
      </w:r>
      <w:r w:rsidR="0008637A">
        <w:t xml:space="preserve">di </w:t>
      </w:r>
      <w:r w:rsidR="0008637A" w:rsidRPr="00860CE8">
        <w:t>€ 250 milioni per il 2025 e € 250 milioni per il 2026</w:t>
      </w:r>
      <w:r w:rsidR="0008637A">
        <w:t xml:space="preserve"> </w:t>
      </w:r>
      <w:r>
        <w:t xml:space="preserve">è previsto solo </w:t>
      </w:r>
      <w:r w:rsidR="00860CE8">
        <w:t xml:space="preserve">per la </w:t>
      </w:r>
      <w:r>
        <w:t>misura</w:t>
      </w:r>
      <w:r w:rsidR="00860CE8">
        <w:t xml:space="preserve"> “</w:t>
      </w:r>
      <w:r w:rsidR="00860CE8" w:rsidRPr="00860CE8">
        <w:t>assegno di assistenza</w:t>
      </w:r>
      <w:r w:rsidR="00860CE8">
        <w:t xml:space="preserve">”, che sarà destinato </w:t>
      </w:r>
      <w:r w:rsidR="00AF3754" w:rsidRPr="00AF3754">
        <w:t>all’acquisto di servizi o contratti</w:t>
      </w:r>
      <w:r w:rsidR="00AF3754">
        <w:t>:</w:t>
      </w:r>
      <w:r w:rsidR="00AF3754" w:rsidRPr="00AF3754">
        <w:t xml:space="preserve"> badanti, caregiver</w:t>
      </w:r>
      <w:r w:rsidR="00AF3754">
        <w:t xml:space="preserve">, </w:t>
      </w:r>
      <w:r w:rsidR="00AF3754" w:rsidRPr="00AF3754">
        <w:t>strutture per la presa in cura dell’anziano</w:t>
      </w:r>
      <w:r w:rsidR="00AF3754">
        <w:t>.</w:t>
      </w:r>
      <w:r w:rsidR="009C0180" w:rsidRPr="00B25B33">
        <w:rPr>
          <w:color w:val="FF0000"/>
        </w:rPr>
        <w:t xml:space="preserve"> </w:t>
      </w:r>
      <w:r w:rsidR="009C0180" w:rsidRPr="00B25B33">
        <w:rPr>
          <w:rFonts w:cstheme="minorHAnsi"/>
        </w:rPr>
        <w:t>«</w:t>
      </w:r>
      <w:r w:rsidR="0008637A">
        <w:rPr>
          <w:rFonts w:cstheme="minorHAnsi"/>
        </w:rPr>
        <w:t xml:space="preserve">Tuttavia dei </w:t>
      </w:r>
      <w:r w:rsidR="00247E23">
        <w:rPr>
          <w:rFonts w:cstheme="minorHAnsi"/>
        </w:rPr>
        <w:t xml:space="preserve">complessivi </w:t>
      </w:r>
      <w:r w:rsidR="007578B1">
        <w:rPr>
          <w:rFonts w:cstheme="minorHAnsi"/>
        </w:rPr>
        <w:t xml:space="preserve">€ 500 milioni </w:t>
      </w:r>
      <w:r w:rsidR="0008637A">
        <w:rPr>
          <w:rFonts w:cstheme="minorHAnsi"/>
        </w:rPr>
        <w:t xml:space="preserve">stanziati </w:t>
      </w:r>
      <w:r w:rsidR="009C0180" w:rsidRPr="005838AE">
        <w:t xml:space="preserve">– </w:t>
      </w:r>
      <w:r w:rsidR="009C0180">
        <w:t xml:space="preserve">ha </w:t>
      </w:r>
      <w:r w:rsidR="007578B1">
        <w:t xml:space="preserve">tenuto a </w:t>
      </w:r>
      <w:r w:rsidR="009C0180">
        <w:t>puntuali</w:t>
      </w:r>
      <w:r w:rsidR="007578B1">
        <w:t>zzare il</w:t>
      </w:r>
      <w:r w:rsidR="009C0180">
        <w:t xml:space="preserve"> Presidente </w:t>
      </w:r>
      <w:r w:rsidR="009C0180" w:rsidRPr="00B25B33">
        <w:rPr>
          <w:rFonts w:cstheme="minorHAnsi"/>
        </w:rPr>
        <w:t>–</w:t>
      </w:r>
      <w:r w:rsidR="00B25B33">
        <w:rPr>
          <w:rFonts w:cstheme="minorHAnsi"/>
        </w:rPr>
        <w:t xml:space="preserve"> </w:t>
      </w:r>
      <w:r w:rsidR="007578B1">
        <w:rPr>
          <w:rFonts w:cstheme="minorHAnsi"/>
        </w:rPr>
        <w:t xml:space="preserve">€ 150 milioni provengono dalla riduzione del </w:t>
      </w:r>
      <w:r w:rsidR="007578B1">
        <w:t xml:space="preserve">Fondo per le non autosufficienze, € 250 </w:t>
      </w:r>
      <w:r w:rsidR="0008637A">
        <w:t xml:space="preserve">milioni </w:t>
      </w:r>
      <w:r w:rsidR="007578B1">
        <w:t>sono a valere sul Programma nazionale “Inclusione e lotta alla povertà 2021-2027” e € 100 milioni a valere sulle disponibilità della Missione 5 del PNRR</w:t>
      </w:r>
      <w:r w:rsidR="000C3822">
        <w:t xml:space="preserve">. </w:t>
      </w:r>
      <w:r w:rsidR="0008637A">
        <w:t xml:space="preserve">In altri termini </w:t>
      </w:r>
      <w:r w:rsidR="000C3822">
        <w:t>anche l’assegno di assistenza di fatto viene finanziato con risorse già stanziate</w:t>
      </w:r>
      <w:r w:rsidR="00247E23">
        <w:t xml:space="preserve"> su altri capitoli di spesa pubblica</w:t>
      </w:r>
      <w:r w:rsidR="009C0180" w:rsidRPr="005838AE">
        <w:t>»</w:t>
      </w:r>
      <w:r w:rsidR="009C0180">
        <w:t>.</w:t>
      </w:r>
    </w:p>
    <w:p w14:paraId="52ADEA40" w14:textId="77777777" w:rsidR="005F3C10" w:rsidRPr="005F3C10" w:rsidRDefault="00F000C2" w:rsidP="007578B1">
      <w:pPr>
        <w:pStyle w:val="Paragrafoelenco"/>
        <w:numPr>
          <w:ilvl w:val="0"/>
          <w:numId w:val="33"/>
        </w:numPr>
        <w:spacing w:line="276" w:lineRule="auto"/>
        <w:jc w:val="both"/>
      </w:pPr>
      <w:r>
        <w:t>Per t</w:t>
      </w:r>
      <w:r w:rsidR="005F3C10" w:rsidRPr="005E162C">
        <w:t xml:space="preserve">utte le altre misure </w:t>
      </w:r>
      <w:r>
        <w:t xml:space="preserve">non sono previsti </w:t>
      </w:r>
      <w:r w:rsidR="005F3C10" w:rsidRPr="005E162C">
        <w:t>maggiori oneri per la finanza pubblica</w:t>
      </w:r>
      <w:r>
        <w:t>.</w:t>
      </w:r>
    </w:p>
    <w:p w14:paraId="75007183" w14:textId="77777777" w:rsidR="005F3C10" w:rsidRDefault="005F3C10" w:rsidP="005F3C10">
      <w:pPr>
        <w:pStyle w:val="Paragrafoelenco"/>
        <w:ind w:left="360"/>
        <w:jc w:val="both"/>
      </w:pPr>
    </w:p>
    <w:p w14:paraId="2D0FADBF" w14:textId="55C61745" w:rsidR="00B25B33" w:rsidRDefault="005F3C10" w:rsidP="005E415C">
      <w:pPr>
        <w:spacing w:after="0"/>
        <w:jc w:val="both"/>
      </w:pPr>
      <w:r w:rsidRPr="005838AE">
        <w:rPr>
          <w:rFonts w:cstheme="minorHAnsi"/>
        </w:rPr>
        <w:t>«</w:t>
      </w:r>
      <w:r w:rsidR="0008637A">
        <w:rPr>
          <w:rFonts w:cstheme="minorHAnsi"/>
        </w:rPr>
        <w:t>Al</w:t>
      </w:r>
      <w:r w:rsidR="007578B1">
        <w:rPr>
          <w:rFonts w:cstheme="minorHAnsi"/>
        </w:rPr>
        <w:t xml:space="preserve"> fine di contestualizzare le misure previste nel</w:t>
      </w:r>
      <w:r w:rsidR="00E12E58">
        <w:rPr>
          <w:rFonts w:cstheme="minorHAnsi"/>
        </w:rPr>
        <w:t>l’attuale</w:t>
      </w:r>
      <w:r w:rsidR="007578B1">
        <w:rPr>
          <w:rFonts w:cstheme="minorHAnsi"/>
        </w:rPr>
        <w:t xml:space="preserve"> contesto socio-sanitario</w:t>
      </w:r>
      <w:r w:rsidR="00E12E58">
        <w:rPr>
          <w:rFonts w:cstheme="minorHAnsi"/>
        </w:rPr>
        <w:t xml:space="preserve"> </w:t>
      </w:r>
      <w:r w:rsidR="0008637A" w:rsidRPr="005838AE">
        <w:t xml:space="preserve">– </w:t>
      </w:r>
      <w:r w:rsidR="0008637A">
        <w:t xml:space="preserve">ha continuato il Presidente </w:t>
      </w:r>
      <w:r w:rsidR="0008637A" w:rsidRPr="005838AE">
        <w:rPr>
          <w:rFonts w:cstheme="minorHAnsi"/>
        </w:rPr>
        <w:t>–</w:t>
      </w:r>
      <w:r w:rsidR="0008637A">
        <w:rPr>
          <w:rFonts w:cstheme="minorHAnsi"/>
        </w:rPr>
        <w:t xml:space="preserve"> </w:t>
      </w:r>
      <w:r>
        <w:rPr>
          <w:rFonts w:cstheme="minorHAnsi"/>
        </w:rPr>
        <w:t xml:space="preserve">abbiamo </w:t>
      </w:r>
      <w:r w:rsidR="0008637A">
        <w:rPr>
          <w:rFonts w:cstheme="minorHAnsi"/>
        </w:rPr>
        <w:t xml:space="preserve">quindi condotto </w:t>
      </w:r>
      <w:r>
        <w:rPr>
          <w:rFonts w:cstheme="minorHAnsi"/>
        </w:rPr>
        <w:t>alcune analisi su</w:t>
      </w:r>
      <w:r w:rsidR="007578B1">
        <w:rPr>
          <w:rFonts w:cstheme="minorHAnsi"/>
        </w:rPr>
        <w:t xml:space="preserve"> </w:t>
      </w:r>
      <w:r>
        <w:rPr>
          <w:rFonts w:cstheme="minorHAnsi"/>
        </w:rPr>
        <w:t xml:space="preserve">aspetti epidemiologici, </w:t>
      </w:r>
      <w:r w:rsidR="0008637A">
        <w:rPr>
          <w:rFonts w:cstheme="minorHAnsi"/>
        </w:rPr>
        <w:t xml:space="preserve">spesa </w:t>
      </w:r>
      <w:r>
        <w:rPr>
          <w:rFonts w:cstheme="minorHAnsi"/>
        </w:rPr>
        <w:t>socio-sanitaria e diseguaglianze regionali</w:t>
      </w:r>
      <w:r w:rsidR="008B76E2">
        <w:rPr>
          <w:rFonts w:cstheme="minorHAnsi"/>
        </w:rPr>
        <w:t xml:space="preserve"> sui</w:t>
      </w:r>
      <w:r w:rsidR="008F71B3">
        <w:rPr>
          <w:rFonts w:cstheme="minorHAnsi"/>
        </w:rPr>
        <w:t xml:space="preserve"> </w:t>
      </w:r>
      <w:r>
        <w:rPr>
          <w:rFonts w:cstheme="minorHAnsi"/>
        </w:rPr>
        <w:t xml:space="preserve">servizi </w:t>
      </w:r>
      <w:r w:rsidR="00247E23">
        <w:rPr>
          <w:rFonts w:cstheme="minorHAnsi"/>
        </w:rPr>
        <w:t xml:space="preserve">socio-sanitari </w:t>
      </w:r>
      <w:r>
        <w:rPr>
          <w:rFonts w:cstheme="minorHAnsi"/>
        </w:rPr>
        <w:t xml:space="preserve">previsti dal </w:t>
      </w:r>
      <w:r w:rsidR="00C0347C">
        <w:rPr>
          <w:rFonts w:cstheme="minorHAnsi"/>
        </w:rPr>
        <w:t>D</w:t>
      </w:r>
      <w:r w:rsidR="00247E23">
        <w:rPr>
          <w:rFonts w:cstheme="minorHAnsi"/>
        </w:rPr>
        <w:t>ecreto anziani</w:t>
      </w:r>
      <w:r w:rsidRPr="005838AE">
        <w:t>»</w:t>
      </w:r>
      <w:r>
        <w:t>.</w:t>
      </w:r>
    </w:p>
    <w:p w14:paraId="4D89354E" w14:textId="77777777" w:rsidR="005E415C" w:rsidRPr="005E415C" w:rsidRDefault="005E415C" w:rsidP="005E415C">
      <w:pPr>
        <w:spacing w:after="0"/>
        <w:jc w:val="both"/>
      </w:pPr>
    </w:p>
    <w:p w14:paraId="23CEBEAA" w14:textId="6172B1FA" w:rsidR="000B3614" w:rsidRPr="007578B1" w:rsidRDefault="007578B1" w:rsidP="00413EC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 </w:t>
      </w:r>
      <w:r w:rsidRPr="00A66A39">
        <w:rPr>
          <w:rFonts w:cstheme="minorHAnsi"/>
          <w:b/>
          <w:bCs/>
        </w:rPr>
        <w:t>platea d</w:t>
      </w:r>
      <w:r>
        <w:rPr>
          <w:rFonts w:cstheme="minorHAnsi"/>
          <w:b/>
          <w:bCs/>
        </w:rPr>
        <w:t>ei destinatari</w:t>
      </w:r>
      <w:r>
        <w:rPr>
          <w:rFonts w:cstheme="minorHAnsi"/>
        </w:rPr>
        <w:t xml:space="preserve">. </w:t>
      </w:r>
      <w:r w:rsidR="00E12E58">
        <w:rPr>
          <w:rFonts w:cstheme="minorHAnsi"/>
        </w:rPr>
        <w:t>A beneficiare</w:t>
      </w:r>
      <w:r w:rsidR="00B53F69">
        <w:rPr>
          <w:rFonts w:cstheme="minorHAnsi"/>
        </w:rPr>
        <w:t xml:space="preserve"> delle misure previste dal </w:t>
      </w:r>
      <w:r w:rsidR="00E12E58">
        <w:rPr>
          <w:rFonts w:cstheme="minorHAnsi"/>
        </w:rPr>
        <w:t>provvedimento</w:t>
      </w:r>
      <w:r w:rsidR="009937FC">
        <w:rPr>
          <w:rFonts w:cstheme="minorHAnsi"/>
        </w:rPr>
        <w:t xml:space="preserve"> </w:t>
      </w:r>
      <w:r w:rsidR="00E12E58">
        <w:rPr>
          <w:rFonts w:cstheme="minorHAnsi"/>
        </w:rPr>
        <w:t xml:space="preserve">sarà </w:t>
      </w:r>
      <w:r w:rsidR="004F18B9">
        <w:rPr>
          <w:rFonts w:cstheme="minorHAnsi"/>
        </w:rPr>
        <w:t xml:space="preserve">il 24% della popolazione residente al 1° gennaio 2023 (dati ISTAT), ovvero </w:t>
      </w:r>
      <w:r w:rsidR="00B53F69" w:rsidRPr="00B53F69">
        <w:rPr>
          <w:rFonts w:cstheme="minorHAnsi"/>
        </w:rPr>
        <w:t>14.181.297</w:t>
      </w:r>
      <w:r w:rsidR="00B53F69">
        <w:rPr>
          <w:rFonts w:cstheme="minorHAnsi"/>
        </w:rPr>
        <w:t xml:space="preserve">, di cui </w:t>
      </w:r>
      <w:r w:rsidR="00B53F69" w:rsidRPr="00B53F69">
        <w:rPr>
          <w:rFonts w:cstheme="minorHAnsi"/>
        </w:rPr>
        <w:t>9.674.627</w:t>
      </w:r>
      <w:r w:rsidR="00B53F69">
        <w:rPr>
          <w:rFonts w:cstheme="minorHAnsi"/>
        </w:rPr>
        <w:t xml:space="preserve"> nella fascia 65-69 anni (cd. anziani) e </w:t>
      </w:r>
      <w:r w:rsidR="00B53F69" w:rsidRPr="00B53F69">
        <w:rPr>
          <w:rFonts w:cstheme="minorHAnsi"/>
        </w:rPr>
        <w:t>4.506.670</w:t>
      </w:r>
      <w:r w:rsidR="00B53F69">
        <w:rPr>
          <w:rFonts w:cstheme="minorHAnsi"/>
        </w:rPr>
        <w:t xml:space="preserve"> di over 80 (cd. grandi anziani)</w:t>
      </w:r>
      <w:r w:rsidR="00CE0C28">
        <w:rPr>
          <w:rFonts w:cstheme="minorHAnsi"/>
        </w:rPr>
        <w:t xml:space="preserve"> (</w:t>
      </w:r>
      <w:r w:rsidR="00CE0C28" w:rsidRPr="00CE0C28">
        <w:rPr>
          <w:rFonts w:cstheme="minorHAnsi"/>
          <w:highlight w:val="yellow"/>
        </w:rPr>
        <w:t xml:space="preserve">figura </w:t>
      </w:r>
      <w:r w:rsidR="00027AAF">
        <w:rPr>
          <w:rFonts w:cstheme="minorHAnsi"/>
          <w:highlight w:val="yellow"/>
        </w:rPr>
        <w:t>1</w:t>
      </w:r>
      <w:r w:rsidR="00CE0C28">
        <w:rPr>
          <w:rFonts w:cstheme="minorHAnsi"/>
        </w:rPr>
        <w:t>)</w:t>
      </w:r>
      <w:r w:rsidR="0008637A">
        <w:rPr>
          <w:rFonts w:cstheme="minorHAnsi"/>
        </w:rPr>
        <w:t>.</w:t>
      </w:r>
      <w:r w:rsidR="00EB5B98">
        <w:rPr>
          <w:rFonts w:cstheme="minorHAnsi"/>
        </w:rPr>
        <w:t xml:space="preserve"> </w:t>
      </w:r>
      <w:r w:rsidR="00E75047" w:rsidRPr="00B53F69">
        <w:rPr>
          <w:rFonts w:cstheme="minorHAnsi"/>
        </w:rPr>
        <w:t>«</w:t>
      </w:r>
      <w:r w:rsidR="00EB5B98">
        <w:rPr>
          <w:rFonts w:cstheme="minorHAnsi"/>
        </w:rPr>
        <w:t xml:space="preserve">Un numero </w:t>
      </w:r>
      <w:r w:rsidR="00696BFF" w:rsidRPr="00B53F69">
        <w:rPr>
          <w:rFonts w:cstheme="minorHAnsi"/>
        </w:rPr>
        <w:t xml:space="preserve">– ha commentato </w:t>
      </w:r>
      <w:r w:rsidR="0008637A">
        <w:rPr>
          <w:rFonts w:cstheme="minorHAnsi"/>
        </w:rPr>
        <w:t>Cartabellotta</w:t>
      </w:r>
      <w:r w:rsidR="00696BFF" w:rsidRPr="00B53F69">
        <w:rPr>
          <w:rFonts w:cstheme="minorHAnsi"/>
        </w:rPr>
        <w:t xml:space="preserve"> –</w:t>
      </w:r>
      <w:r w:rsidR="00EB5B98">
        <w:rPr>
          <w:rFonts w:cstheme="minorHAnsi"/>
        </w:rPr>
        <w:t xml:space="preserve"> che secondo le proiezioni demografiche aumenterà nei prossimi anni</w:t>
      </w:r>
      <w:r w:rsidR="00027AAF">
        <w:rPr>
          <w:rFonts w:cstheme="minorHAnsi"/>
        </w:rPr>
        <w:t xml:space="preserve">, generando </w:t>
      </w:r>
      <w:r w:rsidR="00EB5B98">
        <w:rPr>
          <w:rFonts w:cstheme="minorHAnsi"/>
        </w:rPr>
        <w:t xml:space="preserve">un progressivo </w:t>
      </w:r>
      <w:r w:rsidR="0008637A">
        <w:rPr>
          <w:rFonts w:cstheme="minorHAnsi"/>
        </w:rPr>
        <w:t xml:space="preserve">incremento </w:t>
      </w:r>
      <w:r w:rsidR="00EB5B98">
        <w:rPr>
          <w:rFonts w:cstheme="minorHAnsi"/>
        </w:rPr>
        <w:t>dei costi socio-sanitari</w:t>
      </w:r>
      <w:r w:rsidR="00E75047" w:rsidRPr="00DC0ACB">
        <w:t>».</w:t>
      </w:r>
      <w:r w:rsidR="00EB5B98">
        <w:t xml:space="preserve"> </w:t>
      </w:r>
      <w:r w:rsidR="00413ECD">
        <w:t xml:space="preserve">Infatti, </w:t>
      </w:r>
      <w:r w:rsidR="0008637A">
        <w:t xml:space="preserve">secondo </w:t>
      </w:r>
      <w:r w:rsidR="00027AAF">
        <w:t xml:space="preserve">le proiezioni </w:t>
      </w:r>
      <w:r w:rsidR="00413ECD">
        <w:t xml:space="preserve">ISTAT al 2050 </w:t>
      </w:r>
      <w:r w:rsidR="0008637A">
        <w:t>gli over 65 sfioreranno quota</w:t>
      </w:r>
      <w:r w:rsidR="00027AAF">
        <w:t xml:space="preserve"> </w:t>
      </w:r>
      <w:r w:rsidR="00AA3A83">
        <w:t>18,8 milioni</w:t>
      </w:r>
      <w:r w:rsidR="00792149">
        <w:t xml:space="preserve"> (</w:t>
      </w:r>
      <w:r w:rsidR="00027AAF">
        <w:t xml:space="preserve">pari al </w:t>
      </w:r>
      <w:r w:rsidR="00AA3A83">
        <w:t xml:space="preserve">34,5% della popolazione </w:t>
      </w:r>
      <w:r w:rsidR="00033365">
        <w:t>residente</w:t>
      </w:r>
      <w:r w:rsidR="00792149">
        <w:t xml:space="preserve">), </w:t>
      </w:r>
      <w:r w:rsidR="00033365">
        <w:t>circa 4,6 milioni in più rispetto al 2022</w:t>
      </w:r>
      <w:r w:rsidR="00AA3A83">
        <w:t>.</w:t>
      </w:r>
    </w:p>
    <w:p w14:paraId="4D75449E" w14:textId="18E3B922" w:rsidR="00553166" w:rsidRPr="007578B1" w:rsidRDefault="007578B1" w:rsidP="007578B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I servizi socio-sanitari e la spesa socio sanitaria </w:t>
      </w:r>
      <w:r w:rsidR="007E2719" w:rsidRPr="005838AE">
        <w:rPr>
          <w:rFonts w:cstheme="minorHAnsi"/>
        </w:rPr>
        <w:t>«</w:t>
      </w:r>
      <w:r w:rsidR="007E2719">
        <w:rPr>
          <w:rFonts w:cstheme="minorHAnsi"/>
        </w:rPr>
        <w:t xml:space="preserve">Sebbene formalmente inseriti nei Livelli Essenziali di Assistenza </w:t>
      </w:r>
      <w:r w:rsidR="007E2719" w:rsidRPr="005838AE">
        <w:t xml:space="preserve">– </w:t>
      </w:r>
      <w:r w:rsidR="007E2719">
        <w:t xml:space="preserve">ha spiegato </w:t>
      </w:r>
      <w:r w:rsidR="007E2719" w:rsidRPr="005838AE">
        <w:t>Cartabellotta</w:t>
      </w:r>
      <w:r w:rsidR="007E2719">
        <w:t xml:space="preserve"> </w:t>
      </w:r>
      <w:r w:rsidR="007E2719" w:rsidRPr="005838AE">
        <w:rPr>
          <w:rFonts w:cstheme="minorHAnsi"/>
        </w:rPr>
        <w:t>–</w:t>
      </w:r>
      <w:r w:rsidR="007E2719">
        <w:rPr>
          <w:rFonts w:cstheme="minorHAnsi"/>
        </w:rPr>
        <w:t xml:space="preserve"> le prestazioni di assistenza socio-sanitaria, residenziale, semi-residenziale, domiciliare e territoriale sono finanziate </w:t>
      </w:r>
      <w:r w:rsidR="00792149">
        <w:rPr>
          <w:rFonts w:cstheme="minorHAnsi"/>
        </w:rPr>
        <w:t xml:space="preserve">solo in parte </w:t>
      </w:r>
      <w:r w:rsidR="007E2719">
        <w:rPr>
          <w:rFonts w:cstheme="minorHAnsi"/>
        </w:rPr>
        <w:t>dalla spesa sanitaria</w:t>
      </w:r>
      <w:r w:rsidR="009A1EA0">
        <w:rPr>
          <w:rFonts w:cstheme="minorHAnsi"/>
        </w:rPr>
        <w:t xml:space="preserve"> pubblica</w:t>
      </w:r>
      <w:r w:rsidR="007E2719">
        <w:rPr>
          <w:rFonts w:cstheme="minorHAnsi"/>
        </w:rPr>
        <w:t>. Un</w:t>
      </w:r>
      <w:r w:rsidR="00792149">
        <w:rPr>
          <w:rFonts w:cstheme="minorHAnsi"/>
        </w:rPr>
        <w:t xml:space="preserve">’esigua </w:t>
      </w:r>
      <w:r w:rsidR="007E2719">
        <w:rPr>
          <w:rFonts w:cstheme="minorHAnsi"/>
        </w:rPr>
        <w:t>parte viene erogata dai Comuni</w:t>
      </w:r>
      <w:r w:rsidR="00E12E58">
        <w:rPr>
          <w:rFonts w:cstheme="minorHAnsi"/>
        </w:rPr>
        <w:t xml:space="preserve"> (</w:t>
      </w:r>
      <w:r w:rsidR="007E2719">
        <w:rPr>
          <w:rFonts w:cstheme="minorHAnsi"/>
        </w:rPr>
        <w:t>in denaro o in natura</w:t>
      </w:r>
      <w:r w:rsidR="00E12E58">
        <w:rPr>
          <w:rFonts w:cstheme="minorHAnsi"/>
        </w:rPr>
        <w:t>), me</w:t>
      </w:r>
      <w:r w:rsidR="007E2719">
        <w:rPr>
          <w:rFonts w:cstheme="minorHAnsi"/>
        </w:rPr>
        <w:t>ntre la maggior parte</w:t>
      </w:r>
      <w:r w:rsidR="00E12E58">
        <w:rPr>
          <w:rFonts w:cstheme="minorHAnsi"/>
        </w:rPr>
        <w:t xml:space="preserve"> è </w:t>
      </w:r>
      <w:r w:rsidR="00792149">
        <w:rPr>
          <w:rFonts w:cstheme="minorHAnsi"/>
        </w:rPr>
        <w:t>sostenut</w:t>
      </w:r>
      <w:r w:rsidR="00E12E58">
        <w:rPr>
          <w:rFonts w:cstheme="minorHAnsi"/>
        </w:rPr>
        <w:t>a</w:t>
      </w:r>
      <w:r w:rsidR="00792149">
        <w:rPr>
          <w:rFonts w:cstheme="minorHAnsi"/>
        </w:rPr>
        <w:t xml:space="preserve"> </w:t>
      </w:r>
      <w:r w:rsidR="007E2719">
        <w:rPr>
          <w:rFonts w:cstheme="minorHAnsi"/>
        </w:rPr>
        <w:t xml:space="preserve">tramite provvidenze in denaro erogate </w:t>
      </w:r>
      <w:r w:rsidR="007E2719" w:rsidRPr="00981A4E">
        <w:rPr>
          <w:rFonts w:cstheme="minorHAnsi"/>
        </w:rPr>
        <w:t>dall’INPS</w:t>
      </w:r>
      <w:r w:rsidR="007E2719" w:rsidRPr="00981A4E">
        <w:t>».</w:t>
      </w:r>
      <w:r w:rsidR="004A0B15" w:rsidRPr="00981A4E">
        <w:t xml:space="preserve"> </w:t>
      </w:r>
      <w:r w:rsidR="00553166" w:rsidRPr="00981A4E">
        <w:t>In dettaglio nel 2022</w:t>
      </w:r>
      <w:r w:rsidR="00644763" w:rsidRPr="00981A4E">
        <w:t xml:space="preserve">, anno più recente per il quale sono disponibili tutti i dati, </w:t>
      </w:r>
      <w:r w:rsidR="0027170F" w:rsidRPr="00981A4E">
        <w:t xml:space="preserve">alla spesa socio-sanitaria </w:t>
      </w:r>
      <w:r w:rsidR="00792149" w:rsidRPr="00981A4E">
        <w:t>è stato destinato</w:t>
      </w:r>
      <w:r w:rsidR="0027170F" w:rsidRPr="00981A4E">
        <w:t xml:space="preserve"> </w:t>
      </w:r>
      <w:r w:rsidR="00644763" w:rsidRPr="00981A4E">
        <w:t>un totale di € 44.873,6 milioni</w:t>
      </w:r>
      <w:r w:rsidR="006B5D1D" w:rsidRPr="00981A4E">
        <w:t>,</w:t>
      </w:r>
      <w:r w:rsidR="006861AE" w:rsidRPr="00981A4E">
        <w:t xml:space="preserve"> </w:t>
      </w:r>
      <w:r w:rsidR="006861AE" w:rsidRPr="00981A4E">
        <w:rPr>
          <w:rFonts w:cstheme="minorHAnsi"/>
        </w:rPr>
        <w:t>«</w:t>
      </w:r>
      <w:r w:rsidR="006B5D1D" w:rsidRPr="00981A4E">
        <w:t xml:space="preserve">una cifra totale </w:t>
      </w:r>
      <w:r w:rsidR="006861AE" w:rsidRPr="00981A4E">
        <w:t xml:space="preserve">– ha precisato il Presidente </w:t>
      </w:r>
      <w:r w:rsidR="006B5D1D" w:rsidRPr="00981A4E">
        <w:t xml:space="preserve">– sulla cui precisione pesano </w:t>
      </w:r>
      <w:r w:rsidR="00B52277" w:rsidRPr="00981A4E">
        <w:t>vari fattori: differenti fonti informative con variabile livello di precisione e accuratezza, possibile sovrapposizione degli importi provenienti da fonti differenti</w:t>
      </w:r>
      <w:r w:rsidR="006861AE" w:rsidRPr="00981A4E">
        <w:t>»</w:t>
      </w:r>
      <w:r w:rsidR="00B52277" w:rsidRPr="00981A4E">
        <w:t>.</w:t>
      </w:r>
      <w:r w:rsidR="00292379" w:rsidRPr="00981A4E">
        <w:t xml:space="preserve"> In </w:t>
      </w:r>
      <w:r w:rsidR="006861AE" w:rsidRPr="00981A4E">
        <w:t>dettaglio</w:t>
      </w:r>
      <w:r w:rsidR="00292379" w:rsidRPr="00981A4E">
        <w:t>:</w:t>
      </w:r>
    </w:p>
    <w:p w14:paraId="26D63878" w14:textId="65C41D3E" w:rsidR="007E2719" w:rsidRDefault="005E415C" w:rsidP="00AC234F">
      <w:pPr>
        <w:pStyle w:val="Paragrafoelenco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="00553166">
        <w:rPr>
          <w:rFonts w:cstheme="minorHAnsi"/>
        </w:rPr>
        <w:t xml:space="preserve">prestazioni di assistenza sanitaria a lungo termine – </w:t>
      </w:r>
      <w:r w:rsidR="00553166">
        <w:rPr>
          <w:rFonts w:cstheme="minorHAnsi"/>
          <w:i/>
          <w:iCs/>
        </w:rPr>
        <w:t xml:space="preserve">Long Term Care </w:t>
      </w:r>
      <w:r w:rsidR="00553166">
        <w:rPr>
          <w:rFonts w:cstheme="minorHAnsi"/>
        </w:rPr>
        <w:t xml:space="preserve">(LTC) </w:t>
      </w:r>
      <w:r w:rsidR="00BF5198">
        <w:rPr>
          <w:rFonts w:cstheme="minorHAnsi"/>
        </w:rPr>
        <w:t xml:space="preserve">– hanno </w:t>
      </w:r>
      <w:r w:rsidR="0042399B">
        <w:rPr>
          <w:rFonts w:cstheme="minorHAnsi"/>
        </w:rPr>
        <w:t xml:space="preserve">assorbito </w:t>
      </w:r>
      <w:r w:rsidR="00BF5198">
        <w:rPr>
          <w:rFonts w:cstheme="minorHAnsi"/>
        </w:rPr>
        <w:t xml:space="preserve">una spesa sanitaria di € </w:t>
      </w:r>
      <w:r w:rsidR="00BF5198" w:rsidRPr="00BF5198">
        <w:rPr>
          <w:rFonts w:cstheme="minorHAnsi"/>
        </w:rPr>
        <w:t>16.897</w:t>
      </w:r>
      <w:r w:rsidR="00BF5198">
        <w:rPr>
          <w:rFonts w:cstheme="minorHAnsi"/>
        </w:rPr>
        <w:t xml:space="preserve"> milioni, di cui € </w:t>
      </w:r>
      <w:r w:rsidR="00BF5198" w:rsidRPr="00BF5198">
        <w:rPr>
          <w:rFonts w:cstheme="minorHAnsi"/>
        </w:rPr>
        <w:t>12.834</w:t>
      </w:r>
      <w:r w:rsidR="00BF5198">
        <w:rPr>
          <w:rFonts w:cstheme="minorHAnsi"/>
        </w:rPr>
        <w:t xml:space="preserve"> </w:t>
      </w:r>
      <w:r w:rsidR="0042399B">
        <w:rPr>
          <w:rFonts w:cstheme="minorHAnsi"/>
        </w:rPr>
        <w:t xml:space="preserve">milioni </w:t>
      </w:r>
      <w:r w:rsidR="00BF5198">
        <w:rPr>
          <w:rFonts w:cstheme="minorHAnsi"/>
        </w:rPr>
        <w:t xml:space="preserve">(76%) </w:t>
      </w:r>
      <w:r w:rsidR="0042399B">
        <w:rPr>
          <w:rFonts w:cstheme="minorHAnsi"/>
        </w:rPr>
        <w:t>finanziati con la</w:t>
      </w:r>
      <w:r w:rsidR="00BF5198">
        <w:rPr>
          <w:rFonts w:cstheme="minorHAnsi"/>
        </w:rPr>
        <w:t xml:space="preserve"> spesa pubblica, € </w:t>
      </w:r>
      <w:r w:rsidR="00BF5198" w:rsidRPr="00BF5198">
        <w:rPr>
          <w:rFonts w:cstheme="minorHAnsi"/>
        </w:rPr>
        <w:t>3.953</w:t>
      </w:r>
      <w:r w:rsidR="00BF5198">
        <w:rPr>
          <w:rFonts w:cstheme="minorHAnsi"/>
        </w:rPr>
        <w:t xml:space="preserve"> milioni (23,4%) a carico delle famiglie e € 110 milioni (0,7%)</w:t>
      </w:r>
      <w:r w:rsidR="00E12E58">
        <w:rPr>
          <w:rFonts w:cstheme="minorHAnsi"/>
        </w:rPr>
        <w:t xml:space="preserve"> di spesa</w:t>
      </w:r>
      <w:r w:rsidR="00BF5198">
        <w:rPr>
          <w:rFonts w:cstheme="minorHAnsi"/>
        </w:rPr>
        <w:t xml:space="preserve"> </w:t>
      </w:r>
      <w:r w:rsidR="000330D9">
        <w:rPr>
          <w:rFonts w:cstheme="minorHAnsi"/>
        </w:rPr>
        <w:t>intermediata</w:t>
      </w:r>
      <w:r w:rsidR="00253ABC">
        <w:rPr>
          <w:rFonts w:cstheme="minorHAnsi"/>
        </w:rPr>
        <w:t xml:space="preserve"> (</w:t>
      </w:r>
      <w:r w:rsidR="00253ABC" w:rsidRPr="00253ABC">
        <w:rPr>
          <w:rFonts w:cstheme="minorHAnsi"/>
          <w:highlight w:val="yellow"/>
        </w:rPr>
        <w:t xml:space="preserve">figura </w:t>
      </w:r>
      <w:r w:rsidR="002C75E2">
        <w:rPr>
          <w:rFonts w:cstheme="minorHAnsi"/>
          <w:highlight w:val="yellow"/>
        </w:rPr>
        <w:t>2</w:t>
      </w:r>
      <w:r w:rsidR="00253ABC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7174E2">
        <w:rPr>
          <w:rFonts w:cstheme="minorHAnsi"/>
          <w:i/>
          <w:iCs/>
        </w:rPr>
        <w:t xml:space="preserve">Fonte </w:t>
      </w:r>
      <w:hyperlink r:id="rId8" w:history="1">
        <w:r w:rsidR="0042399B" w:rsidRPr="00B52277">
          <w:rPr>
            <w:rStyle w:val="Collegamentoipertestuale"/>
            <w:rFonts w:cstheme="minorHAnsi"/>
            <w:i/>
            <w:iCs/>
          </w:rPr>
          <w:t>ISTAT</w:t>
        </w:r>
      </w:hyperlink>
    </w:p>
    <w:p w14:paraId="0341099F" w14:textId="77777777" w:rsidR="005E415C" w:rsidRDefault="005E415C" w:rsidP="005E415C">
      <w:pPr>
        <w:pStyle w:val="Paragrafoelenco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C01BDC">
        <w:rPr>
          <w:rFonts w:cstheme="minorHAnsi"/>
        </w:rPr>
        <w:t>’INPS ha erogato complessivamente € 25.332,4 milioni, di cui € 14.500 milioni di indennità di accompagnamento, € 3.900 milioni di pensioni di invalidità civile, € 3.300 milioni di pensioni di invalidità e €</w:t>
      </w:r>
      <w:r w:rsidR="00C01BDC" w:rsidRPr="00C01BDC">
        <w:rPr>
          <w:rFonts w:cstheme="minorHAnsi"/>
        </w:rPr>
        <w:t xml:space="preserve"> 2.432,4</w:t>
      </w:r>
      <w:r w:rsidR="00C01BDC">
        <w:rPr>
          <w:rFonts w:cstheme="minorHAnsi"/>
        </w:rPr>
        <w:t xml:space="preserve"> </w:t>
      </w:r>
      <w:r w:rsidR="009A60B2">
        <w:rPr>
          <w:rFonts w:cstheme="minorHAnsi"/>
        </w:rPr>
        <w:t xml:space="preserve">milioni </w:t>
      </w:r>
      <w:r w:rsidR="00C01BDC">
        <w:rPr>
          <w:rFonts w:cstheme="minorHAnsi"/>
        </w:rPr>
        <w:t xml:space="preserve">per </w:t>
      </w:r>
      <w:r w:rsidR="0027170F">
        <w:rPr>
          <w:rFonts w:cstheme="minorHAnsi"/>
        </w:rPr>
        <w:t xml:space="preserve">permessi retribuiti secondo </w:t>
      </w:r>
      <w:r w:rsidR="00C01BDC">
        <w:rPr>
          <w:rFonts w:cstheme="minorHAnsi"/>
        </w:rPr>
        <w:t>L. 104</w:t>
      </w:r>
      <w:r w:rsidR="00336D0F">
        <w:rPr>
          <w:rFonts w:cstheme="minorHAnsi"/>
        </w:rPr>
        <w:t>/92</w:t>
      </w:r>
      <w:r w:rsidR="0024118A">
        <w:rPr>
          <w:rFonts w:cstheme="minorHAnsi"/>
        </w:rPr>
        <w:t xml:space="preserve"> (</w:t>
      </w:r>
      <w:r w:rsidR="0024118A" w:rsidRPr="00253ABC">
        <w:rPr>
          <w:rFonts w:cstheme="minorHAnsi"/>
          <w:highlight w:val="yellow"/>
        </w:rPr>
        <w:t xml:space="preserve">figura </w:t>
      </w:r>
      <w:r w:rsidR="002C75E2">
        <w:rPr>
          <w:rFonts w:cstheme="minorHAnsi"/>
          <w:highlight w:val="yellow"/>
        </w:rPr>
        <w:t>3</w:t>
      </w:r>
      <w:r w:rsidR="0024118A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7174E2">
        <w:rPr>
          <w:rFonts w:cstheme="minorHAnsi"/>
          <w:i/>
          <w:iCs/>
        </w:rPr>
        <w:t xml:space="preserve">Fonte </w:t>
      </w:r>
      <w:hyperlink r:id="rId9" w:history="1">
        <w:r w:rsidRPr="00FA4EE2">
          <w:rPr>
            <w:rStyle w:val="Collegamentoipertestuale"/>
            <w:rFonts w:cstheme="minorHAnsi"/>
            <w:i/>
            <w:iCs/>
          </w:rPr>
          <w:t xml:space="preserve">19° Rapporto </w:t>
        </w:r>
        <w:r w:rsidR="0042399B" w:rsidRPr="00FA4EE2">
          <w:rPr>
            <w:rStyle w:val="Collegamentoipertestuale"/>
            <w:rFonts w:cstheme="minorHAnsi"/>
            <w:i/>
            <w:iCs/>
          </w:rPr>
          <w:t xml:space="preserve">CREA </w:t>
        </w:r>
        <w:r w:rsidR="00247E23" w:rsidRPr="00FA4EE2">
          <w:rPr>
            <w:rStyle w:val="Collegamentoipertestuale"/>
            <w:rFonts w:cstheme="minorHAnsi"/>
            <w:i/>
            <w:iCs/>
          </w:rPr>
          <w:t>Sanità</w:t>
        </w:r>
      </w:hyperlink>
    </w:p>
    <w:p w14:paraId="711ACAD0" w14:textId="47ACCB66" w:rsidR="0024118A" w:rsidRPr="005E415C" w:rsidRDefault="005E415C" w:rsidP="005E415C">
      <w:pPr>
        <w:pStyle w:val="Paragrafoelenco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 w:rsidR="0024118A" w:rsidRPr="005E415C">
        <w:rPr>
          <w:rFonts w:cstheme="minorHAnsi"/>
        </w:rPr>
        <w:t xml:space="preserve">Comuni hanno erogato € 1.822,2 </w:t>
      </w:r>
      <w:r w:rsidR="000330D9" w:rsidRPr="005E415C">
        <w:rPr>
          <w:rFonts w:cstheme="minorHAnsi"/>
        </w:rPr>
        <w:t>milioni</w:t>
      </w:r>
      <w:r w:rsidR="008307DF" w:rsidRPr="005E415C">
        <w:rPr>
          <w:rFonts w:cstheme="minorHAnsi"/>
        </w:rPr>
        <w:t>,</w:t>
      </w:r>
      <w:r w:rsidR="000330D9" w:rsidRPr="005E415C">
        <w:rPr>
          <w:rFonts w:cstheme="minorHAnsi"/>
        </w:rPr>
        <w:t xml:space="preserve"> </w:t>
      </w:r>
      <w:r w:rsidR="0024118A" w:rsidRPr="005E415C">
        <w:rPr>
          <w:rFonts w:cstheme="minorHAnsi"/>
        </w:rPr>
        <w:t xml:space="preserve">di cui € 1.200 </w:t>
      </w:r>
      <w:r w:rsidR="000330D9" w:rsidRPr="005E415C">
        <w:rPr>
          <w:rFonts w:cstheme="minorHAnsi"/>
        </w:rPr>
        <w:t xml:space="preserve">milioni </w:t>
      </w:r>
      <w:r w:rsidR="0024118A" w:rsidRPr="005E415C">
        <w:rPr>
          <w:rFonts w:cstheme="minorHAnsi"/>
        </w:rPr>
        <w:t xml:space="preserve">in denaro e € 622,2 </w:t>
      </w:r>
      <w:r w:rsidR="000330D9" w:rsidRPr="005E415C">
        <w:rPr>
          <w:rFonts w:cstheme="minorHAnsi"/>
        </w:rPr>
        <w:t xml:space="preserve">milioni </w:t>
      </w:r>
      <w:r w:rsidR="0024118A" w:rsidRPr="005E415C">
        <w:rPr>
          <w:rFonts w:cstheme="minorHAnsi"/>
        </w:rPr>
        <w:t>in natura</w:t>
      </w:r>
      <w:r>
        <w:rPr>
          <w:rFonts w:cstheme="minorHAnsi"/>
        </w:rPr>
        <w:t xml:space="preserve">. </w:t>
      </w:r>
      <w:r w:rsidRPr="007174E2">
        <w:rPr>
          <w:rFonts w:cstheme="minorHAnsi"/>
          <w:i/>
          <w:iCs/>
        </w:rPr>
        <w:t xml:space="preserve">Fonte </w:t>
      </w:r>
      <w:hyperlink r:id="rId10" w:history="1">
        <w:r w:rsidRPr="00FA4EE2">
          <w:rPr>
            <w:rStyle w:val="Collegamentoipertestuale"/>
            <w:rFonts w:cstheme="minorHAnsi"/>
            <w:i/>
            <w:iCs/>
          </w:rPr>
          <w:t xml:space="preserve">19° Rapporto </w:t>
        </w:r>
        <w:r w:rsidR="00E12E58" w:rsidRPr="00FA4EE2">
          <w:rPr>
            <w:rStyle w:val="Collegamentoipertestuale"/>
            <w:rFonts w:cstheme="minorHAnsi"/>
            <w:i/>
            <w:iCs/>
          </w:rPr>
          <w:t>C</w:t>
        </w:r>
        <w:r w:rsidR="00E12E58">
          <w:rPr>
            <w:rStyle w:val="Collegamentoipertestuale"/>
            <w:rFonts w:cstheme="minorHAnsi"/>
            <w:i/>
            <w:iCs/>
          </w:rPr>
          <w:t>REA</w:t>
        </w:r>
        <w:r w:rsidR="00E12E58" w:rsidRPr="00FA4EE2">
          <w:rPr>
            <w:rStyle w:val="Collegamentoipertestuale"/>
            <w:rFonts w:cstheme="minorHAnsi"/>
            <w:i/>
            <w:iCs/>
          </w:rPr>
          <w:t xml:space="preserve"> </w:t>
        </w:r>
        <w:r w:rsidR="00247E23" w:rsidRPr="00FA4EE2">
          <w:rPr>
            <w:rStyle w:val="Collegamentoipertestuale"/>
            <w:rFonts w:cstheme="minorHAnsi"/>
            <w:i/>
            <w:iCs/>
          </w:rPr>
          <w:t>Sanità</w:t>
        </w:r>
      </w:hyperlink>
      <w:r w:rsidR="00247E23">
        <w:rPr>
          <w:rFonts w:cstheme="minorHAnsi"/>
          <w:i/>
          <w:iCs/>
        </w:rPr>
        <w:t xml:space="preserve"> </w:t>
      </w:r>
    </w:p>
    <w:p w14:paraId="2BE3744B" w14:textId="77777777" w:rsidR="007578B1" w:rsidRPr="00644763" w:rsidRDefault="0027170F" w:rsidP="00B53F69">
      <w:pPr>
        <w:pStyle w:val="Paragrafoelenco"/>
        <w:numPr>
          <w:ilvl w:val="0"/>
          <w:numId w:val="30"/>
        </w:numPr>
        <w:spacing w:line="276" w:lineRule="auto"/>
        <w:jc w:val="both"/>
        <w:rPr>
          <w:rFonts w:cstheme="minorHAnsi"/>
          <w:color w:val="FF0000"/>
        </w:rPr>
      </w:pPr>
      <w:r w:rsidRPr="005E415C">
        <w:rPr>
          <w:rFonts w:cstheme="minorHAnsi"/>
        </w:rPr>
        <w:t xml:space="preserve">Il Fondo </w:t>
      </w:r>
      <w:r w:rsidR="00A9402C">
        <w:rPr>
          <w:rFonts w:cstheme="minorHAnsi"/>
        </w:rPr>
        <w:t xml:space="preserve">nazionale </w:t>
      </w:r>
      <w:r w:rsidRPr="005E415C">
        <w:rPr>
          <w:rFonts w:cstheme="minorHAnsi"/>
        </w:rPr>
        <w:t>per l</w:t>
      </w:r>
      <w:r w:rsidR="000F324F" w:rsidRPr="005E415C">
        <w:rPr>
          <w:rFonts w:cstheme="minorHAnsi"/>
        </w:rPr>
        <w:t>e</w:t>
      </w:r>
      <w:r w:rsidRPr="005E415C">
        <w:rPr>
          <w:rFonts w:cstheme="minorHAnsi"/>
        </w:rPr>
        <w:t xml:space="preserve"> non-autosufficienz</w:t>
      </w:r>
      <w:r w:rsidR="000F324F" w:rsidRPr="005E415C">
        <w:rPr>
          <w:rFonts w:cstheme="minorHAnsi"/>
        </w:rPr>
        <w:t>e</w:t>
      </w:r>
      <w:r w:rsidRPr="005E415C">
        <w:rPr>
          <w:rFonts w:cstheme="minorHAnsi"/>
        </w:rPr>
        <w:t xml:space="preserve"> </w:t>
      </w:r>
      <w:r w:rsidR="0036479F">
        <w:rPr>
          <w:rFonts w:cstheme="minorHAnsi"/>
        </w:rPr>
        <w:t xml:space="preserve">nel 2022 </w:t>
      </w:r>
      <w:r w:rsidR="005E415C" w:rsidRPr="005E415C">
        <w:rPr>
          <w:rFonts w:cstheme="minorHAnsi"/>
        </w:rPr>
        <w:t>era pari a €</w:t>
      </w:r>
      <w:r w:rsidR="00644763">
        <w:rPr>
          <w:rFonts w:cstheme="minorHAnsi"/>
        </w:rPr>
        <w:t xml:space="preserve"> </w:t>
      </w:r>
      <w:r w:rsidR="005E415C" w:rsidRPr="005E415C">
        <w:rPr>
          <w:rFonts w:cstheme="minorHAnsi"/>
        </w:rPr>
        <w:t>822 milioni</w:t>
      </w:r>
      <w:r w:rsidR="007174E2">
        <w:rPr>
          <w:rFonts w:cstheme="minorHAnsi"/>
        </w:rPr>
        <w:t xml:space="preserve">. </w:t>
      </w:r>
      <w:r w:rsidR="00FA4EE2">
        <w:rPr>
          <w:rFonts w:cstheme="minorHAnsi"/>
          <w:i/>
          <w:iCs/>
        </w:rPr>
        <w:t xml:space="preserve">Fonte </w:t>
      </w:r>
      <w:hyperlink r:id="rId11" w:history="1">
        <w:r w:rsidR="00FA4EE2" w:rsidRPr="00FA4EE2">
          <w:rPr>
            <w:rStyle w:val="Collegamentoipertestuale"/>
            <w:rFonts w:cstheme="minorHAnsi"/>
            <w:i/>
            <w:iCs/>
          </w:rPr>
          <w:t>Servizio Studi – Camera dei Deputati</w:t>
        </w:r>
      </w:hyperlink>
    </w:p>
    <w:p w14:paraId="4FF12CD9" w14:textId="77777777" w:rsidR="007174E2" w:rsidRDefault="007174E2" w:rsidP="00B53F69">
      <w:pPr>
        <w:jc w:val="both"/>
        <w:rPr>
          <w:rFonts w:cstheme="minorHAnsi"/>
        </w:rPr>
      </w:pPr>
    </w:p>
    <w:p w14:paraId="7252653C" w14:textId="2226AD6D" w:rsidR="007174E2" w:rsidRDefault="0027170F" w:rsidP="00B53F69">
      <w:pPr>
        <w:jc w:val="both"/>
      </w:pPr>
      <w:r w:rsidRPr="005838AE">
        <w:rPr>
          <w:rFonts w:cstheme="minorHAnsi"/>
        </w:rPr>
        <w:t>«</w:t>
      </w:r>
      <w:r w:rsidR="00644763">
        <w:rPr>
          <w:rFonts w:cstheme="minorHAnsi"/>
        </w:rPr>
        <w:t xml:space="preserve">Ai quasi € 45 miliardi di spesa socio-sanitaria </w:t>
      </w:r>
      <w:r w:rsidR="00644763" w:rsidRPr="005838AE">
        <w:t xml:space="preserve">– </w:t>
      </w:r>
      <w:r w:rsidR="00644763">
        <w:t xml:space="preserve">ha precisato </w:t>
      </w:r>
      <w:r w:rsidR="00644763" w:rsidRPr="005838AE">
        <w:t>Cartabellotta</w:t>
      </w:r>
      <w:r w:rsidR="00644763">
        <w:t xml:space="preserve"> </w:t>
      </w:r>
      <w:r w:rsidR="00644763" w:rsidRPr="005838AE">
        <w:rPr>
          <w:rFonts w:cstheme="minorHAnsi"/>
        </w:rPr>
        <w:t>–</w:t>
      </w:r>
      <w:r w:rsidR="00644763">
        <w:rPr>
          <w:rFonts w:cstheme="minorHAnsi"/>
        </w:rPr>
        <w:t xml:space="preserve"> </w:t>
      </w:r>
      <w:r w:rsidR="008F71B3">
        <w:rPr>
          <w:rFonts w:cstheme="minorHAnsi"/>
        </w:rPr>
        <w:t xml:space="preserve">si </w:t>
      </w:r>
      <w:r w:rsidR="00644763">
        <w:rPr>
          <w:rFonts w:cstheme="minorHAnsi"/>
        </w:rPr>
        <w:t>aggiung</w:t>
      </w:r>
      <w:r w:rsidR="008F71B3">
        <w:rPr>
          <w:rFonts w:cstheme="minorHAnsi"/>
        </w:rPr>
        <w:t xml:space="preserve">ono </w:t>
      </w:r>
      <w:r w:rsidR="00644763">
        <w:rPr>
          <w:rFonts w:cstheme="minorHAnsi"/>
        </w:rPr>
        <w:t xml:space="preserve">i fondi per la non autosufficienza erogati dalle singole Regioni. Tuttavia </w:t>
      </w:r>
      <w:r w:rsidR="0042399B">
        <w:rPr>
          <w:rFonts w:cstheme="minorHAnsi"/>
        </w:rPr>
        <w:t xml:space="preserve">su queste risorse </w:t>
      </w:r>
      <w:r w:rsidRPr="0027170F">
        <w:rPr>
          <w:rFonts w:cstheme="minorHAnsi"/>
        </w:rPr>
        <w:t>non esiste alcuna ricognizione effettuata da enti pubblici o privati</w:t>
      </w:r>
      <w:r w:rsidR="008F71B3">
        <w:rPr>
          <w:rFonts w:cstheme="minorHAnsi"/>
        </w:rPr>
        <w:t xml:space="preserve"> e</w:t>
      </w:r>
      <w:r w:rsidR="00644763">
        <w:rPr>
          <w:rFonts w:cstheme="minorHAnsi"/>
        </w:rPr>
        <w:t xml:space="preserve"> </w:t>
      </w:r>
      <w:r w:rsidRPr="0027170F">
        <w:rPr>
          <w:rFonts w:cstheme="minorHAnsi"/>
        </w:rPr>
        <w:t xml:space="preserve">le risorse non sono stanziate in maniera continuativa in quanto </w:t>
      </w:r>
      <w:r w:rsidR="00644763">
        <w:rPr>
          <w:rFonts w:cstheme="minorHAnsi"/>
        </w:rPr>
        <w:t xml:space="preserve">i </w:t>
      </w:r>
      <w:r w:rsidRPr="0027170F">
        <w:rPr>
          <w:rFonts w:cstheme="minorHAnsi"/>
        </w:rPr>
        <w:t>fond</w:t>
      </w:r>
      <w:r w:rsidR="00644763">
        <w:rPr>
          <w:rFonts w:cstheme="minorHAnsi"/>
        </w:rPr>
        <w:t>i</w:t>
      </w:r>
      <w:r w:rsidRPr="0027170F">
        <w:rPr>
          <w:rFonts w:cstheme="minorHAnsi"/>
        </w:rPr>
        <w:t xml:space="preserve"> </w:t>
      </w:r>
      <w:r w:rsidR="00644763">
        <w:rPr>
          <w:rFonts w:cstheme="minorHAnsi"/>
        </w:rPr>
        <w:t xml:space="preserve">regionali </w:t>
      </w:r>
      <w:r w:rsidRPr="0027170F">
        <w:rPr>
          <w:rFonts w:cstheme="minorHAnsi"/>
        </w:rPr>
        <w:t xml:space="preserve">non </w:t>
      </w:r>
      <w:r w:rsidR="00644763">
        <w:rPr>
          <w:rFonts w:cstheme="minorHAnsi"/>
        </w:rPr>
        <w:t xml:space="preserve">sono </w:t>
      </w:r>
      <w:r w:rsidRPr="0027170F">
        <w:rPr>
          <w:rFonts w:cstheme="minorHAnsi"/>
        </w:rPr>
        <w:t>struttural</w:t>
      </w:r>
      <w:r w:rsidR="00644763">
        <w:rPr>
          <w:rFonts w:cstheme="minorHAnsi"/>
        </w:rPr>
        <w:t>i, fatta eccezione per quello della Regione Emilia</w:t>
      </w:r>
      <w:r w:rsidR="0042399B">
        <w:rPr>
          <w:rFonts w:cstheme="minorHAnsi"/>
        </w:rPr>
        <w:t>-</w:t>
      </w:r>
      <w:r w:rsidR="00644763">
        <w:rPr>
          <w:rFonts w:cstheme="minorHAnsi"/>
        </w:rPr>
        <w:t xml:space="preserve">Romagna, che per il 2022 ammonta a </w:t>
      </w:r>
      <w:r w:rsidR="00644763" w:rsidRPr="0027170F">
        <w:rPr>
          <w:rFonts w:cstheme="minorHAnsi"/>
        </w:rPr>
        <w:t>€</w:t>
      </w:r>
      <w:r w:rsidR="00644763">
        <w:rPr>
          <w:rFonts w:cstheme="minorHAnsi"/>
        </w:rPr>
        <w:t xml:space="preserve"> 457 </w:t>
      </w:r>
      <w:r w:rsidR="00644763" w:rsidRPr="0027170F">
        <w:rPr>
          <w:rFonts w:cstheme="minorHAnsi"/>
        </w:rPr>
        <w:t>milioni</w:t>
      </w:r>
      <w:r w:rsidRPr="005838AE">
        <w:t>»</w:t>
      </w:r>
      <w:r>
        <w:t>.</w:t>
      </w:r>
      <w:r w:rsidR="007174E2">
        <w:t xml:space="preserve"> </w:t>
      </w:r>
    </w:p>
    <w:p w14:paraId="5E0297EB" w14:textId="77777777" w:rsidR="009A1EA0" w:rsidRPr="00801B8B" w:rsidRDefault="007578B1" w:rsidP="00801B8B">
      <w:pPr>
        <w:spacing w:after="0"/>
        <w:jc w:val="both"/>
        <w:rPr>
          <w:bCs/>
        </w:rPr>
      </w:pPr>
      <w:r>
        <w:rPr>
          <w:b/>
          <w:bCs/>
        </w:rPr>
        <w:t>Le diseguaglianze regionali nell’accesso ai servizi socio-sanitari</w:t>
      </w:r>
      <w:r>
        <w:rPr>
          <w:rFonts w:cstheme="minorHAnsi"/>
        </w:rPr>
        <w:t xml:space="preserve">. </w:t>
      </w:r>
      <w:r w:rsidR="009A1EA0" w:rsidRPr="005838AE">
        <w:rPr>
          <w:rFonts w:cstheme="minorHAnsi"/>
        </w:rPr>
        <w:t>«</w:t>
      </w:r>
      <w:r w:rsidR="008F71B3">
        <w:rPr>
          <w:rFonts w:cstheme="minorHAnsi"/>
        </w:rPr>
        <w:t>Il</w:t>
      </w:r>
      <w:r w:rsidR="002B5630">
        <w:rPr>
          <w:rFonts w:cstheme="minorHAnsi"/>
        </w:rPr>
        <w:t xml:space="preserve"> Nuovo Sistema di Garanzia</w:t>
      </w:r>
      <w:r w:rsidR="002B5630" w:rsidRPr="005838AE">
        <w:rPr>
          <w:rFonts w:cstheme="minorHAnsi"/>
        </w:rPr>
        <w:t xml:space="preserve"> </w:t>
      </w:r>
      <w:r w:rsidR="009A1EA0" w:rsidRPr="005838AE">
        <w:rPr>
          <w:rFonts w:cstheme="minorHAnsi"/>
        </w:rPr>
        <w:t xml:space="preserve">– </w:t>
      </w:r>
      <w:r w:rsidR="009A1EA0">
        <w:rPr>
          <w:rFonts w:cstheme="minorHAnsi"/>
        </w:rPr>
        <w:t xml:space="preserve">ha spiegato </w:t>
      </w:r>
      <w:r w:rsidR="009A1EA0" w:rsidRPr="005838AE">
        <w:rPr>
          <w:rFonts w:cstheme="minorHAnsi"/>
        </w:rPr>
        <w:t>Cartabellotta</w:t>
      </w:r>
      <w:r w:rsidR="009A1EA0">
        <w:rPr>
          <w:rFonts w:cstheme="minorHAnsi"/>
        </w:rPr>
        <w:t xml:space="preserve"> </w:t>
      </w:r>
      <w:r w:rsidR="009A1EA0" w:rsidRPr="005838AE">
        <w:rPr>
          <w:rFonts w:cstheme="minorHAnsi"/>
        </w:rPr>
        <w:t>–</w:t>
      </w:r>
      <w:r w:rsidR="008F71B3">
        <w:rPr>
          <w:rFonts w:cstheme="minorHAnsi"/>
        </w:rPr>
        <w:t xml:space="preserve"> </w:t>
      </w:r>
      <w:r w:rsidR="00801B8B">
        <w:rPr>
          <w:rFonts w:cstheme="minorHAnsi"/>
        </w:rPr>
        <w:t xml:space="preserve">che il Ministero della Salute usa per monitorare gli adempimenti delle Regioni ai </w:t>
      </w:r>
      <w:r w:rsidR="009A1EA0">
        <w:rPr>
          <w:rFonts w:cstheme="minorHAnsi"/>
        </w:rPr>
        <w:t>Livelli Essenziali di Assistenza (LEA)</w:t>
      </w:r>
      <w:r w:rsidR="00801B8B">
        <w:rPr>
          <w:rFonts w:cstheme="minorHAnsi"/>
        </w:rPr>
        <w:t xml:space="preserve"> dispone </w:t>
      </w:r>
      <w:r w:rsidR="00004B0B">
        <w:rPr>
          <w:rFonts w:cstheme="minorHAnsi"/>
        </w:rPr>
        <w:t xml:space="preserve">tre </w:t>
      </w:r>
      <w:r w:rsidR="00801B8B">
        <w:rPr>
          <w:rFonts w:cstheme="minorHAnsi"/>
        </w:rPr>
        <w:t>indicatori CORE</w:t>
      </w:r>
      <w:r w:rsidR="002B5630">
        <w:rPr>
          <w:rFonts w:cstheme="minorHAnsi"/>
        </w:rPr>
        <w:t xml:space="preserve"> sulle</w:t>
      </w:r>
      <w:r w:rsidR="00801B8B">
        <w:rPr>
          <w:rFonts w:cstheme="minorHAnsi"/>
        </w:rPr>
        <w:t xml:space="preserve"> misure contenute nel D.lgs</w:t>
      </w:r>
      <w:r w:rsidR="009A1EA0" w:rsidRPr="005838AE">
        <w:t>».</w:t>
      </w:r>
      <w:r w:rsidR="0011051F">
        <w:t xml:space="preserve"> Indicatori su cui le performance regionali documentano </w:t>
      </w:r>
      <w:r w:rsidR="00A005D3">
        <w:t xml:space="preserve">enormi </w:t>
      </w:r>
      <w:r w:rsidR="0011051F">
        <w:t>diseguaglianze</w:t>
      </w:r>
      <w:r w:rsidR="002B5630">
        <w:t>:</w:t>
      </w:r>
    </w:p>
    <w:p w14:paraId="248B0C95" w14:textId="77777777" w:rsidR="006067F1" w:rsidRPr="009F21F1" w:rsidRDefault="006067F1" w:rsidP="006067F1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9F21F1">
        <w:rPr>
          <w:rFonts w:cstheme="minorHAnsi"/>
          <w:b/>
          <w:bCs/>
        </w:rPr>
        <w:t>Persone non autosufficienti di età ≥75 anni in trattamento socio-sanitario residenziale</w:t>
      </w:r>
      <w:r w:rsidR="0011051F" w:rsidRPr="00A005D3">
        <w:rPr>
          <w:rFonts w:cstheme="minorHAnsi"/>
        </w:rPr>
        <w:t>.</w:t>
      </w:r>
      <w:r w:rsidR="00A005D3">
        <w:rPr>
          <w:rFonts w:cstheme="minorHAnsi"/>
        </w:rPr>
        <w:t xml:space="preserve"> </w:t>
      </w:r>
      <w:r w:rsidR="00A005D3" w:rsidRPr="00A005D3">
        <w:rPr>
          <w:rFonts w:cstheme="minorHAnsi"/>
        </w:rPr>
        <w:t>A fro</w:t>
      </w:r>
      <w:r w:rsidR="00A005D3">
        <w:rPr>
          <w:rFonts w:cstheme="minorHAnsi"/>
        </w:rPr>
        <w:t xml:space="preserve">nte di una media nazionale di </w:t>
      </w:r>
      <w:r w:rsidR="00644763">
        <w:rPr>
          <w:rFonts w:cstheme="minorHAnsi"/>
        </w:rPr>
        <w:t>40,2</w:t>
      </w:r>
      <w:r w:rsidR="00A005D3">
        <w:rPr>
          <w:rFonts w:cstheme="minorHAnsi"/>
        </w:rPr>
        <w:t xml:space="preserve"> </w:t>
      </w:r>
      <w:r w:rsidR="00E12E58">
        <w:rPr>
          <w:rFonts w:cstheme="minorHAnsi"/>
        </w:rPr>
        <w:t xml:space="preserve">persone </w:t>
      </w:r>
      <w:r w:rsidR="00A005D3">
        <w:rPr>
          <w:rFonts w:cstheme="minorHAnsi"/>
        </w:rPr>
        <w:t>per 1.000 abitanti esistono notevoli differenze tra Regioni: da 144,6 persone per 1.000 abitanti nella Provincia autonoma di Trento ai 4,1 nella Campania. In generale</w:t>
      </w:r>
      <w:r w:rsidR="00835CEC">
        <w:rPr>
          <w:rFonts w:cstheme="minorHAnsi"/>
        </w:rPr>
        <w:t xml:space="preserve">, tutte le Regioni del Sud si trovano fondo classifica e nessuna Regione supera i 20 assistiti per 1.000 abitanti. </w:t>
      </w:r>
      <w:r w:rsidR="00835CEC" w:rsidRPr="005838AE">
        <w:rPr>
          <w:rFonts w:cstheme="minorHAnsi"/>
        </w:rPr>
        <w:t>«</w:t>
      </w:r>
      <w:r w:rsidR="00835CEC">
        <w:rPr>
          <w:rFonts w:cstheme="minorHAnsi"/>
        </w:rPr>
        <w:t xml:space="preserve">Ovviamente </w:t>
      </w:r>
      <w:r w:rsidR="00835CEC" w:rsidRPr="005838AE">
        <w:rPr>
          <w:rFonts w:cstheme="minorHAnsi"/>
        </w:rPr>
        <w:t>–</w:t>
      </w:r>
      <w:r w:rsidR="00E12E58">
        <w:rPr>
          <w:rFonts w:cstheme="minorHAnsi"/>
        </w:rPr>
        <w:t xml:space="preserve"> </w:t>
      </w:r>
      <w:r w:rsidR="00835CEC">
        <w:rPr>
          <w:rFonts w:cstheme="minorHAnsi"/>
        </w:rPr>
        <w:t xml:space="preserve">commenta </w:t>
      </w:r>
      <w:r w:rsidR="00835CEC" w:rsidRPr="005838AE">
        <w:rPr>
          <w:rFonts w:cstheme="minorHAnsi"/>
        </w:rPr>
        <w:t>Cartabellotta</w:t>
      </w:r>
      <w:r w:rsidR="00835CEC">
        <w:rPr>
          <w:rFonts w:cstheme="minorHAnsi"/>
        </w:rPr>
        <w:t xml:space="preserve"> </w:t>
      </w:r>
      <w:r w:rsidR="00835CEC" w:rsidRPr="005838AE">
        <w:rPr>
          <w:rFonts w:cstheme="minorHAnsi"/>
        </w:rPr>
        <w:t>–</w:t>
      </w:r>
      <w:r w:rsidR="00835CEC">
        <w:rPr>
          <w:rFonts w:cstheme="minorHAnsi"/>
        </w:rPr>
        <w:t xml:space="preserve"> questo dato è </w:t>
      </w:r>
      <w:r w:rsidR="006616FF">
        <w:rPr>
          <w:rFonts w:cstheme="minorHAnsi"/>
        </w:rPr>
        <w:t>condizionato</w:t>
      </w:r>
      <w:r w:rsidR="00835CEC">
        <w:rPr>
          <w:rFonts w:cstheme="minorHAnsi"/>
        </w:rPr>
        <w:t xml:space="preserve"> al ribasso da</w:t>
      </w:r>
      <w:r w:rsidR="006616FF">
        <w:rPr>
          <w:rFonts w:cstheme="minorHAnsi"/>
        </w:rPr>
        <w:t xml:space="preserve">lla disponibilità di </w:t>
      </w:r>
      <w:r w:rsidR="00835CEC">
        <w:rPr>
          <w:rFonts w:cstheme="minorHAnsi"/>
        </w:rPr>
        <w:t>altre forme di assistenza per le persone non autosufficienti, in particolare l’assistenza domiciliare integrata</w:t>
      </w:r>
      <w:r w:rsidR="00835CEC" w:rsidRPr="005838AE">
        <w:t>»</w:t>
      </w:r>
      <w:r w:rsidR="00C56A8F">
        <w:t xml:space="preserve"> (</w:t>
      </w:r>
      <w:r w:rsidR="00C56A8F" w:rsidRPr="00C56A8F">
        <w:rPr>
          <w:highlight w:val="yellow"/>
        </w:rPr>
        <w:t>figura 4</w:t>
      </w:r>
      <w:r w:rsidR="00C56A8F">
        <w:t>)</w:t>
      </w:r>
      <w:r w:rsidR="00B46BBA">
        <w:t>.</w:t>
      </w:r>
    </w:p>
    <w:p w14:paraId="056E6D6D" w14:textId="67757700" w:rsidR="006067F1" w:rsidRPr="00004B0B" w:rsidRDefault="006067F1" w:rsidP="006067F1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9F21F1">
        <w:rPr>
          <w:rFonts w:cstheme="minorHAnsi"/>
          <w:b/>
          <w:bCs/>
        </w:rPr>
        <w:t>Cure palliative</w:t>
      </w:r>
      <w:r w:rsidR="0011051F">
        <w:rPr>
          <w:rFonts w:cstheme="minorHAnsi"/>
        </w:rPr>
        <w:t>.</w:t>
      </w:r>
      <w:r w:rsidR="00C94373">
        <w:rPr>
          <w:rFonts w:cstheme="minorHAnsi"/>
        </w:rPr>
        <w:t xml:space="preserve"> L’indicatore definisce il </w:t>
      </w:r>
      <w:r w:rsidR="00247E23">
        <w:rPr>
          <w:rFonts w:cstheme="minorHAnsi"/>
        </w:rPr>
        <w:t xml:space="preserve">rapporto tra il </w:t>
      </w:r>
      <w:r w:rsidR="00C94373">
        <w:rPr>
          <w:rFonts w:cstheme="minorHAnsi"/>
        </w:rPr>
        <w:t>n</w:t>
      </w:r>
      <w:r w:rsidR="00C94373" w:rsidRPr="00C94373">
        <w:rPr>
          <w:rFonts w:cstheme="minorHAnsi"/>
        </w:rPr>
        <w:t xml:space="preserve">umero deceduti per tumore assistiti dalla </w:t>
      </w:r>
      <w:r w:rsidR="00C94373">
        <w:rPr>
          <w:rFonts w:cstheme="minorHAnsi"/>
        </w:rPr>
        <w:t>r</w:t>
      </w:r>
      <w:r w:rsidR="00C94373" w:rsidRPr="00C94373">
        <w:rPr>
          <w:rFonts w:cstheme="minorHAnsi"/>
        </w:rPr>
        <w:t>ete di cure palliative sul totale dei deceduti per tumore</w:t>
      </w:r>
      <w:r w:rsidR="00C94373">
        <w:rPr>
          <w:rFonts w:cstheme="minorHAnsi"/>
        </w:rPr>
        <w:t>. A fronte di una media nazionale d</w:t>
      </w:r>
      <w:r w:rsidR="00247E23">
        <w:rPr>
          <w:rFonts w:cstheme="minorHAnsi"/>
        </w:rPr>
        <w:t>el</w:t>
      </w:r>
      <w:r w:rsidR="00C94373">
        <w:rPr>
          <w:rFonts w:cstheme="minorHAnsi"/>
        </w:rPr>
        <w:t xml:space="preserve"> </w:t>
      </w:r>
      <w:r w:rsidR="00644763">
        <w:rPr>
          <w:rFonts w:cstheme="minorHAnsi"/>
        </w:rPr>
        <w:t>28,4</w:t>
      </w:r>
      <w:r w:rsidR="00247E23">
        <w:rPr>
          <w:rFonts w:cstheme="minorHAnsi"/>
        </w:rPr>
        <w:t>%</w:t>
      </w:r>
      <w:r w:rsidR="00C94373" w:rsidRPr="00C94373">
        <w:rPr>
          <w:rFonts w:cstheme="minorHAnsi"/>
          <w:color w:val="FF0000"/>
        </w:rPr>
        <w:t xml:space="preserve"> </w:t>
      </w:r>
      <w:r w:rsidR="00C94373">
        <w:rPr>
          <w:rFonts w:cstheme="minorHAnsi"/>
        </w:rPr>
        <w:t>la variabilità regionale oscilla dai 56,2</w:t>
      </w:r>
      <w:r w:rsidR="008B76E2">
        <w:rPr>
          <w:rFonts w:cstheme="minorHAnsi"/>
        </w:rPr>
        <w:t>%</w:t>
      </w:r>
      <w:r w:rsidR="00C94373">
        <w:rPr>
          <w:rFonts w:cstheme="minorHAnsi"/>
        </w:rPr>
        <w:t xml:space="preserve"> del Veneto ai 4,5</w:t>
      </w:r>
      <w:r w:rsidR="008B76E2">
        <w:rPr>
          <w:rFonts w:cstheme="minorHAnsi"/>
        </w:rPr>
        <w:t>%</w:t>
      </w:r>
      <w:r w:rsidR="00C94373">
        <w:rPr>
          <w:rFonts w:cstheme="minorHAnsi"/>
        </w:rPr>
        <w:t xml:space="preserve"> della Calabria </w:t>
      </w:r>
      <w:r w:rsidR="00C56A8F">
        <w:t>(</w:t>
      </w:r>
      <w:r w:rsidR="00C56A8F" w:rsidRPr="00C56A8F">
        <w:rPr>
          <w:highlight w:val="yellow"/>
        </w:rPr>
        <w:t xml:space="preserve">figura </w:t>
      </w:r>
      <w:r w:rsidR="00C56A8F">
        <w:rPr>
          <w:highlight w:val="yellow"/>
        </w:rPr>
        <w:t>5</w:t>
      </w:r>
      <w:r w:rsidR="00C56A8F">
        <w:t>)</w:t>
      </w:r>
      <w:r w:rsidR="00644763">
        <w:t xml:space="preserve">. </w:t>
      </w:r>
      <w:r w:rsidR="00644763" w:rsidRPr="005838AE">
        <w:rPr>
          <w:rFonts w:cstheme="minorHAnsi"/>
        </w:rPr>
        <w:t>«</w:t>
      </w:r>
      <w:r w:rsidR="00644763">
        <w:t xml:space="preserve">Su questo indicatore </w:t>
      </w:r>
      <w:r w:rsidR="00644763" w:rsidRPr="005838AE">
        <w:rPr>
          <w:rFonts w:cstheme="minorHAnsi"/>
        </w:rPr>
        <w:t>–</w:t>
      </w:r>
      <w:r w:rsidR="00644763">
        <w:rPr>
          <w:rFonts w:cstheme="minorHAnsi"/>
        </w:rPr>
        <w:t xml:space="preserve"> commenta </w:t>
      </w:r>
      <w:r w:rsidR="00644763" w:rsidRPr="005838AE">
        <w:rPr>
          <w:rFonts w:cstheme="minorHAnsi"/>
        </w:rPr>
        <w:t>Cartabellotta</w:t>
      </w:r>
      <w:r w:rsidR="00644763">
        <w:rPr>
          <w:rFonts w:cstheme="minorHAnsi"/>
        </w:rPr>
        <w:t xml:space="preserve"> </w:t>
      </w:r>
      <w:r w:rsidR="00644763" w:rsidRPr="005838AE">
        <w:rPr>
          <w:rFonts w:cstheme="minorHAnsi"/>
        </w:rPr>
        <w:t>–</w:t>
      </w:r>
      <w:r w:rsidR="00644763">
        <w:rPr>
          <w:rFonts w:cstheme="minorHAnsi"/>
        </w:rPr>
        <w:t xml:space="preserve"> </w:t>
      </w:r>
      <w:r w:rsidR="00644763">
        <w:t>va segnalato che, secondo i parametri definiti dal Ministero</w:t>
      </w:r>
      <w:r w:rsidR="00E12E58">
        <w:t>,</w:t>
      </w:r>
      <w:r w:rsidR="00644763">
        <w:rPr>
          <w:rFonts w:cstheme="minorHAnsi"/>
        </w:rPr>
        <w:t xml:space="preserve"> solo </w:t>
      </w:r>
      <w:r w:rsidR="00FA4EE2" w:rsidRPr="00FA4EE2">
        <w:rPr>
          <w:rFonts w:cstheme="minorHAnsi"/>
        </w:rPr>
        <w:t>5</w:t>
      </w:r>
      <w:r w:rsidR="00644763" w:rsidRPr="00644763">
        <w:rPr>
          <w:rFonts w:cstheme="minorHAnsi"/>
          <w:color w:val="FF0000"/>
        </w:rPr>
        <w:t xml:space="preserve"> </w:t>
      </w:r>
      <w:r w:rsidR="00644763">
        <w:rPr>
          <w:rFonts w:cstheme="minorHAnsi"/>
        </w:rPr>
        <w:t>Regioni</w:t>
      </w:r>
      <w:r w:rsidR="00E12E58">
        <w:rPr>
          <w:rFonts w:cstheme="minorHAnsi"/>
        </w:rPr>
        <w:t xml:space="preserve"> risultano adempienti</w:t>
      </w:r>
      <w:r w:rsidR="00644763">
        <w:rPr>
          <w:rFonts w:cstheme="minorHAnsi"/>
        </w:rPr>
        <w:t xml:space="preserve">: </w:t>
      </w:r>
      <w:r w:rsidR="00FA4EE2">
        <w:rPr>
          <w:rFonts w:cstheme="minorHAnsi"/>
        </w:rPr>
        <w:t>Emilia-Romagna, Liguria, Lombardia, Toscana e Veneto</w:t>
      </w:r>
      <w:r w:rsidR="00644763" w:rsidRPr="005838AE">
        <w:t>».</w:t>
      </w:r>
    </w:p>
    <w:p w14:paraId="78689209" w14:textId="20631704" w:rsidR="00004B0B" w:rsidRPr="007578B1" w:rsidRDefault="00004B0B" w:rsidP="006067F1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Assistenza domiciliare integrata (ADI)</w:t>
      </w:r>
      <w:r>
        <w:rPr>
          <w:rFonts w:cstheme="minorHAnsi"/>
        </w:rPr>
        <w:t>. L’indicatore si concentra sui tutti i pazienti assistiti in ADI e non sugli over 65. Per tale ragione è stato escluso dalla valutazione.</w:t>
      </w:r>
    </w:p>
    <w:p w14:paraId="5EB76040" w14:textId="77777777" w:rsidR="00ED6AB0" w:rsidRDefault="00ED6AB0" w:rsidP="007578B1">
      <w:pPr>
        <w:spacing w:after="0"/>
        <w:jc w:val="both"/>
        <w:rPr>
          <w:rFonts w:cstheme="minorHAnsi"/>
        </w:rPr>
      </w:pPr>
    </w:p>
    <w:p w14:paraId="3BF45031" w14:textId="2765A383" w:rsidR="007578B1" w:rsidRDefault="007578B1" w:rsidP="007578B1">
      <w:pPr>
        <w:spacing w:after="0"/>
        <w:jc w:val="both"/>
      </w:pPr>
      <w:r w:rsidRPr="005838AE">
        <w:rPr>
          <w:rFonts w:cstheme="minorHAnsi"/>
        </w:rPr>
        <w:lastRenderedPageBreak/>
        <w:t>«</w:t>
      </w:r>
      <w:r>
        <w:rPr>
          <w:rFonts w:cstheme="minorHAnsi"/>
        </w:rPr>
        <w:t xml:space="preserve">Considerato che il </w:t>
      </w:r>
      <w:r w:rsidR="00E12E58">
        <w:rPr>
          <w:rFonts w:cstheme="minorHAnsi"/>
        </w:rPr>
        <w:t>Decreto anziani</w:t>
      </w:r>
      <w:r w:rsidR="009937FC">
        <w:rPr>
          <w:rFonts w:cstheme="minorHAnsi"/>
        </w:rPr>
        <w:t xml:space="preserve"> </w:t>
      </w:r>
      <w:r>
        <w:rPr>
          <w:rFonts w:cstheme="minorHAnsi"/>
        </w:rPr>
        <w:t xml:space="preserve">fa riferimento ai Livelli Essenziali di Assistenza (LEA) e ai Livelli Essenziali delle Prestazioni Sociali (LEPS) </w:t>
      </w:r>
      <w:r w:rsidR="00B46BBA" w:rsidRPr="005838AE">
        <w:rPr>
          <w:rFonts w:cstheme="minorHAnsi"/>
        </w:rPr>
        <w:t xml:space="preserve">– </w:t>
      </w:r>
      <w:r w:rsidR="00B46BBA">
        <w:rPr>
          <w:rFonts w:cstheme="minorHAnsi"/>
        </w:rPr>
        <w:t xml:space="preserve">ha chiosato il Presidente </w:t>
      </w:r>
      <w:r w:rsidR="00B46BBA" w:rsidRPr="005838AE">
        <w:rPr>
          <w:rFonts w:cstheme="minorHAnsi"/>
        </w:rPr>
        <w:t>–</w:t>
      </w:r>
      <w:r w:rsidR="00B46BBA">
        <w:rPr>
          <w:rFonts w:cstheme="minorHAnsi"/>
        </w:rPr>
        <w:t xml:space="preserve"> </w:t>
      </w:r>
      <w:r>
        <w:rPr>
          <w:rFonts w:cstheme="minorHAnsi"/>
        </w:rPr>
        <w:t xml:space="preserve">diventa inderogabile la necessità di colmare inaccettabili divari tra Regioni, in particolare tra il Nord e il Sud del Paese, che saranno inevitabilmente acuiti </w:t>
      </w:r>
      <w:r w:rsidR="00DE264C">
        <w:rPr>
          <w:rFonts w:cstheme="minorHAnsi"/>
        </w:rPr>
        <w:t>dall’</w:t>
      </w:r>
      <w:r>
        <w:rPr>
          <w:rFonts w:cstheme="minorHAnsi"/>
        </w:rPr>
        <w:t>autonomia differenziata. Diseguaglianze che oggi ledono i diritti civili e la dignità delle persone più deboli e più fragili del Paese</w:t>
      </w:r>
      <w:r w:rsidR="00644763">
        <w:rPr>
          <w:rFonts w:cstheme="minorHAnsi"/>
        </w:rPr>
        <w:t xml:space="preserve">. L’assenza di </w:t>
      </w:r>
      <w:r w:rsidR="00DE264C">
        <w:rPr>
          <w:rFonts w:cstheme="minorHAnsi"/>
        </w:rPr>
        <w:t xml:space="preserve">finanziamenti dedicati </w:t>
      </w:r>
      <w:r w:rsidR="00644763">
        <w:rPr>
          <w:rFonts w:cstheme="minorHAnsi"/>
        </w:rPr>
        <w:t xml:space="preserve">ai vari interventi fanno, al momento, del </w:t>
      </w:r>
      <w:r w:rsidR="00865E87">
        <w:rPr>
          <w:rFonts w:cstheme="minorHAnsi"/>
        </w:rPr>
        <w:t>Decreto anziani</w:t>
      </w:r>
      <w:r w:rsidR="00644763">
        <w:rPr>
          <w:rFonts w:cstheme="minorHAnsi"/>
        </w:rPr>
        <w:t xml:space="preserve"> un’eccellente ricognizione di tutte le misure di cui possono beneficiare le persone anziane, ma la cui </w:t>
      </w:r>
      <w:bookmarkStart w:id="1" w:name="_Hlk158734687"/>
      <w:r w:rsidR="00644763">
        <w:rPr>
          <w:rFonts w:cstheme="minorHAnsi"/>
        </w:rPr>
        <w:t>attuazione è fortemente condizionata, oltre che da</w:t>
      </w:r>
      <w:r w:rsidR="00BC1032">
        <w:rPr>
          <w:rFonts w:cstheme="minorHAnsi"/>
        </w:rPr>
        <w:t>ll’emanazione di</w:t>
      </w:r>
      <w:r w:rsidR="00C44D48">
        <w:rPr>
          <w:rFonts w:cstheme="minorHAnsi"/>
        </w:rPr>
        <w:t xml:space="preserve"> numerosi </w:t>
      </w:r>
      <w:r w:rsidR="00644763">
        <w:rPr>
          <w:rFonts w:cstheme="minorHAnsi"/>
        </w:rPr>
        <w:t>decreti attuativi, dalle risorse</w:t>
      </w:r>
      <w:r w:rsidR="00C44D48">
        <w:rPr>
          <w:rFonts w:cstheme="minorHAnsi"/>
        </w:rPr>
        <w:t xml:space="preserve"> e </w:t>
      </w:r>
      <w:r w:rsidR="00644763">
        <w:rPr>
          <w:rFonts w:cstheme="minorHAnsi"/>
        </w:rPr>
        <w:t>da</w:t>
      </w:r>
      <w:r w:rsidR="00C44D48">
        <w:rPr>
          <w:rFonts w:cstheme="minorHAnsi"/>
        </w:rPr>
        <w:t xml:space="preserve">lle rilevanti diseguaglianze </w:t>
      </w:r>
      <w:r w:rsidR="00644763">
        <w:rPr>
          <w:rFonts w:cstheme="minorHAnsi"/>
        </w:rPr>
        <w:t>Region</w:t>
      </w:r>
      <w:r w:rsidR="00C44D48">
        <w:rPr>
          <w:rFonts w:cstheme="minorHAnsi"/>
        </w:rPr>
        <w:t>ali</w:t>
      </w:r>
      <w:r w:rsidRPr="005838AE">
        <w:t>».</w:t>
      </w:r>
      <w:bookmarkEnd w:id="1"/>
    </w:p>
    <w:p w14:paraId="26B53295" w14:textId="77777777" w:rsidR="00C44D48" w:rsidRDefault="00C44D48" w:rsidP="007578B1">
      <w:pPr>
        <w:spacing w:after="0"/>
        <w:jc w:val="both"/>
      </w:pPr>
    </w:p>
    <w:p w14:paraId="10623C3F" w14:textId="3D9FD89C" w:rsidR="00C44D48" w:rsidRPr="00C44D48" w:rsidRDefault="00C44D48" w:rsidP="007578B1">
      <w:pPr>
        <w:spacing w:after="0"/>
        <w:jc w:val="both"/>
      </w:pPr>
      <w:r w:rsidRPr="005838AE">
        <w:rPr>
          <w:rFonts w:cstheme="minorHAnsi"/>
        </w:rPr>
        <w:t>«</w:t>
      </w:r>
      <w:r>
        <w:rPr>
          <w:rFonts w:cstheme="minorHAnsi"/>
        </w:rPr>
        <w:t xml:space="preserve">La vera sfida </w:t>
      </w:r>
      <w:r w:rsidR="00865E87">
        <w:rPr>
          <w:rFonts w:cstheme="minorHAnsi"/>
        </w:rPr>
        <w:t>che questo</w:t>
      </w:r>
      <w:r w:rsidR="00DE264C">
        <w:rPr>
          <w:rFonts w:cstheme="minorHAnsi"/>
        </w:rPr>
        <w:t xml:space="preserve"> </w:t>
      </w:r>
      <w:r w:rsidR="00865E87">
        <w:rPr>
          <w:rFonts w:cstheme="minorHAnsi"/>
        </w:rPr>
        <w:t>provvedimento</w:t>
      </w:r>
      <w:r>
        <w:rPr>
          <w:rFonts w:cstheme="minorHAnsi"/>
        </w:rPr>
        <w:t xml:space="preserve"> </w:t>
      </w:r>
      <w:r w:rsidR="00865E87">
        <w:rPr>
          <w:rFonts w:cstheme="minorHAnsi"/>
        </w:rPr>
        <w:t xml:space="preserve">lancia </w:t>
      </w:r>
      <w:r>
        <w:rPr>
          <w:rFonts w:cstheme="minorHAnsi"/>
        </w:rPr>
        <w:t xml:space="preserve">– ha concluso Cartabellotta – è </w:t>
      </w:r>
      <w:r w:rsidR="00057A5C">
        <w:rPr>
          <w:rFonts w:cstheme="minorHAnsi"/>
        </w:rPr>
        <w:t xml:space="preserve">se il Paese è pronto per istituire </w:t>
      </w:r>
      <w:r>
        <w:rPr>
          <w:rFonts w:cstheme="minorHAnsi"/>
        </w:rPr>
        <w:t xml:space="preserve">un Servizio Socio-Sanitario Nazionale, </w:t>
      </w:r>
      <w:r w:rsidR="00057A5C">
        <w:rPr>
          <w:rFonts w:cstheme="minorHAnsi"/>
        </w:rPr>
        <w:t>con relativo fabbisogno finanziario. S</w:t>
      </w:r>
      <w:r>
        <w:rPr>
          <w:rFonts w:cstheme="minorHAnsi"/>
        </w:rPr>
        <w:t>ia perché ormai non è più possibile per i pazienti cronici e gli anziani differenziare i bisogni sanitari da quelli sociali, sia perché tutte le</w:t>
      </w:r>
      <w:r w:rsidRPr="00C44D48">
        <w:t xml:space="preserve"> erogazioni in denaro </w:t>
      </w:r>
      <w:r w:rsidR="00DE264C">
        <w:t xml:space="preserve">disposte </w:t>
      </w:r>
      <w:r>
        <w:t xml:space="preserve">dall’INPS </w:t>
      </w:r>
      <w:r w:rsidR="00DE264C">
        <w:t>non hanno</w:t>
      </w:r>
      <w:r w:rsidRPr="00C44D48">
        <w:t xml:space="preserve"> vincolo di destinazione</w:t>
      </w:r>
      <w:r>
        <w:t xml:space="preserve"> e non </w:t>
      </w:r>
      <w:r w:rsidR="00057A5C">
        <w:t xml:space="preserve">vengono </w:t>
      </w:r>
      <w:r w:rsidRPr="00C44D48">
        <w:t>sottoposte a</w:t>
      </w:r>
      <w:r>
        <w:t>d</w:t>
      </w:r>
      <w:r w:rsidRPr="00C44D48">
        <w:t xml:space="preserve"> </w:t>
      </w:r>
      <w:r>
        <w:t xml:space="preserve">alcuna </w:t>
      </w:r>
      <w:r w:rsidRPr="00C44D48">
        <w:t>verifica oggettiva</w:t>
      </w:r>
      <w:r w:rsidR="008A4440">
        <w:t xml:space="preserve">. </w:t>
      </w:r>
      <w:proofErr w:type="gramStart"/>
      <w:r w:rsidR="00865E87">
        <w:t>È  cioè</w:t>
      </w:r>
      <w:proofErr w:type="gramEnd"/>
      <w:r w:rsidR="00865E87">
        <w:t xml:space="preserve"> </w:t>
      </w:r>
      <w:r>
        <w:t>impossibile stimare il reale ritorno di salute e di qualità di vita per le persone anziane</w:t>
      </w:r>
      <w:r w:rsidRPr="005838AE">
        <w:t>».</w:t>
      </w:r>
    </w:p>
    <w:p w14:paraId="23AE069E" w14:textId="77777777" w:rsidR="006D1B63" w:rsidRPr="005838AE" w:rsidRDefault="006D1B63" w:rsidP="00F75BD3">
      <w:pPr>
        <w:spacing w:after="0"/>
        <w:rPr>
          <w:rFonts w:cstheme="minorHAnsi"/>
        </w:rPr>
      </w:pPr>
    </w:p>
    <w:p w14:paraId="6640AB0C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59EEC86B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388BA1A4" w14:textId="77777777" w:rsidR="00505619" w:rsidRDefault="00E3755B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2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5FC4D237" w14:textId="77777777" w:rsidR="00CE5C43" w:rsidRDefault="00CE5C43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1CC16651" w14:textId="77777777" w:rsidR="00CE5C43" w:rsidRDefault="00CE5C43">
      <w:pPr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Style w:val="Collegamentoipertestuale"/>
          <w:rFonts w:ascii="Calibri" w:eastAsia="Calibri" w:hAnsi="Calibri" w:cs="Times New Roman"/>
          <w:sz w:val="20"/>
          <w:szCs w:val="20"/>
        </w:rPr>
        <w:br w:type="page"/>
      </w:r>
    </w:p>
    <w:p w14:paraId="427EFF34" w14:textId="77777777" w:rsidR="00FB32F8" w:rsidRDefault="00FB32F8" w:rsidP="000963AF">
      <w:pPr>
        <w:pStyle w:val="Didascalia"/>
        <w:suppressAutoHyphens/>
        <w:rPr>
          <w:rFonts w:ascii="Calibri" w:hAnsi="Calibri" w:cs="Calibri"/>
          <w:sz w:val="22"/>
          <w:szCs w:val="22"/>
        </w:rPr>
      </w:pPr>
    </w:p>
    <w:p w14:paraId="1D113633" w14:textId="77777777" w:rsidR="00CE5C43" w:rsidRPr="000963AF" w:rsidRDefault="000963AF" w:rsidP="000963AF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 w:rsidRPr="000963AF">
        <w:rPr>
          <w:rFonts w:ascii="Calibri" w:hAnsi="Calibri" w:cs="Calibri"/>
          <w:sz w:val="22"/>
          <w:szCs w:val="22"/>
        </w:rPr>
        <w:t xml:space="preserve">Figura 1. </w:t>
      </w:r>
      <w:r w:rsidR="00FB32F8">
        <w:rPr>
          <w:rFonts w:ascii="Calibri" w:hAnsi="Calibri" w:cs="Calibri"/>
          <w:sz w:val="22"/>
          <w:szCs w:val="22"/>
        </w:rPr>
        <w:t xml:space="preserve">Platea di </w:t>
      </w:r>
      <w:r w:rsidR="00FB32F8" w:rsidRPr="00FB32F8">
        <w:rPr>
          <w:rFonts w:ascii="Calibri" w:hAnsi="Calibri" w:cs="Calibri"/>
          <w:sz w:val="22"/>
          <w:szCs w:val="22"/>
        </w:rPr>
        <w:t>destinatari delle misure previste dal D.lgs</w:t>
      </w:r>
      <w:r w:rsidR="00FB32F8">
        <w:rPr>
          <w:rFonts w:ascii="Calibri" w:hAnsi="Calibri" w:cs="Calibri"/>
          <w:sz w:val="22"/>
          <w:szCs w:val="22"/>
        </w:rPr>
        <w:t>: “anziani” e “grandi anziani”</w:t>
      </w:r>
    </w:p>
    <w:p w14:paraId="385900DE" w14:textId="77777777" w:rsidR="00BE3172" w:rsidRPr="00BE3172" w:rsidRDefault="00FB32F8" w:rsidP="00BE317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43BE7982" wp14:editId="7D484CFC">
            <wp:extent cx="5760000" cy="3291172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32348" w14:textId="77777777" w:rsidR="00BE3172" w:rsidRPr="00BE3172" w:rsidRDefault="00BE3172" w:rsidP="003E4B1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46ED6ACE" w14:textId="77777777" w:rsidR="00BE3172" w:rsidRPr="00BE3172" w:rsidRDefault="00BE3172" w:rsidP="00BE317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1D273F06" w14:textId="77777777" w:rsidR="00BE3172" w:rsidRPr="00A02EDD" w:rsidRDefault="00BE3172" w:rsidP="000963AF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 w:rsidRPr="000963AF">
        <w:rPr>
          <w:rFonts w:ascii="Calibri" w:hAnsi="Calibri" w:cs="Calibri"/>
          <w:sz w:val="22"/>
          <w:szCs w:val="22"/>
        </w:rPr>
        <w:t>Figura</w:t>
      </w:r>
      <w:r w:rsidRPr="00FF2530">
        <w:rPr>
          <w:rFonts w:ascii="Calibri" w:hAnsi="Calibri" w:cs="Calibri"/>
          <w:sz w:val="22"/>
          <w:szCs w:val="22"/>
        </w:rPr>
        <w:t xml:space="preserve"> 2</w:t>
      </w:r>
      <w:r w:rsidR="000963AF" w:rsidRPr="00FF2530">
        <w:rPr>
          <w:rFonts w:ascii="Calibri" w:hAnsi="Calibri" w:cs="Calibri"/>
          <w:sz w:val="22"/>
          <w:szCs w:val="22"/>
        </w:rPr>
        <w:t xml:space="preserve">. </w:t>
      </w:r>
      <w:r w:rsidR="00A02EDD">
        <w:rPr>
          <w:rFonts w:ascii="Calibri" w:hAnsi="Calibri" w:cs="Calibri"/>
          <w:sz w:val="22"/>
          <w:szCs w:val="22"/>
        </w:rPr>
        <w:t xml:space="preserve">Spesa sanitaria 2022 per assistenza sanitaria a lungo termine – </w:t>
      </w:r>
      <w:r w:rsidR="00A02EDD">
        <w:rPr>
          <w:rFonts w:ascii="Calibri" w:hAnsi="Calibri" w:cs="Calibri"/>
          <w:i/>
          <w:iCs w:val="0"/>
          <w:sz w:val="22"/>
          <w:szCs w:val="22"/>
        </w:rPr>
        <w:t xml:space="preserve">Long term care </w:t>
      </w:r>
      <w:r w:rsidR="00A02EDD">
        <w:rPr>
          <w:rFonts w:ascii="Calibri" w:hAnsi="Calibri" w:cs="Calibri"/>
          <w:sz w:val="22"/>
          <w:szCs w:val="22"/>
        </w:rPr>
        <w:t>(LTC)</w:t>
      </w:r>
    </w:p>
    <w:p w14:paraId="05A98906" w14:textId="77777777" w:rsidR="008B595A" w:rsidRDefault="00A02EDD" w:rsidP="00A02EDD">
      <w:pPr>
        <w:jc w:val="center"/>
      </w:pPr>
      <w:r>
        <w:rPr>
          <w:noProof/>
          <w:lang w:eastAsia="it-IT"/>
        </w:rPr>
        <w:drawing>
          <wp:inline distT="0" distB="0" distL="0" distR="0" wp14:anchorId="59BE5ACD" wp14:editId="76AE6307">
            <wp:extent cx="5760000" cy="3123890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A555D" w14:textId="77777777" w:rsidR="008B595A" w:rsidRDefault="008B595A" w:rsidP="008B595A"/>
    <w:p w14:paraId="45A9B4BD" w14:textId="77777777" w:rsidR="008B595A" w:rsidRDefault="008B595A" w:rsidP="008B595A"/>
    <w:p w14:paraId="1A879C57" w14:textId="77777777" w:rsidR="00A02EDD" w:rsidRDefault="00A02EDD" w:rsidP="008B595A"/>
    <w:p w14:paraId="5F857BBD" w14:textId="77777777" w:rsidR="00A02EDD" w:rsidRDefault="00A02EDD" w:rsidP="008B595A"/>
    <w:p w14:paraId="1EE8DC1A" w14:textId="77777777" w:rsidR="00A02EDD" w:rsidRDefault="00A02EDD" w:rsidP="008B595A"/>
    <w:p w14:paraId="66508E23" w14:textId="77777777" w:rsidR="008B595A" w:rsidRPr="00A02EDD" w:rsidRDefault="008B595A" w:rsidP="00A02EDD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 w:rsidRPr="00A02EDD">
        <w:rPr>
          <w:rFonts w:ascii="Calibri" w:hAnsi="Calibri" w:cs="Calibri"/>
          <w:sz w:val="22"/>
          <w:szCs w:val="22"/>
        </w:rPr>
        <w:t xml:space="preserve">Figura 3. </w:t>
      </w:r>
      <w:r w:rsidR="002C75E2">
        <w:rPr>
          <w:rFonts w:ascii="Calibri" w:hAnsi="Calibri" w:cs="Calibri"/>
          <w:sz w:val="22"/>
          <w:szCs w:val="22"/>
        </w:rPr>
        <w:t>Provvidenze in denaro erogate dall’INPS nell’anno 2022</w:t>
      </w:r>
    </w:p>
    <w:p w14:paraId="3B69B380" w14:textId="77777777" w:rsidR="008B595A" w:rsidRDefault="002C75E2" w:rsidP="008B595A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 wp14:anchorId="1B1A0DB7" wp14:editId="518CD6DC">
            <wp:extent cx="5760000" cy="376063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6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806B8" w14:textId="77777777" w:rsidR="002C75E2" w:rsidRDefault="002C75E2">
      <w:pPr>
        <w:rPr>
          <w:rFonts w:ascii="Calibri" w:hAnsi="Calibri" w:cs="Calibri"/>
          <w:b/>
          <w:iCs/>
          <w:color w:val="00457D"/>
          <w:u w:color="000000"/>
        </w:rPr>
      </w:pPr>
      <w:r>
        <w:rPr>
          <w:rFonts w:ascii="Calibri" w:hAnsi="Calibri" w:cs="Calibri"/>
        </w:rPr>
        <w:br w:type="page"/>
      </w:r>
    </w:p>
    <w:p w14:paraId="71C6BD26" w14:textId="77777777" w:rsidR="008B595A" w:rsidRDefault="008B595A" w:rsidP="008B595A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 w:rsidRPr="008B595A">
        <w:rPr>
          <w:rFonts w:ascii="Calibri" w:hAnsi="Calibri" w:cs="Calibri"/>
          <w:sz w:val="22"/>
          <w:szCs w:val="22"/>
        </w:rPr>
        <w:lastRenderedPageBreak/>
        <w:t>Figura 4. Persone non autosufficienti di età ≥75 anni in trattamento socio-sanitario residenziale</w:t>
      </w:r>
      <w:r>
        <w:rPr>
          <w:rFonts w:ascii="Calibri" w:hAnsi="Calibri" w:cs="Calibri"/>
          <w:sz w:val="22"/>
          <w:szCs w:val="22"/>
        </w:rPr>
        <w:t>, per 1.000 abitanti</w:t>
      </w:r>
      <w:r w:rsidRPr="008B595A">
        <w:rPr>
          <w:rFonts w:ascii="Calibri" w:hAnsi="Calibri" w:cs="Calibri"/>
          <w:sz w:val="22"/>
          <w:szCs w:val="22"/>
        </w:rPr>
        <w:t xml:space="preserve"> </w:t>
      </w:r>
    </w:p>
    <w:p w14:paraId="705341C1" w14:textId="77777777" w:rsidR="008B595A" w:rsidRDefault="002C75E2" w:rsidP="002C75E2">
      <w:pPr>
        <w:jc w:val="center"/>
      </w:pPr>
      <w:r>
        <w:rPr>
          <w:noProof/>
          <w:lang w:eastAsia="it-IT"/>
        </w:rPr>
        <w:drawing>
          <wp:inline distT="0" distB="0" distL="0" distR="0" wp14:anchorId="231B844D" wp14:editId="71AF314C">
            <wp:extent cx="5760000" cy="48095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0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E7922" w14:textId="77777777" w:rsidR="00C94373" w:rsidRDefault="00C94373" w:rsidP="008B595A"/>
    <w:p w14:paraId="5749D61B" w14:textId="77777777" w:rsidR="006616FF" w:rsidRDefault="006616FF" w:rsidP="008B595A"/>
    <w:p w14:paraId="46A7B1F5" w14:textId="77777777" w:rsidR="006616FF" w:rsidRDefault="006616FF" w:rsidP="008B595A"/>
    <w:p w14:paraId="2A62F047" w14:textId="77777777" w:rsidR="006616FF" w:rsidRDefault="006616FF" w:rsidP="008B595A"/>
    <w:p w14:paraId="30A89954" w14:textId="77777777" w:rsidR="006616FF" w:rsidRDefault="006616FF" w:rsidP="008B595A"/>
    <w:p w14:paraId="4F0EF492" w14:textId="77777777" w:rsidR="006616FF" w:rsidRDefault="006616FF" w:rsidP="008B595A"/>
    <w:p w14:paraId="0BC962B4" w14:textId="77777777" w:rsidR="006616FF" w:rsidRDefault="006616FF" w:rsidP="008B595A"/>
    <w:p w14:paraId="47DC48D0" w14:textId="77777777" w:rsidR="006616FF" w:rsidRDefault="006616FF" w:rsidP="008B595A"/>
    <w:p w14:paraId="68E240F5" w14:textId="77777777" w:rsidR="006616FF" w:rsidRDefault="006616FF" w:rsidP="008B595A"/>
    <w:p w14:paraId="4AE2D856" w14:textId="77777777" w:rsidR="006616FF" w:rsidRDefault="006616FF" w:rsidP="008B595A"/>
    <w:p w14:paraId="7B923334" w14:textId="77777777" w:rsidR="002C75E2" w:rsidRDefault="002C75E2">
      <w:pPr>
        <w:rPr>
          <w:rFonts w:ascii="Calibri" w:hAnsi="Calibri" w:cs="Calibri"/>
          <w:b/>
          <w:iCs/>
          <w:color w:val="00457D"/>
          <w:u w:color="000000"/>
        </w:rPr>
      </w:pPr>
      <w:r>
        <w:rPr>
          <w:rFonts w:ascii="Calibri" w:hAnsi="Calibri" w:cs="Calibri"/>
        </w:rPr>
        <w:br w:type="page"/>
      </w:r>
    </w:p>
    <w:p w14:paraId="32C35B89" w14:textId="77777777" w:rsidR="00A005D3" w:rsidRPr="006616FF" w:rsidRDefault="00C94373" w:rsidP="006616FF">
      <w:pPr>
        <w:pStyle w:val="Didascalia"/>
        <w:suppressAutoHyphens/>
      </w:pPr>
      <w:r w:rsidRPr="008B595A">
        <w:rPr>
          <w:rFonts w:ascii="Calibri" w:hAnsi="Calibri" w:cs="Calibri"/>
          <w:sz w:val="22"/>
          <w:szCs w:val="22"/>
        </w:rPr>
        <w:lastRenderedPageBreak/>
        <w:t xml:space="preserve">Figura </w:t>
      </w:r>
      <w:r>
        <w:rPr>
          <w:rFonts w:ascii="Calibri" w:hAnsi="Calibri" w:cs="Calibri"/>
          <w:sz w:val="22"/>
          <w:szCs w:val="22"/>
        </w:rPr>
        <w:t>5</w:t>
      </w:r>
      <w:r w:rsidRPr="008B595A">
        <w:rPr>
          <w:rFonts w:ascii="Calibri" w:hAnsi="Calibri" w:cs="Calibri"/>
          <w:sz w:val="22"/>
          <w:szCs w:val="22"/>
        </w:rPr>
        <w:t xml:space="preserve">. </w:t>
      </w:r>
      <w:r w:rsidR="00C0347C" w:rsidRPr="00C0347C">
        <w:rPr>
          <w:rFonts w:ascii="Calibri" w:hAnsi="Calibri" w:cs="Calibri"/>
          <w:sz w:val="22"/>
          <w:szCs w:val="22"/>
        </w:rPr>
        <w:t>Rapporto tra i pazienti deceduti per tumore assistiti dalla rete di cure palliative e il totale dei deceduti per tumore</w:t>
      </w:r>
    </w:p>
    <w:p w14:paraId="0B9B642D" w14:textId="77777777" w:rsidR="00A005D3" w:rsidRDefault="00C0347C" w:rsidP="00DB23C1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69031AB5" wp14:editId="37247363">
            <wp:extent cx="5761355" cy="48101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EB7CF" w14:textId="77777777" w:rsidR="00A005D3" w:rsidRPr="00BE3172" w:rsidRDefault="00A005D3" w:rsidP="004250FB">
      <w:pPr>
        <w:spacing w:after="0"/>
        <w:rPr>
          <w:rFonts w:ascii="Calibri" w:eastAsia="Calibri" w:hAnsi="Calibri" w:cs="Times New Roman"/>
          <w:sz w:val="20"/>
          <w:szCs w:val="20"/>
        </w:rPr>
      </w:pPr>
    </w:p>
    <w:sectPr w:rsidR="00A005D3" w:rsidRPr="00BE3172" w:rsidSect="005838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FFA8" w14:textId="77777777" w:rsidR="00A3209B" w:rsidRDefault="00A3209B" w:rsidP="00F9179C">
      <w:pPr>
        <w:spacing w:after="0" w:line="240" w:lineRule="auto"/>
      </w:pPr>
      <w:r>
        <w:separator/>
      </w:r>
    </w:p>
  </w:endnote>
  <w:endnote w:type="continuationSeparator" w:id="0">
    <w:p w14:paraId="1FD1436C" w14:textId="77777777" w:rsidR="00A3209B" w:rsidRDefault="00A3209B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9AD7" w14:textId="77777777" w:rsidR="00A3209B" w:rsidRDefault="00A3209B" w:rsidP="00F9179C">
      <w:pPr>
        <w:spacing w:after="0" w:line="240" w:lineRule="auto"/>
      </w:pPr>
      <w:r>
        <w:separator/>
      </w:r>
    </w:p>
  </w:footnote>
  <w:footnote w:type="continuationSeparator" w:id="0">
    <w:p w14:paraId="3A3B9532" w14:textId="77777777" w:rsidR="00A3209B" w:rsidRDefault="00A3209B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115A2"/>
    <w:multiLevelType w:val="hybridMultilevel"/>
    <w:tmpl w:val="6B0077D8"/>
    <w:lvl w:ilvl="0" w:tplc="2418F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02423"/>
    <w:multiLevelType w:val="hybridMultilevel"/>
    <w:tmpl w:val="226CD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B2467"/>
    <w:multiLevelType w:val="hybridMultilevel"/>
    <w:tmpl w:val="4F526BAE"/>
    <w:lvl w:ilvl="0" w:tplc="85ACB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6ED"/>
    <w:multiLevelType w:val="hybridMultilevel"/>
    <w:tmpl w:val="50F43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A1D32"/>
    <w:multiLevelType w:val="hybridMultilevel"/>
    <w:tmpl w:val="1540B3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7B34"/>
    <w:multiLevelType w:val="hybridMultilevel"/>
    <w:tmpl w:val="BEAC5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70F73"/>
    <w:multiLevelType w:val="hybridMultilevel"/>
    <w:tmpl w:val="E6E0E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17E47"/>
    <w:multiLevelType w:val="hybridMultilevel"/>
    <w:tmpl w:val="95A0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A72C0"/>
    <w:multiLevelType w:val="hybridMultilevel"/>
    <w:tmpl w:val="F07C7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A1052"/>
    <w:multiLevelType w:val="hybridMultilevel"/>
    <w:tmpl w:val="B6AEE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139F9"/>
    <w:multiLevelType w:val="hybridMultilevel"/>
    <w:tmpl w:val="310E6934"/>
    <w:lvl w:ilvl="0" w:tplc="9D26544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8"/>
  </w:num>
  <w:num w:numId="4">
    <w:abstractNumId w:val="31"/>
  </w:num>
  <w:num w:numId="5">
    <w:abstractNumId w:val="20"/>
  </w:num>
  <w:num w:numId="6">
    <w:abstractNumId w:val="15"/>
  </w:num>
  <w:num w:numId="7">
    <w:abstractNumId w:val="23"/>
  </w:num>
  <w:num w:numId="8">
    <w:abstractNumId w:val="2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  <w:num w:numId="16">
    <w:abstractNumId w:val="27"/>
  </w:num>
  <w:num w:numId="17">
    <w:abstractNumId w:val="1"/>
  </w:num>
  <w:num w:numId="18">
    <w:abstractNumId w:val="6"/>
  </w:num>
  <w:num w:numId="19">
    <w:abstractNumId w:val="0"/>
  </w:num>
  <w:num w:numId="20">
    <w:abstractNumId w:val="28"/>
  </w:num>
  <w:num w:numId="21">
    <w:abstractNumId w:val="29"/>
  </w:num>
  <w:num w:numId="22">
    <w:abstractNumId w:val="25"/>
  </w:num>
  <w:num w:numId="23">
    <w:abstractNumId w:val="19"/>
  </w:num>
  <w:num w:numId="24">
    <w:abstractNumId w:val="26"/>
  </w:num>
  <w:num w:numId="25">
    <w:abstractNumId w:val="21"/>
  </w:num>
  <w:num w:numId="26">
    <w:abstractNumId w:val="17"/>
  </w:num>
  <w:num w:numId="27">
    <w:abstractNumId w:val="13"/>
  </w:num>
  <w:num w:numId="28">
    <w:abstractNumId w:val="16"/>
  </w:num>
  <w:num w:numId="29">
    <w:abstractNumId w:val="7"/>
  </w:num>
  <w:num w:numId="30">
    <w:abstractNumId w:val="5"/>
  </w:num>
  <w:num w:numId="31">
    <w:abstractNumId w:val="8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F0F"/>
    <w:rsid w:val="00002C1B"/>
    <w:rsid w:val="00003762"/>
    <w:rsid w:val="00003F78"/>
    <w:rsid w:val="000044DB"/>
    <w:rsid w:val="00004918"/>
    <w:rsid w:val="0000491D"/>
    <w:rsid w:val="00004B0B"/>
    <w:rsid w:val="00005B25"/>
    <w:rsid w:val="00006555"/>
    <w:rsid w:val="00010498"/>
    <w:rsid w:val="00010EE6"/>
    <w:rsid w:val="0001384A"/>
    <w:rsid w:val="00013DFA"/>
    <w:rsid w:val="00014A0C"/>
    <w:rsid w:val="00016482"/>
    <w:rsid w:val="00017968"/>
    <w:rsid w:val="00017FB4"/>
    <w:rsid w:val="000229DA"/>
    <w:rsid w:val="00023D8A"/>
    <w:rsid w:val="00025A25"/>
    <w:rsid w:val="00027AAF"/>
    <w:rsid w:val="00031106"/>
    <w:rsid w:val="000330D9"/>
    <w:rsid w:val="00033365"/>
    <w:rsid w:val="0003363A"/>
    <w:rsid w:val="000347D1"/>
    <w:rsid w:val="000351B7"/>
    <w:rsid w:val="00035404"/>
    <w:rsid w:val="00040FE8"/>
    <w:rsid w:val="00043945"/>
    <w:rsid w:val="00043ED4"/>
    <w:rsid w:val="0004410A"/>
    <w:rsid w:val="0004630A"/>
    <w:rsid w:val="00047F99"/>
    <w:rsid w:val="00050DE4"/>
    <w:rsid w:val="00051F7A"/>
    <w:rsid w:val="0005313F"/>
    <w:rsid w:val="0005402C"/>
    <w:rsid w:val="00055AE9"/>
    <w:rsid w:val="00055D27"/>
    <w:rsid w:val="00056D5E"/>
    <w:rsid w:val="00057A5C"/>
    <w:rsid w:val="000602AA"/>
    <w:rsid w:val="00062E1F"/>
    <w:rsid w:val="0006440E"/>
    <w:rsid w:val="000657A8"/>
    <w:rsid w:val="00065F61"/>
    <w:rsid w:val="00065FCD"/>
    <w:rsid w:val="00066B64"/>
    <w:rsid w:val="00067B8F"/>
    <w:rsid w:val="000707B3"/>
    <w:rsid w:val="00070B39"/>
    <w:rsid w:val="000715A9"/>
    <w:rsid w:val="00073870"/>
    <w:rsid w:val="00074788"/>
    <w:rsid w:val="00075271"/>
    <w:rsid w:val="000801B5"/>
    <w:rsid w:val="00080253"/>
    <w:rsid w:val="00082861"/>
    <w:rsid w:val="0008637A"/>
    <w:rsid w:val="000867F0"/>
    <w:rsid w:val="000903A9"/>
    <w:rsid w:val="00090A39"/>
    <w:rsid w:val="000927C7"/>
    <w:rsid w:val="00092D08"/>
    <w:rsid w:val="00093F73"/>
    <w:rsid w:val="00094258"/>
    <w:rsid w:val="000963AF"/>
    <w:rsid w:val="000A071B"/>
    <w:rsid w:val="000A0FC3"/>
    <w:rsid w:val="000A170D"/>
    <w:rsid w:val="000A1978"/>
    <w:rsid w:val="000A2084"/>
    <w:rsid w:val="000A2351"/>
    <w:rsid w:val="000A3087"/>
    <w:rsid w:val="000A62A9"/>
    <w:rsid w:val="000A6687"/>
    <w:rsid w:val="000A7651"/>
    <w:rsid w:val="000A7B66"/>
    <w:rsid w:val="000B07B0"/>
    <w:rsid w:val="000B3614"/>
    <w:rsid w:val="000B442B"/>
    <w:rsid w:val="000B4DE8"/>
    <w:rsid w:val="000C0998"/>
    <w:rsid w:val="000C2118"/>
    <w:rsid w:val="000C3822"/>
    <w:rsid w:val="000C544C"/>
    <w:rsid w:val="000C6130"/>
    <w:rsid w:val="000C7AD0"/>
    <w:rsid w:val="000D02E4"/>
    <w:rsid w:val="000D1F7A"/>
    <w:rsid w:val="000D23C3"/>
    <w:rsid w:val="000D29E1"/>
    <w:rsid w:val="000D44D4"/>
    <w:rsid w:val="000D504E"/>
    <w:rsid w:val="000D563F"/>
    <w:rsid w:val="000D7252"/>
    <w:rsid w:val="000E023F"/>
    <w:rsid w:val="000E0C16"/>
    <w:rsid w:val="000E26EE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24F"/>
    <w:rsid w:val="000F36BB"/>
    <w:rsid w:val="000F39EF"/>
    <w:rsid w:val="000F42F1"/>
    <w:rsid w:val="000F5C0F"/>
    <w:rsid w:val="0010059E"/>
    <w:rsid w:val="00100643"/>
    <w:rsid w:val="00106462"/>
    <w:rsid w:val="00107096"/>
    <w:rsid w:val="0011051F"/>
    <w:rsid w:val="00111CC5"/>
    <w:rsid w:val="00111EC8"/>
    <w:rsid w:val="0011205F"/>
    <w:rsid w:val="001134E3"/>
    <w:rsid w:val="001139A6"/>
    <w:rsid w:val="00113D4A"/>
    <w:rsid w:val="0011527C"/>
    <w:rsid w:val="00115417"/>
    <w:rsid w:val="001167D9"/>
    <w:rsid w:val="001259E9"/>
    <w:rsid w:val="00125C6A"/>
    <w:rsid w:val="00126A64"/>
    <w:rsid w:val="0013083D"/>
    <w:rsid w:val="001317CF"/>
    <w:rsid w:val="00134C8C"/>
    <w:rsid w:val="00136A68"/>
    <w:rsid w:val="0014019C"/>
    <w:rsid w:val="00140A6C"/>
    <w:rsid w:val="00142AB1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5D3"/>
    <w:rsid w:val="00163BFB"/>
    <w:rsid w:val="001654A5"/>
    <w:rsid w:val="001706D0"/>
    <w:rsid w:val="00170760"/>
    <w:rsid w:val="00170B46"/>
    <w:rsid w:val="00171745"/>
    <w:rsid w:val="00171A9C"/>
    <w:rsid w:val="00173764"/>
    <w:rsid w:val="0017405D"/>
    <w:rsid w:val="001748BA"/>
    <w:rsid w:val="001750C1"/>
    <w:rsid w:val="00176C26"/>
    <w:rsid w:val="00177828"/>
    <w:rsid w:val="00182F15"/>
    <w:rsid w:val="001833C0"/>
    <w:rsid w:val="00192DAD"/>
    <w:rsid w:val="00193F19"/>
    <w:rsid w:val="00196F7C"/>
    <w:rsid w:val="001A3E0D"/>
    <w:rsid w:val="001A5BDA"/>
    <w:rsid w:val="001A6BC9"/>
    <w:rsid w:val="001A776D"/>
    <w:rsid w:val="001A7A7F"/>
    <w:rsid w:val="001B2B44"/>
    <w:rsid w:val="001C51E2"/>
    <w:rsid w:val="001C591C"/>
    <w:rsid w:val="001C7C2C"/>
    <w:rsid w:val="001D0E41"/>
    <w:rsid w:val="001D153D"/>
    <w:rsid w:val="001D4CE8"/>
    <w:rsid w:val="001E088B"/>
    <w:rsid w:val="001E1658"/>
    <w:rsid w:val="001E2C6F"/>
    <w:rsid w:val="001E2ED0"/>
    <w:rsid w:val="001E4C36"/>
    <w:rsid w:val="001E5F20"/>
    <w:rsid w:val="001E6902"/>
    <w:rsid w:val="001E6975"/>
    <w:rsid w:val="001E6FCB"/>
    <w:rsid w:val="001F1222"/>
    <w:rsid w:val="001F1C35"/>
    <w:rsid w:val="001F20B8"/>
    <w:rsid w:val="001F34EE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2E00"/>
    <w:rsid w:val="00214662"/>
    <w:rsid w:val="002160C4"/>
    <w:rsid w:val="002165B9"/>
    <w:rsid w:val="002217C0"/>
    <w:rsid w:val="00223F01"/>
    <w:rsid w:val="00224656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118A"/>
    <w:rsid w:val="00242077"/>
    <w:rsid w:val="00243803"/>
    <w:rsid w:val="0024555E"/>
    <w:rsid w:val="00245ED9"/>
    <w:rsid w:val="002464B4"/>
    <w:rsid w:val="00247E23"/>
    <w:rsid w:val="0025100A"/>
    <w:rsid w:val="00253ABC"/>
    <w:rsid w:val="00254528"/>
    <w:rsid w:val="002551A1"/>
    <w:rsid w:val="002602FA"/>
    <w:rsid w:val="00260B57"/>
    <w:rsid w:val="00262CC3"/>
    <w:rsid w:val="0026425C"/>
    <w:rsid w:val="00264E8A"/>
    <w:rsid w:val="0026548A"/>
    <w:rsid w:val="0026647B"/>
    <w:rsid w:val="00266561"/>
    <w:rsid w:val="00266E1A"/>
    <w:rsid w:val="00267CD0"/>
    <w:rsid w:val="002701C7"/>
    <w:rsid w:val="0027170F"/>
    <w:rsid w:val="002723FC"/>
    <w:rsid w:val="0027468B"/>
    <w:rsid w:val="002770A4"/>
    <w:rsid w:val="00282655"/>
    <w:rsid w:val="00282DAE"/>
    <w:rsid w:val="00283994"/>
    <w:rsid w:val="00283FE0"/>
    <w:rsid w:val="0028551B"/>
    <w:rsid w:val="00287105"/>
    <w:rsid w:val="00290547"/>
    <w:rsid w:val="00291602"/>
    <w:rsid w:val="00292379"/>
    <w:rsid w:val="0029392F"/>
    <w:rsid w:val="002943CF"/>
    <w:rsid w:val="00295E95"/>
    <w:rsid w:val="00297583"/>
    <w:rsid w:val="00297964"/>
    <w:rsid w:val="002A2034"/>
    <w:rsid w:val="002A29FA"/>
    <w:rsid w:val="002A3232"/>
    <w:rsid w:val="002A69A4"/>
    <w:rsid w:val="002B12E6"/>
    <w:rsid w:val="002B1329"/>
    <w:rsid w:val="002B5630"/>
    <w:rsid w:val="002B579A"/>
    <w:rsid w:val="002B67C5"/>
    <w:rsid w:val="002B7295"/>
    <w:rsid w:val="002C0B56"/>
    <w:rsid w:val="002C0F1B"/>
    <w:rsid w:val="002C3A9C"/>
    <w:rsid w:val="002C3C29"/>
    <w:rsid w:val="002C5187"/>
    <w:rsid w:val="002C5517"/>
    <w:rsid w:val="002C75E2"/>
    <w:rsid w:val="002D1A9D"/>
    <w:rsid w:val="002D1F39"/>
    <w:rsid w:val="002D2C39"/>
    <w:rsid w:val="002D329A"/>
    <w:rsid w:val="002D61E1"/>
    <w:rsid w:val="002D7409"/>
    <w:rsid w:val="002E29A6"/>
    <w:rsid w:val="002E2D66"/>
    <w:rsid w:val="002E33A2"/>
    <w:rsid w:val="002E3B1D"/>
    <w:rsid w:val="002E5382"/>
    <w:rsid w:val="002E5E3C"/>
    <w:rsid w:val="002F2D7E"/>
    <w:rsid w:val="002F2E6A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61BB"/>
    <w:rsid w:val="00306345"/>
    <w:rsid w:val="0030769D"/>
    <w:rsid w:val="00307F51"/>
    <w:rsid w:val="00310654"/>
    <w:rsid w:val="00311A6F"/>
    <w:rsid w:val="00313AD1"/>
    <w:rsid w:val="0031517B"/>
    <w:rsid w:val="00315734"/>
    <w:rsid w:val="00315EE2"/>
    <w:rsid w:val="0031648A"/>
    <w:rsid w:val="003164E2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0174"/>
    <w:rsid w:val="00331B49"/>
    <w:rsid w:val="00331F29"/>
    <w:rsid w:val="003341AD"/>
    <w:rsid w:val="0033460B"/>
    <w:rsid w:val="003361D0"/>
    <w:rsid w:val="00336637"/>
    <w:rsid w:val="00336D0F"/>
    <w:rsid w:val="003370D1"/>
    <w:rsid w:val="0033752D"/>
    <w:rsid w:val="00340DAA"/>
    <w:rsid w:val="0034291E"/>
    <w:rsid w:val="003454D8"/>
    <w:rsid w:val="00347675"/>
    <w:rsid w:val="00347BD4"/>
    <w:rsid w:val="00350D4E"/>
    <w:rsid w:val="00353E36"/>
    <w:rsid w:val="003554E0"/>
    <w:rsid w:val="00355DBF"/>
    <w:rsid w:val="003576FF"/>
    <w:rsid w:val="00357F80"/>
    <w:rsid w:val="0036086B"/>
    <w:rsid w:val="00363764"/>
    <w:rsid w:val="0036479F"/>
    <w:rsid w:val="00364DCF"/>
    <w:rsid w:val="003714B0"/>
    <w:rsid w:val="003732E1"/>
    <w:rsid w:val="00373435"/>
    <w:rsid w:val="00373F30"/>
    <w:rsid w:val="00376974"/>
    <w:rsid w:val="0037736F"/>
    <w:rsid w:val="00380A73"/>
    <w:rsid w:val="0038139F"/>
    <w:rsid w:val="00381EDF"/>
    <w:rsid w:val="00382F29"/>
    <w:rsid w:val="00384AF1"/>
    <w:rsid w:val="00385EE6"/>
    <w:rsid w:val="0038626D"/>
    <w:rsid w:val="00390EF1"/>
    <w:rsid w:val="003933A7"/>
    <w:rsid w:val="003937C7"/>
    <w:rsid w:val="00393B9D"/>
    <w:rsid w:val="003955A0"/>
    <w:rsid w:val="00396618"/>
    <w:rsid w:val="003972F8"/>
    <w:rsid w:val="0039787F"/>
    <w:rsid w:val="003A13B4"/>
    <w:rsid w:val="003A645F"/>
    <w:rsid w:val="003A691F"/>
    <w:rsid w:val="003B0278"/>
    <w:rsid w:val="003B1F96"/>
    <w:rsid w:val="003B3743"/>
    <w:rsid w:val="003B4A8D"/>
    <w:rsid w:val="003B5971"/>
    <w:rsid w:val="003B5D7A"/>
    <w:rsid w:val="003C043D"/>
    <w:rsid w:val="003C0FD2"/>
    <w:rsid w:val="003C276B"/>
    <w:rsid w:val="003C2EB1"/>
    <w:rsid w:val="003C48B6"/>
    <w:rsid w:val="003C5A0A"/>
    <w:rsid w:val="003C71B9"/>
    <w:rsid w:val="003D107D"/>
    <w:rsid w:val="003D2F57"/>
    <w:rsid w:val="003D4318"/>
    <w:rsid w:val="003D4CC0"/>
    <w:rsid w:val="003D66C8"/>
    <w:rsid w:val="003D6FD5"/>
    <w:rsid w:val="003D7065"/>
    <w:rsid w:val="003E0375"/>
    <w:rsid w:val="003E1F24"/>
    <w:rsid w:val="003E4422"/>
    <w:rsid w:val="003E4B11"/>
    <w:rsid w:val="003E4E14"/>
    <w:rsid w:val="003E4FF7"/>
    <w:rsid w:val="003E634B"/>
    <w:rsid w:val="003F1AAC"/>
    <w:rsid w:val="003F1EF8"/>
    <w:rsid w:val="003F29C9"/>
    <w:rsid w:val="003F2E93"/>
    <w:rsid w:val="003F35EF"/>
    <w:rsid w:val="003F3B35"/>
    <w:rsid w:val="003F4157"/>
    <w:rsid w:val="003F470F"/>
    <w:rsid w:val="003F4C33"/>
    <w:rsid w:val="003F6638"/>
    <w:rsid w:val="003F67AB"/>
    <w:rsid w:val="004014D2"/>
    <w:rsid w:val="00401AA7"/>
    <w:rsid w:val="00403B4A"/>
    <w:rsid w:val="00404520"/>
    <w:rsid w:val="004052B2"/>
    <w:rsid w:val="00405775"/>
    <w:rsid w:val="00405C0C"/>
    <w:rsid w:val="00407AC6"/>
    <w:rsid w:val="00410A12"/>
    <w:rsid w:val="00412253"/>
    <w:rsid w:val="004123C5"/>
    <w:rsid w:val="00412C44"/>
    <w:rsid w:val="00413ECD"/>
    <w:rsid w:val="00415FC6"/>
    <w:rsid w:val="004227EF"/>
    <w:rsid w:val="0042399B"/>
    <w:rsid w:val="004250FB"/>
    <w:rsid w:val="00427BC4"/>
    <w:rsid w:val="00427D4C"/>
    <w:rsid w:val="00430270"/>
    <w:rsid w:val="004305D3"/>
    <w:rsid w:val="0043212B"/>
    <w:rsid w:val="0043572C"/>
    <w:rsid w:val="00436368"/>
    <w:rsid w:val="00436D17"/>
    <w:rsid w:val="0043778C"/>
    <w:rsid w:val="0044012A"/>
    <w:rsid w:val="004419C5"/>
    <w:rsid w:val="00441D52"/>
    <w:rsid w:val="00442312"/>
    <w:rsid w:val="004432F6"/>
    <w:rsid w:val="00445677"/>
    <w:rsid w:val="0044687F"/>
    <w:rsid w:val="00446F85"/>
    <w:rsid w:val="00447B1A"/>
    <w:rsid w:val="00452891"/>
    <w:rsid w:val="00452900"/>
    <w:rsid w:val="00452A94"/>
    <w:rsid w:val="00452E6B"/>
    <w:rsid w:val="00456AC9"/>
    <w:rsid w:val="004608B4"/>
    <w:rsid w:val="00460DA0"/>
    <w:rsid w:val="0046149A"/>
    <w:rsid w:val="00461BFF"/>
    <w:rsid w:val="00465039"/>
    <w:rsid w:val="0046775E"/>
    <w:rsid w:val="00470D92"/>
    <w:rsid w:val="004719FB"/>
    <w:rsid w:val="004745B0"/>
    <w:rsid w:val="0047586E"/>
    <w:rsid w:val="004763D1"/>
    <w:rsid w:val="00480E9D"/>
    <w:rsid w:val="0048225B"/>
    <w:rsid w:val="004823AE"/>
    <w:rsid w:val="004840BB"/>
    <w:rsid w:val="00485B90"/>
    <w:rsid w:val="004900AE"/>
    <w:rsid w:val="00490397"/>
    <w:rsid w:val="00490F61"/>
    <w:rsid w:val="00492117"/>
    <w:rsid w:val="004945E2"/>
    <w:rsid w:val="004948BA"/>
    <w:rsid w:val="004952D7"/>
    <w:rsid w:val="0049542C"/>
    <w:rsid w:val="00495587"/>
    <w:rsid w:val="00496108"/>
    <w:rsid w:val="004977BD"/>
    <w:rsid w:val="004A0B15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C0634"/>
    <w:rsid w:val="004C0905"/>
    <w:rsid w:val="004C24CF"/>
    <w:rsid w:val="004C459C"/>
    <w:rsid w:val="004C46AA"/>
    <w:rsid w:val="004C7BB6"/>
    <w:rsid w:val="004D0248"/>
    <w:rsid w:val="004D3A0B"/>
    <w:rsid w:val="004D469E"/>
    <w:rsid w:val="004D4B67"/>
    <w:rsid w:val="004E1BBE"/>
    <w:rsid w:val="004E4903"/>
    <w:rsid w:val="004E4BBD"/>
    <w:rsid w:val="004E5018"/>
    <w:rsid w:val="004E5EFE"/>
    <w:rsid w:val="004F064A"/>
    <w:rsid w:val="004F0FD3"/>
    <w:rsid w:val="004F1121"/>
    <w:rsid w:val="004F18B9"/>
    <w:rsid w:val="004F1F7A"/>
    <w:rsid w:val="004F319B"/>
    <w:rsid w:val="004F3D78"/>
    <w:rsid w:val="004F3F81"/>
    <w:rsid w:val="004F3FEB"/>
    <w:rsid w:val="004F62AA"/>
    <w:rsid w:val="00501459"/>
    <w:rsid w:val="0050147C"/>
    <w:rsid w:val="005014CD"/>
    <w:rsid w:val="00501793"/>
    <w:rsid w:val="00505619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6A8A"/>
    <w:rsid w:val="005272D8"/>
    <w:rsid w:val="005315D4"/>
    <w:rsid w:val="00531EA2"/>
    <w:rsid w:val="00532D90"/>
    <w:rsid w:val="00536E86"/>
    <w:rsid w:val="00537886"/>
    <w:rsid w:val="005419E9"/>
    <w:rsid w:val="00541DC9"/>
    <w:rsid w:val="00542475"/>
    <w:rsid w:val="005440CF"/>
    <w:rsid w:val="00550953"/>
    <w:rsid w:val="005516A8"/>
    <w:rsid w:val="00553166"/>
    <w:rsid w:val="00555825"/>
    <w:rsid w:val="005559C9"/>
    <w:rsid w:val="00557DAA"/>
    <w:rsid w:val="0056420A"/>
    <w:rsid w:val="00564914"/>
    <w:rsid w:val="00564A20"/>
    <w:rsid w:val="00565C3C"/>
    <w:rsid w:val="00566830"/>
    <w:rsid w:val="00567C5D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38AE"/>
    <w:rsid w:val="00586FDE"/>
    <w:rsid w:val="00590E5A"/>
    <w:rsid w:val="005940D1"/>
    <w:rsid w:val="00594E34"/>
    <w:rsid w:val="005A03A1"/>
    <w:rsid w:val="005A1309"/>
    <w:rsid w:val="005A1434"/>
    <w:rsid w:val="005A198A"/>
    <w:rsid w:val="005A2BB7"/>
    <w:rsid w:val="005A3A8D"/>
    <w:rsid w:val="005A4ADA"/>
    <w:rsid w:val="005A728A"/>
    <w:rsid w:val="005A7853"/>
    <w:rsid w:val="005B09BF"/>
    <w:rsid w:val="005B3A18"/>
    <w:rsid w:val="005B3B71"/>
    <w:rsid w:val="005B43B5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162C"/>
    <w:rsid w:val="005E40C9"/>
    <w:rsid w:val="005E415C"/>
    <w:rsid w:val="005E485F"/>
    <w:rsid w:val="005E55AB"/>
    <w:rsid w:val="005E5950"/>
    <w:rsid w:val="005F1A06"/>
    <w:rsid w:val="005F39C7"/>
    <w:rsid w:val="005F3C10"/>
    <w:rsid w:val="005F446B"/>
    <w:rsid w:val="006000FE"/>
    <w:rsid w:val="006002AA"/>
    <w:rsid w:val="006013BE"/>
    <w:rsid w:val="00604A90"/>
    <w:rsid w:val="00604C85"/>
    <w:rsid w:val="006050CB"/>
    <w:rsid w:val="00605B10"/>
    <w:rsid w:val="006067F1"/>
    <w:rsid w:val="00606BF5"/>
    <w:rsid w:val="006107A4"/>
    <w:rsid w:val="00611C67"/>
    <w:rsid w:val="00614076"/>
    <w:rsid w:val="00614E5A"/>
    <w:rsid w:val="006159FC"/>
    <w:rsid w:val="0062129B"/>
    <w:rsid w:val="0062275E"/>
    <w:rsid w:val="0062528D"/>
    <w:rsid w:val="0062554E"/>
    <w:rsid w:val="00625B72"/>
    <w:rsid w:val="006267A9"/>
    <w:rsid w:val="00630230"/>
    <w:rsid w:val="00631233"/>
    <w:rsid w:val="006317A9"/>
    <w:rsid w:val="0063197E"/>
    <w:rsid w:val="00631BE0"/>
    <w:rsid w:val="006346C3"/>
    <w:rsid w:val="00634826"/>
    <w:rsid w:val="00635B31"/>
    <w:rsid w:val="00636594"/>
    <w:rsid w:val="00640B8B"/>
    <w:rsid w:val="00640F9A"/>
    <w:rsid w:val="00643AB4"/>
    <w:rsid w:val="00643E28"/>
    <w:rsid w:val="00644763"/>
    <w:rsid w:val="00644A40"/>
    <w:rsid w:val="00645153"/>
    <w:rsid w:val="00646223"/>
    <w:rsid w:val="006501FB"/>
    <w:rsid w:val="00650304"/>
    <w:rsid w:val="006513AE"/>
    <w:rsid w:val="0065180B"/>
    <w:rsid w:val="006534B0"/>
    <w:rsid w:val="006535F8"/>
    <w:rsid w:val="0065519F"/>
    <w:rsid w:val="0065715D"/>
    <w:rsid w:val="00660C91"/>
    <w:rsid w:val="00660F61"/>
    <w:rsid w:val="006616FF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61AE"/>
    <w:rsid w:val="00687758"/>
    <w:rsid w:val="0069378E"/>
    <w:rsid w:val="00694C51"/>
    <w:rsid w:val="00695599"/>
    <w:rsid w:val="006955E7"/>
    <w:rsid w:val="00695FCF"/>
    <w:rsid w:val="00696965"/>
    <w:rsid w:val="00696BFF"/>
    <w:rsid w:val="00696DDA"/>
    <w:rsid w:val="006A135C"/>
    <w:rsid w:val="006A150F"/>
    <w:rsid w:val="006A3457"/>
    <w:rsid w:val="006A4CFB"/>
    <w:rsid w:val="006A51BC"/>
    <w:rsid w:val="006A71A2"/>
    <w:rsid w:val="006A775F"/>
    <w:rsid w:val="006B01B2"/>
    <w:rsid w:val="006B221D"/>
    <w:rsid w:val="006B2270"/>
    <w:rsid w:val="006B5D1D"/>
    <w:rsid w:val="006B5E7A"/>
    <w:rsid w:val="006B6956"/>
    <w:rsid w:val="006C075C"/>
    <w:rsid w:val="006C09E3"/>
    <w:rsid w:val="006C267B"/>
    <w:rsid w:val="006C41FF"/>
    <w:rsid w:val="006C4E62"/>
    <w:rsid w:val="006C5880"/>
    <w:rsid w:val="006D0B5E"/>
    <w:rsid w:val="006D0E59"/>
    <w:rsid w:val="006D1B63"/>
    <w:rsid w:val="006D502F"/>
    <w:rsid w:val="006D5067"/>
    <w:rsid w:val="006D6829"/>
    <w:rsid w:val="006D6ED4"/>
    <w:rsid w:val="006D7A4E"/>
    <w:rsid w:val="006E0050"/>
    <w:rsid w:val="006E1EA3"/>
    <w:rsid w:val="006E27FD"/>
    <w:rsid w:val="006E2AC8"/>
    <w:rsid w:val="006E4DAD"/>
    <w:rsid w:val="006E6CC2"/>
    <w:rsid w:val="006E708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0EE9"/>
    <w:rsid w:val="0071123A"/>
    <w:rsid w:val="00711E25"/>
    <w:rsid w:val="0071439B"/>
    <w:rsid w:val="00714A55"/>
    <w:rsid w:val="00717377"/>
    <w:rsid w:val="007174E2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31217"/>
    <w:rsid w:val="0073165F"/>
    <w:rsid w:val="0073174A"/>
    <w:rsid w:val="007333BE"/>
    <w:rsid w:val="007335A8"/>
    <w:rsid w:val="00733BEC"/>
    <w:rsid w:val="00734C96"/>
    <w:rsid w:val="007369CE"/>
    <w:rsid w:val="00737013"/>
    <w:rsid w:val="0073764E"/>
    <w:rsid w:val="00744B7F"/>
    <w:rsid w:val="007453D1"/>
    <w:rsid w:val="007461C5"/>
    <w:rsid w:val="007467BF"/>
    <w:rsid w:val="0075099D"/>
    <w:rsid w:val="00754EA8"/>
    <w:rsid w:val="00756B84"/>
    <w:rsid w:val="007578B1"/>
    <w:rsid w:val="00760136"/>
    <w:rsid w:val="00760496"/>
    <w:rsid w:val="00763FB0"/>
    <w:rsid w:val="00765427"/>
    <w:rsid w:val="00765AC5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E42"/>
    <w:rsid w:val="00783F79"/>
    <w:rsid w:val="00785BEE"/>
    <w:rsid w:val="0078737D"/>
    <w:rsid w:val="00790464"/>
    <w:rsid w:val="007905DA"/>
    <w:rsid w:val="007909D5"/>
    <w:rsid w:val="00791F5B"/>
    <w:rsid w:val="00792149"/>
    <w:rsid w:val="007939B6"/>
    <w:rsid w:val="00794081"/>
    <w:rsid w:val="0079592E"/>
    <w:rsid w:val="007964C7"/>
    <w:rsid w:val="0079705B"/>
    <w:rsid w:val="00797159"/>
    <w:rsid w:val="007A1014"/>
    <w:rsid w:val="007A12C9"/>
    <w:rsid w:val="007A19E0"/>
    <w:rsid w:val="007A5127"/>
    <w:rsid w:val="007A5425"/>
    <w:rsid w:val="007B05F7"/>
    <w:rsid w:val="007B1924"/>
    <w:rsid w:val="007B199A"/>
    <w:rsid w:val="007B1BA6"/>
    <w:rsid w:val="007B1F2A"/>
    <w:rsid w:val="007B4507"/>
    <w:rsid w:val="007B48F8"/>
    <w:rsid w:val="007B5624"/>
    <w:rsid w:val="007C53FD"/>
    <w:rsid w:val="007C5420"/>
    <w:rsid w:val="007C61BF"/>
    <w:rsid w:val="007D1008"/>
    <w:rsid w:val="007D1FAA"/>
    <w:rsid w:val="007D2672"/>
    <w:rsid w:val="007D3978"/>
    <w:rsid w:val="007D4B6B"/>
    <w:rsid w:val="007D5674"/>
    <w:rsid w:val="007D56C9"/>
    <w:rsid w:val="007D5BFB"/>
    <w:rsid w:val="007D62DC"/>
    <w:rsid w:val="007D7930"/>
    <w:rsid w:val="007D7B45"/>
    <w:rsid w:val="007E2719"/>
    <w:rsid w:val="007E2EBD"/>
    <w:rsid w:val="007E4019"/>
    <w:rsid w:val="007E4613"/>
    <w:rsid w:val="007E4A46"/>
    <w:rsid w:val="007E728E"/>
    <w:rsid w:val="007E784C"/>
    <w:rsid w:val="007E7AFD"/>
    <w:rsid w:val="007F103F"/>
    <w:rsid w:val="007F130A"/>
    <w:rsid w:val="007F38BE"/>
    <w:rsid w:val="007F3D4F"/>
    <w:rsid w:val="007F46C8"/>
    <w:rsid w:val="007F5966"/>
    <w:rsid w:val="00801B8B"/>
    <w:rsid w:val="00802069"/>
    <w:rsid w:val="008025DC"/>
    <w:rsid w:val="00803C03"/>
    <w:rsid w:val="00803C62"/>
    <w:rsid w:val="008060AB"/>
    <w:rsid w:val="00806EC8"/>
    <w:rsid w:val="0081177A"/>
    <w:rsid w:val="00814CE9"/>
    <w:rsid w:val="00815D73"/>
    <w:rsid w:val="00816FBA"/>
    <w:rsid w:val="00821BCB"/>
    <w:rsid w:val="00825BCB"/>
    <w:rsid w:val="008270A6"/>
    <w:rsid w:val="008307DF"/>
    <w:rsid w:val="008311CA"/>
    <w:rsid w:val="008317E3"/>
    <w:rsid w:val="00831988"/>
    <w:rsid w:val="00832233"/>
    <w:rsid w:val="00832BDC"/>
    <w:rsid w:val="00833241"/>
    <w:rsid w:val="0083364D"/>
    <w:rsid w:val="00834A4A"/>
    <w:rsid w:val="0083564F"/>
    <w:rsid w:val="008356C6"/>
    <w:rsid w:val="00835CEC"/>
    <w:rsid w:val="008363C6"/>
    <w:rsid w:val="0083673F"/>
    <w:rsid w:val="00837B95"/>
    <w:rsid w:val="008409F8"/>
    <w:rsid w:val="00842389"/>
    <w:rsid w:val="00843315"/>
    <w:rsid w:val="00844028"/>
    <w:rsid w:val="0084493B"/>
    <w:rsid w:val="00844F1B"/>
    <w:rsid w:val="00845A87"/>
    <w:rsid w:val="00845D51"/>
    <w:rsid w:val="00847E19"/>
    <w:rsid w:val="008513F9"/>
    <w:rsid w:val="00851EEF"/>
    <w:rsid w:val="008521CA"/>
    <w:rsid w:val="00855A59"/>
    <w:rsid w:val="008566B3"/>
    <w:rsid w:val="00856765"/>
    <w:rsid w:val="00860B12"/>
    <w:rsid w:val="00860CE8"/>
    <w:rsid w:val="00861252"/>
    <w:rsid w:val="00861701"/>
    <w:rsid w:val="00862841"/>
    <w:rsid w:val="00862A34"/>
    <w:rsid w:val="00863285"/>
    <w:rsid w:val="00865E87"/>
    <w:rsid w:val="00871949"/>
    <w:rsid w:val="008775A4"/>
    <w:rsid w:val="008803E7"/>
    <w:rsid w:val="00881122"/>
    <w:rsid w:val="00881AF4"/>
    <w:rsid w:val="008821F1"/>
    <w:rsid w:val="008834FE"/>
    <w:rsid w:val="00883BC1"/>
    <w:rsid w:val="00883E97"/>
    <w:rsid w:val="0088479B"/>
    <w:rsid w:val="00884AE7"/>
    <w:rsid w:val="00884B8D"/>
    <w:rsid w:val="0088726D"/>
    <w:rsid w:val="008916F5"/>
    <w:rsid w:val="008956D1"/>
    <w:rsid w:val="00895AE7"/>
    <w:rsid w:val="008976A1"/>
    <w:rsid w:val="008A0095"/>
    <w:rsid w:val="008A1766"/>
    <w:rsid w:val="008A1D18"/>
    <w:rsid w:val="008A4440"/>
    <w:rsid w:val="008A71A5"/>
    <w:rsid w:val="008B13E3"/>
    <w:rsid w:val="008B2BA7"/>
    <w:rsid w:val="008B2C35"/>
    <w:rsid w:val="008B3E80"/>
    <w:rsid w:val="008B41CC"/>
    <w:rsid w:val="008B4768"/>
    <w:rsid w:val="008B50C8"/>
    <w:rsid w:val="008B595A"/>
    <w:rsid w:val="008B76E2"/>
    <w:rsid w:val="008C0A82"/>
    <w:rsid w:val="008C1153"/>
    <w:rsid w:val="008C1226"/>
    <w:rsid w:val="008D2BDD"/>
    <w:rsid w:val="008D33F8"/>
    <w:rsid w:val="008D4BC6"/>
    <w:rsid w:val="008E3D88"/>
    <w:rsid w:val="008E4A60"/>
    <w:rsid w:val="008E4AD4"/>
    <w:rsid w:val="008E767E"/>
    <w:rsid w:val="008F2550"/>
    <w:rsid w:val="008F2920"/>
    <w:rsid w:val="008F2E54"/>
    <w:rsid w:val="008F690A"/>
    <w:rsid w:val="008F6975"/>
    <w:rsid w:val="008F71B3"/>
    <w:rsid w:val="008F72C4"/>
    <w:rsid w:val="008F75EA"/>
    <w:rsid w:val="00900A5F"/>
    <w:rsid w:val="00900F3A"/>
    <w:rsid w:val="00902865"/>
    <w:rsid w:val="009062BE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5DA7"/>
    <w:rsid w:val="00947084"/>
    <w:rsid w:val="0094709F"/>
    <w:rsid w:val="009475F8"/>
    <w:rsid w:val="009476F2"/>
    <w:rsid w:val="00953F1B"/>
    <w:rsid w:val="00957A45"/>
    <w:rsid w:val="00957D24"/>
    <w:rsid w:val="009602CE"/>
    <w:rsid w:val="00961E32"/>
    <w:rsid w:val="00963F93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1A4E"/>
    <w:rsid w:val="00985850"/>
    <w:rsid w:val="009873A4"/>
    <w:rsid w:val="00987C74"/>
    <w:rsid w:val="009937FC"/>
    <w:rsid w:val="00996FA7"/>
    <w:rsid w:val="009971A5"/>
    <w:rsid w:val="009A1EA0"/>
    <w:rsid w:val="009A2DA3"/>
    <w:rsid w:val="009A4480"/>
    <w:rsid w:val="009A5324"/>
    <w:rsid w:val="009A5C99"/>
    <w:rsid w:val="009A60B2"/>
    <w:rsid w:val="009A646A"/>
    <w:rsid w:val="009A6C03"/>
    <w:rsid w:val="009A6F80"/>
    <w:rsid w:val="009A7F2E"/>
    <w:rsid w:val="009B0C1D"/>
    <w:rsid w:val="009B1522"/>
    <w:rsid w:val="009B5ACC"/>
    <w:rsid w:val="009B662D"/>
    <w:rsid w:val="009C0180"/>
    <w:rsid w:val="009C2C3C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1F1"/>
    <w:rsid w:val="009F2CAA"/>
    <w:rsid w:val="009F691A"/>
    <w:rsid w:val="00A005D3"/>
    <w:rsid w:val="00A02EDD"/>
    <w:rsid w:val="00A04257"/>
    <w:rsid w:val="00A04E54"/>
    <w:rsid w:val="00A05093"/>
    <w:rsid w:val="00A061EB"/>
    <w:rsid w:val="00A12E53"/>
    <w:rsid w:val="00A13DFC"/>
    <w:rsid w:val="00A14035"/>
    <w:rsid w:val="00A14206"/>
    <w:rsid w:val="00A14440"/>
    <w:rsid w:val="00A16474"/>
    <w:rsid w:val="00A23E03"/>
    <w:rsid w:val="00A25C9B"/>
    <w:rsid w:val="00A301E1"/>
    <w:rsid w:val="00A30499"/>
    <w:rsid w:val="00A30B54"/>
    <w:rsid w:val="00A31D6A"/>
    <w:rsid w:val="00A3209B"/>
    <w:rsid w:val="00A32CD8"/>
    <w:rsid w:val="00A34072"/>
    <w:rsid w:val="00A36649"/>
    <w:rsid w:val="00A36D32"/>
    <w:rsid w:val="00A401BC"/>
    <w:rsid w:val="00A405F9"/>
    <w:rsid w:val="00A40F25"/>
    <w:rsid w:val="00A41AC2"/>
    <w:rsid w:val="00A41AD9"/>
    <w:rsid w:val="00A44F7D"/>
    <w:rsid w:val="00A50339"/>
    <w:rsid w:val="00A518A5"/>
    <w:rsid w:val="00A521EA"/>
    <w:rsid w:val="00A54001"/>
    <w:rsid w:val="00A57A3B"/>
    <w:rsid w:val="00A63606"/>
    <w:rsid w:val="00A64544"/>
    <w:rsid w:val="00A64AEB"/>
    <w:rsid w:val="00A650B3"/>
    <w:rsid w:val="00A65B9D"/>
    <w:rsid w:val="00A66317"/>
    <w:rsid w:val="00A66A39"/>
    <w:rsid w:val="00A66E9E"/>
    <w:rsid w:val="00A70B2C"/>
    <w:rsid w:val="00A710F1"/>
    <w:rsid w:val="00A7781C"/>
    <w:rsid w:val="00A818C6"/>
    <w:rsid w:val="00A86DA7"/>
    <w:rsid w:val="00A91E49"/>
    <w:rsid w:val="00A93802"/>
    <w:rsid w:val="00A9402C"/>
    <w:rsid w:val="00A95D09"/>
    <w:rsid w:val="00AA2A57"/>
    <w:rsid w:val="00AA3227"/>
    <w:rsid w:val="00AA3A83"/>
    <w:rsid w:val="00AA5738"/>
    <w:rsid w:val="00AA57CB"/>
    <w:rsid w:val="00AA5992"/>
    <w:rsid w:val="00AA6288"/>
    <w:rsid w:val="00AB0FBF"/>
    <w:rsid w:val="00AB2DAF"/>
    <w:rsid w:val="00AB4962"/>
    <w:rsid w:val="00AB5A9E"/>
    <w:rsid w:val="00AB5D13"/>
    <w:rsid w:val="00AC05E9"/>
    <w:rsid w:val="00AC18D7"/>
    <w:rsid w:val="00AC234F"/>
    <w:rsid w:val="00AC249C"/>
    <w:rsid w:val="00AC2B50"/>
    <w:rsid w:val="00AC2E6A"/>
    <w:rsid w:val="00AC3716"/>
    <w:rsid w:val="00AC46D0"/>
    <w:rsid w:val="00AC7267"/>
    <w:rsid w:val="00AC741C"/>
    <w:rsid w:val="00AD05A6"/>
    <w:rsid w:val="00AD062A"/>
    <w:rsid w:val="00AD0AFB"/>
    <w:rsid w:val="00AD1DAF"/>
    <w:rsid w:val="00AD4443"/>
    <w:rsid w:val="00AD62AF"/>
    <w:rsid w:val="00AE001A"/>
    <w:rsid w:val="00AE0F77"/>
    <w:rsid w:val="00AE23F0"/>
    <w:rsid w:val="00AE2445"/>
    <w:rsid w:val="00AE3FCA"/>
    <w:rsid w:val="00AE4822"/>
    <w:rsid w:val="00AE52B8"/>
    <w:rsid w:val="00AE7BCB"/>
    <w:rsid w:val="00AE7C72"/>
    <w:rsid w:val="00AE7D7D"/>
    <w:rsid w:val="00AF0726"/>
    <w:rsid w:val="00AF1239"/>
    <w:rsid w:val="00AF24B2"/>
    <w:rsid w:val="00AF324B"/>
    <w:rsid w:val="00AF3754"/>
    <w:rsid w:val="00AF529C"/>
    <w:rsid w:val="00AF5345"/>
    <w:rsid w:val="00AF5B03"/>
    <w:rsid w:val="00AF60B7"/>
    <w:rsid w:val="00AF6F29"/>
    <w:rsid w:val="00B03791"/>
    <w:rsid w:val="00B051CC"/>
    <w:rsid w:val="00B0534C"/>
    <w:rsid w:val="00B1257C"/>
    <w:rsid w:val="00B149A9"/>
    <w:rsid w:val="00B16981"/>
    <w:rsid w:val="00B17FF8"/>
    <w:rsid w:val="00B23E47"/>
    <w:rsid w:val="00B24279"/>
    <w:rsid w:val="00B24831"/>
    <w:rsid w:val="00B25B33"/>
    <w:rsid w:val="00B30A72"/>
    <w:rsid w:val="00B30CF7"/>
    <w:rsid w:val="00B30F3E"/>
    <w:rsid w:val="00B31AFC"/>
    <w:rsid w:val="00B3280B"/>
    <w:rsid w:val="00B34570"/>
    <w:rsid w:val="00B365C9"/>
    <w:rsid w:val="00B401A6"/>
    <w:rsid w:val="00B43BAA"/>
    <w:rsid w:val="00B46BBA"/>
    <w:rsid w:val="00B46F5D"/>
    <w:rsid w:val="00B510D1"/>
    <w:rsid w:val="00B512D1"/>
    <w:rsid w:val="00B516F4"/>
    <w:rsid w:val="00B52277"/>
    <w:rsid w:val="00B52302"/>
    <w:rsid w:val="00B52B57"/>
    <w:rsid w:val="00B53695"/>
    <w:rsid w:val="00B53F69"/>
    <w:rsid w:val="00B568D2"/>
    <w:rsid w:val="00B6021A"/>
    <w:rsid w:val="00B61039"/>
    <w:rsid w:val="00B6127A"/>
    <w:rsid w:val="00B619E4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63E9"/>
    <w:rsid w:val="00B77794"/>
    <w:rsid w:val="00B80677"/>
    <w:rsid w:val="00B81FD8"/>
    <w:rsid w:val="00B82437"/>
    <w:rsid w:val="00B829A8"/>
    <w:rsid w:val="00B829B3"/>
    <w:rsid w:val="00B85637"/>
    <w:rsid w:val="00B860F7"/>
    <w:rsid w:val="00B9426D"/>
    <w:rsid w:val="00B95065"/>
    <w:rsid w:val="00B95300"/>
    <w:rsid w:val="00B95CD4"/>
    <w:rsid w:val="00B96325"/>
    <w:rsid w:val="00B96E93"/>
    <w:rsid w:val="00B971AE"/>
    <w:rsid w:val="00B97AE8"/>
    <w:rsid w:val="00BA14A9"/>
    <w:rsid w:val="00BA4AB5"/>
    <w:rsid w:val="00BA56E7"/>
    <w:rsid w:val="00BB01C4"/>
    <w:rsid w:val="00BB1DDF"/>
    <w:rsid w:val="00BB21C1"/>
    <w:rsid w:val="00BB381E"/>
    <w:rsid w:val="00BB3B10"/>
    <w:rsid w:val="00BB4665"/>
    <w:rsid w:val="00BB4A4E"/>
    <w:rsid w:val="00BB56E7"/>
    <w:rsid w:val="00BC1032"/>
    <w:rsid w:val="00BC1CC8"/>
    <w:rsid w:val="00BC2D7C"/>
    <w:rsid w:val="00BC53AC"/>
    <w:rsid w:val="00BD3529"/>
    <w:rsid w:val="00BD467C"/>
    <w:rsid w:val="00BD6881"/>
    <w:rsid w:val="00BE0FE1"/>
    <w:rsid w:val="00BE3172"/>
    <w:rsid w:val="00BE4EA8"/>
    <w:rsid w:val="00BE56ED"/>
    <w:rsid w:val="00BE592A"/>
    <w:rsid w:val="00BF158F"/>
    <w:rsid w:val="00BF37C5"/>
    <w:rsid w:val="00BF4783"/>
    <w:rsid w:val="00BF5106"/>
    <w:rsid w:val="00BF5198"/>
    <w:rsid w:val="00BF5226"/>
    <w:rsid w:val="00BF5D19"/>
    <w:rsid w:val="00BF5D22"/>
    <w:rsid w:val="00BF709C"/>
    <w:rsid w:val="00C01BDC"/>
    <w:rsid w:val="00C032E9"/>
    <w:rsid w:val="00C0347C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4CC5"/>
    <w:rsid w:val="00C16203"/>
    <w:rsid w:val="00C17B97"/>
    <w:rsid w:val="00C2114D"/>
    <w:rsid w:val="00C24B34"/>
    <w:rsid w:val="00C343BD"/>
    <w:rsid w:val="00C3561A"/>
    <w:rsid w:val="00C36730"/>
    <w:rsid w:val="00C44960"/>
    <w:rsid w:val="00C44D48"/>
    <w:rsid w:val="00C44FAD"/>
    <w:rsid w:val="00C45662"/>
    <w:rsid w:val="00C46EC8"/>
    <w:rsid w:val="00C52F68"/>
    <w:rsid w:val="00C52FF7"/>
    <w:rsid w:val="00C533EE"/>
    <w:rsid w:val="00C546FF"/>
    <w:rsid w:val="00C54EF6"/>
    <w:rsid w:val="00C55860"/>
    <w:rsid w:val="00C56178"/>
    <w:rsid w:val="00C56A8F"/>
    <w:rsid w:val="00C57780"/>
    <w:rsid w:val="00C60B6C"/>
    <w:rsid w:val="00C652E3"/>
    <w:rsid w:val="00C65503"/>
    <w:rsid w:val="00C65DF2"/>
    <w:rsid w:val="00C674B4"/>
    <w:rsid w:val="00C67708"/>
    <w:rsid w:val="00C716A2"/>
    <w:rsid w:val="00C7326B"/>
    <w:rsid w:val="00C74392"/>
    <w:rsid w:val="00C74422"/>
    <w:rsid w:val="00C747A7"/>
    <w:rsid w:val="00C7736F"/>
    <w:rsid w:val="00C82712"/>
    <w:rsid w:val="00C8337E"/>
    <w:rsid w:val="00C8624C"/>
    <w:rsid w:val="00C86678"/>
    <w:rsid w:val="00C917CF"/>
    <w:rsid w:val="00C924DE"/>
    <w:rsid w:val="00C92B2B"/>
    <w:rsid w:val="00C93F32"/>
    <w:rsid w:val="00C94373"/>
    <w:rsid w:val="00C94775"/>
    <w:rsid w:val="00C94D3F"/>
    <w:rsid w:val="00C95BEA"/>
    <w:rsid w:val="00C95D73"/>
    <w:rsid w:val="00C96FBB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3C2B"/>
    <w:rsid w:val="00CD7E41"/>
    <w:rsid w:val="00CE0098"/>
    <w:rsid w:val="00CE0269"/>
    <w:rsid w:val="00CE0C28"/>
    <w:rsid w:val="00CE1728"/>
    <w:rsid w:val="00CE4325"/>
    <w:rsid w:val="00CE47F3"/>
    <w:rsid w:val="00CE4A39"/>
    <w:rsid w:val="00CE5C43"/>
    <w:rsid w:val="00CE7924"/>
    <w:rsid w:val="00CE7E1F"/>
    <w:rsid w:val="00CF1C62"/>
    <w:rsid w:val="00CF2586"/>
    <w:rsid w:val="00CF540D"/>
    <w:rsid w:val="00CF7239"/>
    <w:rsid w:val="00D00292"/>
    <w:rsid w:val="00D018D6"/>
    <w:rsid w:val="00D01A60"/>
    <w:rsid w:val="00D01B22"/>
    <w:rsid w:val="00D01B55"/>
    <w:rsid w:val="00D02682"/>
    <w:rsid w:val="00D03E15"/>
    <w:rsid w:val="00D07DF0"/>
    <w:rsid w:val="00D13147"/>
    <w:rsid w:val="00D14818"/>
    <w:rsid w:val="00D15111"/>
    <w:rsid w:val="00D155A6"/>
    <w:rsid w:val="00D167ED"/>
    <w:rsid w:val="00D17005"/>
    <w:rsid w:val="00D20AB0"/>
    <w:rsid w:val="00D21F6E"/>
    <w:rsid w:val="00D2215E"/>
    <w:rsid w:val="00D22CFE"/>
    <w:rsid w:val="00D23AB2"/>
    <w:rsid w:val="00D27104"/>
    <w:rsid w:val="00D2786E"/>
    <w:rsid w:val="00D31C1B"/>
    <w:rsid w:val="00D33A1A"/>
    <w:rsid w:val="00D353A8"/>
    <w:rsid w:val="00D4149E"/>
    <w:rsid w:val="00D42242"/>
    <w:rsid w:val="00D422A1"/>
    <w:rsid w:val="00D43798"/>
    <w:rsid w:val="00D44D40"/>
    <w:rsid w:val="00D45208"/>
    <w:rsid w:val="00D45568"/>
    <w:rsid w:val="00D47B2B"/>
    <w:rsid w:val="00D50A75"/>
    <w:rsid w:val="00D50D35"/>
    <w:rsid w:val="00D51C6E"/>
    <w:rsid w:val="00D56619"/>
    <w:rsid w:val="00D57FC7"/>
    <w:rsid w:val="00D609E5"/>
    <w:rsid w:val="00D61C56"/>
    <w:rsid w:val="00D636FC"/>
    <w:rsid w:val="00D651BC"/>
    <w:rsid w:val="00D66971"/>
    <w:rsid w:val="00D67FA5"/>
    <w:rsid w:val="00D70205"/>
    <w:rsid w:val="00D708B7"/>
    <w:rsid w:val="00D72572"/>
    <w:rsid w:val="00D73234"/>
    <w:rsid w:val="00D755A7"/>
    <w:rsid w:val="00D75627"/>
    <w:rsid w:val="00D80173"/>
    <w:rsid w:val="00D823A9"/>
    <w:rsid w:val="00D83FB6"/>
    <w:rsid w:val="00D90217"/>
    <w:rsid w:val="00D90FFF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6D0"/>
    <w:rsid w:val="00DA37D5"/>
    <w:rsid w:val="00DA52E8"/>
    <w:rsid w:val="00DA5C1B"/>
    <w:rsid w:val="00DA6657"/>
    <w:rsid w:val="00DA6836"/>
    <w:rsid w:val="00DA6A89"/>
    <w:rsid w:val="00DA78CB"/>
    <w:rsid w:val="00DA7949"/>
    <w:rsid w:val="00DB066C"/>
    <w:rsid w:val="00DB0A77"/>
    <w:rsid w:val="00DB23C1"/>
    <w:rsid w:val="00DB4220"/>
    <w:rsid w:val="00DB4A45"/>
    <w:rsid w:val="00DC0ACB"/>
    <w:rsid w:val="00DC24BB"/>
    <w:rsid w:val="00DC30B9"/>
    <w:rsid w:val="00DC3C2D"/>
    <w:rsid w:val="00DC4698"/>
    <w:rsid w:val="00DC54A4"/>
    <w:rsid w:val="00DC760F"/>
    <w:rsid w:val="00DD078F"/>
    <w:rsid w:val="00DD08D8"/>
    <w:rsid w:val="00DD2C65"/>
    <w:rsid w:val="00DD3E7A"/>
    <w:rsid w:val="00DD491D"/>
    <w:rsid w:val="00DD7163"/>
    <w:rsid w:val="00DD7BB6"/>
    <w:rsid w:val="00DE1AE3"/>
    <w:rsid w:val="00DE264C"/>
    <w:rsid w:val="00DE4E8D"/>
    <w:rsid w:val="00DE5012"/>
    <w:rsid w:val="00DE591C"/>
    <w:rsid w:val="00DE68E0"/>
    <w:rsid w:val="00DE6C37"/>
    <w:rsid w:val="00DF018A"/>
    <w:rsid w:val="00DF20F8"/>
    <w:rsid w:val="00DF3207"/>
    <w:rsid w:val="00DF3C21"/>
    <w:rsid w:val="00DF6487"/>
    <w:rsid w:val="00DF796E"/>
    <w:rsid w:val="00E00E5A"/>
    <w:rsid w:val="00E0203D"/>
    <w:rsid w:val="00E126E0"/>
    <w:rsid w:val="00E12E58"/>
    <w:rsid w:val="00E1406B"/>
    <w:rsid w:val="00E15129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342F"/>
    <w:rsid w:val="00E3395C"/>
    <w:rsid w:val="00E34CF0"/>
    <w:rsid w:val="00E36BE2"/>
    <w:rsid w:val="00E3755B"/>
    <w:rsid w:val="00E377BE"/>
    <w:rsid w:val="00E37CC9"/>
    <w:rsid w:val="00E428A2"/>
    <w:rsid w:val="00E43930"/>
    <w:rsid w:val="00E44872"/>
    <w:rsid w:val="00E44C06"/>
    <w:rsid w:val="00E45CD7"/>
    <w:rsid w:val="00E4759B"/>
    <w:rsid w:val="00E51DB1"/>
    <w:rsid w:val="00E520B4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3A5A"/>
    <w:rsid w:val="00E74D0B"/>
    <w:rsid w:val="00E75047"/>
    <w:rsid w:val="00E75B91"/>
    <w:rsid w:val="00E75F52"/>
    <w:rsid w:val="00E7781F"/>
    <w:rsid w:val="00E80CAD"/>
    <w:rsid w:val="00E824FD"/>
    <w:rsid w:val="00E831FE"/>
    <w:rsid w:val="00E83879"/>
    <w:rsid w:val="00E85690"/>
    <w:rsid w:val="00E8596C"/>
    <w:rsid w:val="00E8646A"/>
    <w:rsid w:val="00E865C0"/>
    <w:rsid w:val="00E900AF"/>
    <w:rsid w:val="00E90227"/>
    <w:rsid w:val="00E9198B"/>
    <w:rsid w:val="00E91EBD"/>
    <w:rsid w:val="00E94124"/>
    <w:rsid w:val="00E94595"/>
    <w:rsid w:val="00E94FC2"/>
    <w:rsid w:val="00E952FA"/>
    <w:rsid w:val="00E959CA"/>
    <w:rsid w:val="00E95C92"/>
    <w:rsid w:val="00E960A7"/>
    <w:rsid w:val="00E97CC8"/>
    <w:rsid w:val="00EA04AA"/>
    <w:rsid w:val="00EA3C71"/>
    <w:rsid w:val="00EA544B"/>
    <w:rsid w:val="00EA66BE"/>
    <w:rsid w:val="00EA6EA0"/>
    <w:rsid w:val="00EA7A2B"/>
    <w:rsid w:val="00EB0134"/>
    <w:rsid w:val="00EB0371"/>
    <w:rsid w:val="00EB14C9"/>
    <w:rsid w:val="00EB216F"/>
    <w:rsid w:val="00EB336C"/>
    <w:rsid w:val="00EB572D"/>
    <w:rsid w:val="00EB5B98"/>
    <w:rsid w:val="00EB654E"/>
    <w:rsid w:val="00EB6D4C"/>
    <w:rsid w:val="00EB7238"/>
    <w:rsid w:val="00EC1E91"/>
    <w:rsid w:val="00EC43CF"/>
    <w:rsid w:val="00EC554B"/>
    <w:rsid w:val="00EC55CB"/>
    <w:rsid w:val="00EC5F3F"/>
    <w:rsid w:val="00ED073D"/>
    <w:rsid w:val="00ED1FFF"/>
    <w:rsid w:val="00ED26C2"/>
    <w:rsid w:val="00ED2C92"/>
    <w:rsid w:val="00ED471A"/>
    <w:rsid w:val="00ED530F"/>
    <w:rsid w:val="00ED69B1"/>
    <w:rsid w:val="00ED6AB0"/>
    <w:rsid w:val="00EE01C3"/>
    <w:rsid w:val="00EE1D08"/>
    <w:rsid w:val="00EE26A9"/>
    <w:rsid w:val="00EE4B4E"/>
    <w:rsid w:val="00EE53F9"/>
    <w:rsid w:val="00EE6DB9"/>
    <w:rsid w:val="00EE75DA"/>
    <w:rsid w:val="00EF1E8E"/>
    <w:rsid w:val="00EF47BB"/>
    <w:rsid w:val="00EF67C4"/>
    <w:rsid w:val="00F000C2"/>
    <w:rsid w:val="00F002DC"/>
    <w:rsid w:val="00F00618"/>
    <w:rsid w:val="00F01562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0B69"/>
    <w:rsid w:val="00F212E2"/>
    <w:rsid w:val="00F221C6"/>
    <w:rsid w:val="00F2448E"/>
    <w:rsid w:val="00F245C8"/>
    <w:rsid w:val="00F25155"/>
    <w:rsid w:val="00F275D7"/>
    <w:rsid w:val="00F27BAF"/>
    <w:rsid w:val="00F30D32"/>
    <w:rsid w:val="00F320EE"/>
    <w:rsid w:val="00F33B5B"/>
    <w:rsid w:val="00F357A0"/>
    <w:rsid w:val="00F36DEA"/>
    <w:rsid w:val="00F37E09"/>
    <w:rsid w:val="00F4071A"/>
    <w:rsid w:val="00F41612"/>
    <w:rsid w:val="00F416C6"/>
    <w:rsid w:val="00F42211"/>
    <w:rsid w:val="00F42912"/>
    <w:rsid w:val="00F42EAB"/>
    <w:rsid w:val="00F4406F"/>
    <w:rsid w:val="00F57F40"/>
    <w:rsid w:val="00F6136F"/>
    <w:rsid w:val="00F61E47"/>
    <w:rsid w:val="00F61E7A"/>
    <w:rsid w:val="00F6436F"/>
    <w:rsid w:val="00F6596E"/>
    <w:rsid w:val="00F66210"/>
    <w:rsid w:val="00F6679F"/>
    <w:rsid w:val="00F677B4"/>
    <w:rsid w:val="00F67CAA"/>
    <w:rsid w:val="00F704B9"/>
    <w:rsid w:val="00F70D0E"/>
    <w:rsid w:val="00F72F47"/>
    <w:rsid w:val="00F74ACA"/>
    <w:rsid w:val="00F75BD3"/>
    <w:rsid w:val="00F76A3E"/>
    <w:rsid w:val="00F77A26"/>
    <w:rsid w:val="00F82796"/>
    <w:rsid w:val="00F839E2"/>
    <w:rsid w:val="00F83CA0"/>
    <w:rsid w:val="00F8547B"/>
    <w:rsid w:val="00F856C6"/>
    <w:rsid w:val="00F86243"/>
    <w:rsid w:val="00F9179C"/>
    <w:rsid w:val="00F94514"/>
    <w:rsid w:val="00F948AD"/>
    <w:rsid w:val="00F9624E"/>
    <w:rsid w:val="00FA028D"/>
    <w:rsid w:val="00FA1AF8"/>
    <w:rsid w:val="00FA1D06"/>
    <w:rsid w:val="00FA38FF"/>
    <w:rsid w:val="00FA442D"/>
    <w:rsid w:val="00FA4EE2"/>
    <w:rsid w:val="00FA68F1"/>
    <w:rsid w:val="00FB028A"/>
    <w:rsid w:val="00FB2A4D"/>
    <w:rsid w:val="00FB32F8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BE"/>
    <w:rsid w:val="00FE4ECF"/>
    <w:rsid w:val="00FE5197"/>
    <w:rsid w:val="00FE52C6"/>
    <w:rsid w:val="00FE58DA"/>
    <w:rsid w:val="00FE624D"/>
    <w:rsid w:val="00FE63F6"/>
    <w:rsid w:val="00FE6EEF"/>
    <w:rsid w:val="00FE7671"/>
    <w:rsid w:val="00FE7A99"/>
    <w:rsid w:val="00FE7C89"/>
    <w:rsid w:val="00FF1283"/>
    <w:rsid w:val="00FF1529"/>
    <w:rsid w:val="00FF2530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6FF3"/>
  <w15:docId w15:val="{5BB9929F-86C1-42A4-AD18-5388219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963AF"/>
    <w:pPr>
      <w:spacing w:before="120"/>
      <w:jc w:val="center"/>
    </w:pPr>
    <w:rPr>
      <w:rFonts w:ascii="Cambria" w:hAnsi="Cambria"/>
      <w:b/>
      <w:iCs/>
      <w:color w:val="00457D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i.istat.it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i.camera.it/leg18/temi/politiche-per-la-non-autosufficienza-e-la-disabili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creasanita.it/wp-content/uploads/2024/01/19%C2%B0-Rapporto-sanita_de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reasanita.it/wp-content/uploads/2024/01/19%C2%B0-Rapporto-sanita_def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21A3-DFA5-4AE8-B199-B7FB9FE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4</cp:revision>
  <cp:lastPrinted>2014-01-27T15:53:00Z</cp:lastPrinted>
  <dcterms:created xsi:type="dcterms:W3CDTF">2024-02-14T06:35:00Z</dcterms:created>
  <dcterms:modified xsi:type="dcterms:W3CDTF">2024-02-14T07:17:00Z</dcterms:modified>
</cp:coreProperties>
</file>