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192D48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SANI O MALATI? GIMBE PUBBLICA LE LINEE GUIDA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</w:rPr>
        <w:t>PER MODIFICARE LE SOGLIE DI MALATTIA</w:t>
      </w:r>
    </w:p>
    <w:p w:rsidR="009A0811" w:rsidRDefault="00DB10FC" w:rsidP="007E4274">
      <w:pPr>
        <w:jc w:val="both"/>
        <w:rPr>
          <w:b/>
        </w:rPr>
      </w:pPr>
      <w:r>
        <w:rPr>
          <w:b/>
        </w:rPr>
        <w:t xml:space="preserve">CON </w:t>
      </w:r>
      <w:r w:rsidR="00086EBF">
        <w:rPr>
          <w:b/>
        </w:rPr>
        <w:t>L’AVVIO DEL NUOVO SISTEMA NAZIONALE LINEE G</w:t>
      </w:r>
      <w:r w:rsidR="00DC3290">
        <w:rPr>
          <w:b/>
        </w:rPr>
        <w:t xml:space="preserve">UIDA </w:t>
      </w:r>
      <w:r>
        <w:rPr>
          <w:b/>
        </w:rPr>
        <w:t>OCCORRE</w:t>
      </w:r>
      <w:r w:rsidR="00DC3290">
        <w:rPr>
          <w:b/>
        </w:rPr>
        <w:t xml:space="preserve"> STANDARDIZZARE</w:t>
      </w:r>
      <w:r w:rsidR="00086EBF">
        <w:rPr>
          <w:b/>
        </w:rPr>
        <w:t xml:space="preserve"> ANCHE IN ITALIA </w:t>
      </w:r>
      <w:r w:rsidR="00DC3290">
        <w:rPr>
          <w:b/>
        </w:rPr>
        <w:t xml:space="preserve">GLI STRUMENTI </w:t>
      </w:r>
      <w:r w:rsidR="00086EBF">
        <w:rPr>
          <w:b/>
        </w:rPr>
        <w:t xml:space="preserve">PER MODIFICARE I CRITERI DIAGNOSTICI DELLE MALATTIE </w:t>
      </w:r>
      <w:r w:rsidR="00DC3290">
        <w:rPr>
          <w:b/>
        </w:rPr>
        <w:t xml:space="preserve">AL FINE DI PREVENIRE I </w:t>
      </w:r>
      <w:r w:rsidR="00086EBF">
        <w:rPr>
          <w:b/>
        </w:rPr>
        <w:t>FENOMENI DI SOVRA-DIAGNOSI E SOVRA-T</w:t>
      </w:r>
      <w:r w:rsidR="00DC3290">
        <w:rPr>
          <w:b/>
        </w:rPr>
        <w:t xml:space="preserve">RATTAMENTO. </w:t>
      </w:r>
      <w:r>
        <w:rPr>
          <w:b/>
        </w:rPr>
        <w:t xml:space="preserve">BISOGNA </w:t>
      </w:r>
      <w:r w:rsidR="00DC3290">
        <w:rPr>
          <w:b/>
        </w:rPr>
        <w:t xml:space="preserve">EVITARE </w:t>
      </w:r>
      <w:r w:rsidR="007123EE">
        <w:rPr>
          <w:b/>
        </w:rPr>
        <w:t xml:space="preserve">DI </w:t>
      </w:r>
      <w:r w:rsidR="00DC3290">
        <w:rPr>
          <w:b/>
        </w:rPr>
        <w:t>ETICH</w:t>
      </w:r>
      <w:r w:rsidR="007123EE">
        <w:rPr>
          <w:b/>
        </w:rPr>
        <w:t>ETTARE</w:t>
      </w:r>
      <w:r w:rsidR="00DC3290">
        <w:rPr>
          <w:b/>
        </w:rPr>
        <w:t xml:space="preserve"> </w:t>
      </w:r>
      <w:r w:rsidR="007123EE">
        <w:rPr>
          <w:b/>
        </w:rPr>
        <w:t>COME MALATE</w:t>
      </w:r>
      <w:r w:rsidR="00DC3290">
        <w:rPr>
          <w:b/>
        </w:rPr>
        <w:t xml:space="preserve"> E </w:t>
      </w:r>
      <w:r w:rsidR="007123EE">
        <w:rPr>
          <w:b/>
        </w:rPr>
        <w:t xml:space="preserve">QUINDI </w:t>
      </w:r>
      <w:r>
        <w:rPr>
          <w:b/>
        </w:rPr>
        <w:t xml:space="preserve">“CURARE” </w:t>
      </w:r>
      <w:r w:rsidR="00DC3290">
        <w:rPr>
          <w:b/>
        </w:rPr>
        <w:t>PERSONE NELLE QUALI GLI EFFETTI AVVERSI SONO MAGGIORI DEI BENEFICI</w:t>
      </w:r>
      <w:r w:rsidR="00086EBF">
        <w:rPr>
          <w:b/>
        </w:rPr>
        <w:t>.</w:t>
      </w:r>
      <w:r w:rsidR="00DC3290">
        <w:rPr>
          <w:b/>
        </w:rPr>
        <w:t xml:space="preserve"> LA FONDAZIONE GIMBE PUBBLICA LA VERSIONE ITALIANA DELLA CHECK-LIST G-I-N PER GUIDARE LA MODIFICA DELLE SOGLIE DI MALATTIA.</w:t>
      </w:r>
    </w:p>
    <w:p w:rsidR="001A2867" w:rsidRDefault="00DA55A5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22 </w:t>
      </w:r>
      <w:r w:rsidR="002562F2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795E79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67B60" w:rsidRPr="00DC3290" w:rsidRDefault="00086EBF" w:rsidP="00C6165D">
      <w:pPr>
        <w:jc w:val="both"/>
        <w:rPr>
          <w:i/>
        </w:rPr>
      </w:pPr>
      <w:r w:rsidRPr="00086EBF">
        <w:t>L’estensione delle definizioni di malattia</w:t>
      </w:r>
      <w:r w:rsidR="00450E22">
        <w:t xml:space="preserve"> </w:t>
      </w:r>
      <w:r w:rsidRPr="00086EBF">
        <w:t>se da un lato può determinare benefici per i pazienti che possono accedere a trattamenti efficaci, dall’altro rappresenta uno dei driver principali dell</w:t>
      </w:r>
      <w:r w:rsidR="00DB3EB0">
        <w:t>a sovra-diagnosi (</w:t>
      </w:r>
      <w:r w:rsidRPr="00DB3EB0">
        <w:rPr>
          <w:i/>
        </w:rPr>
        <w:t>overdiagnosis</w:t>
      </w:r>
      <w:r w:rsidR="00DB3EB0">
        <w:t>)</w:t>
      </w:r>
      <w:r w:rsidRPr="00086EBF">
        <w:t xml:space="preserve">, </w:t>
      </w:r>
      <w:r w:rsidR="00DB10FC">
        <w:t xml:space="preserve">una vera e propria </w:t>
      </w:r>
      <w:r w:rsidR="00450E22">
        <w:t>epidemia del 21° secolo</w:t>
      </w:r>
      <w:r w:rsidR="00DB10FC">
        <w:t xml:space="preserve"> che in Italia gode ancora di scarsa attenzione</w:t>
      </w:r>
      <w:r w:rsidR="00DB3EB0">
        <w:t xml:space="preserve">. </w:t>
      </w:r>
      <w:r w:rsidR="00450E22">
        <w:t>In</w:t>
      </w:r>
      <w:r w:rsidR="007123EE">
        <w:t>fatti,</w:t>
      </w:r>
      <w:r w:rsidR="00450E22">
        <w:t xml:space="preserve"> la modifica delle soglie di malattia</w:t>
      </w:r>
      <w:r w:rsidR="007123EE">
        <w:t xml:space="preserve">, </w:t>
      </w:r>
      <w:r w:rsidR="00DB3EB0">
        <w:t>insieme alla disponibilità</w:t>
      </w:r>
      <w:r w:rsidR="00DB10FC">
        <w:t xml:space="preserve"> e all’uso esteso e spesso inappropriato</w:t>
      </w:r>
      <w:r w:rsidR="00DB3EB0">
        <w:t xml:space="preserve"> di </w:t>
      </w:r>
      <w:r w:rsidR="00450E22">
        <w:t>tecnologie diagnostiche</w:t>
      </w:r>
      <w:r w:rsidR="00DB3EB0">
        <w:t xml:space="preserve"> sempre più sensibili</w:t>
      </w:r>
      <w:r w:rsidR="00450E22">
        <w:t xml:space="preserve">, </w:t>
      </w:r>
      <w:r w:rsidR="007123EE">
        <w:t xml:space="preserve">finiscono per etichettare </w:t>
      </w:r>
      <w:r w:rsidR="006C75C9">
        <w:t xml:space="preserve">come </w:t>
      </w:r>
      <w:r w:rsidR="00450E22">
        <w:t xml:space="preserve">malate persone </w:t>
      </w:r>
      <w:r w:rsidR="00DB3EB0">
        <w:t xml:space="preserve">il cui </w:t>
      </w:r>
      <w:r w:rsidRPr="00086EBF">
        <w:t>stadi</w:t>
      </w:r>
      <w:r w:rsidR="00450E22">
        <w:t>o</w:t>
      </w:r>
      <w:r w:rsidRPr="00086EBF">
        <w:t xml:space="preserve"> d</w:t>
      </w:r>
      <w:r w:rsidR="00767B60">
        <w:t xml:space="preserve">i malattia </w:t>
      </w:r>
      <w:r w:rsidR="007123EE">
        <w:t xml:space="preserve">è </w:t>
      </w:r>
      <w:r w:rsidR="00450E22">
        <w:t>troppo precoce, molto</w:t>
      </w:r>
      <w:r w:rsidR="00767B60">
        <w:t xml:space="preserve"> </w:t>
      </w:r>
      <w:r w:rsidR="00450E22">
        <w:t xml:space="preserve">lieve e/o non </w:t>
      </w:r>
      <w:r w:rsidR="006C75C9">
        <w:t>evolutivo</w:t>
      </w:r>
      <w:r w:rsidR="00450E22">
        <w:t xml:space="preserve">. </w:t>
      </w:r>
      <w:r w:rsidR="00DB3EB0">
        <w:t xml:space="preserve">A livello di popolazione </w:t>
      </w:r>
      <w:r w:rsidR="006C75C9">
        <w:t xml:space="preserve">varie sono le condizioni in cui </w:t>
      </w:r>
      <w:r w:rsidR="00DB3EB0">
        <w:t>i</w:t>
      </w:r>
      <w:r w:rsidR="00450E22">
        <w:t xml:space="preserve">l conseguente </w:t>
      </w:r>
      <w:r w:rsidR="00DB3EB0">
        <w:t>sovra-trattamento (</w:t>
      </w:r>
      <w:r w:rsidR="00450E22" w:rsidRPr="00450E22">
        <w:rPr>
          <w:i/>
        </w:rPr>
        <w:t>overtreatment</w:t>
      </w:r>
      <w:r w:rsidR="00DB3EB0">
        <w:t>)</w:t>
      </w:r>
      <w:r w:rsidR="00DC3290">
        <w:rPr>
          <w:i/>
        </w:rPr>
        <w:t xml:space="preserve"> </w:t>
      </w:r>
      <w:r w:rsidR="00DC3290">
        <w:t xml:space="preserve">può sbilanciare il rapporto </w:t>
      </w:r>
      <w:r w:rsidR="00DB3EB0">
        <w:t>benefici/rischi</w:t>
      </w:r>
      <w:r w:rsidR="007123EE">
        <w:t xml:space="preserve"> in</w:t>
      </w:r>
      <w:r w:rsidR="00DC3290">
        <w:t xml:space="preserve">: </w:t>
      </w:r>
      <w:r w:rsidR="00767B60">
        <w:t xml:space="preserve">ipertensione, </w:t>
      </w:r>
      <w:r w:rsidR="005013A4">
        <w:t xml:space="preserve">embolia polmonare, </w:t>
      </w:r>
      <w:r w:rsidR="00767B60">
        <w:t>insufficie</w:t>
      </w:r>
      <w:r w:rsidR="005013A4">
        <w:t xml:space="preserve">nza renale cronica, osteoporosi, </w:t>
      </w:r>
      <w:r w:rsidR="00767B60">
        <w:t>prediabete</w:t>
      </w:r>
      <w:r w:rsidR="005013A4">
        <w:t xml:space="preserve">, </w:t>
      </w:r>
      <w:r w:rsidR="007123EE">
        <w:t>carcinoma della tiroide, d</w:t>
      </w:r>
      <w:r w:rsidR="007123EE" w:rsidRPr="007123EE">
        <w:t>isturbo da deficit di attenzione e iperattività</w:t>
      </w:r>
      <w:r w:rsidR="005013A4">
        <w:t>, demenza</w:t>
      </w:r>
      <w:r w:rsidR="00767B60">
        <w:t>.</w:t>
      </w:r>
    </w:p>
    <w:p w:rsidR="00567AA0" w:rsidRDefault="00C6165D" w:rsidP="00567AA0">
      <w:r>
        <w:t>«</w:t>
      </w:r>
      <w:r w:rsidR="000B52CE">
        <w:t xml:space="preserve">La letteratura scientifica </w:t>
      </w:r>
      <w:r w:rsidR="00F363BD">
        <w:t>– afferma Nino Cartabellotta, Presidente della Fondazione GIMBE –</w:t>
      </w:r>
      <w:r w:rsidR="0088673C">
        <w:t xml:space="preserve"> </w:t>
      </w:r>
      <w:r w:rsidR="000B52CE">
        <w:t xml:space="preserve">negli ultimi anni ha ampiamente dimostrato </w:t>
      </w:r>
      <w:r w:rsidR="00C7011F" w:rsidRPr="00C7011F">
        <w:t xml:space="preserve">che l’estensione delle definizioni di malattia è un fenomeno </w:t>
      </w:r>
      <w:r w:rsidR="0088673C">
        <w:t xml:space="preserve">diffuso in </w:t>
      </w:r>
      <w:r w:rsidR="00C7011F" w:rsidRPr="00C7011F">
        <w:t xml:space="preserve">tutte le </w:t>
      </w:r>
      <w:r w:rsidR="00C7011F">
        <w:t>aree specialistiche</w:t>
      </w:r>
      <w:r w:rsidR="00DC3290">
        <w:t xml:space="preserve">, ma che al tempo stesso </w:t>
      </w:r>
      <w:r w:rsidR="0088673C">
        <w:t xml:space="preserve">mancano standard condivisi </w:t>
      </w:r>
      <w:r w:rsidR="00DC3290" w:rsidRPr="00C7011F">
        <w:t>per identificare e prevenire modifiche inappr</w:t>
      </w:r>
      <w:r w:rsidR="00DC3290">
        <w:t>opriate</w:t>
      </w:r>
      <w:r w:rsidR="00DC3290" w:rsidRPr="00C7011F">
        <w:t xml:space="preserve"> </w:t>
      </w:r>
      <w:r w:rsidR="00C7011F" w:rsidRPr="00C7011F">
        <w:t xml:space="preserve">sono </w:t>
      </w:r>
      <w:r w:rsidR="00C7011F">
        <w:t>in</w:t>
      </w:r>
      <w:r w:rsidR="00DC3290">
        <w:t>adeguate</w:t>
      </w:r>
      <w:r w:rsidR="00641775">
        <w:t>».</w:t>
      </w:r>
      <w:r w:rsidR="0088673C">
        <w:t xml:space="preserve"> Oggi, infatti,</w:t>
      </w:r>
      <w:r w:rsidR="00567AA0">
        <w:t xml:space="preserve"> i </w:t>
      </w:r>
      <w:r w:rsidR="00C7011F" w:rsidRPr="00C7011F">
        <w:t xml:space="preserve">panel che elaborano linee guida </w:t>
      </w:r>
      <w:r w:rsidR="00C7011F">
        <w:t xml:space="preserve">per la pratica clinica modificano le soglie </w:t>
      </w:r>
      <w:r w:rsidR="00E94C83">
        <w:t xml:space="preserve">di malattia </w:t>
      </w:r>
      <w:r w:rsidR="00C7011F">
        <w:t xml:space="preserve">senza </w:t>
      </w:r>
      <w:r w:rsidR="007D759C">
        <w:t xml:space="preserve">valutare rigorosamente </w:t>
      </w:r>
      <w:r w:rsidR="00DC3290" w:rsidRPr="00C7011F">
        <w:t xml:space="preserve">l’impatto sulla </w:t>
      </w:r>
      <w:r w:rsidR="00E94C83">
        <w:t xml:space="preserve">loro </w:t>
      </w:r>
      <w:r w:rsidR="00DC3290" w:rsidRPr="00C7011F">
        <w:t>prevalenza</w:t>
      </w:r>
      <w:r w:rsidR="00DC3290">
        <w:t xml:space="preserve">, </w:t>
      </w:r>
      <w:r w:rsidR="007D759C">
        <w:t xml:space="preserve">e </w:t>
      </w:r>
      <w:r w:rsidR="00DC3290">
        <w:t>soprattutto</w:t>
      </w:r>
      <w:r w:rsidR="00DC3290" w:rsidRPr="00C7011F">
        <w:t xml:space="preserve"> </w:t>
      </w:r>
      <w:r w:rsidR="00C7011F" w:rsidRPr="00C7011F">
        <w:t>dei potenziali effetti a</w:t>
      </w:r>
      <w:r w:rsidR="00DC3290">
        <w:t>vversi delle modifiche proposte</w:t>
      </w:r>
      <w:r w:rsidR="00567AA0">
        <w:t xml:space="preserve">: infatti, se il beneficio terapeutico assoluto è solitamente proporzionale alla severità della malattia, la probabilità di effetti avversi è generalmente costante e indipendente, </w:t>
      </w:r>
      <w:r w:rsidR="0088673C">
        <w:t xml:space="preserve">in quanto </w:t>
      </w:r>
      <w:r w:rsidR="00567AA0">
        <w:t>effetto fisso dell’intervento terapeutico. Di conseguenza, nei pazienti con malattia in fase precoce o lieve, gli effetti avversi sono spesso più probabili dei benefici.</w:t>
      </w:r>
    </w:p>
    <w:p w:rsidR="00242ED7" w:rsidRDefault="00CB7CBE" w:rsidP="00FC039F">
      <w:pPr>
        <w:spacing w:after="0"/>
        <w:jc w:val="both"/>
      </w:pPr>
      <w:r>
        <w:t>«Se il nuovo Sistema Nazionale Linee Guida – continua il Presidente – ha già previsto standard internazionali per produrre linee guida valide e trasparenti, è indispensabile che i panel coinvolti in questo processo dispongano di una guida per modificare le soglie di malattia»</w:t>
      </w:r>
      <w:r w:rsidR="002D1077">
        <w:t>.</w:t>
      </w:r>
      <w:r w:rsidR="009F75E0">
        <w:t xml:space="preserve"> </w:t>
      </w:r>
      <w:r w:rsidR="00014872">
        <w:t xml:space="preserve">Con questo obiettivo </w:t>
      </w:r>
      <w:r w:rsidR="00D911B4">
        <w:t xml:space="preserve">la Fondazione GIMBE ha realizzato la versione italiana </w:t>
      </w:r>
      <w:r w:rsidR="00450CFE">
        <w:t xml:space="preserve">ufficiale </w:t>
      </w:r>
      <w:r w:rsidR="00D911B4">
        <w:t>dell</w:t>
      </w:r>
      <w:r w:rsidR="00450CFE">
        <w:t xml:space="preserve">a checklist </w:t>
      </w:r>
      <w:r w:rsidR="00FC039F">
        <w:t xml:space="preserve">recentemente </w:t>
      </w:r>
      <w:r w:rsidR="00450CFE">
        <w:t xml:space="preserve">pubblicata dal </w:t>
      </w:r>
      <w:r w:rsidR="00450CFE" w:rsidRPr="00450CFE">
        <w:rPr>
          <w:i/>
        </w:rPr>
        <w:t>Guidelines International Network</w:t>
      </w:r>
      <w:r w:rsidR="00FC039F">
        <w:t xml:space="preserve"> (G-I-N) che include 8 item:</w:t>
      </w:r>
    </w:p>
    <w:p w:rsidR="00FC039F" w:rsidRDefault="00FC039F" w:rsidP="00FC039F">
      <w:pPr>
        <w:spacing w:after="0"/>
        <w:jc w:val="both"/>
      </w:pP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Definizione di malattia</w:t>
      </w:r>
      <w:r>
        <w:t>: quali sono le differenze tra la nuova definizione e quelle precedenti?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Impatto epidemiologico della modifica</w:t>
      </w:r>
      <w:r>
        <w:t>: in che misura la nuova definizione di malattia modificherà incidenza e/o prevalenza della malattia?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Motivazioni</w:t>
      </w:r>
      <w:r>
        <w:t>: per quali ragioni viene modificata la definizione di malattia?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Abilità prognostica</w:t>
      </w:r>
      <w:r>
        <w:t>: in che misura la nuova definizione di malattia, rispetto alla precedente, predice outcome clinicamente rilevanti?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lastRenderedPageBreak/>
        <w:t>Precisione e accuratezza della definizione di malattia</w:t>
      </w:r>
      <w:r>
        <w:t>: qual è il grado di ripetibilità, riproducibilità e accuratezza della nuova definizione di malattia?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Benefici</w:t>
      </w:r>
      <w:r>
        <w:t>: qual è il beneficio incrementale per i pazienti classificati con la nuova definizione di malattia rispetto alla precedente?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Effetti avversi</w:t>
      </w:r>
      <w:r>
        <w:t>: quali sono gli effetti avversi incrementali per i pazienti classificati con la nuova definizione di malattia rispetto alla precedente?</w:t>
      </w:r>
    </w:p>
    <w:p w:rsidR="00242ED7" w:rsidRDefault="00242ED7" w:rsidP="00DC3290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242ED7">
        <w:rPr>
          <w:b/>
        </w:rPr>
        <w:t>Benefici e effetti avversi netti</w:t>
      </w:r>
      <w:r>
        <w:t>: qual è il beneficio e il danno netto per i pazienti classificati con la nuova definizione di malattia rispetto alla precedente?</w:t>
      </w:r>
    </w:p>
    <w:p w:rsidR="00526B10" w:rsidRDefault="00526B10" w:rsidP="00DC3290">
      <w:pPr>
        <w:spacing w:after="0"/>
        <w:jc w:val="both"/>
      </w:pPr>
    </w:p>
    <w:p w:rsidR="008A36A3" w:rsidRDefault="008A36A3" w:rsidP="00870BAC">
      <w:pPr>
        <w:spacing w:after="0"/>
        <w:jc w:val="both"/>
      </w:pPr>
      <w:r>
        <w:t>«</w:t>
      </w:r>
      <w:r w:rsidR="00C904C1">
        <w:t xml:space="preserve">Per evitare </w:t>
      </w:r>
      <w:r w:rsidR="00014872" w:rsidDel="002C0B93">
        <w:t>–</w:t>
      </w:r>
      <w:r w:rsidR="00014872">
        <w:t xml:space="preserve"> </w:t>
      </w:r>
      <w:r w:rsidR="00CA1326">
        <w:t>conclude</w:t>
      </w:r>
      <w:r>
        <w:t xml:space="preserve"> Cartabellotta</w:t>
      </w:r>
      <w:r w:rsidR="00CA1326">
        <w:t xml:space="preserve"> </w:t>
      </w:r>
      <w:r w:rsidDel="002C0B93">
        <w:t>–</w:t>
      </w:r>
      <w:r w:rsidR="005013A4">
        <w:t xml:space="preserve"> </w:t>
      </w:r>
      <w:r w:rsidR="00C904C1">
        <w:t xml:space="preserve">che </w:t>
      </w:r>
      <w:r w:rsidR="00567AA0">
        <w:t>i potenziali rischi di sovra-diagnosi e sovra-trattamento danneggino</w:t>
      </w:r>
      <w:r w:rsidR="0088673C">
        <w:t xml:space="preserve"> </w:t>
      </w:r>
      <w:r w:rsidR="005013A4">
        <w:t>i “nuovi malati”</w:t>
      </w:r>
      <w:r w:rsidR="00C904C1">
        <w:t xml:space="preserve"> occorre grande cautela nel modificare </w:t>
      </w:r>
      <w:r w:rsidR="005013A4">
        <w:t xml:space="preserve">le </w:t>
      </w:r>
      <w:r w:rsidR="00C904C1">
        <w:t xml:space="preserve">soglie </w:t>
      </w:r>
      <w:r w:rsidR="005013A4">
        <w:t>di malattia</w:t>
      </w:r>
      <w:r w:rsidR="00C904C1">
        <w:t>. In particolare, tali modifiche dovrebbero sempre migliorare il profilo rischio/beneficio a livello di popolazione</w:t>
      </w:r>
      <w:r w:rsidR="005013A4">
        <w:t xml:space="preserve">. In tal senso auspichiamo che la checklist venga </w:t>
      </w:r>
      <w:r w:rsidR="00FC039F">
        <w:t xml:space="preserve">utilizzata </w:t>
      </w:r>
      <w:r w:rsidR="005013A4">
        <w:t>da tutte le società scientifiche italiane impegnate nella produzione di linee guida per la pratica clinica</w:t>
      </w:r>
      <w:r>
        <w:t>».</w:t>
      </w:r>
    </w:p>
    <w:p w:rsidR="005013A4" w:rsidRDefault="005013A4" w:rsidP="00870BAC">
      <w:pPr>
        <w:spacing w:after="0"/>
        <w:jc w:val="both"/>
      </w:pPr>
    </w:p>
    <w:p w:rsidR="00C458CF" w:rsidRDefault="00575FB7" w:rsidP="00DF54DE">
      <w:pPr>
        <w:spacing w:after="0"/>
        <w:jc w:val="both"/>
      </w:pPr>
      <w:r w:rsidRPr="00DF54DE">
        <w:t>L</w:t>
      </w:r>
      <w:r w:rsidR="00C46CFA">
        <w:t xml:space="preserve">e </w:t>
      </w:r>
      <w:r w:rsidR="00B269A1">
        <w:t>“</w:t>
      </w:r>
      <w:r w:rsidR="007814FD" w:rsidRPr="007814FD">
        <w:t>Linee guida per modificare le definizioni di malattia: una checklist</w:t>
      </w:r>
      <w:r w:rsidR="007814FD">
        <w:t xml:space="preserve">” </w:t>
      </w:r>
      <w:r w:rsidR="00C46CFA">
        <w:t xml:space="preserve">sono </w:t>
      </w:r>
      <w:r w:rsidR="00C46CFA" w:rsidRPr="009A6F72">
        <w:t>disponibili</w:t>
      </w:r>
      <w:r w:rsidRPr="009A6F72">
        <w:t xml:space="preserve"> a</w:t>
      </w:r>
      <w:r w:rsidR="00C46CFA" w:rsidRPr="009A6F72">
        <w:t xml:space="preserve">: </w:t>
      </w:r>
      <w:hyperlink r:id="rId8" w:history="1">
        <w:r w:rsidR="00567AA0">
          <w:rPr>
            <w:rStyle w:val="Collegamentoipertestuale"/>
          </w:rPr>
          <w:t>www.evidence.it/soglie-mal</w:t>
        </w:r>
        <w:r w:rsidR="00567AA0">
          <w:rPr>
            <w:rStyle w:val="Collegamentoipertestuale"/>
          </w:rPr>
          <w:t>a</w:t>
        </w:r>
        <w:r w:rsidR="00567AA0">
          <w:rPr>
            <w:rStyle w:val="Collegamentoipertestuale"/>
          </w:rPr>
          <w:t>ttia</w:t>
        </w:r>
      </w:hyperlink>
    </w:p>
    <w:p w:rsidR="003213F6" w:rsidRDefault="003213F6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E1F66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E8" w:rsidRDefault="000D73E8" w:rsidP="00F9179C">
      <w:pPr>
        <w:spacing w:after="0" w:line="240" w:lineRule="auto"/>
      </w:pPr>
      <w:r>
        <w:separator/>
      </w:r>
    </w:p>
  </w:endnote>
  <w:endnote w:type="continuationSeparator" w:id="0">
    <w:p w:rsidR="000D73E8" w:rsidRDefault="000D73E8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E8" w:rsidRDefault="000D73E8" w:rsidP="00F9179C">
      <w:pPr>
        <w:spacing w:after="0" w:line="240" w:lineRule="auto"/>
      </w:pPr>
      <w:r>
        <w:separator/>
      </w:r>
    </w:p>
  </w:footnote>
  <w:footnote w:type="continuationSeparator" w:id="0">
    <w:p w:rsidR="000D73E8" w:rsidRDefault="000D73E8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91D41"/>
    <w:multiLevelType w:val="hybridMultilevel"/>
    <w:tmpl w:val="D80E2B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A6492"/>
    <w:multiLevelType w:val="hybridMultilevel"/>
    <w:tmpl w:val="536818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0"/>
  </w:num>
  <w:num w:numId="18">
    <w:abstractNumId w:val="20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4872"/>
    <w:rsid w:val="00016475"/>
    <w:rsid w:val="00017968"/>
    <w:rsid w:val="00017FB4"/>
    <w:rsid w:val="00023D8A"/>
    <w:rsid w:val="00035404"/>
    <w:rsid w:val="0004001C"/>
    <w:rsid w:val="00040890"/>
    <w:rsid w:val="00041972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6EBF"/>
    <w:rsid w:val="00090A39"/>
    <w:rsid w:val="000927C7"/>
    <w:rsid w:val="000A0FC3"/>
    <w:rsid w:val="000A170D"/>
    <w:rsid w:val="000A1978"/>
    <w:rsid w:val="000A2084"/>
    <w:rsid w:val="000A62A9"/>
    <w:rsid w:val="000A6FB5"/>
    <w:rsid w:val="000A7B66"/>
    <w:rsid w:val="000B07B0"/>
    <w:rsid w:val="000B4DE8"/>
    <w:rsid w:val="000B52CE"/>
    <w:rsid w:val="000B5306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D73E8"/>
    <w:rsid w:val="000E2E4F"/>
    <w:rsid w:val="000E3418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479"/>
    <w:rsid w:val="001718F8"/>
    <w:rsid w:val="00173764"/>
    <w:rsid w:val="0017405D"/>
    <w:rsid w:val="001748BA"/>
    <w:rsid w:val="001750C1"/>
    <w:rsid w:val="001773A3"/>
    <w:rsid w:val="00182157"/>
    <w:rsid w:val="00192D48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097D"/>
    <w:rsid w:val="0021155E"/>
    <w:rsid w:val="00213D45"/>
    <w:rsid w:val="00214662"/>
    <w:rsid w:val="002165B9"/>
    <w:rsid w:val="00223F01"/>
    <w:rsid w:val="00233A32"/>
    <w:rsid w:val="00233EF5"/>
    <w:rsid w:val="002349C3"/>
    <w:rsid w:val="0023771D"/>
    <w:rsid w:val="00237C1F"/>
    <w:rsid w:val="00242077"/>
    <w:rsid w:val="00242ED7"/>
    <w:rsid w:val="00244283"/>
    <w:rsid w:val="00245ED9"/>
    <w:rsid w:val="0025100A"/>
    <w:rsid w:val="00251301"/>
    <w:rsid w:val="002551A1"/>
    <w:rsid w:val="002562F2"/>
    <w:rsid w:val="00260053"/>
    <w:rsid w:val="0026628E"/>
    <w:rsid w:val="00266561"/>
    <w:rsid w:val="00266E1A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533D"/>
    <w:rsid w:val="002D61E1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3F6"/>
    <w:rsid w:val="00321C3D"/>
    <w:rsid w:val="00323A55"/>
    <w:rsid w:val="00325E98"/>
    <w:rsid w:val="003268D1"/>
    <w:rsid w:val="00327AF0"/>
    <w:rsid w:val="00331B49"/>
    <w:rsid w:val="00331DB1"/>
    <w:rsid w:val="00331F29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8724D"/>
    <w:rsid w:val="00390EF1"/>
    <w:rsid w:val="003915E8"/>
    <w:rsid w:val="003933A7"/>
    <w:rsid w:val="00393B9D"/>
    <w:rsid w:val="00395128"/>
    <w:rsid w:val="003955A0"/>
    <w:rsid w:val="003A078D"/>
    <w:rsid w:val="003A13B4"/>
    <w:rsid w:val="003B0CC6"/>
    <w:rsid w:val="003B3019"/>
    <w:rsid w:val="003B4A8D"/>
    <w:rsid w:val="003B5D7A"/>
    <w:rsid w:val="003C276B"/>
    <w:rsid w:val="003C48B6"/>
    <w:rsid w:val="003D12E4"/>
    <w:rsid w:val="003D176A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30270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50CFE"/>
    <w:rsid w:val="00450E22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9A7"/>
    <w:rsid w:val="004A1B26"/>
    <w:rsid w:val="004A2E3A"/>
    <w:rsid w:val="004A4E5E"/>
    <w:rsid w:val="004A5489"/>
    <w:rsid w:val="004B14B3"/>
    <w:rsid w:val="004B2A3E"/>
    <w:rsid w:val="004B5B72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5013A4"/>
    <w:rsid w:val="005013AF"/>
    <w:rsid w:val="0050147C"/>
    <w:rsid w:val="005014CD"/>
    <w:rsid w:val="00501793"/>
    <w:rsid w:val="00505BFD"/>
    <w:rsid w:val="00510971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6B10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2475"/>
    <w:rsid w:val="005440CF"/>
    <w:rsid w:val="00544ADE"/>
    <w:rsid w:val="005516A8"/>
    <w:rsid w:val="00556611"/>
    <w:rsid w:val="00557DAA"/>
    <w:rsid w:val="00565C3C"/>
    <w:rsid w:val="00567AA0"/>
    <w:rsid w:val="0057085B"/>
    <w:rsid w:val="005710D9"/>
    <w:rsid w:val="005724FD"/>
    <w:rsid w:val="00572DF6"/>
    <w:rsid w:val="00573AB6"/>
    <w:rsid w:val="00573E7E"/>
    <w:rsid w:val="00574278"/>
    <w:rsid w:val="005755A4"/>
    <w:rsid w:val="00575FB7"/>
    <w:rsid w:val="00576C41"/>
    <w:rsid w:val="00577D77"/>
    <w:rsid w:val="00580725"/>
    <w:rsid w:val="00584727"/>
    <w:rsid w:val="00586FDE"/>
    <w:rsid w:val="00587133"/>
    <w:rsid w:val="00590E5A"/>
    <w:rsid w:val="005915B2"/>
    <w:rsid w:val="005916DC"/>
    <w:rsid w:val="0059277C"/>
    <w:rsid w:val="005940D1"/>
    <w:rsid w:val="00594E34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85F"/>
    <w:rsid w:val="005F09F5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775"/>
    <w:rsid w:val="00641D43"/>
    <w:rsid w:val="00643E28"/>
    <w:rsid w:val="00643ED3"/>
    <w:rsid w:val="00644661"/>
    <w:rsid w:val="00645153"/>
    <w:rsid w:val="00646223"/>
    <w:rsid w:val="00647D65"/>
    <w:rsid w:val="00650304"/>
    <w:rsid w:val="006535F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2270"/>
    <w:rsid w:val="006B2775"/>
    <w:rsid w:val="006B5E7A"/>
    <w:rsid w:val="006B6956"/>
    <w:rsid w:val="006B6D80"/>
    <w:rsid w:val="006C09E3"/>
    <w:rsid w:val="006C33EC"/>
    <w:rsid w:val="006C41FF"/>
    <w:rsid w:val="006C4E62"/>
    <w:rsid w:val="006C5880"/>
    <w:rsid w:val="006C75C9"/>
    <w:rsid w:val="006D4B10"/>
    <w:rsid w:val="006D502F"/>
    <w:rsid w:val="006D5067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23EE"/>
    <w:rsid w:val="0071439B"/>
    <w:rsid w:val="00717BAE"/>
    <w:rsid w:val="0072122E"/>
    <w:rsid w:val="00721DCE"/>
    <w:rsid w:val="00722B63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42"/>
    <w:rsid w:val="007673BA"/>
    <w:rsid w:val="00767B60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4FD"/>
    <w:rsid w:val="00781BED"/>
    <w:rsid w:val="00784F7B"/>
    <w:rsid w:val="0078737D"/>
    <w:rsid w:val="00790464"/>
    <w:rsid w:val="007939B6"/>
    <w:rsid w:val="00795E79"/>
    <w:rsid w:val="007964C7"/>
    <w:rsid w:val="007A1C5F"/>
    <w:rsid w:val="007A7A39"/>
    <w:rsid w:val="007B05F7"/>
    <w:rsid w:val="007B1251"/>
    <w:rsid w:val="007B1924"/>
    <w:rsid w:val="007B199A"/>
    <w:rsid w:val="007B1BA6"/>
    <w:rsid w:val="007B2673"/>
    <w:rsid w:val="007B3002"/>
    <w:rsid w:val="007B48F8"/>
    <w:rsid w:val="007B5624"/>
    <w:rsid w:val="007C5420"/>
    <w:rsid w:val="007D1008"/>
    <w:rsid w:val="007D2672"/>
    <w:rsid w:val="007D358D"/>
    <w:rsid w:val="007D3978"/>
    <w:rsid w:val="007D4B6B"/>
    <w:rsid w:val="007D62DC"/>
    <w:rsid w:val="007D759C"/>
    <w:rsid w:val="007D7930"/>
    <w:rsid w:val="007E1044"/>
    <w:rsid w:val="007E4274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50C"/>
    <w:rsid w:val="008409F8"/>
    <w:rsid w:val="0084169F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65FC7"/>
    <w:rsid w:val="00870BAC"/>
    <w:rsid w:val="0087273F"/>
    <w:rsid w:val="008775A4"/>
    <w:rsid w:val="00881122"/>
    <w:rsid w:val="00881AF4"/>
    <w:rsid w:val="008834FE"/>
    <w:rsid w:val="00883BC1"/>
    <w:rsid w:val="00884AE7"/>
    <w:rsid w:val="0088673C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3EE2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10E2"/>
    <w:rsid w:val="00957D24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6FA7"/>
    <w:rsid w:val="009A0811"/>
    <w:rsid w:val="009A2DA3"/>
    <w:rsid w:val="009A6C03"/>
    <w:rsid w:val="009A6F72"/>
    <w:rsid w:val="009A7F2E"/>
    <w:rsid w:val="009B0754"/>
    <w:rsid w:val="009B0C1D"/>
    <w:rsid w:val="009B382A"/>
    <w:rsid w:val="009C2C3C"/>
    <w:rsid w:val="009C445F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491E"/>
    <w:rsid w:val="009F52CC"/>
    <w:rsid w:val="009F691A"/>
    <w:rsid w:val="009F75E0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376B"/>
    <w:rsid w:val="00AD7AEE"/>
    <w:rsid w:val="00AE001A"/>
    <w:rsid w:val="00AE0F77"/>
    <w:rsid w:val="00AE2D6F"/>
    <w:rsid w:val="00AE4822"/>
    <w:rsid w:val="00AE52B8"/>
    <w:rsid w:val="00AE79F0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861CF"/>
    <w:rsid w:val="00B86D97"/>
    <w:rsid w:val="00B9231F"/>
    <w:rsid w:val="00B95065"/>
    <w:rsid w:val="00B96E93"/>
    <w:rsid w:val="00B971AE"/>
    <w:rsid w:val="00B97AE8"/>
    <w:rsid w:val="00BA0526"/>
    <w:rsid w:val="00BA1C9B"/>
    <w:rsid w:val="00BA66B8"/>
    <w:rsid w:val="00BB01C4"/>
    <w:rsid w:val="00BB1DDF"/>
    <w:rsid w:val="00BB4665"/>
    <w:rsid w:val="00BB4A4E"/>
    <w:rsid w:val="00BB64CB"/>
    <w:rsid w:val="00BC1CC8"/>
    <w:rsid w:val="00BC2D7C"/>
    <w:rsid w:val="00BC6140"/>
    <w:rsid w:val="00BD3529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25A5D"/>
    <w:rsid w:val="00C31193"/>
    <w:rsid w:val="00C33D12"/>
    <w:rsid w:val="00C343BD"/>
    <w:rsid w:val="00C3561A"/>
    <w:rsid w:val="00C36730"/>
    <w:rsid w:val="00C37AAD"/>
    <w:rsid w:val="00C413A5"/>
    <w:rsid w:val="00C458CF"/>
    <w:rsid w:val="00C46CFA"/>
    <w:rsid w:val="00C46EC8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011F"/>
    <w:rsid w:val="00C72393"/>
    <w:rsid w:val="00C74392"/>
    <w:rsid w:val="00C74422"/>
    <w:rsid w:val="00C8337E"/>
    <w:rsid w:val="00C8624C"/>
    <w:rsid w:val="00C863EB"/>
    <w:rsid w:val="00C904C1"/>
    <w:rsid w:val="00C92B2B"/>
    <w:rsid w:val="00C93054"/>
    <w:rsid w:val="00C93F32"/>
    <w:rsid w:val="00C94450"/>
    <w:rsid w:val="00C94775"/>
    <w:rsid w:val="00C94D3F"/>
    <w:rsid w:val="00C95D73"/>
    <w:rsid w:val="00CA1326"/>
    <w:rsid w:val="00CA492E"/>
    <w:rsid w:val="00CA4C09"/>
    <w:rsid w:val="00CA4FA9"/>
    <w:rsid w:val="00CA63DF"/>
    <w:rsid w:val="00CA6DEF"/>
    <w:rsid w:val="00CB4D1B"/>
    <w:rsid w:val="00CB773F"/>
    <w:rsid w:val="00CB7CBE"/>
    <w:rsid w:val="00CC1780"/>
    <w:rsid w:val="00CC1B6E"/>
    <w:rsid w:val="00CC2F13"/>
    <w:rsid w:val="00CC31CE"/>
    <w:rsid w:val="00CC7BDF"/>
    <w:rsid w:val="00CD264D"/>
    <w:rsid w:val="00CE327C"/>
    <w:rsid w:val="00CE47F3"/>
    <w:rsid w:val="00CE7924"/>
    <w:rsid w:val="00CF1C62"/>
    <w:rsid w:val="00CF2586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62D"/>
    <w:rsid w:val="00D84CD8"/>
    <w:rsid w:val="00D85072"/>
    <w:rsid w:val="00D90217"/>
    <w:rsid w:val="00D911B4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5A5"/>
    <w:rsid w:val="00DA5EF8"/>
    <w:rsid w:val="00DA6836"/>
    <w:rsid w:val="00DB10FC"/>
    <w:rsid w:val="00DB3EB0"/>
    <w:rsid w:val="00DC24BB"/>
    <w:rsid w:val="00DC3290"/>
    <w:rsid w:val="00DC54A4"/>
    <w:rsid w:val="00DD2C65"/>
    <w:rsid w:val="00DD491D"/>
    <w:rsid w:val="00DD7BB6"/>
    <w:rsid w:val="00DE1D1B"/>
    <w:rsid w:val="00DE27CD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5D84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671CD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C83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1F66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3BD"/>
    <w:rsid w:val="00F36DEA"/>
    <w:rsid w:val="00F37D21"/>
    <w:rsid w:val="00F40047"/>
    <w:rsid w:val="00F4071A"/>
    <w:rsid w:val="00F416C6"/>
    <w:rsid w:val="00F42EAB"/>
    <w:rsid w:val="00F4406F"/>
    <w:rsid w:val="00F4603D"/>
    <w:rsid w:val="00F461F8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185F"/>
    <w:rsid w:val="00F82241"/>
    <w:rsid w:val="00F82796"/>
    <w:rsid w:val="00F839E2"/>
    <w:rsid w:val="00F86243"/>
    <w:rsid w:val="00F916EE"/>
    <w:rsid w:val="00F9179C"/>
    <w:rsid w:val="00F948AD"/>
    <w:rsid w:val="00FA0095"/>
    <w:rsid w:val="00FA028D"/>
    <w:rsid w:val="00FA1D06"/>
    <w:rsid w:val="00FA35D1"/>
    <w:rsid w:val="00FA683B"/>
    <w:rsid w:val="00FA68F1"/>
    <w:rsid w:val="00FA6A3A"/>
    <w:rsid w:val="00FB028A"/>
    <w:rsid w:val="00FB2A4D"/>
    <w:rsid w:val="00FB41F7"/>
    <w:rsid w:val="00FC01D2"/>
    <w:rsid w:val="00FC039F"/>
    <w:rsid w:val="00FC310A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1F3A-4F1A-4537-BD5D-7E7116B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it/soglie-malatt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4A36-A5D9-4C6D-A018-74093745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10</cp:revision>
  <cp:lastPrinted>2014-01-27T14:53:00Z</cp:lastPrinted>
  <dcterms:created xsi:type="dcterms:W3CDTF">2018-10-22T07:03:00Z</dcterms:created>
  <dcterms:modified xsi:type="dcterms:W3CDTF">2018-10-22T09:45:00Z</dcterms:modified>
</cp:coreProperties>
</file>