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DA79AC" w:rsidP="000A4F6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r>
        <w:rPr>
          <w:rFonts w:ascii="Calibri" w:eastAsia="Calibri" w:hAnsi="Calibri" w:cs="Times New Roman"/>
          <w:b/>
          <w:bCs/>
          <w:sz w:val="36"/>
          <w:szCs w:val="36"/>
        </w:rPr>
        <w:t xml:space="preserve">STOP AI CHECK-UP PERIODICI: PER LA SCIENZA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>NESSUN BENEFICIO, POSSIBILI RISCHI E AUMENTO DEI COSTI</w:t>
      </w:r>
    </w:p>
    <w:bookmarkEnd w:id="0"/>
    <w:p w:rsidR="009A0811" w:rsidRDefault="006007C8" w:rsidP="007E4274">
      <w:pPr>
        <w:jc w:val="both"/>
        <w:rPr>
          <w:b/>
        </w:rPr>
      </w:pPr>
      <w:r>
        <w:rPr>
          <w:b/>
        </w:rPr>
        <w:t xml:space="preserve">APPELLO DELLA </w:t>
      </w:r>
      <w:r w:rsidR="000A4F6C">
        <w:rPr>
          <w:b/>
        </w:rPr>
        <w:t xml:space="preserve">FONDAZIONE GIMBE </w:t>
      </w:r>
      <w:r>
        <w:rPr>
          <w:b/>
        </w:rPr>
        <w:t xml:space="preserve">CHE RILANCIA IL </w:t>
      </w:r>
      <w:r w:rsidR="00111A99">
        <w:rPr>
          <w:b/>
        </w:rPr>
        <w:t xml:space="preserve">VERDETTO </w:t>
      </w:r>
      <w:r w:rsidR="00B3018E">
        <w:rPr>
          <w:b/>
        </w:rPr>
        <w:t>DEL CENTRE FOR EVIDENCE-BASED MEDICINE</w:t>
      </w:r>
      <w:r w:rsidR="00CA04B8">
        <w:rPr>
          <w:b/>
        </w:rPr>
        <w:t xml:space="preserve"> DI OXFORD</w:t>
      </w:r>
      <w:r w:rsidR="00B3018E">
        <w:rPr>
          <w:b/>
        </w:rPr>
        <w:t xml:space="preserve">: SOTTOPORSI A CHECK-UP PERIODICI NON DETERMINA ALCUN BENEFICIO PER LA SALUTE, AUMENTA IL RISCHIO DI SOVRA-DIAGNOSI E SOVRA-TRATTAMENTO </w:t>
      </w:r>
      <w:r w:rsidR="00246FD3">
        <w:rPr>
          <w:b/>
        </w:rPr>
        <w:t xml:space="preserve">E CONSUMA </w:t>
      </w:r>
      <w:r w:rsidR="00B3018E">
        <w:rPr>
          <w:b/>
        </w:rPr>
        <w:t>PREZIOSE RISORSE</w:t>
      </w:r>
      <w:r w:rsidR="00960B3D">
        <w:rPr>
          <w:b/>
        </w:rPr>
        <w:t xml:space="preserve"> PUBBLICHE E PRIVATE</w:t>
      </w:r>
      <w:r w:rsidR="00B3018E">
        <w:rPr>
          <w:b/>
        </w:rPr>
        <w:t xml:space="preserve">. A FRONTE DI </w:t>
      </w:r>
      <w:r>
        <w:rPr>
          <w:b/>
        </w:rPr>
        <w:t xml:space="preserve">QUESTE </w:t>
      </w:r>
      <w:r w:rsidR="00B3018E">
        <w:rPr>
          <w:b/>
        </w:rPr>
        <w:t>INEQUIVOCABILI EVIDENZE, LE OFFERTE PROMOZIONALI DI CHECK-UP PERIODICI</w:t>
      </w:r>
      <w:r w:rsidR="00333922">
        <w:rPr>
          <w:b/>
        </w:rPr>
        <w:t>, ANCHE DA PARTE DI AZIENDE SANITARIE PUBBLICHE,</w:t>
      </w:r>
      <w:r w:rsidR="00B3018E">
        <w:rPr>
          <w:b/>
        </w:rPr>
        <w:t xml:space="preserve"> </w:t>
      </w:r>
      <w:r w:rsidR="00960B3D">
        <w:rPr>
          <w:b/>
        </w:rPr>
        <w:t xml:space="preserve">SI MOLTIPLICANO </w:t>
      </w:r>
      <w:r w:rsidR="0019372C">
        <w:rPr>
          <w:b/>
        </w:rPr>
        <w:t xml:space="preserve">DIFFONDENDO UN CONCETTO DISTORTO </w:t>
      </w:r>
      <w:r w:rsidR="005B3AEA">
        <w:rPr>
          <w:b/>
        </w:rPr>
        <w:t>DI PREVENZIONE E DIAGNOSI PRECOCE</w:t>
      </w:r>
      <w:r w:rsidR="00960B3D">
        <w:rPr>
          <w:b/>
        </w:rPr>
        <w:t>.</w:t>
      </w:r>
    </w:p>
    <w:p w:rsidR="001A2867" w:rsidRPr="00CA04B8" w:rsidRDefault="000A4F6C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04B8">
        <w:rPr>
          <w:rFonts w:ascii="Calibri" w:eastAsia="Calibri" w:hAnsi="Calibri" w:cs="Times New Roman"/>
          <w:b/>
          <w:bCs/>
          <w:sz w:val="24"/>
          <w:szCs w:val="24"/>
        </w:rPr>
        <w:t>24</w:t>
      </w:r>
      <w:r w:rsidR="00DA55A5" w:rsidRPr="00CA04B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CA04B8">
        <w:rPr>
          <w:rFonts w:ascii="Calibri" w:eastAsia="Calibri" w:hAnsi="Calibri" w:cs="Times New Roman"/>
          <w:b/>
          <w:bCs/>
          <w:sz w:val="24"/>
          <w:szCs w:val="24"/>
        </w:rPr>
        <w:t>settembre</w:t>
      </w:r>
      <w:r w:rsidR="002562F2" w:rsidRPr="00CA04B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CA04B8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Pr="00CA04B8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 w:rsidRPr="00CA04B8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F35D75" w:rsidRPr="00F35D75" w:rsidRDefault="00F35D75" w:rsidP="00F35D75">
      <w:pPr>
        <w:jc w:val="both"/>
      </w:pPr>
      <w:r w:rsidRPr="00F35D75">
        <w:t xml:space="preserve">I check-up </w:t>
      </w:r>
      <w:r w:rsidR="00CA04B8">
        <w:t>periodici</w:t>
      </w:r>
      <w:r w:rsidR="00F87DC2">
        <w:t xml:space="preserve"> </w:t>
      </w:r>
      <w:r w:rsidRPr="00F35D75">
        <w:t>con</w:t>
      </w:r>
      <w:r w:rsidR="00574FA1">
        <w:t xml:space="preserve"> comuni</w:t>
      </w:r>
      <w:r w:rsidRPr="00F35D75">
        <w:t xml:space="preserve"> test di </w:t>
      </w:r>
      <w:r>
        <w:t xml:space="preserve">laboratorio (esami </w:t>
      </w:r>
      <w:r w:rsidR="00ED626B">
        <w:t xml:space="preserve">del </w:t>
      </w:r>
      <w:r>
        <w:t xml:space="preserve">sangue) e strumentali sono </w:t>
      </w:r>
      <w:r w:rsidR="00136100">
        <w:t xml:space="preserve">estremamente </w:t>
      </w:r>
      <w:r w:rsidR="00CA04B8">
        <w:t xml:space="preserve">diffusi </w:t>
      </w:r>
      <w:r>
        <w:t>in tutti i paesi</w:t>
      </w:r>
      <w:r w:rsidR="00136100">
        <w:t xml:space="preserve"> industrializzati e quasi sempre a carico del Servizio Sanitario Nazionale (SSN). Eppure</w:t>
      </w:r>
      <w:r>
        <w:t xml:space="preserve">, le evidenze scientifiche suggeriscono </w:t>
      </w:r>
      <w:r w:rsidR="00574FA1">
        <w:t xml:space="preserve">che </w:t>
      </w:r>
      <w:r w:rsidR="00ED626B">
        <w:t>nella</w:t>
      </w:r>
      <w:r>
        <w:t xml:space="preserve"> popolazione </w:t>
      </w:r>
      <w:r w:rsidR="00ED626B">
        <w:t xml:space="preserve">generale </w:t>
      </w:r>
      <w:r w:rsidR="00136100">
        <w:t>i check-up</w:t>
      </w:r>
      <w:r w:rsidR="00574FA1">
        <w:t>, lungi dal migliorarne</w:t>
      </w:r>
      <w:r w:rsidR="00136100">
        <w:t xml:space="preserve"> </w:t>
      </w:r>
      <w:r w:rsidR="00574FA1">
        <w:t>lo stato</w:t>
      </w:r>
      <w:r>
        <w:t xml:space="preserve"> </w:t>
      </w:r>
      <w:r w:rsidR="00561792">
        <w:t xml:space="preserve">di </w:t>
      </w:r>
      <w:r>
        <w:t xml:space="preserve">salute, possono </w:t>
      </w:r>
      <w:r w:rsidR="00561792">
        <w:t xml:space="preserve">peggiorarlo </w:t>
      </w:r>
      <w:r w:rsidR="00136100">
        <w:t xml:space="preserve">in conseguenza </w:t>
      </w:r>
      <w:r w:rsidR="00ED626B">
        <w:t xml:space="preserve">di </w:t>
      </w:r>
      <w:r>
        <w:t>fenomeni di sovra-diagnosi e so</w:t>
      </w:r>
      <w:r w:rsidR="00136100">
        <w:t>vra-trattamento</w:t>
      </w:r>
      <w:r w:rsidR="00574FA1">
        <w:t>, determinando</w:t>
      </w:r>
      <w:r w:rsidR="00D34CE6">
        <w:t xml:space="preserve"> al tempo stesso</w:t>
      </w:r>
      <w:r w:rsidR="00574FA1">
        <w:t xml:space="preserve"> uno</w:t>
      </w:r>
      <w:r w:rsidR="00136100">
        <w:t xml:space="preserve"> </w:t>
      </w:r>
      <w:r>
        <w:t>spreco di risorse sia pubbliche che private</w:t>
      </w:r>
      <w:r w:rsidR="00ED626B">
        <w:t>.</w:t>
      </w:r>
    </w:p>
    <w:p w:rsidR="00F87DC2" w:rsidRPr="00464661" w:rsidRDefault="006007C8" w:rsidP="00F87DC2">
      <w:pPr>
        <w:jc w:val="both"/>
      </w:pPr>
      <w:r w:rsidRPr="00D34CE6">
        <w:t>Recentemente</w:t>
      </w:r>
      <w:r w:rsidR="00F87DC2" w:rsidRPr="00D34CE6">
        <w:t xml:space="preserve"> </w:t>
      </w:r>
      <w:r w:rsidR="00F87DC2">
        <w:t>i</w:t>
      </w:r>
      <w:r w:rsidR="00464661">
        <w:t xml:space="preserve"> ricercatori del Centre for </w:t>
      </w:r>
      <w:proofErr w:type="spellStart"/>
      <w:r w:rsidR="00464661">
        <w:t>Evidence-Based</w:t>
      </w:r>
      <w:proofErr w:type="spellEnd"/>
      <w:r w:rsidR="00464661">
        <w:t xml:space="preserve"> Medicine di Oxford hanno </w:t>
      </w:r>
      <w:r w:rsidR="00111A99">
        <w:t xml:space="preserve">pubblicato </w:t>
      </w:r>
      <w:r w:rsidR="00F87DC2">
        <w:t xml:space="preserve">sulla rivista </w:t>
      </w:r>
      <w:hyperlink r:id="rId8" w:history="1">
        <w:r w:rsidR="00FD1626" w:rsidRPr="00FD1626">
          <w:rPr>
            <w:rStyle w:val="Collegamentoipertestuale"/>
          </w:rPr>
          <w:t xml:space="preserve">BMJ </w:t>
        </w:r>
        <w:proofErr w:type="spellStart"/>
        <w:r w:rsidR="00F87DC2" w:rsidRPr="00FD1626">
          <w:rPr>
            <w:rStyle w:val="Collegamentoipertestuale"/>
          </w:rPr>
          <w:t>Evidence-based</w:t>
        </w:r>
        <w:proofErr w:type="spellEnd"/>
        <w:r w:rsidR="00F87DC2" w:rsidRPr="00FD1626">
          <w:rPr>
            <w:rStyle w:val="Collegamentoipertestuale"/>
          </w:rPr>
          <w:t xml:space="preserve"> Medicine</w:t>
        </w:r>
      </w:hyperlink>
      <w:r w:rsidR="00F87DC2">
        <w:t xml:space="preserve"> </w:t>
      </w:r>
      <w:r w:rsidR="00136100">
        <w:t xml:space="preserve">il seguente </w:t>
      </w:r>
      <w:r w:rsidR="00F87DC2">
        <w:t xml:space="preserve">“verdetto” </w:t>
      </w:r>
      <w:r w:rsidR="00BB326E">
        <w:t>basato sulle migliori evidenze scientifiche</w:t>
      </w:r>
      <w:r w:rsidR="00F87DC2">
        <w:t>: «Non esistono convincenti evidenze per supportare l’utilizzo dei check-up generici</w:t>
      </w:r>
      <w:r w:rsidR="005908F6" w:rsidRPr="005908F6">
        <w:t xml:space="preserve"> </w:t>
      </w:r>
      <w:r w:rsidR="005908F6">
        <w:t>nell’ambito delle cure primarie</w:t>
      </w:r>
      <w:r w:rsidR="00F87DC2">
        <w:t xml:space="preserve">. </w:t>
      </w:r>
      <w:r w:rsidR="00136100">
        <w:t>N</w:t>
      </w:r>
      <w:r w:rsidR="00F87DC2">
        <w:t xml:space="preserve">on sembrano </w:t>
      </w:r>
      <w:r w:rsidR="00136100">
        <w:t xml:space="preserve">efficaci nel </w:t>
      </w:r>
      <w:r w:rsidR="00F87DC2">
        <w:t xml:space="preserve">modificare esiti di salute rilevanti e non esistono evidenze di elevata qualità </w:t>
      </w:r>
      <w:r w:rsidR="00DD4951">
        <w:t>a supporto della loro</w:t>
      </w:r>
      <w:r w:rsidR="00F87DC2">
        <w:t xml:space="preserve"> costo-efficacia, in particolare </w:t>
      </w:r>
      <w:r w:rsidR="00CA04B8">
        <w:t>se</w:t>
      </w:r>
      <w:r w:rsidR="00F87DC2">
        <w:t xml:space="preserve"> confrontati con l</w:t>
      </w:r>
      <w:r w:rsidR="00D34CE6">
        <w:t>e modalità standard di cure primarie</w:t>
      </w:r>
      <w:r w:rsidR="00F87DC2" w:rsidRPr="001C0467">
        <w:t>».</w:t>
      </w:r>
      <w:r w:rsidR="00F87DC2">
        <w:t xml:space="preserve"> In altre parole </w:t>
      </w:r>
      <w:r w:rsidR="008F21DA">
        <w:t xml:space="preserve">il </w:t>
      </w:r>
      <w:r w:rsidR="00136100">
        <w:t>“</w:t>
      </w:r>
      <w:r w:rsidR="00F87DC2">
        <w:t>verdetto</w:t>
      </w:r>
      <w:r w:rsidR="00136100">
        <w:t>”</w:t>
      </w:r>
      <w:r w:rsidR="00FD1626">
        <w:t xml:space="preserve"> </w:t>
      </w:r>
      <w:r w:rsidR="00F87DC2">
        <w:t xml:space="preserve">conferma </w:t>
      </w:r>
      <w:r>
        <w:t>l’</w:t>
      </w:r>
      <w:r w:rsidR="00FD1626">
        <w:t xml:space="preserve">inefficacia </w:t>
      </w:r>
      <w:r>
        <w:t xml:space="preserve">dei check-up e il conseguente </w:t>
      </w:r>
      <w:r w:rsidR="00CA04B8">
        <w:t>spreco di risorse</w:t>
      </w:r>
      <w:r>
        <w:t>, ribadendo</w:t>
      </w:r>
      <w:r w:rsidR="00FD1626">
        <w:t xml:space="preserve"> che </w:t>
      </w:r>
      <w:r w:rsidR="00F87DC2">
        <w:t>ne</w:t>
      </w:r>
      <w:r w:rsidR="00FD1626">
        <w:t xml:space="preserve">lle persone sane l’esecuzione </w:t>
      </w:r>
      <w:r w:rsidR="00CA04B8">
        <w:t xml:space="preserve">periodica </w:t>
      </w:r>
      <w:r w:rsidR="00FD1626">
        <w:t xml:space="preserve">di </w:t>
      </w:r>
      <w:r w:rsidR="00F87DC2">
        <w:t xml:space="preserve">test di laboratorio e strumentali </w:t>
      </w:r>
      <w:r w:rsidR="00CA04B8">
        <w:t xml:space="preserve">deve essere sempre </w:t>
      </w:r>
      <w:r w:rsidR="00FD1626">
        <w:t xml:space="preserve">personalizzata dal medico </w:t>
      </w:r>
      <w:r w:rsidR="00CA04B8">
        <w:t>di famiglia</w:t>
      </w:r>
      <w:r w:rsidR="00FD1626">
        <w:t xml:space="preserve"> in relazione </w:t>
      </w:r>
      <w:r w:rsidR="005908F6">
        <w:t>ad</w:t>
      </w:r>
      <w:r w:rsidR="00FD1626">
        <w:t xml:space="preserve"> età, sesso, specifici fattori di rischio di m</w:t>
      </w:r>
      <w:r>
        <w:t xml:space="preserve">alattia, storia personale e familiare. </w:t>
      </w:r>
    </w:p>
    <w:p w:rsidR="006B6CAE" w:rsidRDefault="001C0467" w:rsidP="00C6165D">
      <w:pPr>
        <w:jc w:val="both"/>
      </w:pPr>
      <w:r>
        <w:t>«</w:t>
      </w:r>
      <w:r w:rsidR="006007C8">
        <w:t xml:space="preserve">Eppure </w:t>
      </w:r>
      <w:r w:rsidR="005948F9">
        <w:t xml:space="preserve">digitando </w:t>
      </w:r>
      <w:r w:rsidR="00561792">
        <w:t xml:space="preserve">su Google </w:t>
      </w:r>
      <w:r w:rsidR="005948F9">
        <w:t xml:space="preserve">la parola “check-up” </w:t>
      </w:r>
      <w:r w:rsidRPr="001C0467">
        <w:t>– afferma Nino Cartabellotta, Presidente della Fondazione GIMBE –</w:t>
      </w:r>
      <w:r w:rsidR="00561792">
        <w:t xml:space="preserve"> la ricerca </w:t>
      </w:r>
      <w:r w:rsidR="006007C8">
        <w:t xml:space="preserve">restituisce </w:t>
      </w:r>
      <w:r w:rsidR="005948F9">
        <w:t>innumerevoli</w:t>
      </w:r>
      <w:r>
        <w:t xml:space="preserve"> </w:t>
      </w:r>
      <w:r w:rsidR="00136100">
        <w:t xml:space="preserve">siti web che </w:t>
      </w:r>
      <w:r w:rsidR="00CA2306">
        <w:t xml:space="preserve">offrono </w:t>
      </w:r>
      <w:r>
        <w:t xml:space="preserve">“pacchetti” di test </w:t>
      </w:r>
      <w:r w:rsidR="005948F9">
        <w:t xml:space="preserve">diagnostici </w:t>
      </w:r>
      <w:r w:rsidR="00CA2306">
        <w:t xml:space="preserve">proponendoli </w:t>
      </w:r>
      <w:r>
        <w:t xml:space="preserve">come insostituibile </w:t>
      </w:r>
      <w:r w:rsidR="00CA04B8">
        <w:t xml:space="preserve">strumento di prevenzione e </w:t>
      </w:r>
      <w:r>
        <w:t>diagnosi precoce</w:t>
      </w:r>
      <w:r w:rsidRPr="001C0467">
        <w:t>».</w:t>
      </w:r>
      <w:r w:rsidR="00FD1626">
        <w:t xml:space="preserve"> </w:t>
      </w:r>
      <w:r w:rsidR="00CA2306">
        <w:t>A</w:t>
      </w:r>
      <w:r w:rsidR="00FD1626">
        <w:t>lla popolazione sana</w:t>
      </w:r>
      <w:r w:rsidR="00CA2306">
        <w:t xml:space="preserve"> viene così trasmesso</w:t>
      </w:r>
      <w:r w:rsidR="00FD1626">
        <w:t xml:space="preserve"> un messaggio </w:t>
      </w:r>
      <w:r w:rsidR="006007C8">
        <w:t xml:space="preserve">al tempo stesso </w:t>
      </w:r>
      <w:r w:rsidR="00FD1626">
        <w:t>a</w:t>
      </w:r>
      <w:r w:rsidR="00FB2920">
        <w:t>nti-</w:t>
      </w:r>
      <w:r w:rsidR="00FD1626">
        <w:t xml:space="preserve">scientifico e consumistico: </w:t>
      </w:r>
      <w:r w:rsidR="00FB2920">
        <w:t xml:space="preserve">frequenti e completi </w:t>
      </w:r>
      <w:r w:rsidR="00FD1626">
        <w:t xml:space="preserve">check-up </w:t>
      </w:r>
      <w:r w:rsidR="00CA04B8">
        <w:t xml:space="preserve">periodici </w:t>
      </w:r>
      <w:r w:rsidR="00FB2920">
        <w:t>aumentano</w:t>
      </w:r>
      <w:r w:rsidR="00FD1626">
        <w:t xml:space="preserve"> la probabilità di migliorare la salute </w:t>
      </w:r>
      <w:r w:rsidR="006007C8">
        <w:t xml:space="preserve">in quanto consentono la </w:t>
      </w:r>
      <w:r w:rsidR="00FD1626">
        <w:t xml:space="preserve">diagnosi precoce e </w:t>
      </w:r>
      <w:r w:rsidR="006007C8">
        <w:t xml:space="preserve">il </w:t>
      </w:r>
      <w:r w:rsidR="00FD1626">
        <w:t>successivo trattamento di malattie asintomatiche, in particolare tumori.</w:t>
      </w:r>
    </w:p>
    <w:p w:rsidR="00136100" w:rsidRDefault="00136100" w:rsidP="00C6165D">
      <w:pPr>
        <w:jc w:val="both"/>
      </w:pPr>
      <w:r>
        <w:t>«</w:t>
      </w:r>
      <w:r w:rsidR="00FF0C44">
        <w:t xml:space="preserve">Tali “pacchetti” </w:t>
      </w:r>
      <w:r w:rsidRPr="001C0467">
        <w:t xml:space="preserve">– </w:t>
      </w:r>
      <w:r>
        <w:t xml:space="preserve">precisa </w:t>
      </w:r>
      <w:r w:rsidRPr="001C0467">
        <w:t>Cartabellotta</w:t>
      </w:r>
      <w:r>
        <w:t xml:space="preserve"> </w:t>
      </w:r>
      <w:r w:rsidRPr="001C0467">
        <w:t>–</w:t>
      </w:r>
      <w:r w:rsidR="00FF0C44">
        <w:t xml:space="preserve"> </w:t>
      </w:r>
      <w:r w:rsidR="00CA04B8">
        <w:t xml:space="preserve">vengono proposti </w:t>
      </w:r>
      <w:r w:rsidR="00FF0C44">
        <w:t xml:space="preserve">soprattutto </w:t>
      </w:r>
      <w:r w:rsidR="00CA04B8">
        <w:t xml:space="preserve">da </w:t>
      </w:r>
      <w:r w:rsidR="00FF0C44">
        <w:t xml:space="preserve">chi </w:t>
      </w:r>
      <w:r w:rsidR="006007C8">
        <w:t>in sanità genera profitti,</w:t>
      </w:r>
      <w:r w:rsidR="00FF0C44">
        <w:t xml:space="preserve"> ovvero </w:t>
      </w:r>
      <w:r w:rsidR="006B6CAE">
        <w:t xml:space="preserve">centri medici privati, </w:t>
      </w:r>
      <w:r>
        <w:t>compagnie assicurative</w:t>
      </w:r>
      <w:r w:rsidR="00FF0C44">
        <w:t xml:space="preserve"> e</w:t>
      </w:r>
      <w:r>
        <w:t xml:space="preserve"> fondi sanitari</w:t>
      </w:r>
      <w:r w:rsidR="00BE1998">
        <w:t xml:space="preserve">, con </w:t>
      </w:r>
      <w:r w:rsidR="00CA04B8">
        <w:t xml:space="preserve">una terminologia </w:t>
      </w:r>
      <w:r w:rsidR="00BC7A3B">
        <w:t xml:space="preserve">più </w:t>
      </w:r>
      <w:r w:rsidR="00CA04B8">
        <w:t xml:space="preserve">consona ad un </w:t>
      </w:r>
      <w:r w:rsidR="006B6CAE">
        <w:t>catalogo commerciale</w:t>
      </w:r>
      <w:r w:rsidR="00BC7A3B">
        <w:t xml:space="preserve"> che alla tutela della salute</w:t>
      </w:r>
      <w:r w:rsidR="006B6CAE">
        <w:t xml:space="preserve">: </w:t>
      </w:r>
      <w:r w:rsidR="006D6901">
        <w:t xml:space="preserve">per uomo e per donna, base, </w:t>
      </w:r>
      <w:r w:rsidR="00BC7A3B">
        <w:t xml:space="preserve">avanzato, plus. </w:t>
      </w:r>
      <w:r w:rsidR="00BB326E">
        <w:t xml:space="preserve">Tuttavia, è inaccettabile che </w:t>
      </w:r>
      <w:r w:rsidR="00FB2920">
        <w:t>alcune R</w:t>
      </w:r>
      <w:r w:rsidR="00BC7A3B">
        <w:t xml:space="preserve">egioni abbiano deliberato </w:t>
      </w:r>
      <w:r w:rsidR="00BC7A3B" w:rsidRPr="002670C0">
        <w:t xml:space="preserve">la possibilità per </w:t>
      </w:r>
      <w:r w:rsidR="00BC7A3B">
        <w:t xml:space="preserve">le aziende sanitarie di promuovere </w:t>
      </w:r>
      <w:r w:rsidR="00FF0C44" w:rsidRPr="00FF0C44">
        <w:t xml:space="preserve">check-up </w:t>
      </w:r>
      <w:r w:rsidR="00BC7A3B">
        <w:t>a pagamento</w:t>
      </w:r>
      <w:r w:rsidR="006007C8">
        <w:t xml:space="preserve">, che peraltro </w:t>
      </w:r>
      <w:r w:rsidR="00E515D6">
        <w:t>includono</w:t>
      </w:r>
      <w:r w:rsidR="00D559FA">
        <w:t xml:space="preserve"> </w:t>
      </w:r>
      <w:r w:rsidR="006007C8">
        <w:t xml:space="preserve">screening oncologici </w:t>
      </w:r>
      <w:r w:rsidR="00D559FA">
        <w:t xml:space="preserve">già </w:t>
      </w:r>
      <w:r w:rsidR="006007C8">
        <w:t>inclusi nei livelli essenziali di assistenza</w:t>
      </w:r>
      <w:r w:rsidRPr="001C0467">
        <w:t>».</w:t>
      </w:r>
    </w:p>
    <w:p w:rsidR="006204F8" w:rsidRDefault="00CC3F13" w:rsidP="006204F8">
      <w:pPr>
        <w:jc w:val="both"/>
      </w:pPr>
      <w:r>
        <w:t>Il</w:t>
      </w:r>
      <w:r w:rsidR="006204F8">
        <w:t xml:space="preserve"> verdetto </w:t>
      </w:r>
      <w:r>
        <w:t>dei</w:t>
      </w:r>
      <w:r w:rsidR="006204F8">
        <w:t xml:space="preserve"> ricercatori di Oxford </w:t>
      </w:r>
      <w:r>
        <w:t>si basa sul</w:t>
      </w:r>
      <w:r w:rsidR="006204F8">
        <w:t xml:space="preserve">l’ultima </w:t>
      </w:r>
      <w:hyperlink r:id="rId9" w:history="1">
        <w:r w:rsidR="006204F8" w:rsidRPr="00FB2920">
          <w:rPr>
            <w:rStyle w:val="Collegamentoipertestuale"/>
          </w:rPr>
          <w:t xml:space="preserve">revisione sistematica </w:t>
        </w:r>
        <w:proofErr w:type="spellStart"/>
        <w:r w:rsidR="006204F8" w:rsidRPr="00FB2920">
          <w:rPr>
            <w:rStyle w:val="Collegamentoipertestuale"/>
          </w:rPr>
          <w:t>Cochrane</w:t>
        </w:r>
        <w:proofErr w:type="spellEnd"/>
      </w:hyperlink>
      <w:r w:rsidR="006204F8">
        <w:t xml:space="preserve"> che ha valutato benefici e rischi dei check-up definiti come “</w:t>
      </w:r>
      <w:r w:rsidR="00B60879">
        <w:t>l’e</w:t>
      </w:r>
      <w:r w:rsidR="006204F8">
        <w:t>secuzione di test diagnostici per più di una malattia o fattore di rischio in più di un organo o un apparato”</w:t>
      </w:r>
      <w:r w:rsidR="00F75F20">
        <w:t>.</w:t>
      </w:r>
      <w:r>
        <w:t xml:space="preserve"> </w:t>
      </w:r>
      <w:r w:rsidR="006204F8">
        <w:t>«</w:t>
      </w:r>
      <w:r w:rsidR="00F75F20">
        <w:t xml:space="preserve">Sostanzialmente </w:t>
      </w:r>
      <w:r w:rsidR="006204F8" w:rsidRPr="001C0467">
        <w:t xml:space="preserve">– </w:t>
      </w:r>
      <w:r w:rsidR="006204F8">
        <w:t xml:space="preserve">puntualizza il Presidente </w:t>
      </w:r>
      <w:r w:rsidR="006204F8" w:rsidRPr="001C0467">
        <w:t>–</w:t>
      </w:r>
      <w:r w:rsidR="006204F8">
        <w:t xml:space="preserve"> </w:t>
      </w:r>
      <w:r w:rsidR="006007C8">
        <w:t xml:space="preserve">si tratta di un </w:t>
      </w:r>
      <w:r w:rsidR="006204F8">
        <w:lastRenderedPageBreak/>
        <w:t xml:space="preserve">periodico “tagliando” </w:t>
      </w:r>
      <w:r w:rsidR="006007C8">
        <w:t>effettuato con l’inverosimile obiettivo di identificare tutte le malattie in tutte le persone</w:t>
      </w:r>
      <w:r w:rsidR="00B60879">
        <w:t xml:space="preserve"> tramite </w:t>
      </w:r>
      <w:r w:rsidR="006204F8">
        <w:t xml:space="preserve">esami strumentali non invasivi </w:t>
      </w:r>
      <w:r w:rsidR="00E532D8">
        <w:t>(</w:t>
      </w:r>
      <w:r w:rsidR="006204F8">
        <w:t>elettrocardiogramma, radiografia del torace, ecografia addominale</w:t>
      </w:r>
      <w:r w:rsidR="00E532D8">
        <w:t xml:space="preserve">) e test di </w:t>
      </w:r>
      <w:r w:rsidR="006204F8">
        <w:t>laboratorio</w:t>
      </w:r>
      <w:r w:rsidR="00FB2920">
        <w:t xml:space="preserve"> (</w:t>
      </w:r>
      <w:r w:rsidR="006204F8">
        <w:t xml:space="preserve">emocromo, esame delle urine, glicemia, test </w:t>
      </w:r>
      <w:r>
        <w:t xml:space="preserve">di </w:t>
      </w:r>
      <w:r w:rsidR="006204F8">
        <w:t>funzionalità renale</w:t>
      </w:r>
      <w:r w:rsidR="00FB2920">
        <w:t>,</w:t>
      </w:r>
      <w:r w:rsidR="006204F8">
        <w:t xml:space="preserve"> epatica</w:t>
      </w:r>
      <w:r w:rsidR="00FB2920">
        <w:t>, tiroidea, profilo lipidico)</w:t>
      </w:r>
      <w:r w:rsidR="006204F8" w:rsidRPr="001C0467">
        <w:t>».</w:t>
      </w:r>
    </w:p>
    <w:p w:rsidR="00F848D3" w:rsidRPr="00F848D3" w:rsidRDefault="006204F8" w:rsidP="00C6165D">
      <w:pPr>
        <w:jc w:val="both"/>
      </w:pPr>
      <w:r>
        <w:t xml:space="preserve">La revisione </w:t>
      </w:r>
      <w:proofErr w:type="spellStart"/>
      <w:r>
        <w:t>Cochrane</w:t>
      </w:r>
      <w:proofErr w:type="spellEnd"/>
      <w:r>
        <w:t xml:space="preserve"> include 17 studi clinici randomizzati di cui 15 riportano dati relativi ad oltre 250.000 partecipanti</w:t>
      </w:r>
      <w:r w:rsidR="00F75F20">
        <w:t xml:space="preserve">: i </w:t>
      </w:r>
      <w:r>
        <w:t>risultati dimostrano che i check-up no</w:t>
      </w:r>
      <w:r w:rsidR="00D855A5">
        <w:t>n riducono la mortalità totale né quella per tumori e non</w:t>
      </w:r>
      <w:r>
        <w:t xml:space="preserve"> hanno un </w:t>
      </w:r>
      <w:r w:rsidR="00E532D8">
        <w:t xml:space="preserve">impatto </w:t>
      </w:r>
      <w:r>
        <w:t>significativo su</w:t>
      </w:r>
      <w:r w:rsidR="00E532D8">
        <w:t xml:space="preserve"> </w:t>
      </w:r>
      <w:r>
        <w:t xml:space="preserve">mortalità cardiovascolare, </w:t>
      </w:r>
      <w:r w:rsidR="00E532D8">
        <w:t xml:space="preserve">ictus e </w:t>
      </w:r>
      <w:r w:rsidR="00D855A5">
        <w:t xml:space="preserve">infarto fatale e non fatale. Nonostante alcuni limiti metodologici e di </w:t>
      </w:r>
      <w:proofErr w:type="spellStart"/>
      <w:r w:rsidR="00D855A5">
        <w:t>generalizzabilità</w:t>
      </w:r>
      <w:proofErr w:type="spellEnd"/>
      <w:r w:rsidR="00FB2920">
        <w:t xml:space="preserve"> rilevati</w:t>
      </w:r>
      <w:r w:rsidR="00E532D8">
        <w:t xml:space="preserve"> dagli autori</w:t>
      </w:r>
      <w:r w:rsidR="00D855A5">
        <w:t xml:space="preserve">, </w:t>
      </w:r>
      <w:r w:rsidR="00E532D8">
        <w:t>questi</w:t>
      </w:r>
      <w:r w:rsidR="00D855A5">
        <w:t xml:space="preserve"> risultati sono coerenti con quelli di altre revisioni, in particolare </w:t>
      </w:r>
      <w:r w:rsidR="00E532D8">
        <w:t>relative a</w:t>
      </w:r>
      <w:r w:rsidR="00D855A5">
        <w:t xml:space="preserve">ll’ambito delle cure primarie. </w:t>
      </w:r>
    </w:p>
    <w:p w:rsidR="00D855A5" w:rsidRDefault="00D855A5" w:rsidP="00D855A5">
      <w:pPr>
        <w:jc w:val="both"/>
      </w:pPr>
      <w:r>
        <w:t>«</w:t>
      </w:r>
      <w:r w:rsidR="00DA21B1">
        <w:t>Peraltro</w:t>
      </w:r>
      <w:r>
        <w:t xml:space="preserve"> </w:t>
      </w:r>
      <w:r w:rsidR="00DA21B1">
        <w:t xml:space="preserve">la revisione </w:t>
      </w:r>
      <w:proofErr w:type="spellStart"/>
      <w:r w:rsidR="00DA21B1">
        <w:t>Cochrane</w:t>
      </w:r>
      <w:proofErr w:type="spellEnd"/>
      <w:r w:rsidR="00DA21B1">
        <w:t xml:space="preserve"> </w:t>
      </w:r>
      <w:r w:rsidRPr="001C0467">
        <w:t xml:space="preserve">– </w:t>
      </w:r>
      <w:r>
        <w:t xml:space="preserve">continua Cartabellotta </w:t>
      </w:r>
      <w:r w:rsidRPr="001C0467">
        <w:t>–</w:t>
      </w:r>
      <w:r w:rsidR="00FB2920">
        <w:t xml:space="preserve"> </w:t>
      </w:r>
      <w:r>
        <w:t xml:space="preserve">non </w:t>
      </w:r>
      <w:r w:rsidR="00DA21B1">
        <w:t>valuta</w:t>
      </w:r>
      <w:r>
        <w:t xml:space="preserve"> l’impatto clinico ed economico della sovra-diagnosi (</w:t>
      </w:r>
      <w:proofErr w:type="spellStart"/>
      <w:r w:rsidRPr="00DB3EB0">
        <w:rPr>
          <w:i/>
        </w:rPr>
        <w:t>overdiagnosis</w:t>
      </w:r>
      <w:proofErr w:type="spellEnd"/>
      <w:r>
        <w:t>)</w:t>
      </w:r>
      <w:r w:rsidR="00F75F20">
        <w:t>,</w:t>
      </w:r>
      <w:r w:rsidR="00E532D8">
        <w:t xml:space="preserve"> </w:t>
      </w:r>
      <w:r w:rsidR="00DA21B1">
        <w:t xml:space="preserve">vera </w:t>
      </w:r>
      <w:r>
        <w:t>epidemia del 21° secolo</w:t>
      </w:r>
      <w:r w:rsidR="00FB2920">
        <w:t xml:space="preserve">: </w:t>
      </w:r>
      <w:r>
        <w:t>l’utilizzo inappropriato di test diagnostici sempre più sensibili</w:t>
      </w:r>
      <w:r w:rsidR="00F75F20">
        <w:t>,</w:t>
      </w:r>
      <w:r>
        <w:t xml:space="preserve"> </w:t>
      </w:r>
      <w:r w:rsidR="00F75F20">
        <w:t xml:space="preserve">infatti, </w:t>
      </w:r>
      <w:r w:rsidR="00DA21B1">
        <w:t>porta ad etichettare come malate</w:t>
      </w:r>
      <w:r>
        <w:t xml:space="preserve"> persone il cui </w:t>
      </w:r>
      <w:r w:rsidRPr="00086EBF">
        <w:t>stadi</w:t>
      </w:r>
      <w:r>
        <w:t>o</w:t>
      </w:r>
      <w:r w:rsidRPr="00086EBF">
        <w:t xml:space="preserve"> d</w:t>
      </w:r>
      <w:r>
        <w:t>i malattia è troppo precoce, molto lieve e/o non evolutivo</w:t>
      </w:r>
      <w:r w:rsidR="00DA21B1">
        <w:t>, generando a cascata ulteriori</w:t>
      </w:r>
      <w:r w:rsidR="009E7862">
        <w:t xml:space="preserve"> approfondimenti diagnostici </w:t>
      </w:r>
      <w:r w:rsidR="00E217A3">
        <w:t xml:space="preserve">e trattamenti non necessari </w:t>
      </w:r>
      <w:r w:rsidR="00E532D8">
        <w:t xml:space="preserve">che </w:t>
      </w:r>
      <w:r w:rsidR="009E7862">
        <w:t>configura</w:t>
      </w:r>
      <w:r w:rsidR="00E532D8">
        <w:t>n</w:t>
      </w:r>
      <w:r w:rsidR="00E217A3">
        <w:t>o</w:t>
      </w:r>
      <w:r w:rsidR="00960B3D">
        <w:t xml:space="preserve"> </w:t>
      </w:r>
      <w:r w:rsidR="009E7862">
        <w:t xml:space="preserve">il fenomeno del </w:t>
      </w:r>
      <w:r>
        <w:t>sovra-trattamento (</w:t>
      </w:r>
      <w:proofErr w:type="spellStart"/>
      <w:r w:rsidRPr="00450E22">
        <w:rPr>
          <w:i/>
        </w:rPr>
        <w:t>overtreatment</w:t>
      </w:r>
      <w:proofErr w:type="spellEnd"/>
      <w:r w:rsidR="00E217A3">
        <w:t>)</w:t>
      </w:r>
      <w:r w:rsidRPr="001C0467">
        <w:t>»</w:t>
      </w:r>
      <w:r w:rsidR="009E7862">
        <w:t>.</w:t>
      </w:r>
      <w:r w:rsidR="00E532D8">
        <w:t xml:space="preserve"> In queste situazioni test diagnostici invasivi e trattamenti non necessari </w:t>
      </w:r>
      <w:r w:rsidR="00F75F20">
        <w:t xml:space="preserve">possono generare </w:t>
      </w:r>
      <w:r w:rsidR="00E532D8">
        <w:t xml:space="preserve">effetti avversi anche gravi, oltre che </w:t>
      </w:r>
      <w:r w:rsidR="00F75F20">
        <w:t>aumentare i</w:t>
      </w:r>
      <w:r w:rsidR="00E532D8">
        <w:t xml:space="preserve"> costi sanitari. </w:t>
      </w:r>
    </w:p>
    <w:p w:rsidR="009E7862" w:rsidRPr="00DC3290" w:rsidRDefault="009E7862" w:rsidP="00D855A5">
      <w:pPr>
        <w:jc w:val="both"/>
        <w:rPr>
          <w:i/>
        </w:rPr>
      </w:pPr>
      <w:r>
        <w:t>I ricercatori di Oxford</w:t>
      </w:r>
      <w:r w:rsidR="00FB2920">
        <w:t xml:space="preserve"> </w:t>
      </w:r>
      <w:r w:rsidR="00F75F20">
        <w:t xml:space="preserve">sottolineano </w:t>
      </w:r>
      <w:r w:rsidR="00FB2920">
        <w:t xml:space="preserve">l’inutilità dei check-up </w:t>
      </w:r>
      <w:r w:rsidR="00F75F20">
        <w:t>rispetto a</w:t>
      </w:r>
      <w:r w:rsidR="00FB2920">
        <w:t xml:space="preserve">ll’efficacia e costo efficacia di </w:t>
      </w:r>
      <w:r w:rsidR="00E532D8">
        <w:t xml:space="preserve">numerosi </w:t>
      </w:r>
      <w:r>
        <w:t>interventi di prevenzione primaria</w:t>
      </w:r>
      <w:r w:rsidR="00FB2920">
        <w:t xml:space="preserve">: </w:t>
      </w:r>
      <w:r>
        <w:t xml:space="preserve">attività fisica, </w:t>
      </w:r>
      <w:r w:rsidR="00E532D8">
        <w:t xml:space="preserve">educazione alimentare, </w:t>
      </w:r>
      <w:r>
        <w:t>disassuefazione al fumo, riduzione del consumo di alcool</w:t>
      </w:r>
      <w:r w:rsidR="00FB2920">
        <w:t>.</w:t>
      </w:r>
    </w:p>
    <w:p w:rsidR="009E7862" w:rsidRDefault="009E7862" w:rsidP="009E7862">
      <w:pPr>
        <w:spacing w:after="0"/>
        <w:jc w:val="both"/>
      </w:pPr>
      <w:r>
        <w:t xml:space="preserve">«Le evidenze scientifiche </w:t>
      </w:r>
      <w:r w:rsidDel="002C0B93">
        <w:t>–</w:t>
      </w:r>
      <w:r>
        <w:t xml:space="preserve"> conclude Cartabellotta </w:t>
      </w:r>
      <w:r w:rsidDel="002C0B93">
        <w:t>–</w:t>
      </w:r>
      <w:r>
        <w:t xml:space="preserve"> dimostrano che è ormai indifferibile una presa di coscienza professionale, sociale e politica che nelle persone sane i check-up periodici non determinano alcun beneficio in termini di salute, possono peggiorarla in conseguenza dei fenomeni di sovra-diagnosi e sovra-trattamento e consumano preziose risorse che </w:t>
      </w:r>
      <w:r w:rsidR="00E532D8">
        <w:t>potrebbero</w:t>
      </w:r>
      <w:r>
        <w:t xml:space="preserve"> essere </w:t>
      </w:r>
      <w:r w:rsidR="00960B3D">
        <w:t>re</w:t>
      </w:r>
      <w:r>
        <w:t>investite in strategie di prevenzione primaria più efficaci e costo-efficaci</w:t>
      </w:r>
      <w:r w:rsidR="00960B3D">
        <w:t xml:space="preserve">, </w:t>
      </w:r>
      <w:r w:rsidR="00D34CE6">
        <w:t xml:space="preserve">in Italia ampiamente </w:t>
      </w:r>
      <w:r w:rsidR="00960B3D">
        <w:t>sotto</w:t>
      </w:r>
      <w:r w:rsidR="00F75F20">
        <w:t>-</w:t>
      </w:r>
      <w:r w:rsidR="00960B3D">
        <w:t xml:space="preserve">finanziate </w:t>
      </w:r>
      <w:r w:rsidR="00D34CE6">
        <w:t>e sotto-utilizzate</w:t>
      </w:r>
      <w:r>
        <w:t>».</w:t>
      </w:r>
    </w:p>
    <w:p w:rsidR="00D855A5" w:rsidRDefault="00D855A5" w:rsidP="00D855A5">
      <w:pPr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D626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  <w:lang w:val="en-GB"/>
        </w:rPr>
      </w:pPr>
      <w:r w:rsidRPr="00ED626B">
        <w:rPr>
          <w:rFonts w:ascii="Calibri" w:eastAsia="Calibri" w:hAnsi="Calibri" w:cs="Times New Roman"/>
          <w:sz w:val="20"/>
          <w:szCs w:val="20"/>
          <w:lang w:val="en-GB"/>
        </w:rPr>
        <w:t>Tel. 051 5883920 - Fax 051 4075774</w:t>
      </w:r>
    </w:p>
    <w:p w:rsidR="00F848D3" w:rsidRPr="00FB2920" w:rsidRDefault="00BA66B8" w:rsidP="00EE1F66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FB2920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FB2920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F848D3" w:rsidRPr="00FB2920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08" w:rsidRDefault="00E90E08" w:rsidP="00F9179C">
      <w:pPr>
        <w:spacing w:after="0" w:line="240" w:lineRule="auto"/>
      </w:pPr>
      <w:r>
        <w:separator/>
      </w:r>
    </w:p>
  </w:endnote>
  <w:endnote w:type="continuationSeparator" w:id="0">
    <w:p w:rsidR="00E90E08" w:rsidRDefault="00E90E08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08" w:rsidRDefault="00E90E08" w:rsidP="00F9179C">
      <w:pPr>
        <w:spacing w:after="0" w:line="240" w:lineRule="auto"/>
      </w:pPr>
      <w:r>
        <w:separator/>
      </w:r>
    </w:p>
  </w:footnote>
  <w:footnote w:type="continuationSeparator" w:id="0">
    <w:p w:rsidR="00E90E08" w:rsidRDefault="00E90E08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B91D41"/>
    <w:multiLevelType w:val="hybridMultilevel"/>
    <w:tmpl w:val="D80E2B7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BA6492"/>
    <w:multiLevelType w:val="hybridMultilevel"/>
    <w:tmpl w:val="536818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2"/>
  </w:num>
  <w:num w:numId="6">
    <w:abstractNumId w:val="10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  <w:num w:numId="15">
    <w:abstractNumId w:val="7"/>
  </w:num>
  <w:num w:numId="16">
    <w:abstractNumId w:val="16"/>
  </w:num>
  <w:num w:numId="17">
    <w:abstractNumId w:val="0"/>
  </w:num>
  <w:num w:numId="18">
    <w:abstractNumId w:val="20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10498"/>
    <w:rsid w:val="0001384A"/>
    <w:rsid w:val="00013DFA"/>
    <w:rsid w:val="00014872"/>
    <w:rsid w:val="00016475"/>
    <w:rsid w:val="00017968"/>
    <w:rsid w:val="00017FB4"/>
    <w:rsid w:val="00023D8A"/>
    <w:rsid w:val="00035404"/>
    <w:rsid w:val="0004001C"/>
    <w:rsid w:val="00040890"/>
    <w:rsid w:val="00040BA9"/>
    <w:rsid w:val="00041972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86EBF"/>
    <w:rsid w:val="00090A39"/>
    <w:rsid w:val="000927C7"/>
    <w:rsid w:val="000A0FC3"/>
    <w:rsid w:val="000A170D"/>
    <w:rsid w:val="000A1978"/>
    <w:rsid w:val="000A2084"/>
    <w:rsid w:val="000A4F6C"/>
    <w:rsid w:val="000A62A9"/>
    <w:rsid w:val="000A6FB5"/>
    <w:rsid w:val="000A7B66"/>
    <w:rsid w:val="000B07B0"/>
    <w:rsid w:val="000B4DE8"/>
    <w:rsid w:val="000B52CE"/>
    <w:rsid w:val="000B5306"/>
    <w:rsid w:val="000B5A68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E4F"/>
    <w:rsid w:val="000E3418"/>
    <w:rsid w:val="000E5B7B"/>
    <w:rsid w:val="000E7CC2"/>
    <w:rsid w:val="000F0BBD"/>
    <w:rsid w:val="000F10F8"/>
    <w:rsid w:val="000F1633"/>
    <w:rsid w:val="000F36BB"/>
    <w:rsid w:val="000F39EF"/>
    <w:rsid w:val="000F5C0F"/>
    <w:rsid w:val="00100447"/>
    <w:rsid w:val="0010059E"/>
    <w:rsid w:val="00106462"/>
    <w:rsid w:val="00107096"/>
    <w:rsid w:val="00110319"/>
    <w:rsid w:val="00111A99"/>
    <w:rsid w:val="0011205F"/>
    <w:rsid w:val="001139A6"/>
    <w:rsid w:val="00113D4A"/>
    <w:rsid w:val="00115E43"/>
    <w:rsid w:val="001167D9"/>
    <w:rsid w:val="00117BD0"/>
    <w:rsid w:val="0012489F"/>
    <w:rsid w:val="00125C6A"/>
    <w:rsid w:val="00130655"/>
    <w:rsid w:val="001317CF"/>
    <w:rsid w:val="00134C8C"/>
    <w:rsid w:val="00135F49"/>
    <w:rsid w:val="00136100"/>
    <w:rsid w:val="00143689"/>
    <w:rsid w:val="00144002"/>
    <w:rsid w:val="00144F94"/>
    <w:rsid w:val="001458FE"/>
    <w:rsid w:val="0014636B"/>
    <w:rsid w:val="00146A83"/>
    <w:rsid w:val="001471AF"/>
    <w:rsid w:val="001507C2"/>
    <w:rsid w:val="0015229D"/>
    <w:rsid w:val="00156757"/>
    <w:rsid w:val="001578C4"/>
    <w:rsid w:val="00162FBC"/>
    <w:rsid w:val="00163BFB"/>
    <w:rsid w:val="001654A5"/>
    <w:rsid w:val="001672D3"/>
    <w:rsid w:val="00170760"/>
    <w:rsid w:val="00170B46"/>
    <w:rsid w:val="00171479"/>
    <w:rsid w:val="001718F8"/>
    <w:rsid w:val="00173764"/>
    <w:rsid w:val="0017405D"/>
    <w:rsid w:val="001748BA"/>
    <w:rsid w:val="001750C1"/>
    <w:rsid w:val="001773A3"/>
    <w:rsid w:val="00182157"/>
    <w:rsid w:val="00192DAD"/>
    <w:rsid w:val="00193481"/>
    <w:rsid w:val="0019372C"/>
    <w:rsid w:val="00193F19"/>
    <w:rsid w:val="00196A93"/>
    <w:rsid w:val="001A2867"/>
    <w:rsid w:val="001A3E0D"/>
    <w:rsid w:val="001A776D"/>
    <w:rsid w:val="001A7A7F"/>
    <w:rsid w:val="001B30BF"/>
    <w:rsid w:val="001C0467"/>
    <w:rsid w:val="001C51E2"/>
    <w:rsid w:val="001C61F6"/>
    <w:rsid w:val="001C6C85"/>
    <w:rsid w:val="001D0E41"/>
    <w:rsid w:val="001D153D"/>
    <w:rsid w:val="001D1985"/>
    <w:rsid w:val="001D4CE8"/>
    <w:rsid w:val="001E1BC2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097D"/>
    <w:rsid w:val="0021155E"/>
    <w:rsid w:val="00213D45"/>
    <w:rsid w:val="00214662"/>
    <w:rsid w:val="002165B9"/>
    <w:rsid w:val="00223F01"/>
    <w:rsid w:val="00233A32"/>
    <w:rsid w:val="00233EF5"/>
    <w:rsid w:val="002349C3"/>
    <w:rsid w:val="0023771D"/>
    <w:rsid w:val="00237C1F"/>
    <w:rsid w:val="00242077"/>
    <w:rsid w:val="00242ED7"/>
    <w:rsid w:val="00244283"/>
    <w:rsid w:val="00245ED9"/>
    <w:rsid w:val="00246FD3"/>
    <w:rsid w:val="0025100A"/>
    <w:rsid w:val="00251301"/>
    <w:rsid w:val="002551A1"/>
    <w:rsid w:val="002562F2"/>
    <w:rsid w:val="00260053"/>
    <w:rsid w:val="0026628E"/>
    <w:rsid w:val="00266561"/>
    <w:rsid w:val="00266E1A"/>
    <w:rsid w:val="002670C0"/>
    <w:rsid w:val="002723FC"/>
    <w:rsid w:val="002728E5"/>
    <w:rsid w:val="0027468B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533D"/>
    <w:rsid w:val="002D61E1"/>
    <w:rsid w:val="002D7409"/>
    <w:rsid w:val="002E2D66"/>
    <w:rsid w:val="002E2EEE"/>
    <w:rsid w:val="002E33A2"/>
    <w:rsid w:val="002E5382"/>
    <w:rsid w:val="002E5E3C"/>
    <w:rsid w:val="002E692A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10654"/>
    <w:rsid w:val="00313AD1"/>
    <w:rsid w:val="00315734"/>
    <w:rsid w:val="00315EE2"/>
    <w:rsid w:val="0031648A"/>
    <w:rsid w:val="0031755E"/>
    <w:rsid w:val="003213F6"/>
    <w:rsid w:val="00321C3D"/>
    <w:rsid w:val="00323A55"/>
    <w:rsid w:val="00325E98"/>
    <w:rsid w:val="003268D1"/>
    <w:rsid w:val="00327AF0"/>
    <w:rsid w:val="00331B49"/>
    <w:rsid w:val="00331DB1"/>
    <w:rsid w:val="00331E03"/>
    <w:rsid w:val="00331F29"/>
    <w:rsid w:val="00333922"/>
    <w:rsid w:val="0033460B"/>
    <w:rsid w:val="0033752D"/>
    <w:rsid w:val="003419C9"/>
    <w:rsid w:val="003427B8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65FF"/>
    <w:rsid w:val="003576FF"/>
    <w:rsid w:val="00357F80"/>
    <w:rsid w:val="00363764"/>
    <w:rsid w:val="00380A73"/>
    <w:rsid w:val="00382F29"/>
    <w:rsid w:val="00384AF1"/>
    <w:rsid w:val="00385EE6"/>
    <w:rsid w:val="0038724D"/>
    <w:rsid w:val="00390EF1"/>
    <w:rsid w:val="003915E8"/>
    <w:rsid w:val="003918FC"/>
    <w:rsid w:val="003933A7"/>
    <w:rsid w:val="00393B9D"/>
    <w:rsid w:val="00395128"/>
    <w:rsid w:val="003955A0"/>
    <w:rsid w:val="003A13B4"/>
    <w:rsid w:val="003B0CC6"/>
    <w:rsid w:val="003B3019"/>
    <w:rsid w:val="003B4A8D"/>
    <w:rsid w:val="003B5D7A"/>
    <w:rsid w:val="003C276B"/>
    <w:rsid w:val="003C48B6"/>
    <w:rsid w:val="003D12E4"/>
    <w:rsid w:val="003D176A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0D83"/>
    <w:rsid w:val="004014A4"/>
    <w:rsid w:val="00403B4A"/>
    <w:rsid w:val="004052B2"/>
    <w:rsid w:val="00405C0C"/>
    <w:rsid w:val="00410A12"/>
    <w:rsid w:val="00412253"/>
    <w:rsid w:val="00415FC6"/>
    <w:rsid w:val="00430270"/>
    <w:rsid w:val="0043572C"/>
    <w:rsid w:val="00437178"/>
    <w:rsid w:val="0044012A"/>
    <w:rsid w:val="004412E7"/>
    <w:rsid w:val="00441D52"/>
    <w:rsid w:val="00442312"/>
    <w:rsid w:val="004426A7"/>
    <w:rsid w:val="004432F6"/>
    <w:rsid w:val="0044687F"/>
    <w:rsid w:val="00446F85"/>
    <w:rsid w:val="00450CFE"/>
    <w:rsid w:val="00450E22"/>
    <w:rsid w:val="00452891"/>
    <w:rsid w:val="00452900"/>
    <w:rsid w:val="004566FE"/>
    <w:rsid w:val="00456AC9"/>
    <w:rsid w:val="00461BFF"/>
    <w:rsid w:val="00464661"/>
    <w:rsid w:val="0046540C"/>
    <w:rsid w:val="00466012"/>
    <w:rsid w:val="0046775E"/>
    <w:rsid w:val="00470D92"/>
    <w:rsid w:val="00470E31"/>
    <w:rsid w:val="0047586E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9A7"/>
    <w:rsid w:val="004A1B26"/>
    <w:rsid w:val="004A2E3A"/>
    <w:rsid w:val="004A4E5E"/>
    <w:rsid w:val="004A5489"/>
    <w:rsid w:val="004A611A"/>
    <w:rsid w:val="004B14B3"/>
    <w:rsid w:val="004B2A3E"/>
    <w:rsid w:val="004B5B72"/>
    <w:rsid w:val="004C4A18"/>
    <w:rsid w:val="004D0248"/>
    <w:rsid w:val="004D3A0B"/>
    <w:rsid w:val="004D469E"/>
    <w:rsid w:val="004D4B67"/>
    <w:rsid w:val="004E0630"/>
    <w:rsid w:val="004E4BBD"/>
    <w:rsid w:val="004E5018"/>
    <w:rsid w:val="004E5EFE"/>
    <w:rsid w:val="004E7DFB"/>
    <w:rsid w:val="004F064A"/>
    <w:rsid w:val="004F0FD3"/>
    <w:rsid w:val="004F3D78"/>
    <w:rsid w:val="004F3FEB"/>
    <w:rsid w:val="005013A4"/>
    <w:rsid w:val="005013AF"/>
    <w:rsid w:val="0050147C"/>
    <w:rsid w:val="005014CD"/>
    <w:rsid w:val="00501793"/>
    <w:rsid w:val="00505BFD"/>
    <w:rsid w:val="00510971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649F"/>
    <w:rsid w:val="00526B10"/>
    <w:rsid w:val="00527205"/>
    <w:rsid w:val="005272D8"/>
    <w:rsid w:val="00531A86"/>
    <w:rsid w:val="00531EA2"/>
    <w:rsid w:val="00531FBC"/>
    <w:rsid w:val="00532D90"/>
    <w:rsid w:val="005339EC"/>
    <w:rsid w:val="00536B2B"/>
    <w:rsid w:val="00537886"/>
    <w:rsid w:val="005417E1"/>
    <w:rsid w:val="005419E9"/>
    <w:rsid w:val="00541DC9"/>
    <w:rsid w:val="00542475"/>
    <w:rsid w:val="005440CF"/>
    <w:rsid w:val="00544ADE"/>
    <w:rsid w:val="005516A8"/>
    <w:rsid w:val="00556611"/>
    <w:rsid w:val="00557DAA"/>
    <w:rsid w:val="00561792"/>
    <w:rsid w:val="00565C3C"/>
    <w:rsid w:val="00567AA0"/>
    <w:rsid w:val="0057085B"/>
    <w:rsid w:val="005710D9"/>
    <w:rsid w:val="005724FD"/>
    <w:rsid w:val="00572DF6"/>
    <w:rsid w:val="00573AB6"/>
    <w:rsid w:val="00573E7E"/>
    <w:rsid w:val="00574278"/>
    <w:rsid w:val="00574FA1"/>
    <w:rsid w:val="005755A4"/>
    <w:rsid w:val="00575FB7"/>
    <w:rsid w:val="00576C41"/>
    <w:rsid w:val="00577D77"/>
    <w:rsid w:val="00580725"/>
    <w:rsid w:val="00584727"/>
    <w:rsid w:val="00586FDE"/>
    <w:rsid w:val="00587133"/>
    <w:rsid w:val="005908F6"/>
    <w:rsid w:val="00590E5A"/>
    <w:rsid w:val="005915B2"/>
    <w:rsid w:val="005916DC"/>
    <w:rsid w:val="0059277C"/>
    <w:rsid w:val="005940D1"/>
    <w:rsid w:val="005948F9"/>
    <w:rsid w:val="00594E34"/>
    <w:rsid w:val="00596343"/>
    <w:rsid w:val="00597BC8"/>
    <w:rsid w:val="005A03A1"/>
    <w:rsid w:val="005A1309"/>
    <w:rsid w:val="005A2BB7"/>
    <w:rsid w:val="005A3A8D"/>
    <w:rsid w:val="005A4ADA"/>
    <w:rsid w:val="005B3A18"/>
    <w:rsid w:val="005B3AEA"/>
    <w:rsid w:val="005B4F61"/>
    <w:rsid w:val="005B57EF"/>
    <w:rsid w:val="005C00DD"/>
    <w:rsid w:val="005C7707"/>
    <w:rsid w:val="005D133C"/>
    <w:rsid w:val="005D33D4"/>
    <w:rsid w:val="005D5CF2"/>
    <w:rsid w:val="005D620B"/>
    <w:rsid w:val="005D7FCA"/>
    <w:rsid w:val="005E00B0"/>
    <w:rsid w:val="005E0616"/>
    <w:rsid w:val="005E1232"/>
    <w:rsid w:val="005E12F1"/>
    <w:rsid w:val="005E485F"/>
    <w:rsid w:val="005F09F5"/>
    <w:rsid w:val="006002AA"/>
    <w:rsid w:val="006007C8"/>
    <w:rsid w:val="00606BF5"/>
    <w:rsid w:val="00611C67"/>
    <w:rsid w:val="00612A6E"/>
    <w:rsid w:val="00614076"/>
    <w:rsid w:val="00614E5A"/>
    <w:rsid w:val="00615853"/>
    <w:rsid w:val="00620205"/>
    <w:rsid w:val="006204F8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1775"/>
    <w:rsid w:val="00641D43"/>
    <w:rsid w:val="00643E28"/>
    <w:rsid w:val="00643ED3"/>
    <w:rsid w:val="00644661"/>
    <w:rsid w:val="00645153"/>
    <w:rsid w:val="00646223"/>
    <w:rsid w:val="00647D65"/>
    <w:rsid w:val="00650304"/>
    <w:rsid w:val="006535F8"/>
    <w:rsid w:val="00655A63"/>
    <w:rsid w:val="0065715D"/>
    <w:rsid w:val="00660353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937D6"/>
    <w:rsid w:val="00694C51"/>
    <w:rsid w:val="006955E7"/>
    <w:rsid w:val="00695FCF"/>
    <w:rsid w:val="00696965"/>
    <w:rsid w:val="00696DDA"/>
    <w:rsid w:val="006A01F5"/>
    <w:rsid w:val="006A135C"/>
    <w:rsid w:val="006A150F"/>
    <w:rsid w:val="006A3457"/>
    <w:rsid w:val="006A444A"/>
    <w:rsid w:val="006A4CFB"/>
    <w:rsid w:val="006A71A2"/>
    <w:rsid w:val="006A775F"/>
    <w:rsid w:val="006A7B93"/>
    <w:rsid w:val="006B2270"/>
    <w:rsid w:val="006B2775"/>
    <w:rsid w:val="006B5E7A"/>
    <w:rsid w:val="006B6956"/>
    <w:rsid w:val="006B6CAE"/>
    <w:rsid w:val="006B6D80"/>
    <w:rsid w:val="006C09E3"/>
    <w:rsid w:val="006C33EC"/>
    <w:rsid w:val="006C41FF"/>
    <w:rsid w:val="006C4E62"/>
    <w:rsid w:val="006C5880"/>
    <w:rsid w:val="006C75C9"/>
    <w:rsid w:val="006D4B10"/>
    <w:rsid w:val="006D502F"/>
    <w:rsid w:val="006D5067"/>
    <w:rsid w:val="006D6901"/>
    <w:rsid w:val="006E1EA3"/>
    <w:rsid w:val="006E27FD"/>
    <w:rsid w:val="006E4327"/>
    <w:rsid w:val="006E4DAD"/>
    <w:rsid w:val="006E6CC2"/>
    <w:rsid w:val="006F1077"/>
    <w:rsid w:val="006F149C"/>
    <w:rsid w:val="006F4E62"/>
    <w:rsid w:val="006F5C05"/>
    <w:rsid w:val="006F6ADA"/>
    <w:rsid w:val="006F6B81"/>
    <w:rsid w:val="006F707F"/>
    <w:rsid w:val="0070382E"/>
    <w:rsid w:val="0070621C"/>
    <w:rsid w:val="00707376"/>
    <w:rsid w:val="007102CA"/>
    <w:rsid w:val="007111BE"/>
    <w:rsid w:val="0071123A"/>
    <w:rsid w:val="00711E25"/>
    <w:rsid w:val="007123EE"/>
    <w:rsid w:val="0071439B"/>
    <w:rsid w:val="00717BAE"/>
    <w:rsid w:val="0072122E"/>
    <w:rsid w:val="00721DCE"/>
    <w:rsid w:val="00722B63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6AC0"/>
    <w:rsid w:val="00747081"/>
    <w:rsid w:val="0075099D"/>
    <w:rsid w:val="007541A8"/>
    <w:rsid w:val="0075611C"/>
    <w:rsid w:val="00756B84"/>
    <w:rsid w:val="00760136"/>
    <w:rsid w:val="00760496"/>
    <w:rsid w:val="00763FB0"/>
    <w:rsid w:val="00767342"/>
    <w:rsid w:val="007673BA"/>
    <w:rsid w:val="00767B60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4FD"/>
    <w:rsid w:val="00781BED"/>
    <w:rsid w:val="00784F7B"/>
    <w:rsid w:val="0078737D"/>
    <w:rsid w:val="00790464"/>
    <w:rsid w:val="007939B6"/>
    <w:rsid w:val="00795E79"/>
    <w:rsid w:val="007964C7"/>
    <w:rsid w:val="007A1C5F"/>
    <w:rsid w:val="007A7A39"/>
    <w:rsid w:val="007B05F7"/>
    <w:rsid w:val="007B1251"/>
    <w:rsid w:val="007B1924"/>
    <w:rsid w:val="007B199A"/>
    <w:rsid w:val="007B1BA6"/>
    <w:rsid w:val="007B2673"/>
    <w:rsid w:val="007B3002"/>
    <w:rsid w:val="007B48F8"/>
    <w:rsid w:val="007B5624"/>
    <w:rsid w:val="007C5420"/>
    <w:rsid w:val="007D1008"/>
    <w:rsid w:val="007D2672"/>
    <w:rsid w:val="007D358D"/>
    <w:rsid w:val="007D3978"/>
    <w:rsid w:val="007D4B6B"/>
    <w:rsid w:val="007D62DC"/>
    <w:rsid w:val="007D759C"/>
    <w:rsid w:val="007D7930"/>
    <w:rsid w:val="007E1044"/>
    <w:rsid w:val="007E4274"/>
    <w:rsid w:val="007E6F92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06BB"/>
    <w:rsid w:val="0081356F"/>
    <w:rsid w:val="00814CE9"/>
    <w:rsid w:val="00815D73"/>
    <w:rsid w:val="00816A86"/>
    <w:rsid w:val="00825BCB"/>
    <w:rsid w:val="008270A6"/>
    <w:rsid w:val="00827BAF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50C"/>
    <w:rsid w:val="008409F8"/>
    <w:rsid w:val="0084169F"/>
    <w:rsid w:val="00844028"/>
    <w:rsid w:val="0084493B"/>
    <w:rsid w:val="0084542E"/>
    <w:rsid w:val="00845D51"/>
    <w:rsid w:val="008513F9"/>
    <w:rsid w:val="008521CA"/>
    <w:rsid w:val="00852598"/>
    <w:rsid w:val="0085516E"/>
    <w:rsid w:val="008566B3"/>
    <w:rsid w:val="00856765"/>
    <w:rsid w:val="00860B12"/>
    <w:rsid w:val="00865FC7"/>
    <w:rsid w:val="00870BAC"/>
    <w:rsid w:val="0087273F"/>
    <w:rsid w:val="008775A4"/>
    <w:rsid w:val="00881122"/>
    <w:rsid w:val="00881AF4"/>
    <w:rsid w:val="008834FE"/>
    <w:rsid w:val="00883BC1"/>
    <w:rsid w:val="00884AE7"/>
    <w:rsid w:val="0088673C"/>
    <w:rsid w:val="00890054"/>
    <w:rsid w:val="008956D1"/>
    <w:rsid w:val="00895AE7"/>
    <w:rsid w:val="008976A1"/>
    <w:rsid w:val="008A1766"/>
    <w:rsid w:val="008A36A3"/>
    <w:rsid w:val="008A5D6E"/>
    <w:rsid w:val="008B2BA7"/>
    <w:rsid w:val="008B7F23"/>
    <w:rsid w:val="008C0A82"/>
    <w:rsid w:val="008C1226"/>
    <w:rsid w:val="008C6504"/>
    <w:rsid w:val="008D2BDD"/>
    <w:rsid w:val="008D33F8"/>
    <w:rsid w:val="008D4BC6"/>
    <w:rsid w:val="008E4A60"/>
    <w:rsid w:val="008E4AD4"/>
    <w:rsid w:val="008F21DA"/>
    <w:rsid w:val="008F2550"/>
    <w:rsid w:val="008F2E54"/>
    <w:rsid w:val="008F4563"/>
    <w:rsid w:val="008F6560"/>
    <w:rsid w:val="008F6975"/>
    <w:rsid w:val="008F72C4"/>
    <w:rsid w:val="00900A5F"/>
    <w:rsid w:val="00902865"/>
    <w:rsid w:val="00902CF0"/>
    <w:rsid w:val="00903367"/>
    <w:rsid w:val="00913EE2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0CD5"/>
    <w:rsid w:val="00931A17"/>
    <w:rsid w:val="009336DC"/>
    <w:rsid w:val="009353AC"/>
    <w:rsid w:val="009360C0"/>
    <w:rsid w:val="0093653B"/>
    <w:rsid w:val="00937550"/>
    <w:rsid w:val="00941586"/>
    <w:rsid w:val="009463B2"/>
    <w:rsid w:val="00947084"/>
    <w:rsid w:val="009510E2"/>
    <w:rsid w:val="00957D24"/>
    <w:rsid w:val="00960B3D"/>
    <w:rsid w:val="00965964"/>
    <w:rsid w:val="009660FE"/>
    <w:rsid w:val="0096774E"/>
    <w:rsid w:val="00967EF1"/>
    <w:rsid w:val="009700FF"/>
    <w:rsid w:val="0097037F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0151"/>
    <w:rsid w:val="00996FA7"/>
    <w:rsid w:val="009A0811"/>
    <w:rsid w:val="009A2DA3"/>
    <w:rsid w:val="009A6C03"/>
    <w:rsid w:val="009A6F72"/>
    <w:rsid w:val="009A7F2E"/>
    <w:rsid w:val="009B0754"/>
    <w:rsid w:val="009B0C1D"/>
    <w:rsid w:val="009B382A"/>
    <w:rsid w:val="009C2C3C"/>
    <w:rsid w:val="009C445F"/>
    <w:rsid w:val="009C5CB4"/>
    <w:rsid w:val="009C7037"/>
    <w:rsid w:val="009C7943"/>
    <w:rsid w:val="009D1A5C"/>
    <w:rsid w:val="009D6E1C"/>
    <w:rsid w:val="009E3EAC"/>
    <w:rsid w:val="009E4342"/>
    <w:rsid w:val="009E6215"/>
    <w:rsid w:val="009E7862"/>
    <w:rsid w:val="009F0432"/>
    <w:rsid w:val="009F2CAA"/>
    <w:rsid w:val="009F491E"/>
    <w:rsid w:val="009F52CC"/>
    <w:rsid w:val="009F691A"/>
    <w:rsid w:val="009F75E0"/>
    <w:rsid w:val="00A04E54"/>
    <w:rsid w:val="00A061EB"/>
    <w:rsid w:val="00A127A0"/>
    <w:rsid w:val="00A128D8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2D35"/>
    <w:rsid w:val="00A57184"/>
    <w:rsid w:val="00A63606"/>
    <w:rsid w:val="00A650B3"/>
    <w:rsid w:val="00A65B9D"/>
    <w:rsid w:val="00A66317"/>
    <w:rsid w:val="00A66E9E"/>
    <w:rsid w:val="00A70A09"/>
    <w:rsid w:val="00A710F1"/>
    <w:rsid w:val="00A75A5A"/>
    <w:rsid w:val="00A7781C"/>
    <w:rsid w:val="00A80810"/>
    <w:rsid w:val="00A8376F"/>
    <w:rsid w:val="00A86DA7"/>
    <w:rsid w:val="00A9085C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D376B"/>
    <w:rsid w:val="00AD5780"/>
    <w:rsid w:val="00AD7AEE"/>
    <w:rsid w:val="00AE001A"/>
    <w:rsid w:val="00AE0F77"/>
    <w:rsid w:val="00AE2D6F"/>
    <w:rsid w:val="00AE4822"/>
    <w:rsid w:val="00AE52B8"/>
    <w:rsid w:val="00AE79F0"/>
    <w:rsid w:val="00AE7BCB"/>
    <w:rsid w:val="00AE7C72"/>
    <w:rsid w:val="00AF0726"/>
    <w:rsid w:val="00AF1010"/>
    <w:rsid w:val="00AF24B2"/>
    <w:rsid w:val="00AF324B"/>
    <w:rsid w:val="00AF529C"/>
    <w:rsid w:val="00AF5345"/>
    <w:rsid w:val="00AF5B03"/>
    <w:rsid w:val="00AF60B7"/>
    <w:rsid w:val="00B00BDC"/>
    <w:rsid w:val="00B00FAA"/>
    <w:rsid w:val="00B03791"/>
    <w:rsid w:val="00B051CC"/>
    <w:rsid w:val="00B068FB"/>
    <w:rsid w:val="00B149A9"/>
    <w:rsid w:val="00B16A4C"/>
    <w:rsid w:val="00B17FF8"/>
    <w:rsid w:val="00B22192"/>
    <w:rsid w:val="00B24831"/>
    <w:rsid w:val="00B269A1"/>
    <w:rsid w:val="00B3018E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3695"/>
    <w:rsid w:val="00B548B5"/>
    <w:rsid w:val="00B6021A"/>
    <w:rsid w:val="00B60879"/>
    <w:rsid w:val="00B6394F"/>
    <w:rsid w:val="00B63F07"/>
    <w:rsid w:val="00B65FD9"/>
    <w:rsid w:val="00B6639E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861CF"/>
    <w:rsid w:val="00B86D97"/>
    <w:rsid w:val="00B91B0D"/>
    <w:rsid w:val="00B9231F"/>
    <w:rsid w:val="00B95065"/>
    <w:rsid w:val="00B96E93"/>
    <w:rsid w:val="00B971AE"/>
    <w:rsid w:val="00B97AE8"/>
    <w:rsid w:val="00B97F72"/>
    <w:rsid w:val="00BA1C9B"/>
    <w:rsid w:val="00BA66B8"/>
    <w:rsid w:val="00BB01C4"/>
    <w:rsid w:val="00BB1DDF"/>
    <w:rsid w:val="00BB326E"/>
    <w:rsid w:val="00BB4665"/>
    <w:rsid w:val="00BB4A4E"/>
    <w:rsid w:val="00BB64CB"/>
    <w:rsid w:val="00BC1CC8"/>
    <w:rsid w:val="00BC2D7C"/>
    <w:rsid w:val="00BC6140"/>
    <w:rsid w:val="00BC7A3B"/>
    <w:rsid w:val="00BD3529"/>
    <w:rsid w:val="00BE1998"/>
    <w:rsid w:val="00BE4EA8"/>
    <w:rsid w:val="00BE56ED"/>
    <w:rsid w:val="00BE7DA4"/>
    <w:rsid w:val="00BF158F"/>
    <w:rsid w:val="00BF2FCB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25A5D"/>
    <w:rsid w:val="00C31193"/>
    <w:rsid w:val="00C33D12"/>
    <w:rsid w:val="00C343BD"/>
    <w:rsid w:val="00C3561A"/>
    <w:rsid w:val="00C36730"/>
    <w:rsid w:val="00C37AAD"/>
    <w:rsid w:val="00C413A5"/>
    <w:rsid w:val="00C41E72"/>
    <w:rsid w:val="00C458CF"/>
    <w:rsid w:val="00C46CFA"/>
    <w:rsid w:val="00C46EC8"/>
    <w:rsid w:val="00C52FF7"/>
    <w:rsid w:val="00C53778"/>
    <w:rsid w:val="00C546FF"/>
    <w:rsid w:val="00C56178"/>
    <w:rsid w:val="00C56EF2"/>
    <w:rsid w:val="00C6165D"/>
    <w:rsid w:val="00C65769"/>
    <w:rsid w:val="00C65DF2"/>
    <w:rsid w:val="00C674B4"/>
    <w:rsid w:val="00C67708"/>
    <w:rsid w:val="00C7011F"/>
    <w:rsid w:val="00C72393"/>
    <w:rsid w:val="00C74392"/>
    <w:rsid w:val="00C74422"/>
    <w:rsid w:val="00C8337E"/>
    <w:rsid w:val="00C8624C"/>
    <w:rsid w:val="00C863EB"/>
    <w:rsid w:val="00C904C1"/>
    <w:rsid w:val="00C92B2B"/>
    <w:rsid w:val="00C93054"/>
    <w:rsid w:val="00C93F32"/>
    <w:rsid w:val="00C94450"/>
    <w:rsid w:val="00C94775"/>
    <w:rsid w:val="00C94D3F"/>
    <w:rsid w:val="00C95D73"/>
    <w:rsid w:val="00CA04B8"/>
    <w:rsid w:val="00CA1326"/>
    <w:rsid w:val="00CA2306"/>
    <w:rsid w:val="00CA492E"/>
    <w:rsid w:val="00CA4C09"/>
    <w:rsid w:val="00CA4FA9"/>
    <w:rsid w:val="00CA63DF"/>
    <w:rsid w:val="00CA6DEF"/>
    <w:rsid w:val="00CB4D1B"/>
    <w:rsid w:val="00CB773F"/>
    <w:rsid w:val="00CB7CBE"/>
    <w:rsid w:val="00CC1780"/>
    <w:rsid w:val="00CC1B6E"/>
    <w:rsid w:val="00CC2F13"/>
    <w:rsid w:val="00CC31CE"/>
    <w:rsid w:val="00CC3F13"/>
    <w:rsid w:val="00CC7BDF"/>
    <w:rsid w:val="00CD264D"/>
    <w:rsid w:val="00CE327C"/>
    <w:rsid w:val="00CE47F3"/>
    <w:rsid w:val="00CE7924"/>
    <w:rsid w:val="00CF1C62"/>
    <w:rsid w:val="00CF2586"/>
    <w:rsid w:val="00CF540D"/>
    <w:rsid w:val="00CF5D02"/>
    <w:rsid w:val="00D01B22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3A0"/>
    <w:rsid w:val="00D31C1B"/>
    <w:rsid w:val="00D3327E"/>
    <w:rsid w:val="00D33A1A"/>
    <w:rsid w:val="00D34CE6"/>
    <w:rsid w:val="00D353A8"/>
    <w:rsid w:val="00D369ED"/>
    <w:rsid w:val="00D42242"/>
    <w:rsid w:val="00D45208"/>
    <w:rsid w:val="00D45568"/>
    <w:rsid w:val="00D51C6E"/>
    <w:rsid w:val="00D54799"/>
    <w:rsid w:val="00D559FA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462D"/>
    <w:rsid w:val="00D84CD8"/>
    <w:rsid w:val="00D85072"/>
    <w:rsid w:val="00D855A5"/>
    <w:rsid w:val="00D85979"/>
    <w:rsid w:val="00D90217"/>
    <w:rsid w:val="00D911B4"/>
    <w:rsid w:val="00D91F7D"/>
    <w:rsid w:val="00D958FB"/>
    <w:rsid w:val="00D95989"/>
    <w:rsid w:val="00D95B98"/>
    <w:rsid w:val="00D95C6B"/>
    <w:rsid w:val="00D96C89"/>
    <w:rsid w:val="00D97320"/>
    <w:rsid w:val="00DA19DF"/>
    <w:rsid w:val="00DA21B1"/>
    <w:rsid w:val="00DA52E8"/>
    <w:rsid w:val="00DA55A5"/>
    <w:rsid w:val="00DA5EF8"/>
    <w:rsid w:val="00DA6836"/>
    <w:rsid w:val="00DA79AC"/>
    <w:rsid w:val="00DB10FC"/>
    <w:rsid w:val="00DB196B"/>
    <w:rsid w:val="00DB3EB0"/>
    <w:rsid w:val="00DC24BB"/>
    <w:rsid w:val="00DC3290"/>
    <w:rsid w:val="00DC54A4"/>
    <w:rsid w:val="00DD2C65"/>
    <w:rsid w:val="00DD491D"/>
    <w:rsid w:val="00DD4951"/>
    <w:rsid w:val="00DD7BB6"/>
    <w:rsid w:val="00DE1D1B"/>
    <w:rsid w:val="00DE27CD"/>
    <w:rsid w:val="00DE4532"/>
    <w:rsid w:val="00DE5012"/>
    <w:rsid w:val="00DE5510"/>
    <w:rsid w:val="00DE591C"/>
    <w:rsid w:val="00DE68E0"/>
    <w:rsid w:val="00DE6C37"/>
    <w:rsid w:val="00DE7978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17A3"/>
    <w:rsid w:val="00E21868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5D84"/>
    <w:rsid w:val="00E4759B"/>
    <w:rsid w:val="00E515D6"/>
    <w:rsid w:val="00E532D8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671CD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900AF"/>
    <w:rsid w:val="00E90E08"/>
    <w:rsid w:val="00E91EBD"/>
    <w:rsid w:val="00E94C83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4EA"/>
    <w:rsid w:val="00ED26C2"/>
    <w:rsid w:val="00ED471A"/>
    <w:rsid w:val="00ED626B"/>
    <w:rsid w:val="00EE1F66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58F"/>
    <w:rsid w:val="00F12BCE"/>
    <w:rsid w:val="00F16B41"/>
    <w:rsid w:val="00F17700"/>
    <w:rsid w:val="00F245C8"/>
    <w:rsid w:val="00F27118"/>
    <w:rsid w:val="00F275D7"/>
    <w:rsid w:val="00F30D32"/>
    <w:rsid w:val="00F320EE"/>
    <w:rsid w:val="00F33B5B"/>
    <w:rsid w:val="00F35D75"/>
    <w:rsid w:val="00F363BD"/>
    <w:rsid w:val="00F36DEA"/>
    <w:rsid w:val="00F37D21"/>
    <w:rsid w:val="00F40047"/>
    <w:rsid w:val="00F4071A"/>
    <w:rsid w:val="00F416C6"/>
    <w:rsid w:val="00F42EAB"/>
    <w:rsid w:val="00F4406F"/>
    <w:rsid w:val="00F4603D"/>
    <w:rsid w:val="00F461F8"/>
    <w:rsid w:val="00F46DC9"/>
    <w:rsid w:val="00F61E47"/>
    <w:rsid w:val="00F61E7A"/>
    <w:rsid w:val="00F642F0"/>
    <w:rsid w:val="00F6436F"/>
    <w:rsid w:val="00F6596E"/>
    <w:rsid w:val="00F6679F"/>
    <w:rsid w:val="00F677B4"/>
    <w:rsid w:val="00F67CAA"/>
    <w:rsid w:val="00F70D0E"/>
    <w:rsid w:val="00F72F47"/>
    <w:rsid w:val="00F75F20"/>
    <w:rsid w:val="00F8185F"/>
    <w:rsid w:val="00F82241"/>
    <w:rsid w:val="00F82796"/>
    <w:rsid w:val="00F839E2"/>
    <w:rsid w:val="00F848D3"/>
    <w:rsid w:val="00F86243"/>
    <w:rsid w:val="00F87DC2"/>
    <w:rsid w:val="00F916EE"/>
    <w:rsid w:val="00F9179C"/>
    <w:rsid w:val="00F948AD"/>
    <w:rsid w:val="00FA0095"/>
    <w:rsid w:val="00FA028D"/>
    <w:rsid w:val="00FA1D06"/>
    <w:rsid w:val="00FA35D1"/>
    <w:rsid w:val="00FA683B"/>
    <w:rsid w:val="00FA68F1"/>
    <w:rsid w:val="00FA6A3A"/>
    <w:rsid w:val="00FB028A"/>
    <w:rsid w:val="00FB2920"/>
    <w:rsid w:val="00FB2A4D"/>
    <w:rsid w:val="00FB41F7"/>
    <w:rsid w:val="00FC01D2"/>
    <w:rsid w:val="00FC039F"/>
    <w:rsid w:val="00FC310A"/>
    <w:rsid w:val="00FC3379"/>
    <w:rsid w:val="00FC4E8E"/>
    <w:rsid w:val="00FC7166"/>
    <w:rsid w:val="00FD146A"/>
    <w:rsid w:val="00FD1626"/>
    <w:rsid w:val="00FD1DDA"/>
    <w:rsid w:val="00FD4B4C"/>
    <w:rsid w:val="00FD60A1"/>
    <w:rsid w:val="00FE277E"/>
    <w:rsid w:val="00FE38BE"/>
    <w:rsid w:val="00FE63F6"/>
    <w:rsid w:val="00FE7671"/>
    <w:rsid w:val="00FE7C89"/>
    <w:rsid w:val="00FF0C44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44F4F-9C9F-40CE-BEE4-3F908225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m.bmj.com/content/early/2019/09/06/bmjebm-2019-1112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chranelibrary.com/cdsr/doi/10.1002/14651858.CD009009.pub3/fu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BA5F-3645-4798-8A99-C364DBA0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6</cp:revision>
  <cp:lastPrinted>2014-01-27T14:53:00Z</cp:lastPrinted>
  <dcterms:created xsi:type="dcterms:W3CDTF">2019-09-23T14:12:00Z</dcterms:created>
  <dcterms:modified xsi:type="dcterms:W3CDTF">2019-09-24T08:37:00Z</dcterms:modified>
</cp:coreProperties>
</file>