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E3519" w14:textId="77777777" w:rsidR="00EC7A99" w:rsidRDefault="00815D37" w:rsidP="00EC7A99">
      <w:pPr>
        <w:jc w:val="center"/>
        <w:rPr>
          <w:rFonts w:ascii="Calibri" w:eastAsia="Calibri" w:hAnsi="Calibri" w:cs="Times New Roman"/>
          <w:b/>
          <w:bCs/>
          <w:sz w:val="24"/>
          <w:szCs w:val="24"/>
        </w:rPr>
      </w:pPr>
      <w:r w:rsidRPr="00C8624C">
        <w:rPr>
          <w:rFonts w:ascii="Calibri" w:eastAsia="Calibri" w:hAnsi="Calibri" w:cs="Times New Roman"/>
          <w:b/>
          <w:bCs/>
          <w:sz w:val="36"/>
          <w:szCs w:val="36"/>
        </w:rPr>
        <w:t>COMUNICATO STAMPA</w:t>
      </w:r>
    </w:p>
    <w:p w14:paraId="637B3305" w14:textId="30393901" w:rsidR="00853F5B" w:rsidRPr="00B457AA" w:rsidRDefault="00F75472" w:rsidP="00231F4A">
      <w:pPr>
        <w:jc w:val="center"/>
        <w:rPr>
          <w:b/>
          <w:bCs/>
          <w:sz w:val="36"/>
          <w:szCs w:val="36"/>
        </w:rPr>
      </w:pPr>
      <w:bookmarkStart w:id="0" w:name="_Hlk156912660"/>
      <w:r w:rsidRPr="00F75472">
        <w:rPr>
          <w:b/>
          <w:bCs/>
          <w:sz w:val="36"/>
          <w:szCs w:val="36"/>
        </w:rPr>
        <w:t>PNRR MISSIONE SALUTE: AL 1° TRIMESTRE 2024</w:t>
      </w:r>
      <w:r>
        <w:rPr>
          <w:b/>
          <w:bCs/>
          <w:sz w:val="36"/>
          <w:szCs w:val="36"/>
        </w:rPr>
        <w:t xml:space="preserve"> </w:t>
      </w:r>
      <w:r w:rsidRPr="00F75472">
        <w:rPr>
          <w:b/>
          <w:bCs/>
          <w:sz w:val="36"/>
          <w:szCs w:val="36"/>
        </w:rPr>
        <w:t>RISPETTATE TUTTE LE SC</w:t>
      </w:r>
      <w:bookmarkStart w:id="1" w:name="_GoBack"/>
      <w:bookmarkEnd w:id="1"/>
      <w:r w:rsidRPr="00F75472">
        <w:rPr>
          <w:b/>
          <w:bCs/>
          <w:sz w:val="36"/>
          <w:szCs w:val="36"/>
        </w:rPr>
        <w:t>ADENZE EUROPEE.</w:t>
      </w:r>
      <w:r w:rsidR="00AF6AD7">
        <w:rPr>
          <w:b/>
          <w:bCs/>
          <w:sz w:val="36"/>
          <w:szCs w:val="36"/>
        </w:rPr>
        <w:br/>
      </w:r>
      <w:r w:rsidRPr="00F75472">
        <w:rPr>
          <w:b/>
          <w:bCs/>
          <w:sz w:val="36"/>
          <w:szCs w:val="36"/>
        </w:rPr>
        <w:t xml:space="preserve">ASSISTENZA DOMICILIARE: </w:t>
      </w:r>
      <w:r w:rsidR="002B2105">
        <w:rPr>
          <w:b/>
          <w:bCs/>
          <w:sz w:val="36"/>
          <w:szCs w:val="36"/>
        </w:rPr>
        <w:t xml:space="preserve">SUGLI STEP INTERMEDI </w:t>
      </w:r>
      <w:r w:rsidRPr="00F75472">
        <w:rPr>
          <w:b/>
          <w:bCs/>
          <w:sz w:val="36"/>
          <w:szCs w:val="36"/>
        </w:rPr>
        <w:t xml:space="preserve">ARRANCANO CAMPANIA E SARDEGNA, SICILIA </w:t>
      </w:r>
      <w:r w:rsidRPr="00E77FF7">
        <w:rPr>
          <w:b/>
          <w:bCs/>
          <w:sz w:val="36"/>
          <w:szCs w:val="36"/>
        </w:rPr>
        <w:t>FERMA ALL’1%.</w:t>
      </w:r>
      <w:r w:rsidR="00AF6AD7">
        <w:rPr>
          <w:b/>
          <w:bCs/>
          <w:sz w:val="36"/>
          <w:szCs w:val="36"/>
        </w:rPr>
        <w:br/>
      </w:r>
      <w:r w:rsidRPr="00F75472">
        <w:rPr>
          <w:b/>
          <w:bCs/>
          <w:sz w:val="36"/>
          <w:szCs w:val="36"/>
        </w:rPr>
        <w:t xml:space="preserve">RIMODULAZIONE </w:t>
      </w:r>
      <w:r w:rsidR="008522E6">
        <w:rPr>
          <w:b/>
          <w:bCs/>
          <w:sz w:val="36"/>
          <w:szCs w:val="36"/>
        </w:rPr>
        <w:t xml:space="preserve">AL RIBASSO DEL </w:t>
      </w:r>
      <w:r w:rsidRPr="00F75472">
        <w:rPr>
          <w:b/>
          <w:bCs/>
          <w:sz w:val="36"/>
          <w:szCs w:val="36"/>
        </w:rPr>
        <w:t xml:space="preserve">PNRR: INCOGNITE </w:t>
      </w:r>
      <w:r w:rsidR="00E77FF7">
        <w:rPr>
          <w:b/>
          <w:bCs/>
          <w:sz w:val="36"/>
          <w:szCs w:val="36"/>
        </w:rPr>
        <w:t xml:space="preserve">SU </w:t>
      </w:r>
      <w:r w:rsidRPr="00F75472">
        <w:rPr>
          <w:b/>
          <w:bCs/>
          <w:sz w:val="36"/>
          <w:szCs w:val="36"/>
        </w:rPr>
        <w:t xml:space="preserve">RISORSE </w:t>
      </w:r>
      <w:r w:rsidR="00E77FF7">
        <w:rPr>
          <w:b/>
          <w:bCs/>
          <w:sz w:val="36"/>
          <w:szCs w:val="36"/>
        </w:rPr>
        <w:t xml:space="preserve">E PROGETTI </w:t>
      </w:r>
      <w:r w:rsidR="00DD3A76">
        <w:rPr>
          <w:b/>
          <w:bCs/>
          <w:sz w:val="36"/>
          <w:szCs w:val="36"/>
        </w:rPr>
        <w:t>CHE SLITTANO DOPO IL 2026</w:t>
      </w:r>
      <w:r w:rsidR="00220D5F">
        <w:rPr>
          <w:b/>
          <w:bCs/>
          <w:sz w:val="36"/>
          <w:szCs w:val="36"/>
        </w:rPr>
        <w:t>.</w:t>
      </w:r>
      <w:bookmarkStart w:id="2" w:name="_Hlk165294654"/>
      <w:r w:rsidR="00AF6AD7">
        <w:rPr>
          <w:b/>
          <w:bCs/>
          <w:sz w:val="36"/>
          <w:szCs w:val="36"/>
        </w:rPr>
        <w:br/>
      </w:r>
      <w:r w:rsidR="007E6D5A" w:rsidRPr="007E6D5A">
        <w:rPr>
          <w:b/>
          <w:bCs/>
          <w:sz w:val="36"/>
          <w:szCs w:val="36"/>
        </w:rPr>
        <w:t>1.803 POSTI DI TERAPIA INTENSIVA</w:t>
      </w:r>
      <w:r w:rsidR="00231F4A">
        <w:rPr>
          <w:b/>
          <w:bCs/>
          <w:sz w:val="36"/>
          <w:szCs w:val="36"/>
        </w:rPr>
        <w:t xml:space="preserve"> IN CERCA DI FONDI</w:t>
      </w:r>
      <w:bookmarkEnd w:id="2"/>
      <w:r w:rsidR="00AF6AD7">
        <w:rPr>
          <w:b/>
          <w:bCs/>
          <w:sz w:val="36"/>
          <w:szCs w:val="36"/>
        </w:rPr>
        <w:t>.</w:t>
      </w:r>
      <w:r w:rsidR="00AF6AD7">
        <w:rPr>
          <w:b/>
          <w:bCs/>
          <w:sz w:val="36"/>
          <w:szCs w:val="36"/>
        </w:rPr>
        <w:br/>
      </w:r>
      <w:r w:rsidR="0034373E">
        <w:rPr>
          <w:b/>
          <w:bCs/>
          <w:sz w:val="36"/>
          <w:szCs w:val="36"/>
        </w:rPr>
        <w:t xml:space="preserve">RIFORMA ASSISTENZA TERRITORIALE E </w:t>
      </w:r>
      <w:r w:rsidR="00220D5F" w:rsidRPr="00220D5F">
        <w:rPr>
          <w:b/>
          <w:bCs/>
          <w:sz w:val="36"/>
          <w:szCs w:val="36"/>
        </w:rPr>
        <w:t>NOD</w:t>
      </w:r>
      <w:r w:rsidR="00E47B17">
        <w:rPr>
          <w:b/>
          <w:bCs/>
          <w:sz w:val="36"/>
          <w:szCs w:val="36"/>
        </w:rPr>
        <w:t xml:space="preserve">O INFERMIERI: </w:t>
      </w:r>
      <w:r w:rsidR="00220D5F" w:rsidRPr="00220D5F">
        <w:rPr>
          <w:b/>
          <w:bCs/>
          <w:sz w:val="36"/>
          <w:szCs w:val="36"/>
        </w:rPr>
        <w:t>POCHI E SOTTOPAGATI</w:t>
      </w:r>
    </w:p>
    <w:bookmarkEnd w:id="0"/>
    <w:p w14:paraId="08612588" w14:textId="61789AA5" w:rsidR="00815D37" w:rsidRDefault="009B5639" w:rsidP="00815D37">
      <w:pPr>
        <w:jc w:val="center"/>
        <w:rPr>
          <w:rFonts w:ascii="Calibri" w:eastAsia="Calibri" w:hAnsi="Calibri" w:cs="Times New Roman"/>
          <w:b/>
          <w:bCs/>
          <w:sz w:val="24"/>
          <w:szCs w:val="24"/>
        </w:rPr>
      </w:pPr>
      <w:r>
        <w:rPr>
          <w:rFonts w:ascii="Calibri" w:eastAsia="Calibri" w:hAnsi="Calibri" w:cs="Times New Roman"/>
          <w:b/>
          <w:bCs/>
          <w:sz w:val="24"/>
          <w:szCs w:val="24"/>
        </w:rPr>
        <w:t>30</w:t>
      </w:r>
      <w:r w:rsidR="00815D37">
        <w:rPr>
          <w:rFonts w:ascii="Calibri" w:eastAsia="Calibri" w:hAnsi="Calibri" w:cs="Times New Roman"/>
          <w:b/>
          <w:bCs/>
          <w:sz w:val="24"/>
          <w:szCs w:val="24"/>
        </w:rPr>
        <w:t xml:space="preserve"> </w:t>
      </w:r>
      <w:r w:rsidR="0039018B">
        <w:rPr>
          <w:rFonts w:ascii="Calibri" w:eastAsia="Calibri" w:hAnsi="Calibri" w:cs="Times New Roman"/>
          <w:b/>
          <w:bCs/>
          <w:sz w:val="24"/>
          <w:szCs w:val="24"/>
        </w:rPr>
        <w:t xml:space="preserve">aprile </w:t>
      </w:r>
      <w:r w:rsidR="00815D37">
        <w:rPr>
          <w:rFonts w:ascii="Calibri" w:eastAsia="Calibri" w:hAnsi="Calibri" w:cs="Times New Roman"/>
          <w:b/>
          <w:bCs/>
          <w:sz w:val="24"/>
          <w:szCs w:val="24"/>
        </w:rPr>
        <w:t>202</w:t>
      </w:r>
      <w:r w:rsidR="00962B91">
        <w:rPr>
          <w:rFonts w:ascii="Calibri" w:eastAsia="Calibri" w:hAnsi="Calibri" w:cs="Times New Roman"/>
          <w:b/>
          <w:bCs/>
          <w:sz w:val="24"/>
          <w:szCs w:val="24"/>
        </w:rPr>
        <w:t>4</w:t>
      </w:r>
      <w:r w:rsidR="00815D37">
        <w:rPr>
          <w:rFonts w:ascii="Calibri" w:eastAsia="Calibri" w:hAnsi="Calibri" w:cs="Times New Roman"/>
          <w:b/>
          <w:bCs/>
          <w:sz w:val="24"/>
          <w:szCs w:val="24"/>
        </w:rPr>
        <w:t xml:space="preserve"> - </w:t>
      </w:r>
      <w:r w:rsidR="00815D37" w:rsidRPr="00C8624C">
        <w:rPr>
          <w:rFonts w:ascii="Calibri" w:eastAsia="Calibri" w:hAnsi="Calibri" w:cs="Times New Roman"/>
          <w:b/>
          <w:bCs/>
          <w:sz w:val="24"/>
          <w:szCs w:val="24"/>
        </w:rPr>
        <w:t xml:space="preserve">Fondazione GIMBE, </w:t>
      </w:r>
      <w:r w:rsidR="002B2105">
        <w:rPr>
          <w:rFonts w:ascii="Calibri" w:eastAsia="Calibri" w:hAnsi="Calibri" w:cs="Times New Roman"/>
          <w:b/>
          <w:bCs/>
          <w:sz w:val="24"/>
          <w:szCs w:val="24"/>
        </w:rPr>
        <w:t>Bologna</w:t>
      </w:r>
    </w:p>
    <w:p w14:paraId="11E9764D" w14:textId="3C8217E4" w:rsidR="00D422B5" w:rsidRDefault="00D422B5" w:rsidP="003A35AF">
      <w:pPr>
        <w:jc w:val="both"/>
      </w:pPr>
      <w:r w:rsidRPr="00335E0B">
        <w:rPr>
          <w:rFonts w:cstheme="minorHAnsi"/>
        </w:rPr>
        <w:t>«</w:t>
      </w:r>
      <w:r w:rsidR="002B2105">
        <w:rPr>
          <w:rFonts w:cstheme="minorHAnsi"/>
        </w:rPr>
        <w:t xml:space="preserve">Anche se </w:t>
      </w:r>
      <w:r w:rsidR="002B2105">
        <w:t>a</w:t>
      </w:r>
      <w:r w:rsidRPr="00D422B5">
        <w:t>l 31 marzo 2024</w:t>
      </w:r>
      <w:r w:rsidR="0024135E">
        <w:t xml:space="preserve"> </w:t>
      </w:r>
      <w:r w:rsidRPr="00D422B5">
        <w:t>non erano previste scadenze europee sulla missione Salute del PNRR che condizionano il pagamento delle rate</w:t>
      </w:r>
      <w:r w:rsidR="002B2105" w:rsidRPr="00D422B5">
        <w:t xml:space="preserve"> </w:t>
      </w:r>
      <w:r w:rsidR="002B2105" w:rsidRPr="006600BA">
        <w:t>– dichiara Nino Cartabellotta, Presidente della Fondazione GIMBE –</w:t>
      </w:r>
      <w:r w:rsidR="002B2105">
        <w:t xml:space="preserve"> c</w:t>
      </w:r>
      <w:r>
        <w:t>ontinua l’</w:t>
      </w:r>
      <w:r w:rsidRPr="006600BA">
        <w:t xml:space="preserve">attività del nostro Osservatorio sul Servizio Sanitario Nazionale </w:t>
      </w:r>
      <w:r>
        <w:t xml:space="preserve">di </w:t>
      </w:r>
      <w:r w:rsidRPr="006600BA">
        <w:t xml:space="preserve">monitoraggio indipendente dello status di avanzamento </w:t>
      </w:r>
      <w:r w:rsidR="002B2105">
        <w:t>delle riforme</w:t>
      </w:r>
      <w:r>
        <w:t>, a</w:t>
      </w:r>
      <w:r w:rsidRPr="006600BA">
        <w:t>l fine di fornire un quadro oggettivo</w:t>
      </w:r>
      <w:r>
        <w:t xml:space="preserve"> sui risultati raggiunti</w:t>
      </w:r>
      <w:r w:rsidRPr="006600BA">
        <w:t>, di informare i cittadini ed evitare strumentalizzazioni politiche».</w:t>
      </w:r>
    </w:p>
    <w:p w14:paraId="446C1BAC" w14:textId="77777777" w:rsidR="0026703C" w:rsidRDefault="0026703C" w:rsidP="003A35AF">
      <w:pPr>
        <w:jc w:val="both"/>
      </w:pPr>
      <w:r>
        <w:t xml:space="preserve">Il presente monitoraggio, oltre allo status di avanzamento, analizza nei dettagli la rimodulazione della Missione 6 secondo quanto riportato dalla </w:t>
      </w:r>
      <w:hyperlink r:id="rId8" w:history="1">
        <w:r w:rsidRPr="006D0F95">
          <w:rPr>
            <w:rStyle w:val="Collegamentoipertestuale"/>
          </w:rPr>
          <w:t>Quarta Relazione sullo stato di avanzamento del PNRR</w:t>
        </w:r>
      </w:hyperlink>
      <w:r>
        <w:t xml:space="preserve"> e quanto disposto dal DL PNRR, approvato lo scorso </w:t>
      </w:r>
      <w:r w:rsidRPr="00E91F29">
        <w:t>23 aprile</w:t>
      </w:r>
      <w:r>
        <w:t xml:space="preserve">. </w:t>
      </w:r>
    </w:p>
    <w:p w14:paraId="026E7C11" w14:textId="77777777" w:rsidR="009A76B2" w:rsidRPr="0085624B" w:rsidRDefault="00566963" w:rsidP="00CB2567">
      <w:pPr>
        <w:jc w:val="both"/>
        <w:rPr>
          <w:rFonts w:cstheme="minorHAnsi"/>
          <w:b/>
          <w:bCs/>
        </w:rPr>
      </w:pPr>
      <w:r w:rsidRPr="00566963">
        <w:rPr>
          <w:rFonts w:cstheme="minorHAnsi"/>
          <w:b/>
          <w:bCs/>
        </w:rPr>
        <w:t>STATO DI AVANZAMENTO</w:t>
      </w:r>
      <w:r w:rsidR="0020319A">
        <w:rPr>
          <w:rFonts w:cstheme="minorHAnsi"/>
          <w:b/>
          <w:bCs/>
        </w:rPr>
        <w:t xml:space="preserve"> AL 3</w:t>
      </w:r>
      <w:r w:rsidR="00450B02">
        <w:rPr>
          <w:rFonts w:cstheme="minorHAnsi"/>
          <w:b/>
          <w:bCs/>
        </w:rPr>
        <w:t>1</w:t>
      </w:r>
      <w:r w:rsidR="0020319A">
        <w:rPr>
          <w:rFonts w:cstheme="minorHAnsi"/>
          <w:b/>
          <w:bCs/>
        </w:rPr>
        <w:t xml:space="preserve"> </w:t>
      </w:r>
      <w:r w:rsidR="0039018B">
        <w:rPr>
          <w:rFonts w:cstheme="minorHAnsi"/>
          <w:b/>
          <w:bCs/>
        </w:rPr>
        <w:t>MARZO</w:t>
      </w:r>
      <w:r w:rsidR="00450B02">
        <w:rPr>
          <w:rFonts w:cstheme="minorHAnsi"/>
          <w:b/>
          <w:bCs/>
        </w:rPr>
        <w:t xml:space="preserve"> </w:t>
      </w:r>
      <w:r w:rsidR="0020319A">
        <w:rPr>
          <w:rFonts w:cstheme="minorHAnsi"/>
          <w:b/>
          <w:bCs/>
        </w:rPr>
        <w:t>202</w:t>
      </w:r>
      <w:r w:rsidR="0039018B">
        <w:rPr>
          <w:rFonts w:cstheme="minorHAnsi"/>
          <w:b/>
          <w:bCs/>
        </w:rPr>
        <w:t>4</w:t>
      </w:r>
      <w:r w:rsidR="004261F6">
        <w:rPr>
          <w:rFonts w:cstheme="minorHAnsi"/>
        </w:rPr>
        <w:t xml:space="preserve">. </w:t>
      </w:r>
      <w:r w:rsidR="00ED6E07" w:rsidRPr="00ED6E07">
        <w:rPr>
          <w:rFonts w:cstheme="minorHAnsi"/>
        </w:rPr>
        <w:t xml:space="preserve">Secondo </w:t>
      </w:r>
      <w:r w:rsidR="005B24AF">
        <w:rPr>
          <w:rFonts w:cstheme="minorHAnsi"/>
        </w:rPr>
        <w:t>i dati</w:t>
      </w:r>
      <w:r w:rsidR="00ED6E07">
        <w:rPr>
          <w:rFonts w:cstheme="minorHAnsi"/>
        </w:rPr>
        <w:t xml:space="preserve"> </w:t>
      </w:r>
      <w:r w:rsidR="005B24AF">
        <w:rPr>
          <w:rFonts w:cstheme="minorHAnsi"/>
        </w:rPr>
        <w:t xml:space="preserve">resi pubblici </w:t>
      </w:r>
      <w:r w:rsidR="00ED6E07">
        <w:rPr>
          <w:rFonts w:cstheme="minorHAnsi"/>
        </w:rPr>
        <w:t xml:space="preserve">il </w:t>
      </w:r>
      <w:r w:rsidR="0085624B" w:rsidRPr="0085624B">
        <w:rPr>
          <w:rFonts w:cstheme="minorHAnsi"/>
        </w:rPr>
        <w:t>20</w:t>
      </w:r>
      <w:r w:rsidR="00B76CDD" w:rsidRPr="0085624B">
        <w:rPr>
          <w:rFonts w:cstheme="minorHAnsi"/>
        </w:rPr>
        <w:t xml:space="preserve"> </w:t>
      </w:r>
      <w:r w:rsidR="000720DE">
        <w:rPr>
          <w:rFonts w:cstheme="minorHAnsi"/>
        </w:rPr>
        <w:t xml:space="preserve">aprile </w:t>
      </w:r>
      <w:r w:rsidR="00CB2567">
        <w:rPr>
          <w:rFonts w:cstheme="minorHAnsi"/>
        </w:rPr>
        <w:t>202</w:t>
      </w:r>
      <w:r w:rsidR="00B76CDD">
        <w:rPr>
          <w:rFonts w:cstheme="minorHAnsi"/>
        </w:rPr>
        <w:t>4</w:t>
      </w:r>
      <w:r w:rsidR="005B24AF">
        <w:rPr>
          <w:rFonts w:cstheme="minorHAnsi"/>
        </w:rPr>
        <w:t xml:space="preserve"> sul </w:t>
      </w:r>
      <w:hyperlink r:id="rId9" w:history="1">
        <w:r w:rsidR="00ED6E07" w:rsidRPr="00961FD4">
          <w:rPr>
            <w:rStyle w:val="Collegamentoipertestuale"/>
            <w:rFonts w:cstheme="minorHAnsi"/>
          </w:rPr>
          <w:t>portale del Ministero della Salute</w:t>
        </w:r>
      </w:hyperlink>
      <w:r w:rsidR="00ED6E07" w:rsidRPr="00ED6E07">
        <w:rPr>
          <w:rFonts w:cstheme="minorHAnsi"/>
        </w:rPr>
        <w:t xml:space="preserve"> che monitora lo stato di attuazione della Missione Salute del PNRR:</w:t>
      </w:r>
    </w:p>
    <w:p w14:paraId="639A3ED6" w14:textId="77777777" w:rsidR="00335E0B" w:rsidRDefault="00ED6E07" w:rsidP="00335E0B">
      <w:pPr>
        <w:pStyle w:val="Paragrafoelenco"/>
        <w:numPr>
          <w:ilvl w:val="0"/>
          <w:numId w:val="38"/>
        </w:numPr>
        <w:spacing w:line="276" w:lineRule="auto"/>
        <w:jc w:val="both"/>
        <w:rPr>
          <w:rFonts w:cstheme="minorHAnsi"/>
        </w:rPr>
      </w:pPr>
      <w:r w:rsidRPr="0020319A">
        <w:rPr>
          <w:rFonts w:cstheme="minorHAnsi"/>
          <w:b/>
          <w:bCs/>
        </w:rPr>
        <w:t xml:space="preserve">Milestone e target </w:t>
      </w:r>
      <w:r w:rsidR="008F7EF5" w:rsidRPr="0020319A">
        <w:rPr>
          <w:rFonts w:cstheme="minorHAnsi"/>
          <w:b/>
          <w:bCs/>
        </w:rPr>
        <w:t>europei</w:t>
      </w:r>
      <w:r w:rsidRPr="00ED6E07">
        <w:rPr>
          <w:rFonts w:cstheme="minorHAnsi"/>
        </w:rPr>
        <w:t xml:space="preserve">: </w:t>
      </w:r>
      <w:r w:rsidR="00286283">
        <w:rPr>
          <w:rFonts w:cstheme="minorHAnsi"/>
        </w:rPr>
        <w:t xml:space="preserve">risultano tutti raggiunti in quanto </w:t>
      </w:r>
      <w:r w:rsidR="000720DE">
        <w:rPr>
          <w:rFonts w:cstheme="minorHAnsi"/>
        </w:rPr>
        <w:t xml:space="preserve">al 31 marzo 2024 </w:t>
      </w:r>
      <w:r w:rsidR="00286283">
        <w:rPr>
          <w:rFonts w:cstheme="minorHAnsi"/>
        </w:rPr>
        <w:t xml:space="preserve">non erano previste </w:t>
      </w:r>
      <w:r w:rsidR="002B2105">
        <w:rPr>
          <w:rFonts w:cstheme="minorHAnsi"/>
        </w:rPr>
        <w:t xml:space="preserve">nuove </w:t>
      </w:r>
      <w:r w:rsidR="00286283">
        <w:rPr>
          <w:rFonts w:cstheme="minorHAnsi"/>
        </w:rPr>
        <w:t xml:space="preserve">scadenze </w:t>
      </w:r>
      <w:r w:rsidR="000720DE">
        <w:rPr>
          <w:rFonts w:cstheme="minorHAnsi"/>
        </w:rPr>
        <w:t xml:space="preserve">e tutte </w:t>
      </w:r>
      <w:r w:rsidR="00286283">
        <w:rPr>
          <w:rFonts w:cstheme="minorHAnsi"/>
        </w:rPr>
        <w:t>quelle relative a</w:t>
      </w:r>
      <w:r w:rsidR="000720DE">
        <w:rPr>
          <w:rFonts w:cstheme="minorHAnsi"/>
        </w:rPr>
        <w:t>gli anni 2021-2023 erano già state raggiunte al 31 dicembre 2023.</w:t>
      </w:r>
    </w:p>
    <w:p w14:paraId="2F698D75" w14:textId="30CE7AD7" w:rsidR="001D5972" w:rsidRDefault="00ED6E07" w:rsidP="001D5972">
      <w:pPr>
        <w:pStyle w:val="Paragrafoelenco"/>
        <w:numPr>
          <w:ilvl w:val="0"/>
          <w:numId w:val="38"/>
        </w:numPr>
        <w:spacing w:line="276" w:lineRule="auto"/>
        <w:jc w:val="both"/>
        <w:rPr>
          <w:rFonts w:cstheme="minorHAnsi"/>
        </w:rPr>
      </w:pPr>
      <w:r w:rsidRPr="00335E0B">
        <w:rPr>
          <w:rFonts w:cstheme="minorHAnsi"/>
          <w:b/>
          <w:bCs/>
        </w:rPr>
        <w:t xml:space="preserve">Milestone e target </w:t>
      </w:r>
      <w:r w:rsidR="0020319A" w:rsidRPr="00335E0B">
        <w:rPr>
          <w:rFonts w:cstheme="minorHAnsi"/>
          <w:b/>
          <w:bCs/>
        </w:rPr>
        <w:t>nazionali</w:t>
      </w:r>
      <w:r w:rsidRPr="00335E0B">
        <w:rPr>
          <w:rFonts w:cstheme="minorHAnsi"/>
        </w:rPr>
        <w:t xml:space="preserve">: </w:t>
      </w:r>
      <w:r w:rsidR="00A22325" w:rsidRPr="00335E0B">
        <w:rPr>
          <w:rFonts w:cstheme="minorHAnsi"/>
        </w:rPr>
        <w:t>«</w:t>
      </w:r>
      <w:r w:rsidR="002B2105">
        <w:rPr>
          <w:rFonts w:cstheme="minorHAnsi"/>
        </w:rPr>
        <w:t>An</w:t>
      </w:r>
      <w:r w:rsidR="002B2105" w:rsidRPr="00335E0B">
        <w:rPr>
          <w:rFonts w:cstheme="minorHAnsi"/>
        </w:rPr>
        <w:t xml:space="preserve">che </w:t>
      </w:r>
      <w:r w:rsidR="002B2105">
        <w:rPr>
          <w:rFonts w:cstheme="minorHAnsi"/>
        </w:rPr>
        <w:t xml:space="preserve">se </w:t>
      </w:r>
      <w:r w:rsidR="002B2105" w:rsidRPr="00335E0B">
        <w:rPr>
          <w:rFonts w:cstheme="minorHAnsi"/>
        </w:rPr>
        <w:t xml:space="preserve">non condizionano l’erogazione dei fondi </w:t>
      </w:r>
      <w:r w:rsidR="002B2105">
        <w:rPr>
          <w:rFonts w:cstheme="minorHAnsi"/>
        </w:rPr>
        <w:t xml:space="preserve">del PNRR </w:t>
      </w:r>
      <w:r w:rsidR="002B2105" w:rsidRPr="006600BA">
        <w:t>–</w:t>
      </w:r>
      <w:r w:rsidR="002B2105" w:rsidRPr="00335E0B">
        <w:rPr>
          <w:rFonts w:cstheme="minorHAnsi"/>
        </w:rPr>
        <w:t xml:space="preserve"> </w:t>
      </w:r>
      <w:r w:rsidR="002B2105">
        <w:rPr>
          <w:rFonts w:cstheme="minorHAnsi"/>
        </w:rPr>
        <w:t>spiega</w:t>
      </w:r>
      <w:r w:rsidR="002B2105" w:rsidRPr="00335E0B">
        <w:rPr>
          <w:rFonts w:cstheme="minorHAnsi"/>
        </w:rPr>
        <w:t xml:space="preserve"> Cartabellotta </w:t>
      </w:r>
      <w:r w:rsidR="002B2105" w:rsidRPr="006600BA">
        <w:t>–</w:t>
      </w:r>
      <w:r w:rsidR="002B2105" w:rsidRPr="00335E0B">
        <w:rPr>
          <w:rFonts w:cstheme="minorHAnsi"/>
        </w:rPr>
        <w:t xml:space="preserve"> </w:t>
      </w:r>
      <w:r w:rsidR="002B2105">
        <w:rPr>
          <w:rFonts w:cstheme="minorHAnsi"/>
        </w:rPr>
        <w:t>questi</w:t>
      </w:r>
      <w:r w:rsidR="00A22325" w:rsidRPr="00335E0B">
        <w:rPr>
          <w:rFonts w:cstheme="minorHAnsi"/>
        </w:rPr>
        <w:t xml:space="preserve"> step intermedi</w:t>
      </w:r>
      <w:r w:rsidR="002B2105">
        <w:rPr>
          <w:rFonts w:cstheme="minorHAnsi"/>
        </w:rPr>
        <w:t xml:space="preserve"> </w:t>
      </w:r>
      <w:r w:rsidR="00A22325">
        <w:rPr>
          <w:rFonts w:cstheme="minorHAnsi"/>
        </w:rPr>
        <w:t xml:space="preserve">richiedono un attento </w:t>
      </w:r>
      <w:r w:rsidR="00A22325" w:rsidRPr="00335E0B">
        <w:rPr>
          <w:rFonts w:cstheme="minorHAnsi"/>
        </w:rPr>
        <w:t>monitora</w:t>
      </w:r>
      <w:r w:rsidR="00A22325">
        <w:rPr>
          <w:rFonts w:cstheme="minorHAnsi"/>
        </w:rPr>
        <w:t>ggio</w:t>
      </w:r>
      <w:r w:rsidR="00A22325" w:rsidRPr="00335E0B">
        <w:rPr>
          <w:rFonts w:cstheme="minorHAnsi"/>
        </w:rPr>
        <w:t xml:space="preserve"> perché potrebbero compromettere le correlate scadenze europee».</w:t>
      </w:r>
      <w:r w:rsidR="00A22325">
        <w:rPr>
          <w:rFonts w:cstheme="minorHAnsi"/>
        </w:rPr>
        <w:t xml:space="preserve"> </w:t>
      </w:r>
      <w:r w:rsidR="006D0F95">
        <w:rPr>
          <w:rFonts w:cstheme="minorHAnsi"/>
        </w:rPr>
        <w:t>E</w:t>
      </w:r>
      <w:r w:rsidRPr="00335E0B">
        <w:rPr>
          <w:rFonts w:cstheme="minorHAnsi"/>
        </w:rPr>
        <w:t xml:space="preserve">ntro le scadenze fissate </w:t>
      </w:r>
      <w:r w:rsidR="006D0F95">
        <w:rPr>
          <w:rFonts w:cstheme="minorHAnsi"/>
        </w:rPr>
        <w:t>s</w:t>
      </w:r>
      <w:r w:rsidR="006D0F95" w:rsidRPr="00335E0B">
        <w:rPr>
          <w:rFonts w:cstheme="minorHAnsi"/>
        </w:rPr>
        <w:t xml:space="preserve">ono stati raggiunti </w:t>
      </w:r>
      <w:r w:rsidRPr="00335E0B">
        <w:rPr>
          <w:rFonts w:cstheme="minorHAnsi"/>
        </w:rPr>
        <w:t xml:space="preserve">tutti quelli previsti nel 2021 e 2022. </w:t>
      </w:r>
      <w:r w:rsidR="00F90904" w:rsidRPr="00593E65">
        <w:rPr>
          <w:rFonts w:cstheme="minorHAnsi"/>
        </w:rPr>
        <w:t xml:space="preserve">Relativamente al 2023, </w:t>
      </w:r>
      <w:r w:rsidR="00335E0B" w:rsidRPr="00593E65">
        <w:rPr>
          <w:rFonts w:cstheme="minorHAnsi"/>
        </w:rPr>
        <w:t xml:space="preserve">sono stati differiti </w:t>
      </w:r>
      <w:r w:rsidR="009A76B2">
        <w:rPr>
          <w:rFonts w:cstheme="minorHAnsi"/>
        </w:rPr>
        <w:t xml:space="preserve">tre target: </w:t>
      </w:r>
      <w:r w:rsidR="0039018B">
        <w:rPr>
          <w:rFonts w:cstheme="minorHAnsi"/>
        </w:rPr>
        <w:t xml:space="preserve">due </w:t>
      </w:r>
      <w:r w:rsidR="00335E0B" w:rsidRPr="00593E65">
        <w:rPr>
          <w:rFonts w:cstheme="minorHAnsi"/>
        </w:rPr>
        <w:t xml:space="preserve">da giugno </w:t>
      </w:r>
      <w:r w:rsidR="00D748E1">
        <w:rPr>
          <w:rFonts w:cstheme="minorHAnsi"/>
        </w:rPr>
        <w:t xml:space="preserve">2023 </w:t>
      </w:r>
      <w:r w:rsidR="00335E0B" w:rsidRPr="00593E65">
        <w:rPr>
          <w:rFonts w:cstheme="minorHAnsi"/>
        </w:rPr>
        <w:t xml:space="preserve">a </w:t>
      </w:r>
      <w:r w:rsidR="00D748E1">
        <w:rPr>
          <w:rFonts w:cstheme="minorHAnsi"/>
        </w:rPr>
        <w:t>giugno 2024</w:t>
      </w:r>
      <w:r w:rsidR="002B2105">
        <w:rPr>
          <w:rFonts w:cstheme="minorHAnsi"/>
        </w:rPr>
        <w:t>, ovvero</w:t>
      </w:r>
      <w:r w:rsidR="00D748E1">
        <w:rPr>
          <w:rFonts w:cstheme="minorHAnsi"/>
        </w:rPr>
        <w:t xml:space="preserve"> la </w:t>
      </w:r>
      <w:r w:rsidR="00335E0B" w:rsidRPr="00593E65">
        <w:rPr>
          <w:rFonts w:cstheme="minorHAnsi"/>
        </w:rPr>
        <w:t>“Stipula di un contratto per gli strumenti di intelligenza artificiale a supporto dell'assistenza primaria” e</w:t>
      </w:r>
      <w:r w:rsidR="00D748E1">
        <w:rPr>
          <w:rFonts w:cstheme="minorHAnsi"/>
        </w:rPr>
        <w:t xml:space="preserve"> la </w:t>
      </w:r>
      <w:r w:rsidR="00335E0B" w:rsidRPr="00593E65">
        <w:rPr>
          <w:rFonts w:cstheme="minorHAnsi"/>
        </w:rPr>
        <w:t>“Stipula dei contratti per la realizzazione delle Centrali Operative Territoriali”</w:t>
      </w:r>
      <w:r w:rsidR="006D0F95" w:rsidRPr="006D0F95">
        <w:rPr>
          <w:rFonts w:cstheme="minorHAnsi"/>
        </w:rPr>
        <w:t xml:space="preserve"> </w:t>
      </w:r>
      <w:r w:rsidR="006D0F95" w:rsidRPr="001D5972">
        <w:rPr>
          <w:rFonts w:cstheme="minorHAnsi"/>
        </w:rPr>
        <w:t>(</w:t>
      </w:r>
      <w:r w:rsidR="006D0F95" w:rsidRPr="001D5972">
        <w:rPr>
          <w:rFonts w:cstheme="minorHAnsi"/>
          <w:highlight w:val="yellow"/>
        </w:rPr>
        <w:t>tabella 1)</w:t>
      </w:r>
      <w:r w:rsidR="00335E0B" w:rsidRPr="00593E65">
        <w:rPr>
          <w:rFonts w:cstheme="minorHAnsi"/>
        </w:rPr>
        <w:t>.</w:t>
      </w:r>
      <w:r w:rsidR="00D748E1">
        <w:rPr>
          <w:rFonts w:cstheme="minorHAnsi"/>
        </w:rPr>
        <w:t xml:space="preserve"> </w:t>
      </w:r>
      <w:r w:rsidR="002B2105">
        <w:rPr>
          <w:rFonts w:cstheme="minorHAnsi"/>
        </w:rPr>
        <w:t>L’</w:t>
      </w:r>
      <w:r w:rsidR="00335E0B" w:rsidRPr="00593E65">
        <w:rPr>
          <w:rFonts w:cstheme="minorHAnsi"/>
        </w:rPr>
        <w:t>ulteriore target</w:t>
      </w:r>
      <w:r w:rsidR="005835E1">
        <w:rPr>
          <w:rFonts w:cstheme="minorHAnsi"/>
        </w:rPr>
        <w:t xml:space="preserve"> </w:t>
      </w:r>
      <w:r w:rsidR="005835E1" w:rsidRPr="00593E65">
        <w:rPr>
          <w:rFonts w:cstheme="minorHAnsi"/>
        </w:rPr>
        <w:t>“</w:t>
      </w:r>
      <w:r w:rsidR="00335E0B" w:rsidRPr="00593E65">
        <w:rPr>
          <w:rFonts w:cstheme="minorHAnsi"/>
        </w:rPr>
        <w:t>Nuovi pazienti che ricevono assistenza domiciliare (prima parte</w:t>
      </w:r>
      <w:r w:rsidR="00135A2A" w:rsidRPr="00593E65">
        <w:rPr>
          <w:rFonts w:cstheme="minorHAnsi"/>
        </w:rPr>
        <w:t>)</w:t>
      </w:r>
      <w:r w:rsidR="00335E0B" w:rsidRPr="00593E65">
        <w:rPr>
          <w:rFonts w:cstheme="minorHAnsi"/>
        </w:rPr>
        <w:t>”</w:t>
      </w:r>
      <w:r w:rsidR="005835E1">
        <w:rPr>
          <w:rFonts w:cstheme="minorHAnsi"/>
        </w:rPr>
        <w:t xml:space="preserve"> </w:t>
      </w:r>
      <w:r w:rsidR="00335E0B" w:rsidRPr="00593E65">
        <w:rPr>
          <w:rFonts w:cstheme="minorHAnsi"/>
        </w:rPr>
        <w:t xml:space="preserve">differito da marzo 2023 a marzo 2024 </w:t>
      </w:r>
      <w:r w:rsidR="0039018B">
        <w:rPr>
          <w:rFonts w:cstheme="minorHAnsi"/>
        </w:rPr>
        <w:t>è stato raggiunto alla scadenza prevista</w:t>
      </w:r>
      <w:r w:rsidR="000720DE">
        <w:rPr>
          <w:rFonts w:cstheme="minorHAnsi"/>
        </w:rPr>
        <w:t xml:space="preserve">, insieme a quello </w:t>
      </w:r>
      <w:r w:rsidR="001D5972">
        <w:rPr>
          <w:rFonts w:cstheme="minorHAnsi"/>
        </w:rPr>
        <w:t xml:space="preserve">previsto per </w:t>
      </w:r>
      <w:r w:rsidR="000720DE">
        <w:rPr>
          <w:rFonts w:cstheme="minorHAnsi"/>
        </w:rPr>
        <w:t xml:space="preserve">marzo 2024 </w:t>
      </w:r>
      <w:r w:rsidR="001D5972" w:rsidRPr="00593E65">
        <w:rPr>
          <w:rFonts w:cstheme="minorHAnsi"/>
        </w:rPr>
        <w:t>“Nuovi pazienti che ricevono assistenza domiciliare (</w:t>
      </w:r>
      <w:r w:rsidR="001D5972">
        <w:rPr>
          <w:rFonts w:cstheme="minorHAnsi"/>
        </w:rPr>
        <w:t>seconda</w:t>
      </w:r>
      <w:r w:rsidR="001D5972" w:rsidRPr="00593E65">
        <w:rPr>
          <w:rFonts w:cstheme="minorHAnsi"/>
        </w:rPr>
        <w:t xml:space="preserve"> parte)”</w:t>
      </w:r>
      <w:r w:rsidR="002B2105">
        <w:rPr>
          <w:rFonts w:cstheme="minorHAnsi"/>
        </w:rPr>
        <w:t xml:space="preserve">. </w:t>
      </w:r>
    </w:p>
    <w:p w14:paraId="7F6499B1" w14:textId="77777777" w:rsidR="0085624B" w:rsidRPr="0085624B" w:rsidRDefault="0085624B" w:rsidP="0085624B">
      <w:pPr>
        <w:pStyle w:val="Paragrafoelenco"/>
        <w:spacing w:line="276" w:lineRule="auto"/>
        <w:ind w:left="360"/>
        <w:jc w:val="both"/>
        <w:rPr>
          <w:rFonts w:cstheme="minorHAnsi"/>
        </w:rPr>
      </w:pPr>
    </w:p>
    <w:p w14:paraId="5169137C" w14:textId="2F6A6282" w:rsidR="008218B7" w:rsidRDefault="00ED6E07" w:rsidP="005B50EF">
      <w:pPr>
        <w:jc w:val="both"/>
        <w:rPr>
          <w:rFonts w:cstheme="minorHAnsi"/>
        </w:rPr>
      </w:pPr>
      <w:r w:rsidRPr="001D5972">
        <w:rPr>
          <w:rFonts w:cstheme="minorHAnsi"/>
        </w:rPr>
        <w:t>«</w:t>
      </w:r>
      <w:r w:rsidR="001D5972" w:rsidRPr="001D5972">
        <w:rPr>
          <w:rFonts w:cstheme="minorHAnsi"/>
        </w:rPr>
        <w:t>Raggiunti gli obiettivi per l’assistenza domiciliare</w:t>
      </w:r>
      <w:r w:rsidR="001D5972">
        <w:rPr>
          <w:rFonts w:cstheme="minorHAnsi"/>
        </w:rPr>
        <w:t xml:space="preserve"> integrata (ADI) negli over 65</w:t>
      </w:r>
      <w:r w:rsidR="001D5972" w:rsidRPr="001D5972">
        <w:rPr>
          <w:rFonts w:cstheme="minorHAnsi"/>
        </w:rPr>
        <w:t xml:space="preserve"> – commenta Cartabellotta – </w:t>
      </w:r>
      <w:r w:rsidR="0020319A" w:rsidRPr="001D5972">
        <w:rPr>
          <w:rFonts w:cstheme="minorHAnsi"/>
        </w:rPr>
        <w:t xml:space="preserve">i </w:t>
      </w:r>
      <w:r w:rsidR="004F3422" w:rsidRPr="001D5972">
        <w:rPr>
          <w:rFonts w:cstheme="minorHAnsi"/>
        </w:rPr>
        <w:t>ritardi</w:t>
      </w:r>
      <w:r w:rsidR="0020319A" w:rsidRPr="001D5972">
        <w:rPr>
          <w:rFonts w:cstheme="minorHAnsi"/>
        </w:rPr>
        <w:t xml:space="preserve"> </w:t>
      </w:r>
      <w:r w:rsidR="001D5972" w:rsidRPr="001D5972">
        <w:rPr>
          <w:rFonts w:cstheme="minorHAnsi"/>
        </w:rPr>
        <w:t xml:space="preserve">attuali </w:t>
      </w:r>
      <w:r w:rsidR="0020319A" w:rsidRPr="001D5972">
        <w:rPr>
          <w:rFonts w:cstheme="minorHAnsi"/>
        </w:rPr>
        <w:t xml:space="preserve">sulle scadenze </w:t>
      </w:r>
      <w:r w:rsidR="003525B9" w:rsidRPr="001D5972">
        <w:rPr>
          <w:rFonts w:cstheme="minorHAnsi"/>
        </w:rPr>
        <w:t>nazionali</w:t>
      </w:r>
      <w:r w:rsidR="0020319A" w:rsidRPr="001D5972">
        <w:rPr>
          <w:rFonts w:cstheme="minorHAnsi"/>
        </w:rPr>
        <w:t xml:space="preserve"> </w:t>
      </w:r>
      <w:r w:rsidRPr="001D5972">
        <w:rPr>
          <w:rFonts w:cstheme="minorHAnsi"/>
        </w:rPr>
        <w:t xml:space="preserve">non </w:t>
      </w:r>
      <w:r w:rsidR="000B15C0" w:rsidRPr="001D5972">
        <w:rPr>
          <w:rFonts w:cstheme="minorHAnsi"/>
        </w:rPr>
        <w:t>sono</w:t>
      </w:r>
      <w:r w:rsidR="00611A35" w:rsidRPr="001D5972">
        <w:rPr>
          <w:rFonts w:cstheme="minorHAnsi"/>
        </w:rPr>
        <w:t xml:space="preserve"> </w:t>
      </w:r>
      <w:r w:rsidR="00CB2567" w:rsidRPr="001D5972">
        <w:rPr>
          <w:rFonts w:cstheme="minorHAnsi"/>
        </w:rPr>
        <w:t xml:space="preserve">particolarmente </w:t>
      </w:r>
      <w:r w:rsidRPr="001D5972">
        <w:rPr>
          <w:rFonts w:cstheme="minorHAnsi"/>
        </w:rPr>
        <w:t>critici</w:t>
      </w:r>
      <w:r w:rsidR="00611A35" w:rsidRPr="001D5972">
        <w:rPr>
          <w:rFonts w:cstheme="minorHAnsi"/>
        </w:rPr>
        <w:t xml:space="preserve">. </w:t>
      </w:r>
      <w:r w:rsidR="001D5972">
        <w:rPr>
          <w:rFonts w:cstheme="minorHAnsi"/>
        </w:rPr>
        <w:t xml:space="preserve">Tuttavia, il raggiungimento degli obiettivi nazionali </w:t>
      </w:r>
      <w:r w:rsidR="00EC327F">
        <w:rPr>
          <w:rFonts w:cstheme="minorHAnsi"/>
        </w:rPr>
        <w:t>sull’ADI</w:t>
      </w:r>
      <w:r w:rsidR="001E7855">
        <w:rPr>
          <w:rFonts w:cstheme="minorHAnsi"/>
        </w:rPr>
        <w:t xml:space="preserve"> è condizionato da</w:t>
      </w:r>
      <w:r w:rsidR="001D5972">
        <w:rPr>
          <w:rFonts w:cstheme="minorHAnsi"/>
        </w:rPr>
        <w:t xml:space="preserve"> rilevanti differenze regionali, consegu</w:t>
      </w:r>
      <w:r w:rsidR="001E7855">
        <w:rPr>
          <w:rFonts w:cstheme="minorHAnsi"/>
        </w:rPr>
        <w:t xml:space="preserve">enti </w:t>
      </w:r>
      <w:r w:rsidR="001D5972">
        <w:rPr>
          <w:rFonts w:cstheme="minorHAnsi"/>
        </w:rPr>
        <w:t xml:space="preserve">sia al “punto di </w:t>
      </w:r>
      <w:r w:rsidR="001D5972">
        <w:rPr>
          <w:rFonts w:cstheme="minorHAnsi"/>
        </w:rPr>
        <w:lastRenderedPageBreak/>
        <w:t xml:space="preserve">partenza” delle Regioni del Mezzogiorno, sia </w:t>
      </w:r>
      <w:r w:rsidR="001E7855">
        <w:rPr>
          <w:rFonts w:cstheme="minorHAnsi"/>
        </w:rPr>
        <w:t>a</w:t>
      </w:r>
      <w:r w:rsidR="00EC327F">
        <w:rPr>
          <w:rFonts w:cstheme="minorHAnsi"/>
        </w:rPr>
        <w:t xml:space="preserve">lle loro </w:t>
      </w:r>
      <w:r w:rsidR="001D5972">
        <w:rPr>
          <w:rFonts w:cstheme="minorHAnsi"/>
        </w:rPr>
        <w:t xml:space="preserve">capacità di recuperare il gap </w:t>
      </w:r>
      <w:r w:rsidR="00EC327F">
        <w:rPr>
          <w:rFonts w:cstheme="minorHAnsi"/>
        </w:rPr>
        <w:t xml:space="preserve">con </w:t>
      </w:r>
      <w:r w:rsidR="001D5972">
        <w:rPr>
          <w:rFonts w:cstheme="minorHAnsi"/>
        </w:rPr>
        <w:t>l’avvio del PNRR</w:t>
      </w:r>
      <w:r w:rsidR="001D5972" w:rsidRPr="00C62779">
        <w:rPr>
          <w:rFonts w:cstheme="minorHAnsi"/>
        </w:rPr>
        <w:t>»</w:t>
      </w:r>
      <w:r w:rsidR="00204462">
        <w:rPr>
          <w:rFonts w:cstheme="minorHAnsi"/>
        </w:rPr>
        <w:t xml:space="preserve">. In dettaglio, secondo quanto previsto dal </w:t>
      </w:r>
      <w:hyperlink r:id="rId10" w:history="1">
        <w:r w:rsidR="00204462" w:rsidRPr="003C0E1C">
          <w:rPr>
            <w:rStyle w:val="Collegamentoipertestuale"/>
            <w:rFonts w:cstheme="minorHAnsi"/>
          </w:rPr>
          <w:t>Decreto del Ministero della Salute del 13 marzo 2023</w:t>
        </w:r>
      </w:hyperlink>
      <w:r w:rsidR="00204462">
        <w:rPr>
          <w:rFonts w:cstheme="minorHAnsi"/>
        </w:rPr>
        <w:t xml:space="preserve"> per</w:t>
      </w:r>
      <w:r w:rsidR="00204462" w:rsidRPr="00C62779">
        <w:rPr>
          <w:rFonts w:cstheme="minorHAnsi"/>
        </w:rPr>
        <w:t xml:space="preserve"> assistere </w:t>
      </w:r>
      <w:r w:rsidR="00204462">
        <w:rPr>
          <w:rFonts w:cstheme="minorHAnsi"/>
        </w:rPr>
        <w:t xml:space="preserve">almeno </w:t>
      </w:r>
      <w:r w:rsidR="00204462" w:rsidRPr="00C62779">
        <w:rPr>
          <w:rFonts w:cstheme="minorHAnsi"/>
        </w:rPr>
        <w:t>il 10% della popolazione over 65 in ADI</w:t>
      </w:r>
      <w:r w:rsidR="001E7855">
        <w:rPr>
          <w:rFonts w:cstheme="minorHAnsi"/>
        </w:rPr>
        <w:t>,</w:t>
      </w:r>
      <w:r w:rsidR="00204462">
        <w:rPr>
          <w:rFonts w:cstheme="minorHAnsi"/>
        </w:rPr>
        <w:t xml:space="preserve"> il PNRR ha l’obiettivo di aumentare </w:t>
      </w:r>
      <w:r w:rsidR="001E7855">
        <w:rPr>
          <w:rFonts w:cstheme="minorHAnsi"/>
        </w:rPr>
        <w:t xml:space="preserve">le </w:t>
      </w:r>
      <w:r w:rsidR="00204462">
        <w:rPr>
          <w:rFonts w:cstheme="minorHAnsi"/>
        </w:rPr>
        <w:t xml:space="preserve">persone prese in carico </w:t>
      </w:r>
      <w:r w:rsidR="00204462" w:rsidRPr="00C62779">
        <w:rPr>
          <w:rFonts w:cstheme="minorHAnsi"/>
        </w:rPr>
        <w:t>da</w:t>
      </w:r>
      <w:r w:rsidR="00204462">
        <w:rPr>
          <w:rFonts w:cstheme="minorHAnsi"/>
        </w:rPr>
        <w:t xml:space="preserve">gli oltre 640 mila del dicembre 2019 </w:t>
      </w:r>
      <w:r w:rsidR="00204462" w:rsidRPr="00C62779">
        <w:rPr>
          <w:rFonts w:cstheme="minorHAnsi"/>
        </w:rPr>
        <w:t>a</w:t>
      </w:r>
      <w:r w:rsidR="00204462">
        <w:rPr>
          <w:rFonts w:cstheme="minorHAnsi"/>
        </w:rPr>
        <w:t xml:space="preserve"> poco meno di </w:t>
      </w:r>
      <w:r w:rsidR="00204462" w:rsidRPr="00C62779">
        <w:rPr>
          <w:rFonts w:cstheme="minorHAnsi"/>
        </w:rPr>
        <w:t xml:space="preserve">1,5 milioni nel 2026, per un </w:t>
      </w:r>
      <w:r w:rsidR="001E7855">
        <w:rPr>
          <w:rFonts w:cstheme="minorHAnsi"/>
        </w:rPr>
        <w:t xml:space="preserve">incremento </w:t>
      </w:r>
      <w:r w:rsidR="00204462" w:rsidRPr="00C62779">
        <w:rPr>
          <w:rFonts w:cstheme="minorHAnsi"/>
        </w:rPr>
        <w:t>totale di oltre 808 mila</w:t>
      </w:r>
      <w:r w:rsidR="002B2105">
        <w:rPr>
          <w:rFonts w:cstheme="minorHAnsi"/>
        </w:rPr>
        <w:t xml:space="preserve"> assistiti</w:t>
      </w:r>
      <w:r w:rsidR="00204462">
        <w:rPr>
          <w:rFonts w:cstheme="minorHAnsi"/>
        </w:rPr>
        <w:t xml:space="preserve">. </w:t>
      </w:r>
      <w:r w:rsidR="00446B2D">
        <w:rPr>
          <w:rFonts w:cstheme="minorHAnsi"/>
        </w:rPr>
        <w:t>Rispetto a</w:t>
      </w:r>
      <w:r w:rsidR="001E7855">
        <w:rPr>
          <w:rFonts w:cstheme="minorHAnsi"/>
        </w:rPr>
        <w:t xml:space="preserve">i target intermedi per </w:t>
      </w:r>
      <w:r w:rsidR="00446B2D">
        <w:rPr>
          <w:rFonts w:cstheme="minorHAnsi"/>
        </w:rPr>
        <w:t>raggiung</w:t>
      </w:r>
      <w:r w:rsidR="001E7855">
        <w:rPr>
          <w:rFonts w:cstheme="minorHAnsi"/>
        </w:rPr>
        <w:t>ere</w:t>
      </w:r>
      <w:r w:rsidR="00446B2D">
        <w:rPr>
          <w:rFonts w:cstheme="minorHAnsi"/>
        </w:rPr>
        <w:t xml:space="preserve"> tale numero, </w:t>
      </w:r>
      <w:r w:rsidR="00BC5E6B">
        <w:rPr>
          <w:rFonts w:cstheme="minorHAnsi"/>
        </w:rPr>
        <w:t xml:space="preserve">la </w:t>
      </w:r>
      <w:r w:rsidR="00BC5E6B" w:rsidRPr="00AF6AD7">
        <w:rPr>
          <w:rFonts w:cstheme="minorHAnsi"/>
        </w:rPr>
        <w:t xml:space="preserve">recente </w:t>
      </w:r>
      <w:hyperlink r:id="rId11" w:history="1">
        <w:r w:rsidR="00BC5E6B" w:rsidRPr="00AF6AD7">
          <w:rPr>
            <w:rStyle w:val="Collegamentoipertestuale"/>
            <w:rFonts w:cstheme="minorHAnsi"/>
          </w:rPr>
          <w:t>relazione dell’</w:t>
        </w:r>
        <w:proofErr w:type="spellStart"/>
        <w:r w:rsidR="00446B2D" w:rsidRPr="00AF6AD7">
          <w:rPr>
            <w:rStyle w:val="Collegamentoipertestuale"/>
            <w:rFonts w:cstheme="minorHAnsi"/>
          </w:rPr>
          <w:t>Agenas</w:t>
        </w:r>
        <w:proofErr w:type="spellEnd"/>
      </w:hyperlink>
      <w:r w:rsidR="00446B2D" w:rsidRPr="00AF6AD7">
        <w:rPr>
          <w:rFonts w:cstheme="minorHAnsi"/>
        </w:rPr>
        <w:t xml:space="preserve"> </w:t>
      </w:r>
      <w:r w:rsidR="00446B2D">
        <w:rPr>
          <w:rFonts w:cstheme="minorHAnsi"/>
        </w:rPr>
        <w:t>documenta che nel 2023 il target nazionale di 526</w:t>
      </w:r>
      <w:r w:rsidR="002B2105">
        <w:rPr>
          <w:rFonts w:cstheme="minorHAnsi"/>
        </w:rPr>
        <w:t xml:space="preserve"> </w:t>
      </w:r>
      <w:r w:rsidR="00446B2D">
        <w:rPr>
          <w:rFonts w:cstheme="minorHAnsi"/>
        </w:rPr>
        <w:t>mila, previsto dal DM 13 marzo 2023, è stato superato (</w:t>
      </w:r>
      <w:r w:rsidR="00446B2D" w:rsidRPr="00345BE3">
        <w:rPr>
          <w:rFonts w:cstheme="minorHAnsi"/>
        </w:rPr>
        <w:t>+1%)</w:t>
      </w:r>
      <w:r w:rsidR="00345BE3" w:rsidRPr="00345BE3">
        <w:rPr>
          <w:rFonts w:cstheme="minorHAnsi"/>
        </w:rPr>
        <w:t xml:space="preserve">. </w:t>
      </w:r>
      <w:r w:rsidR="006107BB" w:rsidRPr="00345BE3">
        <w:rPr>
          <w:rFonts w:cstheme="minorHAnsi"/>
        </w:rPr>
        <w:t>«</w:t>
      </w:r>
      <w:r w:rsidR="00CA5DBC" w:rsidRPr="00345BE3">
        <w:rPr>
          <w:rFonts w:cstheme="minorHAnsi"/>
        </w:rPr>
        <w:t xml:space="preserve">Tuttavia </w:t>
      </w:r>
      <w:r w:rsidR="006107BB">
        <w:rPr>
          <w:rFonts w:cstheme="minorHAnsi"/>
        </w:rPr>
        <w:t xml:space="preserve">– spiega Cartabellotta </w:t>
      </w:r>
      <w:r w:rsidR="00CA5DBC">
        <w:rPr>
          <w:rFonts w:cstheme="minorHAnsi"/>
        </w:rPr>
        <w:t>–</w:t>
      </w:r>
      <w:r w:rsidR="006107BB">
        <w:rPr>
          <w:rFonts w:cstheme="minorHAnsi"/>
        </w:rPr>
        <w:t xml:space="preserve"> </w:t>
      </w:r>
      <w:r w:rsidR="00826F53">
        <w:rPr>
          <w:rFonts w:cstheme="minorHAnsi"/>
        </w:rPr>
        <w:t xml:space="preserve">il dato </w:t>
      </w:r>
      <w:r w:rsidR="00446B2D">
        <w:rPr>
          <w:rFonts w:cstheme="minorHAnsi"/>
        </w:rPr>
        <w:t>nazionale</w:t>
      </w:r>
      <w:r w:rsidR="00826F53">
        <w:rPr>
          <w:rFonts w:cstheme="minorHAnsi"/>
        </w:rPr>
        <w:t xml:space="preserve"> è distorto </w:t>
      </w:r>
      <w:r w:rsidR="002B2105">
        <w:rPr>
          <w:rFonts w:cstheme="minorHAnsi"/>
        </w:rPr>
        <w:t>dai risultati estremamente differenti raggiunti dalle Regioni</w:t>
      </w:r>
      <w:r w:rsidR="00826F53">
        <w:rPr>
          <w:rFonts w:cstheme="minorHAnsi"/>
        </w:rPr>
        <w:t xml:space="preserve">. Infatti, rispetto ad una media nazionale del 101%, </w:t>
      </w:r>
      <w:r w:rsidR="00386AB6">
        <w:rPr>
          <w:rFonts w:cstheme="minorHAnsi"/>
        </w:rPr>
        <w:t>alcune</w:t>
      </w:r>
      <w:r w:rsidR="00826F53">
        <w:rPr>
          <w:rFonts w:cstheme="minorHAnsi"/>
        </w:rPr>
        <w:t xml:space="preserve"> Regioni fanno registrare incrementi molto rilevanti: Provincia autonoma di Trento (235%), Umbria (206%), Puglia (145%), Toscana (144%). </w:t>
      </w:r>
      <w:r w:rsidR="00386AB6">
        <w:rPr>
          <w:rFonts w:cstheme="minorHAnsi"/>
        </w:rPr>
        <w:t>Risultati che “compensano” quelli di altre Regioni</w:t>
      </w:r>
      <w:r w:rsidR="00BC5E6B">
        <w:rPr>
          <w:rFonts w:cstheme="minorHAnsi"/>
        </w:rPr>
        <w:t>: i</w:t>
      </w:r>
      <w:r w:rsidR="00386AB6">
        <w:rPr>
          <w:rFonts w:cstheme="minorHAnsi"/>
        </w:rPr>
        <w:t xml:space="preserve">n particolare Sardegna (77%), Campania (62%) e, soprattutto, Sicilia </w:t>
      </w:r>
      <w:r w:rsidR="00BC5E6B">
        <w:rPr>
          <w:rFonts w:cstheme="minorHAnsi"/>
        </w:rPr>
        <w:t>che rimane fanalino di coda all’</w:t>
      </w:r>
      <w:r w:rsidR="00386AB6">
        <w:rPr>
          <w:rFonts w:cstheme="minorHAnsi"/>
        </w:rPr>
        <w:t>1%</w:t>
      </w:r>
      <w:r w:rsidR="006107BB" w:rsidRPr="00C62779">
        <w:rPr>
          <w:rFonts w:cstheme="minorHAnsi"/>
        </w:rPr>
        <w:t>»</w:t>
      </w:r>
      <w:r w:rsidR="006107BB">
        <w:rPr>
          <w:rFonts w:cstheme="minorHAnsi"/>
        </w:rPr>
        <w:t xml:space="preserve"> </w:t>
      </w:r>
      <w:r w:rsidR="00C62779">
        <w:rPr>
          <w:rFonts w:cstheme="minorHAnsi"/>
        </w:rPr>
        <w:t>(</w:t>
      </w:r>
      <w:r w:rsidR="00793DB9" w:rsidRPr="00793DB9">
        <w:rPr>
          <w:rFonts w:cstheme="minorHAnsi"/>
          <w:highlight w:val="yellow"/>
        </w:rPr>
        <w:t>figura 1</w:t>
      </w:r>
      <w:r w:rsidR="00C62779">
        <w:rPr>
          <w:rFonts w:cstheme="minorHAnsi"/>
        </w:rPr>
        <w:t>)</w:t>
      </w:r>
      <w:r w:rsidR="00CA5DBC">
        <w:rPr>
          <w:rFonts w:cstheme="minorHAnsi"/>
        </w:rPr>
        <w:t>.</w:t>
      </w:r>
    </w:p>
    <w:p w14:paraId="471D635F" w14:textId="77777777" w:rsidR="004A7690" w:rsidRDefault="005B50EF" w:rsidP="005B50EF">
      <w:pPr>
        <w:jc w:val="both"/>
        <w:rPr>
          <w:rFonts w:cstheme="minorHAnsi"/>
        </w:rPr>
      </w:pPr>
      <w:r w:rsidRPr="006E4DD4">
        <w:rPr>
          <w:rFonts w:cstheme="minorHAnsi"/>
          <w:b/>
          <w:bCs/>
        </w:rPr>
        <w:t>RIMODULAZIONE</w:t>
      </w:r>
      <w:r>
        <w:rPr>
          <w:rFonts w:cstheme="minorHAnsi"/>
          <w:b/>
          <w:bCs/>
        </w:rPr>
        <w:t xml:space="preserve"> </w:t>
      </w:r>
      <w:r w:rsidR="0085624B">
        <w:rPr>
          <w:rFonts w:cstheme="minorHAnsi"/>
          <w:b/>
          <w:bCs/>
        </w:rPr>
        <w:t xml:space="preserve">DELLA </w:t>
      </w:r>
      <w:r>
        <w:rPr>
          <w:rFonts w:cstheme="minorHAnsi"/>
          <w:b/>
          <w:bCs/>
        </w:rPr>
        <w:t>MISSIONE 6 SALUTE</w:t>
      </w:r>
      <w:r w:rsidR="00C06758">
        <w:rPr>
          <w:rFonts w:cstheme="minorHAnsi"/>
          <w:b/>
          <w:bCs/>
        </w:rPr>
        <w:t xml:space="preserve">. </w:t>
      </w:r>
      <w:r w:rsidR="00C207C9">
        <w:rPr>
          <w:rFonts w:cstheme="minorHAnsi"/>
        </w:rPr>
        <w:t>La</w:t>
      </w:r>
      <w:r w:rsidR="001A1EBA">
        <w:rPr>
          <w:rFonts w:cstheme="minorHAnsi"/>
        </w:rPr>
        <w:t xml:space="preserve"> “</w:t>
      </w:r>
      <w:hyperlink r:id="rId12" w:history="1">
        <w:r w:rsidR="00C207C9">
          <w:rPr>
            <w:rStyle w:val="Collegamentoipertestuale"/>
            <w:rFonts w:cstheme="minorHAnsi"/>
          </w:rPr>
          <w:t xml:space="preserve">Quarta </w:t>
        </w:r>
        <w:r w:rsidR="001A1EBA" w:rsidRPr="0016576E">
          <w:rPr>
            <w:rStyle w:val="Collegamentoipertestuale"/>
            <w:rFonts w:cstheme="minorHAnsi"/>
          </w:rPr>
          <w:t xml:space="preserve">Relazione sullo stato di </w:t>
        </w:r>
        <w:r w:rsidR="00C207C9">
          <w:rPr>
            <w:rStyle w:val="Collegamentoipertestuale"/>
            <w:rFonts w:cstheme="minorHAnsi"/>
          </w:rPr>
          <w:t xml:space="preserve">attuazione </w:t>
        </w:r>
        <w:r w:rsidR="001A1EBA" w:rsidRPr="0016576E">
          <w:rPr>
            <w:rStyle w:val="Collegamentoipertestuale"/>
            <w:rFonts w:cstheme="minorHAnsi"/>
          </w:rPr>
          <w:t>del PNRR</w:t>
        </w:r>
      </w:hyperlink>
      <w:r w:rsidR="001A1EBA">
        <w:rPr>
          <w:rFonts w:cstheme="minorHAnsi"/>
        </w:rPr>
        <w:t>”</w:t>
      </w:r>
      <w:r w:rsidR="004A7690">
        <w:rPr>
          <w:rFonts w:cstheme="minorHAnsi"/>
        </w:rPr>
        <w:t>,</w:t>
      </w:r>
      <w:r w:rsidR="00027762">
        <w:rPr>
          <w:rFonts w:cstheme="minorHAnsi"/>
        </w:rPr>
        <w:t xml:space="preserve"> </w:t>
      </w:r>
      <w:r w:rsidR="0016576E">
        <w:rPr>
          <w:rFonts w:cstheme="minorHAnsi"/>
        </w:rPr>
        <w:t>pubblicata lo scorso 22 febbraio</w:t>
      </w:r>
      <w:r w:rsidR="004A7690">
        <w:rPr>
          <w:rFonts w:cstheme="minorHAnsi"/>
        </w:rPr>
        <w:t xml:space="preserve">, </w:t>
      </w:r>
      <w:r w:rsidR="00C207C9">
        <w:rPr>
          <w:rFonts w:cstheme="minorHAnsi"/>
        </w:rPr>
        <w:t xml:space="preserve">riporta </w:t>
      </w:r>
      <w:r>
        <w:rPr>
          <w:rFonts w:cstheme="minorHAnsi"/>
        </w:rPr>
        <w:t xml:space="preserve">le variazioni </w:t>
      </w:r>
      <w:r w:rsidR="001A1EBA">
        <w:rPr>
          <w:rFonts w:cstheme="minorHAnsi"/>
        </w:rPr>
        <w:t xml:space="preserve">rispetto al piano originale </w:t>
      </w:r>
      <w:hyperlink r:id="rId13" w:history="1">
        <w:r w:rsidRPr="006E4DD4">
          <w:rPr>
            <w:rStyle w:val="Collegamentoipertestuale"/>
            <w:rFonts w:cstheme="minorHAnsi"/>
          </w:rPr>
          <w:t>approvat</w:t>
        </w:r>
        <w:r w:rsidR="001A1EBA">
          <w:rPr>
            <w:rStyle w:val="Collegamentoipertestuale"/>
            <w:rFonts w:cstheme="minorHAnsi"/>
          </w:rPr>
          <w:t>e dalla Commissione Europea</w:t>
        </w:r>
        <w:r w:rsidRPr="006E4DD4">
          <w:rPr>
            <w:rStyle w:val="Collegamentoipertestuale"/>
            <w:rFonts w:cstheme="minorHAnsi"/>
          </w:rPr>
          <w:t xml:space="preserve"> il 24 novembre 2023</w:t>
        </w:r>
      </w:hyperlink>
      <w:r w:rsidR="00640E83" w:rsidRPr="00640E83">
        <w:t>, rela</w:t>
      </w:r>
      <w:r w:rsidR="00640E83">
        <w:t xml:space="preserve">tive alla rimodulazione delle risorse tra le due </w:t>
      </w:r>
      <w:r w:rsidR="001E7855">
        <w:t>Componenti della Missione Salute</w:t>
      </w:r>
      <w:r w:rsidR="00640E83">
        <w:t xml:space="preserve">, alle variazioni quantitative </w:t>
      </w:r>
      <w:r w:rsidR="00495276">
        <w:t xml:space="preserve">dei progetti </w:t>
      </w:r>
      <w:r w:rsidR="00640E83">
        <w:t>e ai differimenti temporali.</w:t>
      </w:r>
    </w:p>
    <w:p w14:paraId="4D7A1FDC" w14:textId="4459DEA5" w:rsidR="004A7690" w:rsidRPr="00B6546E" w:rsidRDefault="004A7690" w:rsidP="004A7690">
      <w:pPr>
        <w:jc w:val="both"/>
        <w:rPr>
          <w:rFonts w:cstheme="minorHAnsi"/>
        </w:rPr>
      </w:pPr>
      <w:r w:rsidRPr="004A7690">
        <w:rPr>
          <w:rFonts w:cstheme="minorHAnsi"/>
          <w:b/>
          <w:bCs/>
        </w:rPr>
        <w:t>Risorse</w:t>
      </w:r>
      <w:r>
        <w:rPr>
          <w:rFonts w:cstheme="minorHAnsi"/>
        </w:rPr>
        <w:t xml:space="preserve">. La </w:t>
      </w:r>
      <w:r w:rsidRPr="004A7690">
        <w:rPr>
          <w:rFonts w:cstheme="minorHAnsi"/>
        </w:rPr>
        <w:t xml:space="preserve">dotazione finanziaria della </w:t>
      </w:r>
      <w:r>
        <w:rPr>
          <w:rFonts w:cstheme="minorHAnsi"/>
        </w:rPr>
        <w:t>M</w:t>
      </w:r>
      <w:r w:rsidRPr="004A7690">
        <w:rPr>
          <w:rFonts w:cstheme="minorHAnsi"/>
        </w:rPr>
        <w:t>issione</w:t>
      </w:r>
      <w:r>
        <w:rPr>
          <w:rFonts w:cstheme="minorHAnsi"/>
        </w:rPr>
        <w:t xml:space="preserve"> 6 Salute</w:t>
      </w:r>
      <w:r w:rsidRPr="004A7690">
        <w:rPr>
          <w:rFonts w:cstheme="minorHAnsi"/>
        </w:rPr>
        <w:t xml:space="preserve">, pari a circa </w:t>
      </w:r>
      <w:r>
        <w:rPr>
          <w:rFonts w:cstheme="minorHAnsi"/>
        </w:rPr>
        <w:t xml:space="preserve">€ </w:t>
      </w:r>
      <w:r w:rsidRPr="004A7690">
        <w:rPr>
          <w:rFonts w:cstheme="minorHAnsi"/>
        </w:rPr>
        <w:t>15,6 miliardi</w:t>
      </w:r>
      <w:r>
        <w:rPr>
          <w:rFonts w:cstheme="minorHAnsi"/>
        </w:rPr>
        <w:t xml:space="preserve">, è rimasta invariata. La rimodulazione ha redistribuito € </w:t>
      </w:r>
      <w:r w:rsidR="00B37346" w:rsidRPr="00D931DB">
        <w:rPr>
          <w:rFonts w:cstheme="minorHAnsi"/>
        </w:rPr>
        <w:t>750</w:t>
      </w:r>
      <w:r w:rsidRPr="00D931DB">
        <w:rPr>
          <w:rFonts w:cstheme="minorHAnsi"/>
        </w:rPr>
        <w:t xml:space="preserve"> </w:t>
      </w:r>
      <w:r>
        <w:rPr>
          <w:rFonts w:cstheme="minorHAnsi"/>
        </w:rPr>
        <w:t xml:space="preserve">milioni dalla Componente 2 alla Componente 1. </w:t>
      </w:r>
      <w:r w:rsidRPr="004A7690">
        <w:rPr>
          <w:rFonts w:cstheme="minorHAnsi"/>
        </w:rPr>
        <w:t>In particolare, sono stati potenziati i nuovi progetti riferiti all’</w:t>
      </w:r>
      <w:r w:rsidR="00B37346">
        <w:rPr>
          <w:rFonts w:cstheme="minorHAnsi"/>
        </w:rPr>
        <w:t>a</w:t>
      </w:r>
      <w:r w:rsidRPr="004A7690">
        <w:rPr>
          <w:rFonts w:cstheme="minorHAnsi"/>
        </w:rPr>
        <w:t>ssistenza domiciliare</w:t>
      </w:r>
      <w:r w:rsidR="00B37346">
        <w:rPr>
          <w:rFonts w:cstheme="minorHAnsi"/>
        </w:rPr>
        <w:t xml:space="preserve"> (+ € 250 milioni)</w:t>
      </w:r>
      <w:r w:rsidRPr="004A7690">
        <w:rPr>
          <w:rFonts w:cstheme="minorHAnsi"/>
        </w:rPr>
        <w:t xml:space="preserve"> e alla </w:t>
      </w:r>
      <w:r w:rsidR="00B37346">
        <w:rPr>
          <w:rFonts w:cstheme="minorHAnsi"/>
        </w:rPr>
        <w:t>t</w:t>
      </w:r>
      <w:r w:rsidRPr="004A7690">
        <w:rPr>
          <w:rFonts w:cstheme="minorHAnsi"/>
        </w:rPr>
        <w:t xml:space="preserve">elemedicina </w:t>
      </w:r>
      <w:r w:rsidR="00B37346">
        <w:rPr>
          <w:rFonts w:cstheme="minorHAnsi"/>
        </w:rPr>
        <w:t xml:space="preserve">(+ € 500 milioni), </w:t>
      </w:r>
      <w:r w:rsidR="004D2C12" w:rsidRPr="004D2C12">
        <w:rPr>
          <w:rFonts w:cstheme="minorHAnsi"/>
        </w:rPr>
        <w:t xml:space="preserve">con una riduzione </w:t>
      </w:r>
      <w:r w:rsidR="004D2C12">
        <w:rPr>
          <w:rFonts w:cstheme="minorHAnsi"/>
        </w:rPr>
        <w:t xml:space="preserve">(- € 750 milioni) </w:t>
      </w:r>
      <w:r w:rsidR="004D2C12" w:rsidRPr="004D2C12">
        <w:rPr>
          <w:rFonts w:cstheme="minorHAnsi"/>
        </w:rPr>
        <w:t xml:space="preserve">che </w:t>
      </w:r>
      <w:r w:rsidR="004D2C12">
        <w:rPr>
          <w:rFonts w:cstheme="minorHAnsi"/>
        </w:rPr>
        <w:t xml:space="preserve">sarà </w:t>
      </w:r>
      <w:r w:rsidR="004D2C12" w:rsidRPr="004D2C12">
        <w:rPr>
          <w:rFonts w:cstheme="minorHAnsi"/>
        </w:rPr>
        <w:t xml:space="preserve">compensata dalle risorse per progetti già in essere di edilizia sanitaria </w:t>
      </w:r>
      <w:r w:rsidR="001E7855">
        <w:rPr>
          <w:rFonts w:cstheme="minorHAnsi"/>
        </w:rPr>
        <w:t>ex. art. 20</w:t>
      </w:r>
      <w:r w:rsidR="00B37346">
        <w:rPr>
          <w:rFonts w:cstheme="minorHAnsi"/>
        </w:rPr>
        <w:t>.</w:t>
      </w:r>
    </w:p>
    <w:p w14:paraId="6125076C" w14:textId="49D837E9" w:rsidR="004A7690" w:rsidRPr="004A7690" w:rsidRDefault="004A7690" w:rsidP="004A7690">
      <w:pPr>
        <w:jc w:val="both"/>
        <w:rPr>
          <w:rFonts w:cstheme="minorHAnsi"/>
        </w:rPr>
      </w:pPr>
      <w:r w:rsidRPr="004A7690">
        <w:rPr>
          <w:b/>
          <w:bCs/>
        </w:rPr>
        <w:t>Variazioni quantitative</w:t>
      </w:r>
      <w:r>
        <w:rPr>
          <w:b/>
          <w:bCs/>
        </w:rPr>
        <w:t xml:space="preserve">. </w:t>
      </w:r>
      <w:r w:rsidR="003B4EE9">
        <w:rPr>
          <w:rFonts w:cstheme="minorHAnsi"/>
        </w:rPr>
        <w:t xml:space="preserve">La </w:t>
      </w:r>
      <w:r w:rsidRPr="00CB3138">
        <w:rPr>
          <w:rFonts w:cstheme="minorHAnsi"/>
          <w:highlight w:val="yellow"/>
        </w:rPr>
        <w:t xml:space="preserve">tabella </w:t>
      </w:r>
      <w:r w:rsidR="00793DB9" w:rsidRPr="00793DB9">
        <w:rPr>
          <w:rFonts w:cstheme="minorHAnsi"/>
          <w:highlight w:val="yellow"/>
        </w:rPr>
        <w:t>2</w:t>
      </w:r>
      <w:r w:rsidR="003B4EE9">
        <w:rPr>
          <w:rFonts w:cstheme="minorHAnsi"/>
        </w:rPr>
        <w:t xml:space="preserve"> riporta tutte le variazioni quantitativa approvate dal piano di rimodulazione.</w:t>
      </w:r>
    </w:p>
    <w:p w14:paraId="649AA588" w14:textId="758353FE" w:rsidR="00681FE9" w:rsidRPr="00681FE9" w:rsidRDefault="005B50EF" w:rsidP="00681FE9">
      <w:pPr>
        <w:pStyle w:val="Paragrafoelenco"/>
        <w:numPr>
          <w:ilvl w:val="0"/>
          <w:numId w:val="40"/>
        </w:numPr>
        <w:spacing w:line="276" w:lineRule="auto"/>
        <w:jc w:val="both"/>
      </w:pPr>
      <w:r w:rsidRPr="00681FE9">
        <w:rPr>
          <w:b/>
          <w:bCs/>
        </w:rPr>
        <w:t>Riduzione di Case della Comunità (-312), Centrali Operative Territoriali (-120) e Ospedali di Comunità (-</w:t>
      </w:r>
      <w:r w:rsidR="00CB3138" w:rsidRPr="00681FE9">
        <w:rPr>
          <w:b/>
          <w:bCs/>
        </w:rPr>
        <w:t>93</w:t>
      </w:r>
      <w:r w:rsidRPr="00681FE9">
        <w:rPr>
          <w:b/>
          <w:bCs/>
        </w:rPr>
        <w:t>) e interventi di antisismica (-25)</w:t>
      </w:r>
      <w:r>
        <w:t xml:space="preserve"> secondo criteri di distribuzione regionale al momento non noti. </w:t>
      </w:r>
      <w:r w:rsidRPr="006E4DD4">
        <w:rPr>
          <w:rFonts w:cstheme="minorHAnsi"/>
        </w:rPr>
        <w:t>«Se</w:t>
      </w:r>
      <w:r w:rsidR="002B2105">
        <w:rPr>
          <w:rFonts w:cstheme="minorHAnsi"/>
        </w:rPr>
        <w:t>,</w:t>
      </w:r>
      <w:r w:rsidR="00CB3138">
        <w:rPr>
          <w:rFonts w:cstheme="minorHAnsi"/>
        </w:rPr>
        <w:t xml:space="preserve"> come previsto dal piano di rimodulazione presentato dall’Italia,</w:t>
      </w:r>
      <w:r>
        <w:t xml:space="preserve"> </w:t>
      </w:r>
      <w:r w:rsidR="00113646">
        <w:t xml:space="preserve">saranno </w:t>
      </w:r>
      <w:r w:rsidRPr="006E4DD4">
        <w:rPr>
          <w:rFonts w:cstheme="minorHAnsi"/>
        </w:rPr>
        <w:t>espunte le strutture da realizzare ex novo</w:t>
      </w:r>
      <w:r w:rsidR="002B2105" w:rsidRPr="002B2105">
        <w:rPr>
          <w:rFonts w:cstheme="minorHAnsi"/>
        </w:rPr>
        <w:t xml:space="preserve"> </w:t>
      </w:r>
      <w:r w:rsidR="002B2105" w:rsidRPr="006E4DD4">
        <w:rPr>
          <w:rFonts w:cstheme="minorHAnsi"/>
        </w:rPr>
        <w:t>–</w:t>
      </w:r>
      <w:r w:rsidR="002B2105">
        <w:rPr>
          <w:rFonts w:cstheme="minorHAnsi"/>
        </w:rPr>
        <w:t xml:space="preserve"> spiega </w:t>
      </w:r>
      <w:r w:rsidR="002B2105" w:rsidRPr="006E4DD4">
        <w:rPr>
          <w:rFonts w:cstheme="minorHAnsi"/>
        </w:rPr>
        <w:t xml:space="preserve">Cartabellotta – </w:t>
      </w:r>
      <w:r w:rsidR="00CA5DBC" w:rsidRPr="006E4DD4">
        <w:rPr>
          <w:rFonts w:cstheme="minorHAnsi"/>
        </w:rPr>
        <w:t>ad essere penalizzate</w:t>
      </w:r>
      <w:r w:rsidR="00113646">
        <w:rPr>
          <w:rFonts w:cstheme="minorHAnsi"/>
        </w:rPr>
        <w:t xml:space="preserve"> saranno le Regioni del Mezzogiorno</w:t>
      </w:r>
      <w:r w:rsidR="00E77FF7">
        <w:rPr>
          <w:rFonts w:cstheme="minorHAnsi"/>
        </w:rPr>
        <w:t xml:space="preserve"> la cui dotazione iniziale era esigua</w:t>
      </w:r>
      <w:r w:rsidRPr="006E4DD4">
        <w:rPr>
          <w:rFonts w:cstheme="minorHAnsi"/>
        </w:rPr>
        <w:t xml:space="preserve">». </w:t>
      </w:r>
      <w:r w:rsidR="0071425A" w:rsidRPr="0071425A">
        <w:t>Per garantire la realizzazione di tutte le strutture e di tutti gli interventi inizialmente programmati, è previsto l’utilizzo di fondi alternativi</w:t>
      </w:r>
      <w:r w:rsidR="0071425A">
        <w:t xml:space="preserve">: </w:t>
      </w:r>
      <w:r w:rsidR="008522E6">
        <w:t>“</w:t>
      </w:r>
      <w:r w:rsidR="0071425A" w:rsidRPr="008522E6">
        <w:rPr>
          <w:i/>
          <w:iCs/>
        </w:rPr>
        <w:t xml:space="preserve">risorse da Accordo di Programma ex art. 20 L. 67/1988 ed eventuali risorse alternative, nonché le risorse addizionali del Fondo Opere Indifferibili, istituito per fronteggiare l’eccezionale aumento </w:t>
      </w:r>
      <w:r w:rsidR="002B2105" w:rsidRPr="008522E6">
        <w:rPr>
          <w:i/>
          <w:iCs/>
        </w:rPr>
        <w:t xml:space="preserve">dei costi </w:t>
      </w:r>
      <w:r w:rsidR="0071425A" w:rsidRPr="008522E6">
        <w:rPr>
          <w:i/>
          <w:iCs/>
        </w:rPr>
        <w:t>dei materiali da costruzione negli appalti pubblici</w:t>
      </w:r>
      <w:r w:rsidR="002B2105" w:rsidRPr="008522E6">
        <w:rPr>
          <w:i/>
          <w:iCs/>
        </w:rPr>
        <w:t>,</w:t>
      </w:r>
      <w:r w:rsidR="0071425A" w:rsidRPr="008522E6">
        <w:rPr>
          <w:i/>
          <w:iCs/>
        </w:rPr>
        <w:t xml:space="preserve"> e risorse derivanti dai bilanci regionali/provinciali</w:t>
      </w:r>
      <w:r w:rsidR="008522E6" w:rsidRPr="008522E6">
        <w:rPr>
          <w:i/>
          <w:iCs/>
        </w:rPr>
        <w:t>”</w:t>
      </w:r>
      <w:r w:rsidR="0071425A" w:rsidRPr="00681FE9">
        <w:t xml:space="preserve">. </w:t>
      </w:r>
      <w:r w:rsidRPr="00681FE9">
        <w:rPr>
          <w:rFonts w:cstheme="minorHAnsi"/>
        </w:rPr>
        <w:t>«</w:t>
      </w:r>
      <w:r w:rsidR="00681FE9" w:rsidRPr="00681FE9">
        <w:rPr>
          <w:rFonts w:cstheme="minorHAnsi"/>
        </w:rPr>
        <w:t xml:space="preserve">Senza entrare nel merito di tecnicismi </w:t>
      </w:r>
      <w:r w:rsidR="00681FE9" w:rsidRPr="00F75472">
        <w:rPr>
          <w:rFonts w:cstheme="minorHAnsi"/>
        </w:rPr>
        <w:t xml:space="preserve">contabili </w:t>
      </w:r>
      <w:r w:rsidR="00681FE9" w:rsidRPr="00681FE9">
        <w:rPr>
          <w:rFonts w:cstheme="minorHAnsi"/>
        </w:rPr>
        <w:t>né dell</w:t>
      </w:r>
      <w:r w:rsidR="00025B9B">
        <w:rPr>
          <w:rFonts w:cstheme="minorHAnsi"/>
        </w:rPr>
        <w:t xml:space="preserve">’entità </w:t>
      </w:r>
      <w:r w:rsidR="00681FE9" w:rsidRPr="00681FE9">
        <w:rPr>
          <w:rFonts w:cstheme="minorHAnsi"/>
        </w:rPr>
        <w:t>dei fondi alternativi citati</w:t>
      </w:r>
      <w:r w:rsidR="002B2105">
        <w:rPr>
          <w:rFonts w:cstheme="minorHAnsi"/>
        </w:rPr>
        <w:t xml:space="preserve"> </w:t>
      </w:r>
      <w:r w:rsidR="002B2105" w:rsidRPr="00681FE9">
        <w:rPr>
          <w:rFonts w:cstheme="minorHAnsi"/>
        </w:rPr>
        <w:t>– precisa il Presidente –</w:t>
      </w:r>
      <w:r w:rsidR="00681FE9" w:rsidRPr="00681FE9">
        <w:rPr>
          <w:rFonts w:cstheme="minorHAnsi"/>
        </w:rPr>
        <w:t xml:space="preserve"> </w:t>
      </w:r>
      <w:r w:rsidR="00025B9B">
        <w:rPr>
          <w:rFonts w:cstheme="minorHAnsi"/>
        </w:rPr>
        <w:t xml:space="preserve">l’unica certezza è che </w:t>
      </w:r>
      <w:r w:rsidR="00681FE9" w:rsidRPr="00681FE9">
        <w:rPr>
          <w:rFonts w:cstheme="minorHAnsi"/>
        </w:rPr>
        <w:t xml:space="preserve">tutto quanto espunto dal piano di rimodulazione potrà essere realizzato </w:t>
      </w:r>
      <w:r w:rsidR="00EC3DF3">
        <w:rPr>
          <w:rFonts w:cstheme="minorHAnsi"/>
        </w:rPr>
        <w:t xml:space="preserve">solo </w:t>
      </w:r>
      <w:r w:rsidR="00681FE9" w:rsidRPr="00681FE9">
        <w:rPr>
          <w:rFonts w:cstheme="minorHAnsi"/>
        </w:rPr>
        <w:t>dopo giugno del 2026, data di scadenza ultima delle opere del PNRR</w:t>
      </w:r>
      <w:r w:rsidRPr="00681FE9">
        <w:rPr>
          <w:rFonts w:cstheme="minorHAnsi"/>
        </w:rPr>
        <w:t xml:space="preserve">». </w:t>
      </w:r>
    </w:p>
    <w:p w14:paraId="1BCD3072" w14:textId="2D17CFE9" w:rsidR="003B022A" w:rsidRPr="006D6DE6" w:rsidRDefault="003B022A" w:rsidP="006D6DE6">
      <w:pPr>
        <w:pStyle w:val="Paragrafoelenco"/>
        <w:numPr>
          <w:ilvl w:val="0"/>
          <w:numId w:val="40"/>
        </w:numPr>
        <w:spacing w:line="276" w:lineRule="auto"/>
        <w:jc w:val="both"/>
      </w:pPr>
      <w:r w:rsidRPr="00681FE9">
        <w:rPr>
          <w:b/>
          <w:bCs/>
        </w:rPr>
        <w:t>Riduzione dei posti letto di terapia intensiva (-808) e semi-intensiva (-995)</w:t>
      </w:r>
      <w:r>
        <w:t>, secondo criteri di distribuzione regionale al momento non noti.</w:t>
      </w:r>
      <w:r w:rsidR="006D6DE6">
        <w:t xml:space="preserve"> </w:t>
      </w:r>
      <w:r w:rsidR="006D6DE6" w:rsidRPr="006D6DE6">
        <w:t xml:space="preserve">«Se da un lato il piano di rimodulazione indica </w:t>
      </w:r>
      <w:r w:rsidR="007E6D5A">
        <w:t>la</w:t>
      </w:r>
      <w:r w:rsidR="006D6DE6" w:rsidRPr="006D6DE6">
        <w:t xml:space="preserve"> riduzione </w:t>
      </w:r>
      <w:r w:rsidR="007E6D5A">
        <w:t xml:space="preserve">di 1.803 posti letto totali </w:t>
      </w:r>
      <w:r w:rsidR="006D6DE6" w:rsidRPr="006D6DE6">
        <w:t>come “prudenziale” per l’aumento dei costi di realizzazione</w:t>
      </w:r>
      <w:r w:rsidR="00EC3DF3" w:rsidRPr="00EC3DF3">
        <w:t xml:space="preserve"> </w:t>
      </w:r>
      <w:r w:rsidR="00EC3DF3" w:rsidRPr="006D6DE6">
        <w:t xml:space="preserve">– spiega Cartabellotta – </w:t>
      </w:r>
      <w:r w:rsidR="006D6DE6" w:rsidRPr="006D6DE6">
        <w:t xml:space="preserve"> dall’altro non fa alcun riferimento alle risorse a cui attingere per realizzare i posti letto espunti, nonostante </w:t>
      </w:r>
      <w:r w:rsidR="00DC3260">
        <w:t xml:space="preserve">venga riportato che </w:t>
      </w:r>
      <w:r w:rsidR="006D6DE6" w:rsidRPr="006D6DE6">
        <w:t>“</w:t>
      </w:r>
      <w:r w:rsidR="006D6DE6" w:rsidRPr="006D6DE6">
        <w:rPr>
          <w:i/>
          <w:iCs/>
        </w:rPr>
        <w:t xml:space="preserve">Resta comunque ferma la programmazione definita dai </w:t>
      </w:r>
      <w:hyperlink r:id="rId14" w:history="1">
        <w:r w:rsidR="006D6DE6" w:rsidRPr="00F75472">
          <w:rPr>
            <w:rStyle w:val="Collegamentoipertestuale"/>
            <w:i/>
            <w:iCs/>
          </w:rPr>
          <w:t>Piani di riorganizzazione</w:t>
        </w:r>
      </w:hyperlink>
      <w:r w:rsidR="006D6DE6" w:rsidRPr="006D6DE6">
        <w:rPr>
          <w:i/>
          <w:iCs/>
        </w:rPr>
        <w:t xml:space="preserve"> approvati dal Ministero con le Regioni e le Province Autonome</w:t>
      </w:r>
      <w:r w:rsidR="006D6DE6">
        <w:rPr>
          <w:i/>
          <w:iCs/>
        </w:rPr>
        <w:t>”</w:t>
      </w:r>
      <w:r w:rsidR="006D6DE6" w:rsidRPr="006D6DE6">
        <w:t>».</w:t>
      </w:r>
    </w:p>
    <w:p w14:paraId="29C83751" w14:textId="77777777" w:rsidR="00B6546E" w:rsidRPr="0026703C" w:rsidRDefault="005B50EF" w:rsidP="003B022A">
      <w:pPr>
        <w:pStyle w:val="Paragrafoelenco"/>
        <w:numPr>
          <w:ilvl w:val="0"/>
          <w:numId w:val="40"/>
        </w:numPr>
        <w:spacing w:line="276" w:lineRule="auto"/>
        <w:jc w:val="both"/>
        <w:rPr>
          <w:rFonts w:cstheme="minorHAnsi"/>
        </w:rPr>
      </w:pPr>
      <w:r w:rsidRPr="00681FE9">
        <w:rPr>
          <w:b/>
          <w:bCs/>
        </w:rPr>
        <w:t>Aumento de</w:t>
      </w:r>
      <w:r w:rsidR="00681FE9" w:rsidRPr="00681FE9">
        <w:rPr>
          <w:b/>
          <w:bCs/>
        </w:rPr>
        <w:t xml:space="preserve">gli </w:t>
      </w:r>
      <w:r w:rsidRPr="00681FE9">
        <w:rPr>
          <w:b/>
          <w:bCs/>
        </w:rPr>
        <w:t>over 65 da prendere in carico in assistenza domiciliare</w:t>
      </w:r>
      <w:r>
        <w:t xml:space="preserve"> (da almeno 800 mila a 842 mila) </w:t>
      </w:r>
      <w:r w:rsidRPr="00681FE9">
        <w:rPr>
          <w:b/>
          <w:bCs/>
        </w:rPr>
        <w:t>e de</w:t>
      </w:r>
      <w:r w:rsidR="00681FE9" w:rsidRPr="00681FE9">
        <w:rPr>
          <w:b/>
          <w:bCs/>
        </w:rPr>
        <w:t>i</w:t>
      </w:r>
      <w:r w:rsidRPr="00681FE9">
        <w:rPr>
          <w:b/>
          <w:bCs/>
        </w:rPr>
        <w:t xml:space="preserve"> pazienti assistiti in telemedicina</w:t>
      </w:r>
      <w:r>
        <w:t xml:space="preserve"> (da almeno 200 mila a 300 mila).</w:t>
      </w:r>
      <w:r w:rsidR="003B022A">
        <w:t xml:space="preserve"> </w:t>
      </w:r>
    </w:p>
    <w:p w14:paraId="00FEF738" w14:textId="77777777" w:rsidR="0026703C" w:rsidRPr="0026703C" w:rsidRDefault="0026703C" w:rsidP="0026703C">
      <w:pPr>
        <w:pStyle w:val="Paragrafoelenco"/>
        <w:spacing w:line="276" w:lineRule="auto"/>
        <w:ind w:left="360"/>
        <w:jc w:val="both"/>
        <w:rPr>
          <w:rFonts w:cstheme="minorHAnsi"/>
        </w:rPr>
      </w:pPr>
    </w:p>
    <w:p w14:paraId="505EDC2F" w14:textId="35F5B4F9" w:rsidR="003B022A" w:rsidRDefault="00B6546E" w:rsidP="003B022A">
      <w:pPr>
        <w:jc w:val="both"/>
        <w:rPr>
          <w:rFonts w:cstheme="minorHAnsi"/>
        </w:rPr>
      </w:pPr>
      <w:r w:rsidRPr="00B6546E">
        <w:rPr>
          <w:rFonts w:cstheme="minorHAnsi"/>
          <w:b/>
          <w:bCs/>
        </w:rPr>
        <w:t>Differimenti temporali</w:t>
      </w:r>
      <w:r>
        <w:rPr>
          <w:rFonts w:cstheme="minorHAnsi"/>
        </w:rPr>
        <w:t xml:space="preserve">. Sono </w:t>
      </w:r>
      <w:r w:rsidR="0016576E">
        <w:rPr>
          <w:rFonts w:cstheme="minorHAnsi"/>
        </w:rPr>
        <w:t xml:space="preserve">relativi a </w:t>
      </w:r>
      <w:r w:rsidR="003B022A">
        <w:rPr>
          <w:rFonts w:cstheme="minorHAnsi"/>
        </w:rPr>
        <w:t>due target (</w:t>
      </w:r>
      <w:r w:rsidR="003B022A" w:rsidRPr="003B022A">
        <w:rPr>
          <w:rFonts w:cstheme="minorHAnsi"/>
          <w:highlight w:val="yellow"/>
        </w:rPr>
        <w:t xml:space="preserve">tabella </w:t>
      </w:r>
      <w:r w:rsidR="00793DB9" w:rsidRPr="00793DB9">
        <w:rPr>
          <w:rFonts w:cstheme="minorHAnsi"/>
          <w:highlight w:val="yellow"/>
        </w:rPr>
        <w:t>3</w:t>
      </w:r>
      <w:r w:rsidR="003B022A">
        <w:rPr>
          <w:rFonts w:cstheme="minorHAnsi"/>
        </w:rPr>
        <w:t>)</w:t>
      </w:r>
      <w:r w:rsidR="00EC3DF3">
        <w:rPr>
          <w:rFonts w:cstheme="minorHAnsi"/>
        </w:rPr>
        <w:t>:</w:t>
      </w:r>
    </w:p>
    <w:p w14:paraId="6231E3CB" w14:textId="77777777" w:rsidR="003B022A" w:rsidRDefault="003B022A" w:rsidP="003B022A">
      <w:pPr>
        <w:pStyle w:val="Paragrafoelenco"/>
        <w:numPr>
          <w:ilvl w:val="0"/>
          <w:numId w:val="40"/>
        </w:numPr>
        <w:spacing w:line="276" w:lineRule="auto"/>
        <w:jc w:val="both"/>
        <w:rPr>
          <w:rFonts w:cstheme="minorHAnsi"/>
        </w:rPr>
      </w:pPr>
      <w:r>
        <w:rPr>
          <w:rFonts w:cstheme="minorHAnsi"/>
        </w:rPr>
        <w:lastRenderedPageBreak/>
        <w:t>A</w:t>
      </w:r>
      <w:r w:rsidR="005B50EF" w:rsidRPr="006E4DD4">
        <w:rPr>
          <w:rFonts w:cstheme="minorHAnsi"/>
        </w:rPr>
        <w:t>ttivazione delle Centrali Operative Territoriali dal 30 giugno 2024 al 31 dicembre 2024 (+</w:t>
      </w:r>
      <w:r w:rsidR="00EC3DF3">
        <w:rPr>
          <w:rFonts w:cstheme="minorHAnsi"/>
        </w:rPr>
        <w:t xml:space="preserve"> </w:t>
      </w:r>
      <w:r w:rsidR="005B50EF" w:rsidRPr="006E4DD4">
        <w:rPr>
          <w:rFonts w:cstheme="minorHAnsi"/>
        </w:rPr>
        <w:t>6 mesi)</w:t>
      </w:r>
      <w:r>
        <w:rPr>
          <w:rFonts w:cstheme="minorHAnsi"/>
        </w:rPr>
        <w:t xml:space="preserve">. </w:t>
      </w:r>
    </w:p>
    <w:p w14:paraId="2EFCDD8E" w14:textId="77777777" w:rsidR="00EC3DF3" w:rsidRDefault="003B022A" w:rsidP="00EC3DF3">
      <w:pPr>
        <w:pStyle w:val="Paragrafoelenco"/>
        <w:numPr>
          <w:ilvl w:val="0"/>
          <w:numId w:val="40"/>
        </w:numPr>
        <w:spacing w:line="276" w:lineRule="auto"/>
        <w:jc w:val="both"/>
        <w:rPr>
          <w:rFonts w:cstheme="minorHAnsi"/>
        </w:rPr>
      </w:pPr>
      <w:r w:rsidRPr="003B022A">
        <w:rPr>
          <w:rFonts w:cstheme="minorHAnsi"/>
        </w:rPr>
        <w:t>I</w:t>
      </w:r>
      <w:r w:rsidR="005B50EF" w:rsidRPr="003B022A">
        <w:rPr>
          <w:rFonts w:cstheme="minorHAnsi"/>
        </w:rPr>
        <w:t>nstallazione delle grandi apparecchiature dal 31 dicembre 2024 al 30 giugno 2026 (+</w:t>
      </w:r>
      <w:r w:rsidR="00EC3DF3">
        <w:rPr>
          <w:rFonts w:cstheme="minorHAnsi"/>
        </w:rPr>
        <w:t xml:space="preserve"> </w:t>
      </w:r>
      <w:r w:rsidR="005B50EF" w:rsidRPr="003B022A">
        <w:rPr>
          <w:rFonts w:cstheme="minorHAnsi"/>
        </w:rPr>
        <w:t>18 mesi).</w:t>
      </w:r>
      <w:r w:rsidRPr="003B022A">
        <w:rPr>
          <w:rFonts w:cstheme="minorHAnsi"/>
        </w:rPr>
        <w:t xml:space="preserve"> </w:t>
      </w:r>
    </w:p>
    <w:p w14:paraId="7C6F5C89" w14:textId="1D77FE0E" w:rsidR="0026703C" w:rsidRPr="008522E6" w:rsidRDefault="003B022A" w:rsidP="008522E6">
      <w:pPr>
        <w:jc w:val="both"/>
        <w:rPr>
          <w:rFonts w:cstheme="minorHAnsi"/>
        </w:rPr>
      </w:pPr>
      <w:r w:rsidRPr="00EC3DF3">
        <w:rPr>
          <w:rFonts w:cstheme="minorHAnsi"/>
        </w:rPr>
        <w:t xml:space="preserve">«Un </w:t>
      </w:r>
      <w:r w:rsidR="00DC3260" w:rsidRPr="00EC3DF3">
        <w:rPr>
          <w:rFonts w:cstheme="minorHAnsi"/>
        </w:rPr>
        <w:t>differimento temporale</w:t>
      </w:r>
      <w:r w:rsidRPr="00EC3DF3">
        <w:rPr>
          <w:rFonts w:cstheme="minorHAnsi"/>
        </w:rPr>
        <w:t xml:space="preserve"> – commenta il Presidente – motivato da criticità minori, quali lo smaltimento delle vecchie apparecchiature e l’adeguamento dei locali, che inevitabilmente condizionerà l’esigibilità delle pr</w:t>
      </w:r>
      <w:r w:rsidRPr="0024135E">
        <w:rPr>
          <w:rFonts w:cstheme="minorHAnsi"/>
        </w:rPr>
        <w:t xml:space="preserve">estazioni diagnostiche con apparecchiature più moderne ed efficienti, in un periodo storico caratterizzato da tempi di attesa </w:t>
      </w:r>
      <w:r w:rsidR="00EC3DF3">
        <w:rPr>
          <w:rFonts w:cstheme="minorHAnsi"/>
        </w:rPr>
        <w:t>già estremamente</w:t>
      </w:r>
      <w:r w:rsidR="00EC3DF3" w:rsidRPr="00EC3DF3">
        <w:rPr>
          <w:rFonts w:cstheme="minorHAnsi"/>
        </w:rPr>
        <w:t xml:space="preserve"> </w:t>
      </w:r>
      <w:r w:rsidRPr="00EC3DF3">
        <w:rPr>
          <w:rFonts w:cstheme="minorHAnsi"/>
        </w:rPr>
        <w:t>lunghi».</w:t>
      </w:r>
    </w:p>
    <w:p w14:paraId="573DF3BF" w14:textId="27A25111" w:rsidR="00955813" w:rsidRDefault="00535887" w:rsidP="005B50EF">
      <w:pPr>
        <w:jc w:val="both"/>
        <w:rPr>
          <w:rFonts w:cstheme="minorHAnsi"/>
        </w:rPr>
      </w:pPr>
      <w:r w:rsidRPr="00DC7DAF">
        <w:rPr>
          <w:rFonts w:cstheme="minorHAnsi"/>
          <w:b/>
          <w:bCs/>
        </w:rPr>
        <w:t>DL PNRR</w:t>
      </w:r>
      <w:r>
        <w:rPr>
          <w:rFonts w:cstheme="minorHAnsi"/>
        </w:rPr>
        <w:t>. L’a</w:t>
      </w:r>
      <w:r w:rsidRPr="00C678B1">
        <w:rPr>
          <w:rFonts w:cstheme="minorHAnsi"/>
        </w:rPr>
        <w:t>rt</w:t>
      </w:r>
      <w:r>
        <w:rPr>
          <w:rFonts w:cstheme="minorHAnsi"/>
        </w:rPr>
        <w:t xml:space="preserve">. </w:t>
      </w:r>
      <w:r w:rsidRPr="00C678B1">
        <w:rPr>
          <w:rFonts w:cstheme="minorHAnsi"/>
        </w:rPr>
        <w:t xml:space="preserve">1 dirotta circa </w:t>
      </w:r>
      <w:r>
        <w:rPr>
          <w:rFonts w:cstheme="minorHAnsi"/>
        </w:rPr>
        <w:t xml:space="preserve">€ </w:t>
      </w:r>
      <w:r w:rsidRPr="00C678B1">
        <w:rPr>
          <w:rFonts w:cstheme="minorHAnsi"/>
        </w:rPr>
        <w:t xml:space="preserve">1,2 miliardi destinati </w:t>
      </w:r>
      <w:r w:rsidR="00EC3DF3">
        <w:rPr>
          <w:rFonts w:cstheme="minorHAnsi"/>
        </w:rPr>
        <w:t>all’ammodernamento de</w:t>
      </w:r>
      <w:r w:rsidRPr="00C678B1">
        <w:rPr>
          <w:rFonts w:cstheme="minorHAnsi"/>
        </w:rPr>
        <w:t xml:space="preserve">gli ospedali dal Piano </w:t>
      </w:r>
      <w:r>
        <w:rPr>
          <w:rFonts w:cstheme="minorHAnsi"/>
        </w:rPr>
        <w:t>N</w:t>
      </w:r>
      <w:r w:rsidRPr="00C678B1">
        <w:rPr>
          <w:rFonts w:cstheme="minorHAnsi"/>
        </w:rPr>
        <w:t xml:space="preserve">azionale </w:t>
      </w:r>
      <w:r>
        <w:rPr>
          <w:rFonts w:cstheme="minorHAnsi"/>
        </w:rPr>
        <w:t>per gli investimenti c</w:t>
      </w:r>
      <w:r w:rsidRPr="00C678B1">
        <w:rPr>
          <w:rFonts w:cstheme="minorHAnsi"/>
        </w:rPr>
        <w:t>omplementar</w:t>
      </w:r>
      <w:r>
        <w:rPr>
          <w:rFonts w:cstheme="minorHAnsi"/>
        </w:rPr>
        <w:t>i</w:t>
      </w:r>
      <w:r w:rsidRPr="00C678B1">
        <w:rPr>
          <w:rFonts w:cstheme="minorHAnsi"/>
        </w:rPr>
        <w:t xml:space="preserve"> </w:t>
      </w:r>
      <w:r>
        <w:rPr>
          <w:rFonts w:cstheme="minorHAnsi"/>
        </w:rPr>
        <w:t xml:space="preserve">– il co-finanziamento del PNRR garantito dall’Italia - </w:t>
      </w:r>
      <w:r w:rsidRPr="00C678B1">
        <w:rPr>
          <w:rFonts w:cstheme="minorHAnsi"/>
        </w:rPr>
        <w:t xml:space="preserve">ai fondi </w:t>
      </w:r>
      <w:r>
        <w:rPr>
          <w:rFonts w:cstheme="minorHAnsi"/>
        </w:rPr>
        <w:t xml:space="preserve">generici </w:t>
      </w:r>
      <w:r w:rsidRPr="00C678B1">
        <w:rPr>
          <w:rFonts w:cstheme="minorHAnsi"/>
        </w:rPr>
        <w:t>per l’edilizia sanitaria</w:t>
      </w:r>
      <w:r>
        <w:rPr>
          <w:rFonts w:cstheme="minorHAnsi"/>
        </w:rPr>
        <w:t xml:space="preserve"> (ex. art. 20). </w:t>
      </w:r>
      <w:r w:rsidRPr="003B022A">
        <w:rPr>
          <w:rFonts w:cstheme="minorHAnsi"/>
        </w:rPr>
        <w:t>«</w:t>
      </w:r>
      <w:r>
        <w:rPr>
          <w:rFonts w:cstheme="minorHAnsi"/>
        </w:rPr>
        <w:t>Anche se</w:t>
      </w:r>
      <w:r w:rsidR="004948F3">
        <w:rPr>
          <w:rFonts w:cstheme="minorHAnsi"/>
        </w:rPr>
        <w:t xml:space="preserve"> </w:t>
      </w:r>
      <w:r w:rsidR="00F57772">
        <w:rPr>
          <w:rFonts w:cstheme="minorHAnsi"/>
        </w:rPr>
        <w:t xml:space="preserve">potrebbe sembrare </w:t>
      </w:r>
      <w:r>
        <w:rPr>
          <w:rFonts w:cstheme="minorHAnsi"/>
        </w:rPr>
        <w:t>solo un</w:t>
      </w:r>
      <w:r w:rsidR="00F75472">
        <w:rPr>
          <w:rFonts w:cstheme="minorHAnsi"/>
        </w:rPr>
        <w:t>a</w:t>
      </w:r>
      <w:r>
        <w:rPr>
          <w:rFonts w:cstheme="minorHAnsi"/>
        </w:rPr>
        <w:t xml:space="preserve"> “</w:t>
      </w:r>
      <w:r w:rsidR="00F75472">
        <w:rPr>
          <w:rFonts w:cstheme="minorHAnsi"/>
        </w:rPr>
        <w:t xml:space="preserve">mossa </w:t>
      </w:r>
      <w:r>
        <w:rPr>
          <w:rFonts w:cstheme="minorHAnsi"/>
        </w:rPr>
        <w:t>contabile”</w:t>
      </w:r>
      <w:r w:rsidR="00EC3DF3" w:rsidRPr="00EC3DF3">
        <w:rPr>
          <w:rFonts w:cstheme="minorHAnsi"/>
        </w:rPr>
        <w:t xml:space="preserve"> </w:t>
      </w:r>
      <w:r w:rsidR="00EC3DF3" w:rsidRPr="003B022A">
        <w:rPr>
          <w:rFonts w:cstheme="minorHAnsi"/>
        </w:rPr>
        <w:t>– commenta il Presidente –</w:t>
      </w:r>
      <w:r>
        <w:rPr>
          <w:rFonts w:cstheme="minorHAnsi"/>
        </w:rPr>
        <w:t xml:space="preserve"> nei fatti </w:t>
      </w:r>
      <w:r w:rsidR="00F57772">
        <w:rPr>
          <w:rFonts w:cstheme="minorHAnsi"/>
        </w:rPr>
        <w:t>lo</w:t>
      </w:r>
      <w:r>
        <w:rPr>
          <w:rFonts w:cstheme="minorHAnsi"/>
        </w:rPr>
        <w:t xml:space="preserve"> spostamento di risorse </w:t>
      </w:r>
      <w:r w:rsidR="00F57772">
        <w:rPr>
          <w:rFonts w:cstheme="minorHAnsi"/>
        </w:rPr>
        <w:t xml:space="preserve">non avviene </w:t>
      </w:r>
      <w:r>
        <w:rPr>
          <w:rFonts w:cstheme="minorHAnsi"/>
        </w:rPr>
        <w:t xml:space="preserve">tra “vasi comunicanti” </w:t>
      </w:r>
      <w:r w:rsidR="00F57772">
        <w:rPr>
          <w:rFonts w:cstheme="minorHAnsi"/>
        </w:rPr>
        <w:t xml:space="preserve">e </w:t>
      </w:r>
      <w:r>
        <w:rPr>
          <w:rFonts w:cstheme="minorHAnsi"/>
        </w:rPr>
        <w:t xml:space="preserve">gli interventi espunti sono rimandati a data da destinarsi </w:t>
      </w:r>
      <w:r w:rsidR="004D2C12">
        <w:rPr>
          <w:rFonts w:cstheme="minorHAnsi"/>
        </w:rPr>
        <w:t xml:space="preserve">perché </w:t>
      </w:r>
      <w:r>
        <w:rPr>
          <w:rFonts w:cstheme="minorHAnsi"/>
        </w:rPr>
        <w:t>non dovranno più rispettare l</w:t>
      </w:r>
      <w:r w:rsidR="004D2C12">
        <w:rPr>
          <w:rFonts w:cstheme="minorHAnsi"/>
        </w:rPr>
        <w:t xml:space="preserve">a </w:t>
      </w:r>
      <w:r>
        <w:rPr>
          <w:rFonts w:cstheme="minorHAnsi"/>
        </w:rPr>
        <w:t>scadenz</w:t>
      </w:r>
      <w:r w:rsidR="004D2C12">
        <w:rPr>
          <w:rFonts w:cstheme="minorHAnsi"/>
        </w:rPr>
        <w:t>a</w:t>
      </w:r>
      <w:r>
        <w:rPr>
          <w:rFonts w:cstheme="minorHAnsi"/>
        </w:rPr>
        <w:t xml:space="preserve"> </w:t>
      </w:r>
      <w:r w:rsidR="004D2C12">
        <w:rPr>
          <w:rFonts w:cstheme="minorHAnsi"/>
        </w:rPr>
        <w:t xml:space="preserve">del giugno 2026 </w:t>
      </w:r>
      <w:r w:rsidR="00F57772">
        <w:rPr>
          <w:rFonts w:cstheme="minorHAnsi"/>
        </w:rPr>
        <w:t>fissate dal PNRR</w:t>
      </w:r>
      <w:r w:rsidRPr="003B022A">
        <w:rPr>
          <w:rFonts w:cstheme="minorHAnsi"/>
        </w:rPr>
        <w:t>».</w:t>
      </w:r>
      <w:r w:rsidR="00F24261">
        <w:rPr>
          <w:rFonts w:cstheme="minorHAnsi"/>
        </w:rPr>
        <w:t xml:space="preserve"> </w:t>
      </w:r>
      <w:r w:rsidR="00955813">
        <w:rPr>
          <w:rFonts w:cstheme="minorHAnsi"/>
        </w:rPr>
        <w:t xml:space="preserve">In particolare, </w:t>
      </w:r>
      <w:r w:rsidR="00B63DCC">
        <w:rPr>
          <w:rFonts w:cstheme="minorHAnsi"/>
        </w:rPr>
        <w:t>si tratta del</w:t>
      </w:r>
      <w:r w:rsidR="00955813">
        <w:rPr>
          <w:rFonts w:cstheme="minorHAnsi"/>
        </w:rPr>
        <w:t>l’</w:t>
      </w:r>
      <w:r w:rsidR="00497F41">
        <w:rPr>
          <w:rFonts w:cstheme="minorHAnsi"/>
        </w:rPr>
        <w:t xml:space="preserve">investimento </w:t>
      </w:r>
      <w:r w:rsidR="002C0D78">
        <w:rPr>
          <w:rFonts w:cstheme="minorHAnsi"/>
        </w:rPr>
        <w:t xml:space="preserve">denominato </w:t>
      </w:r>
      <w:r w:rsidR="00955813">
        <w:rPr>
          <w:rFonts w:cstheme="minorHAnsi"/>
        </w:rPr>
        <w:t>“</w:t>
      </w:r>
      <w:r w:rsidR="00955813">
        <w:t xml:space="preserve">Verso un ospedale sicuro e sostenibile” </w:t>
      </w:r>
      <w:r w:rsidR="00F24261">
        <w:t xml:space="preserve">che ha </w:t>
      </w:r>
      <w:r w:rsidR="00497F41">
        <w:t>l’obiettivo di migliorare la sicurezza degli ospedali per adeguarli alle norme antisismiche</w:t>
      </w:r>
      <w:r w:rsidR="00F24261">
        <w:t xml:space="preserve">, </w:t>
      </w:r>
      <w:r w:rsidR="00F24261" w:rsidRPr="003B022A">
        <w:rPr>
          <w:rFonts w:cstheme="minorHAnsi"/>
        </w:rPr>
        <w:t>«</w:t>
      </w:r>
      <w:r w:rsidR="002C0D78">
        <w:t xml:space="preserve">tenendo conto </w:t>
      </w:r>
      <w:r w:rsidR="002C0D78" w:rsidRPr="003B022A">
        <w:rPr>
          <w:rFonts w:cstheme="minorHAnsi"/>
        </w:rPr>
        <w:t xml:space="preserve">– </w:t>
      </w:r>
      <w:r w:rsidR="002C0D78">
        <w:rPr>
          <w:rFonts w:cstheme="minorHAnsi"/>
        </w:rPr>
        <w:t xml:space="preserve">spiega Cartabellotta </w:t>
      </w:r>
      <w:r w:rsidR="002C0D78" w:rsidRPr="003B022A">
        <w:rPr>
          <w:rFonts w:cstheme="minorHAnsi"/>
        </w:rPr>
        <w:t>–</w:t>
      </w:r>
      <w:r w:rsidR="002C0D78">
        <w:rPr>
          <w:rFonts w:cstheme="minorHAnsi"/>
        </w:rPr>
        <w:t xml:space="preserve"> </w:t>
      </w:r>
      <w:r w:rsidR="00F24261">
        <w:rPr>
          <w:rFonts w:cstheme="minorHAnsi"/>
        </w:rPr>
        <w:t xml:space="preserve">del loro ruolo strategico </w:t>
      </w:r>
      <w:r w:rsidR="00F24261">
        <w:t xml:space="preserve">in caso di disastro, visto che gli ospedali </w:t>
      </w:r>
      <w:r w:rsidR="00F24261">
        <w:rPr>
          <w:rFonts w:cstheme="minorHAnsi"/>
        </w:rPr>
        <w:t xml:space="preserve">se da un lato </w:t>
      </w:r>
      <w:r w:rsidR="00F24261">
        <w:t>svolgono la fondamentale funzione di soccorso, sono particolarmente a rischio in caso di evento sismico perché ospitano un elevato numero di persone la cui messa in sicurezza è condizionata dalle inabilità individuali</w:t>
      </w:r>
      <w:r w:rsidR="00F24261" w:rsidRPr="003B022A">
        <w:rPr>
          <w:rFonts w:cstheme="minorHAnsi"/>
        </w:rPr>
        <w:t>».</w:t>
      </w:r>
    </w:p>
    <w:p w14:paraId="7EBCC983" w14:textId="17DF26C1" w:rsidR="00B03D33" w:rsidRDefault="00EA5A8D" w:rsidP="005B50EF">
      <w:pPr>
        <w:jc w:val="both"/>
        <w:rPr>
          <w:rFonts w:cstheme="minorHAnsi"/>
        </w:rPr>
      </w:pPr>
      <w:r w:rsidRPr="008B2BDC">
        <w:rPr>
          <w:rFonts w:cstheme="minorHAnsi"/>
        </w:rPr>
        <w:t>«</w:t>
      </w:r>
      <w:r w:rsidR="00C80B09">
        <w:rPr>
          <w:rFonts w:cstheme="minorHAnsi"/>
        </w:rPr>
        <w:t>D</w:t>
      </w:r>
      <w:r w:rsidR="00D15DD3">
        <w:rPr>
          <w:rFonts w:cstheme="minorHAnsi"/>
        </w:rPr>
        <w:t xml:space="preserve">opo aver </w:t>
      </w:r>
      <w:r>
        <w:rPr>
          <w:rFonts w:cstheme="minorHAnsi"/>
        </w:rPr>
        <w:t>“mess</w:t>
      </w:r>
      <w:r w:rsidR="00D15DD3">
        <w:rPr>
          <w:rFonts w:cstheme="minorHAnsi"/>
        </w:rPr>
        <w:t>o</w:t>
      </w:r>
      <w:r>
        <w:rPr>
          <w:rFonts w:cstheme="minorHAnsi"/>
        </w:rPr>
        <w:t xml:space="preserve"> a terra” </w:t>
      </w:r>
      <w:r w:rsidR="00C80B09">
        <w:rPr>
          <w:rFonts w:cstheme="minorHAnsi"/>
        </w:rPr>
        <w:t xml:space="preserve">– commenta il Presidente – </w:t>
      </w:r>
      <w:r>
        <w:rPr>
          <w:rFonts w:cstheme="minorHAnsi"/>
        </w:rPr>
        <w:t>la Missione Salute</w:t>
      </w:r>
      <w:r w:rsidR="00D15DD3">
        <w:rPr>
          <w:rFonts w:cstheme="minorHAnsi"/>
        </w:rPr>
        <w:t xml:space="preserve"> del PNRR</w:t>
      </w:r>
      <w:r>
        <w:rPr>
          <w:rFonts w:cstheme="minorHAnsi"/>
        </w:rPr>
        <w:t xml:space="preserve">, il rispetto delle scadenze </w:t>
      </w:r>
      <w:r w:rsidR="00D15DD3">
        <w:rPr>
          <w:rFonts w:cstheme="minorHAnsi"/>
        </w:rPr>
        <w:t>future</w:t>
      </w:r>
      <w:r>
        <w:rPr>
          <w:rFonts w:cstheme="minorHAnsi"/>
        </w:rPr>
        <w:t xml:space="preserve"> sarà condizionato dalle criticità di attuazione del</w:t>
      </w:r>
      <w:r w:rsidR="00E07E4C">
        <w:rPr>
          <w:rFonts w:cstheme="minorHAnsi"/>
        </w:rPr>
        <w:t>la riforma dell’assistenza territoriale</w:t>
      </w:r>
      <w:r>
        <w:rPr>
          <w:rFonts w:cstheme="minorHAnsi"/>
        </w:rPr>
        <w:t xml:space="preserve"> nei 21 servizi sanitari regionali</w:t>
      </w:r>
      <w:r w:rsidR="00D15DD3">
        <w:rPr>
          <w:rFonts w:cstheme="minorHAnsi"/>
        </w:rPr>
        <w:t>. I</w:t>
      </w:r>
      <w:r w:rsidR="00B03D33">
        <w:rPr>
          <w:rFonts w:cstheme="minorHAnsi"/>
        </w:rPr>
        <w:t>n particolare</w:t>
      </w:r>
      <w:r>
        <w:rPr>
          <w:rFonts w:cstheme="minorHAnsi"/>
        </w:rPr>
        <w:t xml:space="preserve">, </w:t>
      </w:r>
      <w:r w:rsidR="00D15DD3">
        <w:rPr>
          <w:rFonts w:cstheme="minorHAnsi"/>
        </w:rPr>
        <w:t xml:space="preserve">il </w:t>
      </w:r>
      <w:r w:rsidR="00B03D33">
        <w:rPr>
          <w:rFonts w:cstheme="minorHAnsi"/>
        </w:rPr>
        <w:t xml:space="preserve">ruolo dei medici di famiglia e la grave carenza infermieri, </w:t>
      </w:r>
      <w:r w:rsidRPr="00AC71A6">
        <w:rPr>
          <w:rFonts w:cstheme="minorHAnsi"/>
        </w:rPr>
        <w:t xml:space="preserve">figure chiave </w:t>
      </w:r>
      <w:r w:rsidR="00B03D33">
        <w:rPr>
          <w:rFonts w:cstheme="minorHAnsi"/>
        </w:rPr>
        <w:t xml:space="preserve">nella </w:t>
      </w:r>
      <w:r w:rsidRPr="00CF559C">
        <w:rPr>
          <w:rFonts w:cstheme="minorHAnsi"/>
        </w:rPr>
        <w:t xml:space="preserve">riorganizzazione dell’assistenza territoriale, </w:t>
      </w:r>
      <w:r w:rsidR="00B03D33">
        <w:rPr>
          <w:rFonts w:cstheme="minorHAnsi"/>
        </w:rPr>
        <w:t xml:space="preserve">oltre </w:t>
      </w:r>
      <w:r w:rsidR="00D864D9" w:rsidRPr="00CF559C">
        <w:rPr>
          <w:rFonts w:cstheme="minorHAnsi"/>
        </w:rPr>
        <w:t xml:space="preserve">alle </w:t>
      </w:r>
      <w:r w:rsidRPr="00CF559C">
        <w:rPr>
          <w:rFonts w:cstheme="minorHAnsi"/>
        </w:rPr>
        <w:t xml:space="preserve">differenze regionali che </w:t>
      </w:r>
      <w:r w:rsidR="001476E9">
        <w:rPr>
          <w:rFonts w:cstheme="minorHAnsi"/>
        </w:rPr>
        <w:t xml:space="preserve">non pongono tutte le Regioni sulla stessa linea di partenza per raggiungere gli obiettivi del PNRR e che, inevitabilmente, </w:t>
      </w:r>
      <w:r w:rsidRPr="00CF559C">
        <w:rPr>
          <w:rFonts w:cstheme="minorHAnsi"/>
        </w:rPr>
        <w:t>rischiano di essere amplificate dall’autonomia differenziata».</w:t>
      </w:r>
    </w:p>
    <w:p w14:paraId="2B8BB2B5" w14:textId="19BFF9AF" w:rsidR="00220D5F" w:rsidRDefault="00B03D33" w:rsidP="001C5A38">
      <w:pPr>
        <w:jc w:val="both"/>
        <w:rPr>
          <w:rFonts w:cstheme="minorHAnsi"/>
        </w:rPr>
      </w:pPr>
      <w:r>
        <w:rPr>
          <w:rFonts w:cstheme="minorHAnsi"/>
        </w:rPr>
        <w:t xml:space="preserve">Riguardo </w:t>
      </w:r>
      <w:r w:rsidR="00EA5A8D" w:rsidRPr="00CF559C">
        <w:rPr>
          <w:rFonts w:cstheme="minorHAnsi"/>
        </w:rPr>
        <w:t>l</w:t>
      </w:r>
      <w:r w:rsidR="00862613">
        <w:rPr>
          <w:rFonts w:cstheme="minorHAnsi"/>
        </w:rPr>
        <w:t xml:space="preserve">’imponente </w:t>
      </w:r>
      <w:r w:rsidR="00EA5A8D" w:rsidRPr="00CF559C">
        <w:rPr>
          <w:rFonts w:cstheme="minorHAnsi"/>
        </w:rPr>
        <w:t>carenza di personale infermieristico</w:t>
      </w:r>
      <w:r>
        <w:rPr>
          <w:rFonts w:cstheme="minorHAnsi"/>
        </w:rPr>
        <w:t xml:space="preserve"> utile riportare tre dati. Innanzitutto, nel 2021 il</w:t>
      </w:r>
      <w:r w:rsidR="00736425" w:rsidRPr="00CF559C">
        <w:rPr>
          <w:rFonts w:cstheme="minorHAnsi"/>
        </w:rPr>
        <w:t xml:space="preserve"> numero di infermieri in Italia </w:t>
      </w:r>
      <w:r>
        <w:rPr>
          <w:rFonts w:cstheme="minorHAnsi"/>
        </w:rPr>
        <w:t xml:space="preserve">è </w:t>
      </w:r>
      <w:r w:rsidR="00736425" w:rsidRPr="00CF559C">
        <w:rPr>
          <w:rFonts w:cstheme="minorHAnsi"/>
        </w:rPr>
        <w:t>pari a 6,2 per 1</w:t>
      </w:r>
      <w:r w:rsidR="00FB31E1" w:rsidRPr="00CF559C">
        <w:rPr>
          <w:rFonts w:cstheme="minorHAnsi"/>
        </w:rPr>
        <w:t>.</w:t>
      </w:r>
      <w:r w:rsidR="00736425" w:rsidRPr="00CF559C">
        <w:rPr>
          <w:rFonts w:cstheme="minorHAnsi"/>
        </w:rPr>
        <w:t xml:space="preserve">000 abitanti, rispetto </w:t>
      </w:r>
      <w:r w:rsidR="00EC3DF3">
        <w:rPr>
          <w:rFonts w:cstheme="minorHAnsi"/>
        </w:rPr>
        <w:t>ad una</w:t>
      </w:r>
      <w:r w:rsidR="00EC3DF3" w:rsidRPr="00CF559C">
        <w:rPr>
          <w:rFonts w:cstheme="minorHAnsi"/>
        </w:rPr>
        <w:t xml:space="preserve"> </w:t>
      </w:r>
      <w:r w:rsidR="00736425" w:rsidRPr="00CF559C">
        <w:rPr>
          <w:rFonts w:cstheme="minorHAnsi"/>
        </w:rPr>
        <w:t>media OCSE di 9</w:t>
      </w:r>
      <w:r w:rsidR="00FB31E1" w:rsidRPr="00CF559C">
        <w:rPr>
          <w:rFonts w:cstheme="minorHAnsi"/>
        </w:rPr>
        <w:t>,</w:t>
      </w:r>
      <w:r w:rsidR="00736425" w:rsidRPr="00CF559C">
        <w:rPr>
          <w:rFonts w:cstheme="minorHAnsi"/>
        </w:rPr>
        <w:t xml:space="preserve">9, con rilevanti differenze </w:t>
      </w:r>
      <w:r w:rsidR="00E32472">
        <w:rPr>
          <w:rFonts w:cstheme="minorHAnsi"/>
        </w:rPr>
        <w:t>regionali</w:t>
      </w:r>
      <w:r>
        <w:rPr>
          <w:rFonts w:cstheme="minorHAnsi"/>
        </w:rPr>
        <w:t xml:space="preserve">. </w:t>
      </w:r>
      <w:r w:rsidR="00736425" w:rsidRPr="00CF559C">
        <w:rPr>
          <w:rFonts w:cstheme="minorHAnsi"/>
        </w:rPr>
        <w:t xml:space="preserve">Una carenza che </w:t>
      </w:r>
      <w:r w:rsidR="00FB31E1" w:rsidRPr="00CF559C">
        <w:rPr>
          <w:rFonts w:cstheme="minorHAnsi"/>
        </w:rPr>
        <w:t>stride</w:t>
      </w:r>
      <w:r w:rsidR="00736425" w:rsidRPr="00CF559C">
        <w:rPr>
          <w:rFonts w:cstheme="minorHAnsi"/>
        </w:rPr>
        <w:t xml:space="preserve"> </w:t>
      </w:r>
      <w:r w:rsidR="00E20BD3" w:rsidRPr="00CF559C">
        <w:rPr>
          <w:rFonts w:cstheme="minorHAnsi"/>
        </w:rPr>
        <w:t xml:space="preserve">con </w:t>
      </w:r>
      <w:r w:rsidR="00736425" w:rsidRPr="00CF559C">
        <w:rPr>
          <w:rFonts w:cstheme="minorHAnsi"/>
        </w:rPr>
        <w:t xml:space="preserve">il fabbisogno </w:t>
      </w:r>
      <w:r>
        <w:rPr>
          <w:rFonts w:cstheme="minorHAnsi"/>
        </w:rPr>
        <w:t xml:space="preserve">di </w:t>
      </w:r>
      <w:r w:rsidRPr="00CF559C">
        <w:rPr>
          <w:rFonts w:cstheme="minorHAnsi"/>
        </w:rPr>
        <w:t>infermieri</w:t>
      </w:r>
      <w:r>
        <w:rPr>
          <w:rFonts w:cstheme="minorHAnsi"/>
        </w:rPr>
        <w:t xml:space="preserve"> di comunità/di famiglia</w:t>
      </w:r>
      <w:r w:rsidRPr="00CF559C">
        <w:rPr>
          <w:rFonts w:cstheme="minorHAnsi"/>
        </w:rPr>
        <w:t xml:space="preserve"> stimato da Agenas </w:t>
      </w:r>
      <w:r w:rsidR="00E20BD3" w:rsidRPr="00CF559C">
        <w:rPr>
          <w:rFonts w:cstheme="minorHAnsi"/>
        </w:rPr>
        <w:t>per attua</w:t>
      </w:r>
      <w:r w:rsidR="00736425" w:rsidRPr="00CF559C">
        <w:rPr>
          <w:rFonts w:cstheme="minorHAnsi"/>
        </w:rPr>
        <w:t>re</w:t>
      </w:r>
      <w:r w:rsidR="00E20BD3" w:rsidRPr="00CF559C">
        <w:rPr>
          <w:rFonts w:cstheme="minorHAnsi"/>
        </w:rPr>
        <w:t xml:space="preserve"> </w:t>
      </w:r>
      <w:r w:rsidR="00E07E4C">
        <w:rPr>
          <w:rFonts w:cstheme="minorHAnsi"/>
        </w:rPr>
        <w:t>la riforma dell’assistenza territoriale</w:t>
      </w:r>
      <w:r>
        <w:rPr>
          <w:rFonts w:cstheme="minorHAnsi"/>
        </w:rPr>
        <w:t xml:space="preserve">: </w:t>
      </w:r>
      <w:r w:rsidR="00955813">
        <w:rPr>
          <w:rFonts w:cstheme="minorHAnsi"/>
        </w:rPr>
        <w:t xml:space="preserve">tra </w:t>
      </w:r>
      <w:r w:rsidR="00E20BD3" w:rsidRPr="00CF559C">
        <w:rPr>
          <w:rFonts w:cstheme="minorHAnsi"/>
        </w:rPr>
        <w:t xml:space="preserve">19.450 </w:t>
      </w:r>
      <w:r w:rsidR="00736425" w:rsidRPr="00CF559C">
        <w:rPr>
          <w:rFonts w:cstheme="minorHAnsi"/>
        </w:rPr>
        <w:t>a</w:t>
      </w:r>
      <w:r w:rsidR="00E20BD3" w:rsidRPr="00CF559C">
        <w:rPr>
          <w:rFonts w:cstheme="minorHAnsi"/>
        </w:rPr>
        <w:t xml:space="preserve"> 26.850</w:t>
      </w:r>
      <w:r>
        <w:rPr>
          <w:rFonts w:cstheme="minorHAnsi"/>
        </w:rPr>
        <w:t>. In secondo luogo, la scarsa attrattività della professione infermieristica</w:t>
      </w:r>
      <w:r w:rsidR="00E07E4C">
        <w:rPr>
          <w:rFonts w:cstheme="minorHAnsi"/>
        </w:rPr>
        <w:t xml:space="preserve"> conseguente a vari fattori: limitate prospettive di carriera, problemi organizzativi e di sicurezza sul lavoro e, ovviamente</w:t>
      </w:r>
      <w:r w:rsidR="00EC3DF3">
        <w:rPr>
          <w:rFonts w:cstheme="minorHAnsi"/>
        </w:rPr>
        <w:t>,</w:t>
      </w:r>
      <w:r w:rsidR="00E07E4C">
        <w:rPr>
          <w:rFonts w:cstheme="minorHAnsi"/>
        </w:rPr>
        <w:t xml:space="preserve"> aspetti economici</w:t>
      </w:r>
      <w:r w:rsidR="00EC3DF3">
        <w:rPr>
          <w:rFonts w:cstheme="minorHAnsi"/>
        </w:rPr>
        <w:t>, visto che</w:t>
      </w:r>
      <w:r w:rsidR="00E07E4C">
        <w:rPr>
          <w:rFonts w:cstheme="minorHAnsi"/>
        </w:rPr>
        <w:t xml:space="preserve"> </w:t>
      </w:r>
      <w:r>
        <w:rPr>
          <w:rFonts w:cstheme="minorHAnsi"/>
        </w:rPr>
        <w:t>l</w:t>
      </w:r>
      <w:r w:rsidR="001476E9">
        <w:rPr>
          <w:rFonts w:cstheme="minorHAnsi"/>
        </w:rPr>
        <w:t xml:space="preserve">a </w:t>
      </w:r>
      <w:r>
        <w:rPr>
          <w:rFonts w:cstheme="minorHAnsi"/>
        </w:rPr>
        <w:t>retribu</w:t>
      </w:r>
      <w:r w:rsidR="001476E9">
        <w:rPr>
          <w:rFonts w:cstheme="minorHAnsi"/>
        </w:rPr>
        <w:t>zione</w:t>
      </w:r>
      <w:r>
        <w:rPr>
          <w:rFonts w:cstheme="minorHAnsi"/>
        </w:rPr>
        <w:t xml:space="preserve"> </w:t>
      </w:r>
      <w:r w:rsidR="00EC3DF3">
        <w:rPr>
          <w:rFonts w:cstheme="minorHAnsi"/>
        </w:rPr>
        <w:t xml:space="preserve">dei nostri </w:t>
      </w:r>
      <w:r w:rsidR="00481867">
        <w:rPr>
          <w:rFonts w:cstheme="minorHAnsi"/>
        </w:rPr>
        <w:t>infermieri</w:t>
      </w:r>
      <w:r w:rsidR="00E07E4C">
        <w:rPr>
          <w:rFonts w:cstheme="minorHAnsi"/>
        </w:rPr>
        <w:t xml:space="preserve"> è </w:t>
      </w:r>
      <w:r w:rsidR="001C5A38">
        <w:rPr>
          <w:rFonts w:cstheme="minorHAnsi"/>
        </w:rPr>
        <w:t>ben al di sotto della media OCSE</w:t>
      </w:r>
      <w:r w:rsidR="0024135E">
        <w:rPr>
          <w:rFonts w:cstheme="minorHAnsi"/>
        </w:rPr>
        <w:t xml:space="preserve"> </w:t>
      </w:r>
      <w:r w:rsidR="00EC3DF3">
        <w:rPr>
          <w:rFonts w:cstheme="minorHAnsi"/>
        </w:rPr>
        <w:t>(</w:t>
      </w:r>
      <w:r w:rsidR="001F6403">
        <w:rPr>
          <w:rFonts w:cstheme="minorHAnsi"/>
        </w:rPr>
        <w:t>€ 35.030</w:t>
      </w:r>
      <w:r w:rsidR="001C5A38">
        <w:rPr>
          <w:rFonts w:cstheme="minorHAnsi"/>
        </w:rPr>
        <w:t xml:space="preserve"> vs </w:t>
      </w:r>
      <w:r w:rsidR="001F6403">
        <w:rPr>
          <w:rFonts w:cstheme="minorHAnsi"/>
        </w:rPr>
        <w:t>€</w:t>
      </w:r>
      <w:r w:rsidR="001F6403" w:rsidRPr="001C5A38">
        <w:rPr>
          <w:rFonts w:cstheme="minorHAnsi"/>
        </w:rPr>
        <w:t xml:space="preserve"> </w:t>
      </w:r>
      <w:r w:rsidR="001F6403">
        <w:rPr>
          <w:rFonts w:cstheme="minorHAnsi"/>
        </w:rPr>
        <w:t>44.250</w:t>
      </w:r>
      <w:r w:rsidR="00EC3DF3" w:rsidRPr="00EC3DF3">
        <w:rPr>
          <w:rFonts w:cstheme="minorHAnsi"/>
        </w:rPr>
        <w:t xml:space="preserve"> </w:t>
      </w:r>
      <w:r w:rsidR="00EC3DF3">
        <w:rPr>
          <w:rFonts w:cstheme="minorHAnsi"/>
        </w:rPr>
        <w:t>a dicembre 2021)</w:t>
      </w:r>
      <w:r w:rsidR="00220D5F">
        <w:rPr>
          <w:rFonts w:cstheme="minorHAnsi"/>
        </w:rPr>
        <w:t>. I</w:t>
      </w:r>
      <w:r w:rsidR="00E07E4C">
        <w:rPr>
          <w:rFonts w:cstheme="minorHAnsi"/>
        </w:rPr>
        <w:t xml:space="preserve">noltre, negli ultimi 20 anni </w:t>
      </w:r>
      <w:r w:rsidR="00481867">
        <w:rPr>
          <w:rFonts w:cstheme="minorHAnsi"/>
        </w:rPr>
        <w:t>il potere di acquisto de</w:t>
      </w:r>
      <w:r w:rsidR="00E07E4C">
        <w:rPr>
          <w:rFonts w:cstheme="minorHAnsi"/>
        </w:rPr>
        <w:t xml:space="preserve">i loro stipendi </w:t>
      </w:r>
      <w:r w:rsidR="001C5A38">
        <w:rPr>
          <w:rFonts w:cstheme="minorHAnsi"/>
        </w:rPr>
        <w:t>si è ridotto sia nel periodo 2000-2019 (-1,5%), sia nel periodo 2019-2021 (-1%)</w:t>
      </w:r>
      <w:r w:rsidR="00B63DCC">
        <w:rPr>
          <w:rFonts w:cstheme="minorHAnsi"/>
        </w:rPr>
        <w:t>, più che in ogni altro paese OCSE</w:t>
      </w:r>
      <w:r w:rsidR="00E07E4C">
        <w:rPr>
          <w:rFonts w:cstheme="minorHAnsi"/>
        </w:rPr>
        <w:t xml:space="preserve">. </w:t>
      </w:r>
    </w:p>
    <w:p w14:paraId="06D4E59F" w14:textId="718C0EAA" w:rsidR="00B6546E" w:rsidRDefault="008642A0" w:rsidP="00E01976">
      <w:pPr>
        <w:jc w:val="both"/>
        <w:rPr>
          <w:rFonts w:cstheme="minorHAnsi"/>
        </w:rPr>
      </w:pPr>
      <w:bookmarkStart w:id="3" w:name="_Hlk165294320"/>
      <w:r w:rsidRPr="00BB7B04">
        <w:rPr>
          <w:rFonts w:cstheme="minorHAnsi"/>
        </w:rPr>
        <w:t xml:space="preserve">«La Missione Salute del PNRR – conclude Cartabellotta – è indubbiamente una grande opportunità per potenziare il SSN, ma </w:t>
      </w:r>
      <w:r>
        <w:rPr>
          <w:rFonts w:cstheme="minorHAnsi"/>
        </w:rPr>
        <w:t xml:space="preserve">solo </w:t>
      </w:r>
      <w:r w:rsidRPr="00BB7B04">
        <w:rPr>
          <w:rFonts w:cstheme="minorHAnsi"/>
        </w:rPr>
        <w:t xml:space="preserve">nell’ambito di un rilancio complessivo della sanità pubblica. Ovvero, non può essere la “stampella” per sostenere un SSN claudicante. E, se da un lato la sua attuazione deve essere sostenuta da coraggiose azioni politiche, </w:t>
      </w:r>
      <w:r w:rsidRPr="00BB7B04">
        <w:t>rinviare le scadenze e rimodulare al ribasso gli obiettivi del PNRR senza chiarire la distribuzione regionale dei “tagli”, l’entità e la disponibilità delle risorse necessarie e la definizione di nuove scadenze per quanto rimasto fuori dal piano di rimodulazione, indebolisce ulteriormente il potenziale impatto del PNRR sul rilancio del SSN</w:t>
      </w:r>
      <w:r w:rsidRPr="00BB7B04">
        <w:rPr>
          <w:rFonts w:cstheme="minorHAnsi"/>
        </w:rPr>
        <w:t>».</w:t>
      </w:r>
      <w:bookmarkEnd w:id="3"/>
    </w:p>
    <w:p w14:paraId="3079B996" w14:textId="77777777" w:rsidR="00FD63E4" w:rsidRPr="005240BD" w:rsidRDefault="00FD63E4" w:rsidP="00FD63E4">
      <w:pPr>
        <w:spacing w:after="0"/>
        <w:rPr>
          <w:rFonts w:eastAsia="Calibri" w:cstheme="minorHAnsi"/>
        </w:rPr>
      </w:pPr>
      <w:r w:rsidRPr="005240BD">
        <w:rPr>
          <w:rFonts w:eastAsia="Calibri" w:cstheme="minorHAnsi"/>
          <w:b/>
          <w:bCs/>
        </w:rPr>
        <w:t>Fondazione GIMBE</w:t>
      </w:r>
      <w:r w:rsidRPr="005240BD">
        <w:rPr>
          <w:rFonts w:eastAsia="Calibri" w:cstheme="minorHAnsi"/>
        </w:rPr>
        <w:br/>
        <w:t>Via Amendola 2 - 40121 Bologna</w:t>
      </w:r>
    </w:p>
    <w:p w14:paraId="48D18B81" w14:textId="77777777" w:rsidR="00FD63E4" w:rsidRPr="005240BD" w:rsidRDefault="00FD63E4" w:rsidP="00FD63E4">
      <w:pPr>
        <w:spacing w:after="0"/>
        <w:rPr>
          <w:rFonts w:eastAsia="Calibri" w:cstheme="minorHAnsi"/>
        </w:rPr>
      </w:pPr>
      <w:r w:rsidRPr="005240BD">
        <w:rPr>
          <w:rFonts w:eastAsia="Calibri" w:cstheme="minorHAnsi"/>
        </w:rPr>
        <w:t>Tel. 051 5883920 - Fax 051 4075774</w:t>
      </w:r>
    </w:p>
    <w:p w14:paraId="52222071" w14:textId="1E4C9642" w:rsidR="0001114E" w:rsidRDefault="00FD63E4" w:rsidP="00CC3536">
      <w:pPr>
        <w:spacing w:after="0"/>
        <w:rPr>
          <w:rFonts w:eastAsia="Calibri" w:cstheme="minorHAnsi"/>
        </w:rPr>
      </w:pPr>
      <w:r w:rsidRPr="005240BD">
        <w:rPr>
          <w:rFonts w:eastAsia="Calibri" w:cstheme="minorHAnsi"/>
        </w:rPr>
        <w:t xml:space="preserve">E-mail: </w:t>
      </w:r>
      <w:hyperlink r:id="rId15" w:history="1">
        <w:r w:rsidRPr="005240BD">
          <w:rPr>
            <w:rFonts w:eastAsia="Calibri" w:cstheme="minorHAnsi"/>
          </w:rPr>
          <w:t>ufficio.stampa@gimbe.org</w:t>
        </w:r>
      </w:hyperlink>
      <w:r w:rsidR="00451586">
        <w:rPr>
          <w:rFonts w:eastAsia="Calibri" w:cstheme="minorHAnsi"/>
        </w:rPr>
        <w:br w:type="page"/>
      </w:r>
    </w:p>
    <w:p w14:paraId="02436825" w14:textId="77777777" w:rsidR="0001114E" w:rsidRDefault="0001114E" w:rsidP="00451586">
      <w:pPr>
        <w:spacing w:after="0"/>
        <w:jc w:val="center"/>
        <w:rPr>
          <w:b/>
          <w:bCs/>
          <w:color w:val="00457D"/>
          <w:sz w:val="24"/>
          <w:szCs w:val="24"/>
          <w:u w:color="00457D"/>
        </w:rPr>
      </w:pPr>
    </w:p>
    <w:p w14:paraId="6EFF05CA" w14:textId="564738DA" w:rsidR="00451586" w:rsidRPr="00026DA8" w:rsidRDefault="00AF6AD7" w:rsidP="00684CB6">
      <w:pPr>
        <w:spacing w:after="0"/>
        <w:jc w:val="center"/>
        <w:rPr>
          <w:b/>
          <w:bCs/>
          <w:color w:val="00457D"/>
          <w:sz w:val="24"/>
          <w:szCs w:val="24"/>
          <w:u w:color="00457D"/>
        </w:rPr>
      </w:pPr>
      <w:r>
        <w:rPr>
          <w:b/>
          <w:bCs/>
          <w:color w:val="00457D"/>
          <w:u w:color="00457D"/>
        </w:rPr>
        <w:t>Tabella</w:t>
      </w:r>
      <w:r w:rsidRPr="00AB07C4">
        <w:rPr>
          <w:b/>
          <w:bCs/>
          <w:color w:val="00457D"/>
          <w:u w:color="00457D"/>
        </w:rPr>
        <w:t xml:space="preserve"> </w:t>
      </w:r>
      <w:r>
        <w:rPr>
          <w:b/>
          <w:bCs/>
          <w:color w:val="00457D"/>
          <w:u w:color="00457D"/>
        </w:rPr>
        <w:t>1</w:t>
      </w:r>
      <w:r w:rsidRPr="00AB07C4">
        <w:rPr>
          <w:b/>
          <w:bCs/>
          <w:color w:val="00457D"/>
          <w:u w:color="00457D"/>
        </w:rPr>
        <w:t xml:space="preserve">. </w:t>
      </w:r>
      <w:r w:rsidR="00684CB6" w:rsidRPr="00026DA8">
        <w:rPr>
          <w:b/>
          <w:bCs/>
          <w:color w:val="00457D"/>
          <w:sz w:val="24"/>
          <w:szCs w:val="24"/>
          <w:u w:color="00457D"/>
        </w:rPr>
        <w:t xml:space="preserve">PNRR Missione Salute: </w:t>
      </w:r>
      <w:proofErr w:type="spellStart"/>
      <w:r w:rsidR="00684CB6" w:rsidRPr="00026DA8">
        <w:rPr>
          <w:b/>
          <w:bCs/>
          <w:color w:val="00457D"/>
          <w:sz w:val="24"/>
          <w:szCs w:val="24"/>
          <w:u w:color="00457D"/>
        </w:rPr>
        <w:t>M</w:t>
      </w:r>
      <w:r w:rsidR="0073042B" w:rsidRPr="00026DA8">
        <w:rPr>
          <w:b/>
          <w:bCs/>
          <w:color w:val="00457D"/>
          <w:sz w:val="24"/>
          <w:szCs w:val="24"/>
          <w:u w:color="00457D"/>
        </w:rPr>
        <w:t>ilestone</w:t>
      </w:r>
      <w:proofErr w:type="spellEnd"/>
      <w:r w:rsidR="0073042B" w:rsidRPr="00026DA8">
        <w:rPr>
          <w:b/>
          <w:bCs/>
          <w:color w:val="00457D"/>
          <w:sz w:val="24"/>
          <w:szCs w:val="24"/>
          <w:u w:color="00457D"/>
        </w:rPr>
        <w:t xml:space="preserve"> (M) e Target (T) di interesse nazionale </w:t>
      </w:r>
      <w:r w:rsidR="00135A2A" w:rsidRPr="00026DA8">
        <w:rPr>
          <w:b/>
          <w:bCs/>
          <w:color w:val="00457D"/>
          <w:sz w:val="24"/>
          <w:szCs w:val="24"/>
          <w:u w:color="00457D"/>
        </w:rPr>
        <w:t>differiti</w:t>
      </w:r>
      <w:r w:rsidR="00CF559C" w:rsidRPr="00026DA8">
        <w:rPr>
          <w:b/>
          <w:bCs/>
          <w:color w:val="00457D"/>
          <w:sz w:val="24"/>
          <w:szCs w:val="24"/>
          <w:u w:color="00457D"/>
        </w:rPr>
        <w:t xml:space="preserve"> nel 2024</w:t>
      </w:r>
    </w:p>
    <w:p w14:paraId="488E18FC" w14:textId="77777777" w:rsidR="00584C9B" w:rsidRPr="00584C9B" w:rsidRDefault="00584C9B" w:rsidP="00684CB6">
      <w:pPr>
        <w:spacing w:after="0"/>
        <w:jc w:val="center"/>
        <w:rPr>
          <w:b/>
          <w:bCs/>
          <w:color w:val="00457D"/>
          <w:sz w:val="10"/>
          <w:szCs w:val="10"/>
          <w:u w:color="00457D"/>
        </w:rPr>
      </w:pPr>
    </w:p>
    <w:tbl>
      <w:tblPr>
        <w:tblW w:w="5117" w:type="pct"/>
        <w:tblCellMar>
          <w:left w:w="0" w:type="dxa"/>
          <w:right w:w="0" w:type="dxa"/>
        </w:tblCellMar>
        <w:tblLook w:val="04A0" w:firstRow="1" w:lastRow="0" w:firstColumn="1" w:lastColumn="0" w:noHBand="0" w:noVBand="1"/>
      </w:tblPr>
      <w:tblGrid>
        <w:gridCol w:w="568"/>
        <w:gridCol w:w="4404"/>
        <w:gridCol w:w="1069"/>
        <w:gridCol w:w="1514"/>
        <w:gridCol w:w="1516"/>
        <w:gridCol w:w="772"/>
      </w:tblGrid>
      <w:tr w:rsidR="00ED6E07" w:rsidRPr="00940E82" w14:paraId="736B3E89" w14:textId="77777777" w:rsidTr="00593E65">
        <w:trPr>
          <w:trHeight w:val="510"/>
        </w:trPr>
        <w:tc>
          <w:tcPr>
            <w:tcW w:w="289" w:type="pct"/>
            <w:tcBorders>
              <w:top w:val="single" w:sz="8" w:space="0" w:color="00457D"/>
              <w:left w:val="single" w:sz="8" w:space="0" w:color="00457D"/>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0E615D08" w14:textId="77777777" w:rsidR="00ED6E07" w:rsidRPr="00940E82" w:rsidRDefault="00ED6E07" w:rsidP="008D257B">
            <w:pPr>
              <w:spacing w:after="0" w:line="240" w:lineRule="auto"/>
              <w:jc w:val="center"/>
              <w:rPr>
                <w:rFonts w:cstheme="minorHAnsi"/>
                <w:b/>
                <w:bCs/>
                <w:color w:val="FFFFFF"/>
                <w:lang w:eastAsia="it-IT"/>
              </w:rPr>
            </w:pPr>
            <w:bookmarkStart w:id="4" w:name="_Hlk146280869"/>
            <w:r w:rsidRPr="00940E82">
              <w:rPr>
                <w:rFonts w:cstheme="minorHAnsi"/>
                <w:b/>
                <w:bCs/>
                <w:color w:val="FFFFFF"/>
                <w:lang w:eastAsia="it-IT"/>
              </w:rPr>
              <w:t>M/T</w:t>
            </w:r>
          </w:p>
        </w:tc>
        <w:tc>
          <w:tcPr>
            <w:tcW w:w="2237"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483ABB72" w14:textId="77777777" w:rsidR="00ED6E07" w:rsidRPr="00940E82" w:rsidRDefault="00ED6E07" w:rsidP="008D257B">
            <w:pPr>
              <w:spacing w:after="0" w:line="240" w:lineRule="auto"/>
              <w:rPr>
                <w:rFonts w:cstheme="minorHAnsi"/>
                <w:b/>
                <w:bCs/>
                <w:color w:val="FFFFFF"/>
                <w:lang w:eastAsia="it-IT"/>
              </w:rPr>
            </w:pPr>
            <w:r w:rsidRPr="00940E82">
              <w:rPr>
                <w:rFonts w:cstheme="minorHAnsi"/>
                <w:b/>
                <w:bCs/>
                <w:color w:val="FFFFFF"/>
                <w:lang w:eastAsia="it-IT"/>
              </w:rPr>
              <w:t>Descrizione</w:t>
            </w:r>
          </w:p>
        </w:tc>
        <w:tc>
          <w:tcPr>
            <w:tcW w:w="543"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1035DF75"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Target</w:t>
            </w:r>
            <w:r w:rsidRPr="00940E82">
              <w:rPr>
                <w:rFonts w:cstheme="minorHAnsi"/>
                <w:b/>
                <w:bCs/>
                <w:color w:val="FFFFFF"/>
                <w:lang w:eastAsia="it-IT"/>
              </w:rPr>
              <w:br/>
              <w:t>raggiunto</w:t>
            </w:r>
          </w:p>
        </w:tc>
        <w:tc>
          <w:tcPr>
            <w:tcW w:w="769"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7DCA3336"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Scadenza iniziale</w:t>
            </w:r>
          </w:p>
        </w:tc>
        <w:tc>
          <w:tcPr>
            <w:tcW w:w="770"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511BA929"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 xml:space="preserve">Nuova </w:t>
            </w:r>
            <w:r w:rsidRPr="00940E82">
              <w:rPr>
                <w:rFonts w:cstheme="minorHAnsi"/>
                <w:b/>
                <w:bCs/>
                <w:color w:val="FFFFFF"/>
                <w:lang w:eastAsia="it-IT"/>
              </w:rPr>
              <w:br/>
              <w:t>scadenza</w:t>
            </w:r>
          </w:p>
        </w:tc>
        <w:tc>
          <w:tcPr>
            <w:tcW w:w="392" w:type="pct"/>
            <w:tcBorders>
              <w:top w:val="single" w:sz="8" w:space="0" w:color="00457D"/>
              <w:left w:val="nil"/>
              <w:bottom w:val="single" w:sz="8" w:space="0" w:color="00457D"/>
              <w:right w:val="single" w:sz="8" w:space="0" w:color="00457D"/>
            </w:tcBorders>
            <w:shd w:val="clear" w:color="auto" w:fill="00457D"/>
            <w:tcMar>
              <w:top w:w="28" w:type="dxa"/>
              <w:left w:w="85" w:type="dxa"/>
              <w:bottom w:w="28" w:type="dxa"/>
              <w:right w:w="85" w:type="dxa"/>
            </w:tcMar>
            <w:vAlign w:val="center"/>
            <w:hideMark/>
          </w:tcPr>
          <w:p w14:paraId="2D355E31"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Gap (mesi)</w:t>
            </w:r>
          </w:p>
        </w:tc>
      </w:tr>
      <w:tr w:rsidR="00ED6E07" w:rsidRPr="00940E82" w14:paraId="209FDAEB" w14:textId="77777777" w:rsidTr="00593E65">
        <w:trPr>
          <w:trHeight w:val="454"/>
        </w:trPr>
        <w:tc>
          <w:tcPr>
            <w:tcW w:w="289" w:type="pct"/>
            <w:tcBorders>
              <w:top w:val="nil"/>
              <w:left w:val="single" w:sz="8" w:space="0" w:color="00457D"/>
              <w:bottom w:val="single" w:sz="8" w:space="0" w:color="00457D"/>
              <w:right w:val="single" w:sz="8" w:space="0" w:color="00457D"/>
            </w:tcBorders>
            <w:tcMar>
              <w:top w:w="28" w:type="dxa"/>
              <w:left w:w="85" w:type="dxa"/>
              <w:bottom w:w="28" w:type="dxa"/>
              <w:right w:w="85" w:type="dxa"/>
            </w:tcMar>
            <w:hideMark/>
          </w:tcPr>
          <w:p w14:paraId="744B0B92"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T</w:t>
            </w:r>
          </w:p>
        </w:tc>
        <w:tc>
          <w:tcPr>
            <w:tcW w:w="2237" w:type="pct"/>
            <w:tcBorders>
              <w:top w:val="nil"/>
              <w:left w:val="nil"/>
              <w:bottom w:val="single" w:sz="8" w:space="0" w:color="00457D"/>
              <w:right w:val="single" w:sz="8" w:space="0" w:color="00457D"/>
            </w:tcBorders>
            <w:tcMar>
              <w:top w:w="28" w:type="dxa"/>
              <w:left w:w="85" w:type="dxa"/>
              <w:bottom w:w="28" w:type="dxa"/>
              <w:right w:w="85" w:type="dxa"/>
            </w:tcMar>
            <w:hideMark/>
          </w:tcPr>
          <w:p w14:paraId="7E07DF57" w14:textId="77777777" w:rsidR="00ED6E07" w:rsidRPr="00940E82" w:rsidRDefault="00ED6E07" w:rsidP="008D257B">
            <w:pPr>
              <w:spacing w:after="0" w:line="240" w:lineRule="auto"/>
              <w:rPr>
                <w:rFonts w:cstheme="minorHAnsi"/>
                <w:lang w:eastAsia="it-IT"/>
              </w:rPr>
            </w:pPr>
            <w:r w:rsidRPr="00940E82">
              <w:rPr>
                <w:rFonts w:cstheme="minorHAnsi"/>
                <w:lang w:eastAsia="it-IT"/>
              </w:rPr>
              <w:t>Stipula contratto per gli strumenti di intelligenza artificiale a supporto dell'assistenza primaria</w:t>
            </w:r>
          </w:p>
        </w:tc>
        <w:tc>
          <w:tcPr>
            <w:tcW w:w="543" w:type="pct"/>
            <w:tcBorders>
              <w:top w:val="nil"/>
              <w:left w:val="nil"/>
              <w:bottom w:val="single" w:sz="8" w:space="0" w:color="00457D"/>
              <w:right w:val="single" w:sz="8" w:space="0" w:color="00457D"/>
            </w:tcBorders>
            <w:tcMar>
              <w:top w:w="28" w:type="dxa"/>
              <w:left w:w="85" w:type="dxa"/>
              <w:bottom w:w="28" w:type="dxa"/>
              <w:right w:w="85" w:type="dxa"/>
            </w:tcMar>
            <w:hideMark/>
          </w:tcPr>
          <w:p w14:paraId="0F0FFDD3"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N.A.</w:t>
            </w:r>
          </w:p>
        </w:tc>
        <w:tc>
          <w:tcPr>
            <w:tcW w:w="769" w:type="pct"/>
            <w:tcBorders>
              <w:top w:val="nil"/>
              <w:left w:val="nil"/>
              <w:bottom w:val="single" w:sz="8" w:space="0" w:color="00457D"/>
              <w:right w:val="single" w:sz="8" w:space="0" w:color="00457D"/>
            </w:tcBorders>
            <w:tcMar>
              <w:top w:w="28" w:type="dxa"/>
              <w:left w:w="85" w:type="dxa"/>
              <w:bottom w:w="28" w:type="dxa"/>
              <w:right w:w="85" w:type="dxa"/>
            </w:tcMar>
            <w:hideMark/>
          </w:tcPr>
          <w:p w14:paraId="73894CCF"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30/06/23</w:t>
            </w:r>
          </w:p>
        </w:tc>
        <w:tc>
          <w:tcPr>
            <w:tcW w:w="770" w:type="pct"/>
            <w:tcBorders>
              <w:top w:val="nil"/>
              <w:left w:val="nil"/>
              <w:bottom w:val="single" w:sz="8" w:space="0" w:color="00457D"/>
              <w:right w:val="single" w:sz="8" w:space="0" w:color="00457D"/>
            </w:tcBorders>
            <w:tcMar>
              <w:top w:w="28" w:type="dxa"/>
              <w:left w:w="85" w:type="dxa"/>
              <w:bottom w:w="28" w:type="dxa"/>
              <w:right w:w="85" w:type="dxa"/>
            </w:tcMar>
            <w:hideMark/>
          </w:tcPr>
          <w:p w14:paraId="75549423" w14:textId="77777777" w:rsidR="00ED6E07" w:rsidRPr="00940E82" w:rsidRDefault="0087467A" w:rsidP="008D257B">
            <w:pPr>
              <w:spacing w:after="0" w:line="240" w:lineRule="auto"/>
              <w:jc w:val="center"/>
              <w:rPr>
                <w:rFonts w:cstheme="minorHAnsi"/>
                <w:lang w:eastAsia="it-IT"/>
              </w:rPr>
            </w:pPr>
            <w:r w:rsidRPr="00940E82">
              <w:rPr>
                <w:rFonts w:cstheme="minorHAnsi"/>
                <w:lang w:eastAsia="it-IT"/>
              </w:rPr>
              <w:t>30/06/24</w:t>
            </w:r>
          </w:p>
        </w:tc>
        <w:tc>
          <w:tcPr>
            <w:tcW w:w="392" w:type="pct"/>
            <w:tcBorders>
              <w:top w:val="nil"/>
              <w:left w:val="nil"/>
              <w:bottom w:val="single" w:sz="8" w:space="0" w:color="00457D"/>
              <w:right w:val="single" w:sz="8" w:space="0" w:color="00457D"/>
            </w:tcBorders>
            <w:tcMar>
              <w:top w:w="28" w:type="dxa"/>
              <w:left w:w="85" w:type="dxa"/>
              <w:bottom w:w="28" w:type="dxa"/>
              <w:right w:w="85" w:type="dxa"/>
            </w:tcMar>
            <w:hideMark/>
          </w:tcPr>
          <w:p w14:paraId="48C3F521"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w:t>
            </w:r>
            <w:r w:rsidR="00D748E1" w:rsidRPr="00940E82">
              <w:rPr>
                <w:rFonts w:cstheme="minorHAnsi"/>
                <w:lang w:eastAsia="it-IT"/>
              </w:rPr>
              <w:t>12</w:t>
            </w:r>
          </w:p>
        </w:tc>
      </w:tr>
      <w:tr w:rsidR="00ED6E07" w:rsidRPr="00940E82" w14:paraId="56CF8CCD" w14:textId="77777777" w:rsidTr="00593E65">
        <w:trPr>
          <w:trHeight w:val="454"/>
        </w:trPr>
        <w:tc>
          <w:tcPr>
            <w:tcW w:w="289" w:type="pct"/>
            <w:tcBorders>
              <w:top w:val="nil"/>
              <w:left w:val="single" w:sz="8" w:space="0" w:color="00457D"/>
              <w:bottom w:val="single" w:sz="8" w:space="0" w:color="00457D"/>
              <w:right w:val="single" w:sz="8" w:space="0" w:color="00457D"/>
            </w:tcBorders>
            <w:tcMar>
              <w:top w:w="28" w:type="dxa"/>
              <w:left w:w="85" w:type="dxa"/>
              <w:bottom w:w="28" w:type="dxa"/>
              <w:right w:w="85" w:type="dxa"/>
            </w:tcMar>
            <w:vAlign w:val="center"/>
            <w:hideMark/>
          </w:tcPr>
          <w:p w14:paraId="2F9E1A60" w14:textId="77777777" w:rsidR="00ED6E07" w:rsidRPr="00940E82" w:rsidRDefault="00ED6E07" w:rsidP="00684CB6">
            <w:pPr>
              <w:spacing w:after="0" w:line="240" w:lineRule="auto"/>
              <w:jc w:val="center"/>
              <w:rPr>
                <w:rFonts w:cstheme="minorHAnsi"/>
                <w:lang w:eastAsia="it-IT"/>
              </w:rPr>
            </w:pPr>
            <w:r w:rsidRPr="00940E82">
              <w:rPr>
                <w:rFonts w:cstheme="minorHAnsi"/>
                <w:lang w:eastAsia="it-IT"/>
              </w:rPr>
              <w:t>T</w:t>
            </w:r>
          </w:p>
        </w:tc>
        <w:tc>
          <w:tcPr>
            <w:tcW w:w="2237"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5F66A6C5" w14:textId="77777777" w:rsidR="00ED6E07" w:rsidRPr="00940E82" w:rsidRDefault="00ED6E07" w:rsidP="008D257B">
            <w:pPr>
              <w:spacing w:after="0" w:line="240" w:lineRule="auto"/>
              <w:rPr>
                <w:rFonts w:cstheme="minorHAnsi"/>
                <w:spacing w:val="-4"/>
                <w:lang w:eastAsia="it-IT"/>
              </w:rPr>
            </w:pPr>
            <w:r w:rsidRPr="00940E82">
              <w:rPr>
                <w:rFonts w:cstheme="minorHAnsi"/>
                <w:spacing w:val="-4"/>
                <w:lang w:eastAsia="it-IT"/>
              </w:rPr>
              <w:t>Stipula contratti per l'interconnessione aziendale</w:t>
            </w:r>
          </w:p>
        </w:tc>
        <w:tc>
          <w:tcPr>
            <w:tcW w:w="543"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0018C1DD"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9</w:t>
            </w:r>
            <w:r w:rsidR="009A76B2" w:rsidRPr="00940E82">
              <w:rPr>
                <w:rFonts w:cstheme="minorHAnsi"/>
                <w:lang w:eastAsia="it-IT"/>
              </w:rPr>
              <w:t>1</w:t>
            </w:r>
            <w:r w:rsidRPr="00940E82">
              <w:rPr>
                <w:rFonts w:cstheme="minorHAnsi"/>
                <w:lang w:eastAsia="it-IT"/>
              </w:rPr>
              <w:t>%</w:t>
            </w:r>
          </w:p>
        </w:tc>
        <w:tc>
          <w:tcPr>
            <w:tcW w:w="769"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50D1FD25"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30/06/23</w:t>
            </w:r>
          </w:p>
        </w:tc>
        <w:tc>
          <w:tcPr>
            <w:tcW w:w="770"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22E967AF" w14:textId="77777777" w:rsidR="00ED6E07" w:rsidRPr="00940E82" w:rsidRDefault="004F1222" w:rsidP="008D257B">
            <w:pPr>
              <w:spacing w:after="0" w:line="240" w:lineRule="auto"/>
              <w:jc w:val="center"/>
              <w:rPr>
                <w:rFonts w:cstheme="minorHAnsi"/>
                <w:lang w:eastAsia="it-IT"/>
              </w:rPr>
            </w:pPr>
            <w:r w:rsidRPr="00940E82">
              <w:rPr>
                <w:rFonts w:cstheme="minorHAnsi"/>
                <w:lang w:eastAsia="it-IT"/>
              </w:rPr>
              <w:t>30/06/</w:t>
            </w:r>
            <w:r w:rsidR="00135A2A" w:rsidRPr="00940E82">
              <w:rPr>
                <w:rFonts w:cstheme="minorHAnsi"/>
                <w:lang w:eastAsia="it-IT"/>
              </w:rPr>
              <w:t>24</w:t>
            </w:r>
          </w:p>
        </w:tc>
        <w:tc>
          <w:tcPr>
            <w:tcW w:w="392"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6F3B739F" w14:textId="77777777" w:rsidR="00ED6E07" w:rsidRPr="00940E82" w:rsidRDefault="00ED6E07" w:rsidP="00135A2A">
            <w:pPr>
              <w:spacing w:after="0" w:line="240" w:lineRule="auto"/>
              <w:jc w:val="center"/>
              <w:rPr>
                <w:rFonts w:cstheme="minorHAnsi"/>
                <w:lang w:eastAsia="it-IT"/>
              </w:rPr>
            </w:pPr>
            <w:r w:rsidRPr="00940E82">
              <w:rPr>
                <w:rFonts w:cstheme="minorHAnsi"/>
                <w:lang w:eastAsia="it-IT"/>
              </w:rPr>
              <w:t>+</w:t>
            </w:r>
            <w:r w:rsidR="00135A2A" w:rsidRPr="00940E82">
              <w:rPr>
                <w:rFonts w:cstheme="minorHAnsi"/>
                <w:lang w:eastAsia="it-IT"/>
              </w:rPr>
              <w:t>12</w:t>
            </w:r>
          </w:p>
        </w:tc>
      </w:tr>
      <w:bookmarkEnd w:id="4"/>
    </w:tbl>
    <w:p w14:paraId="73597FFE" w14:textId="77777777" w:rsidR="00451586" w:rsidRDefault="00451586" w:rsidP="0034210D">
      <w:pPr>
        <w:spacing w:after="0"/>
        <w:rPr>
          <w:rFonts w:eastAsia="Calibri" w:cstheme="minorHAnsi"/>
        </w:rPr>
      </w:pPr>
    </w:p>
    <w:p w14:paraId="4B902637" w14:textId="77777777" w:rsidR="00011DB9" w:rsidRDefault="00011DB9" w:rsidP="00CB3138">
      <w:pPr>
        <w:spacing w:after="0"/>
        <w:rPr>
          <w:rFonts w:cstheme="minorHAnsi"/>
          <w:b/>
          <w:bCs/>
          <w:color w:val="00457D"/>
        </w:rPr>
      </w:pPr>
    </w:p>
    <w:p w14:paraId="7416D808" w14:textId="77777777" w:rsidR="00011DB9" w:rsidRDefault="00011DB9" w:rsidP="00011DB9">
      <w:pPr>
        <w:jc w:val="center"/>
        <w:rPr>
          <w:b/>
          <w:bCs/>
          <w:color w:val="00457D"/>
          <w:u w:color="00457D"/>
        </w:rPr>
      </w:pPr>
      <w:r>
        <w:rPr>
          <w:b/>
          <w:bCs/>
          <w:color w:val="00457D"/>
          <w:u w:color="00457D"/>
        </w:rPr>
        <w:t>Tabella</w:t>
      </w:r>
      <w:r w:rsidRPr="00AB07C4">
        <w:rPr>
          <w:b/>
          <w:bCs/>
          <w:color w:val="00457D"/>
          <w:u w:color="00457D"/>
        </w:rPr>
        <w:t xml:space="preserve"> </w:t>
      </w:r>
      <w:r w:rsidR="00CB3138">
        <w:rPr>
          <w:b/>
          <w:bCs/>
          <w:color w:val="00457D"/>
          <w:u w:color="00457D"/>
        </w:rPr>
        <w:t>2</w:t>
      </w:r>
      <w:r w:rsidRPr="00AB07C4">
        <w:rPr>
          <w:b/>
          <w:bCs/>
          <w:color w:val="00457D"/>
          <w:u w:color="00457D"/>
        </w:rPr>
        <w:t xml:space="preserve">. </w:t>
      </w:r>
      <w:r>
        <w:rPr>
          <w:b/>
          <w:bCs/>
          <w:color w:val="00457D"/>
          <w:u w:color="00457D"/>
        </w:rPr>
        <w:t>Rimodulazione PNRR Missione Salute: modifiche quantitative</w:t>
      </w:r>
    </w:p>
    <w:tbl>
      <w:tblPr>
        <w:tblStyle w:val="Grigliatabella"/>
        <w:tblW w:w="10768" w:type="dxa"/>
        <w:jc w:val="cente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Look w:val="04A0" w:firstRow="1" w:lastRow="0" w:firstColumn="1" w:lastColumn="0" w:noHBand="0" w:noVBand="1"/>
      </w:tblPr>
      <w:tblGrid>
        <w:gridCol w:w="1112"/>
        <w:gridCol w:w="3201"/>
        <w:gridCol w:w="1138"/>
        <w:gridCol w:w="1048"/>
        <w:gridCol w:w="1162"/>
        <w:gridCol w:w="3107"/>
      </w:tblGrid>
      <w:tr w:rsidR="005909A3" w:rsidRPr="00AF4230" w14:paraId="19451199" w14:textId="77777777" w:rsidTr="00640E83">
        <w:trPr>
          <w:trHeight w:val="397"/>
          <w:jc w:val="center"/>
        </w:trPr>
        <w:tc>
          <w:tcPr>
            <w:tcW w:w="1112" w:type="dxa"/>
            <w:tcBorders>
              <w:right w:val="single" w:sz="4" w:space="0" w:color="FFFFFF" w:themeColor="background1"/>
            </w:tcBorders>
            <w:shd w:val="clear" w:color="auto" w:fill="00457D"/>
            <w:vAlign w:val="center"/>
          </w:tcPr>
          <w:p w14:paraId="2B6A92C2" w14:textId="77777777" w:rsidR="005909A3" w:rsidRPr="00AF4230" w:rsidRDefault="005909A3" w:rsidP="00914FFA">
            <w:pPr>
              <w:rPr>
                <w:b/>
                <w:bCs/>
              </w:rPr>
            </w:pPr>
            <w:r w:rsidRPr="00AF4230">
              <w:rPr>
                <w:b/>
                <w:bCs/>
              </w:rPr>
              <w:t>N°</w:t>
            </w:r>
          </w:p>
        </w:tc>
        <w:tc>
          <w:tcPr>
            <w:tcW w:w="3201" w:type="dxa"/>
            <w:tcBorders>
              <w:left w:val="single" w:sz="4" w:space="0" w:color="FFFFFF" w:themeColor="background1"/>
              <w:right w:val="single" w:sz="4" w:space="0" w:color="FFFFFF" w:themeColor="background1"/>
            </w:tcBorders>
            <w:shd w:val="clear" w:color="auto" w:fill="00457D"/>
            <w:vAlign w:val="center"/>
          </w:tcPr>
          <w:p w14:paraId="328CED07" w14:textId="77777777" w:rsidR="005909A3" w:rsidRPr="00AF4230" w:rsidRDefault="005909A3" w:rsidP="00914FFA">
            <w:pPr>
              <w:rPr>
                <w:b/>
                <w:bCs/>
              </w:rPr>
            </w:pPr>
            <w:r w:rsidRPr="00AF4230">
              <w:rPr>
                <w:b/>
                <w:bCs/>
              </w:rPr>
              <w:t>Investimento</w:t>
            </w:r>
          </w:p>
        </w:tc>
        <w:tc>
          <w:tcPr>
            <w:tcW w:w="1138" w:type="dxa"/>
            <w:tcBorders>
              <w:left w:val="single" w:sz="4" w:space="0" w:color="FFFFFF" w:themeColor="background1"/>
              <w:right w:val="single" w:sz="4" w:space="0" w:color="FFFFFF" w:themeColor="background1"/>
            </w:tcBorders>
            <w:shd w:val="clear" w:color="auto" w:fill="00457D"/>
            <w:vAlign w:val="center"/>
          </w:tcPr>
          <w:p w14:paraId="636DE322" w14:textId="77777777" w:rsidR="005909A3" w:rsidRPr="00AF4230" w:rsidRDefault="005909A3" w:rsidP="00914FFA">
            <w:pPr>
              <w:jc w:val="center"/>
              <w:rPr>
                <w:b/>
                <w:bCs/>
              </w:rPr>
            </w:pPr>
            <w:r w:rsidRPr="00AF4230">
              <w:rPr>
                <w:b/>
                <w:bCs/>
              </w:rPr>
              <w:t xml:space="preserve">Target </w:t>
            </w:r>
            <w:r>
              <w:rPr>
                <w:b/>
                <w:bCs/>
              </w:rPr>
              <w:br/>
            </w:r>
            <w:r w:rsidRPr="00AF4230">
              <w:rPr>
                <w:b/>
                <w:bCs/>
              </w:rPr>
              <w:t>originale</w:t>
            </w:r>
          </w:p>
        </w:tc>
        <w:tc>
          <w:tcPr>
            <w:tcW w:w="1048" w:type="dxa"/>
            <w:tcBorders>
              <w:left w:val="single" w:sz="4" w:space="0" w:color="FFFFFF" w:themeColor="background1"/>
              <w:right w:val="single" w:sz="4" w:space="0" w:color="FFFFFF" w:themeColor="background1"/>
            </w:tcBorders>
            <w:shd w:val="clear" w:color="auto" w:fill="00457D"/>
            <w:vAlign w:val="center"/>
          </w:tcPr>
          <w:p w14:paraId="09AF7508" w14:textId="77777777" w:rsidR="005909A3" w:rsidRPr="00AF4230" w:rsidRDefault="005909A3" w:rsidP="00914FFA">
            <w:pPr>
              <w:jc w:val="center"/>
              <w:rPr>
                <w:b/>
                <w:bCs/>
              </w:rPr>
            </w:pPr>
            <w:r w:rsidRPr="00AF4230">
              <w:rPr>
                <w:b/>
                <w:bCs/>
              </w:rPr>
              <w:t xml:space="preserve">Nuovo </w:t>
            </w:r>
            <w:r>
              <w:rPr>
                <w:b/>
                <w:bCs/>
              </w:rPr>
              <w:br/>
            </w:r>
            <w:r w:rsidRPr="00AF4230">
              <w:rPr>
                <w:b/>
                <w:bCs/>
              </w:rPr>
              <w:t>target</w:t>
            </w:r>
          </w:p>
        </w:tc>
        <w:tc>
          <w:tcPr>
            <w:tcW w:w="1162" w:type="dxa"/>
            <w:tcBorders>
              <w:left w:val="single" w:sz="4" w:space="0" w:color="FFFFFF" w:themeColor="background1"/>
            </w:tcBorders>
            <w:shd w:val="clear" w:color="auto" w:fill="00457D"/>
            <w:vAlign w:val="center"/>
          </w:tcPr>
          <w:p w14:paraId="2B297A0A" w14:textId="77777777" w:rsidR="005909A3" w:rsidRPr="00AF4230" w:rsidRDefault="005909A3" w:rsidP="00914FFA">
            <w:pPr>
              <w:jc w:val="center"/>
              <w:rPr>
                <w:b/>
                <w:bCs/>
              </w:rPr>
            </w:pPr>
            <w:r w:rsidRPr="00AF4230">
              <w:rPr>
                <w:b/>
                <w:bCs/>
              </w:rPr>
              <w:t>D</w:t>
            </w:r>
            <w:r w:rsidR="005D2474">
              <w:rPr>
                <w:b/>
                <w:bCs/>
              </w:rPr>
              <w:t>ifferenza</w:t>
            </w:r>
          </w:p>
        </w:tc>
        <w:tc>
          <w:tcPr>
            <w:tcW w:w="3107" w:type="dxa"/>
            <w:tcBorders>
              <w:left w:val="single" w:sz="4" w:space="0" w:color="FFFFFF" w:themeColor="background1"/>
            </w:tcBorders>
            <w:shd w:val="clear" w:color="auto" w:fill="00457D"/>
            <w:vAlign w:val="center"/>
          </w:tcPr>
          <w:p w14:paraId="713BAC12" w14:textId="77777777" w:rsidR="005909A3" w:rsidRPr="00AF4230" w:rsidRDefault="00F75472" w:rsidP="00640E83">
            <w:pPr>
              <w:jc w:val="center"/>
              <w:rPr>
                <w:b/>
                <w:bCs/>
              </w:rPr>
            </w:pPr>
            <w:r>
              <w:rPr>
                <w:b/>
                <w:bCs/>
              </w:rPr>
              <w:t>Note sulle risorse</w:t>
            </w:r>
            <w:r>
              <w:rPr>
                <w:b/>
                <w:bCs/>
              </w:rPr>
              <w:br/>
            </w:r>
            <w:r w:rsidR="00640E83">
              <w:rPr>
                <w:b/>
                <w:bCs/>
              </w:rPr>
              <w:t>economic</w:t>
            </w:r>
            <w:r>
              <w:rPr>
                <w:b/>
                <w:bCs/>
              </w:rPr>
              <w:t>he</w:t>
            </w:r>
          </w:p>
        </w:tc>
      </w:tr>
      <w:tr w:rsidR="005909A3" w14:paraId="7A616236" w14:textId="77777777" w:rsidTr="00EA5051">
        <w:trPr>
          <w:trHeight w:val="397"/>
          <w:jc w:val="center"/>
        </w:trPr>
        <w:tc>
          <w:tcPr>
            <w:tcW w:w="1112" w:type="dxa"/>
            <w:vAlign w:val="center"/>
          </w:tcPr>
          <w:p w14:paraId="09C0D328" w14:textId="77777777" w:rsidR="005909A3" w:rsidRDefault="005909A3" w:rsidP="00914FFA">
            <w:r>
              <w:t>M6C1-3</w:t>
            </w:r>
          </w:p>
        </w:tc>
        <w:tc>
          <w:tcPr>
            <w:tcW w:w="3201" w:type="dxa"/>
            <w:vAlign w:val="center"/>
          </w:tcPr>
          <w:p w14:paraId="45715E54" w14:textId="77777777" w:rsidR="005909A3" w:rsidRDefault="005909A3" w:rsidP="00914FFA">
            <w:r>
              <w:t>Case della Comunità</w:t>
            </w:r>
          </w:p>
        </w:tc>
        <w:tc>
          <w:tcPr>
            <w:tcW w:w="1138" w:type="dxa"/>
            <w:vAlign w:val="center"/>
          </w:tcPr>
          <w:p w14:paraId="293C8A38" w14:textId="77777777" w:rsidR="005909A3" w:rsidRDefault="005909A3" w:rsidP="00914FFA">
            <w:pPr>
              <w:jc w:val="right"/>
            </w:pPr>
            <w:r>
              <w:t>1.350</w:t>
            </w:r>
          </w:p>
        </w:tc>
        <w:tc>
          <w:tcPr>
            <w:tcW w:w="1048" w:type="dxa"/>
            <w:vAlign w:val="center"/>
          </w:tcPr>
          <w:p w14:paraId="128F47AF" w14:textId="77777777" w:rsidR="005909A3" w:rsidRDefault="005909A3" w:rsidP="00914FFA">
            <w:pPr>
              <w:jc w:val="right"/>
            </w:pPr>
            <w:r>
              <w:t>1.038</w:t>
            </w:r>
          </w:p>
        </w:tc>
        <w:tc>
          <w:tcPr>
            <w:tcW w:w="1162" w:type="dxa"/>
            <w:vAlign w:val="center"/>
          </w:tcPr>
          <w:p w14:paraId="1DBDC70A" w14:textId="77777777" w:rsidR="005909A3" w:rsidRPr="00011DB9" w:rsidRDefault="005909A3" w:rsidP="00914FFA">
            <w:pPr>
              <w:jc w:val="right"/>
              <w:rPr>
                <w:b/>
                <w:bCs/>
              </w:rPr>
            </w:pPr>
            <w:r w:rsidRPr="00011DB9">
              <w:rPr>
                <w:rFonts w:ascii="Calibri" w:hAnsi="Calibri" w:cs="Calibri"/>
                <w:b/>
                <w:bCs/>
                <w:color w:val="FF0000"/>
              </w:rPr>
              <w:t>-312</w:t>
            </w:r>
          </w:p>
        </w:tc>
        <w:tc>
          <w:tcPr>
            <w:tcW w:w="3107" w:type="dxa"/>
          </w:tcPr>
          <w:p w14:paraId="14898288" w14:textId="77777777" w:rsidR="005909A3" w:rsidRPr="00011DB9" w:rsidRDefault="005909A3" w:rsidP="005909A3">
            <w:pPr>
              <w:rPr>
                <w:rFonts w:ascii="Calibri" w:hAnsi="Calibri" w:cs="Calibri"/>
                <w:b/>
                <w:bCs/>
                <w:color w:val="FF0000"/>
              </w:rPr>
            </w:pPr>
            <w:r>
              <w:rPr>
                <w:rFonts w:ascii="Calibri" w:hAnsi="Calibri" w:cs="Calibri"/>
                <w:color w:val="000000"/>
              </w:rPr>
              <w:t>Uso di risorse alternative</w:t>
            </w:r>
            <w:r w:rsidR="008C1649">
              <w:rPr>
                <w:rFonts w:ascii="Calibri" w:hAnsi="Calibri" w:cs="Calibri"/>
                <w:color w:val="000000"/>
              </w:rPr>
              <w:t>*</w:t>
            </w:r>
          </w:p>
        </w:tc>
      </w:tr>
      <w:tr w:rsidR="005909A3" w14:paraId="340FAA1B" w14:textId="77777777" w:rsidTr="00EA5051">
        <w:trPr>
          <w:trHeight w:val="397"/>
          <w:jc w:val="center"/>
        </w:trPr>
        <w:tc>
          <w:tcPr>
            <w:tcW w:w="1112" w:type="dxa"/>
            <w:vAlign w:val="center"/>
          </w:tcPr>
          <w:p w14:paraId="0501A469" w14:textId="77777777" w:rsidR="005909A3" w:rsidRDefault="005909A3" w:rsidP="00914FFA">
            <w:r>
              <w:t>M6C1-7</w:t>
            </w:r>
          </w:p>
        </w:tc>
        <w:tc>
          <w:tcPr>
            <w:tcW w:w="3201" w:type="dxa"/>
            <w:vAlign w:val="center"/>
          </w:tcPr>
          <w:p w14:paraId="2B0D0E1D" w14:textId="77777777" w:rsidR="005909A3" w:rsidRDefault="005909A3" w:rsidP="00914FFA">
            <w:r>
              <w:t>Centrali Operative Territoriali</w:t>
            </w:r>
          </w:p>
        </w:tc>
        <w:tc>
          <w:tcPr>
            <w:tcW w:w="1138" w:type="dxa"/>
            <w:vAlign w:val="center"/>
          </w:tcPr>
          <w:p w14:paraId="2EE32A54" w14:textId="77777777" w:rsidR="005909A3" w:rsidRDefault="005909A3" w:rsidP="00914FFA">
            <w:pPr>
              <w:jc w:val="right"/>
            </w:pPr>
            <w:r>
              <w:t>600</w:t>
            </w:r>
          </w:p>
        </w:tc>
        <w:tc>
          <w:tcPr>
            <w:tcW w:w="1048" w:type="dxa"/>
            <w:vAlign w:val="center"/>
          </w:tcPr>
          <w:p w14:paraId="5BDBB068" w14:textId="77777777" w:rsidR="005909A3" w:rsidRDefault="005909A3" w:rsidP="00914FFA">
            <w:pPr>
              <w:jc w:val="right"/>
            </w:pPr>
            <w:r>
              <w:t>480</w:t>
            </w:r>
          </w:p>
        </w:tc>
        <w:tc>
          <w:tcPr>
            <w:tcW w:w="1162" w:type="dxa"/>
            <w:vAlign w:val="center"/>
          </w:tcPr>
          <w:p w14:paraId="160B6219" w14:textId="77777777" w:rsidR="005909A3" w:rsidRPr="00011DB9" w:rsidRDefault="005909A3" w:rsidP="00914FFA">
            <w:pPr>
              <w:jc w:val="right"/>
              <w:rPr>
                <w:b/>
                <w:bCs/>
              </w:rPr>
            </w:pPr>
            <w:r w:rsidRPr="00011DB9">
              <w:rPr>
                <w:rFonts w:ascii="Calibri" w:hAnsi="Calibri" w:cs="Calibri"/>
                <w:b/>
                <w:bCs/>
                <w:color w:val="FF0000"/>
              </w:rPr>
              <w:t>-120</w:t>
            </w:r>
          </w:p>
        </w:tc>
        <w:tc>
          <w:tcPr>
            <w:tcW w:w="3107" w:type="dxa"/>
          </w:tcPr>
          <w:p w14:paraId="4DBF042A" w14:textId="77777777" w:rsidR="005909A3" w:rsidRPr="00011DB9" w:rsidRDefault="005909A3" w:rsidP="005909A3">
            <w:pPr>
              <w:rPr>
                <w:rFonts w:ascii="Calibri" w:hAnsi="Calibri" w:cs="Calibri"/>
                <w:b/>
                <w:bCs/>
                <w:color w:val="FF0000"/>
              </w:rPr>
            </w:pPr>
            <w:r w:rsidRPr="005909A3">
              <w:rPr>
                <w:rFonts w:ascii="Calibri" w:hAnsi="Calibri" w:cs="Calibri"/>
                <w:color w:val="000000"/>
              </w:rPr>
              <w:t>Uso di risorse alternative</w:t>
            </w:r>
            <w:r w:rsidR="008C1649">
              <w:rPr>
                <w:rFonts w:ascii="Calibri" w:hAnsi="Calibri" w:cs="Calibri"/>
                <w:color w:val="000000"/>
              </w:rPr>
              <w:t>*</w:t>
            </w:r>
            <w:r w:rsidRPr="005909A3">
              <w:rPr>
                <w:rFonts w:ascii="Calibri" w:hAnsi="Calibri" w:cs="Calibri"/>
                <w:color w:val="000000"/>
              </w:rPr>
              <w:t xml:space="preserve"> </w:t>
            </w:r>
          </w:p>
        </w:tc>
      </w:tr>
      <w:tr w:rsidR="005909A3" w14:paraId="0BDCC901" w14:textId="77777777" w:rsidTr="00EA5051">
        <w:trPr>
          <w:trHeight w:val="397"/>
          <w:jc w:val="center"/>
        </w:trPr>
        <w:tc>
          <w:tcPr>
            <w:tcW w:w="1112" w:type="dxa"/>
            <w:vAlign w:val="center"/>
          </w:tcPr>
          <w:p w14:paraId="57FDA865" w14:textId="77777777" w:rsidR="005909A3" w:rsidRDefault="005909A3" w:rsidP="00914FFA">
            <w:r>
              <w:t>M6C1-11</w:t>
            </w:r>
          </w:p>
        </w:tc>
        <w:tc>
          <w:tcPr>
            <w:tcW w:w="3201" w:type="dxa"/>
            <w:vAlign w:val="center"/>
          </w:tcPr>
          <w:p w14:paraId="39321BAF" w14:textId="77777777" w:rsidR="005909A3" w:rsidRDefault="005909A3" w:rsidP="00914FFA">
            <w:r>
              <w:t>Ospedali di comunità</w:t>
            </w:r>
          </w:p>
        </w:tc>
        <w:tc>
          <w:tcPr>
            <w:tcW w:w="1138" w:type="dxa"/>
            <w:vAlign w:val="center"/>
          </w:tcPr>
          <w:p w14:paraId="525CDF1E" w14:textId="77777777" w:rsidR="005909A3" w:rsidRDefault="005909A3" w:rsidP="00914FFA">
            <w:pPr>
              <w:jc w:val="right"/>
            </w:pPr>
            <w:r>
              <w:t>400</w:t>
            </w:r>
          </w:p>
        </w:tc>
        <w:tc>
          <w:tcPr>
            <w:tcW w:w="1048" w:type="dxa"/>
            <w:vAlign w:val="center"/>
          </w:tcPr>
          <w:p w14:paraId="4FE853DF" w14:textId="77777777" w:rsidR="005909A3" w:rsidRDefault="005909A3" w:rsidP="00914FFA">
            <w:pPr>
              <w:jc w:val="right"/>
            </w:pPr>
            <w:r>
              <w:t>307</w:t>
            </w:r>
          </w:p>
        </w:tc>
        <w:tc>
          <w:tcPr>
            <w:tcW w:w="1162" w:type="dxa"/>
            <w:vAlign w:val="center"/>
          </w:tcPr>
          <w:p w14:paraId="1EE660EA" w14:textId="77777777" w:rsidR="005909A3" w:rsidRPr="00011DB9" w:rsidRDefault="005909A3" w:rsidP="00914FFA">
            <w:pPr>
              <w:jc w:val="right"/>
              <w:rPr>
                <w:b/>
                <w:bCs/>
              </w:rPr>
            </w:pPr>
            <w:r w:rsidRPr="00011DB9">
              <w:rPr>
                <w:rFonts w:ascii="Calibri" w:hAnsi="Calibri" w:cs="Calibri"/>
                <w:b/>
                <w:bCs/>
                <w:color w:val="FF0000"/>
              </w:rPr>
              <w:t>-</w:t>
            </w:r>
            <w:r>
              <w:rPr>
                <w:rFonts w:ascii="Calibri" w:hAnsi="Calibri" w:cs="Calibri"/>
                <w:b/>
                <w:bCs/>
                <w:color w:val="FF0000"/>
              </w:rPr>
              <w:t>9</w:t>
            </w:r>
            <w:r w:rsidRPr="00011DB9">
              <w:rPr>
                <w:rFonts w:ascii="Calibri" w:hAnsi="Calibri" w:cs="Calibri"/>
                <w:b/>
                <w:bCs/>
                <w:color w:val="FF0000"/>
              </w:rPr>
              <w:t>3</w:t>
            </w:r>
          </w:p>
        </w:tc>
        <w:tc>
          <w:tcPr>
            <w:tcW w:w="3107" w:type="dxa"/>
          </w:tcPr>
          <w:p w14:paraId="0720AEC1" w14:textId="77777777" w:rsidR="005909A3" w:rsidRPr="00011DB9" w:rsidRDefault="005909A3" w:rsidP="005909A3">
            <w:pPr>
              <w:rPr>
                <w:rFonts w:ascii="Calibri" w:hAnsi="Calibri" w:cs="Calibri"/>
                <w:b/>
                <w:bCs/>
                <w:color w:val="FF0000"/>
              </w:rPr>
            </w:pPr>
            <w:r w:rsidRPr="005909A3">
              <w:rPr>
                <w:rFonts w:ascii="Calibri" w:hAnsi="Calibri" w:cs="Calibri"/>
                <w:color w:val="000000"/>
              </w:rPr>
              <w:t>Uso di risorse alternative</w:t>
            </w:r>
            <w:r w:rsidR="008C1649">
              <w:rPr>
                <w:rFonts w:ascii="Calibri" w:hAnsi="Calibri" w:cs="Calibri"/>
                <w:color w:val="000000"/>
              </w:rPr>
              <w:t>*</w:t>
            </w:r>
          </w:p>
        </w:tc>
      </w:tr>
      <w:tr w:rsidR="005909A3" w14:paraId="31339074" w14:textId="77777777" w:rsidTr="00EA5051">
        <w:trPr>
          <w:trHeight w:val="397"/>
          <w:jc w:val="center"/>
        </w:trPr>
        <w:tc>
          <w:tcPr>
            <w:tcW w:w="1112" w:type="dxa"/>
            <w:vAlign w:val="center"/>
          </w:tcPr>
          <w:p w14:paraId="3017E941" w14:textId="77777777" w:rsidR="005909A3" w:rsidRPr="002E272E" w:rsidRDefault="005909A3" w:rsidP="005909A3">
            <w:r>
              <w:t>M6C1-6</w:t>
            </w:r>
          </w:p>
        </w:tc>
        <w:tc>
          <w:tcPr>
            <w:tcW w:w="3201" w:type="dxa"/>
            <w:vAlign w:val="center"/>
          </w:tcPr>
          <w:p w14:paraId="205C3DCE" w14:textId="77777777" w:rsidR="005909A3" w:rsidRPr="002E272E" w:rsidRDefault="005909A3" w:rsidP="005909A3">
            <w:r w:rsidRPr="002E272E">
              <w:t xml:space="preserve">Over 65 in </w:t>
            </w:r>
            <w:r>
              <w:t>assistenza domiciliare</w:t>
            </w:r>
          </w:p>
        </w:tc>
        <w:tc>
          <w:tcPr>
            <w:tcW w:w="1138" w:type="dxa"/>
            <w:vAlign w:val="center"/>
          </w:tcPr>
          <w:p w14:paraId="0DBBBD7D" w14:textId="77777777" w:rsidR="005909A3" w:rsidRPr="002E272E" w:rsidRDefault="005909A3" w:rsidP="005909A3">
            <w:pPr>
              <w:jc w:val="right"/>
            </w:pPr>
            <w:r w:rsidRPr="002E272E">
              <w:t>800.000</w:t>
            </w:r>
          </w:p>
        </w:tc>
        <w:tc>
          <w:tcPr>
            <w:tcW w:w="1048" w:type="dxa"/>
            <w:vAlign w:val="center"/>
          </w:tcPr>
          <w:p w14:paraId="766119FB" w14:textId="77777777" w:rsidR="005909A3" w:rsidRDefault="005909A3" w:rsidP="005909A3">
            <w:pPr>
              <w:jc w:val="right"/>
            </w:pPr>
            <w:r>
              <w:t>842.000</w:t>
            </w:r>
          </w:p>
        </w:tc>
        <w:tc>
          <w:tcPr>
            <w:tcW w:w="1162" w:type="dxa"/>
            <w:vAlign w:val="center"/>
          </w:tcPr>
          <w:p w14:paraId="062EAD85" w14:textId="77777777" w:rsidR="005909A3" w:rsidRPr="00011DB9" w:rsidRDefault="005909A3" w:rsidP="005909A3">
            <w:pPr>
              <w:jc w:val="right"/>
              <w:rPr>
                <w:b/>
                <w:bCs/>
                <w:color w:val="00B050"/>
              </w:rPr>
            </w:pPr>
            <w:r w:rsidRPr="00011DB9">
              <w:rPr>
                <w:rFonts w:ascii="Calibri" w:hAnsi="Calibri" w:cs="Calibri"/>
                <w:b/>
                <w:bCs/>
                <w:color w:val="00B050"/>
              </w:rPr>
              <w:t>+42.000</w:t>
            </w:r>
          </w:p>
        </w:tc>
        <w:tc>
          <w:tcPr>
            <w:tcW w:w="3107" w:type="dxa"/>
          </w:tcPr>
          <w:p w14:paraId="47C37A31" w14:textId="77777777" w:rsidR="005909A3" w:rsidRPr="00011DB9" w:rsidRDefault="005D2474" w:rsidP="005909A3">
            <w:pPr>
              <w:rPr>
                <w:rFonts w:ascii="Calibri" w:hAnsi="Calibri" w:cs="Calibri"/>
                <w:b/>
                <w:bCs/>
                <w:color w:val="00B050"/>
              </w:rPr>
            </w:pPr>
            <w:r>
              <w:t xml:space="preserve">Aumento </w:t>
            </w:r>
            <w:r w:rsidR="005909A3" w:rsidRPr="001543E9">
              <w:t>della dotazione finanziaria d</w:t>
            </w:r>
            <w:r>
              <w:t xml:space="preserve">i € 250 milioni </w:t>
            </w:r>
          </w:p>
        </w:tc>
      </w:tr>
      <w:tr w:rsidR="005909A3" w14:paraId="5ECEEB7D" w14:textId="77777777" w:rsidTr="00EA5051">
        <w:trPr>
          <w:trHeight w:val="397"/>
          <w:jc w:val="center"/>
        </w:trPr>
        <w:tc>
          <w:tcPr>
            <w:tcW w:w="1112" w:type="dxa"/>
            <w:vAlign w:val="center"/>
          </w:tcPr>
          <w:p w14:paraId="22398623" w14:textId="77777777" w:rsidR="005909A3" w:rsidRDefault="005909A3" w:rsidP="005909A3">
            <w:r>
              <w:t>M6C1-9</w:t>
            </w:r>
          </w:p>
        </w:tc>
        <w:tc>
          <w:tcPr>
            <w:tcW w:w="3201" w:type="dxa"/>
            <w:vAlign w:val="center"/>
          </w:tcPr>
          <w:p w14:paraId="13DBB7F2" w14:textId="77777777" w:rsidR="005909A3" w:rsidRDefault="005909A3" w:rsidP="005909A3">
            <w:r>
              <w:t>Pazienti assistiti in telemedicina</w:t>
            </w:r>
          </w:p>
        </w:tc>
        <w:tc>
          <w:tcPr>
            <w:tcW w:w="1138" w:type="dxa"/>
            <w:vAlign w:val="center"/>
          </w:tcPr>
          <w:p w14:paraId="6F2C8079" w14:textId="77777777" w:rsidR="005909A3" w:rsidRDefault="005909A3" w:rsidP="005909A3">
            <w:pPr>
              <w:jc w:val="right"/>
            </w:pPr>
            <w:r>
              <w:t>200.000</w:t>
            </w:r>
          </w:p>
        </w:tc>
        <w:tc>
          <w:tcPr>
            <w:tcW w:w="1048" w:type="dxa"/>
            <w:vAlign w:val="center"/>
          </w:tcPr>
          <w:p w14:paraId="19499FB0" w14:textId="77777777" w:rsidR="005909A3" w:rsidRDefault="005909A3" w:rsidP="005909A3">
            <w:pPr>
              <w:jc w:val="right"/>
            </w:pPr>
            <w:r>
              <w:t>300.000</w:t>
            </w:r>
          </w:p>
        </w:tc>
        <w:tc>
          <w:tcPr>
            <w:tcW w:w="1162" w:type="dxa"/>
            <w:vAlign w:val="center"/>
          </w:tcPr>
          <w:p w14:paraId="387FF4FC" w14:textId="77777777" w:rsidR="005909A3" w:rsidRPr="00011DB9" w:rsidRDefault="005909A3" w:rsidP="005909A3">
            <w:pPr>
              <w:jc w:val="right"/>
              <w:rPr>
                <w:b/>
                <w:bCs/>
                <w:color w:val="00B050"/>
              </w:rPr>
            </w:pPr>
            <w:r w:rsidRPr="00011DB9">
              <w:rPr>
                <w:rFonts w:ascii="Calibri" w:hAnsi="Calibri" w:cs="Calibri"/>
                <w:b/>
                <w:bCs/>
                <w:color w:val="00B050"/>
              </w:rPr>
              <w:t>+100.000</w:t>
            </w:r>
          </w:p>
        </w:tc>
        <w:tc>
          <w:tcPr>
            <w:tcW w:w="3107" w:type="dxa"/>
          </w:tcPr>
          <w:p w14:paraId="1FE63D6B" w14:textId="77777777" w:rsidR="005909A3" w:rsidRPr="00011DB9" w:rsidRDefault="005D2474" w:rsidP="005909A3">
            <w:pPr>
              <w:rPr>
                <w:rFonts w:ascii="Calibri" w:hAnsi="Calibri" w:cs="Calibri"/>
                <w:b/>
                <w:bCs/>
                <w:color w:val="00B050"/>
              </w:rPr>
            </w:pPr>
            <w:r>
              <w:t xml:space="preserve">Aumento </w:t>
            </w:r>
            <w:r w:rsidRPr="001543E9">
              <w:t>della dotazione finanziaria d</w:t>
            </w:r>
            <w:r>
              <w:t>i € 500 milioni</w:t>
            </w:r>
          </w:p>
        </w:tc>
      </w:tr>
      <w:tr w:rsidR="00EA5051" w14:paraId="7234D866" w14:textId="77777777" w:rsidTr="00EA5051">
        <w:trPr>
          <w:trHeight w:val="442"/>
          <w:jc w:val="center"/>
        </w:trPr>
        <w:tc>
          <w:tcPr>
            <w:tcW w:w="1112" w:type="dxa"/>
            <w:vMerge w:val="restart"/>
            <w:vAlign w:val="center"/>
          </w:tcPr>
          <w:p w14:paraId="432D0E66" w14:textId="77777777" w:rsidR="00EA5051" w:rsidRDefault="00EA5051" w:rsidP="00914FFA">
            <w:r>
              <w:t>M6C2-9</w:t>
            </w:r>
          </w:p>
        </w:tc>
        <w:tc>
          <w:tcPr>
            <w:tcW w:w="3201" w:type="dxa"/>
            <w:vAlign w:val="center"/>
          </w:tcPr>
          <w:p w14:paraId="328E3FCA" w14:textId="77777777" w:rsidR="00EA5051" w:rsidRDefault="00EA5051" w:rsidP="00914FFA">
            <w:r>
              <w:t>Posti terapia intensiva</w:t>
            </w:r>
          </w:p>
        </w:tc>
        <w:tc>
          <w:tcPr>
            <w:tcW w:w="1138" w:type="dxa"/>
            <w:vAlign w:val="center"/>
          </w:tcPr>
          <w:p w14:paraId="1631EEF8" w14:textId="77777777" w:rsidR="00EA5051" w:rsidRDefault="00EA5051" w:rsidP="00914FFA">
            <w:pPr>
              <w:jc w:val="right"/>
            </w:pPr>
            <w:r>
              <w:t>3.500</w:t>
            </w:r>
          </w:p>
        </w:tc>
        <w:tc>
          <w:tcPr>
            <w:tcW w:w="1048" w:type="dxa"/>
            <w:vAlign w:val="center"/>
          </w:tcPr>
          <w:p w14:paraId="14A9579E" w14:textId="77777777" w:rsidR="00EA5051" w:rsidRDefault="00EA5051" w:rsidP="00914FFA">
            <w:pPr>
              <w:jc w:val="right"/>
            </w:pPr>
            <w:r>
              <w:t>2.692</w:t>
            </w:r>
          </w:p>
        </w:tc>
        <w:tc>
          <w:tcPr>
            <w:tcW w:w="1162" w:type="dxa"/>
            <w:vAlign w:val="center"/>
          </w:tcPr>
          <w:p w14:paraId="3F9312BA" w14:textId="77777777" w:rsidR="00EA5051" w:rsidRPr="00011DB9" w:rsidRDefault="00EA5051" w:rsidP="00914FFA">
            <w:pPr>
              <w:jc w:val="right"/>
              <w:rPr>
                <w:b/>
                <w:bCs/>
              </w:rPr>
            </w:pPr>
            <w:r w:rsidRPr="00011DB9">
              <w:rPr>
                <w:rFonts w:ascii="Calibri" w:hAnsi="Calibri" w:cs="Calibri"/>
                <w:b/>
                <w:bCs/>
                <w:color w:val="FF0000"/>
              </w:rPr>
              <w:t>-808</w:t>
            </w:r>
          </w:p>
        </w:tc>
        <w:tc>
          <w:tcPr>
            <w:tcW w:w="3107" w:type="dxa"/>
            <w:vMerge w:val="restart"/>
          </w:tcPr>
          <w:p w14:paraId="08424A9B" w14:textId="77777777" w:rsidR="00EA5051" w:rsidRPr="00EA5051" w:rsidRDefault="00EA5051" w:rsidP="005909A3">
            <w:pPr>
              <w:rPr>
                <w:rFonts w:ascii="Calibri" w:hAnsi="Calibri" w:cs="Calibri"/>
              </w:rPr>
            </w:pPr>
            <w:r w:rsidRPr="00EA5051">
              <w:rPr>
                <w:rFonts w:ascii="Calibri" w:hAnsi="Calibri" w:cs="Calibri"/>
              </w:rPr>
              <w:t>Nessun riferimento a risorse alternative per realizzare i posti letto espunti</w:t>
            </w:r>
          </w:p>
        </w:tc>
      </w:tr>
      <w:tr w:rsidR="00EA5051" w14:paraId="1288C26C" w14:textId="77777777" w:rsidTr="00EA5051">
        <w:trPr>
          <w:trHeight w:val="397"/>
          <w:jc w:val="center"/>
        </w:trPr>
        <w:tc>
          <w:tcPr>
            <w:tcW w:w="1112" w:type="dxa"/>
            <w:vMerge/>
            <w:vAlign w:val="center"/>
          </w:tcPr>
          <w:p w14:paraId="705EB4D1" w14:textId="77777777" w:rsidR="00EA5051" w:rsidRDefault="00EA5051" w:rsidP="00914FFA">
            <w:bookmarkStart w:id="5" w:name="_Hlk164792896"/>
          </w:p>
        </w:tc>
        <w:tc>
          <w:tcPr>
            <w:tcW w:w="3201" w:type="dxa"/>
            <w:vAlign w:val="center"/>
          </w:tcPr>
          <w:p w14:paraId="7C4BA830" w14:textId="77777777" w:rsidR="00EA5051" w:rsidRDefault="00EA5051" w:rsidP="00914FFA">
            <w:r>
              <w:t>Posti terapia sub-intensiva</w:t>
            </w:r>
          </w:p>
        </w:tc>
        <w:tc>
          <w:tcPr>
            <w:tcW w:w="1138" w:type="dxa"/>
            <w:vAlign w:val="center"/>
          </w:tcPr>
          <w:p w14:paraId="7D8039C9" w14:textId="77777777" w:rsidR="00EA5051" w:rsidRDefault="00EA5051" w:rsidP="00914FFA">
            <w:pPr>
              <w:jc w:val="right"/>
            </w:pPr>
            <w:r w:rsidRPr="00E676FF">
              <w:t>4.225</w:t>
            </w:r>
            <w:r w:rsidR="00E676FF" w:rsidRPr="00E676FF">
              <w:rPr>
                <w:vertAlign w:val="superscript"/>
              </w:rPr>
              <w:t>§</w:t>
            </w:r>
          </w:p>
        </w:tc>
        <w:tc>
          <w:tcPr>
            <w:tcW w:w="1048" w:type="dxa"/>
            <w:vAlign w:val="center"/>
          </w:tcPr>
          <w:p w14:paraId="3B35DA11" w14:textId="77777777" w:rsidR="00EA5051" w:rsidRDefault="00EA5051" w:rsidP="00914FFA">
            <w:pPr>
              <w:jc w:val="right"/>
            </w:pPr>
            <w:r>
              <w:t>3.230</w:t>
            </w:r>
          </w:p>
        </w:tc>
        <w:tc>
          <w:tcPr>
            <w:tcW w:w="1162" w:type="dxa"/>
            <w:vAlign w:val="center"/>
          </w:tcPr>
          <w:p w14:paraId="1BFB965E" w14:textId="77777777" w:rsidR="00EA5051" w:rsidRPr="00011DB9" w:rsidRDefault="00EA5051" w:rsidP="00914FFA">
            <w:pPr>
              <w:jc w:val="right"/>
              <w:rPr>
                <w:b/>
                <w:bCs/>
              </w:rPr>
            </w:pPr>
            <w:r w:rsidRPr="00011DB9">
              <w:rPr>
                <w:rFonts w:ascii="Calibri" w:hAnsi="Calibri" w:cs="Calibri"/>
                <w:b/>
                <w:bCs/>
                <w:color w:val="FF0000"/>
              </w:rPr>
              <w:t>-995</w:t>
            </w:r>
          </w:p>
        </w:tc>
        <w:tc>
          <w:tcPr>
            <w:tcW w:w="3107" w:type="dxa"/>
            <w:vMerge/>
          </w:tcPr>
          <w:p w14:paraId="1DC465F9" w14:textId="77777777" w:rsidR="00EA5051" w:rsidRPr="0017107F" w:rsidRDefault="00EA5051" w:rsidP="005909A3">
            <w:pPr>
              <w:rPr>
                <w:rFonts w:ascii="Calibri" w:hAnsi="Calibri" w:cs="Calibri"/>
                <w:b/>
                <w:bCs/>
              </w:rPr>
            </w:pPr>
          </w:p>
        </w:tc>
      </w:tr>
      <w:bookmarkEnd w:id="5"/>
      <w:tr w:rsidR="005909A3" w14:paraId="6819AA36" w14:textId="77777777" w:rsidTr="00EA5051">
        <w:trPr>
          <w:trHeight w:val="397"/>
          <w:jc w:val="center"/>
        </w:trPr>
        <w:tc>
          <w:tcPr>
            <w:tcW w:w="1112" w:type="dxa"/>
            <w:vAlign w:val="center"/>
          </w:tcPr>
          <w:p w14:paraId="23976F38" w14:textId="77777777" w:rsidR="005909A3" w:rsidRDefault="005909A3" w:rsidP="00914FFA">
            <w:r>
              <w:t>M6C2-10</w:t>
            </w:r>
          </w:p>
        </w:tc>
        <w:tc>
          <w:tcPr>
            <w:tcW w:w="3201" w:type="dxa"/>
            <w:vAlign w:val="center"/>
          </w:tcPr>
          <w:p w14:paraId="039283D9" w14:textId="77777777" w:rsidR="005909A3" w:rsidRDefault="005909A3" w:rsidP="00914FFA">
            <w:r>
              <w:t>Interventi antisismica</w:t>
            </w:r>
          </w:p>
        </w:tc>
        <w:tc>
          <w:tcPr>
            <w:tcW w:w="1138" w:type="dxa"/>
            <w:vAlign w:val="center"/>
          </w:tcPr>
          <w:p w14:paraId="26D8E0C5" w14:textId="77777777" w:rsidR="005909A3" w:rsidRDefault="005909A3" w:rsidP="00914FFA">
            <w:pPr>
              <w:jc w:val="right"/>
            </w:pPr>
            <w:r>
              <w:t>109</w:t>
            </w:r>
          </w:p>
        </w:tc>
        <w:tc>
          <w:tcPr>
            <w:tcW w:w="1048" w:type="dxa"/>
            <w:vAlign w:val="center"/>
          </w:tcPr>
          <w:p w14:paraId="69339D3C" w14:textId="77777777" w:rsidR="005909A3" w:rsidRDefault="005909A3" w:rsidP="00914FFA">
            <w:pPr>
              <w:jc w:val="right"/>
            </w:pPr>
            <w:r>
              <w:t>84</w:t>
            </w:r>
          </w:p>
        </w:tc>
        <w:tc>
          <w:tcPr>
            <w:tcW w:w="1162" w:type="dxa"/>
            <w:vAlign w:val="center"/>
          </w:tcPr>
          <w:p w14:paraId="7C24056C" w14:textId="77777777" w:rsidR="005909A3" w:rsidRPr="00011DB9" w:rsidRDefault="005909A3" w:rsidP="00914FFA">
            <w:pPr>
              <w:jc w:val="right"/>
              <w:rPr>
                <w:b/>
                <w:bCs/>
              </w:rPr>
            </w:pPr>
            <w:r w:rsidRPr="00011DB9">
              <w:rPr>
                <w:rFonts w:ascii="Calibri" w:hAnsi="Calibri" w:cs="Calibri"/>
                <w:b/>
                <w:bCs/>
                <w:color w:val="FF0000"/>
              </w:rPr>
              <w:t>-25</w:t>
            </w:r>
          </w:p>
        </w:tc>
        <w:tc>
          <w:tcPr>
            <w:tcW w:w="3107" w:type="dxa"/>
          </w:tcPr>
          <w:p w14:paraId="0CF0FF64" w14:textId="77777777" w:rsidR="00451615" w:rsidRDefault="00451615" w:rsidP="005909A3">
            <w:pPr>
              <w:rPr>
                <w:rFonts w:ascii="Calibri" w:hAnsi="Calibri" w:cs="Calibri"/>
                <w:color w:val="000000"/>
              </w:rPr>
            </w:pPr>
            <w:r>
              <w:rPr>
                <w:rFonts w:ascii="Calibri" w:hAnsi="Calibri" w:cs="Calibri"/>
                <w:color w:val="000000"/>
              </w:rPr>
              <w:t>Riduzione della dotazione di € 750 milioni</w:t>
            </w:r>
          </w:p>
          <w:p w14:paraId="14825C3F" w14:textId="77777777" w:rsidR="005909A3" w:rsidRPr="00011DB9" w:rsidRDefault="005909A3" w:rsidP="005909A3">
            <w:pPr>
              <w:rPr>
                <w:rFonts w:ascii="Calibri" w:hAnsi="Calibri" w:cs="Calibri"/>
                <w:b/>
                <w:bCs/>
                <w:color w:val="FF0000"/>
              </w:rPr>
            </w:pPr>
            <w:r w:rsidRPr="005909A3">
              <w:rPr>
                <w:rFonts w:ascii="Calibri" w:hAnsi="Calibri" w:cs="Calibri"/>
                <w:color w:val="000000"/>
              </w:rPr>
              <w:t>Uso di risorse alternative</w:t>
            </w:r>
            <w:r w:rsidR="008C1649">
              <w:rPr>
                <w:rFonts w:ascii="Calibri" w:hAnsi="Calibri" w:cs="Calibri"/>
                <w:color w:val="000000"/>
              </w:rPr>
              <w:t>*</w:t>
            </w:r>
          </w:p>
        </w:tc>
      </w:tr>
      <w:tr w:rsidR="003E7278" w14:paraId="21F4CB60" w14:textId="77777777" w:rsidTr="004C7816">
        <w:trPr>
          <w:trHeight w:val="397"/>
          <w:jc w:val="center"/>
        </w:trPr>
        <w:tc>
          <w:tcPr>
            <w:tcW w:w="10768" w:type="dxa"/>
            <w:gridSpan w:val="6"/>
            <w:vAlign w:val="center"/>
          </w:tcPr>
          <w:p w14:paraId="3BA3C4D7" w14:textId="569009A3" w:rsidR="003E7278" w:rsidRPr="00E676FF" w:rsidRDefault="008C1649" w:rsidP="005909A3">
            <w:pPr>
              <w:rPr>
                <w:rFonts w:ascii="Calibri" w:hAnsi="Calibri" w:cs="Calibri"/>
                <w:color w:val="000000"/>
                <w:sz w:val="18"/>
                <w:szCs w:val="18"/>
              </w:rPr>
            </w:pPr>
            <w:r w:rsidRPr="00E676FF">
              <w:rPr>
                <w:rFonts w:ascii="Calibri" w:hAnsi="Calibri" w:cs="Calibri"/>
                <w:color w:val="000000"/>
                <w:sz w:val="18"/>
                <w:szCs w:val="18"/>
              </w:rPr>
              <w:t>*</w:t>
            </w:r>
            <w:r w:rsidRPr="00E676FF">
              <w:rPr>
                <w:sz w:val="18"/>
                <w:szCs w:val="18"/>
              </w:rPr>
              <w:t xml:space="preserve"> </w:t>
            </w:r>
            <w:r w:rsidRPr="00E676FF">
              <w:rPr>
                <w:rFonts w:ascii="Calibri" w:hAnsi="Calibri" w:cs="Calibri"/>
                <w:color w:val="000000"/>
                <w:sz w:val="18"/>
                <w:szCs w:val="18"/>
              </w:rPr>
              <w:t xml:space="preserve">Per garantire la realizzazione di tutte le strutture e di tutti gli interventi come inizialmente programmati, è previsto l’utilizzo di fondi alternativi quali le risorse da Accordo di Programma ex art. 20 </w:t>
            </w:r>
            <w:r w:rsidR="007B3604" w:rsidRPr="00E676FF">
              <w:rPr>
                <w:rFonts w:ascii="Calibri" w:hAnsi="Calibri" w:cs="Calibri"/>
                <w:color w:val="000000"/>
                <w:sz w:val="18"/>
                <w:szCs w:val="18"/>
              </w:rPr>
              <w:t>L</w:t>
            </w:r>
            <w:r w:rsidRPr="00E676FF">
              <w:rPr>
                <w:rFonts w:ascii="Calibri" w:hAnsi="Calibri" w:cs="Calibri"/>
                <w:color w:val="000000"/>
                <w:sz w:val="18"/>
                <w:szCs w:val="18"/>
              </w:rPr>
              <w:t xml:space="preserve">. 67/1988 ed eventuali risorse alternative, nonché le risorse addizionali del Fondo Opere Indifferibili, istituito per fronteggiare l’eccezionale aumento dei </w:t>
            </w:r>
            <w:r w:rsidR="0024135E">
              <w:rPr>
                <w:rFonts w:ascii="Calibri" w:hAnsi="Calibri" w:cs="Calibri"/>
                <w:color w:val="000000"/>
                <w:sz w:val="18"/>
                <w:szCs w:val="18"/>
              </w:rPr>
              <w:t xml:space="preserve">costi dei </w:t>
            </w:r>
            <w:r w:rsidRPr="00E676FF">
              <w:rPr>
                <w:rFonts w:ascii="Calibri" w:hAnsi="Calibri" w:cs="Calibri"/>
                <w:color w:val="000000"/>
                <w:sz w:val="18"/>
                <w:szCs w:val="18"/>
              </w:rPr>
              <w:t>materiali da costruzione negli appalti pubblici e risorse derivanti dai bilanci regionali/provinciali.</w:t>
            </w:r>
          </w:p>
          <w:p w14:paraId="14C3432D" w14:textId="77777777" w:rsidR="00E676FF" w:rsidRPr="00E676FF" w:rsidRDefault="00E676FF" w:rsidP="005909A3">
            <w:pPr>
              <w:rPr>
                <w:rFonts w:ascii="Calibri" w:hAnsi="Calibri" w:cs="Calibri"/>
                <w:color w:val="000000"/>
                <w:sz w:val="18"/>
                <w:szCs w:val="18"/>
              </w:rPr>
            </w:pPr>
            <w:r w:rsidRPr="00E676FF">
              <w:rPr>
                <w:sz w:val="18"/>
                <w:szCs w:val="18"/>
                <w:vertAlign w:val="superscript"/>
              </w:rPr>
              <w:t>§</w:t>
            </w:r>
            <w:r w:rsidRPr="00E676FF">
              <w:rPr>
                <w:sz w:val="18"/>
                <w:szCs w:val="18"/>
              </w:rPr>
              <w:t>Target originale riportato nella prima versione del PNRR. La rimodulazione riporta, invece, il numero di 4.200</w:t>
            </w:r>
          </w:p>
        </w:tc>
      </w:tr>
    </w:tbl>
    <w:p w14:paraId="511111D3" w14:textId="77777777" w:rsidR="005909A3" w:rsidRDefault="005909A3" w:rsidP="00955813"/>
    <w:p w14:paraId="16E5A69E" w14:textId="77777777" w:rsidR="00011DB9" w:rsidRPr="00851721" w:rsidRDefault="00011DB9" w:rsidP="00011DB9">
      <w:pPr>
        <w:jc w:val="center"/>
        <w:rPr>
          <w:b/>
          <w:bCs/>
          <w:color w:val="00457D"/>
          <w:u w:color="00457D"/>
        </w:rPr>
      </w:pPr>
      <w:r>
        <w:rPr>
          <w:b/>
          <w:bCs/>
          <w:color w:val="00457D"/>
          <w:u w:color="00457D"/>
        </w:rPr>
        <w:t>Tabella</w:t>
      </w:r>
      <w:r w:rsidRPr="00AB07C4">
        <w:rPr>
          <w:b/>
          <w:bCs/>
          <w:color w:val="00457D"/>
          <w:u w:color="00457D"/>
        </w:rPr>
        <w:t xml:space="preserve"> </w:t>
      </w:r>
      <w:r w:rsidR="00CB3138">
        <w:rPr>
          <w:b/>
          <w:bCs/>
          <w:color w:val="00457D"/>
          <w:u w:color="00457D"/>
        </w:rPr>
        <w:t>3</w:t>
      </w:r>
      <w:r>
        <w:rPr>
          <w:b/>
          <w:bCs/>
          <w:color w:val="00457D"/>
          <w:u w:color="00457D"/>
        </w:rPr>
        <w:t>. Rimodulazione PNRR Missione Salute: differimenti delle scadenze</w:t>
      </w:r>
    </w:p>
    <w:tbl>
      <w:tblPr>
        <w:tblStyle w:val="Grigliatabella"/>
        <w:tblW w:w="9850" w:type="dxa"/>
        <w:jc w:val="cente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Look w:val="04A0" w:firstRow="1" w:lastRow="0" w:firstColumn="1" w:lastColumn="0" w:noHBand="0" w:noVBand="1"/>
      </w:tblPr>
      <w:tblGrid>
        <w:gridCol w:w="1107"/>
        <w:gridCol w:w="3678"/>
        <w:gridCol w:w="2024"/>
        <w:gridCol w:w="1941"/>
        <w:gridCol w:w="1100"/>
      </w:tblGrid>
      <w:tr w:rsidR="00011DB9" w:rsidRPr="00AF4230" w14:paraId="55D4D04D" w14:textId="77777777" w:rsidTr="00914FFA">
        <w:trPr>
          <w:trHeight w:val="397"/>
          <w:jc w:val="center"/>
        </w:trPr>
        <w:tc>
          <w:tcPr>
            <w:tcW w:w="1107" w:type="dxa"/>
            <w:tcBorders>
              <w:right w:val="single" w:sz="4" w:space="0" w:color="FFFFFF" w:themeColor="background1"/>
            </w:tcBorders>
            <w:shd w:val="clear" w:color="auto" w:fill="00457D"/>
            <w:vAlign w:val="center"/>
          </w:tcPr>
          <w:p w14:paraId="0335C282" w14:textId="77777777" w:rsidR="00011DB9" w:rsidRPr="00AF4230" w:rsidRDefault="00011DB9" w:rsidP="00914FFA">
            <w:pPr>
              <w:rPr>
                <w:b/>
                <w:bCs/>
              </w:rPr>
            </w:pPr>
            <w:r w:rsidRPr="00AF4230">
              <w:rPr>
                <w:b/>
                <w:bCs/>
              </w:rPr>
              <w:t>N°</w:t>
            </w:r>
          </w:p>
        </w:tc>
        <w:tc>
          <w:tcPr>
            <w:tcW w:w="3678" w:type="dxa"/>
            <w:tcBorders>
              <w:left w:val="single" w:sz="4" w:space="0" w:color="FFFFFF" w:themeColor="background1"/>
              <w:right w:val="single" w:sz="4" w:space="0" w:color="FFFFFF" w:themeColor="background1"/>
            </w:tcBorders>
            <w:shd w:val="clear" w:color="auto" w:fill="00457D"/>
            <w:vAlign w:val="center"/>
          </w:tcPr>
          <w:p w14:paraId="4073B72A" w14:textId="77777777" w:rsidR="00011DB9" w:rsidRPr="00AF4230" w:rsidRDefault="00011DB9" w:rsidP="00914FFA">
            <w:pPr>
              <w:rPr>
                <w:b/>
                <w:bCs/>
              </w:rPr>
            </w:pPr>
            <w:r w:rsidRPr="00AF4230">
              <w:rPr>
                <w:b/>
                <w:bCs/>
              </w:rPr>
              <w:t>Investimento</w:t>
            </w:r>
          </w:p>
        </w:tc>
        <w:tc>
          <w:tcPr>
            <w:tcW w:w="2024" w:type="dxa"/>
            <w:tcBorders>
              <w:left w:val="single" w:sz="4" w:space="0" w:color="FFFFFF" w:themeColor="background1"/>
              <w:right w:val="single" w:sz="4" w:space="0" w:color="FFFFFF" w:themeColor="background1"/>
            </w:tcBorders>
            <w:shd w:val="clear" w:color="auto" w:fill="00457D"/>
            <w:vAlign w:val="center"/>
          </w:tcPr>
          <w:p w14:paraId="32469A1B" w14:textId="77777777" w:rsidR="00011DB9" w:rsidRPr="00AF4230" w:rsidRDefault="00011DB9" w:rsidP="00914FFA">
            <w:pPr>
              <w:jc w:val="center"/>
              <w:rPr>
                <w:b/>
                <w:bCs/>
              </w:rPr>
            </w:pPr>
            <w:r>
              <w:rPr>
                <w:b/>
                <w:bCs/>
              </w:rPr>
              <w:t>Scadenza</w:t>
            </w:r>
            <w:r w:rsidRPr="00AF4230">
              <w:rPr>
                <w:b/>
                <w:bCs/>
              </w:rPr>
              <w:t xml:space="preserve"> </w:t>
            </w:r>
            <w:r>
              <w:rPr>
                <w:b/>
                <w:bCs/>
              </w:rPr>
              <w:br/>
            </w:r>
            <w:r w:rsidRPr="00AF4230">
              <w:rPr>
                <w:b/>
                <w:bCs/>
              </w:rPr>
              <w:t>originale</w:t>
            </w:r>
          </w:p>
        </w:tc>
        <w:tc>
          <w:tcPr>
            <w:tcW w:w="1941" w:type="dxa"/>
            <w:tcBorders>
              <w:left w:val="single" w:sz="4" w:space="0" w:color="FFFFFF" w:themeColor="background1"/>
              <w:right w:val="single" w:sz="4" w:space="0" w:color="FFFFFF" w:themeColor="background1"/>
            </w:tcBorders>
            <w:shd w:val="clear" w:color="auto" w:fill="00457D"/>
            <w:vAlign w:val="center"/>
          </w:tcPr>
          <w:p w14:paraId="5992D21A" w14:textId="77777777" w:rsidR="00011DB9" w:rsidRPr="00AF4230" w:rsidRDefault="00011DB9" w:rsidP="00914FFA">
            <w:pPr>
              <w:jc w:val="center"/>
              <w:rPr>
                <w:b/>
                <w:bCs/>
              </w:rPr>
            </w:pPr>
            <w:r w:rsidRPr="00AF4230">
              <w:rPr>
                <w:b/>
                <w:bCs/>
              </w:rPr>
              <w:t>Nuov</w:t>
            </w:r>
            <w:r>
              <w:rPr>
                <w:b/>
                <w:bCs/>
              </w:rPr>
              <w:t>a</w:t>
            </w:r>
            <w:r w:rsidRPr="00AF4230">
              <w:rPr>
                <w:b/>
                <w:bCs/>
              </w:rPr>
              <w:t xml:space="preserve"> </w:t>
            </w:r>
            <w:r>
              <w:rPr>
                <w:b/>
                <w:bCs/>
              </w:rPr>
              <w:br/>
              <w:t>scadenza</w:t>
            </w:r>
          </w:p>
        </w:tc>
        <w:tc>
          <w:tcPr>
            <w:tcW w:w="1100" w:type="dxa"/>
            <w:tcBorders>
              <w:left w:val="single" w:sz="4" w:space="0" w:color="FFFFFF" w:themeColor="background1"/>
            </w:tcBorders>
            <w:shd w:val="clear" w:color="auto" w:fill="00457D"/>
            <w:vAlign w:val="center"/>
          </w:tcPr>
          <w:p w14:paraId="7093168B" w14:textId="77777777" w:rsidR="00011DB9" w:rsidRPr="00AF4230" w:rsidRDefault="00011DB9" w:rsidP="00914FFA">
            <w:pPr>
              <w:jc w:val="center"/>
              <w:rPr>
                <w:b/>
                <w:bCs/>
              </w:rPr>
            </w:pPr>
            <w:r w:rsidRPr="00AF4230">
              <w:rPr>
                <w:b/>
                <w:bCs/>
              </w:rPr>
              <w:t>Delta</w:t>
            </w:r>
          </w:p>
        </w:tc>
      </w:tr>
      <w:tr w:rsidR="00011DB9" w14:paraId="799A49C3" w14:textId="77777777" w:rsidTr="00914FFA">
        <w:trPr>
          <w:trHeight w:val="397"/>
          <w:jc w:val="center"/>
        </w:trPr>
        <w:tc>
          <w:tcPr>
            <w:tcW w:w="1107" w:type="dxa"/>
            <w:vAlign w:val="center"/>
          </w:tcPr>
          <w:p w14:paraId="6047F2E9" w14:textId="77777777" w:rsidR="00011DB9" w:rsidRDefault="00011DB9" w:rsidP="00914FFA">
            <w:r>
              <w:t>M6C1-7</w:t>
            </w:r>
          </w:p>
        </w:tc>
        <w:tc>
          <w:tcPr>
            <w:tcW w:w="3678" w:type="dxa"/>
            <w:vAlign w:val="center"/>
          </w:tcPr>
          <w:p w14:paraId="433EC5C9" w14:textId="77777777" w:rsidR="00011DB9" w:rsidRDefault="00011DB9" w:rsidP="00914FFA">
            <w:r>
              <w:t>Centrali Operative Territoriali</w:t>
            </w:r>
          </w:p>
        </w:tc>
        <w:tc>
          <w:tcPr>
            <w:tcW w:w="2024" w:type="dxa"/>
            <w:vAlign w:val="center"/>
          </w:tcPr>
          <w:p w14:paraId="5A36947F" w14:textId="77777777" w:rsidR="00011DB9" w:rsidRDefault="00011DB9" w:rsidP="00914FFA">
            <w:pPr>
              <w:jc w:val="right"/>
            </w:pPr>
            <w:r>
              <w:t>30 giugno 2024</w:t>
            </w:r>
          </w:p>
        </w:tc>
        <w:tc>
          <w:tcPr>
            <w:tcW w:w="1941" w:type="dxa"/>
            <w:vAlign w:val="center"/>
          </w:tcPr>
          <w:p w14:paraId="7AEBBC3A" w14:textId="77777777" w:rsidR="00011DB9" w:rsidRDefault="00011DB9" w:rsidP="00914FFA">
            <w:pPr>
              <w:jc w:val="right"/>
            </w:pPr>
            <w:r>
              <w:t>31 dicembre 2024</w:t>
            </w:r>
          </w:p>
        </w:tc>
        <w:tc>
          <w:tcPr>
            <w:tcW w:w="1100" w:type="dxa"/>
            <w:vAlign w:val="center"/>
          </w:tcPr>
          <w:p w14:paraId="40A0F315" w14:textId="77777777" w:rsidR="00011DB9" w:rsidRDefault="00011DB9" w:rsidP="00914FFA">
            <w:pPr>
              <w:jc w:val="right"/>
            </w:pPr>
            <w:r>
              <w:t>+6 mesi</w:t>
            </w:r>
          </w:p>
        </w:tc>
      </w:tr>
      <w:tr w:rsidR="00011DB9" w14:paraId="56503680" w14:textId="77777777" w:rsidTr="00914FFA">
        <w:trPr>
          <w:trHeight w:val="397"/>
          <w:jc w:val="center"/>
        </w:trPr>
        <w:tc>
          <w:tcPr>
            <w:tcW w:w="1107" w:type="dxa"/>
            <w:vAlign w:val="center"/>
          </w:tcPr>
          <w:p w14:paraId="2F0CB594" w14:textId="77777777" w:rsidR="00011DB9" w:rsidRDefault="00011DB9" w:rsidP="00914FFA">
            <w:r>
              <w:t>M6C2-6</w:t>
            </w:r>
          </w:p>
        </w:tc>
        <w:tc>
          <w:tcPr>
            <w:tcW w:w="3678" w:type="dxa"/>
            <w:vAlign w:val="center"/>
          </w:tcPr>
          <w:p w14:paraId="159EAC6F" w14:textId="77777777" w:rsidR="00011DB9" w:rsidRDefault="00011DB9" w:rsidP="00914FFA">
            <w:r>
              <w:t>Grandi apparecchiature</w:t>
            </w:r>
          </w:p>
        </w:tc>
        <w:tc>
          <w:tcPr>
            <w:tcW w:w="2024" w:type="dxa"/>
            <w:vAlign w:val="center"/>
          </w:tcPr>
          <w:p w14:paraId="0349E49C" w14:textId="77777777" w:rsidR="00011DB9" w:rsidRDefault="00011DB9" w:rsidP="00914FFA">
            <w:pPr>
              <w:jc w:val="right"/>
            </w:pPr>
            <w:r>
              <w:t>31 dicembre 2024</w:t>
            </w:r>
          </w:p>
        </w:tc>
        <w:tc>
          <w:tcPr>
            <w:tcW w:w="1941" w:type="dxa"/>
            <w:vAlign w:val="center"/>
          </w:tcPr>
          <w:p w14:paraId="44D3F6AF" w14:textId="77777777" w:rsidR="00011DB9" w:rsidRDefault="00011DB9" w:rsidP="00914FFA">
            <w:pPr>
              <w:jc w:val="right"/>
            </w:pPr>
            <w:r>
              <w:t>30 giugno 2026</w:t>
            </w:r>
          </w:p>
        </w:tc>
        <w:tc>
          <w:tcPr>
            <w:tcW w:w="1100" w:type="dxa"/>
            <w:vAlign w:val="center"/>
          </w:tcPr>
          <w:p w14:paraId="12AB7265" w14:textId="77777777" w:rsidR="00011DB9" w:rsidRDefault="00011DB9" w:rsidP="00914FFA">
            <w:pPr>
              <w:jc w:val="right"/>
            </w:pPr>
            <w:r>
              <w:t>+18 mesi</w:t>
            </w:r>
          </w:p>
        </w:tc>
      </w:tr>
    </w:tbl>
    <w:p w14:paraId="5E47B3F9" w14:textId="77777777" w:rsidR="00011DB9" w:rsidRDefault="00011DB9" w:rsidP="00011DB9"/>
    <w:p w14:paraId="7FD051BD" w14:textId="77777777" w:rsidR="00011DB9" w:rsidRDefault="00011DB9" w:rsidP="00011DB9">
      <w:pPr>
        <w:jc w:val="center"/>
        <w:rPr>
          <w:b/>
          <w:bCs/>
          <w:color w:val="00457D"/>
          <w:u w:color="00457D"/>
        </w:rPr>
      </w:pPr>
    </w:p>
    <w:p w14:paraId="75DCAA48" w14:textId="77777777" w:rsidR="00386AB6" w:rsidRDefault="00386AB6" w:rsidP="00011DB9">
      <w:pPr>
        <w:jc w:val="center"/>
        <w:rPr>
          <w:b/>
          <w:bCs/>
          <w:color w:val="00457D"/>
          <w:u w:color="00457D"/>
        </w:rPr>
      </w:pPr>
    </w:p>
    <w:p w14:paraId="2D7D7847" w14:textId="77777777" w:rsidR="00386AB6" w:rsidRDefault="00386AB6" w:rsidP="00011DB9">
      <w:pPr>
        <w:jc w:val="center"/>
        <w:rPr>
          <w:b/>
          <w:bCs/>
          <w:color w:val="00457D"/>
          <w:u w:color="00457D"/>
        </w:rPr>
      </w:pPr>
    </w:p>
    <w:p w14:paraId="100961DC" w14:textId="77777777" w:rsidR="00AF6AD7" w:rsidRDefault="00AF6AD7" w:rsidP="008A20C7">
      <w:pPr>
        <w:spacing w:after="0"/>
        <w:jc w:val="center"/>
        <w:rPr>
          <w:rFonts w:cstheme="minorHAnsi"/>
          <w:b/>
          <w:bCs/>
          <w:color w:val="00457D"/>
        </w:rPr>
      </w:pPr>
    </w:p>
    <w:p w14:paraId="497F4CF2" w14:textId="6509E8DF" w:rsidR="00871FE1" w:rsidRPr="00C62779" w:rsidRDefault="003F1123" w:rsidP="00F75472">
      <w:pPr>
        <w:jc w:val="center"/>
        <w:rPr>
          <w:b/>
          <w:bCs/>
          <w:color w:val="00457D"/>
          <w:u w:color="00457D"/>
        </w:rPr>
      </w:pPr>
      <w:r>
        <w:pict w14:anchorId="4837A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6pt;height:367.45pt">
            <v:imagedata r:id="rId16" o:title="Figura_1-20240430"/>
          </v:shape>
        </w:pict>
      </w:r>
    </w:p>
    <w:sectPr w:rsidR="00871FE1" w:rsidRPr="00C62779" w:rsidSect="00E13656">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7FFE2" w14:textId="77777777" w:rsidR="00ED6EF7" w:rsidRDefault="00ED6EF7" w:rsidP="00ED0CFD">
      <w:pPr>
        <w:spacing w:after="0" w:line="240" w:lineRule="auto"/>
      </w:pPr>
      <w:r>
        <w:separator/>
      </w:r>
    </w:p>
  </w:endnote>
  <w:endnote w:type="continuationSeparator" w:id="0">
    <w:p w14:paraId="7591DB45" w14:textId="77777777" w:rsidR="00ED6EF7" w:rsidRDefault="00ED6EF7" w:rsidP="00ED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C820" w14:textId="77777777" w:rsidR="00ED6EF7" w:rsidRDefault="00ED6EF7" w:rsidP="00ED0CFD">
      <w:pPr>
        <w:spacing w:after="0" w:line="240" w:lineRule="auto"/>
      </w:pPr>
      <w:r>
        <w:separator/>
      </w:r>
    </w:p>
  </w:footnote>
  <w:footnote w:type="continuationSeparator" w:id="0">
    <w:p w14:paraId="17E545C8" w14:textId="77777777" w:rsidR="00ED6EF7" w:rsidRDefault="00ED6EF7" w:rsidP="00ED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A2C13" w14:textId="044E7FEA" w:rsidR="005A32A6" w:rsidRPr="00F13D85" w:rsidRDefault="005A32A6" w:rsidP="00F13D85">
    <w:pPr>
      <w:pStyle w:val="Intestazione"/>
      <w:jc w:val="center"/>
      <w:rPr>
        <w:b/>
        <w:color w:val="FF000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694"/>
    <w:multiLevelType w:val="hybridMultilevel"/>
    <w:tmpl w:val="78F034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3A6F10"/>
    <w:multiLevelType w:val="hybridMultilevel"/>
    <w:tmpl w:val="1180DD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96166"/>
    <w:multiLevelType w:val="hybridMultilevel"/>
    <w:tmpl w:val="86E232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DA3F0B"/>
    <w:multiLevelType w:val="multilevel"/>
    <w:tmpl w:val="A4642696"/>
    <w:lvl w:ilvl="0">
      <w:start w:val="1"/>
      <w:numFmt w:val="bullet"/>
      <w:lvlText w:val=""/>
      <w:lvlJc w:val="left"/>
      <w:pPr>
        <w:tabs>
          <w:tab w:val="num" w:pos="360"/>
        </w:tabs>
        <w:ind w:left="360" w:hanging="360"/>
      </w:pPr>
      <w:rPr>
        <w:rFonts w:ascii="Symbol" w:hAnsi="Symbol" w:hint="default"/>
        <w:color w:val="00457D"/>
        <w:sz w:val="20"/>
      </w:rPr>
    </w:lvl>
    <w:lvl w:ilvl="1">
      <w:numFmt w:val="bullet"/>
      <w:lvlText w:val="•"/>
      <w:lvlJc w:val="left"/>
      <w:pPr>
        <w:ind w:left="1080" w:hanging="360"/>
      </w:pPr>
      <w:rPr>
        <w:rFonts w:ascii="Cambria" w:eastAsiaTheme="minorEastAsia" w:hAnsi="Cambri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303867"/>
    <w:multiLevelType w:val="hybridMultilevel"/>
    <w:tmpl w:val="017AE8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5DB3606"/>
    <w:multiLevelType w:val="hybridMultilevel"/>
    <w:tmpl w:val="6AF47F8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073A8"/>
    <w:multiLevelType w:val="hybridMultilevel"/>
    <w:tmpl w:val="72908F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C64119"/>
    <w:multiLevelType w:val="hybridMultilevel"/>
    <w:tmpl w:val="64D6E2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B0603F"/>
    <w:multiLevelType w:val="hybridMultilevel"/>
    <w:tmpl w:val="518CF2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EC557F"/>
    <w:multiLevelType w:val="hybridMultilevel"/>
    <w:tmpl w:val="426C76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6E31A9A"/>
    <w:multiLevelType w:val="hybridMultilevel"/>
    <w:tmpl w:val="7AC435C4"/>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8259EF"/>
    <w:multiLevelType w:val="hybridMultilevel"/>
    <w:tmpl w:val="D61ED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BD829D7"/>
    <w:multiLevelType w:val="hybridMultilevel"/>
    <w:tmpl w:val="8C3C60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B37F2"/>
    <w:multiLevelType w:val="hybridMultilevel"/>
    <w:tmpl w:val="ED0C6784"/>
    <w:lvl w:ilvl="0" w:tplc="B0AA17C6">
      <w:start w:val="1"/>
      <w:numFmt w:val="bullet"/>
      <w:lvlText w:val=""/>
      <w:lvlJc w:val="left"/>
      <w:pPr>
        <w:ind w:left="360" w:hanging="360"/>
      </w:pPr>
      <w:rPr>
        <w:rFonts w:ascii="Symbol" w:hAnsi="Symbol" w:hint="default"/>
        <w:color w:val="00457D"/>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0492829"/>
    <w:multiLevelType w:val="hybridMultilevel"/>
    <w:tmpl w:val="A9CA43B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2D84521"/>
    <w:multiLevelType w:val="hybridMultilevel"/>
    <w:tmpl w:val="ACC6C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46490B"/>
    <w:multiLevelType w:val="hybridMultilevel"/>
    <w:tmpl w:val="889C551A"/>
    <w:lvl w:ilvl="0" w:tplc="307C4A34">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EE34CBC"/>
    <w:multiLevelType w:val="hybridMultilevel"/>
    <w:tmpl w:val="F7168F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F5028A0"/>
    <w:multiLevelType w:val="hybridMultilevel"/>
    <w:tmpl w:val="C9FEBD5A"/>
    <w:lvl w:ilvl="0" w:tplc="A914E83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C09CE"/>
    <w:multiLevelType w:val="hybridMultilevel"/>
    <w:tmpl w:val="989C49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82628E5"/>
    <w:multiLevelType w:val="hybridMultilevel"/>
    <w:tmpl w:val="2ABA6530"/>
    <w:lvl w:ilvl="0" w:tplc="FC6C4C0E">
      <w:start w:val="2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CD1426"/>
    <w:multiLevelType w:val="hybridMultilevel"/>
    <w:tmpl w:val="4CA0E6EA"/>
    <w:lvl w:ilvl="0" w:tplc="5166346A">
      <w:start w:val="1"/>
      <w:numFmt w:val="bullet"/>
      <w:lvlText w:val="•"/>
      <w:lvlJc w:val="left"/>
      <w:pPr>
        <w:tabs>
          <w:tab w:val="num" w:pos="720"/>
        </w:tabs>
        <w:ind w:left="720" w:hanging="360"/>
      </w:pPr>
      <w:rPr>
        <w:rFonts w:ascii="Times New Roman" w:hAnsi="Times New Roman" w:cs="Times New Roman" w:hint="default"/>
      </w:rPr>
    </w:lvl>
    <w:lvl w:ilvl="1" w:tplc="199E43A6">
      <w:start w:val="1"/>
      <w:numFmt w:val="bullet"/>
      <w:lvlText w:val="•"/>
      <w:lvlJc w:val="left"/>
      <w:pPr>
        <w:tabs>
          <w:tab w:val="num" w:pos="1440"/>
        </w:tabs>
        <w:ind w:left="1440" w:hanging="360"/>
      </w:pPr>
      <w:rPr>
        <w:rFonts w:ascii="Times New Roman" w:hAnsi="Times New Roman" w:cs="Times New Roman" w:hint="default"/>
      </w:rPr>
    </w:lvl>
    <w:lvl w:ilvl="2" w:tplc="A1502A9E">
      <w:start w:val="1"/>
      <w:numFmt w:val="bullet"/>
      <w:lvlText w:val="•"/>
      <w:lvlJc w:val="left"/>
      <w:pPr>
        <w:tabs>
          <w:tab w:val="num" w:pos="2160"/>
        </w:tabs>
        <w:ind w:left="2160" w:hanging="360"/>
      </w:pPr>
      <w:rPr>
        <w:rFonts w:ascii="Times New Roman" w:hAnsi="Times New Roman" w:cs="Times New Roman" w:hint="default"/>
      </w:rPr>
    </w:lvl>
    <w:lvl w:ilvl="3" w:tplc="4994264A">
      <w:start w:val="1"/>
      <w:numFmt w:val="bullet"/>
      <w:lvlText w:val="•"/>
      <w:lvlJc w:val="left"/>
      <w:pPr>
        <w:tabs>
          <w:tab w:val="num" w:pos="2880"/>
        </w:tabs>
        <w:ind w:left="2880" w:hanging="360"/>
      </w:pPr>
      <w:rPr>
        <w:rFonts w:ascii="Times New Roman" w:hAnsi="Times New Roman" w:cs="Times New Roman" w:hint="default"/>
      </w:rPr>
    </w:lvl>
    <w:lvl w:ilvl="4" w:tplc="3E40A376">
      <w:start w:val="1"/>
      <w:numFmt w:val="bullet"/>
      <w:lvlText w:val="•"/>
      <w:lvlJc w:val="left"/>
      <w:pPr>
        <w:tabs>
          <w:tab w:val="num" w:pos="3600"/>
        </w:tabs>
        <w:ind w:left="3600" w:hanging="360"/>
      </w:pPr>
      <w:rPr>
        <w:rFonts w:ascii="Times New Roman" w:hAnsi="Times New Roman" w:cs="Times New Roman" w:hint="default"/>
      </w:rPr>
    </w:lvl>
    <w:lvl w:ilvl="5" w:tplc="7F26466A">
      <w:start w:val="1"/>
      <w:numFmt w:val="bullet"/>
      <w:lvlText w:val="•"/>
      <w:lvlJc w:val="left"/>
      <w:pPr>
        <w:tabs>
          <w:tab w:val="num" w:pos="4320"/>
        </w:tabs>
        <w:ind w:left="4320" w:hanging="360"/>
      </w:pPr>
      <w:rPr>
        <w:rFonts w:ascii="Times New Roman" w:hAnsi="Times New Roman" w:cs="Times New Roman" w:hint="default"/>
      </w:rPr>
    </w:lvl>
    <w:lvl w:ilvl="6" w:tplc="DDF46EFE">
      <w:start w:val="1"/>
      <w:numFmt w:val="bullet"/>
      <w:lvlText w:val="•"/>
      <w:lvlJc w:val="left"/>
      <w:pPr>
        <w:tabs>
          <w:tab w:val="num" w:pos="5040"/>
        </w:tabs>
        <w:ind w:left="5040" w:hanging="360"/>
      </w:pPr>
      <w:rPr>
        <w:rFonts w:ascii="Times New Roman" w:hAnsi="Times New Roman" w:cs="Times New Roman" w:hint="default"/>
      </w:rPr>
    </w:lvl>
    <w:lvl w:ilvl="7" w:tplc="8698ED2E">
      <w:start w:val="1"/>
      <w:numFmt w:val="bullet"/>
      <w:lvlText w:val="•"/>
      <w:lvlJc w:val="left"/>
      <w:pPr>
        <w:tabs>
          <w:tab w:val="num" w:pos="5760"/>
        </w:tabs>
        <w:ind w:left="5760" w:hanging="360"/>
      </w:pPr>
      <w:rPr>
        <w:rFonts w:ascii="Times New Roman" w:hAnsi="Times New Roman" w:cs="Times New Roman" w:hint="default"/>
      </w:rPr>
    </w:lvl>
    <w:lvl w:ilvl="8" w:tplc="C78AA426">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4FF1232A"/>
    <w:multiLevelType w:val="multilevel"/>
    <w:tmpl w:val="5AA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64247"/>
    <w:multiLevelType w:val="hybridMultilevel"/>
    <w:tmpl w:val="A0A2ED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5229DE"/>
    <w:multiLevelType w:val="hybridMultilevel"/>
    <w:tmpl w:val="E9003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C659F4"/>
    <w:multiLevelType w:val="hybridMultilevel"/>
    <w:tmpl w:val="3A8A0F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D4F6FED"/>
    <w:multiLevelType w:val="hybridMultilevel"/>
    <w:tmpl w:val="3CEEFA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06E2BA6"/>
    <w:multiLevelType w:val="hybridMultilevel"/>
    <w:tmpl w:val="9B20C5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1303CF9"/>
    <w:multiLevelType w:val="hybridMultilevel"/>
    <w:tmpl w:val="76B8F694"/>
    <w:lvl w:ilvl="0" w:tplc="49F6B3C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20C3AF4"/>
    <w:multiLevelType w:val="hybridMultilevel"/>
    <w:tmpl w:val="E8D49A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498684C"/>
    <w:multiLevelType w:val="hybridMultilevel"/>
    <w:tmpl w:val="E14CD5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D05463"/>
    <w:multiLevelType w:val="hybridMultilevel"/>
    <w:tmpl w:val="60E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D132C9"/>
    <w:multiLevelType w:val="hybridMultilevel"/>
    <w:tmpl w:val="31CE2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0600FA"/>
    <w:multiLevelType w:val="hybridMultilevel"/>
    <w:tmpl w:val="8DEC3E5A"/>
    <w:lvl w:ilvl="0" w:tplc="4EF8FB64">
      <w:start w:val="1"/>
      <w:numFmt w:val="bullet"/>
      <w:lvlText w:val=""/>
      <w:lvlJc w:val="left"/>
      <w:pPr>
        <w:ind w:left="360" w:hanging="360"/>
      </w:pPr>
      <w:rPr>
        <w:rFonts w:ascii="Symbol" w:hAnsi="Symbol" w:hint="default"/>
        <w:color w:val="4F81BD" w:themeColor="accent1"/>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DB46163"/>
    <w:multiLevelType w:val="hybridMultilevel"/>
    <w:tmpl w:val="B51EB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FA854BC"/>
    <w:multiLevelType w:val="multilevel"/>
    <w:tmpl w:val="E0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102E"/>
    <w:multiLevelType w:val="hybridMultilevel"/>
    <w:tmpl w:val="BA2E0D1E"/>
    <w:lvl w:ilvl="0" w:tplc="96549FDE">
      <w:start w:val="1"/>
      <w:numFmt w:val="bullet"/>
      <w:lvlText w:val=""/>
      <w:lvlJc w:val="left"/>
      <w:pPr>
        <w:ind w:left="360" w:hanging="360"/>
      </w:pPr>
      <w:rPr>
        <w:rFonts w:ascii="Symbol" w:hAnsi="Symbol" w:hint="default"/>
        <w:color w:val="00457D"/>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5591BA8"/>
    <w:multiLevelType w:val="hybridMultilevel"/>
    <w:tmpl w:val="BFA0D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523CF"/>
    <w:multiLevelType w:val="hybridMultilevel"/>
    <w:tmpl w:val="F2787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2879B0"/>
    <w:multiLevelType w:val="hybridMultilevel"/>
    <w:tmpl w:val="41CA39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9"/>
  </w:num>
  <w:num w:numId="2">
    <w:abstractNumId w:val="34"/>
  </w:num>
  <w:num w:numId="3">
    <w:abstractNumId w:val="20"/>
  </w:num>
  <w:num w:numId="4">
    <w:abstractNumId w:val="35"/>
  </w:num>
  <w:num w:numId="5">
    <w:abstractNumId w:val="22"/>
  </w:num>
  <w:num w:numId="6">
    <w:abstractNumId w:val="18"/>
  </w:num>
  <w:num w:numId="7">
    <w:abstractNumId w:val="29"/>
  </w:num>
  <w:num w:numId="8">
    <w:abstractNumId w:val="27"/>
  </w:num>
  <w:num w:numId="9">
    <w:abstractNumId w:val="5"/>
  </w:num>
  <w:num w:numId="10">
    <w:abstractNumId w:val="6"/>
  </w:num>
  <w:num w:numId="11">
    <w:abstractNumId w:val="11"/>
  </w:num>
  <w:num w:numId="12">
    <w:abstractNumId w:val="12"/>
  </w:num>
  <w:num w:numId="13">
    <w:abstractNumId w:val="24"/>
  </w:num>
  <w:num w:numId="14">
    <w:abstractNumId w:val="8"/>
  </w:num>
  <w:num w:numId="15">
    <w:abstractNumId w:val="23"/>
  </w:num>
  <w:num w:numId="16">
    <w:abstractNumId w:val="37"/>
  </w:num>
  <w:num w:numId="17">
    <w:abstractNumId w:val="21"/>
  </w:num>
  <w:num w:numId="18">
    <w:abstractNumId w:val="16"/>
  </w:num>
  <w:num w:numId="19">
    <w:abstractNumId w:val="33"/>
  </w:num>
  <w:num w:numId="20">
    <w:abstractNumId w:val="28"/>
  </w:num>
  <w:num w:numId="21">
    <w:abstractNumId w:val="7"/>
  </w:num>
  <w:num w:numId="22">
    <w:abstractNumId w:val="25"/>
  </w:num>
  <w:num w:numId="23">
    <w:abstractNumId w:val="17"/>
  </w:num>
  <w:num w:numId="24">
    <w:abstractNumId w:val="10"/>
  </w:num>
  <w:num w:numId="25">
    <w:abstractNumId w:val="4"/>
  </w:num>
  <w:num w:numId="26">
    <w:abstractNumId w:val="13"/>
  </w:num>
  <w:num w:numId="27">
    <w:abstractNumId w:val="36"/>
  </w:num>
  <w:num w:numId="28">
    <w:abstractNumId w:val="26"/>
  </w:num>
  <w:num w:numId="29">
    <w:abstractNumId w:val="0"/>
  </w:num>
  <w:num w:numId="30">
    <w:abstractNumId w:val="9"/>
  </w:num>
  <w:num w:numId="31">
    <w:abstractNumId w:val="38"/>
  </w:num>
  <w:num w:numId="32">
    <w:abstractNumId w:val="15"/>
  </w:num>
  <w:num w:numId="33">
    <w:abstractNumId w:val="3"/>
  </w:num>
  <w:num w:numId="34">
    <w:abstractNumId w:val="32"/>
  </w:num>
  <w:num w:numId="35">
    <w:abstractNumId w:val="31"/>
  </w:num>
  <w:num w:numId="36">
    <w:abstractNumId w:val="14"/>
  </w:num>
  <w:num w:numId="37">
    <w:abstractNumId w:val="30"/>
  </w:num>
  <w:num w:numId="38">
    <w:abstractNumId w:val="1"/>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1"/>
    <w:rsid w:val="000007FC"/>
    <w:rsid w:val="0000149C"/>
    <w:rsid w:val="000017A8"/>
    <w:rsid w:val="00002AAC"/>
    <w:rsid w:val="00002C1B"/>
    <w:rsid w:val="00003744"/>
    <w:rsid w:val="00003F78"/>
    <w:rsid w:val="00004B0A"/>
    <w:rsid w:val="00005B25"/>
    <w:rsid w:val="000064FE"/>
    <w:rsid w:val="00006555"/>
    <w:rsid w:val="0000695A"/>
    <w:rsid w:val="000073CA"/>
    <w:rsid w:val="00010498"/>
    <w:rsid w:val="0001114E"/>
    <w:rsid w:val="00011DB9"/>
    <w:rsid w:val="000123C4"/>
    <w:rsid w:val="0001384A"/>
    <w:rsid w:val="00013DFA"/>
    <w:rsid w:val="0001439D"/>
    <w:rsid w:val="00015D8E"/>
    <w:rsid w:val="00016F94"/>
    <w:rsid w:val="00017968"/>
    <w:rsid w:val="00017FB4"/>
    <w:rsid w:val="0002141B"/>
    <w:rsid w:val="00021D7F"/>
    <w:rsid w:val="00023A72"/>
    <w:rsid w:val="00023D8A"/>
    <w:rsid w:val="000252D2"/>
    <w:rsid w:val="00025B9B"/>
    <w:rsid w:val="00026DA8"/>
    <w:rsid w:val="00027762"/>
    <w:rsid w:val="00032FB7"/>
    <w:rsid w:val="00033D6A"/>
    <w:rsid w:val="00034188"/>
    <w:rsid w:val="000346D7"/>
    <w:rsid w:val="00035404"/>
    <w:rsid w:val="00035C47"/>
    <w:rsid w:val="00036089"/>
    <w:rsid w:val="0004091F"/>
    <w:rsid w:val="00042A09"/>
    <w:rsid w:val="0004410A"/>
    <w:rsid w:val="00044197"/>
    <w:rsid w:val="00051F7A"/>
    <w:rsid w:val="0005402C"/>
    <w:rsid w:val="00054250"/>
    <w:rsid w:val="00055180"/>
    <w:rsid w:val="00055AE9"/>
    <w:rsid w:val="00055D27"/>
    <w:rsid w:val="000602AA"/>
    <w:rsid w:val="000615B8"/>
    <w:rsid w:val="0006440E"/>
    <w:rsid w:val="000657A8"/>
    <w:rsid w:val="000662E3"/>
    <w:rsid w:val="00067ACA"/>
    <w:rsid w:val="00067B8F"/>
    <w:rsid w:val="000707B3"/>
    <w:rsid w:val="00070C28"/>
    <w:rsid w:val="00070D04"/>
    <w:rsid w:val="000715A9"/>
    <w:rsid w:val="00071F0A"/>
    <w:rsid w:val="000720DE"/>
    <w:rsid w:val="00073870"/>
    <w:rsid w:val="00074788"/>
    <w:rsid w:val="000751C3"/>
    <w:rsid w:val="00075BA4"/>
    <w:rsid w:val="00075FE6"/>
    <w:rsid w:val="000767AE"/>
    <w:rsid w:val="00076A48"/>
    <w:rsid w:val="00076C59"/>
    <w:rsid w:val="000771A4"/>
    <w:rsid w:val="000815B7"/>
    <w:rsid w:val="00085590"/>
    <w:rsid w:val="000863FA"/>
    <w:rsid w:val="00090A39"/>
    <w:rsid w:val="00090B7E"/>
    <w:rsid w:val="00090CF8"/>
    <w:rsid w:val="000927C7"/>
    <w:rsid w:val="000935F1"/>
    <w:rsid w:val="00093756"/>
    <w:rsid w:val="000941D8"/>
    <w:rsid w:val="00095589"/>
    <w:rsid w:val="000A0FC3"/>
    <w:rsid w:val="000A1367"/>
    <w:rsid w:val="000A145D"/>
    <w:rsid w:val="000A15DB"/>
    <w:rsid w:val="000A2084"/>
    <w:rsid w:val="000A226B"/>
    <w:rsid w:val="000A47FF"/>
    <w:rsid w:val="000A58EB"/>
    <w:rsid w:val="000A62A9"/>
    <w:rsid w:val="000A78E3"/>
    <w:rsid w:val="000A7B66"/>
    <w:rsid w:val="000A7EA1"/>
    <w:rsid w:val="000B07B0"/>
    <w:rsid w:val="000B10CE"/>
    <w:rsid w:val="000B15C0"/>
    <w:rsid w:val="000B185F"/>
    <w:rsid w:val="000B1C52"/>
    <w:rsid w:val="000B2168"/>
    <w:rsid w:val="000B50CD"/>
    <w:rsid w:val="000B7985"/>
    <w:rsid w:val="000C098C"/>
    <w:rsid w:val="000C0B04"/>
    <w:rsid w:val="000C344B"/>
    <w:rsid w:val="000C544C"/>
    <w:rsid w:val="000C6130"/>
    <w:rsid w:val="000C6F74"/>
    <w:rsid w:val="000D02E4"/>
    <w:rsid w:val="000D1377"/>
    <w:rsid w:val="000D17FB"/>
    <w:rsid w:val="000D25AC"/>
    <w:rsid w:val="000D3C58"/>
    <w:rsid w:val="000D44D4"/>
    <w:rsid w:val="000D5771"/>
    <w:rsid w:val="000D5893"/>
    <w:rsid w:val="000D7252"/>
    <w:rsid w:val="000D7A72"/>
    <w:rsid w:val="000E1176"/>
    <w:rsid w:val="000E27C9"/>
    <w:rsid w:val="000E2E4F"/>
    <w:rsid w:val="000E3E10"/>
    <w:rsid w:val="000E5ABF"/>
    <w:rsid w:val="000E64D7"/>
    <w:rsid w:val="000E6B01"/>
    <w:rsid w:val="000E7CC2"/>
    <w:rsid w:val="000F0BBD"/>
    <w:rsid w:val="000F10F8"/>
    <w:rsid w:val="000F1B54"/>
    <w:rsid w:val="000F1DE1"/>
    <w:rsid w:val="000F2AE1"/>
    <w:rsid w:val="000F39EF"/>
    <w:rsid w:val="000F5C0F"/>
    <w:rsid w:val="000F662C"/>
    <w:rsid w:val="0010059E"/>
    <w:rsid w:val="001020FC"/>
    <w:rsid w:val="001035E4"/>
    <w:rsid w:val="001043DB"/>
    <w:rsid w:val="00104A66"/>
    <w:rsid w:val="001056AE"/>
    <w:rsid w:val="0010685E"/>
    <w:rsid w:val="00107096"/>
    <w:rsid w:val="00107293"/>
    <w:rsid w:val="00107984"/>
    <w:rsid w:val="001106B1"/>
    <w:rsid w:val="0011205F"/>
    <w:rsid w:val="00112B52"/>
    <w:rsid w:val="00113646"/>
    <w:rsid w:val="001139A6"/>
    <w:rsid w:val="00113D4A"/>
    <w:rsid w:val="00113F3C"/>
    <w:rsid w:val="00114F21"/>
    <w:rsid w:val="001167D9"/>
    <w:rsid w:val="0011796A"/>
    <w:rsid w:val="00117F68"/>
    <w:rsid w:val="00122425"/>
    <w:rsid w:val="00125838"/>
    <w:rsid w:val="00125C6A"/>
    <w:rsid w:val="00126025"/>
    <w:rsid w:val="001262A5"/>
    <w:rsid w:val="00126E63"/>
    <w:rsid w:val="00127A78"/>
    <w:rsid w:val="001317CF"/>
    <w:rsid w:val="00132082"/>
    <w:rsid w:val="00134C8C"/>
    <w:rsid w:val="001352A1"/>
    <w:rsid w:val="00135A2A"/>
    <w:rsid w:val="00136F1C"/>
    <w:rsid w:val="001374E5"/>
    <w:rsid w:val="00140E6B"/>
    <w:rsid w:val="001412DC"/>
    <w:rsid w:val="0014334C"/>
    <w:rsid w:val="00143689"/>
    <w:rsid w:val="00143B8D"/>
    <w:rsid w:val="00144F94"/>
    <w:rsid w:val="001453D6"/>
    <w:rsid w:val="001458FE"/>
    <w:rsid w:val="001471AF"/>
    <w:rsid w:val="001476E9"/>
    <w:rsid w:val="001504F4"/>
    <w:rsid w:val="00150EF3"/>
    <w:rsid w:val="00151D12"/>
    <w:rsid w:val="0015229D"/>
    <w:rsid w:val="001560D3"/>
    <w:rsid w:val="00156B6C"/>
    <w:rsid w:val="0016000A"/>
    <w:rsid w:val="00160151"/>
    <w:rsid w:val="00162FBC"/>
    <w:rsid w:val="0016375C"/>
    <w:rsid w:val="00163D48"/>
    <w:rsid w:val="00163DB0"/>
    <w:rsid w:val="001644BA"/>
    <w:rsid w:val="001654A5"/>
    <w:rsid w:val="0016576E"/>
    <w:rsid w:val="00170760"/>
    <w:rsid w:val="00170B46"/>
    <w:rsid w:val="0017107F"/>
    <w:rsid w:val="00171767"/>
    <w:rsid w:val="00173764"/>
    <w:rsid w:val="0017405D"/>
    <w:rsid w:val="001748BA"/>
    <w:rsid w:val="0018031C"/>
    <w:rsid w:val="00181DF1"/>
    <w:rsid w:val="00185966"/>
    <w:rsid w:val="00191727"/>
    <w:rsid w:val="00192B35"/>
    <w:rsid w:val="00192DAD"/>
    <w:rsid w:val="00192F75"/>
    <w:rsid w:val="00193C55"/>
    <w:rsid w:val="00193F19"/>
    <w:rsid w:val="00194C03"/>
    <w:rsid w:val="001A1E5B"/>
    <w:rsid w:val="001A1EBA"/>
    <w:rsid w:val="001A2449"/>
    <w:rsid w:val="001A2F98"/>
    <w:rsid w:val="001A3E0D"/>
    <w:rsid w:val="001A3E96"/>
    <w:rsid w:val="001A6181"/>
    <w:rsid w:val="001A7017"/>
    <w:rsid w:val="001A73CD"/>
    <w:rsid w:val="001A76F9"/>
    <w:rsid w:val="001B1850"/>
    <w:rsid w:val="001B46A1"/>
    <w:rsid w:val="001B59E3"/>
    <w:rsid w:val="001B715B"/>
    <w:rsid w:val="001C0EFC"/>
    <w:rsid w:val="001C3129"/>
    <w:rsid w:val="001C44CB"/>
    <w:rsid w:val="001C51E2"/>
    <w:rsid w:val="001C5A38"/>
    <w:rsid w:val="001C5A39"/>
    <w:rsid w:val="001C7324"/>
    <w:rsid w:val="001D0114"/>
    <w:rsid w:val="001D0E41"/>
    <w:rsid w:val="001D153D"/>
    <w:rsid w:val="001D19F1"/>
    <w:rsid w:val="001D240E"/>
    <w:rsid w:val="001D2DF2"/>
    <w:rsid w:val="001D2E25"/>
    <w:rsid w:val="001D38B9"/>
    <w:rsid w:val="001D3F96"/>
    <w:rsid w:val="001D4CE8"/>
    <w:rsid w:val="001D5972"/>
    <w:rsid w:val="001D7259"/>
    <w:rsid w:val="001E0D38"/>
    <w:rsid w:val="001E42B9"/>
    <w:rsid w:val="001E53AB"/>
    <w:rsid w:val="001E5654"/>
    <w:rsid w:val="001E6902"/>
    <w:rsid w:val="001E7855"/>
    <w:rsid w:val="001F1C35"/>
    <w:rsid w:val="001F20B8"/>
    <w:rsid w:val="001F6403"/>
    <w:rsid w:val="0020092D"/>
    <w:rsid w:val="002020DB"/>
    <w:rsid w:val="00202A01"/>
    <w:rsid w:val="0020319A"/>
    <w:rsid w:val="0020435A"/>
    <w:rsid w:val="00204462"/>
    <w:rsid w:val="00206047"/>
    <w:rsid w:val="0020636A"/>
    <w:rsid w:val="002073BD"/>
    <w:rsid w:val="002076DB"/>
    <w:rsid w:val="00207B90"/>
    <w:rsid w:val="00210158"/>
    <w:rsid w:val="00210584"/>
    <w:rsid w:val="0021155E"/>
    <w:rsid w:val="0021408F"/>
    <w:rsid w:val="00220D5F"/>
    <w:rsid w:val="0022389A"/>
    <w:rsid w:val="00223F01"/>
    <w:rsid w:val="00223F25"/>
    <w:rsid w:val="00224E88"/>
    <w:rsid w:val="0022532C"/>
    <w:rsid w:val="00231196"/>
    <w:rsid w:val="002319C0"/>
    <w:rsid w:val="00231ECC"/>
    <w:rsid w:val="00231F4A"/>
    <w:rsid w:val="00233A2C"/>
    <w:rsid w:val="00233EF5"/>
    <w:rsid w:val="002349C3"/>
    <w:rsid w:val="00234FBF"/>
    <w:rsid w:val="002357E8"/>
    <w:rsid w:val="00235FC2"/>
    <w:rsid w:val="0023771D"/>
    <w:rsid w:val="0024135E"/>
    <w:rsid w:val="00241828"/>
    <w:rsid w:val="00241E9C"/>
    <w:rsid w:val="00242077"/>
    <w:rsid w:val="00243B76"/>
    <w:rsid w:val="00243F05"/>
    <w:rsid w:val="00244AF6"/>
    <w:rsid w:val="0024623B"/>
    <w:rsid w:val="00247D33"/>
    <w:rsid w:val="0025100A"/>
    <w:rsid w:val="00251386"/>
    <w:rsid w:val="00251A17"/>
    <w:rsid w:val="00251AC2"/>
    <w:rsid w:val="00251D02"/>
    <w:rsid w:val="00252E47"/>
    <w:rsid w:val="002534BD"/>
    <w:rsid w:val="002544AA"/>
    <w:rsid w:val="002551A1"/>
    <w:rsid w:val="002576D2"/>
    <w:rsid w:val="00260A01"/>
    <w:rsid w:val="00261479"/>
    <w:rsid w:val="00261EC6"/>
    <w:rsid w:val="00262274"/>
    <w:rsid w:val="00264F8C"/>
    <w:rsid w:val="00265B05"/>
    <w:rsid w:val="00266561"/>
    <w:rsid w:val="00266E0C"/>
    <w:rsid w:val="00266E1A"/>
    <w:rsid w:val="0026703C"/>
    <w:rsid w:val="00270DED"/>
    <w:rsid w:val="00271ADD"/>
    <w:rsid w:val="002723FC"/>
    <w:rsid w:val="0027468B"/>
    <w:rsid w:val="002759CD"/>
    <w:rsid w:val="00281907"/>
    <w:rsid w:val="00282655"/>
    <w:rsid w:val="00282DAE"/>
    <w:rsid w:val="00284792"/>
    <w:rsid w:val="00286283"/>
    <w:rsid w:val="00287105"/>
    <w:rsid w:val="00287452"/>
    <w:rsid w:val="00290CC2"/>
    <w:rsid w:val="00291602"/>
    <w:rsid w:val="00293854"/>
    <w:rsid w:val="0029392F"/>
    <w:rsid w:val="00293D0A"/>
    <w:rsid w:val="0029425C"/>
    <w:rsid w:val="00295866"/>
    <w:rsid w:val="00296F33"/>
    <w:rsid w:val="00297583"/>
    <w:rsid w:val="002A2034"/>
    <w:rsid w:val="002A3232"/>
    <w:rsid w:val="002A3622"/>
    <w:rsid w:val="002A41A8"/>
    <w:rsid w:val="002A5A93"/>
    <w:rsid w:val="002B043D"/>
    <w:rsid w:val="002B0FB4"/>
    <w:rsid w:val="002B12E6"/>
    <w:rsid w:val="002B1329"/>
    <w:rsid w:val="002B2105"/>
    <w:rsid w:val="002B57EE"/>
    <w:rsid w:val="002B63E5"/>
    <w:rsid w:val="002B7295"/>
    <w:rsid w:val="002B7C26"/>
    <w:rsid w:val="002B7F03"/>
    <w:rsid w:val="002C0B56"/>
    <w:rsid w:val="002C0B93"/>
    <w:rsid w:val="002C0D78"/>
    <w:rsid w:val="002C0F1B"/>
    <w:rsid w:val="002C11E2"/>
    <w:rsid w:val="002C22CC"/>
    <w:rsid w:val="002C2FB0"/>
    <w:rsid w:val="002C4190"/>
    <w:rsid w:val="002C433C"/>
    <w:rsid w:val="002C4460"/>
    <w:rsid w:val="002C5187"/>
    <w:rsid w:val="002C5517"/>
    <w:rsid w:val="002C58CC"/>
    <w:rsid w:val="002C6CDA"/>
    <w:rsid w:val="002D0078"/>
    <w:rsid w:val="002D1354"/>
    <w:rsid w:val="002D1A9D"/>
    <w:rsid w:val="002D1CBC"/>
    <w:rsid w:val="002D2C39"/>
    <w:rsid w:val="002D390F"/>
    <w:rsid w:val="002D4273"/>
    <w:rsid w:val="002D4CBE"/>
    <w:rsid w:val="002D4D2D"/>
    <w:rsid w:val="002D513D"/>
    <w:rsid w:val="002D61E1"/>
    <w:rsid w:val="002D62AC"/>
    <w:rsid w:val="002D71AE"/>
    <w:rsid w:val="002D7409"/>
    <w:rsid w:val="002E2D66"/>
    <w:rsid w:val="002E33A2"/>
    <w:rsid w:val="002E3609"/>
    <w:rsid w:val="002E384A"/>
    <w:rsid w:val="002E5382"/>
    <w:rsid w:val="002E5E3C"/>
    <w:rsid w:val="002E6992"/>
    <w:rsid w:val="002F07F4"/>
    <w:rsid w:val="002F2E6A"/>
    <w:rsid w:val="002F323D"/>
    <w:rsid w:val="002F570C"/>
    <w:rsid w:val="002F605D"/>
    <w:rsid w:val="00300EF7"/>
    <w:rsid w:val="0030187D"/>
    <w:rsid w:val="00301A08"/>
    <w:rsid w:val="003029E5"/>
    <w:rsid w:val="0030437B"/>
    <w:rsid w:val="00305113"/>
    <w:rsid w:val="003073E7"/>
    <w:rsid w:val="00310511"/>
    <w:rsid w:val="00310654"/>
    <w:rsid w:val="00311E5C"/>
    <w:rsid w:val="003121F3"/>
    <w:rsid w:val="00313AD1"/>
    <w:rsid w:val="00315407"/>
    <w:rsid w:val="00315734"/>
    <w:rsid w:val="0031648A"/>
    <w:rsid w:val="0031755E"/>
    <w:rsid w:val="003210E2"/>
    <w:rsid w:val="00321C3D"/>
    <w:rsid w:val="00322567"/>
    <w:rsid w:val="00323333"/>
    <w:rsid w:val="00323798"/>
    <w:rsid w:val="00323A55"/>
    <w:rsid w:val="00325E98"/>
    <w:rsid w:val="003268D1"/>
    <w:rsid w:val="00326ABC"/>
    <w:rsid w:val="00326DCF"/>
    <w:rsid w:val="00327AF0"/>
    <w:rsid w:val="00327D9D"/>
    <w:rsid w:val="00330694"/>
    <w:rsid w:val="00330A9B"/>
    <w:rsid w:val="00331B49"/>
    <w:rsid w:val="00331F29"/>
    <w:rsid w:val="003331B5"/>
    <w:rsid w:val="00333A1D"/>
    <w:rsid w:val="0033460B"/>
    <w:rsid w:val="00334F92"/>
    <w:rsid w:val="00335E0B"/>
    <w:rsid w:val="0033752D"/>
    <w:rsid w:val="00341267"/>
    <w:rsid w:val="0034210D"/>
    <w:rsid w:val="0034291E"/>
    <w:rsid w:val="0034373E"/>
    <w:rsid w:val="003456F8"/>
    <w:rsid w:val="00345BE3"/>
    <w:rsid w:val="00346324"/>
    <w:rsid w:val="0034676D"/>
    <w:rsid w:val="0034685B"/>
    <w:rsid w:val="00347675"/>
    <w:rsid w:val="00347BD4"/>
    <w:rsid w:val="00347CD5"/>
    <w:rsid w:val="00350B80"/>
    <w:rsid w:val="00351462"/>
    <w:rsid w:val="003525B9"/>
    <w:rsid w:val="00353E36"/>
    <w:rsid w:val="00354809"/>
    <w:rsid w:val="00354ACD"/>
    <w:rsid w:val="003554E0"/>
    <w:rsid w:val="00355DBF"/>
    <w:rsid w:val="003576FF"/>
    <w:rsid w:val="00357F80"/>
    <w:rsid w:val="00361A34"/>
    <w:rsid w:val="0036304D"/>
    <w:rsid w:val="003631B2"/>
    <w:rsid w:val="00363764"/>
    <w:rsid w:val="00363A22"/>
    <w:rsid w:val="00363BEB"/>
    <w:rsid w:val="0036462F"/>
    <w:rsid w:val="00364A2E"/>
    <w:rsid w:val="00367A4B"/>
    <w:rsid w:val="00372887"/>
    <w:rsid w:val="00373EDC"/>
    <w:rsid w:val="00374152"/>
    <w:rsid w:val="00374404"/>
    <w:rsid w:val="00375A29"/>
    <w:rsid w:val="00375C4D"/>
    <w:rsid w:val="00377841"/>
    <w:rsid w:val="00380A73"/>
    <w:rsid w:val="00382D34"/>
    <w:rsid w:val="00382F29"/>
    <w:rsid w:val="00384AF1"/>
    <w:rsid w:val="00385A79"/>
    <w:rsid w:val="00386385"/>
    <w:rsid w:val="00386AB6"/>
    <w:rsid w:val="00387555"/>
    <w:rsid w:val="0039006E"/>
    <w:rsid w:val="0039018B"/>
    <w:rsid w:val="00391AD2"/>
    <w:rsid w:val="003930FC"/>
    <w:rsid w:val="00393B9D"/>
    <w:rsid w:val="00394823"/>
    <w:rsid w:val="003955A0"/>
    <w:rsid w:val="00395AE5"/>
    <w:rsid w:val="003978DA"/>
    <w:rsid w:val="0039792C"/>
    <w:rsid w:val="003A13B4"/>
    <w:rsid w:val="003A35AF"/>
    <w:rsid w:val="003A47A3"/>
    <w:rsid w:val="003A72AE"/>
    <w:rsid w:val="003A7751"/>
    <w:rsid w:val="003B022A"/>
    <w:rsid w:val="003B1262"/>
    <w:rsid w:val="003B4A8D"/>
    <w:rsid w:val="003B4EE9"/>
    <w:rsid w:val="003B5D7A"/>
    <w:rsid w:val="003B72C4"/>
    <w:rsid w:val="003C0E1C"/>
    <w:rsid w:val="003C1D40"/>
    <w:rsid w:val="003C276B"/>
    <w:rsid w:val="003C3908"/>
    <w:rsid w:val="003C3A13"/>
    <w:rsid w:val="003C48B6"/>
    <w:rsid w:val="003C5DE1"/>
    <w:rsid w:val="003C7C89"/>
    <w:rsid w:val="003C7FD9"/>
    <w:rsid w:val="003D4318"/>
    <w:rsid w:val="003D46C1"/>
    <w:rsid w:val="003D4D70"/>
    <w:rsid w:val="003D542E"/>
    <w:rsid w:val="003D6200"/>
    <w:rsid w:val="003D66C8"/>
    <w:rsid w:val="003D6B2B"/>
    <w:rsid w:val="003D79C2"/>
    <w:rsid w:val="003D7D5D"/>
    <w:rsid w:val="003E0375"/>
    <w:rsid w:val="003E1CA7"/>
    <w:rsid w:val="003E2B21"/>
    <w:rsid w:val="003E4422"/>
    <w:rsid w:val="003E4FF7"/>
    <w:rsid w:val="003E7278"/>
    <w:rsid w:val="003F0B7E"/>
    <w:rsid w:val="003F1123"/>
    <w:rsid w:val="003F1AAC"/>
    <w:rsid w:val="003F35EF"/>
    <w:rsid w:val="003F3B35"/>
    <w:rsid w:val="003F470F"/>
    <w:rsid w:val="003F6562"/>
    <w:rsid w:val="0040121C"/>
    <w:rsid w:val="00401805"/>
    <w:rsid w:val="004032D5"/>
    <w:rsid w:val="004052B2"/>
    <w:rsid w:val="00405C0C"/>
    <w:rsid w:val="00405E87"/>
    <w:rsid w:val="00405FC1"/>
    <w:rsid w:val="00406F3A"/>
    <w:rsid w:val="00407296"/>
    <w:rsid w:val="00410B6F"/>
    <w:rsid w:val="004120E8"/>
    <w:rsid w:val="00412253"/>
    <w:rsid w:val="00413ABB"/>
    <w:rsid w:val="00415770"/>
    <w:rsid w:val="00415FC6"/>
    <w:rsid w:val="00416528"/>
    <w:rsid w:val="004179EB"/>
    <w:rsid w:val="00417D4C"/>
    <w:rsid w:val="00421292"/>
    <w:rsid w:val="00422C62"/>
    <w:rsid w:val="0042339B"/>
    <w:rsid w:val="004261F6"/>
    <w:rsid w:val="00426711"/>
    <w:rsid w:val="00430270"/>
    <w:rsid w:val="004303BA"/>
    <w:rsid w:val="004310BA"/>
    <w:rsid w:val="00432270"/>
    <w:rsid w:val="00434060"/>
    <w:rsid w:val="00434D32"/>
    <w:rsid w:val="00436E44"/>
    <w:rsid w:val="00437173"/>
    <w:rsid w:val="0044012A"/>
    <w:rsid w:val="004409EE"/>
    <w:rsid w:val="00441D52"/>
    <w:rsid w:val="00442312"/>
    <w:rsid w:val="004424DA"/>
    <w:rsid w:val="004432F6"/>
    <w:rsid w:val="004446C5"/>
    <w:rsid w:val="004452B6"/>
    <w:rsid w:val="004469F9"/>
    <w:rsid w:val="00446B2D"/>
    <w:rsid w:val="00446F85"/>
    <w:rsid w:val="00450B02"/>
    <w:rsid w:val="00451586"/>
    <w:rsid w:val="00451615"/>
    <w:rsid w:val="004520DA"/>
    <w:rsid w:val="004522B4"/>
    <w:rsid w:val="00452891"/>
    <w:rsid w:val="00452900"/>
    <w:rsid w:val="00452A5B"/>
    <w:rsid w:val="00452CED"/>
    <w:rsid w:val="00452FE4"/>
    <w:rsid w:val="00453189"/>
    <w:rsid w:val="00454813"/>
    <w:rsid w:val="00456AC9"/>
    <w:rsid w:val="004619D4"/>
    <w:rsid w:val="00461BFF"/>
    <w:rsid w:val="00461DF8"/>
    <w:rsid w:val="0046257E"/>
    <w:rsid w:val="004642C0"/>
    <w:rsid w:val="0046775E"/>
    <w:rsid w:val="004677F7"/>
    <w:rsid w:val="004708E3"/>
    <w:rsid w:val="00470D92"/>
    <w:rsid w:val="00472492"/>
    <w:rsid w:val="00473A8D"/>
    <w:rsid w:val="004746D8"/>
    <w:rsid w:val="00475510"/>
    <w:rsid w:val="0047586E"/>
    <w:rsid w:val="00475D67"/>
    <w:rsid w:val="00477A2F"/>
    <w:rsid w:val="00480E9D"/>
    <w:rsid w:val="00481867"/>
    <w:rsid w:val="00485168"/>
    <w:rsid w:val="004851ED"/>
    <w:rsid w:val="0048588A"/>
    <w:rsid w:val="004859D0"/>
    <w:rsid w:val="00490397"/>
    <w:rsid w:val="00490692"/>
    <w:rsid w:val="00492663"/>
    <w:rsid w:val="0049307B"/>
    <w:rsid w:val="00494894"/>
    <w:rsid w:val="004948F3"/>
    <w:rsid w:val="00495276"/>
    <w:rsid w:val="004952D7"/>
    <w:rsid w:val="00495F6A"/>
    <w:rsid w:val="00496108"/>
    <w:rsid w:val="00496192"/>
    <w:rsid w:val="00496EAF"/>
    <w:rsid w:val="00497373"/>
    <w:rsid w:val="00497B08"/>
    <w:rsid w:val="00497F41"/>
    <w:rsid w:val="004A0830"/>
    <w:rsid w:val="004A0E05"/>
    <w:rsid w:val="004A11C7"/>
    <w:rsid w:val="004A18D7"/>
    <w:rsid w:val="004A1B26"/>
    <w:rsid w:val="004A4A80"/>
    <w:rsid w:val="004A5489"/>
    <w:rsid w:val="004A7690"/>
    <w:rsid w:val="004B0720"/>
    <w:rsid w:val="004B6616"/>
    <w:rsid w:val="004B7AD5"/>
    <w:rsid w:val="004C045C"/>
    <w:rsid w:val="004C0F3F"/>
    <w:rsid w:val="004C17CB"/>
    <w:rsid w:val="004C420E"/>
    <w:rsid w:val="004C4385"/>
    <w:rsid w:val="004C73A9"/>
    <w:rsid w:val="004C7929"/>
    <w:rsid w:val="004D0248"/>
    <w:rsid w:val="004D0B47"/>
    <w:rsid w:val="004D0BDF"/>
    <w:rsid w:val="004D2424"/>
    <w:rsid w:val="004D2C12"/>
    <w:rsid w:val="004D3A0B"/>
    <w:rsid w:val="004D469E"/>
    <w:rsid w:val="004D4B67"/>
    <w:rsid w:val="004D5182"/>
    <w:rsid w:val="004E1BE7"/>
    <w:rsid w:val="004E23F3"/>
    <w:rsid w:val="004E2A6E"/>
    <w:rsid w:val="004E3405"/>
    <w:rsid w:val="004E3A57"/>
    <w:rsid w:val="004E4975"/>
    <w:rsid w:val="004E4BBD"/>
    <w:rsid w:val="004E5018"/>
    <w:rsid w:val="004E5200"/>
    <w:rsid w:val="004E5635"/>
    <w:rsid w:val="004E5EFE"/>
    <w:rsid w:val="004E6B64"/>
    <w:rsid w:val="004F064A"/>
    <w:rsid w:val="004F0FD3"/>
    <w:rsid w:val="004F1222"/>
    <w:rsid w:val="004F33C5"/>
    <w:rsid w:val="004F3422"/>
    <w:rsid w:val="004F3FEB"/>
    <w:rsid w:val="004F4ABE"/>
    <w:rsid w:val="004F5BB4"/>
    <w:rsid w:val="004F6AEC"/>
    <w:rsid w:val="005014CD"/>
    <w:rsid w:val="00501793"/>
    <w:rsid w:val="005028C8"/>
    <w:rsid w:val="00505BFD"/>
    <w:rsid w:val="005074D5"/>
    <w:rsid w:val="00510AA1"/>
    <w:rsid w:val="00511E6F"/>
    <w:rsid w:val="005127CE"/>
    <w:rsid w:val="00512879"/>
    <w:rsid w:val="00513282"/>
    <w:rsid w:val="005158CD"/>
    <w:rsid w:val="00516FC0"/>
    <w:rsid w:val="005204CB"/>
    <w:rsid w:val="0052211A"/>
    <w:rsid w:val="00522208"/>
    <w:rsid w:val="00523DAE"/>
    <w:rsid w:val="005240BD"/>
    <w:rsid w:val="00524BCF"/>
    <w:rsid w:val="00524F37"/>
    <w:rsid w:val="00525AEA"/>
    <w:rsid w:val="00525FA8"/>
    <w:rsid w:val="005272D8"/>
    <w:rsid w:val="00530B7D"/>
    <w:rsid w:val="00531EA2"/>
    <w:rsid w:val="00532D90"/>
    <w:rsid w:val="00533D48"/>
    <w:rsid w:val="00534130"/>
    <w:rsid w:val="005342FE"/>
    <w:rsid w:val="00534CEA"/>
    <w:rsid w:val="00535887"/>
    <w:rsid w:val="005359DB"/>
    <w:rsid w:val="00535A6B"/>
    <w:rsid w:val="005369E8"/>
    <w:rsid w:val="0054139F"/>
    <w:rsid w:val="005418F5"/>
    <w:rsid w:val="005419E9"/>
    <w:rsid w:val="00541DC9"/>
    <w:rsid w:val="00542475"/>
    <w:rsid w:val="005440CF"/>
    <w:rsid w:val="00546397"/>
    <w:rsid w:val="00550C9C"/>
    <w:rsid w:val="00551444"/>
    <w:rsid w:val="005516A8"/>
    <w:rsid w:val="005533C4"/>
    <w:rsid w:val="00560346"/>
    <w:rsid w:val="00560786"/>
    <w:rsid w:val="00562598"/>
    <w:rsid w:val="0056268F"/>
    <w:rsid w:val="00562BE0"/>
    <w:rsid w:val="00565AC5"/>
    <w:rsid w:val="00565C3C"/>
    <w:rsid w:val="00566963"/>
    <w:rsid w:val="00566974"/>
    <w:rsid w:val="005673CC"/>
    <w:rsid w:val="005674B3"/>
    <w:rsid w:val="00567623"/>
    <w:rsid w:val="0057085B"/>
    <w:rsid w:val="00570C6B"/>
    <w:rsid w:val="005718F6"/>
    <w:rsid w:val="0057243E"/>
    <w:rsid w:val="00572DF6"/>
    <w:rsid w:val="00573388"/>
    <w:rsid w:val="00573AB6"/>
    <w:rsid w:val="00577D77"/>
    <w:rsid w:val="00580725"/>
    <w:rsid w:val="005807CD"/>
    <w:rsid w:val="00581465"/>
    <w:rsid w:val="005835E1"/>
    <w:rsid w:val="00584471"/>
    <w:rsid w:val="00584C9B"/>
    <w:rsid w:val="00586657"/>
    <w:rsid w:val="00586FDE"/>
    <w:rsid w:val="00587B6A"/>
    <w:rsid w:val="00587C9B"/>
    <w:rsid w:val="00587F5D"/>
    <w:rsid w:val="005909A3"/>
    <w:rsid w:val="00590E5A"/>
    <w:rsid w:val="005939D9"/>
    <w:rsid w:val="00593E65"/>
    <w:rsid w:val="005940D1"/>
    <w:rsid w:val="00594E34"/>
    <w:rsid w:val="00596B3D"/>
    <w:rsid w:val="005A00F1"/>
    <w:rsid w:val="005A0473"/>
    <w:rsid w:val="005A2279"/>
    <w:rsid w:val="005A2BB7"/>
    <w:rsid w:val="005A32A6"/>
    <w:rsid w:val="005A3A8D"/>
    <w:rsid w:val="005A4ADA"/>
    <w:rsid w:val="005A6F2F"/>
    <w:rsid w:val="005B03DD"/>
    <w:rsid w:val="005B24AF"/>
    <w:rsid w:val="005B283E"/>
    <w:rsid w:val="005B2BE8"/>
    <w:rsid w:val="005B3A18"/>
    <w:rsid w:val="005B41AA"/>
    <w:rsid w:val="005B4F61"/>
    <w:rsid w:val="005B50EF"/>
    <w:rsid w:val="005B57EF"/>
    <w:rsid w:val="005B6DF8"/>
    <w:rsid w:val="005C0524"/>
    <w:rsid w:val="005C087B"/>
    <w:rsid w:val="005C0C5C"/>
    <w:rsid w:val="005C2A99"/>
    <w:rsid w:val="005C5968"/>
    <w:rsid w:val="005C7707"/>
    <w:rsid w:val="005D0BFE"/>
    <w:rsid w:val="005D133C"/>
    <w:rsid w:val="005D14A0"/>
    <w:rsid w:val="005D2474"/>
    <w:rsid w:val="005D26A2"/>
    <w:rsid w:val="005D2F33"/>
    <w:rsid w:val="005D33D4"/>
    <w:rsid w:val="005D5CF2"/>
    <w:rsid w:val="005D7FCA"/>
    <w:rsid w:val="005E1232"/>
    <w:rsid w:val="005E37DA"/>
    <w:rsid w:val="005E40BB"/>
    <w:rsid w:val="005E4185"/>
    <w:rsid w:val="005E485F"/>
    <w:rsid w:val="005E4C64"/>
    <w:rsid w:val="005F0FD7"/>
    <w:rsid w:val="005F1EC4"/>
    <w:rsid w:val="005F2604"/>
    <w:rsid w:val="005F2D68"/>
    <w:rsid w:val="005F3758"/>
    <w:rsid w:val="005F400F"/>
    <w:rsid w:val="005F71F9"/>
    <w:rsid w:val="006002AA"/>
    <w:rsid w:val="006051D7"/>
    <w:rsid w:val="006100D2"/>
    <w:rsid w:val="006107BB"/>
    <w:rsid w:val="00611A35"/>
    <w:rsid w:val="00611C67"/>
    <w:rsid w:val="0061308C"/>
    <w:rsid w:val="00614076"/>
    <w:rsid w:val="00614368"/>
    <w:rsid w:val="00614E5A"/>
    <w:rsid w:val="00616235"/>
    <w:rsid w:val="0061690D"/>
    <w:rsid w:val="00620244"/>
    <w:rsid w:val="00620B8A"/>
    <w:rsid w:val="006226EB"/>
    <w:rsid w:val="0062275E"/>
    <w:rsid w:val="0062395A"/>
    <w:rsid w:val="00623F97"/>
    <w:rsid w:val="0062499E"/>
    <w:rsid w:val="00624F00"/>
    <w:rsid w:val="0062554E"/>
    <w:rsid w:val="00630057"/>
    <w:rsid w:val="00630230"/>
    <w:rsid w:val="00631233"/>
    <w:rsid w:val="00631404"/>
    <w:rsid w:val="0063197E"/>
    <w:rsid w:val="00632DC1"/>
    <w:rsid w:val="00634686"/>
    <w:rsid w:val="00635809"/>
    <w:rsid w:val="006365E5"/>
    <w:rsid w:val="00636EB6"/>
    <w:rsid w:val="00637A6B"/>
    <w:rsid w:val="00640B8B"/>
    <w:rsid w:val="00640E83"/>
    <w:rsid w:val="00640FE7"/>
    <w:rsid w:val="00643AB4"/>
    <w:rsid w:val="00643E28"/>
    <w:rsid w:val="00643E5C"/>
    <w:rsid w:val="00645153"/>
    <w:rsid w:val="006455B8"/>
    <w:rsid w:val="00645F79"/>
    <w:rsid w:val="00646223"/>
    <w:rsid w:val="006470A6"/>
    <w:rsid w:val="00647993"/>
    <w:rsid w:val="00650191"/>
    <w:rsid w:val="00650304"/>
    <w:rsid w:val="0065103C"/>
    <w:rsid w:val="006529FA"/>
    <w:rsid w:val="006535F8"/>
    <w:rsid w:val="00653B45"/>
    <w:rsid w:val="00657376"/>
    <w:rsid w:val="006600BA"/>
    <w:rsid w:val="0066093C"/>
    <w:rsid w:val="00663B7B"/>
    <w:rsid w:val="006640FF"/>
    <w:rsid w:val="00667145"/>
    <w:rsid w:val="006673BB"/>
    <w:rsid w:val="006674A4"/>
    <w:rsid w:val="006707F5"/>
    <w:rsid w:val="00670AD9"/>
    <w:rsid w:val="006713C2"/>
    <w:rsid w:val="00671713"/>
    <w:rsid w:val="00672EDC"/>
    <w:rsid w:val="006735A6"/>
    <w:rsid w:val="00673AE4"/>
    <w:rsid w:val="0067402D"/>
    <w:rsid w:val="006750E2"/>
    <w:rsid w:val="00675E56"/>
    <w:rsid w:val="0067632C"/>
    <w:rsid w:val="006768B0"/>
    <w:rsid w:val="00677934"/>
    <w:rsid w:val="00677A85"/>
    <w:rsid w:val="006805A5"/>
    <w:rsid w:val="00680B51"/>
    <w:rsid w:val="00680E3F"/>
    <w:rsid w:val="00681FE9"/>
    <w:rsid w:val="006821E3"/>
    <w:rsid w:val="00682E8F"/>
    <w:rsid w:val="00684761"/>
    <w:rsid w:val="00684CB6"/>
    <w:rsid w:val="00685CE2"/>
    <w:rsid w:val="00685DB6"/>
    <w:rsid w:val="006862EF"/>
    <w:rsid w:val="0069299B"/>
    <w:rsid w:val="00693137"/>
    <w:rsid w:val="00693518"/>
    <w:rsid w:val="00694C51"/>
    <w:rsid w:val="006955E7"/>
    <w:rsid w:val="00695FCF"/>
    <w:rsid w:val="00696965"/>
    <w:rsid w:val="00696DDA"/>
    <w:rsid w:val="006970D5"/>
    <w:rsid w:val="006A013E"/>
    <w:rsid w:val="006A135C"/>
    <w:rsid w:val="006A1639"/>
    <w:rsid w:val="006A3B3E"/>
    <w:rsid w:val="006A4CFB"/>
    <w:rsid w:val="006A71A2"/>
    <w:rsid w:val="006A7AE1"/>
    <w:rsid w:val="006B0DD2"/>
    <w:rsid w:val="006B2505"/>
    <w:rsid w:val="006B4075"/>
    <w:rsid w:val="006B5E7A"/>
    <w:rsid w:val="006B6956"/>
    <w:rsid w:val="006B707F"/>
    <w:rsid w:val="006C09E3"/>
    <w:rsid w:val="006C0A34"/>
    <w:rsid w:val="006C0DA3"/>
    <w:rsid w:val="006C2667"/>
    <w:rsid w:val="006C3B4B"/>
    <w:rsid w:val="006C41FF"/>
    <w:rsid w:val="006C4E62"/>
    <w:rsid w:val="006C5B37"/>
    <w:rsid w:val="006C7B8B"/>
    <w:rsid w:val="006D0F95"/>
    <w:rsid w:val="006D1496"/>
    <w:rsid w:val="006D30E8"/>
    <w:rsid w:val="006D502F"/>
    <w:rsid w:val="006D5067"/>
    <w:rsid w:val="006D5713"/>
    <w:rsid w:val="006D6DE6"/>
    <w:rsid w:val="006E1EA3"/>
    <w:rsid w:val="006E265E"/>
    <w:rsid w:val="006E27FD"/>
    <w:rsid w:val="006E2EEA"/>
    <w:rsid w:val="006E4DAD"/>
    <w:rsid w:val="006E5398"/>
    <w:rsid w:val="006E6CC2"/>
    <w:rsid w:val="006E77BB"/>
    <w:rsid w:val="006F5C05"/>
    <w:rsid w:val="006F5E1D"/>
    <w:rsid w:val="006F6ADA"/>
    <w:rsid w:val="006F7069"/>
    <w:rsid w:val="006F707F"/>
    <w:rsid w:val="00701873"/>
    <w:rsid w:val="0070382E"/>
    <w:rsid w:val="00703A23"/>
    <w:rsid w:val="00703A2E"/>
    <w:rsid w:val="007050A0"/>
    <w:rsid w:val="0070621C"/>
    <w:rsid w:val="00706682"/>
    <w:rsid w:val="00707993"/>
    <w:rsid w:val="0071123A"/>
    <w:rsid w:val="00711E25"/>
    <w:rsid w:val="00711FB5"/>
    <w:rsid w:val="00712AC4"/>
    <w:rsid w:val="00712FB7"/>
    <w:rsid w:val="007138CC"/>
    <w:rsid w:val="00713AD7"/>
    <w:rsid w:val="00713CA3"/>
    <w:rsid w:val="0071425A"/>
    <w:rsid w:val="0071439B"/>
    <w:rsid w:val="0072122E"/>
    <w:rsid w:val="00723B85"/>
    <w:rsid w:val="00725232"/>
    <w:rsid w:val="007254CF"/>
    <w:rsid w:val="007257B8"/>
    <w:rsid w:val="007265A4"/>
    <w:rsid w:val="00727A83"/>
    <w:rsid w:val="0073042B"/>
    <w:rsid w:val="00730A03"/>
    <w:rsid w:val="0073174A"/>
    <w:rsid w:val="007333BE"/>
    <w:rsid w:val="0073343B"/>
    <w:rsid w:val="007335A8"/>
    <w:rsid w:val="00734EC9"/>
    <w:rsid w:val="00735079"/>
    <w:rsid w:val="0073593C"/>
    <w:rsid w:val="00736425"/>
    <w:rsid w:val="00736A14"/>
    <w:rsid w:val="00737013"/>
    <w:rsid w:val="0073764E"/>
    <w:rsid w:val="00737DDD"/>
    <w:rsid w:val="00747908"/>
    <w:rsid w:val="0075099D"/>
    <w:rsid w:val="00751089"/>
    <w:rsid w:val="00752052"/>
    <w:rsid w:val="00753C3F"/>
    <w:rsid w:val="00754324"/>
    <w:rsid w:val="00754EA3"/>
    <w:rsid w:val="00756B84"/>
    <w:rsid w:val="00757A75"/>
    <w:rsid w:val="00760136"/>
    <w:rsid w:val="00760496"/>
    <w:rsid w:val="0076053B"/>
    <w:rsid w:val="00761553"/>
    <w:rsid w:val="007617A9"/>
    <w:rsid w:val="0076189A"/>
    <w:rsid w:val="00762D76"/>
    <w:rsid w:val="00763FB0"/>
    <w:rsid w:val="007644E5"/>
    <w:rsid w:val="00765150"/>
    <w:rsid w:val="00766121"/>
    <w:rsid w:val="00770D2D"/>
    <w:rsid w:val="00770D5D"/>
    <w:rsid w:val="00772C0B"/>
    <w:rsid w:val="0077338A"/>
    <w:rsid w:val="007738D0"/>
    <w:rsid w:val="00773EC0"/>
    <w:rsid w:val="00774DA4"/>
    <w:rsid w:val="00774E33"/>
    <w:rsid w:val="0077567A"/>
    <w:rsid w:val="00775B12"/>
    <w:rsid w:val="00775DA1"/>
    <w:rsid w:val="00777045"/>
    <w:rsid w:val="00777690"/>
    <w:rsid w:val="007777BD"/>
    <w:rsid w:val="00777FA9"/>
    <w:rsid w:val="00780533"/>
    <w:rsid w:val="00782061"/>
    <w:rsid w:val="00783A0B"/>
    <w:rsid w:val="00783E8C"/>
    <w:rsid w:val="00784DD0"/>
    <w:rsid w:val="00785290"/>
    <w:rsid w:val="007862F7"/>
    <w:rsid w:val="0078737D"/>
    <w:rsid w:val="00790464"/>
    <w:rsid w:val="007912F9"/>
    <w:rsid w:val="00791D81"/>
    <w:rsid w:val="007939B6"/>
    <w:rsid w:val="00793D62"/>
    <w:rsid w:val="00793DB9"/>
    <w:rsid w:val="0079427C"/>
    <w:rsid w:val="00794F09"/>
    <w:rsid w:val="00795C3B"/>
    <w:rsid w:val="00795D57"/>
    <w:rsid w:val="007964C7"/>
    <w:rsid w:val="007977C0"/>
    <w:rsid w:val="007A2AC4"/>
    <w:rsid w:val="007A35B4"/>
    <w:rsid w:val="007A4846"/>
    <w:rsid w:val="007A4969"/>
    <w:rsid w:val="007A603F"/>
    <w:rsid w:val="007A66DF"/>
    <w:rsid w:val="007A6D9A"/>
    <w:rsid w:val="007A6FD9"/>
    <w:rsid w:val="007A7711"/>
    <w:rsid w:val="007A7C15"/>
    <w:rsid w:val="007B01D2"/>
    <w:rsid w:val="007B05F7"/>
    <w:rsid w:val="007B1924"/>
    <w:rsid w:val="007B199A"/>
    <w:rsid w:val="007B1BA6"/>
    <w:rsid w:val="007B3604"/>
    <w:rsid w:val="007B48F8"/>
    <w:rsid w:val="007B51E6"/>
    <w:rsid w:val="007B55B5"/>
    <w:rsid w:val="007B5624"/>
    <w:rsid w:val="007C28B7"/>
    <w:rsid w:val="007C34EA"/>
    <w:rsid w:val="007C3D92"/>
    <w:rsid w:val="007C4D63"/>
    <w:rsid w:val="007C5420"/>
    <w:rsid w:val="007C582F"/>
    <w:rsid w:val="007C607D"/>
    <w:rsid w:val="007C6E19"/>
    <w:rsid w:val="007C7F7B"/>
    <w:rsid w:val="007D0BC0"/>
    <w:rsid w:val="007D1008"/>
    <w:rsid w:val="007D1B67"/>
    <w:rsid w:val="007D2672"/>
    <w:rsid w:val="007D394D"/>
    <w:rsid w:val="007D4B6B"/>
    <w:rsid w:val="007D62DC"/>
    <w:rsid w:val="007D7930"/>
    <w:rsid w:val="007D7CCF"/>
    <w:rsid w:val="007E0965"/>
    <w:rsid w:val="007E2425"/>
    <w:rsid w:val="007E58BF"/>
    <w:rsid w:val="007E6D5A"/>
    <w:rsid w:val="007E728E"/>
    <w:rsid w:val="007E784C"/>
    <w:rsid w:val="007E79F5"/>
    <w:rsid w:val="007F130A"/>
    <w:rsid w:val="007F3D4F"/>
    <w:rsid w:val="007F46C8"/>
    <w:rsid w:val="007F5D18"/>
    <w:rsid w:val="00801420"/>
    <w:rsid w:val="00802069"/>
    <w:rsid w:val="008025DC"/>
    <w:rsid w:val="00802652"/>
    <w:rsid w:val="008027A4"/>
    <w:rsid w:val="00803C62"/>
    <w:rsid w:val="00806EC8"/>
    <w:rsid w:val="008115C4"/>
    <w:rsid w:val="00814CE9"/>
    <w:rsid w:val="00815161"/>
    <w:rsid w:val="00815D21"/>
    <w:rsid w:val="00815D37"/>
    <w:rsid w:val="00815D73"/>
    <w:rsid w:val="00816F1F"/>
    <w:rsid w:val="008172F5"/>
    <w:rsid w:val="008176D9"/>
    <w:rsid w:val="00820BE1"/>
    <w:rsid w:val="008218B7"/>
    <w:rsid w:val="00822919"/>
    <w:rsid w:val="00825BCB"/>
    <w:rsid w:val="00825CE6"/>
    <w:rsid w:val="0082609D"/>
    <w:rsid w:val="00826F53"/>
    <w:rsid w:val="008270A6"/>
    <w:rsid w:val="008275B2"/>
    <w:rsid w:val="00827BB7"/>
    <w:rsid w:val="008307CF"/>
    <w:rsid w:val="008310C2"/>
    <w:rsid w:val="00831662"/>
    <w:rsid w:val="00831988"/>
    <w:rsid w:val="008319E1"/>
    <w:rsid w:val="00832233"/>
    <w:rsid w:val="00832428"/>
    <w:rsid w:val="00832BDC"/>
    <w:rsid w:val="008335D7"/>
    <w:rsid w:val="0083364D"/>
    <w:rsid w:val="008340F1"/>
    <w:rsid w:val="00834A4A"/>
    <w:rsid w:val="0083539A"/>
    <w:rsid w:val="0083564F"/>
    <w:rsid w:val="008356C6"/>
    <w:rsid w:val="0083673F"/>
    <w:rsid w:val="00837B9C"/>
    <w:rsid w:val="008409F8"/>
    <w:rsid w:val="00843951"/>
    <w:rsid w:val="00844028"/>
    <w:rsid w:val="0084493B"/>
    <w:rsid w:val="00844B59"/>
    <w:rsid w:val="00844F82"/>
    <w:rsid w:val="00845D51"/>
    <w:rsid w:val="008462E6"/>
    <w:rsid w:val="00846331"/>
    <w:rsid w:val="008469EE"/>
    <w:rsid w:val="008475FC"/>
    <w:rsid w:val="008513F9"/>
    <w:rsid w:val="008521CA"/>
    <w:rsid w:val="008522E6"/>
    <w:rsid w:val="00852876"/>
    <w:rsid w:val="00853F5B"/>
    <w:rsid w:val="00854009"/>
    <w:rsid w:val="008557A9"/>
    <w:rsid w:val="0085624B"/>
    <w:rsid w:val="008566B3"/>
    <w:rsid w:val="00856765"/>
    <w:rsid w:val="0085760A"/>
    <w:rsid w:val="008610D3"/>
    <w:rsid w:val="00861853"/>
    <w:rsid w:val="00862613"/>
    <w:rsid w:val="00862746"/>
    <w:rsid w:val="008638C5"/>
    <w:rsid w:val="008642A0"/>
    <w:rsid w:val="00864335"/>
    <w:rsid w:val="00867AEB"/>
    <w:rsid w:val="00871FE1"/>
    <w:rsid w:val="0087467A"/>
    <w:rsid w:val="00876C2C"/>
    <w:rsid w:val="00876D26"/>
    <w:rsid w:val="008775A4"/>
    <w:rsid w:val="0087761C"/>
    <w:rsid w:val="008809B6"/>
    <w:rsid w:val="00881122"/>
    <w:rsid w:val="008812D5"/>
    <w:rsid w:val="00881AF4"/>
    <w:rsid w:val="00882B98"/>
    <w:rsid w:val="008834FE"/>
    <w:rsid w:val="00883BC1"/>
    <w:rsid w:val="00884AE7"/>
    <w:rsid w:val="00884CBF"/>
    <w:rsid w:val="00884F48"/>
    <w:rsid w:val="00886263"/>
    <w:rsid w:val="00890070"/>
    <w:rsid w:val="00890405"/>
    <w:rsid w:val="008907F0"/>
    <w:rsid w:val="00890B27"/>
    <w:rsid w:val="00890D36"/>
    <w:rsid w:val="008920DC"/>
    <w:rsid w:val="008927EA"/>
    <w:rsid w:val="008927EE"/>
    <w:rsid w:val="00892826"/>
    <w:rsid w:val="008956D1"/>
    <w:rsid w:val="008957EF"/>
    <w:rsid w:val="00895BB6"/>
    <w:rsid w:val="0089700B"/>
    <w:rsid w:val="008972B2"/>
    <w:rsid w:val="008976A1"/>
    <w:rsid w:val="00897CA1"/>
    <w:rsid w:val="008A0E25"/>
    <w:rsid w:val="008A1766"/>
    <w:rsid w:val="008A1D53"/>
    <w:rsid w:val="008A20C7"/>
    <w:rsid w:val="008A7A9B"/>
    <w:rsid w:val="008A7CDD"/>
    <w:rsid w:val="008B1750"/>
    <w:rsid w:val="008B2BA7"/>
    <w:rsid w:val="008B2BDC"/>
    <w:rsid w:val="008B3494"/>
    <w:rsid w:val="008B4A35"/>
    <w:rsid w:val="008B5FC3"/>
    <w:rsid w:val="008B60AF"/>
    <w:rsid w:val="008B7022"/>
    <w:rsid w:val="008C0A82"/>
    <w:rsid w:val="008C117C"/>
    <w:rsid w:val="008C1649"/>
    <w:rsid w:val="008C483F"/>
    <w:rsid w:val="008C4980"/>
    <w:rsid w:val="008C5798"/>
    <w:rsid w:val="008C61D8"/>
    <w:rsid w:val="008D257B"/>
    <w:rsid w:val="008D2BDD"/>
    <w:rsid w:val="008D33F8"/>
    <w:rsid w:val="008D40A7"/>
    <w:rsid w:val="008D4BC6"/>
    <w:rsid w:val="008E190A"/>
    <w:rsid w:val="008E2DB0"/>
    <w:rsid w:val="008E4AD4"/>
    <w:rsid w:val="008E70BF"/>
    <w:rsid w:val="008F1906"/>
    <w:rsid w:val="008F1CC5"/>
    <w:rsid w:val="008F1F12"/>
    <w:rsid w:val="008F2550"/>
    <w:rsid w:val="008F2E54"/>
    <w:rsid w:val="008F43E5"/>
    <w:rsid w:val="008F5A3B"/>
    <w:rsid w:val="008F6975"/>
    <w:rsid w:val="008F72C4"/>
    <w:rsid w:val="008F7EF5"/>
    <w:rsid w:val="00900A5F"/>
    <w:rsid w:val="00901861"/>
    <w:rsid w:val="00902108"/>
    <w:rsid w:val="00902865"/>
    <w:rsid w:val="009030D3"/>
    <w:rsid w:val="0090415F"/>
    <w:rsid w:val="00906DD1"/>
    <w:rsid w:val="00911902"/>
    <w:rsid w:val="00916D38"/>
    <w:rsid w:val="009171F5"/>
    <w:rsid w:val="00917BA0"/>
    <w:rsid w:val="00917D94"/>
    <w:rsid w:val="00920E58"/>
    <w:rsid w:val="00921057"/>
    <w:rsid w:val="00921E42"/>
    <w:rsid w:val="009221E2"/>
    <w:rsid w:val="00922ACE"/>
    <w:rsid w:val="00924122"/>
    <w:rsid w:val="009241E0"/>
    <w:rsid w:val="00924D7D"/>
    <w:rsid w:val="00927747"/>
    <w:rsid w:val="00927D6F"/>
    <w:rsid w:val="00930CCE"/>
    <w:rsid w:val="00931A17"/>
    <w:rsid w:val="00934178"/>
    <w:rsid w:val="009353AC"/>
    <w:rsid w:val="009360C0"/>
    <w:rsid w:val="0093639F"/>
    <w:rsid w:val="0093653B"/>
    <w:rsid w:val="00936FF7"/>
    <w:rsid w:val="00937550"/>
    <w:rsid w:val="0094028A"/>
    <w:rsid w:val="00940E82"/>
    <w:rsid w:val="0094183B"/>
    <w:rsid w:val="0094398C"/>
    <w:rsid w:val="00944C8D"/>
    <w:rsid w:val="00944E22"/>
    <w:rsid w:val="00947084"/>
    <w:rsid w:val="00947FBD"/>
    <w:rsid w:val="00950F90"/>
    <w:rsid w:val="0095138D"/>
    <w:rsid w:val="00953E98"/>
    <w:rsid w:val="00954A08"/>
    <w:rsid w:val="00955403"/>
    <w:rsid w:val="00955813"/>
    <w:rsid w:val="00957526"/>
    <w:rsid w:val="00957C85"/>
    <w:rsid w:val="00957D24"/>
    <w:rsid w:val="00961FD4"/>
    <w:rsid w:val="00962A95"/>
    <w:rsid w:val="00962B91"/>
    <w:rsid w:val="009630B4"/>
    <w:rsid w:val="00963735"/>
    <w:rsid w:val="009650B3"/>
    <w:rsid w:val="00965964"/>
    <w:rsid w:val="00967B7A"/>
    <w:rsid w:val="009701EE"/>
    <w:rsid w:val="0097162D"/>
    <w:rsid w:val="009721C4"/>
    <w:rsid w:val="009722DB"/>
    <w:rsid w:val="0097272E"/>
    <w:rsid w:val="009732CE"/>
    <w:rsid w:val="00973B94"/>
    <w:rsid w:val="00976F80"/>
    <w:rsid w:val="00977B89"/>
    <w:rsid w:val="009805F2"/>
    <w:rsid w:val="00984C33"/>
    <w:rsid w:val="00984E46"/>
    <w:rsid w:val="00986052"/>
    <w:rsid w:val="00987C74"/>
    <w:rsid w:val="00991B11"/>
    <w:rsid w:val="00991EDB"/>
    <w:rsid w:val="00994D71"/>
    <w:rsid w:val="00996C28"/>
    <w:rsid w:val="00996FA7"/>
    <w:rsid w:val="009977C9"/>
    <w:rsid w:val="009A2117"/>
    <w:rsid w:val="009A2DA3"/>
    <w:rsid w:val="009A37EB"/>
    <w:rsid w:val="009A3ADF"/>
    <w:rsid w:val="009A4477"/>
    <w:rsid w:val="009A662A"/>
    <w:rsid w:val="009A6C03"/>
    <w:rsid w:val="009A76B2"/>
    <w:rsid w:val="009A7F06"/>
    <w:rsid w:val="009A7F2E"/>
    <w:rsid w:val="009B0C1D"/>
    <w:rsid w:val="009B2E68"/>
    <w:rsid w:val="009B2F4F"/>
    <w:rsid w:val="009B3995"/>
    <w:rsid w:val="009B5639"/>
    <w:rsid w:val="009B7FE4"/>
    <w:rsid w:val="009C005C"/>
    <w:rsid w:val="009C17E6"/>
    <w:rsid w:val="009C1A22"/>
    <w:rsid w:val="009C2C3C"/>
    <w:rsid w:val="009C4156"/>
    <w:rsid w:val="009C60D3"/>
    <w:rsid w:val="009C6AFA"/>
    <w:rsid w:val="009C7037"/>
    <w:rsid w:val="009C7943"/>
    <w:rsid w:val="009D0D30"/>
    <w:rsid w:val="009D1A5C"/>
    <w:rsid w:val="009D2EAC"/>
    <w:rsid w:val="009D3894"/>
    <w:rsid w:val="009D4F4F"/>
    <w:rsid w:val="009D6E1C"/>
    <w:rsid w:val="009D746D"/>
    <w:rsid w:val="009D75DE"/>
    <w:rsid w:val="009D7945"/>
    <w:rsid w:val="009E2EFA"/>
    <w:rsid w:val="009E30A5"/>
    <w:rsid w:val="009E3CEE"/>
    <w:rsid w:val="009E3EAC"/>
    <w:rsid w:val="009E3F63"/>
    <w:rsid w:val="009E4342"/>
    <w:rsid w:val="009F03B6"/>
    <w:rsid w:val="009F0432"/>
    <w:rsid w:val="009F0ADE"/>
    <w:rsid w:val="009F1FB2"/>
    <w:rsid w:val="009F2842"/>
    <w:rsid w:val="009F2CAA"/>
    <w:rsid w:val="009F451C"/>
    <w:rsid w:val="009F5F7B"/>
    <w:rsid w:val="009F691A"/>
    <w:rsid w:val="00A004B0"/>
    <w:rsid w:val="00A02B53"/>
    <w:rsid w:val="00A03C51"/>
    <w:rsid w:val="00A04007"/>
    <w:rsid w:val="00A04E54"/>
    <w:rsid w:val="00A061EB"/>
    <w:rsid w:val="00A06334"/>
    <w:rsid w:val="00A0698F"/>
    <w:rsid w:val="00A10DFC"/>
    <w:rsid w:val="00A113DF"/>
    <w:rsid w:val="00A12E53"/>
    <w:rsid w:val="00A13DFC"/>
    <w:rsid w:val="00A16B16"/>
    <w:rsid w:val="00A17979"/>
    <w:rsid w:val="00A22325"/>
    <w:rsid w:val="00A223B1"/>
    <w:rsid w:val="00A23478"/>
    <w:rsid w:val="00A23E03"/>
    <w:rsid w:val="00A24493"/>
    <w:rsid w:val="00A25176"/>
    <w:rsid w:val="00A26267"/>
    <w:rsid w:val="00A269CF"/>
    <w:rsid w:val="00A30AE9"/>
    <w:rsid w:val="00A311C5"/>
    <w:rsid w:val="00A31C2C"/>
    <w:rsid w:val="00A356B3"/>
    <w:rsid w:val="00A35813"/>
    <w:rsid w:val="00A364A1"/>
    <w:rsid w:val="00A36649"/>
    <w:rsid w:val="00A36D32"/>
    <w:rsid w:val="00A36E5F"/>
    <w:rsid w:val="00A401BC"/>
    <w:rsid w:val="00A40F25"/>
    <w:rsid w:val="00A423A7"/>
    <w:rsid w:val="00A430EB"/>
    <w:rsid w:val="00A43962"/>
    <w:rsid w:val="00A44F7D"/>
    <w:rsid w:val="00A54C2F"/>
    <w:rsid w:val="00A54DBF"/>
    <w:rsid w:val="00A608FD"/>
    <w:rsid w:val="00A60FC8"/>
    <w:rsid w:val="00A6177F"/>
    <w:rsid w:val="00A61A79"/>
    <w:rsid w:val="00A63606"/>
    <w:rsid w:val="00A64AD2"/>
    <w:rsid w:val="00A64D76"/>
    <w:rsid w:val="00A650B3"/>
    <w:rsid w:val="00A65B9D"/>
    <w:rsid w:val="00A66062"/>
    <w:rsid w:val="00A66317"/>
    <w:rsid w:val="00A66328"/>
    <w:rsid w:val="00A66E9E"/>
    <w:rsid w:val="00A70AB3"/>
    <w:rsid w:val="00A710F1"/>
    <w:rsid w:val="00A71D3F"/>
    <w:rsid w:val="00A71FF1"/>
    <w:rsid w:val="00A7213D"/>
    <w:rsid w:val="00A76386"/>
    <w:rsid w:val="00A77136"/>
    <w:rsid w:val="00A7781C"/>
    <w:rsid w:val="00A84F3D"/>
    <w:rsid w:val="00A86DA7"/>
    <w:rsid w:val="00A90AD0"/>
    <w:rsid w:val="00A91DC0"/>
    <w:rsid w:val="00A91E49"/>
    <w:rsid w:val="00A9205A"/>
    <w:rsid w:val="00A953B4"/>
    <w:rsid w:val="00AA0FE4"/>
    <w:rsid w:val="00AA10CE"/>
    <w:rsid w:val="00AA2A57"/>
    <w:rsid w:val="00AA2C9B"/>
    <w:rsid w:val="00AA5738"/>
    <w:rsid w:val="00AA5FE0"/>
    <w:rsid w:val="00AA6191"/>
    <w:rsid w:val="00AA65EF"/>
    <w:rsid w:val="00AA787F"/>
    <w:rsid w:val="00AB07C4"/>
    <w:rsid w:val="00AB0FBF"/>
    <w:rsid w:val="00AB3272"/>
    <w:rsid w:val="00AB5A9E"/>
    <w:rsid w:val="00AB5BA1"/>
    <w:rsid w:val="00AB6942"/>
    <w:rsid w:val="00AB7331"/>
    <w:rsid w:val="00AC056B"/>
    <w:rsid w:val="00AC0C82"/>
    <w:rsid w:val="00AC18D7"/>
    <w:rsid w:val="00AC2611"/>
    <w:rsid w:val="00AC2E6A"/>
    <w:rsid w:val="00AC3E12"/>
    <w:rsid w:val="00AC44EB"/>
    <w:rsid w:val="00AC71A6"/>
    <w:rsid w:val="00AD02EC"/>
    <w:rsid w:val="00AD05A6"/>
    <w:rsid w:val="00AD3292"/>
    <w:rsid w:val="00AD388F"/>
    <w:rsid w:val="00AD436F"/>
    <w:rsid w:val="00AD7473"/>
    <w:rsid w:val="00AE0854"/>
    <w:rsid w:val="00AE0F77"/>
    <w:rsid w:val="00AE1EFF"/>
    <w:rsid w:val="00AE2657"/>
    <w:rsid w:val="00AE4C5E"/>
    <w:rsid w:val="00AE52B8"/>
    <w:rsid w:val="00AE53E8"/>
    <w:rsid w:val="00AE643F"/>
    <w:rsid w:val="00AE7805"/>
    <w:rsid w:val="00AE7BCB"/>
    <w:rsid w:val="00AE7C72"/>
    <w:rsid w:val="00AF0726"/>
    <w:rsid w:val="00AF1125"/>
    <w:rsid w:val="00AF214C"/>
    <w:rsid w:val="00AF24B2"/>
    <w:rsid w:val="00AF4E13"/>
    <w:rsid w:val="00AF529C"/>
    <w:rsid w:val="00AF5345"/>
    <w:rsid w:val="00AF5B03"/>
    <w:rsid w:val="00AF5EB2"/>
    <w:rsid w:val="00AF60B7"/>
    <w:rsid w:val="00AF6AD7"/>
    <w:rsid w:val="00AF751E"/>
    <w:rsid w:val="00AF7F4A"/>
    <w:rsid w:val="00B00632"/>
    <w:rsid w:val="00B01528"/>
    <w:rsid w:val="00B01A0B"/>
    <w:rsid w:val="00B03791"/>
    <w:rsid w:val="00B03D33"/>
    <w:rsid w:val="00B03F2D"/>
    <w:rsid w:val="00B047F1"/>
    <w:rsid w:val="00B051CC"/>
    <w:rsid w:val="00B05237"/>
    <w:rsid w:val="00B0532A"/>
    <w:rsid w:val="00B17CC3"/>
    <w:rsid w:val="00B17FF8"/>
    <w:rsid w:val="00B20DA5"/>
    <w:rsid w:val="00B22D3D"/>
    <w:rsid w:val="00B235F7"/>
    <w:rsid w:val="00B242B8"/>
    <w:rsid w:val="00B24831"/>
    <w:rsid w:val="00B254D8"/>
    <w:rsid w:val="00B265A5"/>
    <w:rsid w:val="00B30840"/>
    <w:rsid w:val="00B30A72"/>
    <w:rsid w:val="00B30CF7"/>
    <w:rsid w:val="00B30F3E"/>
    <w:rsid w:val="00B3280B"/>
    <w:rsid w:val="00B34570"/>
    <w:rsid w:val="00B34708"/>
    <w:rsid w:val="00B34F7E"/>
    <w:rsid w:val="00B35085"/>
    <w:rsid w:val="00B365C9"/>
    <w:rsid w:val="00B37346"/>
    <w:rsid w:val="00B3783E"/>
    <w:rsid w:val="00B406F1"/>
    <w:rsid w:val="00B43BAA"/>
    <w:rsid w:val="00B44A32"/>
    <w:rsid w:val="00B457AA"/>
    <w:rsid w:val="00B45C22"/>
    <w:rsid w:val="00B46F5D"/>
    <w:rsid w:val="00B510D1"/>
    <w:rsid w:val="00B516F4"/>
    <w:rsid w:val="00B53695"/>
    <w:rsid w:val="00B552F4"/>
    <w:rsid w:val="00B56122"/>
    <w:rsid w:val="00B6021A"/>
    <w:rsid w:val="00B618FA"/>
    <w:rsid w:val="00B61CD8"/>
    <w:rsid w:val="00B61DDE"/>
    <w:rsid w:val="00B622BA"/>
    <w:rsid w:val="00B62739"/>
    <w:rsid w:val="00B63DCC"/>
    <w:rsid w:val="00B63F07"/>
    <w:rsid w:val="00B64FD7"/>
    <w:rsid w:val="00B6546E"/>
    <w:rsid w:val="00B65FD9"/>
    <w:rsid w:val="00B6634F"/>
    <w:rsid w:val="00B67FDC"/>
    <w:rsid w:val="00B708CF"/>
    <w:rsid w:val="00B71697"/>
    <w:rsid w:val="00B71781"/>
    <w:rsid w:val="00B71D07"/>
    <w:rsid w:val="00B7222E"/>
    <w:rsid w:val="00B7336C"/>
    <w:rsid w:val="00B7548C"/>
    <w:rsid w:val="00B76C6A"/>
    <w:rsid w:val="00B76CDD"/>
    <w:rsid w:val="00B77794"/>
    <w:rsid w:val="00B80677"/>
    <w:rsid w:val="00B81482"/>
    <w:rsid w:val="00B81FBF"/>
    <w:rsid w:val="00B82437"/>
    <w:rsid w:val="00B829A8"/>
    <w:rsid w:val="00B829B3"/>
    <w:rsid w:val="00B83749"/>
    <w:rsid w:val="00B860BD"/>
    <w:rsid w:val="00B860F7"/>
    <w:rsid w:val="00B86579"/>
    <w:rsid w:val="00B87617"/>
    <w:rsid w:val="00B912EC"/>
    <w:rsid w:val="00B9203C"/>
    <w:rsid w:val="00B92684"/>
    <w:rsid w:val="00B93167"/>
    <w:rsid w:val="00B95065"/>
    <w:rsid w:val="00B957B7"/>
    <w:rsid w:val="00B96704"/>
    <w:rsid w:val="00B96E93"/>
    <w:rsid w:val="00B971AE"/>
    <w:rsid w:val="00B97AE8"/>
    <w:rsid w:val="00BA2289"/>
    <w:rsid w:val="00BA3745"/>
    <w:rsid w:val="00BA783E"/>
    <w:rsid w:val="00BB01C4"/>
    <w:rsid w:val="00BB1DDF"/>
    <w:rsid w:val="00BB1F05"/>
    <w:rsid w:val="00BB211A"/>
    <w:rsid w:val="00BB4665"/>
    <w:rsid w:val="00BB473F"/>
    <w:rsid w:val="00BB4A4E"/>
    <w:rsid w:val="00BC0DB9"/>
    <w:rsid w:val="00BC1CC8"/>
    <w:rsid w:val="00BC2D7C"/>
    <w:rsid w:val="00BC5B5E"/>
    <w:rsid w:val="00BC5E6B"/>
    <w:rsid w:val="00BC6124"/>
    <w:rsid w:val="00BC76D0"/>
    <w:rsid w:val="00BD2C2E"/>
    <w:rsid w:val="00BD3529"/>
    <w:rsid w:val="00BE134F"/>
    <w:rsid w:val="00BE3538"/>
    <w:rsid w:val="00BE4EA8"/>
    <w:rsid w:val="00BE56ED"/>
    <w:rsid w:val="00BE67E4"/>
    <w:rsid w:val="00BE77A5"/>
    <w:rsid w:val="00BF158F"/>
    <w:rsid w:val="00BF1A77"/>
    <w:rsid w:val="00BF1A98"/>
    <w:rsid w:val="00BF2576"/>
    <w:rsid w:val="00BF3F2C"/>
    <w:rsid w:val="00BF5106"/>
    <w:rsid w:val="00BF5720"/>
    <w:rsid w:val="00BF583E"/>
    <w:rsid w:val="00BF5D19"/>
    <w:rsid w:val="00BF5DF9"/>
    <w:rsid w:val="00C00153"/>
    <w:rsid w:val="00C00321"/>
    <w:rsid w:val="00C0043D"/>
    <w:rsid w:val="00C013C1"/>
    <w:rsid w:val="00C023AC"/>
    <w:rsid w:val="00C024B1"/>
    <w:rsid w:val="00C032E9"/>
    <w:rsid w:val="00C03950"/>
    <w:rsid w:val="00C04E50"/>
    <w:rsid w:val="00C053AA"/>
    <w:rsid w:val="00C05572"/>
    <w:rsid w:val="00C055DB"/>
    <w:rsid w:val="00C06758"/>
    <w:rsid w:val="00C10CA2"/>
    <w:rsid w:val="00C10E6A"/>
    <w:rsid w:val="00C1154C"/>
    <w:rsid w:val="00C11CA8"/>
    <w:rsid w:val="00C1279D"/>
    <w:rsid w:val="00C16581"/>
    <w:rsid w:val="00C17B97"/>
    <w:rsid w:val="00C200B3"/>
    <w:rsid w:val="00C20338"/>
    <w:rsid w:val="00C207C9"/>
    <w:rsid w:val="00C2114D"/>
    <w:rsid w:val="00C214E5"/>
    <w:rsid w:val="00C24B34"/>
    <w:rsid w:val="00C24F8E"/>
    <w:rsid w:val="00C27666"/>
    <w:rsid w:val="00C276B1"/>
    <w:rsid w:val="00C308AD"/>
    <w:rsid w:val="00C31091"/>
    <w:rsid w:val="00C32280"/>
    <w:rsid w:val="00C33673"/>
    <w:rsid w:val="00C342E0"/>
    <w:rsid w:val="00C343BD"/>
    <w:rsid w:val="00C3561A"/>
    <w:rsid w:val="00C36730"/>
    <w:rsid w:val="00C3716E"/>
    <w:rsid w:val="00C374D4"/>
    <w:rsid w:val="00C37A43"/>
    <w:rsid w:val="00C4141D"/>
    <w:rsid w:val="00C45AAA"/>
    <w:rsid w:val="00C46721"/>
    <w:rsid w:val="00C46EC8"/>
    <w:rsid w:val="00C470B7"/>
    <w:rsid w:val="00C47E65"/>
    <w:rsid w:val="00C50096"/>
    <w:rsid w:val="00C52FF7"/>
    <w:rsid w:val="00C536FD"/>
    <w:rsid w:val="00C546FF"/>
    <w:rsid w:val="00C54A1E"/>
    <w:rsid w:val="00C54B84"/>
    <w:rsid w:val="00C54C86"/>
    <w:rsid w:val="00C56178"/>
    <w:rsid w:val="00C56318"/>
    <w:rsid w:val="00C56687"/>
    <w:rsid w:val="00C56F97"/>
    <w:rsid w:val="00C571FB"/>
    <w:rsid w:val="00C577A9"/>
    <w:rsid w:val="00C60D99"/>
    <w:rsid w:val="00C62779"/>
    <w:rsid w:val="00C674B4"/>
    <w:rsid w:val="00C6787B"/>
    <w:rsid w:val="00C678B1"/>
    <w:rsid w:val="00C717FC"/>
    <w:rsid w:val="00C72455"/>
    <w:rsid w:val="00C73546"/>
    <w:rsid w:val="00C74392"/>
    <w:rsid w:val="00C74422"/>
    <w:rsid w:val="00C74C93"/>
    <w:rsid w:val="00C75948"/>
    <w:rsid w:val="00C76D3F"/>
    <w:rsid w:val="00C80B09"/>
    <w:rsid w:val="00C80BD3"/>
    <w:rsid w:val="00C83061"/>
    <w:rsid w:val="00C8337E"/>
    <w:rsid w:val="00C83CDE"/>
    <w:rsid w:val="00C85EEF"/>
    <w:rsid w:val="00C85FD8"/>
    <w:rsid w:val="00C8624C"/>
    <w:rsid w:val="00C92B2B"/>
    <w:rsid w:val="00C93F32"/>
    <w:rsid w:val="00C94775"/>
    <w:rsid w:val="00C947A9"/>
    <w:rsid w:val="00C949D0"/>
    <w:rsid w:val="00C94D3F"/>
    <w:rsid w:val="00C95D73"/>
    <w:rsid w:val="00C96A92"/>
    <w:rsid w:val="00C972C8"/>
    <w:rsid w:val="00C97A89"/>
    <w:rsid w:val="00CA492E"/>
    <w:rsid w:val="00CA4C09"/>
    <w:rsid w:val="00CA4FA9"/>
    <w:rsid w:val="00CA5DBC"/>
    <w:rsid w:val="00CA61C6"/>
    <w:rsid w:val="00CA6716"/>
    <w:rsid w:val="00CA6DEF"/>
    <w:rsid w:val="00CA74CA"/>
    <w:rsid w:val="00CB0908"/>
    <w:rsid w:val="00CB09A1"/>
    <w:rsid w:val="00CB146D"/>
    <w:rsid w:val="00CB2567"/>
    <w:rsid w:val="00CB3138"/>
    <w:rsid w:val="00CB3F35"/>
    <w:rsid w:val="00CB4D1B"/>
    <w:rsid w:val="00CB5505"/>
    <w:rsid w:val="00CB79A7"/>
    <w:rsid w:val="00CC1780"/>
    <w:rsid w:val="00CC3536"/>
    <w:rsid w:val="00CC4A07"/>
    <w:rsid w:val="00CC4E9E"/>
    <w:rsid w:val="00CC4F1D"/>
    <w:rsid w:val="00CC6E1E"/>
    <w:rsid w:val="00CC7338"/>
    <w:rsid w:val="00CC7BDF"/>
    <w:rsid w:val="00CD2317"/>
    <w:rsid w:val="00CD2B0E"/>
    <w:rsid w:val="00CD3D6F"/>
    <w:rsid w:val="00CD413B"/>
    <w:rsid w:val="00CD4895"/>
    <w:rsid w:val="00CD671E"/>
    <w:rsid w:val="00CD683F"/>
    <w:rsid w:val="00CD6B90"/>
    <w:rsid w:val="00CD6DFA"/>
    <w:rsid w:val="00CD782D"/>
    <w:rsid w:val="00CD7ACC"/>
    <w:rsid w:val="00CE1760"/>
    <w:rsid w:val="00CE1E5E"/>
    <w:rsid w:val="00CE202C"/>
    <w:rsid w:val="00CE35C1"/>
    <w:rsid w:val="00CE5CEA"/>
    <w:rsid w:val="00CE6691"/>
    <w:rsid w:val="00CE688C"/>
    <w:rsid w:val="00CE6911"/>
    <w:rsid w:val="00CE71E5"/>
    <w:rsid w:val="00CF17C0"/>
    <w:rsid w:val="00CF1C62"/>
    <w:rsid w:val="00CF2659"/>
    <w:rsid w:val="00CF540D"/>
    <w:rsid w:val="00CF559C"/>
    <w:rsid w:val="00CF661C"/>
    <w:rsid w:val="00CF6E6C"/>
    <w:rsid w:val="00CF77DC"/>
    <w:rsid w:val="00CF7D0F"/>
    <w:rsid w:val="00D0086F"/>
    <w:rsid w:val="00D01B22"/>
    <w:rsid w:val="00D02682"/>
    <w:rsid w:val="00D03E15"/>
    <w:rsid w:val="00D04C48"/>
    <w:rsid w:val="00D05C60"/>
    <w:rsid w:val="00D069EF"/>
    <w:rsid w:val="00D06F63"/>
    <w:rsid w:val="00D07B4A"/>
    <w:rsid w:val="00D07DF0"/>
    <w:rsid w:val="00D13147"/>
    <w:rsid w:val="00D14046"/>
    <w:rsid w:val="00D14818"/>
    <w:rsid w:val="00D15111"/>
    <w:rsid w:val="00D15DD3"/>
    <w:rsid w:val="00D167ED"/>
    <w:rsid w:val="00D16D7B"/>
    <w:rsid w:val="00D20341"/>
    <w:rsid w:val="00D204CD"/>
    <w:rsid w:val="00D2134B"/>
    <w:rsid w:val="00D21751"/>
    <w:rsid w:val="00D21F6E"/>
    <w:rsid w:val="00D22CFE"/>
    <w:rsid w:val="00D23A72"/>
    <w:rsid w:val="00D23AB2"/>
    <w:rsid w:val="00D25135"/>
    <w:rsid w:val="00D258D8"/>
    <w:rsid w:val="00D26331"/>
    <w:rsid w:val="00D2652D"/>
    <w:rsid w:val="00D27104"/>
    <w:rsid w:val="00D301D2"/>
    <w:rsid w:val="00D30CEF"/>
    <w:rsid w:val="00D31C1B"/>
    <w:rsid w:val="00D33A1A"/>
    <w:rsid w:val="00D353A8"/>
    <w:rsid w:val="00D37BBE"/>
    <w:rsid w:val="00D40E17"/>
    <w:rsid w:val="00D42242"/>
    <w:rsid w:val="00D422B5"/>
    <w:rsid w:val="00D43662"/>
    <w:rsid w:val="00D45208"/>
    <w:rsid w:val="00D45568"/>
    <w:rsid w:val="00D51C6E"/>
    <w:rsid w:val="00D51D87"/>
    <w:rsid w:val="00D52DAF"/>
    <w:rsid w:val="00D53CE2"/>
    <w:rsid w:val="00D543F3"/>
    <w:rsid w:val="00D609E5"/>
    <w:rsid w:val="00D636FC"/>
    <w:rsid w:val="00D651BC"/>
    <w:rsid w:val="00D66971"/>
    <w:rsid w:val="00D67E83"/>
    <w:rsid w:val="00D708A9"/>
    <w:rsid w:val="00D708B7"/>
    <w:rsid w:val="00D71896"/>
    <w:rsid w:val="00D748E1"/>
    <w:rsid w:val="00D755A7"/>
    <w:rsid w:val="00D75ECC"/>
    <w:rsid w:val="00D77B37"/>
    <w:rsid w:val="00D80173"/>
    <w:rsid w:val="00D80B32"/>
    <w:rsid w:val="00D81357"/>
    <w:rsid w:val="00D81D4D"/>
    <w:rsid w:val="00D823A9"/>
    <w:rsid w:val="00D83E51"/>
    <w:rsid w:val="00D83FB6"/>
    <w:rsid w:val="00D864D9"/>
    <w:rsid w:val="00D90217"/>
    <w:rsid w:val="00D9048E"/>
    <w:rsid w:val="00D91F7D"/>
    <w:rsid w:val="00D92A5F"/>
    <w:rsid w:val="00D931DB"/>
    <w:rsid w:val="00D95224"/>
    <w:rsid w:val="00D95989"/>
    <w:rsid w:val="00D96184"/>
    <w:rsid w:val="00D96C89"/>
    <w:rsid w:val="00D97320"/>
    <w:rsid w:val="00DA1D51"/>
    <w:rsid w:val="00DA50AA"/>
    <w:rsid w:val="00DA52E8"/>
    <w:rsid w:val="00DA6836"/>
    <w:rsid w:val="00DA6C57"/>
    <w:rsid w:val="00DB4817"/>
    <w:rsid w:val="00DB4CF9"/>
    <w:rsid w:val="00DC2A0C"/>
    <w:rsid w:val="00DC3260"/>
    <w:rsid w:val="00DC54A4"/>
    <w:rsid w:val="00DC7DAF"/>
    <w:rsid w:val="00DD2C65"/>
    <w:rsid w:val="00DD3A76"/>
    <w:rsid w:val="00DD491D"/>
    <w:rsid w:val="00DD593A"/>
    <w:rsid w:val="00DD7BB6"/>
    <w:rsid w:val="00DD7E1C"/>
    <w:rsid w:val="00DE1FE9"/>
    <w:rsid w:val="00DE23F2"/>
    <w:rsid w:val="00DE3558"/>
    <w:rsid w:val="00DE38A1"/>
    <w:rsid w:val="00DE4B32"/>
    <w:rsid w:val="00DE5012"/>
    <w:rsid w:val="00DE591C"/>
    <w:rsid w:val="00DE65E0"/>
    <w:rsid w:val="00DE6612"/>
    <w:rsid w:val="00DE68E0"/>
    <w:rsid w:val="00DE6AEA"/>
    <w:rsid w:val="00DF20F8"/>
    <w:rsid w:val="00DF274C"/>
    <w:rsid w:val="00DF2811"/>
    <w:rsid w:val="00DF2AF5"/>
    <w:rsid w:val="00DF3C21"/>
    <w:rsid w:val="00DF42DB"/>
    <w:rsid w:val="00DF6487"/>
    <w:rsid w:val="00DF6901"/>
    <w:rsid w:val="00E0010B"/>
    <w:rsid w:val="00E00E5A"/>
    <w:rsid w:val="00E0144B"/>
    <w:rsid w:val="00E01976"/>
    <w:rsid w:val="00E0203D"/>
    <w:rsid w:val="00E03AF1"/>
    <w:rsid w:val="00E03F63"/>
    <w:rsid w:val="00E04BEC"/>
    <w:rsid w:val="00E06001"/>
    <w:rsid w:val="00E07E4C"/>
    <w:rsid w:val="00E102BB"/>
    <w:rsid w:val="00E10349"/>
    <w:rsid w:val="00E10E15"/>
    <w:rsid w:val="00E118ED"/>
    <w:rsid w:val="00E126E0"/>
    <w:rsid w:val="00E1351B"/>
    <w:rsid w:val="00E13656"/>
    <w:rsid w:val="00E1642A"/>
    <w:rsid w:val="00E1655E"/>
    <w:rsid w:val="00E17D68"/>
    <w:rsid w:val="00E20BD3"/>
    <w:rsid w:val="00E21CDF"/>
    <w:rsid w:val="00E21DED"/>
    <w:rsid w:val="00E22F11"/>
    <w:rsid w:val="00E2554C"/>
    <w:rsid w:val="00E25D31"/>
    <w:rsid w:val="00E25FA6"/>
    <w:rsid w:val="00E263F2"/>
    <w:rsid w:val="00E27E4C"/>
    <w:rsid w:val="00E301EE"/>
    <w:rsid w:val="00E30818"/>
    <w:rsid w:val="00E318B5"/>
    <w:rsid w:val="00E32472"/>
    <w:rsid w:val="00E32E47"/>
    <w:rsid w:val="00E33DBD"/>
    <w:rsid w:val="00E34AAD"/>
    <w:rsid w:val="00E34C91"/>
    <w:rsid w:val="00E356CB"/>
    <w:rsid w:val="00E364D8"/>
    <w:rsid w:val="00E36BE2"/>
    <w:rsid w:val="00E36CCB"/>
    <w:rsid w:val="00E3755B"/>
    <w:rsid w:val="00E37CC9"/>
    <w:rsid w:val="00E42270"/>
    <w:rsid w:val="00E43930"/>
    <w:rsid w:val="00E44E3C"/>
    <w:rsid w:val="00E45CD7"/>
    <w:rsid w:val="00E46DBD"/>
    <w:rsid w:val="00E4759B"/>
    <w:rsid w:val="00E47B17"/>
    <w:rsid w:val="00E50B8E"/>
    <w:rsid w:val="00E50FBC"/>
    <w:rsid w:val="00E52BE0"/>
    <w:rsid w:val="00E544CF"/>
    <w:rsid w:val="00E5485A"/>
    <w:rsid w:val="00E562B4"/>
    <w:rsid w:val="00E568E1"/>
    <w:rsid w:val="00E56CE6"/>
    <w:rsid w:val="00E574FC"/>
    <w:rsid w:val="00E60629"/>
    <w:rsid w:val="00E60695"/>
    <w:rsid w:val="00E61043"/>
    <w:rsid w:val="00E61CF3"/>
    <w:rsid w:val="00E61E4D"/>
    <w:rsid w:val="00E63E75"/>
    <w:rsid w:val="00E63FD5"/>
    <w:rsid w:val="00E6515F"/>
    <w:rsid w:val="00E65AAE"/>
    <w:rsid w:val="00E65BF2"/>
    <w:rsid w:val="00E672C7"/>
    <w:rsid w:val="00E674FB"/>
    <w:rsid w:val="00E676FF"/>
    <w:rsid w:val="00E70586"/>
    <w:rsid w:val="00E73406"/>
    <w:rsid w:val="00E74B8C"/>
    <w:rsid w:val="00E74DD3"/>
    <w:rsid w:val="00E75B91"/>
    <w:rsid w:val="00E7625C"/>
    <w:rsid w:val="00E76BC5"/>
    <w:rsid w:val="00E7781F"/>
    <w:rsid w:val="00E77FF7"/>
    <w:rsid w:val="00E810FE"/>
    <w:rsid w:val="00E824FD"/>
    <w:rsid w:val="00E83879"/>
    <w:rsid w:val="00E8596C"/>
    <w:rsid w:val="00E8644B"/>
    <w:rsid w:val="00E864A9"/>
    <w:rsid w:val="00E865C0"/>
    <w:rsid w:val="00E87B01"/>
    <w:rsid w:val="00E900AF"/>
    <w:rsid w:val="00E9176C"/>
    <w:rsid w:val="00E91CC1"/>
    <w:rsid w:val="00E91F29"/>
    <w:rsid w:val="00E93FCD"/>
    <w:rsid w:val="00E94FC2"/>
    <w:rsid w:val="00E95C92"/>
    <w:rsid w:val="00E97CC8"/>
    <w:rsid w:val="00EA0984"/>
    <w:rsid w:val="00EA3C71"/>
    <w:rsid w:val="00EA5051"/>
    <w:rsid w:val="00EA50DE"/>
    <w:rsid w:val="00EA5A8D"/>
    <w:rsid w:val="00EA5DD7"/>
    <w:rsid w:val="00EA61A2"/>
    <w:rsid w:val="00EA689F"/>
    <w:rsid w:val="00EB0134"/>
    <w:rsid w:val="00EB116F"/>
    <w:rsid w:val="00EB14C9"/>
    <w:rsid w:val="00EB1CAB"/>
    <w:rsid w:val="00EB1D29"/>
    <w:rsid w:val="00EB20D1"/>
    <w:rsid w:val="00EB2C5F"/>
    <w:rsid w:val="00EB2CB1"/>
    <w:rsid w:val="00EB33E2"/>
    <w:rsid w:val="00EB403E"/>
    <w:rsid w:val="00EB5AFB"/>
    <w:rsid w:val="00EB7589"/>
    <w:rsid w:val="00EC0D2E"/>
    <w:rsid w:val="00EC1E91"/>
    <w:rsid w:val="00EC327F"/>
    <w:rsid w:val="00EC3A18"/>
    <w:rsid w:val="00EC3DF3"/>
    <w:rsid w:val="00EC520A"/>
    <w:rsid w:val="00EC5217"/>
    <w:rsid w:val="00EC55CB"/>
    <w:rsid w:val="00EC5C09"/>
    <w:rsid w:val="00EC7A99"/>
    <w:rsid w:val="00ED073D"/>
    <w:rsid w:val="00ED0CFD"/>
    <w:rsid w:val="00ED0ED7"/>
    <w:rsid w:val="00ED12E2"/>
    <w:rsid w:val="00ED1E4A"/>
    <w:rsid w:val="00ED1E58"/>
    <w:rsid w:val="00ED26C2"/>
    <w:rsid w:val="00ED28E0"/>
    <w:rsid w:val="00ED6B08"/>
    <w:rsid w:val="00ED6E07"/>
    <w:rsid w:val="00ED6EF7"/>
    <w:rsid w:val="00ED7EDF"/>
    <w:rsid w:val="00EE0DDE"/>
    <w:rsid w:val="00EE1A11"/>
    <w:rsid w:val="00EE298B"/>
    <w:rsid w:val="00EE47A2"/>
    <w:rsid w:val="00EE622A"/>
    <w:rsid w:val="00EE6DB9"/>
    <w:rsid w:val="00EF21E1"/>
    <w:rsid w:val="00EF25DD"/>
    <w:rsid w:val="00EF462D"/>
    <w:rsid w:val="00EF4908"/>
    <w:rsid w:val="00EF5B96"/>
    <w:rsid w:val="00EF67C4"/>
    <w:rsid w:val="00EF6C78"/>
    <w:rsid w:val="00F00618"/>
    <w:rsid w:val="00F00669"/>
    <w:rsid w:val="00F00C15"/>
    <w:rsid w:val="00F018B7"/>
    <w:rsid w:val="00F01ED5"/>
    <w:rsid w:val="00F06C54"/>
    <w:rsid w:val="00F1028E"/>
    <w:rsid w:val="00F11047"/>
    <w:rsid w:val="00F11576"/>
    <w:rsid w:val="00F115AA"/>
    <w:rsid w:val="00F117D2"/>
    <w:rsid w:val="00F12BB1"/>
    <w:rsid w:val="00F12BCE"/>
    <w:rsid w:val="00F13D85"/>
    <w:rsid w:val="00F15F6A"/>
    <w:rsid w:val="00F16B41"/>
    <w:rsid w:val="00F171ED"/>
    <w:rsid w:val="00F17700"/>
    <w:rsid w:val="00F20788"/>
    <w:rsid w:val="00F214DB"/>
    <w:rsid w:val="00F22502"/>
    <w:rsid w:val="00F23466"/>
    <w:rsid w:val="00F24261"/>
    <w:rsid w:val="00F2429D"/>
    <w:rsid w:val="00F24571"/>
    <w:rsid w:val="00F245C8"/>
    <w:rsid w:val="00F275D7"/>
    <w:rsid w:val="00F27B66"/>
    <w:rsid w:val="00F306A2"/>
    <w:rsid w:val="00F31F11"/>
    <w:rsid w:val="00F320EE"/>
    <w:rsid w:val="00F32CFE"/>
    <w:rsid w:val="00F32EF9"/>
    <w:rsid w:val="00F33B5B"/>
    <w:rsid w:val="00F36DEA"/>
    <w:rsid w:val="00F400FA"/>
    <w:rsid w:val="00F4050E"/>
    <w:rsid w:val="00F4071A"/>
    <w:rsid w:val="00F416C6"/>
    <w:rsid w:val="00F4217C"/>
    <w:rsid w:val="00F4406F"/>
    <w:rsid w:val="00F46D61"/>
    <w:rsid w:val="00F47905"/>
    <w:rsid w:val="00F5033A"/>
    <w:rsid w:val="00F5105D"/>
    <w:rsid w:val="00F520A4"/>
    <w:rsid w:val="00F557E9"/>
    <w:rsid w:val="00F57772"/>
    <w:rsid w:val="00F57E33"/>
    <w:rsid w:val="00F61E47"/>
    <w:rsid w:val="00F61E7A"/>
    <w:rsid w:val="00F6436F"/>
    <w:rsid w:val="00F6596E"/>
    <w:rsid w:val="00F6679F"/>
    <w:rsid w:val="00F67CAA"/>
    <w:rsid w:val="00F71E30"/>
    <w:rsid w:val="00F71EC0"/>
    <w:rsid w:val="00F72F47"/>
    <w:rsid w:val="00F75472"/>
    <w:rsid w:val="00F81CAF"/>
    <w:rsid w:val="00F82346"/>
    <w:rsid w:val="00F82796"/>
    <w:rsid w:val="00F83A61"/>
    <w:rsid w:val="00F86243"/>
    <w:rsid w:val="00F86839"/>
    <w:rsid w:val="00F8782A"/>
    <w:rsid w:val="00F87942"/>
    <w:rsid w:val="00F87BD2"/>
    <w:rsid w:val="00F90904"/>
    <w:rsid w:val="00F90CCE"/>
    <w:rsid w:val="00F9162E"/>
    <w:rsid w:val="00F92332"/>
    <w:rsid w:val="00F9236A"/>
    <w:rsid w:val="00F929D1"/>
    <w:rsid w:val="00F9424D"/>
    <w:rsid w:val="00F948AD"/>
    <w:rsid w:val="00F9748F"/>
    <w:rsid w:val="00F979A8"/>
    <w:rsid w:val="00F97E31"/>
    <w:rsid w:val="00FA028D"/>
    <w:rsid w:val="00FA078D"/>
    <w:rsid w:val="00FA1442"/>
    <w:rsid w:val="00FA1696"/>
    <w:rsid w:val="00FA1D06"/>
    <w:rsid w:val="00FA3783"/>
    <w:rsid w:val="00FA4086"/>
    <w:rsid w:val="00FA68F1"/>
    <w:rsid w:val="00FA6B98"/>
    <w:rsid w:val="00FA6CD2"/>
    <w:rsid w:val="00FB028A"/>
    <w:rsid w:val="00FB18B5"/>
    <w:rsid w:val="00FB1C7E"/>
    <w:rsid w:val="00FB31E1"/>
    <w:rsid w:val="00FB3E48"/>
    <w:rsid w:val="00FB41F7"/>
    <w:rsid w:val="00FB4811"/>
    <w:rsid w:val="00FB5FD1"/>
    <w:rsid w:val="00FB6E64"/>
    <w:rsid w:val="00FC01D2"/>
    <w:rsid w:val="00FC094C"/>
    <w:rsid w:val="00FC1338"/>
    <w:rsid w:val="00FC183E"/>
    <w:rsid w:val="00FC3BAE"/>
    <w:rsid w:val="00FC4419"/>
    <w:rsid w:val="00FC4E8E"/>
    <w:rsid w:val="00FC6102"/>
    <w:rsid w:val="00FC7004"/>
    <w:rsid w:val="00FC7166"/>
    <w:rsid w:val="00FC7D26"/>
    <w:rsid w:val="00FD06B6"/>
    <w:rsid w:val="00FD0D5E"/>
    <w:rsid w:val="00FD1399"/>
    <w:rsid w:val="00FD146A"/>
    <w:rsid w:val="00FD1594"/>
    <w:rsid w:val="00FD1B57"/>
    <w:rsid w:val="00FD1DDA"/>
    <w:rsid w:val="00FD2F25"/>
    <w:rsid w:val="00FD45BD"/>
    <w:rsid w:val="00FD47E8"/>
    <w:rsid w:val="00FD4B4C"/>
    <w:rsid w:val="00FD5432"/>
    <w:rsid w:val="00FD63E4"/>
    <w:rsid w:val="00FD710E"/>
    <w:rsid w:val="00FE00CB"/>
    <w:rsid w:val="00FE09E6"/>
    <w:rsid w:val="00FE24BA"/>
    <w:rsid w:val="00FE277E"/>
    <w:rsid w:val="00FE38BE"/>
    <w:rsid w:val="00FE45A3"/>
    <w:rsid w:val="00FE5453"/>
    <w:rsid w:val="00FE5B99"/>
    <w:rsid w:val="00FE60DD"/>
    <w:rsid w:val="00FE63F6"/>
    <w:rsid w:val="00FE7C89"/>
    <w:rsid w:val="00FF4296"/>
    <w:rsid w:val="00FF4DD0"/>
    <w:rsid w:val="00FF5229"/>
    <w:rsid w:val="00FF59C8"/>
    <w:rsid w:val="00FF6705"/>
    <w:rsid w:val="00FF7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2615E"/>
  <w15:docId w15:val="{0F37ABE2-4DF4-4957-BAA1-B8125A82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D85"/>
  </w:style>
  <w:style w:type="paragraph" w:styleId="Titolo1">
    <w:name w:val="heading 1"/>
    <w:basedOn w:val="Normale"/>
    <w:next w:val="Normale"/>
    <w:link w:val="Titolo1Carattere"/>
    <w:uiPriority w:val="9"/>
    <w:qFormat/>
    <w:rsid w:val="0049266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 w:type="character" w:styleId="Collegamentoipertestuale">
    <w:name w:val="Hyperlink"/>
    <w:basedOn w:val="Carpredefinitoparagrafo"/>
    <w:uiPriority w:val="99"/>
    <w:unhideWhenUsed/>
    <w:rsid w:val="00E544CF"/>
    <w:rPr>
      <w:color w:val="0000FF" w:themeColor="hyperlink"/>
      <w:u w:val="single"/>
    </w:rPr>
  </w:style>
  <w:style w:type="paragraph" w:customStyle="1" w:styleId="Paragrafobase">
    <w:name w:val="[Paragrafo base]"/>
    <w:basedOn w:val="Normale"/>
    <w:uiPriority w:val="99"/>
    <w:rsid w:val="001C51E2"/>
    <w:pPr>
      <w:autoSpaceDE w:val="0"/>
      <w:autoSpaceDN w:val="0"/>
      <w:adjustRightInd w:val="0"/>
      <w:spacing w:after="0" w:line="240" w:lineRule="atLeast"/>
      <w:textAlignment w:val="center"/>
    </w:pPr>
    <w:rPr>
      <w:rFonts w:ascii="Calibri" w:hAnsi="Calibri" w:cs="Calibri"/>
      <w:color w:val="000000"/>
      <w:sz w:val="20"/>
      <w:szCs w:val="20"/>
    </w:rPr>
  </w:style>
  <w:style w:type="character" w:styleId="Enfasicorsivo">
    <w:name w:val="Emphasis"/>
    <w:basedOn w:val="Carpredefinitoparagrafo"/>
    <w:uiPriority w:val="20"/>
    <w:qFormat/>
    <w:rsid w:val="006805A5"/>
    <w:rPr>
      <w:i/>
      <w:iCs/>
    </w:rPr>
  </w:style>
  <w:style w:type="table" w:styleId="Grigliatabella">
    <w:name w:val="Table Grid"/>
    <w:basedOn w:val="Tabellanormale"/>
    <w:uiPriority w:val="39"/>
    <w:rsid w:val="0062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83539A"/>
    <w:pPr>
      <w:spacing w:after="0" w:line="36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4303BA"/>
    <w:rPr>
      <w:color w:val="800080" w:themeColor="followedHyperlink"/>
      <w:u w:val="single"/>
    </w:rPr>
  </w:style>
  <w:style w:type="character" w:styleId="Rimandonotaapidipagina">
    <w:name w:val="footnote reference"/>
    <w:uiPriority w:val="99"/>
    <w:semiHidden/>
    <w:rsid w:val="008F43E5"/>
    <w:rPr>
      <w:vertAlign w:val="superscript"/>
    </w:rPr>
  </w:style>
  <w:style w:type="paragraph" w:styleId="Testonotaapidipagina">
    <w:name w:val="footnote text"/>
    <w:basedOn w:val="Normale"/>
    <w:link w:val="TestonotaapidipaginaCarattere"/>
    <w:uiPriority w:val="99"/>
    <w:rsid w:val="008F43E5"/>
    <w:rPr>
      <w:rFonts w:eastAsiaTheme="minorEastAsia"/>
      <w:lang w:val="en-US" w:eastAsia="zh-CN"/>
    </w:rPr>
  </w:style>
  <w:style w:type="character" w:customStyle="1" w:styleId="TestonotaapidipaginaCarattere">
    <w:name w:val="Testo nota a piè di pagina Carattere"/>
    <w:basedOn w:val="Carpredefinitoparagrafo"/>
    <w:link w:val="Testonotaapidipagina"/>
    <w:uiPriority w:val="99"/>
    <w:rsid w:val="008F43E5"/>
    <w:rPr>
      <w:rFonts w:eastAsiaTheme="minorEastAsia"/>
      <w:lang w:val="en-US" w:eastAsia="zh-CN"/>
    </w:rPr>
  </w:style>
  <w:style w:type="paragraph" w:styleId="Testonormale">
    <w:name w:val="Plain Text"/>
    <w:basedOn w:val="Normale"/>
    <w:link w:val="TestonormaleCarattere"/>
    <w:uiPriority w:val="99"/>
    <w:unhideWhenUsed/>
    <w:rsid w:val="00151D12"/>
    <w:pPr>
      <w:spacing w:after="0" w:line="240" w:lineRule="auto"/>
    </w:pPr>
    <w:rPr>
      <w:rFonts w:ascii="Calibri" w:hAnsi="Calibri"/>
      <w:color w:val="1F497D" w:themeColor="text2"/>
      <w:szCs w:val="21"/>
    </w:rPr>
  </w:style>
  <w:style w:type="character" w:customStyle="1" w:styleId="TestonormaleCarattere">
    <w:name w:val="Testo normale Carattere"/>
    <w:basedOn w:val="Carpredefinitoparagrafo"/>
    <w:link w:val="Testonormale"/>
    <w:uiPriority w:val="99"/>
    <w:rsid w:val="00151D12"/>
    <w:rPr>
      <w:rFonts w:ascii="Calibri" w:hAnsi="Calibri"/>
      <w:color w:val="1F497D" w:themeColor="text2"/>
      <w:szCs w:val="21"/>
    </w:rPr>
  </w:style>
  <w:style w:type="character" w:customStyle="1" w:styleId="Titolo1Carattere">
    <w:name w:val="Titolo 1 Carattere"/>
    <w:basedOn w:val="Carpredefinitoparagrafo"/>
    <w:link w:val="Titolo1"/>
    <w:uiPriority w:val="9"/>
    <w:rsid w:val="00492663"/>
    <w:rPr>
      <w:rFonts w:asciiTheme="majorHAnsi" w:eastAsiaTheme="majorEastAsia" w:hAnsiTheme="majorHAnsi" w:cstheme="majorBidi"/>
      <w:b/>
      <w:bCs/>
      <w:color w:val="365F91" w:themeColor="accent1" w:themeShade="BF"/>
      <w:sz w:val="28"/>
      <w:szCs w:val="28"/>
      <w:lang w:val="en-US" w:eastAsia="zh-CN"/>
    </w:rPr>
  </w:style>
  <w:style w:type="paragraph" w:styleId="Intestazione">
    <w:name w:val="header"/>
    <w:basedOn w:val="Normale"/>
    <w:link w:val="IntestazioneCarattere"/>
    <w:uiPriority w:val="99"/>
    <w:unhideWhenUsed/>
    <w:rsid w:val="000F2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AE1"/>
  </w:style>
  <w:style w:type="paragraph" w:styleId="Pidipagina">
    <w:name w:val="footer"/>
    <w:basedOn w:val="Normale"/>
    <w:link w:val="PidipaginaCarattere"/>
    <w:uiPriority w:val="99"/>
    <w:unhideWhenUsed/>
    <w:rsid w:val="000F2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AE1"/>
  </w:style>
  <w:style w:type="character" w:customStyle="1" w:styleId="Menzionenonrisolta1">
    <w:name w:val="Menzione non risolta1"/>
    <w:basedOn w:val="Carpredefinitoparagrafo"/>
    <w:uiPriority w:val="99"/>
    <w:semiHidden/>
    <w:unhideWhenUsed/>
    <w:rsid w:val="009D75DE"/>
    <w:rPr>
      <w:color w:val="605E5C"/>
      <w:shd w:val="clear" w:color="auto" w:fill="E1DFDD"/>
    </w:rPr>
  </w:style>
  <w:style w:type="character" w:styleId="Enfasigrassetto">
    <w:name w:val="Strong"/>
    <w:basedOn w:val="Carpredefinitoparagrafo"/>
    <w:uiPriority w:val="22"/>
    <w:qFormat/>
    <w:rsid w:val="00C470B7"/>
    <w:rPr>
      <w:b/>
      <w:bCs/>
    </w:rPr>
  </w:style>
  <w:style w:type="character" w:customStyle="1" w:styleId="Menzionenonrisolta2">
    <w:name w:val="Menzione non risolta2"/>
    <w:basedOn w:val="Carpredefinitoparagrafo"/>
    <w:uiPriority w:val="99"/>
    <w:semiHidden/>
    <w:unhideWhenUsed/>
    <w:rsid w:val="006750E2"/>
    <w:rPr>
      <w:color w:val="605E5C"/>
      <w:shd w:val="clear" w:color="auto" w:fill="E1DFDD"/>
    </w:rPr>
  </w:style>
  <w:style w:type="character" w:customStyle="1" w:styleId="Menzionenonrisolta3">
    <w:name w:val="Menzione non risolta3"/>
    <w:basedOn w:val="Carpredefinitoparagrafo"/>
    <w:uiPriority w:val="99"/>
    <w:semiHidden/>
    <w:unhideWhenUsed/>
    <w:rsid w:val="00892826"/>
    <w:rPr>
      <w:color w:val="605E5C"/>
      <w:shd w:val="clear" w:color="auto" w:fill="E1DFDD"/>
    </w:rPr>
  </w:style>
  <w:style w:type="character" w:customStyle="1" w:styleId="Menzionenonrisolta4">
    <w:name w:val="Menzione non risolta4"/>
    <w:basedOn w:val="Carpredefinitoparagrafo"/>
    <w:uiPriority w:val="99"/>
    <w:semiHidden/>
    <w:unhideWhenUsed/>
    <w:rsid w:val="00AB07C4"/>
    <w:rPr>
      <w:color w:val="605E5C"/>
      <w:shd w:val="clear" w:color="auto" w:fill="E1DFDD"/>
    </w:rPr>
  </w:style>
  <w:style w:type="character" w:customStyle="1" w:styleId="Menzionenonrisolta5">
    <w:name w:val="Menzione non risolta5"/>
    <w:basedOn w:val="Carpredefinitoparagrafo"/>
    <w:uiPriority w:val="99"/>
    <w:semiHidden/>
    <w:unhideWhenUsed/>
    <w:rsid w:val="000073CA"/>
    <w:rPr>
      <w:color w:val="605E5C"/>
      <w:shd w:val="clear" w:color="auto" w:fill="E1DFDD"/>
    </w:rPr>
  </w:style>
  <w:style w:type="character" w:customStyle="1" w:styleId="Menzionenonrisolta6">
    <w:name w:val="Menzione non risolta6"/>
    <w:basedOn w:val="Carpredefinitoparagrafo"/>
    <w:uiPriority w:val="99"/>
    <w:semiHidden/>
    <w:unhideWhenUsed/>
    <w:rsid w:val="001C44CB"/>
    <w:rPr>
      <w:color w:val="605E5C"/>
      <w:shd w:val="clear" w:color="auto" w:fill="E1DFDD"/>
    </w:rPr>
  </w:style>
  <w:style w:type="character" w:customStyle="1" w:styleId="Menzionenonrisolta7">
    <w:name w:val="Menzione non risolta7"/>
    <w:basedOn w:val="Carpredefinitoparagrafo"/>
    <w:uiPriority w:val="99"/>
    <w:semiHidden/>
    <w:unhideWhenUsed/>
    <w:rsid w:val="002B043D"/>
    <w:rPr>
      <w:color w:val="605E5C"/>
      <w:shd w:val="clear" w:color="auto" w:fill="E1DFDD"/>
    </w:rPr>
  </w:style>
  <w:style w:type="character" w:customStyle="1" w:styleId="Menzionenonrisolta8">
    <w:name w:val="Menzione non risolta8"/>
    <w:basedOn w:val="Carpredefinitoparagrafo"/>
    <w:uiPriority w:val="99"/>
    <w:semiHidden/>
    <w:unhideWhenUsed/>
    <w:rsid w:val="0016576E"/>
    <w:rPr>
      <w:color w:val="605E5C"/>
      <w:shd w:val="clear" w:color="auto" w:fill="E1DFDD"/>
    </w:rPr>
  </w:style>
  <w:style w:type="character" w:customStyle="1" w:styleId="Menzionenonrisolta9">
    <w:name w:val="Menzione non risolta9"/>
    <w:basedOn w:val="Carpredefinitoparagrafo"/>
    <w:uiPriority w:val="99"/>
    <w:semiHidden/>
    <w:unhideWhenUsed/>
    <w:rsid w:val="006D0F95"/>
    <w:rPr>
      <w:color w:val="605E5C"/>
      <w:shd w:val="clear" w:color="auto" w:fill="E1DFDD"/>
    </w:rPr>
  </w:style>
  <w:style w:type="character" w:customStyle="1" w:styleId="Menzionenonrisolta10">
    <w:name w:val="Menzione non risolta10"/>
    <w:basedOn w:val="Carpredefinitoparagrafo"/>
    <w:uiPriority w:val="99"/>
    <w:semiHidden/>
    <w:unhideWhenUsed/>
    <w:rsid w:val="00F7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1210">
      <w:bodyDiv w:val="1"/>
      <w:marLeft w:val="0"/>
      <w:marRight w:val="0"/>
      <w:marTop w:val="0"/>
      <w:marBottom w:val="0"/>
      <w:divBdr>
        <w:top w:val="none" w:sz="0" w:space="0" w:color="auto"/>
        <w:left w:val="none" w:sz="0" w:space="0" w:color="auto"/>
        <w:bottom w:val="none" w:sz="0" w:space="0" w:color="auto"/>
        <w:right w:val="none" w:sz="0" w:space="0" w:color="auto"/>
      </w:divBdr>
    </w:div>
    <w:div w:id="442649804">
      <w:bodyDiv w:val="1"/>
      <w:marLeft w:val="0"/>
      <w:marRight w:val="0"/>
      <w:marTop w:val="0"/>
      <w:marBottom w:val="0"/>
      <w:divBdr>
        <w:top w:val="none" w:sz="0" w:space="0" w:color="auto"/>
        <w:left w:val="none" w:sz="0" w:space="0" w:color="auto"/>
        <w:bottom w:val="none" w:sz="0" w:space="0" w:color="auto"/>
        <w:right w:val="none" w:sz="0" w:space="0" w:color="auto"/>
      </w:divBdr>
    </w:div>
    <w:div w:id="693924277">
      <w:bodyDiv w:val="1"/>
      <w:marLeft w:val="0"/>
      <w:marRight w:val="0"/>
      <w:marTop w:val="0"/>
      <w:marBottom w:val="0"/>
      <w:divBdr>
        <w:top w:val="none" w:sz="0" w:space="0" w:color="auto"/>
        <w:left w:val="none" w:sz="0" w:space="0" w:color="auto"/>
        <w:bottom w:val="none" w:sz="0" w:space="0" w:color="auto"/>
        <w:right w:val="none" w:sz="0" w:space="0" w:color="auto"/>
      </w:divBdr>
    </w:div>
    <w:div w:id="886139636">
      <w:bodyDiv w:val="1"/>
      <w:marLeft w:val="0"/>
      <w:marRight w:val="0"/>
      <w:marTop w:val="0"/>
      <w:marBottom w:val="0"/>
      <w:divBdr>
        <w:top w:val="none" w:sz="0" w:space="0" w:color="auto"/>
        <w:left w:val="none" w:sz="0" w:space="0" w:color="auto"/>
        <w:bottom w:val="none" w:sz="0" w:space="0" w:color="auto"/>
        <w:right w:val="none" w:sz="0" w:space="0" w:color="auto"/>
      </w:divBdr>
    </w:div>
    <w:div w:id="1137601618">
      <w:bodyDiv w:val="1"/>
      <w:marLeft w:val="0"/>
      <w:marRight w:val="0"/>
      <w:marTop w:val="0"/>
      <w:marBottom w:val="0"/>
      <w:divBdr>
        <w:top w:val="none" w:sz="0" w:space="0" w:color="auto"/>
        <w:left w:val="none" w:sz="0" w:space="0" w:color="auto"/>
        <w:bottom w:val="none" w:sz="0" w:space="0" w:color="auto"/>
        <w:right w:val="none" w:sz="0" w:space="0" w:color="auto"/>
      </w:divBdr>
      <w:divsChild>
        <w:div w:id="349063361">
          <w:marLeft w:val="0"/>
          <w:marRight w:val="0"/>
          <w:marTop w:val="0"/>
          <w:marBottom w:val="0"/>
          <w:divBdr>
            <w:top w:val="none" w:sz="0" w:space="0" w:color="auto"/>
            <w:left w:val="none" w:sz="0" w:space="0" w:color="auto"/>
            <w:bottom w:val="none" w:sz="0" w:space="0" w:color="auto"/>
            <w:right w:val="none" w:sz="0" w:space="0" w:color="auto"/>
          </w:divBdr>
          <w:divsChild>
            <w:div w:id="1614824016">
              <w:marLeft w:val="0"/>
              <w:marRight w:val="0"/>
              <w:marTop w:val="0"/>
              <w:marBottom w:val="0"/>
              <w:divBdr>
                <w:top w:val="none" w:sz="0" w:space="0" w:color="auto"/>
                <w:left w:val="none" w:sz="0" w:space="0" w:color="auto"/>
                <w:bottom w:val="none" w:sz="0" w:space="0" w:color="auto"/>
                <w:right w:val="none" w:sz="0" w:space="0" w:color="auto"/>
              </w:divBdr>
              <w:divsChild>
                <w:div w:id="1348629791">
                  <w:marLeft w:val="0"/>
                  <w:marRight w:val="0"/>
                  <w:marTop w:val="0"/>
                  <w:marBottom w:val="0"/>
                  <w:divBdr>
                    <w:top w:val="none" w:sz="0" w:space="0" w:color="auto"/>
                    <w:left w:val="none" w:sz="0" w:space="0" w:color="auto"/>
                    <w:bottom w:val="none" w:sz="0" w:space="0" w:color="auto"/>
                    <w:right w:val="none" w:sz="0" w:space="0" w:color="auto"/>
                  </w:divBdr>
                  <w:divsChild>
                    <w:div w:id="833763180">
                      <w:marLeft w:val="0"/>
                      <w:marRight w:val="0"/>
                      <w:marTop w:val="0"/>
                      <w:marBottom w:val="0"/>
                      <w:divBdr>
                        <w:top w:val="none" w:sz="0" w:space="0" w:color="auto"/>
                        <w:left w:val="none" w:sz="0" w:space="0" w:color="auto"/>
                        <w:bottom w:val="none" w:sz="0" w:space="0" w:color="auto"/>
                        <w:right w:val="none" w:sz="0" w:space="0" w:color="auto"/>
                      </w:divBdr>
                      <w:divsChild>
                        <w:div w:id="81920195">
                          <w:marLeft w:val="-15"/>
                          <w:marRight w:val="0"/>
                          <w:marTop w:val="0"/>
                          <w:marBottom w:val="0"/>
                          <w:divBdr>
                            <w:top w:val="none" w:sz="0" w:space="0" w:color="auto"/>
                            <w:left w:val="none" w:sz="0" w:space="0" w:color="auto"/>
                            <w:bottom w:val="none" w:sz="0" w:space="0" w:color="auto"/>
                            <w:right w:val="none" w:sz="0" w:space="0" w:color="auto"/>
                          </w:divBdr>
                          <w:divsChild>
                            <w:div w:id="2004773859">
                              <w:marLeft w:val="0"/>
                              <w:marRight w:val="0"/>
                              <w:marTop w:val="0"/>
                              <w:marBottom w:val="0"/>
                              <w:divBdr>
                                <w:top w:val="none" w:sz="0" w:space="0" w:color="auto"/>
                                <w:left w:val="none" w:sz="0" w:space="0" w:color="auto"/>
                                <w:bottom w:val="none" w:sz="0" w:space="0" w:color="auto"/>
                                <w:right w:val="none" w:sz="0" w:space="0" w:color="auto"/>
                              </w:divBdr>
                              <w:divsChild>
                                <w:div w:id="1649166738">
                                  <w:marLeft w:val="0"/>
                                  <w:marRight w:val="-15"/>
                                  <w:marTop w:val="0"/>
                                  <w:marBottom w:val="0"/>
                                  <w:divBdr>
                                    <w:top w:val="none" w:sz="0" w:space="0" w:color="auto"/>
                                    <w:left w:val="none" w:sz="0" w:space="0" w:color="auto"/>
                                    <w:bottom w:val="none" w:sz="0" w:space="0" w:color="auto"/>
                                    <w:right w:val="none" w:sz="0" w:space="0" w:color="auto"/>
                                  </w:divBdr>
                                  <w:divsChild>
                                    <w:div w:id="2064676348">
                                      <w:marLeft w:val="0"/>
                                      <w:marRight w:val="0"/>
                                      <w:marTop w:val="0"/>
                                      <w:marBottom w:val="0"/>
                                      <w:divBdr>
                                        <w:top w:val="none" w:sz="0" w:space="0" w:color="auto"/>
                                        <w:left w:val="none" w:sz="0" w:space="0" w:color="auto"/>
                                        <w:bottom w:val="none" w:sz="0" w:space="0" w:color="auto"/>
                                        <w:right w:val="none" w:sz="0" w:space="0" w:color="auto"/>
                                      </w:divBdr>
                                      <w:divsChild>
                                        <w:div w:id="1511793286">
                                          <w:marLeft w:val="0"/>
                                          <w:marRight w:val="0"/>
                                          <w:marTop w:val="0"/>
                                          <w:marBottom w:val="0"/>
                                          <w:divBdr>
                                            <w:top w:val="none" w:sz="0" w:space="0" w:color="auto"/>
                                            <w:left w:val="none" w:sz="0" w:space="0" w:color="auto"/>
                                            <w:bottom w:val="none" w:sz="0" w:space="0" w:color="auto"/>
                                            <w:right w:val="none" w:sz="0" w:space="0" w:color="auto"/>
                                          </w:divBdr>
                                          <w:divsChild>
                                            <w:div w:id="869343593">
                                              <w:marLeft w:val="0"/>
                                              <w:marRight w:val="0"/>
                                              <w:marTop w:val="0"/>
                                              <w:marBottom w:val="0"/>
                                              <w:divBdr>
                                                <w:top w:val="none" w:sz="0" w:space="0" w:color="auto"/>
                                                <w:left w:val="none" w:sz="0" w:space="0" w:color="auto"/>
                                                <w:bottom w:val="none" w:sz="0" w:space="0" w:color="auto"/>
                                                <w:right w:val="none" w:sz="0" w:space="0" w:color="auto"/>
                                              </w:divBdr>
                                              <w:divsChild>
                                                <w:div w:id="1723747268">
                                                  <w:marLeft w:val="0"/>
                                                  <w:marRight w:val="0"/>
                                                  <w:marTop w:val="0"/>
                                                  <w:marBottom w:val="0"/>
                                                  <w:divBdr>
                                                    <w:top w:val="none" w:sz="0" w:space="0" w:color="auto"/>
                                                    <w:left w:val="none" w:sz="0" w:space="0" w:color="auto"/>
                                                    <w:bottom w:val="none" w:sz="0" w:space="0" w:color="auto"/>
                                                    <w:right w:val="none" w:sz="0" w:space="0" w:color="auto"/>
                                                  </w:divBdr>
                                                  <w:divsChild>
                                                    <w:div w:id="942802166">
                                                      <w:marLeft w:val="0"/>
                                                      <w:marRight w:val="0"/>
                                                      <w:marTop w:val="0"/>
                                                      <w:marBottom w:val="0"/>
                                                      <w:divBdr>
                                                        <w:top w:val="none" w:sz="0" w:space="0" w:color="auto"/>
                                                        <w:left w:val="none" w:sz="0" w:space="0" w:color="auto"/>
                                                        <w:bottom w:val="none" w:sz="0" w:space="0" w:color="auto"/>
                                                        <w:right w:val="none" w:sz="0" w:space="0" w:color="auto"/>
                                                      </w:divBdr>
                                                      <w:divsChild>
                                                        <w:div w:id="1791433988">
                                                          <w:marLeft w:val="0"/>
                                                          <w:marRight w:val="0"/>
                                                          <w:marTop w:val="0"/>
                                                          <w:marBottom w:val="0"/>
                                                          <w:divBdr>
                                                            <w:top w:val="none" w:sz="0" w:space="0" w:color="auto"/>
                                                            <w:left w:val="none" w:sz="0" w:space="0" w:color="auto"/>
                                                            <w:bottom w:val="none" w:sz="0" w:space="0" w:color="auto"/>
                                                            <w:right w:val="none" w:sz="0" w:space="0" w:color="auto"/>
                                                          </w:divBdr>
                                                          <w:divsChild>
                                                            <w:div w:id="859389749">
                                                              <w:marLeft w:val="0"/>
                                                              <w:marRight w:val="0"/>
                                                              <w:marTop w:val="0"/>
                                                              <w:marBottom w:val="0"/>
                                                              <w:divBdr>
                                                                <w:top w:val="none" w:sz="0" w:space="0" w:color="auto"/>
                                                                <w:left w:val="none" w:sz="0" w:space="0" w:color="auto"/>
                                                                <w:bottom w:val="none" w:sz="0" w:space="0" w:color="auto"/>
                                                                <w:right w:val="none" w:sz="0" w:space="0" w:color="auto"/>
                                                              </w:divBdr>
                                                              <w:divsChild>
                                                                <w:div w:id="606234189">
                                                                  <w:marLeft w:val="-270"/>
                                                                  <w:marRight w:val="0"/>
                                                                  <w:marTop w:val="0"/>
                                                                  <w:marBottom w:val="0"/>
                                                                  <w:divBdr>
                                                                    <w:top w:val="none" w:sz="0" w:space="0" w:color="auto"/>
                                                                    <w:left w:val="none" w:sz="0" w:space="0" w:color="auto"/>
                                                                    <w:bottom w:val="none" w:sz="0" w:space="0" w:color="auto"/>
                                                                    <w:right w:val="none" w:sz="0" w:space="0" w:color="auto"/>
                                                                  </w:divBdr>
                                                                  <w:divsChild>
                                                                    <w:div w:id="67700264">
                                                                      <w:marLeft w:val="0"/>
                                                                      <w:marRight w:val="0"/>
                                                                      <w:marTop w:val="0"/>
                                                                      <w:marBottom w:val="0"/>
                                                                      <w:divBdr>
                                                                        <w:top w:val="single" w:sz="6" w:space="0" w:color="E5E6E9"/>
                                                                        <w:left w:val="single" w:sz="6" w:space="0" w:color="DFE0E4"/>
                                                                        <w:bottom w:val="single" w:sz="6" w:space="0" w:color="D0D1D5"/>
                                                                        <w:right w:val="single" w:sz="6" w:space="0" w:color="DFE0E4"/>
                                                                      </w:divBdr>
                                                                      <w:divsChild>
                                                                        <w:div w:id="1544099575">
                                                                          <w:marLeft w:val="0"/>
                                                                          <w:marRight w:val="0"/>
                                                                          <w:marTop w:val="0"/>
                                                                          <w:marBottom w:val="0"/>
                                                                          <w:divBdr>
                                                                            <w:top w:val="none" w:sz="0" w:space="0" w:color="auto"/>
                                                                            <w:left w:val="none" w:sz="0" w:space="0" w:color="auto"/>
                                                                            <w:bottom w:val="none" w:sz="0" w:space="0" w:color="auto"/>
                                                                            <w:right w:val="none" w:sz="0" w:space="0" w:color="auto"/>
                                                                          </w:divBdr>
                                                                          <w:divsChild>
                                                                            <w:div w:id="67074452">
                                                                              <w:marLeft w:val="0"/>
                                                                              <w:marRight w:val="0"/>
                                                                              <w:marTop w:val="0"/>
                                                                              <w:marBottom w:val="0"/>
                                                                              <w:divBdr>
                                                                                <w:top w:val="none" w:sz="0" w:space="0" w:color="auto"/>
                                                                                <w:left w:val="none" w:sz="0" w:space="0" w:color="auto"/>
                                                                                <w:bottom w:val="none" w:sz="0" w:space="0" w:color="auto"/>
                                                                                <w:right w:val="none" w:sz="0" w:space="0" w:color="auto"/>
                                                                              </w:divBdr>
                                                                              <w:divsChild>
                                                                                <w:div w:id="645008722">
                                                                                  <w:marLeft w:val="0"/>
                                                                                  <w:marRight w:val="0"/>
                                                                                  <w:marTop w:val="0"/>
                                                                                  <w:marBottom w:val="0"/>
                                                                                  <w:divBdr>
                                                                                    <w:top w:val="none" w:sz="0" w:space="0" w:color="auto"/>
                                                                                    <w:left w:val="none" w:sz="0" w:space="0" w:color="auto"/>
                                                                                    <w:bottom w:val="none" w:sz="0" w:space="0" w:color="auto"/>
                                                                                    <w:right w:val="none" w:sz="0" w:space="0" w:color="auto"/>
                                                                                  </w:divBdr>
                                                                                  <w:divsChild>
                                                                                    <w:div w:id="813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22504">
      <w:bodyDiv w:val="1"/>
      <w:marLeft w:val="0"/>
      <w:marRight w:val="0"/>
      <w:marTop w:val="0"/>
      <w:marBottom w:val="0"/>
      <w:divBdr>
        <w:top w:val="none" w:sz="0" w:space="0" w:color="auto"/>
        <w:left w:val="none" w:sz="0" w:space="0" w:color="auto"/>
        <w:bottom w:val="none" w:sz="0" w:space="0" w:color="auto"/>
        <w:right w:val="none" w:sz="0" w:space="0" w:color="auto"/>
      </w:divBdr>
    </w:div>
    <w:div w:id="1560285340">
      <w:bodyDiv w:val="1"/>
      <w:marLeft w:val="0"/>
      <w:marRight w:val="0"/>
      <w:marTop w:val="0"/>
      <w:marBottom w:val="0"/>
      <w:divBdr>
        <w:top w:val="none" w:sz="0" w:space="0" w:color="auto"/>
        <w:left w:val="none" w:sz="0" w:space="0" w:color="auto"/>
        <w:bottom w:val="none" w:sz="0" w:space="0" w:color="auto"/>
        <w:right w:val="none" w:sz="0" w:space="0" w:color="auto"/>
      </w:divBdr>
    </w:div>
    <w:div w:id="1678313873">
      <w:bodyDiv w:val="1"/>
      <w:marLeft w:val="0"/>
      <w:marRight w:val="0"/>
      <w:marTop w:val="0"/>
      <w:marBottom w:val="0"/>
      <w:divBdr>
        <w:top w:val="none" w:sz="0" w:space="0" w:color="auto"/>
        <w:left w:val="none" w:sz="0" w:space="0" w:color="auto"/>
        <w:bottom w:val="none" w:sz="0" w:space="0" w:color="auto"/>
        <w:right w:val="none" w:sz="0" w:space="0" w:color="auto"/>
      </w:divBdr>
    </w:div>
    <w:div w:id="1986278593">
      <w:bodyDiv w:val="1"/>
      <w:marLeft w:val="0"/>
      <w:marRight w:val="0"/>
      <w:marTop w:val="0"/>
      <w:marBottom w:val="0"/>
      <w:divBdr>
        <w:top w:val="none" w:sz="0" w:space="0" w:color="auto"/>
        <w:left w:val="none" w:sz="0" w:space="0" w:color="auto"/>
        <w:bottom w:val="none" w:sz="0" w:space="0" w:color="auto"/>
        <w:right w:val="none" w:sz="0" w:space="0" w:color="auto"/>
      </w:divBdr>
    </w:div>
    <w:div w:id="2134054401">
      <w:bodyDiv w:val="1"/>
      <w:marLeft w:val="0"/>
      <w:marRight w:val="0"/>
      <w:marTop w:val="0"/>
      <w:marBottom w:val="0"/>
      <w:divBdr>
        <w:top w:val="none" w:sz="0" w:space="0" w:color="auto"/>
        <w:left w:val="none" w:sz="0" w:space="0" w:color="auto"/>
        <w:bottom w:val="none" w:sz="0" w:space="0" w:color="auto"/>
        <w:right w:val="none" w:sz="0" w:space="0" w:color="auto"/>
      </w:divBdr>
      <w:divsChild>
        <w:div w:id="1230388191">
          <w:marLeft w:val="0"/>
          <w:marRight w:val="0"/>
          <w:marTop w:val="0"/>
          <w:marBottom w:val="0"/>
          <w:divBdr>
            <w:top w:val="none" w:sz="0" w:space="0" w:color="auto"/>
            <w:left w:val="none" w:sz="0" w:space="0" w:color="auto"/>
            <w:bottom w:val="none" w:sz="0" w:space="0" w:color="auto"/>
            <w:right w:val="none" w:sz="0" w:space="0" w:color="auto"/>
          </w:divBdr>
          <w:divsChild>
            <w:div w:id="1641307635">
              <w:marLeft w:val="0"/>
              <w:marRight w:val="0"/>
              <w:marTop w:val="0"/>
              <w:marBottom w:val="0"/>
              <w:divBdr>
                <w:top w:val="none" w:sz="0" w:space="0" w:color="auto"/>
                <w:left w:val="none" w:sz="0" w:space="0" w:color="auto"/>
                <w:bottom w:val="none" w:sz="0" w:space="0" w:color="auto"/>
                <w:right w:val="none" w:sz="0" w:space="0" w:color="auto"/>
              </w:divBdr>
              <w:divsChild>
                <w:div w:id="1517813869">
                  <w:marLeft w:val="0"/>
                  <w:marRight w:val="0"/>
                  <w:marTop w:val="0"/>
                  <w:marBottom w:val="300"/>
                  <w:divBdr>
                    <w:top w:val="none" w:sz="0" w:space="0" w:color="auto"/>
                    <w:left w:val="none" w:sz="0" w:space="0" w:color="auto"/>
                    <w:bottom w:val="none" w:sz="0" w:space="0" w:color="auto"/>
                    <w:right w:val="none" w:sz="0" w:space="0" w:color="auto"/>
                  </w:divBdr>
                  <w:divsChild>
                    <w:div w:id="1551378754">
                      <w:marLeft w:val="0"/>
                      <w:marRight w:val="0"/>
                      <w:marTop w:val="0"/>
                      <w:marBottom w:val="0"/>
                      <w:divBdr>
                        <w:top w:val="none" w:sz="0" w:space="0" w:color="auto"/>
                        <w:left w:val="none" w:sz="0" w:space="0" w:color="auto"/>
                        <w:bottom w:val="none" w:sz="0" w:space="0" w:color="auto"/>
                        <w:right w:val="none" w:sz="0" w:space="0" w:color="auto"/>
                      </w:divBdr>
                      <w:divsChild>
                        <w:div w:id="133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farieuropei.gov.it/media/7411/iv_relazione_al_parlamento_sezi.pdf?timeStamp=1713631541098" TargetMode="External"/><Relationship Id="rId13" Type="http://schemas.openxmlformats.org/officeDocument/2006/relationships/hyperlink" Target="https://commission.europa.eu/system/files/2023-11/COM_2023_765_1_EN_annexe_proposition_cp_part1_v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farieuropei.gov.it/media/7411/iv_relazione_al_parlamento_sezi.pdf?timeStamp=17136315410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t/qZ7lz8G2FfYSBzW4" TargetMode="External"/><Relationship Id="rId5" Type="http://schemas.openxmlformats.org/officeDocument/2006/relationships/webSettings" Target="webSettings.xml"/><Relationship Id="rId15" Type="http://schemas.openxmlformats.org/officeDocument/2006/relationships/hyperlink" Target="mailto:ufficio.stampa@gimbe.org" TargetMode="External"/><Relationship Id="rId10" Type="http://schemas.openxmlformats.org/officeDocument/2006/relationships/hyperlink" Target="https://www.trovanorme.salute.gov.it/norme/renderNormsanPdf?anno=2023&amp;codLeg=94033&amp;parte=1%20&amp;serie=nu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nrr.salute.gov.it/" TargetMode="External"/><Relationship Id="rId14" Type="http://schemas.openxmlformats.org/officeDocument/2006/relationships/hyperlink" Target="https://www.trovanorme.salute.gov.it/norme/renderNormsanPdf?anno=2021&amp;codLeg=86901&amp;parte=1%20&amp;serie=nu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90C4-82B6-4121-8D7D-082D231E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2090</Words>
  <Characters>11916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dc:creator>
  <cp:lastModifiedBy>Roberto Luceri</cp:lastModifiedBy>
  <cp:revision>7</cp:revision>
  <cp:lastPrinted>2024-04-29T14:18:00Z</cp:lastPrinted>
  <dcterms:created xsi:type="dcterms:W3CDTF">2024-04-29T14:25:00Z</dcterms:created>
  <dcterms:modified xsi:type="dcterms:W3CDTF">2024-04-30T07:41:00Z</dcterms:modified>
</cp:coreProperties>
</file>