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828B" w14:textId="77777777" w:rsidR="00EC7A99" w:rsidRDefault="00815D37" w:rsidP="00EC7A99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0274E857" w14:textId="637C2A56" w:rsidR="00853F5B" w:rsidRPr="00B457AA" w:rsidRDefault="00557DF4" w:rsidP="00961FD4">
      <w:pPr>
        <w:jc w:val="center"/>
        <w:rPr>
          <w:b/>
          <w:bCs/>
          <w:sz w:val="36"/>
          <w:szCs w:val="36"/>
        </w:rPr>
      </w:pPr>
      <w:bookmarkStart w:id="0" w:name="_Hlk156912660"/>
      <w:r>
        <w:rPr>
          <w:b/>
          <w:bCs/>
          <w:sz w:val="36"/>
          <w:szCs w:val="36"/>
        </w:rPr>
        <w:t>PNRR</w:t>
      </w:r>
      <w:r w:rsidRPr="00961FD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</w:t>
      </w:r>
      <w:r w:rsidRPr="00961FD4">
        <w:rPr>
          <w:b/>
          <w:bCs/>
          <w:sz w:val="36"/>
          <w:szCs w:val="36"/>
        </w:rPr>
        <w:t xml:space="preserve">issione </w:t>
      </w:r>
      <w:r>
        <w:rPr>
          <w:b/>
          <w:bCs/>
          <w:sz w:val="36"/>
          <w:szCs w:val="36"/>
        </w:rPr>
        <w:t>S</w:t>
      </w:r>
      <w:r w:rsidRPr="00961FD4">
        <w:rPr>
          <w:b/>
          <w:bCs/>
          <w:sz w:val="36"/>
          <w:szCs w:val="36"/>
        </w:rPr>
        <w:t>alute: al 4° trimestre 2023</w:t>
      </w:r>
      <w:r>
        <w:rPr>
          <w:b/>
          <w:bCs/>
          <w:sz w:val="36"/>
          <w:szCs w:val="36"/>
        </w:rPr>
        <w:br/>
      </w:r>
      <w:r w:rsidRPr="00961FD4">
        <w:rPr>
          <w:b/>
          <w:bCs/>
          <w:sz w:val="36"/>
          <w:szCs w:val="36"/>
        </w:rPr>
        <w:t>rispettate tutte le scadenze europee.</w:t>
      </w:r>
      <w:r>
        <w:rPr>
          <w:b/>
          <w:bCs/>
          <w:sz w:val="36"/>
          <w:szCs w:val="36"/>
        </w:rPr>
        <w:br/>
      </w:r>
      <w:r w:rsidRPr="00961FD4">
        <w:rPr>
          <w:b/>
          <w:bCs/>
          <w:sz w:val="36"/>
          <w:szCs w:val="36"/>
        </w:rPr>
        <w:t>Centro-</w:t>
      </w:r>
      <w:r>
        <w:rPr>
          <w:b/>
          <w:bCs/>
          <w:sz w:val="36"/>
          <w:szCs w:val="36"/>
        </w:rPr>
        <w:t>S</w:t>
      </w:r>
      <w:r w:rsidRPr="00961FD4">
        <w:rPr>
          <w:b/>
          <w:bCs/>
          <w:sz w:val="36"/>
          <w:szCs w:val="36"/>
        </w:rPr>
        <w:t xml:space="preserve">ud in </w:t>
      </w:r>
      <w:r>
        <w:rPr>
          <w:b/>
          <w:bCs/>
          <w:sz w:val="36"/>
          <w:szCs w:val="36"/>
        </w:rPr>
        <w:t>preoccupante</w:t>
      </w:r>
      <w:r w:rsidRPr="00961FD4">
        <w:rPr>
          <w:b/>
          <w:bCs/>
          <w:sz w:val="36"/>
          <w:szCs w:val="36"/>
        </w:rPr>
        <w:t xml:space="preserve"> ritardo su assistenza domiciliare. </w:t>
      </w:r>
      <w:r>
        <w:rPr>
          <w:b/>
          <w:bCs/>
          <w:sz w:val="36"/>
          <w:szCs w:val="36"/>
        </w:rPr>
        <w:br/>
      </w:r>
      <w:r w:rsidRPr="00961FD4">
        <w:rPr>
          <w:b/>
          <w:bCs/>
          <w:sz w:val="36"/>
          <w:szCs w:val="36"/>
        </w:rPr>
        <w:t xml:space="preserve">Ostacoli all’orizzonte: grave carenza infermieri, ruolo dei medici di famiglia e gap </w:t>
      </w:r>
      <w:r>
        <w:rPr>
          <w:b/>
          <w:bCs/>
          <w:sz w:val="36"/>
          <w:szCs w:val="36"/>
        </w:rPr>
        <w:t>N</w:t>
      </w:r>
      <w:r w:rsidRPr="00961FD4">
        <w:rPr>
          <w:b/>
          <w:bCs/>
          <w:sz w:val="36"/>
          <w:szCs w:val="36"/>
        </w:rPr>
        <w:t>ord-</w:t>
      </w:r>
      <w:r>
        <w:rPr>
          <w:b/>
          <w:bCs/>
          <w:sz w:val="36"/>
          <w:szCs w:val="36"/>
        </w:rPr>
        <w:t>S</w:t>
      </w:r>
      <w:r w:rsidRPr="00961FD4">
        <w:rPr>
          <w:b/>
          <w:bCs/>
          <w:sz w:val="36"/>
          <w:szCs w:val="36"/>
        </w:rPr>
        <w:t>ud.</w:t>
      </w:r>
      <w:r>
        <w:rPr>
          <w:b/>
          <w:bCs/>
          <w:sz w:val="36"/>
          <w:szCs w:val="36"/>
        </w:rPr>
        <w:br/>
      </w:r>
      <w:proofErr w:type="spellStart"/>
      <w:r w:rsidRPr="00961FD4">
        <w:rPr>
          <w:b/>
          <w:bCs/>
          <w:sz w:val="36"/>
          <w:szCs w:val="36"/>
        </w:rPr>
        <w:t>Dd</w:t>
      </w:r>
      <w:r>
        <w:rPr>
          <w:b/>
          <w:bCs/>
          <w:sz w:val="36"/>
          <w:szCs w:val="36"/>
        </w:rPr>
        <w:t>L</w:t>
      </w:r>
      <w:proofErr w:type="spellEnd"/>
      <w:r w:rsidRPr="00961FD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</w:t>
      </w:r>
      <w:r w:rsidRPr="00961FD4">
        <w:rPr>
          <w:b/>
          <w:bCs/>
          <w:sz w:val="36"/>
          <w:szCs w:val="36"/>
        </w:rPr>
        <w:t xml:space="preserve">alderoli in direzione opposta all’obiettivo </w:t>
      </w:r>
      <w:r>
        <w:rPr>
          <w:b/>
          <w:bCs/>
          <w:sz w:val="36"/>
          <w:szCs w:val="36"/>
        </w:rPr>
        <w:t xml:space="preserve">del </w:t>
      </w:r>
      <w:proofErr w:type="spellStart"/>
      <w:r>
        <w:rPr>
          <w:b/>
          <w:bCs/>
          <w:sz w:val="36"/>
          <w:szCs w:val="36"/>
        </w:rPr>
        <w:t>PNRR</w:t>
      </w:r>
      <w:proofErr w:type="spellEnd"/>
      <w:r w:rsidRPr="00961FD4">
        <w:rPr>
          <w:b/>
          <w:bCs/>
          <w:sz w:val="36"/>
          <w:szCs w:val="36"/>
        </w:rPr>
        <w:t xml:space="preserve"> di ridurre le diseguaglianze</w:t>
      </w:r>
    </w:p>
    <w:bookmarkEnd w:id="0"/>
    <w:p w14:paraId="5A01FCEA" w14:textId="77777777" w:rsidR="00815D37" w:rsidRDefault="00962B91" w:rsidP="00815D3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D14046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815D3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gennaio </w:t>
      </w:r>
      <w:r w:rsidR="00815D37">
        <w:rPr>
          <w:rFonts w:ascii="Calibri" w:eastAsia="Calibri" w:hAnsi="Calibri" w:cs="Times New Roman"/>
          <w:b/>
          <w:bCs/>
          <w:sz w:val="24"/>
          <w:szCs w:val="24"/>
        </w:rPr>
        <w:t>202</w:t>
      </w: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815D37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815D37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37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19507667" w14:textId="77777777" w:rsidR="003A35AF" w:rsidRPr="006600BA" w:rsidRDefault="003A35AF" w:rsidP="003A35AF">
      <w:pPr>
        <w:jc w:val="both"/>
      </w:pPr>
      <w:r w:rsidRPr="006600BA">
        <w:t>«</w:t>
      </w:r>
      <w:r w:rsidR="005B24AF">
        <w:t>N</w:t>
      </w:r>
      <w:r w:rsidR="005B24AF" w:rsidRPr="006600BA">
        <w:t xml:space="preserve">ell’ambito </w:t>
      </w:r>
      <w:r w:rsidRPr="006600BA">
        <w:t xml:space="preserve">delle attività del nostro Osservatorio sul Servizio Sanitario Nazionale </w:t>
      </w:r>
      <w:r w:rsidR="005B24AF" w:rsidRPr="006600BA">
        <w:t xml:space="preserve">– dichiara Nino Cartabellotta, Presidente della Fondazione GIMBE – </w:t>
      </w:r>
      <w:r w:rsidR="00962B91">
        <w:t xml:space="preserve">nel 2023 </w:t>
      </w:r>
      <w:r w:rsidRPr="006600BA">
        <w:t xml:space="preserve">abbiamo </w:t>
      </w:r>
      <w:r w:rsidR="0020319A">
        <w:t xml:space="preserve">avviato il </w:t>
      </w:r>
      <w:r w:rsidRPr="006600BA">
        <w:t>monitoraggio indipendente dello status di avanzamento della Missione Salute del PNRR</w:t>
      </w:r>
      <w:r w:rsidR="005B24AF">
        <w:t>, a</w:t>
      </w:r>
      <w:r w:rsidR="005B24AF" w:rsidRPr="006600BA">
        <w:t>l fine di fornire un quadro oggettivo</w:t>
      </w:r>
      <w:r w:rsidR="002D62AC">
        <w:t xml:space="preserve"> sui risultati raggiunti</w:t>
      </w:r>
      <w:r w:rsidR="005B24AF" w:rsidRPr="006600BA">
        <w:t>, di informare i cittadini ed evitare strumentalizzazioni politiche</w:t>
      </w:r>
      <w:r w:rsidRPr="006600BA">
        <w:t>».</w:t>
      </w:r>
    </w:p>
    <w:p w14:paraId="3EDB0C49" w14:textId="77777777" w:rsidR="00566963" w:rsidRDefault="00566963" w:rsidP="00BD2C2E">
      <w:pPr>
        <w:jc w:val="both"/>
        <w:rPr>
          <w:rFonts w:cstheme="minorHAnsi"/>
          <w:b/>
          <w:bCs/>
        </w:rPr>
      </w:pPr>
      <w:r w:rsidRPr="00566963">
        <w:rPr>
          <w:rFonts w:cstheme="minorHAnsi"/>
          <w:b/>
          <w:bCs/>
        </w:rPr>
        <w:t>STATO DI AVANZAMENTO</w:t>
      </w:r>
      <w:r w:rsidR="0020319A">
        <w:rPr>
          <w:rFonts w:cstheme="minorHAnsi"/>
          <w:b/>
          <w:bCs/>
        </w:rPr>
        <w:t xml:space="preserve"> AL 3</w:t>
      </w:r>
      <w:r w:rsidR="00450B02">
        <w:rPr>
          <w:rFonts w:cstheme="minorHAnsi"/>
          <w:b/>
          <w:bCs/>
        </w:rPr>
        <w:t>1</w:t>
      </w:r>
      <w:r w:rsidR="0020319A">
        <w:rPr>
          <w:rFonts w:cstheme="minorHAnsi"/>
          <w:b/>
          <w:bCs/>
        </w:rPr>
        <w:t xml:space="preserve"> </w:t>
      </w:r>
      <w:r w:rsidR="00450B02">
        <w:rPr>
          <w:rFonts w:cstheme="minorHAnsi"/>
          <w:b/>
          <w:bCs/>
        </w:rPr>
        <w:t xml:space="preserve">DICEMBRE </w:t>
      </w:r>
      <w:r w:rsidR="0020319A">
        <w:rPr>
          <w:rFonts w:cstheme="minorHAnsi"/>
          <w:b/>
          <w:bCs/>
        </w:rPr>
        <w:t>2023</w:t>
      </w:r>
      <w:bookmarkStart w:id="1" w:name="_GoBack"/>
      <w:bookmarkEnd w:id="1"/>
    </w:p>
    <w:p w14:paraId="74730F34" w14:textId="1DDAA8A0" w:rsidR="009A76B2" w:rsidRDefault="004261F6" w:rsidP="00CB2567">
      <w:pPr>
        <w:jc w:val="both"/>
        <w:rPr>
          <w:rFonts w:cstheme="minorHAnsi"/>
        </w:rPr>
      </w:pPr>
      <w:r w:rsidRPr="004261F6">
        <w:rPr>
          <w:rFonts w:cstheme="minorHAnsi"/>
          <w:b/>
          <w:bCs/>
        </w:rPr>
        <w:t>Monitoraggio del Ministero della Salute</w:t>
      </w:r>
      <w:r>
        <w:rPr>
          <w:rFonts w:cstheme="minorHAnsi"/>
        </w:rPr>
        <w:t xml:space="preserve">. </w:t>
      </w:r>
      <w:r w:rsidR="00ED6E07" w:rsidRPr="00ED6E07">
        <w:rPr>
          <w:rFonts w:cstheme="minorHAnsi"/>
        </w:rPr>
        <w:t xml:space="preserve">Secondo </w:t>
      </w:r>
      <w:r w:rsidR="005B24AF">
        <w:rPr>
          <w:rFonts w:cstheme="minorHAnsi"/>
        </w:rPr>
        <w:t>i dati</w:t>
      </w:r>
      <w:r w:rsidR="00ED6E07">
        <w:rPr>
          <w:rFonts w:cstheme="minorHAnsi"/>
        </w:rPr>
        <w:t xml:space="preserve"> </w:t>
      </w:r>
      <w:r w:rsidR="005B24AF">
        <w:rPr>
          <w:rFonts w:cstheme="minorHAnsi"/>
        </w:rPr>
        <w:t xml:space="preserve">resi pubblici </w:t>
      </w:r>
      <w:r w:rsidR="00ED6E07">
        <w:rPr>
          <w:rFonts w:cstheme="minorHAnsi"/>
        </w:rPr>
        <w:t>il 2</w:t>
      </w:r>
      <w:r w:rsidR="0095138D">
        <w:rPr>
          <w:rFonts w:cstheme="minorHAnsi"/>
        </w:rPr>
        <w:t>3</w:t>
      </w:r>
      <w:r w:rsidR="00B76CDD">
        <w:rPr>
          <w:rFonts w:cstheme="minorHAnsi"/>
        </w:rPr>
        <w:t xml:space="preserve"> gennaio</w:t>
      </w:r>
      <w:r w:rsidR="00CB2567">
        <w:rPr>
          <w:rFonts w:cstheme="minorHAnsi"/>
        </w:rPr>
        <w:t xml:space="preserve"> 202</w:t>
      </w:r>
      <w:r w:rsidR="00B76CDD">
        <w:rPr>
          <w:rFonts w:cstheme="minorHAnsi"/>
        </w:rPr>
        <w:t>4</w:t>
      </w:r>
      <w:r w:rsidR="005B24AF">
        <w:rPr>
          <w:rFonts w:cstheme="minorHAnsi"/>
        </w:rPr>
        <w:t xml:space="preserve"> sul </w:t>
      </w:r>
      <w:hyperlink r:id="rId8" w:history="1">
        <w:r w:rsidR="00ED6E07" w:rsidRPr="00961FD4">
          <w:rPr>
            <w:rStyle w:val="Collegamentoipertestuale"/>
            <w:rFonts w:cstheme="minorHAnsi"/>
          </w:rPr>
          <w:t>portale del Ministero della Salute</w:t>
        </w:r>
      </w:hyperlink>
      <w:r w:rsidR="00ED6E07" w:rsidRPr="00ED6E07">
        <w:rPr>
          <w:rFonts w:cstheme="minorHAnsi"/>
        </w:rPr>
        <w:t xml:space="preserve"> che monitora lo stato di attuazione della Missione Salute del PNRR:</w:t>
      </w:r>
    </w:p>
    <w:p w14:paraId="7D1B310D" w14:textId="0BC1C7A6" w:rsidR="00335E0B" w:rsidRDefault="00ED6E07" w:rsidP="00335E0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cstheme="minorHAnsi"/>
        </w:rPr>
      </w:pPr>
      <w:r w:rsidRPr="0020319A">
        <w:rPr>
          <w:rFonts w:cstheme="minorHAnsi"/>
          <w:b/>
          <w:bCs/>
        </w:rPr>
        <w:t xml:space="preserve">Milestone e target </w:t>
      </w:r>
      <w:r w:rsidR="008F7EF5" w:rsidRPr="0020319A">
        <w:rPr>
          <w:rFonts w:cstheme="minorHAnsi"/>
          <w:b/>
          <w:bCs/>
        </w:rPr>
        <w:t>europei</w:t>
      </w:r>
      <w:r w:rsidRPr="00ED6E07">
        <w:rPr>
          <w:rFonts w:cstheme="minorHAnsi"/>
        </w:rPr>
        <w:t xml:space="preserve">: </w:t>
      </w:r>
      <w:r w:rsidR="002B043D">
        <w:rPr>
          <w:rFonts w:cstheme="minorHAnsi"/>
        </w:rPr>
        <w:t>con il raggiungimento del target “</w:t>
      </w:r>
      <w:hyperlink r:id="rId9" w:history="1">
        <w:r w:rsidR="002B043D" w:rsidRPr="002B043D">
          <w:rPr>
            <w:rStyle w:val="Collegamentoipertestuale"/>
            <w:rFonts w:cstheme="minorHAnsi"/>
          </w:rPr>
          <w:t>Almeno un progetto di telemedicina in ogni Regione</w:t>
        </w:r>
      </w:hyperlink>
      <w:r w:rsidR="002B043D">
        <w:rPr>
          <w:rFonts w:cstheme="minorHAnsi"/>
        </w:rPr>
        <w:t xml:space="preserve">”, </w:t>
      </w:r>
      <w:r>
        <w:rPr>
          <w:rFonts w:cstheme="minorHAnsi"/>
        </w:rPr>
        <w:t>sono stat</w:t>
      </w:r>
      <w:r w:rsidR="002B043D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5835E1">
        <w:rPr>
          <w:rFonts w:cstheme="minorHAnsi"/>
        </w:rPr>
        <w:t>rispettate</w:t>
      </w:r>
      <w:r w:rsidR="005835E1" w:rsidRPr="00ED6E07">
        <w:rPr>
          <w:rFonts w:cstheme="minorHAnsi"/>
        </w:rPr>
        <w:t xml:space="preserve"> </w:t>
      </w:r>
      <w:r w:rsidR="002B043D">
        <w:rPr>
          <w:rFonts w:cstheme="minorHAnsi"/>
        </w:rPr>
        <w:t xml:space="preserve">tutte </w:t>
      </w:r>
      <w:r w:rsidRPr="00ED6E07">
        <w:rPr>
          <w:rFonts w:cstheme="minorHAnsi"/>
        </w:rPr>
        <w:t>le scadenze fissate</w:t>
      </w:r>
      <w:r>
        <w:rPr>
          <w:rFonts w:cstheme="minorHAnsi"/>
        </w:rPr>
        <w:t xml:space="preserve"> per gli anni 2021-2023</w:t>
      </w:r>
      <w:r w:rsidRPr="00ED6E07">
        <w:rPr>
          <w:rFonts w:cstheme="minorHAnsi"/>
        </w:rPr>
        <w:t>.</w:t>
      </w:r>
      <w:r w:rsidR="00ED1E58">
        <w:rPr>
          <w:rFonts w:cstheme="minorHAnsi"/>
        </w:rPr>
        <w:t xml:space="preserve"> </w:t>
      </w:r>
    </w:p>
    <w:p w14:paraId="1735C6F9" w14:textId="51D2B7E2" w:rsidR="00FD0D5E" w:rsidRDefault="00ED6E07" w:rsidP="00566963">
      <w:pPr>
        <w:pStyle w:val="Paragrafoelenco"/>
        <w:numPr>
          <w:ilvl w:val="0"/>
          <w:numId w:val="38"/>
        </w:numPr>
        <w:spacing w:line="276" w:lineRule="auto"/>
        <w:jc w:val="both"/>
        <w:rPr>
          <w:rFonts w:cstheme="minorHAnsi"/>
        </w:rPr>
      </w:pPr>
      <w:r w:rsidRPr="00335E0B">
        <w:rPr>
          <w:rFonts w:cstheme="minorHAnsi"/>
          <w:b/>
          <w:bCs/>
        </w:rPr>
        <w:t xml:space="preserve">Milestone e target </w:t>
      </w:r>
      <w:r w:rsidR="0020319A" w:rsidRPr="00335E0B">
        <w:rPr>
          <w:rFonts w:cstheme="minorHAnsi"/>
          <w:b/>
          <w:bCs/>
        </w:rPr>
        <w:t>nazionali</w:t>
      </w:r>
      <w:r w:rsidRPr="00335E0B">
        <w:rPr>
          <w:rFonts w:cstheme="minorHAnsi"/>
        </w:rPr>
        <w:t xml:space="preserve">: </w:t>
      </w:r>
      <w:r w:rsidR="00A22325" w:rsidRPr="00335E0B">
        <w:rPr>
          <w:rFonts w:cstheme="minorHAnsi"/>
        </w:rPr>
        <w:t>«</w:t>
      </w:r>
      <w:r w:rsidR="00A22325">
        <w:rPr>
          <w:rFonts w:cstheme="minorHAnsi"/>
        </w:rPr>
        <w:t>T</w:t>
      </w:r>
      <w:r w:rsidR="00A22325" w:rsidRPr="00335E0B">
        <w:rPr>
          <w:rFonts w:cstheme="minorHAnsi"/>
        </w:rPr>
        <w:t xml:space="preserve">raguardi e obiettivi nazionali </w:t>
      </w:r>
      <w:r w:rsidR="00A22325" w:rsidRPr="006600BA">
        <w:t>–</w:t>
      </w:r>
      <w:r w:rsidR="00A22325" w:rsidRPr="00335E0B">
        <w:rPr>
          <w:rFonts w:cstheme="minorHAnsi"/>
        </w:rPr>
        <w:t xml:space="preserve"> </w:t>
      </w:r>
      <w:r w:rsidR="00A22325">
        <w:rPr>
          <w:rFonts w:cstheme="minorHAnsi"/>
        </w:rPr>
        <w:t>spiega</w:t>
      </w:r>
      <w:r w:rsidR="00A22325" w:rsidRPr="00335E0B">
        <w:rPr>
          <w:rFonts w:cstheme="minorHAnsi"/>
        </w:rPr>
        <w:t xml:space="preserve"> Cartabellotta </w:t>
      </w:r>
      <w:r w:rsidR="00A22325" w:rsidRPr="006600BA">
        <w:t>–</w:t>
      </w:r>
      <w:r w:rsidR="005359DB">
        <w:t xml:space="preserve"> </w:t>
      </w:r>
      <w:r w:rsidR="00A22325">
        <w:rPr>
          <w:rFonts w:cstheme="minorHAnsi"/>
        </w:rPr>
        <w:t>sono</w:t>
      </w:r>
      <w:r w:rsidR="00A22325" w:rsidRPr="00335E0B">
        <w:rPr>
          <w:rFonts w:cstheme="minorHAnsi"/>
        </w:rPr>
        <w:t xml:space="preserve"> step intermedi che non condizionano l’erogazione dei fondi da parte dell’Europa, ma </w:t>
      </w:r>
      <w:r w:rsidR="00A22325">
        <w:rPr>
          <w:rFonts w:cstheme="minorHAnsi"/>
        </w:rPr>
        <w:t xml:space="preserve">che richiedono un attento </w:t>
      </w:r>
      <w:r w:rsidR="00A22325" w:rsidRPr="00335E0B">
        <w:rPr>
          <w:rFonts w:cstheme="minorHAnsi"/>
        </w:rPr>
        <w:t>monitora</w:t>
      </w:r>
      <w:r w:rsidR="00A22325">
        <w:rPr>
          <w:rFonts w:cstheme="minorHAnsi"/>
        </w:rPr>
        <w:t>ggio</w:t>
      </w:r>
      <w:r w:rsidR="00A22325" w:rsidRPr="00335E0B">
        <w:rPr>
          <w:rFonts w:cstheme="minorHAnsi"/>
        </w:rPr>
        <w:t xml:space="preserve"> perché potrebbero compromettere le correlate scadenze europee».</w:t>
      </w:r>
      <w:r w:rsidR="00A22325">
        <w:rPr>
          <w:rFonts w:cstheme="minorHAnsi"/>
        </w:rPr>
        <w:t xml:space="preserve"> S</w:t>
      </w:r>
      <w:r w:rsidRPr="00335E0B">
        <w:rPr>
          <w:rFonts w:cstheme="minorHAnsi"/>
        </w:rPr>
        <w:t xml:space="preserve">ono stati raggiunti entro le scadenze fissate tutti quelli previsti nel 2021 e 2022. </w:t>
      </w:r>
      <w:r w:rsidR="00F90904" w:rsidRPr="00593E65">
        <w:rPr>
          <w:rFonts w:cstheme="minorHAnsi"/>
        </w:rPr>
        <w:t xml:space="preserve">Relativamente al 2023, </w:t>
      </w:r>
      <w:r w:rsidR="00335E0B" w:rsidRPr="00593E65">
        <w:rPr>
          <w:rFonts w:cstheme="minorHAnsi"/>
        </w:rPr>
        <w:t xml:space="preserve">sono stati differiti </w:t>
      </w:r>
      <w:r w:rsidR="009A76B2">
        <w:rPr>
          <w:rFonts w:cstheme="minorHAnsi"/>
        </w:rPr>
        <w:t xml:space="preserve">tre target: </w:t>
      </w:r>
      <w:r w:rsidR="00335E0B" w:rsidRPr="00593E65">
        <w:rPr>
          <w:rFonts w:cstheme="minorHAnsi"/>
        </w:rPr>
        <w:t xml:space="preserve">da giugno </w:t>
      </w:r>
      <w:r w:rsidR="00D748E1">
        <w:rPr>
          <w:rFonts w:cstheme="minorHAnsi"/>
        </w:rPr>
        <w:t xml:space="preserve">2023 </w:t>
      </w:r>
      <w:r w:rsidR="00335E0B" w:rsidRPr="00593E65">
        <w:rPr>
          <w:rFonts w:cstheme="minorHAnsi"/>
        </w:rPr>
        <w:t xml:space="preserve">a </w:t>
      </w:r>
      <w:r w:rsidR="00D748E1">
        <w:rPr>
          <w:rFonts w:cstheme="minorHAnsi"/>
        </w:rPr>
        <w:t xml:space="preserve">giugno 2024 la </w:t>
      </w:r>
      <w:r w:rsidR="00335E0B" w:rsidRPr="00593E65">
        <w:rPr>
          <w:rFonts w:cstheme="minorHAnsi"/>
        </w:rPr>
        <w:t>“Stipula di un contratto per gli strumenti di intelligenza artificiale a supporto dell'assistenza primaria” e</w:t>
      </w:r>
      <w:r w:rsidR="00D748E1">
        <w:rPr>
          <w:rFonts w:cstheme="minorHAnsi"/>
        </w:rPr>
        <w:t xml:space="preserve"> la </w:t>
      </w:r>
      <w:r w:rsidR="00335E0B" w:rsidRPr="00593E65">
        <w:rPr>
          <w:rFonts w:cstheme="minorHAnsi"/>
        </w:rPr>
        <w:t>“Stipula dei contratti per la realizzazione delle Centrali Operative Territoriali”.</w:t>
      </w:r>
      <w:r w:rsidR="00D748E1">
        <w:rPr>
          <w:rFonts w:cstheme="minorHAnsi"/>
        </w:rPr>
        <w:t xml:space="preserve"> U</w:t>
      </w:r>
      <w:r w:rsidR="00593E65" w:rsidRPr="00593E65">
        <w:rPr>
          <w:rFonts w:cstheme="minorHAnsi"/>
        </w:rPr>
        <w:t xml:space="preserve">n </w:t>
      </w:r>
      <w:r w:rsidR="00335E0B" w:rsidRPr="00593E65">
        <w:rPr>
          <w:rFonts w:cstheme="minorHAnsi"/>
        </w:rPr>
        <w:t xml:space="preserve">ulteriore target </w:t>
      </w:r>
      <w:r w:rsidR="005835E1">
        <w:rPr>
          <w:rFonts w:cstheme="minorHAnsi"/>
        </w:rPr>
        <w:t xml:space="preserve">- </w:t>
      </w:r>
      <w:r w:rsidR="005835E1" w:rsidRPr="00593E65">
        <w:rPr>
          <w:rFonts w:cstheme="minorHAnsi"/>
        </w:rPr>
        <w:t>“</w:t>
      </w:r>
      <w:r w:rsidR="00335E0B" w:rsidRPr="00593E65">
        <w:rPr>
          <w:rFonts w:cstheme="minorHAnsi"/>
        </w:rPr>
        <w:t>Nuovi pazienti che ricevono assistenza domiciliare (prima parte</w:t>
      </w:r>
      <w:r w:rsidR="00135A2A" w:rsidRPr="00593E65">
        <w:rPr>
          <w:rFonts w:cstheme="minorHAnsi"/>
        </w:rPr>
        <w:t>)</w:t>
      </w:r>
      <w:r w:rsidR="00335E0B" w:rsidRPr="00593E65">
        <w:rPr>
          <w:rFonts w:cstheme="minorHAnsi"/>
        </w:rPr>
        <w:t>”</w:t>
      </w:r>
      <w:r w:rsidR="005835E1">
        <w:rPr>
          <w:rFonts w:cstheme="minorHAnsi"/>
        </w:rPr>
        <w:t xml:space="preserve"> -</w:t>
      </w:r>
      <w:r w:rsidR="00335E0B" w:rsidRPr="00593E65">
        <w:rPr>
          <w:rFonts w:cstheme="minorHAnsi"/>
        </w:rPr>
        <w:t xml:space="preserve"> </w:t>
      </w:r>
      <w:r w:rsidR="0087467A" w:rsidRPr="00593E65">
        <w:rPr>
          <w:rFonts w:cstheme="minorHAnsi"/>
        </w:rPr>
        <w:t xml:space="preserve">era già </w:t>
      </w:r>
      <w:r w:rsidR="00335E0B" w:rsidRPr="00593E65">
        <w:rPr>
          <w:rFonts w:cstheme="minorHAnsi"/>
        </w:rPr>
        <w:t>stato differito di 12 mesi</w:t>
      </w:r>
      <w:r w:rsidR="00D748E1">
        <w:rPr>
          <w:rFonts w:cstheme="minorHAnsi"/>
        </w:rPr>
        <w:t>:</w:t>
      </w:r>
      <w:r w:rsidR="00335E0B" w:rsidRPr="00593E65">
        <w:rPr>
          <w:rFonts w:cstheme="minorHAnsi"/>
        </w:rPr>
        <w:t xml:space="preserve"> da marzo 2023 a marzo 2024 (</w:t>
      </w:r>
      <w:r w:rsidR="00335E0B" w:rsidRPr="00593E65">
        <w:rPr>
          <w:rFonts w:cstheme="minorHAnsi"/>
          <w:highlight w:val="yellow"/>
        </w:rPr>
        <w:t>tabella 1).</w:t>
      </w:r>
      <w:r w:rsidR="00335E0B" w:rsidRPr="00593E65">
        <w:rPr>
          <w:rFonts w:cstheme="minorHAnsi"/>
        </w:rPr>
        <w:t xml:space="preserve"> </w:t>
      </w:r>
    </w:p>
    <w:p w14:paraId="051EECB1" w14:textId="77777777" w:rsidR="00335E0B" w:rsidRPr="00335E0B" w:rsidRDefault="00335E0B" w:rsidP="00335E0B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14:paraId="0E6AF88D" w14:textId="04BFE2F8" w:rsidR="008218B7" w:rsidRPr="00C06758" w:rsidRDefault="00ED6E07" w:rsidP="005B50EF">
      <w:pPr>
        <w:jc w:val="both"/>
        <w:rPr>
          <w:rFonts w:cstheme="minorHAnsi"/>
        </w:rPr>
      </w:pPr>
      <w:r w:rsidRPr="00C62779">
        <w:rPr>
          <w:rFonts w:cstheme="minorHAnsi"/>
        </w:rPr>
        <w:t>«</w:t>
      </w:r>
      <w:r w:rsidR="0020319A" w:rsidRPr="00C62779">
        <w:rPr>
          <w:rFonts w:cstheme="minorHAnsi"/>
        </w:rPr>
        <w:t xml:space="preserve">Al momento i </w:t>
      </w:r>
      <w:r w:rsidR="004F3422" w:rsidRPr="00C62779">
        <w:rPr>
          <w:rFonts w:cstheme="minorHAnsi"/>
        </w:rPr>
        <w:t>ritardi</w:t>
      </w:r>
      <w:r w:rsidR="0020319A" w:rsidRPr="00C62779">
        <w:rPr>
          <w:rFonts w:cstheme="minorHAnsi"/>
        </w:rPr>
        <w:t xml:space="preserve"> sulle scadenze </w:t>
      </w:r>
      <w:r w:rsidR="003525B9">
        <w:rPr>
          <w:rFonts w:cstheme="minorHAnsi"/>
        </w:rPr>
        <w:t>nazionali</w:t>
      </w:r>
      <w:r w:rsidR="0020319A" w:rsidRPr="00C62779">
        <w:rPr>
          <w:rFonts w:cstheme="minorHAnsi"/>
        </w:rPr>
        <w:t xml:space="preserve"> </w:t>
      </w:r>
      <w:r w:rsidRPr="00C62779">
        <w:rPr>
          <w:rFonts w:cstheme="minorHAnsi"/>
        </w:rPr>
        <w:t xml:space="preserve">non </w:t>
      </w:r>
      <w:r w:rsidR="000B15C0" w:rsidRPr="00C62779">
        <w:rPr>
          <w:rFonts w:cstheme="minorHAnsi"/>
        </w:rPr>
        <w:t>sono</w:t>
      </w:r>
      <w:r w:rsidR="00611A35" w:rsidRPr="00C62779">
        <w:rPr>
          <w:rFonts w:cstheme="minorHAnsi"/>
        </w:rPr>
        <w:t xml:space="preserve"> </w:t>
      </w:r>
      <w:r w:rsidR="00CB2567" w:rsidRPr="00C62779">
        <w:rPr>
          <w:rFonts w:cstheme="minorHAnsi"/>
        </w:rPr>
        <w:t xml:space="preserve">particolarmente </w:t>
      </w:r>
      <w:r w:rsidRPr="00C62779">
        <w:rPr>
          <w:rFonts w:cstheme="minorHAnsi"/>
        </w:rPr>
        <w:t>critici</w:t>
      </w:r>
      <w:r w:rsidR="005B24AF" w:rsidRPr="00C62779">
        <w:rPr>
          <w:rFonts w:cstheme="minorHAnsi"/>
        </w:rPr>
        <w:t xml:space="preserve"> – commenta Cartabellotta – </w:t>
      </w:r>
      <w:r w:rsidRPr="00C62779">
        <w:rPr>
          <w:rFonts w:cstheme="minorHAnsi"/>
        </w:rPr>
        <w:t>fatta eccezione per i “Nuovi pazienti che ricevono assistenza domiciliare (prima parte)”</w:t>
      </w:r>
      <w:r w:rsidR="00611A35" w:rsidRPr="00C62779">
        <w:rPr>
          <w:rFonts w:cstheme="minorHAnsi"/>
        </w:rPr>
        <w:t xml:space="preserve">. </w:t>
      </w:r>
      <w:r w:rsidRPr="00C62779">
        <w:rPr>
          <w:rFonts w:cstheme="minorHAnsi"/>
        </w:rPr>
        <w:t xml:space="preserve">In </w:t>
      </w:r>
      <w:r w:rsidR="0020319A" w:rsidRPr="00C62779">
        <w:rPr>
          <w:rFonts w:cstheme="minorHAnsi"/>
        </w:rPr>
        <w:t>dettaglio</w:t>
      </w:r>
      <w:r w:rsidRPr="00C62779">
        <w:rPr>
          <w:rFonts w:cstheme="minorHAnsi"/>
        </w:rPr>
        <w:t xml:space="preserve">, entro marzo 2023 </w:t>
      </w:r>
      <w:r w:rsidR="002D62AC">
        <w:rPr>
          <w:rFonts w:cstheme="minorHAnsi"/>
        </w:rPr>
        <w:t>avrebbero dovuto essere assistiti</w:t>
      </w:r>
      <w:r w:rsidRPr="00C62779">
        <w:rPr>
          <w:rFonts w:cstheme="minorHAnsi"/>
        </w:rPr>
        <w:t xml:space="preserve"> in ADI 296 mila pazienti over 65</w:t>
      </w:r>
      <w:r w:rsidR="00A22325">
        <w:rPr>
          <w:rFonts w:cstheme="minorHAnsi"/>
        </w:rPr>
        <w:t xml:space="preserve">, una scadenza </w:t>
      </w:r>
      <w:r w:rsidRPr="00C62779">
        <w:rPr>
          <w:rFonts w:cstheme="minorHAnsi"/>
        </w:rPr>
        <w:t>slitta</w:t>
      </w:r>
      <w:r w:rsidR="00A22325">
        <w:rPr>
          <w:rFonts w:cstheme="minorHAnsi"/>
        </w:rPr>
        <w:t>ta</w:t>
      </w:r>
      <w:r w:rsidRPr="00C62779">
        <w:rPr>
          <w:rFonts w:cstheme="minorHAnsi"/>
        </w:rPr>
        <w:t xml:space="preserve"> </w:t>
      </w:r>
      <w:r w:rsidR="005B24AF" w:rsidRPr="00C62779">
        <w:rPr>
          <w:rFonts w:cstheme="minorHAnsi"/>
        </w:rPr>
        <w:t xml:space="preserve">di 12 mesi </w:t>
      </w:r>
      <w:r w:rsidR="00C62779">
        <w:rPr>
          <w:rFonts w:cstheme="minorHAnsi"/>
        </w:rPr>
        <w:t xml:space="preserve">per le </w:t>
      </w:r>
      <w:r w:rsidR="008F7EF5" w:rsidRPr="00C62779">
        <w:rPr>
          <w:rFonts w:cstheme="minorHAnsi"/>
        </w:rPr>
        <w:t xml:space="preserve">enormi differenze </w:t>
      </w:r>
      <w:r w:rsidR="002D62AC">
        <w:rPr>
          <w:rFonts w:cstheme="minorHAnsi"/>
        </w:rPr>
        <w:t>regionali</w:t>
      </w:r>
      <w:r w:rsidR="008F7EF5" w:rsidRPr="00C62779">
        <w:rPr>
          <w:rFonts w:cstheme="minorHAnsi"/>
        </w:rPr>
        <w:t xml:space="preserve"> nell</w:t>
      </w:r>
      <w:r w:rsidR="002D62AC">
        <w:rPr>
          <w:rFonts w:cstheme="minorHAnsi"/>
        </w:rPr>
        <w:t xml:space="preserve">a capacità di </w:t>
      </w:r>
      <w:r w:rsidR="008F7EF5" w:rsidRPr="00C62779">
        <w:rPr>
          <w:rFonts w:cstheme="minorHAnsi"/>
        </w:rPr>
        <w:t>erogare l’assistenza domiciliare,</w:t>
      </w:r>
      <w:r w:rsidR="005B24AF" w:rsidRPr="00C62779">
        <w:rPr>
          <w:rFonts w:cstheme="minorHAnsi"/>
        </w:rPr>
        <w:t xml:space="preserve"> </w:t>
      </w:r>
      <w:r w:rsidR="002D62AC">
        <w:rPr>
          <w:rFonts w:cstheme="minorHAnsi"/>
        </w:rPr>
        <w:t xml:space="preserve">ambito in cui </w:t>
      </w:r>
      <w:r w:rsidR="00C62779">
        <w:rPr>
          <w:rFonts w:cstheme="minorHAnsi"/>
        </w:rPr>
        <w:t>il</w:t>
      </w:r>
      <w:r w:rsidR="008F7EF5" w:rsidRPr="00C62779">
        <w:rPr>
          <w:rFonts w:cstheme="minorHAnsi"/>
        </w:rPr>
        <w:t xml:space="preserve"> </w:t>
      </w:r>
      <w:r w:rsidR="00C62779">
        <w:rPr>
          <w:rFonts w:cstheme="minorHAnsi"/>
        </w:rPr>
        <w:t>C</w:t>
      </w:r>
      <w:r w:rsidR="008F7EF5" w:rsidRPr="00C62779">
        <w:rPr>
          <w:rFonts w:cstheme="minorHAnsi"/>
        </w:rPr>
        <w:t>entro-</w:t>
      </w:r>
      <w:r w:rsidR="00C62779">
        <w:rPr>
          <w:rFonts w:cstheme="minorHAnsi"/>
        </w:rPr>
        <w:t>S</w:t>
      </w:r>
      <w:r w:rsidR="008F7EF5" w:rsidRPr="00C62779">
        <w:rPr>
          <w:rFonts w:cstheme="minorHAnsi"/>
        </w:rPr>
        <w:t>ud era già molto indietro</w:t>
      </w:r>
      <w:r w:rsidRPr="00C62779">
        <w:rPr>
          <w:rFonts w:cstheme="minorHAnsi"/>
        </w:rPr>
        <w:t>».</w:t>
      </w:r>
      <w:r w:rsidR="00C74C93" w:rsidRPr="00C62779">
        <w:rPr>
          <w:rFonts w:cstheme="minorHAnsi"/>
        </w:rPr>
        <w:t xml:space="preserve"> </w:t>
      </w:r>
      <w:r w:rsidR="00CF559C">
        <w:rPr>
          <w:rFonts w:cstheme="minorHAnsi"/>
        </w:rPr>
        <w:t>Infatti, s</w:t>
      </w:r>
      <w:r w:rsidR="003525B9">
        <w:rPr>
          <w:rFonts w:cstheme="minorHAnsi"/>
        </w:rPr>
        <w:t xml:space="preserve">econdo quanto previsto dal </w:t>
      </w:r>
      <w:hyperlink r:id="rId10" w:history="1">
        <w:r w:rsidR="00AF4E13" w:rsidRPr="003C0E1C">
          <w:rPr>
            <w:rStyle w:val="Collegamentoipertestuale"/>
            <w:rFonts w:cstheme="minorHAnsi"/>
          </w:rPr>
          <w:t xml:space="preserve">Decreto del Ministero della Salute del </w:t>
        </w:r>
        <w:r w:rsidR="003C0E1C" w:rsidRPr="003C0E1C">
          <w:rPr>
            <w:rStyle w:val="Collegamentoipertestuale"/>
            <w:rFonts w:cstheme="minorHAnsi"/>
          </w:rPr>
          <w:t>13 marzo</w:t>
        </w:r>
        <w:r w:rsidR="00AF4E13" w:rsidRPr="003C0E1C">
          <w:rPr>
            <w:rStyle w:val="Collegamentoipertestuale"/>
            <w:rFonts w:cstheme="minorHAnsi"/>
          </w:rPr>
          <w:t xml:space="preserve"> 2023</w:t>
        </w:r>
      </w:hyperlink>
      <w:r w:rsidR="00CF559C">
        <w:rPr>
          <w:rFonts w:cstheme="minorHAnsi"/>
        </w:rPr>
        <w:t xml:space="preserve"> </w:t>
      </w:r>
      <w:r w:rsidR="00A22325">
        <w:rPr>
          <w:rFonts w:cstheme="minorHAnsi"/>
        </w:rPr>
        <w:t>per</w:t>
      </w:r>
      <w:r w:rsidR="00C62779" w:rsidRPr="00C62779">
        <w:rPr>
          <w:rFonts w:cstheme="minorHAnsi"/>
        </w:rPr>
        <w:t xml:space="preserve"> assistere </w:t>
      </w:r>
      <w:r w:rsidR="006B707F">
        <w:rPr>
          <w:rFonts w:cstheme="minorHAnsi"/>
        </w:rPr>
        <w:t xml:space="preserve">almeno </w:t>
      </w:r>
      <w:r w:rsidR="00C62779" w:rsidRPr="00C62779">
        <w:rPr>
          <w:rFonts w:cstheme="minorHAnsi"/>
        </w:rPr>
        <w:t>il 10% della popolazione over 65 in ADI</w:t>
      </w:r>
      <w:r w:rsidR="006107BB">
        <w:rPr>
          <w:rFonts w:cstheme="minorHAnsi"/>
        </w:rPr>
        <w:t xml:space="preserve"> il PNRR si pone l’obiettivo di aumentare</w:t>
      </w:r>
      <w:r w:rsidR="005F2604">
        <w:rPr>
          <w:rFonts w:cstheme="minorHAnsi"/>
        </w:rPr>
        <w:t xml:space="preserve"> il numero delle persone prese in carico</w:t>
      </w:r>
      <w:r w:rsidR="006107BB">
        <w:rPr>
          <w:rFonts w:cstheme="minorHAnsi"/>
        </w:rPr>
        <w:t xml:space="preserve"> </w:t>
      </w:r>
      <w:r w:rsidR="00C62779" w:rsidRPr="00C62779">
        <w:rPr>
          <w:rFonts w:cstheme="minorHAnsi"/>
        </w:rPr>
        <w:t>passando da</w:t>
      </w:r>
      <w:r w:rsidR="000E64D7">
        <w:rPr>
          <w:rFonts w:cstheme="minorHAnsi"/>
        </w:rPr>
        <w:t>gli oltre 640</w:t>
      </w:r>
      <w:r w:rsidR="00CA5DBC">
        <w:rPr>
          <w:rFonts w:cstheme="minorHAnsi"/>
        </w:rPr>
        <w:t xml:space="preserve"> </w:t>
      </w:r>
      <w:r w:rsidR="000E64D7">
        <w:rPr>
          <w:rFonts w:cstheme="minorHAnsi"/>
        </w:rPr>
        <w:t xml:space="preserve">mila del dicembre 2019 </w:t>
      </w:r>
      <w:r w:rsidR="00C62779" w:rsidRPr="00C62779">
        <w:rPr>
          <w:rFonts w:cstheme="minorHAnsi"/>
        </w:rPr>
        <w:t>a</w:t>
      </w:r>
      <w:r w:rsidR="000E64D7">
        <w:rPr>
          <w:rFonts w:cstheme="minorHAnsi"/>
        </w:rPr>
        <w:t xml:space="preserve"> poco meno di </w:t>
      </w:r>
      <w:r w:rsidR="00C62779" w:rsidRPr="00C62779">
        <w:rPr>
          <w:rFonts w:cstheme="minorHAnsi"/>
        </w:rPr>
        <w:t>1,5 milioni nel 2026, per un totale di oltre 808 mila persone in più</w:t>
      </w:r>
      <w:r w:rsidR="006107BB">
        <w:rPr>
          <w:rFonts w:cstheme="minorHAnsi"/>
        </w:rPr>
        <w:t xml:space="preserve">. </w:t>
      </w:r>
      <w:r w:rsidR="006107BB" w:rsidRPr="00C62779">
        <w:rPr>
          <w:rFonts w:cstheme="minorHAnsi"/>
        </w:rPr>
        <w:t>«</w:t>
      </w:r>
      <w:r w:rsidR="00CA5DBC">
        <w:rPr>
          <w:rFonts w:cstheme="minorHAnsi"/>
        </w:rPr>
        <w:t xml:space="preserve">Tuttavia </w:t>
      </w:r>
      <w:r w:rsidR="006107BB">
        <w:rPr>
          <w:rFonts w:cstheme="minorHAnsi"/>
        </w:rPr>
        <w:t xml:space="preserve">– spiega Cartabellotta </w:t>
      </w:r>
      <w:r w:rsidR="00CA5DBC">
        <w:rPr>
          <w:rFonts w:cstheme="minorHAnsi"/>
        </w:rPr>
        <w:t>–</w:t>
      </w:r>
      <w:r w:rsidR="006107BB">
        <w:rPr>
          <w:rFonts w:cstheme="minorHAnsi"/>
        </w:rPr>
        <w:t xml:space="preserve"> se </w:t>
      </w:r>
      <w:r w:rsidR="006107BB" w:rsidRPr="00C62779">
        <w:rPr>
          <w:rFonts w:cstheme="minorHAnsi"/>
        </w:rPr>
        <w:t>da un lato è realistico il raggiungimento del target nazionale</w:t>
      </w:r>
      <w:r w:rsidR="006107BB">
        <w:rPr>
          <w:rFonts w:cstheme="minorHAnsi"/>
        </w:rPr>
        <w:t>, dall’altro è</w:t>
      </w:r>
      <w:r w:rsidR="006107BB" w:rsidRPr="00C62779">
        <w:rPr>
          <w:rFonts w:cstheme="minorHAnsi"/>
        </w:rPr>
        <w:t xml:space="preserve"> </w:t>
      </w:r>
      <w:r w:rsidR="006107BB">
        <w:rPr>
          <w:rFonts w:cstheme="minorHAnsi"/>
        </w:rPr>
        <w:t xml:space="preserve">molto più difficile </w:t>
      </w:r>
      <w:r w:rsidR="00CA5DBC">
        <w:rPr>
          <w:rFonts w:cstheme="minorHAnsi"/>
        </w:rPr>
        <w:t>colmare</w:t>
      </w:r>
      <w:r w:rsidR="00CA5DBC" w:rsidRPr="00C62779">
        <w:rPr>
          <w:rFonts w:cstheme="minorHAnsi"/>
        </w:rPr>
        <w:t xml:space="preserve"> </w:t>
      </w:r>
      <w:r w:rsidR="005B50EF">
        <w:rPr>
          <w:rFonts w:cstheme="minorHAnsi"/>
        </w:rPr>
        <w:t xml:space="preserve">i divari </w:t>
      </w:r>
      <w:r w:rsidR="006107BB" w:rsidRPr="00C62779">
        <w:rPr>
          <w:rFonts w:cstheme="minorHAnsi"/>
        </w:rPr>
        <w:t>regionali</w:t>
      </w:r>
      <w:r w:rsidR="006107BB">
        <w:rPr>
          <w:rFonts w:cstheme="minorHAnsi"/>
        </w:rPr>
        <w:t xml:space="preserve">. </w:t>
      </w:r>
      <w:r w:rsidR="006107BB" w:rsidRPr="00C62779">
        <w:rPr>
          <w:rFonts w:cstheme="minorHAnsi"/>
        </w:rPr>
        <w:t xml:space="preserve">Infatti, </w:t>
      </w:r>
      <w:r w:rsidR="005B50EF">
        <w:rPr>
          <w:rFonts w:cstheme="minorHAnsi"/>
        </w:rPr>
        <w:t xml:space="preserve">se </w:t>
      </w:r>
      <w:r w:rsidR="006107BB" w:rsidRPr="00C62779">
        <w:rPr>
          <w:rFonts w:cstheme="minorHAnsi"/>
        </w:rPr>
        <w:t xml:space="preserve">Emilia-Romagna, Toscana e Veneto </w:t>
      </w:r>
      <w:r w:rsidR="003525B9">
        <w:rPr>
          <w:rFonts w:cstheme="minorHAnsi"/>
        </w:rPr>
        <w:t xml:space="preserve">per raggiungere il target 2026 </w:t>
      </w:r>
      <w:r w:rsidR="006107BB" w:rsidRPr="00C62779">
        <w:rPr>
          <w:rFonts w:cstheme="minorHAnsi"/>
        </w:rPr>
        <w:t>devono aumentare i pazienti assistiti in ADI rispettivamente del 3</w:t>
      </w:r>
      <w:r w:rsidR="003525B9">
        <w:rPr>
          <w:rFonts w:cstheme="minorHAnsi"/>
        </w:rPr>
        <w:t>5</w:t>
      </w:r>
      <w:r w:rsidR="006107BB" w:rsidRPr="00C62779">
        <w:rPr>
          <w:rFonts w:cstheme="minorHAnsi"/>
        </w:rPr>
        <w:t>%, del 4</w:t>
      </w:r>
      <w:r w:rsidR="003525B9">
        <w:rPr>
          <w:rFonts w:cstheme="minorHAnsi"/>
        </w:rPr>
        <w:t>2</w:t>
      </w:r>
      <w:r w:rsidR="006107BB" w:rsidRPr="00C62779">
        <w:rPr>
          <w:rFonts w:cstheme="minorHAnsi"/>
        </w:rPr>
        <w:t xml:space="preserve">% e del </w:t>
      </w:r>
      <w:r w:rsidR="003525B9">
        <w:rPr>
          <w:rFonts w:cstheme="minorHAnsi"/>
        </w:rPr>
        <w:t>50</w:t>
      </w:r>
      <w:r w:rsidR="006107BB" w:rsidRPr="00C62779">
        <w:rPr>
          <w:rFonts w:cstheme="minorHAnsi"/>
        </w:rPr>
        <w:t>%, in alcune Regioni del Centro-</w:t>
      </w:r>
      <w:r w:rsidR="006107BB" w:rsidRPr="00C62779">
        <w:rPr>
          <w:rFonts w:cstheme="minorHAnsi"/>
        </w:rPr>
        <w:lastRenderedPageBreak/>
        <w:t xml:space="preserve">Sud i gap sono </w:t>
      </w:r>
      <w:r w:rsidR="006107BB">
        <w:rPr>
          <w:rFonts w:cstheme="minorHAnsi"/>
        </w:rPr>
        <w:t>abissali</w:t>
      </w:r>
      <w:r w:rsidR="006107BB" w:rsidRPr="00C62779">
        <w:rPr>
          <w:rFonts w:cstheme="minorHAnsi"/>
        </w:rPr>
        <w:t xml:space="preserve">: </w:t>
      </w:r>
      <w:r w:rsidR="003525B9">
        <w:rPr>
          <w:rFonts w:cstheme="minorHAnsi"/>
        </w:rPr>
        <w:t xml:space="preserve">la </w:t>
      </w:r>
      <w:r w:rsidR="006107BB" w:rsidRPr="00C62779">
        <w:rPr>
          <w:rFonts w:cstheme="minorHAnsi"/>
        </w:rPr>
        <w:t xml:space="preserve">Campania </w:t>
      </w:r>
      <w:r w:rsidR="003525B9">
        <w:rPr>
          <w:rFonts w:cstheme="minorHAnsi"/>
        </w:rPr>
        <w:t xml:space="preserve">deve incrementarli del 294%, il Lazio del 317%, la </w:t>
      </w:r>
      <w:r w:rsidR="006107BB" w:rsidRPr="00C62779">
        <w:rPr>
          <w:rFonts w:cstheme="minorHAnsi"/>
        </w:rPr>
        <w:t xml:space="preserve">Puglia </w:t>
      </w:r>
      <w:r w:rsidR="003525B9">
        <w:rPr>
          <w:rFonts w:cstheme="minorHAnsi"/>
        </w:rPr>
        <w:t>del 329%</w:t>
      </w:r>
      <w:r w:rsidR="006107BB" w:rsidRPr="00C62779">
        <w:rPr>
          <w:rFonts w:cstheme="minorHAnsi"/>
        </w:rPr>
        <w:t xml:space="preserve"> e la Calabria addirittura del 41</w:t>
      </w:r>
      <w:r w:rsidR="003525B9">
        <w:rPr>
          <w:rFonts w:cstheme="minorHAnsi"/>
        </w:rPr>
        <w:t>6</w:t>
      </w:r>
      <w:r w:rsidR="006107BB" w:rsidRPr="00C62779">
        <w:rPr>
          <w:rFonts w:cstheme="minorHAnsi"/>
        </w:rPr>
        <w:t>%»</w:t>
      </w:r>
      <w:r w:rsidR="006107BB">
        <w:rPr>
          <w:rFonts w:cstheme="minorHAnsi"/>
        </w:rPr>
        <w:t xml:space="preserve"> </w:t>
      </w:r>
      <w:r w:rsidR="00C62779">
        <w:rPr>
          <w:rFonts w:cstheme="minorHAnsi"/>
        </w:rPr>
        <w:t>(</w:t>
      </w:r>
      <w:r w:rsidR="00C62779" w:rsidRPr="00C62779">
        <w:rPr>
          <w:rFonts w:cstheme="minorHAnsi"/>
          <w:highlight w:val="yellow"/>
        </w:rPr>
        <w:t>tabella</w:t>
      </w:r>
      <w:r w:rsidR="00C62779" w:rsidRPr="00FF78A8">
        <w:rPr>
          <w:rFonts w:cstheme="minorHAnsi"/>
          <w:highlight w:val="yellow"/>
        </w:rPr>
        <w:t xml:space="preserve"> </w:t>
      </w:r>
      <w:r w:rsidR="00E20BD3" w:rsidRPr="00FF78A8">
        <w:rPr>
          <w:rFonts w:cstheme="minorHAnsi"/>
          <w:highlight w:val="yellow"/>
        </w:rPr>
        <w:t>2</w:t>
      </w:r>
      <w:r w:rsidR="00C62779">
        <w:rPr>
          <w:rFonts w:cstheme="minorHAnsi"/>
        </w:rPr>
        <w:t>)</w:t>
      </w:r>
      <w:r w:rsidR="00CA5DBC">
        <w:rPr>
          <w:rFonts w:cstheme="minorHAnsi"/>
        </w:rPr>
        <w:t>.</w:t>
      </w:r>
    </w:p>
    <w:p w14:paraId="38CE002E" w14:textId="6F211BA6" w:rsidR="008218B7" w:rsidRPr="00C06758" w:rsidRDefault="00C06758" w:rsidP="005B50E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RISORSE ASSEGNATE E </w:t>
      </w:r>
      <w:r w:rsidR="008218B7" w:rsidRPr="008218B7">
        <w:rPr>
          <w:rFonts w:cstheme="minorHAnsi"/>
          <w:b/>
          <w:bCs/>
        </w:rPr>
        <w:t>SPESE EFFETTUATE</w:t>
      </w:r>
      <w:r>
        <w:rPr>
          <w:rFonts w:cstheme="minorHAnsi"/>
          <w:b/>
          <w:bCs/>
        </w:rPr>
        <w:t xml:space="preserve">. </w:t>
      </w:r>
      <w:r w:rsidR="008218B7">
        <w:rPr>
          <w:rFonts w:cstheme="minorHAnsi"/>
        </w:rPr>
        <w:t>Secondo la</w:t>
      </w:r>
      <w:r w:rsidR="001C44CB">
        <w:rPr>
          <w:rFonts w:cstheme="minorHAnsi"/>
        </w:rPr>
        <w:t xml:space="preserve"> </w:t>
      </w:r>
      <w:hyperlink r:id="rId11" w:history="1">
        <w:r w:rsidR="001C44CB" w:rsidRPr="001C44CB">
          <w:rPr>
            <w:rStyle w:val="Collegamentoipertestuale"/>
            <w:rFonts w:cstheme="minorHAnsi"/>
          </w:rPr>
          <w:t>memoria</w:t>
        </w:r>
        <w:r w:rsidR="008218B7" w:rsidRPr="001C44CB">
          <w:rPr>
            <w:rStyle w:val="Collegamentoipertestuale"/>
            <w:rFonts w:cstheme="minorHAnsi"/>
          </w:rPr>
          <w:t xml:space="preserve"> dell’Ufficio Parlamentare di Bilancio</w:t>
        </w:r>
      </w:hyperlink>
      <w:r w:rsidR="008218B7">
        <w:rPr>
          <w:rFonts w:cstheme="minorHAnsi"/>
        </w:rPr>
        <w:t xml:space="preserve"> (UDP)</w:t>
      </w:r>
      <w:r w:rsidR="001C44CB">
        <w:rPr>
          <w:rFonts w:cstheme="minorHAnsi"/>
        </w:rPr>
        <w:t xml:space="preserve"> s</w:t>
      </w:r>
      <w:r w:rsidR="001C44CB" w:rsidRPr="001C44CB">
        <w:rPr>
          <w:rFonts w:cstheme="minorHAnsi"/>
        </w:rPr>
        <w:t xml:space="preserve">ulla base delle informazioni </w:t>
      </w:r>
      <w:r w:rsidR="004E5635">
        <w:rPr>
          <w:rFonts w:cstheme="minorHAnsi"/>
        </w:rPr>
        <w:t xml:space="preserve">della piattaforma </w:t>
      </w:r>
      <w:proofErr w:type="spellStart"/>
      <w:r w:rsidR="001C44CB" w:rsidRPr="001C44CB">
        <w:rPr>
          <w:rFonts w:cstheme="minorHAnsi"/>
        </w:rPr>
        <w:t>ReGiS</w:t>
      </w:r>
      <w:proofErr w:type="spellEnd"/>
      <w:r w:rsidR="001C44CB" w:rsidRPr="001C44CB">
        <w:rPr>
          <w:rFonts w:cstheme="minorHAnsi"/>
        </w:rPr>
        <w:t xml:space="preserve"> </w:t>
      </w:r>
      <w:r w:rsidR="004E5635">
        <w:rPr>
          <w:rFonts w:cstheme="minorHAnsi"/>
        </w:rPr>
        <w:t xml:space="preserve">di monitoraggio del PNRR - aggiornate al 26 novembre 2023 - </w:t>
      </w:r>
      <w:r>
        <w:rPr>
          <w:rFonts w:cstheme="minorHAnsi"/>
        </w:rPr>
        <w:t>la Missione 6 Salute</w:t>
      </w:r>
      <w:r w:rsidR="004E5635">
        <w:rPr>
          <w:rFonts w:cstheme="minorHAnsi"/>
        </w:rPr>
        <w:t xml:space="preserve"> </w:t>
      </w:r>
      <w:r>
        <w:rPr>
          <w:rFonts w:cstheme="minorHAnsi"/>
        </w:rPr>
        <w:t xml:space="preserve">si caratterizza per un </w:t>
      </w:r>
      <w:r w:rsidR="00736425">
        <w:rPr>
          <w:rFonts w:cstheme="minorHAnsi"/>
        </w:rPr>
        <w:t>insolito</w:t>
      </w:r>
      <w:r>
        <w:rPr>
          <w:rFonts w:cstheme="minorHAnsi"/>
        </w:rPr>
        <w:t xml:space="preserve"> paradosso</w:t>
      </w:r>
      <w:r w:rsidR="00CA5DBC">
        <w:rPr>
          <w:rFonts w:cstheme="minorHAnsi"/>
        </w:rPr>
        <w:t xml:space="preserve">, di cui è difficile </w:t>
      </w:r>
      <w:r w:rsidR="00961FD4">
        <w:rPr>
          <w:rFonts w:cstheme="minorHAnsi"/>
        </w:rPr>
        <w:t>comprendere</w:t>
      </w:r>
      <w:r w:rsidR="00CA5DBC">
        <w:rPr>
          <w:rFonts w:cstheme="minorHAnsi"/>
        </w:rPr>
        <w:t xml:space="preserve"> le motivazioni</w:t>
      </w:r>
      <w:r>
        <w:rPr>
          <w:rFonts w:cstheme="minorHAnsi"/>
        </w:rPr>
        <w:t xml:space="preserve">. Da un lato si registra </w:t>
      </w:r>
      <w:r w:rsidR="002D62AC">
        <w:rPr>
          <w:rFonts w:cstheme="minorHAnsi"/>
        </w:rPr>
        <w:t xml:space="preserve">un’elevata </w:t>
      </w:r>
      <w:r>
        <w:rPr>
          <w:rFonts w:cstheme="minorHAnsi"/>
        </w:rPr>
        <w:t>percentuale di risorse assegnate ai progetti</w:t>
      </w:r>
      <w:r w:rsidR="002D62AC">
        <w:rPr>
          <w:rFonts w:cstheme="minorHAnsi"/>
        </w:rPr>
        <w:t xml:space="preserve"> (83,6%)</w:t>
      </w:r>
      <w:r>
        <w:rPr>
          <w:rFonts w:cstheme="minorHAnsi"/>
        </w:rPr>
        <w:t>; dall’altro emerge che la Missione Salute è quella con la percentuale più bassa (1%) delle risorse spese</w:t>
      </w:r>
      <w:r w:rsidR="002D62AC">
        <w:rPr>
          <w:rFonts w:cstheme="minorHAnsi"/>
        </w:rPr>
        <w:t>, r</w:t>
      </w:r>
      <w:r>
        <w:rPr>
          <w:rFonts w:cstheme="minorHAnsi"/>
        </w:rPr>
        <w:t xml:space="preserve">ispetto al 20% della Missione 1, </w:t>
      </w:r>
      <w:r w:rsidR="002D62AC">
        <w:rPr>
          <w:rFonts w:cstheme="minorHAnsi"/>
        </w:rPr>
        <w:t xml:space="preserve">al </w:t>
      </w:r>
      <w:r>
        <w:rPr>
          <w:rFonts w:cstheme="minorHAnsi"/>
        </w:rPr>
        <w:t xml:space="preserve">19% della Missione 2, </w:t>
      </w:r>
      <w:r w:rsidR="002D62AC">
        <w:rPr>
          <w:rFonts w:cstheme="minorHAnsi"/>
        </w:rPr>
        <w:t xml:space="preserve">al </w:t>
      </w:r>
      <w:r w:rsidRPr="008218B7">
        <w:rPr>
          <w:rFonts w:cstheme="minorHAnsi"/>
        </w:rPr>
        <w:t>18</w:t>
      </w:r>
      <w:r>
        <w:rPr>
          <w:rFonts w:cstheme="minorHAnsi"/>
        </w:rPr>
        <w:t>%</w:t>
      </w:r>
      <w:r w:rsidRPr="008218B7">
        <w:rPr>
          <w:rFonts w:cstheme="minorHAnsi"/>
        </w:rPr>
        <w:t xml:space="preserve"> </w:t>
      </w:r>
      <w:r>
        <w:rPr>
          <w:rFonts w:cstheme="minorHAnsi"/>
        </w:rPr>
        <w:t xml:space="preserve">della Missione 3, </w:t>
      </w:r>
      <w:r w:rsidR="002D62AC">
        <w:rPr>
          <w:rFonts w:cstheme="minorHAnsi"/>
        </w:rPr>
        <w:t xml:space="preserve">al </w:t>
      </w:r>
      <w:r>
        <w:rPr>
          <w:rFonts w:cstheme="minorHAnsi"/>
        </w:rPr>
        <w:t>7% della Missione 5</w:t>
      </w:r>
      <w:r w:rsidR="00853F5B">
        <w:rPr>
          <w:rFonts w:cstheme="minorHAnsi"/>
        </w:rPr>
        <w:t>,</w:t>
      </w:r>
      <w:r>
        <w:rPr>
          <w:rFonts w:cstheme="minorHAnsi"/>
        </w:rPr>
        <w:t xml:space="preserve"> e </w:t>
      </w:r>
      <w:r w:rsidR="002D62AC">
        <w:rPr>
          <w:rFonts w:cstheme="minorHAnsi"/>
        </w:rPr>
        <w:t xml:space="preserve">al </w:t>
      </w:r>
      <w:r w:rsidRPr="008218B7">
        <w:rPr>
          <w:rFonts w:cstheme="minorHAnsi"/>
        </w:rPr>
        <w:t>5</w:t>
      </w:r>
      <w:r>
        <w:rPr>
          <w:rFonts w:cstheme="minorHAnsi"/>
        </w:rPr>
        <w:t>% della Missione 4</w:t>
      </w:r>
      <w:r w:rsidRPr="008218B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1E9BF13" w14:textId="77777777" w:rsidR="005B50EF" w:rsidRPr="00C06758" w:rsidRDefault="005B50EF" w:rsidP="005B50EF">
      <w:pPr>
        <w:jc w:val="both"/>
        <w:rPr>
          <w:rFonts w:cstheme="minorHAnsi"/>
          <w:b/>
          <w:bCs/>
        </w:rPr>
      </w:pPr>
      <w:r w:rsidRPr="006E4DD4">
        <w:rPr>
          <w:rFonts w:cstheme="minorHAnsi"/>
          <w:b/>
          <w:bCs/>
        </w:rPr>
        <w:t>RIMODULAZIONE</w:t>
      </w:r>
      <w:r>
        <w:rPr>
          <w:rFonts w:cstheme="minorHAnsi"/>
          <w:b/>
          <w:bCs/>
        </w:rPr>
        <w:t xml:space="preserve"> MISSIONE 6 SALUTE</w:t>
      </w:r>
      <w:r w:rsidR="00C06758">
        <w:rPr>
          <w:rFonts w:cstheme="minorHAnsi"/>
          <w:b/>
          <w:bCs/>
        </w:rPr>
        <w:t xml:space="preserve">. </w:t>
      </w:r>
      <w:r>
        <w:rPr>
          <w:rFonts w:cstheme="minorHAnsi"/>
        </w:rPr>
        <w:t xml:space="preserve">In occasione del monitoraggio trimestrale dello stato di avanzamento della Missione 6 Salute del PNRR </w:t>
      </w:r>
      <w:r w:rsidR="003525B9">
        <w:rPr>
          <w:rFonts w:cstheme="minorHAnsi"/>
        </w:rPr>
        <w:t xml:space="preserve">è </w:t>
      </w:r>
      <w:r>
        <w:rPr>
          <w:rFonts w:cstheme="minorHAnsi"/>
        </w:rPr>
        <w:t xml:space="preserve">utile </w:t>
      </w:r>
      <w:r w:rsidR="00DE65E0">
        <w:rPr>
          <w:rFonts w:cstheme="minorHAnsi"/>
        </w:rPr>
        <w:t>ricordare</w:t>
      </w:r>
      <w:r>
        <w:rPr>
          <w:rFonts w:cstheme="minorHAnsi"/>
        </w:rPr>
        <w:t xml:space="preserve"> le principali variazioni </w:t>
      </w:r>
      <w:r w:rsidR="002076DB">
        <w:rPr>
          <w:rFonts w:cstheme="minorHAnsi"/>
        </w:rPr>
        <w:t xml:space="preserve">che la </w:t>
      </w:r>
      <w:r>
        <w:rPr>
          <w:rFonts w:cstheme="minorHAnsi"/>
        </w:rPr>
        <w:t xml:space="preserve">proposta di rimodulazione </w:t>
      </w:r>
      <w:hyperlink r:id="rId12" w:history="1">
        <w:r w:rsidRPr="006E4DD4">
          <w:rPr>
            <w:rStyle w:val="Collegamentoipertestuale"/>
            <w:rFonts w:cstheme="minorHAnsi"/>
          </w:rPr>
          <w:t>approvata il 24 novembre 2023</w:t>
        </w:r>
      </w:hyperlink>
      <w:r>
        <w:rPr>
          <w:rFonts w:cstheme="minorHAnsi"/>
        </w:rPr>
        <w:t xml:space="preserve"> dalla Commissione Europea prevede rispetto al piano originale.</w:t>
      </w:r>
    </w:p>
    <w:p w14:paraId="0F5417FE" w14:textId="5F9BFC48" w:rsidR="005B50EF" w:rsidRPr="006E4DD4" w:rsidRDefault="005B50EF" w:rsidP="005B50EF">
      <w:pPr>
        <w:pStyle w:val="Paragrafoelenco"/>
        <w:numPr>
          <w:ilvl w:val="0"/>
          <w:numId w:val="40"/>
        </w:numPr>
        <w:spacing w:line="276" w:lineRule="auto"/>
        <w:jc w:val="both"/>
      </w:pPr>
      <w:r>
        <w:t xml:space="preserve">Riduzione di Case della Comunità (-312), Centrali Operative Territoriali (-120) e Ospedali di Comunità (-74) e interventi di antisismica (-25) secondo criteri di distribuzione regionale al momento non noti. </w:t>
      </w:r>
      <w:r w:rsidRPr="006E4DD4">
        <w:rPr>
          <w:rFonts w:cstheme="minorHAnsi"/>
        </w:rPr>
        <w:t>«Se</w:t>
      </w:r>
      <w:r>
        <w:t xml:space="preserve"> </w:t>
      </w:r>
      <w:r w:rsidRPr="006E4DD4">
        <w:rPr>
          <w:rFonts w:cstheme="minorHAnsi"/>
        </w:rPr>
        <w:t>ad essere espunte saranno le strutture da realizzare ex novo</w:t>
      </w:r>
      <w:r w:rsidR="002076DB" w:rsidRPr="002076DB">
        <w:rPr>
          <w:rFonts w:cstheme="minorHAnsi"/>
        </w:rPr>
        <w:t xml:space="preserve"> </w:t>
      </w:r>
      <w:r w:rsidR="002076DB" w:rsidRPr="006E4DD4">
        <w:rPr>
          <w:rFonts w:cstheme="minorHAnsi"/>
        </w:rPr>
        <w:t>– spiega Cartabellotta –</w:t>
      </w:r>
      <w:r w:rsidRPr="006E4DD4">
        <w:rPr>
          <w:rFonts w:cstheme="minorHAnsi"/>
        </w:rPr>
        <w:t xml:space="preserve"> </w:t>
      </w:r>
      <w:r w:rsidR="00CA5DBC" w:rsidRPr="006E4DD4">
        <w:rPr>
          <w:rFonts w:cstheme="minorHAnsi"/>
        </w:rPr>
        <w:t xml:space="preserve">ad essere penalizzate </w:t>
      </w:r>
      <w:r w:rsidRPr="006E4DD4">
        <w:rPr>
          <w:rFonts w:cstheme="minorHAnsi"/>
        </w:rPr>
        <w:t xml:space="preserve">saranno prevalentemente le Regioni del Centro-Sud». Secondo le dichiarazioni pubbliche le strutture espunte dovrebbero essere </w:t>
      </w:r>
      <w:r>
        <w:rPr>
          <w:rFonts w:cstheme="minorHAnsi"/>
        </w:rPr>
        <w:t xml:space="preserve">realizzate </w:t>
      </w:r>
      <w:r w:rsidRPr="006E4DD4">
        <w:rPr>
          <w:rFonts w:cstheme="minorHAnsi"/>
        </w:rPr>
        <w:t>con le risorse del programma di investimenti in edilizia sanitaria e ammodernamento tecnologico (ex art. 20 L. 67/1988) non spese dalle Regioni. «Tuttavia – precisa il Presidente –</w:t>
      </w:r>
      <w:r>
        <w:rPr>
          <w:rFonts w:cstheme="minorHAnsi"/>
        </w:rPr>
        <w:t xml:space="preserve"> se da un lato le Regioni hanno già espresso le loro perplessità in merito all’utilizzo di tali fondi, dall’altro </w:t>
      </w:r>
      <w:r w:rsidRPr="006E4DD4">
        <w:rPr>
          <w:rFonts w:cstheme="minorHAnsi"/>
        </w:rPr>
        <w:t xml:space="preserve">il documento approvato dalla Commissione Europea </w:t>
      </w:r>
      <w:r w:rsidR="002076DB">
        <w:rPr>
          <w:rFonts w:cstheme="minorHAnsi"/>
        </w:rPr>
        <w:t xml:space="preserve">li </w:t>
      </w:r>
      <w:r w:rsidR="002F570C">
        <w:rPr>
          <w:rFonts w:cstheme="minorHAnsi"/>
        </w:rPr>
        <w:t xml:space="preserve">cita </w:t>
      </w:r>
      <w:r w:rsidRPr="006E4DD4">
        <w:rPr>
          <w:rFonts w:cstheme="minorHAnsi"/>
        </w:rPr>
        <w:t xml:space="preserve">solo per compensare gli investimenti relativi all’antisismica». </w:t>
      </w:r>
    </w:p>
    <w:p w14:paraId="282927D1" w14:textId="376E2E0C" w:rsidR="005B50EF" w:rsidRDefault="005B50EF" w:rsidP="005B50EF">
      <w:pPr>
        <w:pStyle w:val="Paragrafoelenco"/>
        <w:numPr>
          <w:ilvl w:val="0"/>
          <w:numId w:val="40"/>
        </w:numPr>
        <w:spacing w:line="276" w:lineRule="auto"/>
        <w:jc w:val="both"/>
      </w:pPr>
      <w:r>
        <w:t xml:space="preserve">Aumento del numero di persone over 65 da prendere in carico in assistenza domiciliare (da almeno 800 mila a 842 mila) </w:t>
      </w:r>
      <w:r w:rsidR="003525B9">
        <w:t xml:space="preserve">– di cui non è ancora disponibile la </w:t>
      </w:r>
      <w:r w:rsidR="00CA5DBC">
        <w:t xml:space="preserve">ripartizione </w:t>
      </w:r>
      <w:r w:rsidR="003525B9">
        <w:t xml:space="preserve">per Regioni </w:t>
      </w:r>
      <w:r w:rsidR="002076DB">
        <w:t>–</w:t>
      </w:r>
      <w:r w:rsidR="003525B9">
        <w:t xml:space="preserve"> </w:t>
      </w:r>
      <w:r>
        <w:t>e del numero di pazienti assistiti in telemedicina (da almeno 200 mila a 300 mila).</w:t>
      </w:r>
    </w:p>
    <w:p w14:paraId="4DE94DC6" w14:textId="77777777" w:rsidR="005B50EF" w:rsidRDefault="005B50EF" w:rsidP="005B50EF">
      <w:pPr>
        <w:pStyle w:val="Paragrafoelenco"/>
        <w:numPr>
          <w:ilvl w:val="0"/>
          <w:numId w:val="40"/>
        </w:numPr>
        <w:spacing w:line="276" w:lineRule="auto"/>
        <w:jc w:val="both"/>
      </w:pPr>
      <w:r>
        <w:t xml:space="preserve">Riduzione dei posti letto di terapia intensiva (-808) e semi-intensiva (-995).  </w:t>
      </w:r>
    </w:p>
    <w:p w14:paraId="0A597E66" w14:textId="77777777" w:rsidR="005B50EF" w:rsidRDefault="005B50EF" w:rsidP="005B50EF">
      <w:pPr>
        <w:pStyle w:val="Paragrafoelenco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Differimento temporale </w:t>
      </w:r>
      <w:r w:rsidRPr="006E4DD4">
        <w:rPr>
          <w:rFonts w:cstheme="minorHAnsi"/>
        </w:rPr>
        <w:t>del target relativo all’attivazione delle Centrali Operative Territoriali dal 30 giugno 2024 al 31 dicembre 2024 (+6 mesi)</w:t>
      </w:r>
      <w:r>
        <w:rPr>
          <w:rFonts w:cstheme="minorHAnsi"/>
        </w:rPr>
        <w:t xml:space="preserve"> e, soprattutto, </w:t>
      </w:r>
      <w:r w:rsidRPr="006E4DD4">
        <w:rPr>
          <w:rFonts w:cstheme="minorHAnsi"/>
        </w:rPr>
        <w:t>all’installazione delle grandi apparecchiature dal 31 dicembre 2024 al 30 giugno 2026 (+18 mesi).</w:t>
      </w:r>
    </w:p>
    <w:p w14:paraId="2652BDE3" w14:textId="77777777" w:rsidR="00EA5A8D" w:rsidRDefault="00EA5A8D" w:rsidP="00EA5A8D">
      <w:pPr>
        <w:jc w:val="both"/>
        <w:rPr>
          <w:rFonts w:cstheme="minorHAnsi"/>
        </w:rPr>
      </w:pPr>
    </w:p>
    <w:p w14:paraId="4090A43F" w14:textId="06FB01AF" w:rsidR="00CF559C" w:rsidRDefault="00EA5A8D" w:rsidP="005B50EF">
      <w:pPr>
        <w:jc w:val="both"/>
        <w:rPr>
          <w:rFonts w:cstheme="minorHAnsi"/>
        </w:rPr>
      </w:pPr>
      <w:r>
        <w:rPr>
          <w:rFonts w:cstheme="minorHAnsi"/>
        </w:rPr>
        <w:t>Formalmente, al 31 dicembre 2023 le scadenze europee sul PNRR che condizionano il pagamento delle rate sono state tutte rispettate</w:t>
      </w:r>
      <w:r w:rsidR="003525B9">
        <w:rPr>
          <w:rFonts w:cstheme="minorHAnsi"/>
        </w:rPr>
        <w:t xml:space="preserve">. E </w:t>
      </w:r>
      <w:r>
        <w:rPr>
          <w:rFonts w:cstheme="minorHAnsi"/>
        </w:rPr>
        <w:t xml:space="preserve">delle scadenze nazionali l’unica da </w:t>
      </w:r>
      <w:r w:rsidR="00D864D9">
        <w:rPr>
          <w:rFonts w:cstheme="minorHAnsi"/>
        </w:rPr>
        <w:t>“</w:t>
      </w:r>
      <w:r>
        <w:rPr>
          <w:rFonts w:cstheme="minorHAnsi"/>
        </w:rPr>
        <w:t>attenzionare</w:t>
      </w:r>
      <w:r w:rsidR="00D864D9">
        <w:rPr>
          <w:rFonts w:cstheme="minorHAnsi"/>
        </w:rPr>
        <w:t>”</w:t>
      </w:r>
      <w:r>
        <w:rPr>
          <w:rFonts w:cstheme="minorHAnsi"/>
        </w:rPr>
        <w:t xml:space="preserve">, tra </w:t>
      </w:r>
      <w:r w:rsidR="00584C9B">
        <w:rPr>
          <w:rFonts w:cstheme="minorHAnsi"/>
        </w:rPr>
        <w:t>le tre</w:t>
      </w:r>
      <w:r>
        <w:rPr>
          <w:rFonts w:cstheme="minorHAnsi"/>
        </w:rPr>
        <w:t xml:space="preserve"> differite, riguarda l’assistenza domiciliare negli over 65. </w:t>
      </w:r>
      <w:r w:rsidR="003525B9">
        <w:rPr>
          <w:rFonts w:cstheme="minorHAnsi"/>
        </w:rPr>
        <w:t xml:space="preserve"> </w:t>
      </w:r>
      <w:r>
        <w:rPr>
          <w:rFonts w:cstheme="minorHAnsi"/>
        </w:rPr>
        <w:t xml:space="preserve">Tuttavia, commenta il Presidente </w:t>
      </w:r>
      <w:r w:rsidRPr="008B2BDC">
        <w:rPr>
          <w:rFonts w:cstheme="minorHAnsi"/>
        </w:rPr>
        <w:t>«</w:t>
      </w:r>
      <w:r w:rsidR="00D864D9">
        <w:rPr>
          <w:rFonts w:cstheme="minorHAnsi"/>
        </w:rPr>
        <w:t xml:space="preserve">effettuata </w:t>
      </w:r>
      <w:r w:rsidRPr="00843951">
        <w:rPr>
          <w:rFonts w:cstheme="minorHAnsi"/>
        </w:rPr>
        <w:t xml:space="preserve">la </w:t>
      </w:r>
      <w:r>
        <w:rPr>
          <w:rFonts w:cstheme="minorHAnsi"/>
        </w:rPr>
        <w:t xml:space="preserve">“messa a terra” della Missione Salute, il rispetto delle scadenze successive sarà condizionato soprattutto dalle criticità di attuazione del DM 77 nei 21 servizi sanitari regionali, </w:t>
      </w:r>
      <w:r w:rsidR="00D864D9">
        <w:rPr>
          <w:rFonts w:cstheme="minorHAnsi"/>
        </w:rPr>
        <w:t>legate sia alle</w:t>
      </w:r>
      <w:r w:rsidR="00D14046">
        <w:rPr>
          <w:rFonts w:cstheme="minorHAnsi"/>
        </w:rPr>
        <w:t xml:space="preserve"> </w:t>
      </w:r>
      <w:r w:rsidRPr="00AC71A6">
        <w:rPr>
          <w:rFonts w:cstheme="minorHAnsi"/>
        </w:rPr>
        <w:t xml:space="preserve">figure chiave </w:t>
      </w:r>
      <w:r>
        <w:rPr>
          <w:rFonts w:cstheme="minorHAnsi"/>
        </w:rPr>
        <w:t xml:space="preserve">del personale sanitario </w:t>
      </w:r>
      <w:r w:rsidRPr="00CF559C">
        <w:rPr>
          <w:rFonts w:cstheme="minorHAnsi"/>
        </w:rPr>
        <w:t xml:space="preserve">coinvolte nella riorganizzazione dell’assistenza territoriale, sia </w:t>
      </w:r>
      <w:r w:rsidR="00D864D9" w:rsidRPr="00CF559C">
        <w:rPr>
          <w:rFonts w:cstheme="minorHAnsi"/>
        </w:rPr>
        <w:t xml:space="preserve">alle </w:t>
      </w:r>
      <w:r w:rsidRPr="00CF559C">
        <w:rPr>
          <w:rFonts w:cstheme="minorHAnsi"/>
        </w:rPr>
        <w:t xml:space="preserve">enormi differenze regionali, che rischiano di essere amplificate dall’autonomia differenziata». </w:t>
      </w:r>
    </w:p>
    <w:p w14:paraId="4F4B7518" w14:textId="07F9E2DA" w:rsidR="005B50EF" w:rsidRPr="008D40A7" w:rsidRDefault="00EA5A8D" w:rsidP="005B50EF">
      <w:pPr>
        <w:jc w:val="both"/>
        <w:rPr>
          <w:rFonts w:cstheme="minorHAnsi"/>
        </w:rPr>
      </w:pPr>
      <w:r w:rsidRPr="00CF559C">
        <w:rPr>
          <w:rFonts w:cstheme="minorHAnsi"/>
        </w:rPr>
        <w:t>In</w:t>
      </w:r>
      <w:r w:rsidR="00853F5B" w:rsidRPr="00CF559C">
        <w:rPr>
          <w:rFonts w:cstheme="minorHAnsi"/>
        </w:rPr>
        <w:t xml:space="preserve">nanzitutto, </w:t>
      </w:r>
      <w:r w:rsidRPr="00CF559C">
        <w:rPr>
          <w:rFonts w:cstheme="minorHAnsi"/>
        </w:rPr>
        <w:t>la gravissima carenza di personale infermieristico</w:t>
      </w:r>
      <w:r w:rsidR="00736425" w:rsidRPr="00CF559C">
        <w:rPr>
          <w:rFonts w:cstheme="minorHAnsi"/>
        </w:rPr>
        <w:t>: gli ultimi dati relativi al 2021 documentano un numero di infermieri in Italia pari a 6,2 per 1</w:t>
      </w:r>
      <w:r w:rsidR="00FB31E1" w:rsidRPr="00CF559C">
        <w:rPr>
          <w:rFonts w:cstheme="minorHAnsi"/>
        </w:rPr>
        <w:t>.</w:t>
      </w:r>
      <w:r w:rsidR="00736425" w:rsidRPr="00CF559C">
        <w:rPr>
          <w:rFonts w:cstheme="minorHAnsi"/>
        </w:rPr>
        <w:t>000 abitanti, rispetto alla media OCSE di 9</w:t>
      </w:r>
      <w:r w:rsidR="00FB31E1" w:rsidRPr="00CF559C">
        <w:rPr>
          <w:rFonts w:cstheme="minorHAnsi"/>
        </w:rPr>
        <w:t>,</w:t>
      </w:r>
      <w:r w:rsidR="00736425" w:rsidRPr="00CF559C">
        <w:rPr>
          <w:rFonts w:cstheme="minorHAnsi"/>
        </w:rPr>
        <w:t>9, con rilevanti differenze tra Regioni che penalizzano prevalentemente quelle del Centro-Sud sottoposte a Piano di Rientro (</w:t>
      </w:r>
      <w:r w:rsidR="00736425" w:rsidRPr="00CD782D">
        <w:rPr>
          <w:rFonts w:cstheme="minorHAnsi"/>
          <w:highlight w:val="yellow"/>
        </w:rPr>
        <w:t>figura 1</w:t>
      </w:r>
      <w:r w:rsidR="00736425" w:rsidRPr="00CF559C">
        <w:rPr>
          <w:rFonts w:cstheme="minorHAnsi"/>
        </w:rPr>
        <w:t xml:space="preserve">). Una carenza che </w:t>
      </w:r>
      <w:r w:rsidR="00FB31E1" w:rsidRPr="00CF559C">
        <w:rPr>
          <w:rFonts w:cstheme="minorHAnsi"/>
        </w:rPr>
        <w:t>stride</w:t>
      </w:r>
      <w:r w:rsidR="00736425" w:rsidRPr="00CF559C">
        <w:rPr>
          <w:rFonts w:cstheme="minorHAnsi"/>
        </w:rPr>
        <w:t xml:space="preserve"> </w:t>
      </w:r>
      <w:r w:rsidR="00E20BD3" w:rsidRPr="00CF559C">
        <w:rPr>
          <w:rFonts w:cstheme="minorHAnsi"/>
        </w:rPr>
        <w:t xml:space="preserve">con </w:t>
      </w:r>
      <w:r w:rsidR="00736425" w:rsidRPr="00CF559C">
        <w:rPr>
          <w:rFonts w:cstheme="minorHAnsi"/>
        </w:rPr>
        <w:t xml:space="preserve">il fabbisogno stimato da </w:t>
      </w:r>
      <w:r w:rsidR="00E20BD3" w:rsidRPr="00CF559C">
        <w:rPr>
          <w:rFonts w:cstheme="minorHAnsi"/>
        </w:rPr>
        <w:t>Agenas per attua</w:t>
      </w:r>
      <w:r w:rsidR="00736425" w:rsidRPr="00CF559C">
        <w:rPr>
          <w:rFonts w:cstheme="minorHAnsi"/>
        </w:rPr>
        <w:t>re</w:t>
      </w:r>
      <w:r w:rsidR="00E20BD3" w:rsidRPr="00CF559C">
        <w:rPr>
          <w:rFonts w:cstheme="minorHAnsi"/>
        </w:rPr>
        <w:t xml:space="preserve"> </w:t>
      </w:r>
      <w:r w:rsidR="00736425" w:rsidRPr="00CF559C">
        <w:rPr>
          <w:rFonts w:cstheme="minorHAnsi"/>
        </w:rPr>
        <w:t xml:space="preserve">il </w:t>
      </w:r>
      <w:r w:rsidR="00E20BD3" w:rsidRPr="00CF559C">
        <w:rPr>
          <w:rFonts w:cstheme="minorHAnsi"/>
        </w:rPr>
        <w:t>DM 77</w:t>
      </w:r>
      <w:r w:rsidR="00736425" w:rsidRPr="00CF559C">
        <w:rPr>
          <w:rFonts w:cstheme="minorHAnsi"/>
        </w:rPr>
        <w:t>:</w:t>
      </w:r>
      <w:r w:rsidR="00E20BD3" w:rsidRPr="00CF559C">
        <w:rPr>
          <w:rFonts w:cstheme="minorHAnsi"/>
        </w:rPr>
        <w:t xml:space="preserve"> </w:t>
      </w:r>
      <w:r w:rsidR="00CF559C" w:rsidRPr="00CF559C">
        <w:rPr>
          <w:rFonts w:cstheme="minorHAnsi"/>
        </w:rPr>
        <w:t xml:space="preserve">un range </w:t>
      </w:r>
      <w:r w:rsidR="00736425" w:rsidRPr="00CF559C">
        <w:rPr>
          <w:rFonts w:cstheme="minorHAnsi"/>
        </w:rPr>
        <w:t xml:space="preserve">da </w:t>
      </w:r>
      <w:r w:rsidR="00E20BD3" w:rsidRPr="00CF559C">
        <w:rPr>
          <w:rFonts w:cstheme="minorHAnsi"/>
        </w:rPr>
        <w:t xml:space="preserve">19.450 </w:t>
      </w:r>
      <w:r w:rsidR="00736425" w:rsidRPr="00CF559C">
        <w:rPr>
          <w:rFonts w:cstheme="minorHAnsi"/>
        </w:rPr>
        <w:t>a</w:t>
      </w:r>
      <w:r w:rsidR="00E20BD3" w:rsidRPr="00CF559C">
        <w:rPr>
          <w:rFonts w:cstheme="minorHAnsi"/>
        </w:rPr>
        <w:t xml:space="preserve"> 26.850 infermieri</w:t>
      </w:r>
      <w:r w:rsidR="00736425" w:rsidRPr="00CF559C">
        <w:rPr>
          <w:rFonts w:cstheme="minorHAnsi"/>
        </w:rPr>
        <w:t>. In secondo luogo, il</w:t>
      </w:r>
      <w:r w:rsidRPr="00CF559C">
        <w:rPr>
          <w:rFonts w:cstheme="minorHAnsi"/>
        </w:rPr>
        <w:t xml:space="preserve"> limbo in cui rimangono le modalità di coinvolgimento dei medici di famiglia nelle Case della Comunità.</w:t>
      </w:r>
      <w:r>
        <w:rPr>
          <w:rFonts w:cstheme="minorHAnsi"/>
        </w:rPr>
        <w:t xml:space="preserve"> </w:t>
      </w:r>
      <w:r w:rsidR="00736425">
        <w:rPr>
          <w:rFonts w:cstheme="minorHAnsi"/>
        </w:rPr>
        <w:t xml:space="preserve">Infine, </w:t>
      </w:r>
      <w:r>
        <w:rPr>
          <w:rFonts w:cstheme="minorHAnsi"/>
        </w:rPr>
        <w:t>tutte l</w:t>
      </w:r>
      <w:r w:rsidRPr="00AC71A6">
        <w:rPr>
          <w:rFonts w:cstheme="minorHAnsi"/>
        </w:rPr>
        <w:t xml:space="preserve">e </w:t>
      </w:r>
      <w:r w:rsidRPr="008B2BDC">
        <w:rPr>
          <w:rFonts w:cstheme="minorHAnsi"/>
        </w:rPr>
        <w:t>differenze regionali</w:t>
      </w:r>
      <w:r>
        <w:rPr>
          <w:rFonts w:cstheme="minorHAnsi"/>
        </w:rPr>
        <w:t xml:space="preserve"> che, oltre alla già citata ADI, riguardano i </w:t>
      </w:r>
      <w:r w:rsidRPr="008B2BDC">
        <w:rPr>
          <w:rFonts w:cstheme="minorHAnsi"/>
        </w:rPr>
        <w:t>modelli organizzativi</w:t>
      </w:r>
      <w:r>
        <w:rPr>
          <w:rFonts w:cstheme="minorHAnsi"/>
        </w:rPr>
        <w:t xml:space="preserve"> dell’assistenza territoriale</w:t>
      </w:r>
      <w:r w:rsidRPr="008B2BDC">
        <w:rPr>
          <w:rFonts w:cstheme="minorHAnsi"/>
        </w:rPr>
        <w:t xml:space="preserve">, </w:t>
      </w:r>
      <w:r>
        <w:rPr>
          <w:rFonts w:cstheme="minorHAnsi"/>
        </w:rPr>
        <w:t xml:space="preserve">la </w:t>
      </w:r>
      <w:r w:rsidRPr="008B2BDC">
        <w:rPr>
          <w:rFonts w:cstheme="minorHAnsi"/>
        </w:rPr>
        <w:t xml:space="preserve">dotazione iniziale di </w:t>
      </w:r>
      <w:r>
        <w:rPr>
          <w:rFonts w:cstheme="minorHAnsi"/>
        </w:rPr>
        <w:t>C</w:t>
      </w:r>
      <w:r w:rsidRPr="008B2BDC">
        <w:rPr>
          <w:rFonts w:cstheme="minorHAnsi"/>
        </w:rPr>
        <w:t xml:space="preserve">ase </w:t>
      </w:r>
      <w:r>
        <w:rPr>
          <w:rFonts w:cstheme="minorHAnsi"/>
        </w:rPr>
        <w:t xml:space="preserve">della </w:t>
      </w:r>
      <w:r w:rsidRPr="008B2BDC">
        <w:rPr>
          <w:rFonts w:cstheme="minorHAnsi"/>
        </w:rPr>
        <w:t xml:space="preserve">comunità e </w:t>
      </w:r>
      <w:r>
        <w:rPr>
          <w:rFonts w:cstheme="minorHAnsi"/>
        </w:rPr>
        <w:lastRenderedPageBreak/>
        <w:t>O</w:t>
      </w:r>
      <w:r w:rsidRPr="008B2BDC">
        <w:rPr>
          <w:rFonts w:cstheme="minorHAnsi"/>
        </w:rPr>
        <w:t>spedali di comunità</w:t>
      </w:r>
      <w:r w:rsidR="00FB31E1">
        <w:rPr>
          <w:rFonts w:cstheme="minorHAnsi"/>
        </w:rPr>
        <w:t xml:space="preserve"> e</w:t>
      </w:r>
      <w:r w:rsidR="00FB31E1" w:rsidRPr="008B2BDC">
        <w:rPr>
          <w:rFonts w:cstheme="minorHAnsi"/>
        </w:rPr>
        <w:t xml:space="preserve"> </w:t>
      </w:r>
      <w:r>
        <w:rPr>
          <w:rFonts w:cstheme="minorHAnsi"/>
        </w:rPr>
        <w:t>l’</w:t>
      </w:r>
      <w:r w:rsidRPr="008B2BDC">
        <w:rPr>
          <w:rFonts w:cstheme="minorHAnsi"/>
        </w:rPr>
        <w:t>attuazione del fascicolo sanitario elettronico</w:t>
      </w:r>
      <w:r>
        <w:rPr>
          <w:rFonts w:cstheme="minorHAnsi"/>
        </w:rPr>
        <w:t>.</w:t>
      </w:r>
      <w:r w:rsidR="008D40A7">
        <w:rPr>
          <w:rFonts w:cstheme="minorHAnsi"/>
        </w:rPr>
        <w:t xml:space="preserve"> Ma soprattutto, continua Cartabellotta </w:t>
      </w:r>
      <w:r w:rsidR="008D40A7" w:rsidRPr="008B2BDC">
        <w:rPr>
          <w:rFonts w:cstheme="minorHAnsi"/>
        </w:rPr>
        <w:t>«</w:t>
      </w:r>
      <w:r w:rsidR="008D40A7">
        <w:rPr>
          <w:rFonts w:cstheme="minorHAnsi"/>
        </w:rPr>
        <w:t>l’esigibilità dei miglioramenti organizzativi e dei nuovi servizi da parte dei cittadini</w:t>
      </w:r>
      <w:r w:rsidR="00F15F6A">
        <w:rPr>
          <w:rFonts w:cstheme="minorHAnsi"/>
        </w:rPr>
        <w:t xml:space="preserve"> </w:t>
      </w:r>
      <w:r w:rsidR="008D40A7">
        <w:rPr>
          <w:rFonts w:cstheme="minorHAnsi"/>
        </w:rPr>
        <w:t xml:space="preserve">si allontana anche per la rimodulazione al ribasso e lo slittamento di 18 mesi della scadenza per rinnovare le grandi apparecchiature, peraltro </w:t>
      </w:r>
      <w:r w:rsidR="00FB31E1">
        <w:rPr>
          <w:rFonts w:cstheme="minorHAnsi"/>
        </w:rPr>
        <w:t xml:space="preserve">motivato </w:t>
      </w:r>
      <w:r w:rsidR="008D40A7">
        <w:rPr>
          <w:rFonts w:cstheme="minorHAnsi"/>
        </w:rPr>
        <w:t xml:space="preserve">da criticità minori, </w:t>
      </w:r>
      <w:r w:rsidR="00F15F6A">
        <w:rPr>
          <w:rFonts w:cstheme="minorHAnsi"/>
        </w:rPr>
        <w:t xml:space="preserve">quali </w:t>
      </w:r>
      <w:r w:rsidR="008D40A7" w:rsidRPr="008D40A7">
        <w:rPr>
          <w:rFonts w:cstheme="minorHAnsi"/>
        </w:rPr>
        <w:t>lo smaltimento dell</w:t>
      </w:r>
      <w:r w:rsidR="008D40A7">
        <w:rPr>
          <w:rFonts w:cstheme="minorHAnsi"/>
        </w:rPr>
        <w:t>e</w:t>
      </w:r>
      <w:r w:rsidR="008D40A7" w:rsidRPr="008D40A7">
        <w:rPr>
          <w:rFonts w:cstheme="minorHAnsi"/>
        </w:rPr>
        <w:t xml:space="preserve"> vecchi</w:t>
      </w:r>
      <w:r w:rsidR="008D40A7">
        <w:rPr>
          <w:rFonts w:cstheme="minorHAnsi"/>
        </w:rPr>
        <w:t>e</w:t>
      </w:r>
      <w:r w:rsidR="008D40A7" w:rsidRPr="008D40A7">
        <w:rPr>
          <w:rFonts w:cstheme="minorHAnsi"/>
        </w:rPr>
        <w:t xml:space="preserve"> apparecchiatur</w:t>
      </w:r>
      <w:r w:rsidR="008D40A7">
        <w:rPr>
          <w:rFonts w:cstheme="minorHAnsi"/>
        </w:rPr>
        <w:t>e</w:t>
      </w:r>
      <w:r w:rsidR="008D40A7" w:rsidRPr="008D40A7">
        <w:rPr>
          <w:rFonts w:cstheme="minorHAnsi"/>
        </w:rPr>
        <w:t xml:space="preserve"> e </w:t>
      </w:r>
      <w:r w:rsidR="008D40A7">
        <w:rPr>
          <w:rFonts w:cstheme="minorHAnsi"/>
        </w:rPr>
        <w:t>l’adeguamento dei locali</w:t>
      </w:r>
      <w:r w:rsidR="008D40A7" w:rsidRPr="008B2BDC">
        <w:rPr>
          <w:rFonts w:cstheme="minorHAnsi"/>
        </w:rPr>
        <w:t>»</w:t>
      </w:r>
      <w:r w:rsidR="008D40A7">
        <w:rPr>
          <w:rFonts w:cstheme="minorHAnsi"/>
        </w:rPr>
        <w:t>.</w:t>
      </w:r>
    </w:p>
    <w:p w14:paraId="1CD80C70" w14:textId="0EA9FBEF" w:rsidR="005A0473" w:rsidRDefault="00160151" w:rsidP="00E01976">
      <w:pPr>
        <w:jc w:val="both"/>
        <w:rPr>
          <w:rFonts w:cstheme="minorHAnsi"/>
        </w:rPr>
      </w:pPr>
      <w:r w:rsidRPr="008B2BDC">
        <w:rPr>
          <w:rFonts w:cstheme="minorHAnsi"/>
        </w:rPr>
        <w:t>«</w:t>
      </w:r>
      <w:r>
        <w:rPr>
          <w:rFonts w:cstheme="minorHAnsi"/>
        </w:rPr>
        <w:t>L</w:t>
      </w:r>
      <w:r w:rsidR="00FF5229" w:rsidRPr="008B2BDC">
        <w:rPr>
          <w:rFonts w:cstheme="minorHAnsi"/>
        </w:rPr>
        <w:t xml:space="preserve">a Missione Salute del PNRR </w:t>
      </w:r>
      <w:r w:rsidRPr="008B2BDC">
        <w:rPr>
          <w:rFonts w:cstheme="minorHAnsi"/>
        </w:rPr>
        <w:t xml:space="preserve">– </w:t>
      </w:r>
      <w:r>
        <w:rPr>
          <w:rFonts w:cstheme="minorHAnsi"/>
        </w:rPr>
        <w:t xml:space="preserve">conclude </w:t>
      </w:r>
      <w:r w:rsidRPr="008B2BDC">
        <w:rPr>
          <w:rFonts w:cstheme="minorHAnsi"/>
        </w:rPr>
        <w:t xml:space="preserve">Cartabellotta – </w:t>
      </w:r>
      <w:r w:rsidR="00736425">
        <w:rPr>
          <w:rFonts w:cstheme="minorHAnsi"/>
        </w:rPr>
        <w:t xml:space="preserve">rappresenta </w:t>
      </w:r>
      <w:r w:rsidR="00FF5229" w:rsidRPr="008B2BDC">
        <w:rPr>
          <w:rFonts w:cstheme="minorHAnsi"/>
        </w:rPr>
        <w:t>una grande opportunità per potenziare il SSN</w:t>
      </w:r>
      <w:r>
        <w:rPr>
          <w:rFonts w:cstheme="minorHAnsi"/>
        </w:rPr>
        <w:t>, ma</w:t>
      </w:r>
      <w:r w:rsidR="00581465" w:rsidRPr="008B2BDC">
        <w:rPr>
          <w:rFonts w:cstheme="minorHAnsi"/>
        </w:rPr>
        <w:t xml:space="preserve"> </w:t>
      </w:r>
      <w:r w:rsidR="00FF5229" w:rsidRPr="008B2BDC">
        <w:rPr>
          <w:rFonts w:cstheme="minorHAnsi"/>
        </w:rPr>
        <w:t xml:space="preserve">la sua attuazione deve essere sostenuta da </w:t>
      </w:r>
      <w:r w:rsidR="00581465" w:rsidRPr="008B2BDC">
        <w:rPr>
          <w:rFonts w:cstheme="minorHAnsi"/>
        </w:rPr>
        <w:t>a</w:t>
      </w:r>
      <w:r w:rsidR="00FF5229" w:rsidRPr="008B2BDC">
        <w:rPr>
          <w:rFonts w:cstheme="minorHAnsi"/>
        </w:rPr>
        <w:t xml:space="preserve">zioni politiche. Innanzitutto, per attuare </w:t>
      </w:r>
      <w:r>
        <w:rPr>
          <w:rFonts w:cstheme="minorHAnsi"/>
        </w:rPr>
        <w:t xml:space="preserve">la riorganizzazione dell’assistenza territoriale </w:t>
      </w:r>
      <w:r w:rsidRPr="00CF559C">
        <w:rPr>
          <w:rFonts w:cstheme="minorHAnsi"/>
        </w:rPr>
        <w:t xml:space="preserve">servono </w:t>
      </w:r>
      <w:r w:rsidR="00FF5229" w:rsidRPr="00FD0D5E">
        <w:rPr>
          <w:rFonts w:cstheme="minorHAnsi"/>
        </w:rPr>
        <w:t xml:space="preserve">coraggiose riforme, finalizzate in particolare a </w:t>
      </w:r>
      <w:r w:rsidR="008B2BDC" w:rsidRPr="00FD0D5E">
        <w:rPr>
          <w:rFonts w:cstheme="minorHAnsi"/>
        </w:rPr>
        <w:t xml:space="preserve">definire </w:t>
      </w:r>
      <w:r w:rsidR="00D83E51" w:rsidRPr="00FD0D5E">
        <w:rPr>
          <w:rFonts w:cstheme="minorHAnsi"/>
        </w:rPr>
        <w:t xml:space="preserve">il </w:t>
      </w:r>
      <w:r w:rsidR="00FF5229" w:rsidRPr="00FD0D5E">
        <w:rPr>
          <w:rFonts w:cstheme="minorHAnsi"/>
        </w:rPr>
        <w:t xml:space="preserve">ruolo e responsabilità dei medici di famiglia; in </w:t>
      </w:r>
      <w:r w:rsidR="00FF5229" w:rsidRPr="008B2BDC">
        <w:rPr>
          <w:rFonts w:cstheme="minorHAnsi"/>
        </w:rPr>
        <w:t xml:space="preserve">secondo luogo, </w:t>
      </w:r>
      <w:r w:rsidR="00FB31E1" w:rsidRPr="00CF559C">
        <w:rPr>
          <w:rFonts w:cstheme="minorHAnsi"/>
        </w:rPr>
        <w:t xml:space="preserve">urgono </w:t>
      </w:r>
      <w:r w:rsidR="00736425">
        <w:rPr>
          <w:rFonts w:cstheme="minorHAnsi"/>
        </w:rPr>
        <w:t>interventi</w:t>
      </w:r>
      <w:r w:rsidR="005A0473">
        <w:rPr>
          <w:rFonts w:cstheme="minorHAnsi"/>
        </w:rPr>
        <w:t xml:space="preserve"> straordinari per reclutare</w:t>
      </w:r>
      <w:r w:rsidR="00B45C22" w:rsidRPr="008B2BDC">
        <w:rPr>
          <w:rFonts w:cstheme="minorHAnsi"/>
        </w:rPr>
        <w:t xml:space="preserve"> </w:t>
      </w:r>
      <w:r w:rsidR="005A0473">
        <w:rPr>
          <w:rFonts w:cstheme="minorHAnsi"/>
        </w:rPr>
        <w:t xml:space="preserve">in tempi brevi il </w:t>
      </w:r>
      <w:r w:rsidR="00B45C22" w:rsidRPr="008B2BDC">
        <w:rPr>
          <w:rFonts w:cstheme="minorHAnsi"/>
        </w:rPr>
        <w:t>personale infermieristico</w:t>
      </w:r>
      <w:r w:rsidR="00B45C22">
        <w:rPr>
          <w:rFonts w:cstheme="minorHAnsi"/>
        </w:rPr>
        <w:t xml:space="preserve">, oltre a </w:t>
      </w:r>
      <w:r w:rsidR="00FF5229" w:rsidRPr="008B2BDC">
        <w:rPr>
          <w:rFonts w:cstheme="minorHAnsi"/>
        </w:rPr>
        <w:t xml:space="preserve">investimenti certi e vincolati per il personale sanitario dal 2027; infine, occorre </w:t>
      </w:r>
      <w:r w:rsidR="000073CA" w:rsidRPr="008B2BDC">
        <w:rPr>
          <w:rFonts w:cstheme="minorHAnsi"/>
        </w:rPr>
        <w:t xml:space="preserve">supportare le Regioni meridionali </w:t>
      </w:r>
      <w:r w:rsidR="00FF5229" w:rsidRPr="008B2BDC">
        <w:rPr>
          <w:rFonts w:cstheme="minorHAnsi"/>
        </w:rPr>
        <w:t>per colmare i gap esistenti</w:t>
      </w:r>
      <w:r w:rsidR="000073CA" w:rsidRPr="008B2BDC">
        <w:rPr>
          <w:rFonts w:cstheme="minorHAnsi"/>
        </w:rPr>
        <w:t xml:space="preserve"> </w:t>
      </w:r>
      <w:r w:rsidR="00D864D9">
        <w:rPr>
          <w:rFonts w:cstheme="minorHAnsi"/>
        </w:rPr>
        <w:t>con il Nord</w:t>
      </w:r>
      <w:r>
        <w:rPr>
          <w:rFonts w:cstheme="minorHAnsi"/>
        </w:rPr>
        <w:t xml:space="preserve">. </w:t>
      </w:r>
      <w:r w:rsidR="005A0473">
        <w:rPr>
          <w:rFonts w:cstheme="minorHAnsi"/>
        </w:rPr>
        <w:t xml:space="preserve">In tal senso, va in </w:t>
      </w:r>
      <w:r w:rsidR="00CF559C">
        <w:rPr>
          <w:rFonts w:cstheme="minorHAnsi"/>
        </w:rPr>
        <w:t>“</w:t>
      </w:r>
      <w:r w:rsidR="005A0473">
        <w:rPr>
          <w:rFonts w:cstheme="minorHAnsi"/>
        </w:rPr>
        <w:t xml:space="preserve">direzione </w:t>
      </w:r>
      <w:r w:rsidR="002B043D">
        <w:rPr>
          <w:rFonts w:cstheme="minorHAnsi"/>
        </w:rPr>
        <w:t xml:space="preserve">ostinata e </w:t>
      </w:r>
      <w:r w:rsidR="005A0473">
        <w:rPr>
          <w:rFonts w:cstheme="minorHAnsi"/>
        </w:rPr>
        <w:t>contraria</w:t>
      </w:r>
      <w:r w:rsidR="00CF559C">
        <w:rPr>
          <w:rFonts w:cstheme="minorHAnsi"/>
        </w:rPr>
        <w:t>”</w:t>
      </w:r>
      <w:r w:rsidR="005A0473">
        <w:rPr>
          <w:rFonts w:cstheme="minorHAnsi"/>
        </w:rPr>
        <w:t xml:space="preserve"> </w:t>
      </w:r>
      <w:r w:rsidR="005A0473" w:rsidRPr="005A0473">
        <w:rPr>
          <w:rFonts w:cstheme="minorHAnsi"/>
        </w:rPr>
        <w:t xml:space="preserve">l’intero impianto normativo del </w:t>
      </w:r>
      <w:proofErr w:type="spellStart"/>
      <w:r w:rsidR="005A0473" w:rsidRPr="005A0473">
        <w:rPr>
          <w:rFonts w:cstheme="minorHAnsi"/>
        </w:rPr>
        <w:t>Ddl</w:t>
      </w:r>
      <w:proofErr w:type="spellEnd"/>
      <w:r w:rsidR="005A0473" w:rsidRPr="005A0473">
        <w:rPr>
          <w:rFonts w:cstheme="minorHAnsi"/>
        </w:rPr>
        <w:t xml:space="preserve"> Calderoli </w:t>
      </w:r>
      <w:r w:rsidR="00D864D9">
        <w:rPr>
          <w:rFonts w:cstheme="minorHAnsi"/>
        </w:rPr>
        <w:t xml:space="preserve">che </w:t>
      </w:r>
      <w:r w:rsidR="005A0473" w:rsidRPr="005A0473">
        <w:rPr>
          <w:rFonts w:cstheme="minorHAnsi"/>
        </w:rPr>
        <w:t>contrasta il fine ultimo del PNRR, sottoscritto dall’Italia e per il quale abbiamo indebitato le future generazioni</w:t>
      </w:r>
      <w:r w:rsidR="005A0473">
        <w:rPr>
          <w:rFonts w:cstheme="minorHAnsi"/>
        </w:rPr>
        <w:t>. Ovvero</w:t>
      </w:r>
      <w:r w:rsidR="005A0473" w:rsidRPr="005A0473">
        <w:rPr>
          <w:rFonts w:cstheme="minorHAnsi"/>
        </w:rPr>
        <w:t xml:space="preserve"> persegu</w:t>
      </w:r>
      <w:r w:rsidR="005A0473">
        <w:rPr>
          <w:rFonts w:cstheme="minorHAnsi"/>
        </w:rPr>
        <w:t>ire</w:t>
      </w:r>
      <w:r w:rsidR="005A0473" w:rsidRPr="005A0473">
        <w:rPr>
          <w:rFonts w:cstheme="minorHAnsi"/>
        </w:rPr>
        <w:t xml:space="preserve"> il riequilibrio territoriale e il rilancio del Sud come priorità trasversale a tutte le missioni</w:t>
      </w:r>
      <w:r w:rsidR="005A0473">
        <w:rPr>
          <w:rFonts w:cstheme="minorHAnsi"/>
        </w:rPr>
        <w:t xml:space="preserve"> </w:t>
      </w:r>
      <w:r w:rsidR="005A0473" w:rsidRPr="005A0473">
        <w:rPr>
          <w:rFonts w:cstheme="minorHAnsi"/>
        </w:rPr>
        <w:t xml:space="preserve">per rilanciare il Mezzogiorno, accompagnando il processo di convergenza tra Sud e Centro-Nord quale obiettivo di crescita economica, come più volte ribadito nelle raccomandazioni della Commissione </w:t>
      </w:r>
      <w:r w:rsidR="00736425">
        <w:rPr>
          <w:rFonts w:cstheme="minorHAnsi"/>
        </w:rPr>
        <w:t>E</w:t>
      </w:r>
      <w:r w:rsidR="005A0473" w:rsidRPr="005A0473">
        <w:rPr>
          <w:rFonts w:cstheme="minorHAnsi"/>
        </w:rPr>
        <w:t>uropea</w:t>
      </w:r>
      <w:r w:rsidR="00FF5229" w:rsidRPr="008B2BDC">
        <w:rPr>
          <w:rFonts w:cstheme="minorHAnsi"/>
        </w:rPr>
        <w:t>».</w:t>
      </w:r>
    </w:p>
    <w:p w14:paraId="2761DBB0" w14:textId="77777777" w:rsidR="00FD63E4" w:rsidRPr="005240BD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7035AED9" w14:textId="77777777" w:rsidR="00FD63E4" w:rsidRPr="005240BD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5681B8B6" w14:textId="77777777" w:rsidR="00FD63E4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3" w:history="1">
        <w:r w:rsidRPr="005240BD">
          <w:rPr>
            <w:rFonts w:eastAsia="Calibri" w:cstheme="minorHAnsi"/>
          </w:rPr>
          <w:t>ufficio.stampa@gimbe.org</w:t>
        </w:r>
      </w:hyperlink>
    </w:p>
    <w:p w14:paraId="4997FDF3" w14:textId="77777777" w:rsidR="0001114E" w:rsidRDefault="00451586" w:rsidP="00CC3536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66F63954" w14:textId="77777777" w:rsidR="0001114E" w:rsidRDefault="0001114E" w:rsidP="00451586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0F02347E" w14:textId="11B05570" w:rsidR="00451586" w:rsidRDefault="00ED6E07" w:rsidP="00684CB6">
      <w:pPr>
        <w:spacing w:after="0"/>
        <w:jc w:val="center"/>
        <w:rPr>
          <w:b/>
          <w:bCs/>
          <w:color w:val="00457D"/>
          <w:u w:color="00457D"/>
        </w:rPr>
      </w:pPr>
      <w:r w:rsidRPr="0073042B">
        <w:rPr>
          <w:b/>
          <w:bCs/>
          <w:color w:val="00457D"/>
          <w:u w:color="00457D"/>
        </w:rPr>
        <w:t>Tabella</w:t>
      </w:r>
      <w:r w:rsidR="00451586" w:rsidRPr="0073042B">
        <w:rPr>
          <w:b/>
          <w:bCs/>
          <w:color w:val="00457D"/>
          <w:u w:color="00457D"/>
        </w:rPr>
        <w:t xml:space="preserve"> 1</w:t>
      </w:r>
      <w:r w:rsidRPr="0073042B">
        <w:rPr>
          <w:b/>
          <w:bCs/>
          <w:color w:val="00457D"/>
          <w:u w:color="00457D"/>
        </w:rPr>
        <w:t>.</w:t>
      </w:r>
      <w:r w:rsidR="0073042B" w:rsidRPr="0073042B">
        <w:rPr>
          <w:b/>
          <w:bCs/>
          <w:color w:val="00457D"/>
          <w:u w:color="00457D"/>
        </w:rPr>
        <w:t xml:space="preserve"> </w:t>
      </w:r>
      <w:r w:rsidR="00684CB6">
        <w:rPr>
          <w:b/>
          <w:bCs/>
          <w:color w:val="00457D"/>
          <w:u w:color="00457D"/>
        </w:rPr>
        <w:t>PNRR Missione Salute: M</w:t>
      </w:r>
      <w:r w:rsidR="0073042B" w:rsidRPr="0073042B">
        <w:rPr>
          <w:b/>
          <w:bCs/>
          <w:color w:val="00457D"/>
          <w:u w:color="00457D"/>
        </w:rPr>
        <w:t>ilestone</w:t>
      </w:r>
      <w:r w:rsidR="0073042B">
        <w:rPr>
          <w:b/>
          <w:bCs/>
          <w:color w:val="00457D"/>
          <w:u w:color="00457D"/>
        </w:rPr>
        <w:t xml:space="preserve"> (M) e </w:t>
      </w:r>
      <w:r w:rsidR="0073042B" w:rsidRPr="0073042B">
        <w:rPr>
          <w:b/>
          <w:bCs/>
          <w:color w:val="00457D"/>
          <w:u w:color="00457D"/>
        </w:rPr>
        <w:t xml:space="preserve">Target </w:t>
      </w:r>
      <w:r w:rsidR="0073042B">
        <w:rPr>
          <w:b/>
          <w:bCs/>
          <w:color w:val="00457D"/>
          <w:u w:color="00457D"/>
        </w:rPr>
        <w:t xml:space="preserve">(T) </w:t>
      </w:r>
      <w:r w:rsidR="0073042B" w:rsidRPr="0073042B">
        <w:rPr>
          <w:b/>
          <w:bCs/>
          <w:color w:val="00457D"/>
          <w:u w:color="00457D"/>
        </w:rPr>
        <w:t xml:space="preserve">di interesse nazionale </w:t>
      </w:r>
      <w:r w:rsidR="00135A2A">
        <w:rPr>
          <w:b/>
          <w:bCs/>
          <w:color w:val="00457D"/>
          <w:u w:color="00457D"/>
        </w:rPr>
        <w:t>differiti</w:t>
      </w:r>
      <w:r w:rsidR="00CF559C">
        <w:rPr>
          <w:b/>
          <w:bCs/>
          <w:color w:val="00457D"/>
          <w:u w:color="00457D"/>
        </w:rPr>
        <w:t xml:space="preserve"> nel 2024</w:t>
      </w:r>
    </w:p>
    <w:p w14:paraId="34CA731E" w14:textId="77777777" w:rsidR="00584C9B" w:rsidRPr="00584C9B" w:rsidRDefault="00584C9B" w:rsidP="00684CB6">
      <w:pPr>
        <w:spacing w:after="0"/>
        <w:jc w:val="center"/>
        <w:rPr>
          <w:b/>
          <w:bCs/>
          <w:color w:val="00457D"/>
          <w:sz w:val="10"/>
          <w:szCs w:val="10"/>
          <w:u w:color="00457D"/>
        </w:rPr>
      </w:pPr>
    </w:p>
    <w:tbl>
      <w:tblPr>
        <w:tblW w:w="51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404"/>
        <w:gridCol w:w="1069"/>
        <w:gridCol w:w="1514"/>
        <w:gridCol w:w="1516"/>
        <w:gridCol w:w="772"/>
      </w:tblGrid>
      <w:tr w:rsidR="00ED6E07" w:rsidRPr="000C6F74" w14:paraId="27C92F3B" w14:textId="77777777" w:rsidTr="00593E65">
        <w:trPr>
          <w:trHeight w:val="510"/>
        </w:trPr>
        <w:tc>
          <w:tcPr>
            <w:tcW w:w="289" w:type="pct"/>
            <w:tcBorders>
              <w:top w:val="single" w:sz="8" w:space="0" w:color="00457D"/>
              <w:left w:val="single" w:sz="8" w:space="0" w:color="00457D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A48B9B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bookmarkStart w:id="2" w:name="_Hlk146280869"/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M/T</w:t>
            </w:r>
          </w:p>
        </w:tc>
        <w:tc>
          <w:tcPr>
            <w:tcW w:w="2237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8C9E3C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543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9F5755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Target</w:t>
            </w: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br/>
              <w:t>raggiunto</w:t>
            </w:r>
          </w:p>
        </w:tc>
        <w:tc>
          <w:tcPr>
            <w:tcW w:w="769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E65B87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Scadenza iniziale</w:t>
            </w:r>
          </w:p>
        </w:tc>
        <w:tc>
          <w:tcPr>
            <w:tcW w:w="770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52296C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 xml:space="preserve">Nuova </w:t>
            </w: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br/>
              <w:t>scadenza</w:t>
            </w:r>
          </w:p>
        </w:tc>
        <w:tc>
          <w:tcPr>
            <w:tcW w:w="392" w:type="pct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00457D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C0C1D33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b/>
                <w:bCs/>
                <w:color w:val="FFFFFF"/>
                <w:sz w:val="20"/>
                <w:szCs w:val="20"/>
                <w:lang w:eastAsia="it-IT"/>
              </w:rPr>
              <w:t>Gap (mesi)</w:t>
            </w:r>
          </w:p>
        </w:tc>
      </w:tr>
      <w:tr w:rsidR="00ED6E07" w:rsidRPr="000C6F74" w14:paraId="5A304E31" w14:textId="77777777" w:rsidTr="00593E65">
        <w:trPr>
          <w:trHeight w:val="454"/>
        </w:trPr>
        <w:tc>
          <w:tcPr>
            <w:tcW w:w="289" w:type="pct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C25AE17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C94A961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Nuovi pazienti che ricevono assistenza domiciliare (prima parte)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E32E659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66%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1BBC4C4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31/03/23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B78645B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31/03/24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4AE9FAC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+12</w:t>
            </w:r>
          </w:p>
        </w:tc>
      </w:tr>
      <w:tr w:rsidR="00ED6E07" w:rsidRPr="000C6F74" w14:paraId="73CA73E5" w14:textId="77777777" w:rsidTr="00593E65">
        <w:trPr>
          <w:trHeight w:val="454"/>
        </w:trPr>
        <w:tc>
          <w:tcPr>
            <w:tcW w:w="289" w:type="pct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A349D4C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F832AE1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Stipula contratto per gli strumenti di intelligenza artificiale a supporto dell'assistenza primaria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610AB0C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N.A.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87E8C67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30/06/23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9DD293B" w14:textId="77777777" w:rsidR="00ED6E07" w:rsidRPr="000C6F74" w:rsidRDefault="0087467A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30/06/2</w:t>
            </w:r>
            <w:r>
              <w:rPr>
                <w:rFonts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4837FCB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+</w:t>
            </w:r>
            <w:r w:rsidR="00D748E1">
              <w:rPr>
                <w:rFonts w:cstheme="minorHAnsi"/>
                <w:sz w:val="20"/>
                <w:szCs w:val="20"/>
                <w:lang w:eastAsia="it-IT"/>
              </w:rPr>
              <w:t>12</w:t>
            </w:r>
          </w:p>
        </w:tc>
      </w:tr>
      <w:tr w:rsidR="00ED6E07" w:rsidRPr="000C6F74" w14:paraId="259FCE51" w14:textId="77777777" w:rsidTr="00593E65">
        <w:trPr>
          <w:trHeight w:val="454"/>
        </w:trPr>
        <w:tc>
          <w:tcPr>
            <w:tcW w:w="289" w:type="pct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CD20C9" w14:textId="77777777" w:rsidR="00ED6E07" w:rsidRPr="000C6F74" w:rsidRDefault="00ED6E07" w:rsidP="00684CB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06F9DF4" w14:textId="77777777" w:rsidR="00ED6E07" w:rsidRPr="000C6F74" w:rsidRDefault="00ED6E07" w:rsidP="008D257B">
            <w:pPr>
              <w:spacing w:after="0" w:line="240" w:lineRule="auto"/>
              <w:rPr>
                <w:rFonts w:cstheme="minorHAnsi"/>
                <w:spacing w:val="-4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pacing w:val="-4"/>
                <w:sz w:val="20"/>
                <w:szCs w:val="20"/>
                <w:lang w:eastAsia="it-IT"/>
              </w:rPr>
              <w:t>Stipula contratti per l'interconnessione aziendale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0B78CD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9</w:t>
            </w:r>
            <w:r w:rsidR="009A76B2">
              <w:rPr>
                <w:rFonts w:cstheme="minorHAnsi"/>
                <w:sz w:val="20"/>
                <w:szCs w:val="20"/>
                <w:lang w:eastAsia="it-IT"/>
              </w:rPr>
              <w:t>1</w:t>
            </w:r>
            <w:r w:rsidRPr="000C6F74">
              <w:rPr>
                <w:rFonts w:cstheme="minorHAnsi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4261E2C" w14:textId="77777777" w:rsidR="00ED6E07" w:rsidRPr="000C6F74" w:rsidRDefault="00ED6E07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30/06/23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6065B0" w14:textId="77777777" w:rsidR="00ED6E07" w:rsidRPr="000C6F74" w:rsidRDefault="004F1222" w:rsidP="008D25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30/06/</w:t>
            </w:r>
            <w:r w:rsidR="00135A2A">
              <w:rPr>
                <w:rFonts w:cstheme="minorHAns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29D365" w14:textId="77777777" w:rsidR="00ED6E07" w:rsidRPr="000C6F74" w:rsidRDefault="00ED6E07" w:rsidP="00135A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C6F74">
              <w:rPr>
                <w:rFonts w:cstheme="minorHAnsi"/>
                <w:sz w:val="20"/>
                <w:szCs w:val="20"/>
                <w:lang w:eastAsia="it-IT"/>
              </w:rPr>
              <w:t>+</w:t>
            </w:r>
            <w:r w:rsidR="00135A2A">
              <w:rPr>
                <w:rFonts w:cstheme="minorHAnsi"/>
                <w:sz w:val="20"/>
                <w:szCs w:val="20"/>
                <w:lang w:eastAsia="it-IT"/>
              </w:rPr>
              <w:t>12</w:t>
            </w:r>
          </w:p>
        </w:tc>
      </w:tr>
      <w:bookmarkEnd w:id="2"/>
    </w:tbl>
    <w:p w14:paraId="7EBAC061" w14:textId="77777777" w:rsidR="00451586" w:rsidRDefault="00451586" w:rsidP="0034210D">
      <w:pPr>
        <w:spacing w:after="0"/>
        <w:rPr>
          <w:rFonts w:eastAsia="Calibri" w:cstheme="minorHAnsi"/>
        </w:rPr>
      </w:pPr>
    </w:p>
    <w:p w14:paraId="5D7349F7" w14:textId="77777777" w:rsidR="0087467A" w:rsidRDefault="0087467A" w:rsidP="0087467A">
      <w:pPr>
        <w:spacing w:after="0"/>
        <w:jc w:val="center"/>
        <w:rPr>
          <w:rFonts w:cstheme="minorHAnsi"/>
          <w:sz w:val="20"/>
          <w:szCs w:val="20"/>
          <w:lang w:eastAsia="it-IT"/>
        </w:rPr>
      </w:pPr>
    </w:p>
    <w:p w14:paraId="002CBFE4" w14:textId="77777777" w:rsidR="00961FD4" w:rsidRDefault="003525B9" w:rsidP="00961FD4">
      <w:pPr>
        <w:spacing w:after="0"/>
        <w:jc w:val="center"/>
        <w:rPr>
          <w:b/>
          <w:bCs/>
          <w:color w:val="00457D"/>
          <w:u w:color="00457D"/>
        </w:rPr>
      </w:pPr>
      <w:r>
        <w:rPr>
          <w:rFonts w:cstheme="minorHAnsi"/>
          <w:b/>
          <w:bCs/>
          <w:color w:val="00457D"/>
        </w:rPr>
        <w:t xml:space="preserve">Tabella </w:t>
      </w:r>
      <w:r w:rsidR="00E20BD3">
        <w:rPr>
          <w:rFonts w:cstheme="minorHAnsi"/>
          <w:b/>
          <w:bCs/>
          <w:color w:val="00457D"/>
        </w:rPr>
        <w:t>2</w:t>
      </w:r>
      <w:r>
        <w:rPr>
          <w:rFonts w:cstheme="minorHAnsi"/>
          <w:b/>
          <w:bCs/>
          <w:color w:val="00457D"/>
        </w:rPr>
        <w:t xml:space="preserve">. </w:t>
      </w:r>
      <w:r w:rsidRPr="00C62779">
        <w:rPr>
          <w:rFonts w:cstheme="minorHAnsi"/>
          <w:b/>
          <w:bCs/>
          <w:color w:val="00457D"/>
        </w:rPr>
        <w:t>Obiettivi regionali di incremento pazienti over 65 in A</w:t>
      </w:r>
      <w:r>
        <w:rPr>
          <w:rFonts w:cstheme="minorHAnsi"/>
          <w:b/>
          <w:bCs/>
          <w:color w:val="00457D"/>
        </w:rPr>
        <w:t xml:space="preserve">ssistenza </w:t>
      </w:r>
      <w:r w:rsidRPr="00C62779">
        <w:rPr>
          <w:rFonts w:cstheme="minorHAnsi"/>
          <w:b/>
          <w:bCs/>
          <w:color w:val="00457D"/>
        </w:rPr>
        <w:t>D</w:t>
      </w:r>
      <w:r>
        <w:rPr>
          <w:rFonts w:cstheme="minorHAnsi"/>
          <w:b/>
          <w:bCs/>
          <w:color w:val="00457D"/>
        </w:rPr>
        <w:t xml:space="preserve">omiciliare </w:t>
      </w:r>
      <w:r w:rsidRPr="00C62779">
        <w:rPr>
          <w:rFonts w:cstheme="minorHAnsi"/>
          <w:b/>
          <w:bCs/>
          <w:color w:val="00457D"/>
        </w:rPr>
        <w:t>I</w:t>
      </w:r>
      <w:r>
        <w:rPr>
          <w:rFonts w:cstheme="minorHAnsi"/>
          <w:b/>
          <w:bCs/>
          <w:color w:val="00457D"/>
        </w:rPr>
        <w:t>ntegrata</w:t>
      </w:r>
      <w:r w:rsidRPr="00C62779">
        <w:rPr>
          <w:rFonts w:cstheme="minorHAnsi"/>
          <w:b/>
          <w:bCs/>
          <w:color w:val="00457D"/>
        </w:rPr>
        <w:t xml:space="preserve"> </w:t>
      </w:r>
    </w:p>
    <w:p w14:paraId="4FCA4C2B" w14:textId="77777777" w:rsidR="00961FD4" w:rsidRPr="00584C9B" w:rsidRDefault="00961FD4" w:rsidP="00961FD4">
      <w:pPr>
        <w:spacing w:after="0"/>
        <w:jc w:val="center"/>
        <w:rPr>
          <w:b/>
          <w:bCs/>
          <w:color w:val="00457D"/>
          <w:sz w:val="10"/>
          <w:szCs w:val="10"/>
          <w:u w:color="00457D"/>
        </w:rPr>
      </w:pPr>
    </w:p>
    <w:tbl>
      <w:tblPr>
        <w:tblW w:w="5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656"/>
        <w:gridCol w:w="1559"/>
      </w:tblGrid>
      <w:tr w:rsidR="003525B9" w:rsidRPr="003525B9" w14:paraId="2EE171B4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single" w:sz="8" w:space="0" w:color="00457D"/>
              <w:left w:val="single" w:sz="8" w:space="0" w:color="00457D"/>
              <w:bottom w:val="single" w:sz="8" w:space="0" w:color="00457D"/>
              <w:right w:val="single" w:sz="8" w:space="0" w:color="FFFFFF"/>
            </w:tcBorders>
            <w:shd w:val="clear" w:color="000000" w:fill="00457D"/>
            <w:noWrap/>
            <w:vAlign w:val="center"/>
            <w:hideMark/>
          </w:tcPr>
          <w:p w14:paraId="56D34892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3525B9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1656" w:type="dxa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FFFFFF"/>
            </w:tcBorders>
            <w:shd w:val="clear" w:color="000000" w:fill="00457D"/>
            <w:noWrap/>
            <w:vAlign w:val="center"/>
            <w:hideMark/>
          </w:tcPr>
          <w:p w14:paraId="0293F803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3525B9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Gap 2019-2026</w:t>
            </w:r>
          </w:p>
        </w:tc>
        <w:tc>
          <w:tcPr>
            <w:tcW w:w="1559" w:type="dxa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00457D"/>
            <w:noWrap/>
            <w:vAlign w:val="center"/>
            <w:hideMark/>
          </w:tcPr>
          <w:p w14:paraId="019E3EF2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3525B9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Incremento %</w:t>
            </w:r>
          </w:p>
        </w:tc>
      </w:tr>
      <w:tr w:rsidR="003525B9" w:rsidRPr="003525B9" w14:paraId="2CC562FB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9D3E22D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Emilia-Romagna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0988C3C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31.685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748BE9D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35%</w:t>
            </w:r>
          </w:p>
        </w:tc>
      </w:tr>
      <w:tr w:rsidR="003525B9" w:rsidRPr="003525B9" w14:paraId="0D35AC63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B72F7C6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Toscana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498306E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32.044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D86F36F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42%</w:t>
            </w:r>
          </w:p>
        </w:tc>
      </w:tr>
      <w:tr w:rsidR="003525B9" w:rsidRPr="003525B9" w14:paraId="15FEC9D1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F231B3E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Veneto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0D90C16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43.894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1B19DC9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50%</w:t>
            </w:r>
          </w:p>
        </w:tc>
      </w:tr>
      <w:tr w:rsidR="003525B9" w:rsidRPr="003525B9" w14:paraId="59400BBB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A910754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Molise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8D31F65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3.904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6684587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85%</w:t>
            </w:r>
          </w:p>
        </w:tc>
      </w:tr>
      <w:tr w:rsidR="003525B9" w:rsidRPr="003525B9" w14:paraId="20EB8E6E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90EEDE9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Prov. Aut. Trento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CC9C97B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5.922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4433241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91%</w:t>
            </w:r>
          </w:p>
        </w:tc>
      </w:tr>
      <w:tr w:rsidR="003525B9" w:rsidRPr="003525B9" w14:paraId="02460032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7C3C8E3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Friuli Venezia Giulia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CFE6568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16.997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68548C8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99%</w:t>
            </w:r>
          </w:p>
        </w:tc>
      </w:tr>
      <w:tr w:rsidR="003525B9" w:rsidRPr="003525B9" w14:paraId="15D151BA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28221FB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Piemonte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55E6D48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59.211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2933E7E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104%</w:t>
            </w:r>
          </w:p>
        </w:tc>
      </w:tr>
      <w:tr w:rsidR="003525B9" w:rsidRPr="003525B9" w14:paraId="735E8B9C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A38FA0E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Basilicata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6DDA861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7.938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0915B0B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123%</w:t>
            </w:r>
          </w:p>
        </w:tc>
      </w:tr>
      <w:tr w:rsidR="003525B9" w:rsidRPr="003525B9" w14:paraId="03014296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D1EDEFA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Sicilia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45CE7AC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65.245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B309CEF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131%</w:t>
            </w:r>
          </w:p>
        </w:tc>
      </w:tr>
      <w:tr w:rsidR="003525B9" w:rsidRPr="003525B9" w14:paraId="4B9B76E5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2642C16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Umbria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7FC3FA8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12.557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322DD95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132%</w:t>
            </w:r>
          </w:p>
        </w:tc>
      </w:tr>
      <w:tr w:rsidR="003525B9" w:rsidRPr="003525B9" w14:paraId="7B7D5FCB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62CF9E6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Abruzzo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67BA3B4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19.678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043FE3D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134%</w:t>
            </w:r>
          </w:p>
        </w:tc>
      </w:tr>
      <w:tr w:rsidR="003525B9" w:rsidRPr="003525B9" w14:paraId="67EBFAE4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3D0F5D8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Lombardia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2742620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133.839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CE77E7A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145%</w:t>
            </w:r>
          </w:p>
        </w:tc>
      </w:tr>
      <w:tr w:rsidR="003525B9" w:rsidRPr="003525B9" w14:paraId="4D07A96B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304DE3C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Marche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CCE82BB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22.768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97A1F18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156%</w:t>
            </w:r>
          </w:p>
        </w:tc>
      </w:tr>
      <w:tr w:rsidR="003525B9" w:rsidRPr="003525B9" w14:paraId="4D43C7D1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9FB5593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Liguria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A0EAADC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25.818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FBDBE8C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165%</w:t>
            </w:r>
          </w:p>
        </w:tc>
      </w:tr>
      <w:tr w:rsidR="003525B9" w:rsidRPr="003525B9" w14:paraId="7343DED8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C55774A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Sardegna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5CE2DF8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28.450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1C66600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233%</w:t>
            </w:r>
          </w:p>
        </w:tc>
      </w:tr>
      <w:tr w:rsidR="003525B9" w:rsidRPr="003525B9" w14:paraId="5C93F5E0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DC9044D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Campania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3B6ACF3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84.548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215E235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294%</w:t>
            </w:r>
          </w:p>
        </w:tc>
      </w:tr>
      <w:tr w:rsidR="003525B9" w:rsidRPr="003525B9" w14:paraId="71FB71F2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34C7E6C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Lazio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89ACC3B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98.411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599A27E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317%</w:t>
            </w:r>
          </w:p>
        </w:tc>
      </w:tr>
      <w:tr w:rsidR="003525B9" w:rsidRPr="003525B9" w14:paraId="2B87FF04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64F3744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Puglia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8080A57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68.376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7816EE5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329%</w:t>
            </w:r>
          </w:p>
        </w:tc>
      </w:tr>
      <w:tr w:rsidR="003525B9" w:rsidRPr="003525B9" w14:paraId="13838CB5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B4EFC4B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Calabria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03199CB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34.286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9E5E4B3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416%</w:t>
            </w:r>
          </w:p>
        </w:tc>
      </w:tr>
      <w:tr w:rsidR="003525B9" w:rsidRPr="003525B9" w14:paraId="698EC23D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8B9C1E3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Valle d'Aosta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94FFBE7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2.745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C7FAFFA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1.209%</w:t>
            </w:r>
          </w:p>
        </w:tc>
      </w:tr>
      <w:tr w:rsidR="003525B9" w:rsidRPr="003525B9" w14:paraId="60FDF419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4BE95BF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Prov. Aut. Bolzano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E839654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10.513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92AFB77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525B9">
              <w:rPr>
                <w:rFonts w:eastAsia="Times New Roman" w:cstheme="minorHAnsi"/>
                <w:color w:val="000000"/>
                <w:lang w:eastAsia="it-IT"/>
              </w:rPr>
              <w:t>2.912%</w:t>
            </w:r>
          </w:p>
        </w:tc>
      </w:tr>
      <w:tr w:rsidR="003525B9" w:rsidRPr="003525B9" w14:paraId="0BE72FE2" w14:textId="77777777" w:rsidTr="008D2095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FFFFFF"/>
            </w:tcBorders>
            <w:shd w:val="clear" w:color="000000" w:fill="00457D"/>
            <w:noWrap/>
            <w:vAlign w:val="center"/>
            <w:hideMark/>
          </w:tcPr>
          <w:p w14:paraId="098A4431" w14:textId="77777777" w:rsidR="003525B9" w:rsidRPr="003525B9" w:rsidRDefault="003525B9" w:rsidP="008D209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3525B9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ITALIA</w:t>
            </w:r>
          </w:p>
        </w:tc>
        <w:tc>
          <w:tcPr>
            <w:tcW w:w="1656" w:type="dxa"/>
            <w:tcBorders>
              <w:top w:val="single" w:sz="8" w:space="0" w:color="00457D"/>
              <w:left w:val="nil"/>
              <w:bottom w:val="single" w:sz="8" w:space="0" w:color="00457D"/>
              <w:right w:val="single" w:sz="4" w:space="0" w:color="FFFFFF" w:themeColor="background1"/>
            </w:tcBorders>
            <w:shd w:val="clear" w:color="000000" w:fill="00457D"/>
            <w:noWrap/>
            <w:vAlign w:val="center"/>
            <w:hideMark/>
          </w:tcPr>
          <w:p w14:paraId="1866CEDD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3525B9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808.829</w:t>
            </w:r>
          </w:p>
        </w:tc>
        <w:tc>
          <w:tcPr>
            <w:tcW w:w="1559" w:type="dxa"/>
            <w:tcBorders>
              <w:top w:val="single" w:sz="8" w:space="0" w:color="00457D"/>
              <w:left w:val="single" w:sz="4" w:space="0" w:color="FFFFFF" w:themeColor="background1"/>
              <w:bottom w:val="single" w:sz="8" w:space="0" w:color="00457D"/>
              <w:right w:val="single" w:sz="8" w:space="0" w:color="00457D"/>
            </w:tcBorders>
            <w:shd w:val="clear" w:color="000000" w:fill="00457D"/>
            <w:noWrap/>
            <w:vAlign w:val="center"/>
            <w:hideMark/>
          </w:tcPr>
          <w:p w14:paraId="3B1ABD91" w14:textId="77777777" w:rsidR="003525B9" w:rsidRPr="003525B9" w:rsidRDefault="003525B9" w:rsidP="008D20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it-IT"/>
              </w:rPr>
            </w:pPr>
            <w:r w:rsidRPr="003525B9">
              <w:rPr>
                <w:rFonts w:eastAsia="Times New Roman" w:cstheme="minorHAnsi"/>
                <w:b/>
                <w:bCs/>
                <w:color w:val="FFFFFF"/>
                <w:lang w:eastAsia="it-IT"/>
              </w:rPr>
              <w:t>125%</w:t>
            </w:r>
          </w:p>
        </w:tc>
      </w:tr>
    </w:tbl>
    <w:p w14:paraId="3F249A2A" w14:textId="77777777" w:rsidR="003525B9" w:rsidRDefault="003525B9" w:rsidP="003525B9">
      <w:pPr>
        <w:jc w:val="both"/>
        <w:rPr>
          <w:rFonts w:cstheme="minorHAnsi"/>
        </w:rPr>
      </w:pPr>
    </w:p>
    <w:p w14:paraId="7A3B0569" w14:textId="77777777" w:rsidR="00E20BD3" w:rsidRDefault="00E20BD3">
      <w:pPr>
        <w:rPr>
          <w:b/>
          <w:bCs/>
          <w:color w:val="00457D"/>
          <w:u w:color="00457D"/>
        </w:rPr>
      </w:pPr>
    </w:p>
    <w:p w14:paraId="454B8A46" w14:textId="77777777" w:rsidR="00E20BD3" w:rsidRDefault="00E20BD3" w:rsidP="00E20BD3">
      <w:pPr>
        <w:suppressAutoHyphens/>
        <w:spacing w:before="80" w:after="0"/>
        <w:jc w:val="center"/>
        <w:rPr>
          <w:rFonts w:ascii="Cambria" w:hAnsi="Cambria"/>
          <w:b/>
          <w:bCs/>
          <w:color w:val="00457D"/>
          <w:sz w:val="18"/>
          <w:szCs w:val="20"/>
        </w:rPr>
      </w:pPr>
    </w:p>
    <w:p w14:paraId="7E048674" w14:textId="77777777" w:rsidR="004120E8" w:rsidRDefault="004120E8" w:rsidP="00E20BD3">
      <w:pPr>
        <w:suppressAutoHyphens/>
        <w:spacing w:before="80" w:after="0"/>
        <w:jc w:val="center"/>
        <w:rPr>
          <w:rFonts w:ascii="Cambria" w:hAnsi="Cambria"/>
          <w:b/>
          <w:bCs/>
          <w:color w:val="00457D"/>
          <w:sz w:val="18"/>
          <w:szCs w:val="20"/>
        </w:rPr>
      </w:pPr>
    </w:p>
    <w:p w14:paraId="0EA706FB" w14:textId="77777777" w:rsidR="004120E8" w:rsidRDefault="004120E8" w:rsidP="00E20BD3">
      <w:pPr>
        <w:suppressAutoHyphens/>
        <w:spacing w:before="80" w:after="0"/>
        <w:jc w:val="center"/>
        <w:rPr>
          <w:rFonts w:ascii="Cambria" w:hAnsi="Cambria"/>
          <w:b/>
          <w:bCs/>
          <w:color w:val="00457D"/>
          <w:sz w:val="18"/>
          <w:szCs w:val="20"/>
        </w:rPr>
      </w:pPr>
    </w:p>
    <w:p w14:paraId="38C381F5" w14:textId="1ED8EC42" w:rsidR="004E5635" w:rsidRDefault="004E5635" w:rsidP="00E20BD3">
      <w:pPr>
        <w:suppressAutoHyphens/>
        <w:spacing w:before="80" w:after="0"/>
        <w:jc w:val="center"/>
        <w:rPr>
          <w:rFonts w:ascii="Cambria" w:hAnsi="Cambria"/>
          <w:b/>
          <w:bCs/>
          <w:color w:val="00457D"/>
          <w:sz w:val="18"/>
          <w:szCs w:val="20"/>
        </w:rPr>
      </w:pPr>
    </w:p>
    <w:p w14:paraId="02EC71A7" w14:textId="77777777" w:rsidR="00961FD4" w:rsidRDefault="00961FD4" w:rsidP="00E20BD3">
      <w:pPr>
        <w:suppressAutoHyphens/>
        <w:spacing w:before="80" w:after="0"/>
        <w:jc w:val="center"/>
        <w:rPr>
          <w:rFonts w:ascii="Cambria" w:hAnsi="Cambria"/>
          <w:b/>
          <w:bCs/>
          <w:color w:val="00457D"/>
          <w:sz w:val="18"/>
          <w:szCs w:val="20"/>
        </w:rPr>
      </w:pPr>
    </w:p>
    <w:p w14:paraId="6B0BE895" w14:textId="77777777" w:rsidR="00961FD4" w:rsidRDefault="00961FD4" w:rsidP="00961FD4">
      <w:pPr>
        <w:spacing w:after="0"/>
        <w:jc w:val="center"/>
        <w:rPr>
          <w:rFonts w:cstheme="minorHAnsi"/>
          <w:b/>
          <w:bCs/>
          <w:color w:val="00457D"/>
        </w:rPr>
      </w:pPr>
    </w:p>
    <w:p w14:paraId="43D0C6B2" w14:textId="71F8A62C" w:rsidR="00961FD4" w:rsidRDefault="00584C9B" w:rsidP="00961FD4">
      <w:pPr>
        <w:spacing w:after="0"/>
        <w:jc w:val="center"/>
        <w:rPr>
          <w:b/>
          <w:bCs/>
          <w:color w:val="00457D"/>
          <w:u w:color="00457D"/>
        </w:rPr>
      </w:pPr>
      <w:r w:rsidRPr="00584C9B">
        <w:rPr>
          <w:rFonts w:cstheme="minorHAnsi"/>
          <w:b/>
          <w:bCs/>
          <w:color w:val="00457D"/>
        </w:rPr>
        <w:t>Figura 1</w:t>
      </w:r>
      <w:r w:rsidR="00961FD4" w:rsidRPr="00961FD4">
        <w:rPr>
          <w:b/>
          <w:bCs/>
          <w:color w:val="00457D"/>
          <w:u w:color="00457D"/>
        </w:rPr>
        <w:t xml:space="preserve"> </w:t>
      </w:r>
    </w:p>
    <w:p w14:paraId="7D06F7C0" w14:textId="656CD5A3" w:rsidR="004120E8" w:rsidRPr="00E20BD3" w:rsidRDefault="00557DF4" w:rsidP="00E20BD3">
      <w:pPr>
        <w:suppressAutoHyphens/>
        <w:spacing w:before="120" w:after="300"/>
        <w:jc w:val="center"/>
        <w:rPr>
          <w:rFonts w:cstheme="minorHAnsi"/>
          <w:b/>
          <w:bCs/>
          <w:color w:val="00457D"/>
        </w:rPr>
      </w:pPr>
      <w:r>
        <w:rPr>
          <w:rFonts w:cstheme="minorHAnsi"/>
          <w:b/>
          <w:bCs/>
          <w:color w:val="00457D"/>
        </w:rPr>
        <w:pict w14:anchorId="1AD2C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374.25pt">
            <v:imagedata r:id="rId14" o:title="Figura_01_20240123"/>
          </v:shape>
        </w:pict>
      </w:r>
    </w:p>
    <w:p w14:paraId="0F5B85D3" w14:textId="77777777" w:rsidR="00871FE1" w:rsidRPr="00C62779" w:rsidRDefault="00871FE1" w:rsidP="00A10DFC">
      <w:pPr>
        <w:rPr>
          <w:b/>
          <w:bCs/>
          <w:color w:val="00457D"/>
          <w:u w:color="00457D"/>
        </w:rPr>
      </w:pPr>
    </w:p>
    <w:sectPr w:rsidR="00871FE1" w:rsidRPr="00C62779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A5578" w16cex:dateUtc="2024-01-23T14:10:00Z"/>
  <w16cex:commentExtensible w16cex:durableId="295A53A2" w16cex:dateUtc="2024-01-23T14:02:00Z"/>
  <w16cex:commentExtensible w16cex:durableId="295A53F7" w16cex:dateUtc="2024-01-23T14:04:00Z"/>
  <w16cex:commentExtensible w16cex:durableId="295A5536" w16cex:dateUtc="2024-01-23T14:09:00Z"/>
  <w16cex:commentExtensible w16cex:durableId="295A5526" w16cex:dateUtc="2024-01-23T1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96CA" w14:textId="77777777" w:rsidR="00DC162B" w:rsidRDefault="00DC162B" w:rsidP="00ED0CFD">
      <w:pPr>
        <w:spacing w:after="0" w:line="240" w:lineRule="auto"/>
      </w:pPr>
      <w:r>
        <w:separator/>
      </w:r>
    </w:p>
  </w:endnote>
  <w:endnote w:type="continuationSeparator" w:id="0">
    <w:p w14:paraId="409994F9" w14:textId="77777777" w:rsidR="00DC162B" w:rsidRDefault="00DC162B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63E2" w14:textId="77777777" w:rsidR="00DC162B" w:rsidRDefault="00DC162B" w:rsidP="00ED0CFD">
      <w:pPr>
        <w:spacing w:after="0" w:line="240" w:lineRule="auto"/>
      </w:pPr>
      <w:r>
        <w:separator/>
      </w:r>
    </w:p>
  </w:footnote>
  <w:footnote w:type="continuationSeparator" w:id="0">
    <w:p w14:paraId="56B1B439" w14:textId="77777777" w:rsidR="00DC162B" w:rsidRDefault="00DC162B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694"/>
    <w:multiLevelType w:val="hybridMultilevel"/>
    <w:tmpl w:val="78F0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6F10"/>
    <w:multiLevelType w:val="hybridMultilevel"/>
    <w:tmpl w:val="1180D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96166"/>
    <w:multiLevelType w:val="hybridMultilevel"/>
    <w:tmpl w:val="86E23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A3F0B"/>
    <w:multiLevelType w:val="multilevel"/>
    <w:tmpl w:val="A4642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57D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C557F"/>
    <w:multiLevelType w:val="hybridMultilevel"/>
    <w:tmpl w:val="426C7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92829"/>
    <w:multiLevelType w:val="hybridMultilevel"/>
    <w:tmpl w:val="A9CA4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84521"/>
    <w:multiLevelType w:val="hybridMultilevel"/>
    <w:tmpl w:val="ACC6C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09CE"/>
    <w:multiLevelType w:val="hybridMultilevel"/>
    <w:tmpl w:val="989C4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4F6FED"/>
    <w:multiLevelType w:val="hybridMultilevel"/>
    <w:tmpl w:val="3CEEF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8684C"/>
    <w:multiLevelType w:val="hybridMultilevel"/>
    <w:tmpl w:val="E14CD5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D05463"/>
    <w:multiLevelType w:val="hybridMultilevel"/>
    <w:tmpl w:val="60E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32C9"/>
    <w:multiLevelType w:val="hybridMultilevel"/>
    <w:tmpl w:val="31CE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A4102E"/>
    <w:multiLevelType w:val="hybridMultilevel"/>
    <w:tmpl w:val="BA2E0D1E"/>
    <w:lvl w:ilvl="0" w:tplc="965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523CF"/>
    <w:multiLevelType w:val="hybridMultilevel"/>
    <w:tmpl w:val="F278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0"/>
  </w:num>
  <w:num w:numId="4">
    <w:abstractNumId w:val="35"/>
  </w:num>
  <w:num w:numId="5">
    <w:abstractNumId w:val="22"/>
  </w:num>
  <w:num w:numId="6">
    <w:abstractNumId w:val="18"/>
  </w:num>
  <w:num w:numId="7">
    <w:abstractNumId w:val="29"/>
  </w:num>
  <w:num w:numId="8">
    <w:abstractNumId w:val="27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24"/>
  </w:num>
  <w:num w:numId="14">
    <w:abstractNumId w:val="8"/>
  </w:num>
  <w:num w:numId="15">
    <w:abstractNumId w:val="23"/>
  </w:num>
  <w:num w:numId="16">
    <w:abstractNumId w:val="37"/>
  </w:num>
  <w:num w:numId="17">
    <w:abstractNumId w:val="21"/>
  </w:num>
  <w:num w:numId="18">
    <w:abstractNumId w:val="16"/>
  </w:num>
  <w:num w:numId="19">
    <w:abstractNumId w:val="33"/>
  </w:num>
  <w:num w:numId="20">
    <w:abstractNumId w:val="28"/>
  </w:num>
  <w:num w:numId="21">
    <w:abstractNumId w:val="7"/>
  </w:num>
  <w:num w:numId="22">
    <w:abstractNumId w:val="25"/>
  </w:num>
  <w:num w:numId="23">
    <w:abstractNumId w:val="17"/>
  </w:num>
  <w:num w:numId="24">
    <w:abstractNumId w:val="10"/>
  </w:num>
  <w:num w:numId="25">
    <w:abstractNumId w:val="4"/>
  </w:num>
  <w:num w:numId="26">
    <w:abstractNumId w:val="13"/>
  </w:num>
  <w:num w:numId="27">
    <w:abstractNumId w:val="36"/>
  </w:num>
  <w:num w:numId="28">
    <w:abstractNumId w:val="26"/>
  </w:num>
  <w:num w:numId="29">
    <w:abstractNumId w:val="0"/>
  </w:num>
  <w:num w:numId="30">
    <w:abstractNumId w:val="9"/>
  </w:num>
  <w:num w:numId="31">
    <w:abstractNumId w:val="38"/>
  </w:num>
  <w:num w:numId="32">
    <w:abstractNumId w:val="15"/>
  </w:num>
  <w:num w:numId="33">
    <w:abstractNumId w:val="3"/>
  </w:num>
  <w:num w:numId="34">
    <w:abstractNumId w:val="32"/>
  </w:num>
  <w:num w:numId="35">
    <w:abstractNumId w:val="31"/>
  </w:num>
  <w:num w:numId="36">
    <w:abstractNumId w:val="14"/>
  </w:num>
  <w:num w:numId="37">
    <w:abstractNumId w:val="30"/>
  </w:num>
  <w:num w:numId="38">
    <w:abstractNumId w:val="1"/>
  </w:num>
  <w:num w:numId="39">
    <w:abstractNumId w:val="1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0007FC"/>
    <w:rsid w:val="0000149C"/>
    <w:rsid w:val="000017A8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073CA"/>
    <w:rsid w:val="00010498"/>
    <w:rsid w:val="0001114E"/>
    <w:rsid w:val="000123C4"/>
    <w:rsid w:val="0001384A"/>
    <w:rsid w:val="00013DFA"/>
    <w:rsid w:val="0001439D"/>
    <w:rsid w:val="00015D8E"/>
    <w:rsid w:val="00016F94"/>
    <w:rsid w:val="00017968"/>
    <w:rsid w:val="00017FB4"/>
    <w:rsid w:val="0002141B"/>
    <w:rsid w:val="00021D7F"/>
    <w:rsid w:val="00023A72"/>
    <w:rsid w:val="00023D8A"/>
    <w:rsid w:val="000252D2"/>
    <w:rsid w:val="00032FB7"/>
    <w:rsid w:val="00034188"/>
    <w:rsid w:val="000346D7"/>
    <w:rsid w:val="00035404"/>
    <w:rsid w:val="00035C47"/>
    <w:rsid w:val="00036089"/>
    <w:rsid w:val="0004091F"/>
    <w:rsid w:val="00042A09"/>
    <w:rsid w:val="0004410A"/>
    <w:rsid w:val="00044197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0C28"/>
    <w:rsid w:val="00070D04"/>
    <w:rsid w:val="000715A9"/>
    <w:rsid w:val="00071F0A"/>
    <w:rsid w:val="00073870"/>
    <w:rsid w:val="00074788"/>
    <w:rsid w:val="000751C3"/>
    <w:rsid w:val="00075BA4"/>
    <w:rsid w:val="000767AE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145D"/>
    <w:rsid w:val="000A15DB"/>
    <w:rsid w:val="000A2084"/>
    <w:rsid w:val="000A226B"/>
    <w:rsid w:val="000A47FF"/>
    <w:rsid w:val="000A58EB"/>
    <w:rsid w:val="000A62A9"/>
    <w:rsid w:val="000A78E3"/>
    <w:rsid w:val="000A7B66"/>
    <w:rsid w:val="000A7EA1"/>
    <w:rsid w:val="000B07B0"/>
    <w:rsid w:val="000B10CE"/>
    <w:rsid w:val="000B15C0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C6F74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5ABF"/>
    <w:rsid w:val="000E64D7"/>
    <w:rsid w:val="000E6B01"/>
    <w:rsid w:val="000E7CC2"/>
    <w:rsid w:val="000F0BBD"/>
    <w:rsid w:val="000F10F8"/>
    <w:rsid w:val="000F1B54"/>
    <w:rsid w:val="000F1DE1"/>
    <w:rsid w:val="000F2AE1"/>
    <w:rsid w:val="000F39EF"/>
    <w:rsid w:val="000F5C0F"/>
    <w:rsid w:val="000F662C"/>
    <w:rsid w:val="0010059E"/>
    <w:rsid w:val="001020FC"/>
    <w:rsid w:val="001035E4"/>
    <w:rsid w:val="001043DB"/>
    <w:rsid w:val="00104A66"/>
    <w:rsid w:val="001056AE"/>
    <w:rsid w:val="0010685E"/>
    <w:rsid w:val="00107096"/>
    <w:rsid w:val="00107293"/>
    <w:rsid w:val="00107984"/>
    <w:rsid w:val="001106B1"/>
    <w:rsid w:val="0011205F"/>
    <w:rsid w:val="00112B52"/>
    <w:rsid w:val="001139A6"/>
    <w:rsid w:val="00113D4A"/>
    <w:rsid w:val="00113F3C"/>
    <w:rsid w:val="00114F21"/>
    <w:rsid w:val="001167D9"/>
    <w:rsid w:val="0011796A"/>
    <w:rsid w:val="00117F68"/>
    <w:rsid w:val="00122425"/>
    <w:rsid w:val="00125838"/>
    <w:rsid w:val="00125C6A"/>
    <w:rsid w:val="00126025"/>
    <w:rsid w:val="001262A5"/>
    <w:rsid w:val="00126E63"/>
    <w:rsid w:val="00127A78"/>
    <w:rsid w:val="001317CF"/>
    <w:rsid w:val="00132082"/>
    <w:rsid w:val="00134C8C"/>
    <w:rsid w:val="00135A2A"/>
    <w:rsid w:val="00136F1C"/>
    <w:rsid w:val="001374E5"/>
    <w:rsid w:val="001412DC"/>
    <w:rsid w:val="0014334C"/>
    <w:rsid w:val="00143689"/>
    <w:rsid w:val="00143B8D"/>
    <w:rsid w:val="00144F94"/>
    <w:rsid w:val="001453D6"/>
    <w:rsid w:val="001458FE"/>
    <w:rsid w:val="001471AF"/>
    <w:rsid w:val="001504F4"/>
    <w:rsid w:val="00150EF3"/>
    <w:rsid w:val="00151D12"/>
    <w:rsid w:val="0015229D"/>
    <w:rsid w:val="001560D3"/>
    <w:rsid w:val="00156B6C"/>
    <w:rsid w:val="00160151"/>
    <w:rsid w:val="00161535"/>
    <w:rsid w:val="00162FBC"/>
    <w:rsid w:val="0016375C"/>
    <w:rsid w:val="00163D48"/>
    <w:rsid w:val="00163DB0"/>
    <w:rsid w:val="001644BA"/>
    <w:rsid w:val="001654A5"/>
    <w:rsid w:val="00170760"/>
    <w:rsid w:val="00170B46"/>
    <w:rsid w:val="00171767"/>
    <w:rsid w:val="00173764"/>
    <w:rsid w:val="0017405D"/>
    <w:rsid w:val="001748BA"/>
    <w:rsid w:val="00181DF1"/>
    <w:rsid w:val="00185966"/>
    <w:rsid w:val="00192B35"/>
    <w:rsid w:val="00192DAD"/>
    <w:rsid w:val="00192F75"/>
    <w:rsid w:val="00193C55"/>
    <w:rsid w:val="00193F19"/>
    <w:rsid w:val="00194C03"/>
    <w:rsid w:val="001A1E5B"/>
    <w:rsid w:val="001A2449"/>
    <w:rsid w:val="001A2F98"/>
    <w:rsid w:val="001A3E0D"/>
    <w:rsid w:val="001A3E96"/>
    <w:rsid w:val="001A6181"/>
    <w:rsid w:val="001A7017"/>
    <w:rsid w:val="001A73CD"/>
    <w:rsid w:val="001A76F9"/>
    <w:rsid w:val="001B46A1"/>
    <w:rsid w:val="001B59E3"/>
    <w:rsid w:val="001C0EFC"/>
    <w:rsid w:val="001C3129"/>
    <w:rsid w:val="001C44CB"/>
    <w:rsid w:val="001C51E2"/>
    <w:rsid w:val="001C5A39"/>
    <w:rsid w:val="001C7324"/>
    <w:rsid w:val="001D0114"/>
    <w:rsid w:val="001D0E41"/>
    <w:rsid w:val="001D153D"/>
    <w:rsid w:val="001D19F1"/>
    <w:rsid w:val="001D240E"/>
    <w:rsid w:val="001D2E25"/>
    <w:rsid w:val="001D38B9"/>
    <w:rsid w:val="001D3F96"/>
    <w:rsid w:val="001D4CE8"/>
    <w:rsid w:val="001D7259"/>
    <w:rsid w:val="001E0D38"/>
    <w:rsid w:val="001E42B9"/>
    <w:rsid w:val="001E53AB"/>
    <w:rsid w:val="001E5654"/>
    <w:rsid w:val="001E6902"/>
    <w:rsid w:val="001F1C35"/>
    <w:rsid w:val="001F20B8"/>
    <w:rsid w:val="0020092D"/>
    <w:rsid w:val="002020DB"/>
    <w:rsid w:val="00202A01"/>
    <w:rsid w:val="0020319A"/>
    <w:rsid w:val="0020435A"/>
    <w:rsid w:val="00206047"/>
    <w:rsid w:val="0020636A"/>
    <w:rsid w:val="002073BD"/>
    <w:rsid w:val="002076DB"/>
    <w:rsid w:val="00207B90"/>
    <w:rsid w:val="00210158"/>
    <w:rsid w:val="00210584"/>
    <w:rsid w:val="0021155E"/>
    <w:rsid w:val="0021408F"/>
    <w:rsid w:val="0022389A"/>
    <w:rsid w:val="00223F01"/>
    <w:rsid w:val="00223F25"/>
    <w:rsid w:val="00224E88"/>
    <w:rsid w:val="0022532C"/>
    <w:rsid w:val="00231196"/>
    <w:rsid w:val="002319C0"/>
    <w:rsid w:val="00233A2C"/>
    <w:rsid w:val="00233EF5"/>
    <w:rsid w:val="002349C3"/>
    <w:rsid w:val="00234FBF"/>
    <w:rsid w:val="002357E8"/>
    <w:rsid w:val="00235FC2"/>
    <w:rsid w:val="0023771D"/>
    <w:rsid w:val="00241E9C"/>
    <w:rsid w:val="00242077"/>
    <w:rsid w:val="00243B76"/>
    <w:rsid w:val="00243F05"/>
    <w:rsid w:val="0024623B"/>
    <w:rsid w:val="00247D33"/>
    <w:rsid w:val="0025100A"/>
    <w:rsid w:val="00251386"/>
    <w:rsid w:val="00251A17"/>
    <w:rsid w:val="00251AC2"/>
    <w:rsid w:val="00251D02"/>
    <w:rsid w:val="00252E47"/>
    <w:rsid w:val="002534BD"/>
    <w:rsid w:val="002551A1"/>
    <w:rsid w:val="002576D2"/>
    <w:rsid w:val="00260A01"/>
    <w:rsid w:val="00261479"/>
    <w:rsid w:val="00261EC6"/>
    <w:rsid w:val="00262274"/>
    <w:rsid w:val="00264F8C"/>
    <w:rsid w:val="00265B05"/>
    <w:rsid w:val="00266561"/>
    <w:rsid w:val="00266E0C"/>
    <w:rsid w:val="00266E1A"/>
    <w:rsid w:val="00270DED"/>
    <w:rsid w:val="002723FC"/>
    <w:rsid w:val="0027468B"/>
    <w:rsid w:val="00281907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3D0A"/>
    <w:rsid w:val="0029425C"/>
    <w:rsid w:val="00295866"/>
    <w:rsid w:val="00296F33"/>
    <w:rsid w:val="00297583"/>
    <w:rsid w:val="002A2034"/>
    <w:rsid w:val="002A3232"/>
    <w:rsid w:val="002A3622"/>
    <w:rsid w:val="002A41A8"/>
    <w:rsid w:val="002A5A93"/>
    <w:rsid w:val="002B043D"/>
    <w:rsid w:val="002B0FB4"/>
    <w:rsid w:val="002B12E6"/>
    <w:rsid w:val="002B1329"/>
    <w:rsid w:val="002B57EE"/>
    <w:rsid w:val="002B63E5"/>
    <w:rsid w:val="002B7295"/>
    <w:rsid w:val="002B7C26"/>
    <w:rsid w:val="002B7F03"/>
    <w:rsid w:val="002C0B56"/>
    <w:rsid w:val="002C0B93"/>
    <w:rsid w:val="002C0F1B"/>
    <w:rsid w:val="002C11E2"/>
    <w:rsid w:val="002C22CC"/>
    <w:rsid w:val="002C2FB0"/>
    <w:rsid w:val="002C4190"/>
    <w:rsid w:val="002C433C"/>
    <w:rsid w:val="002C4460"/>
    <w:rsid w:val="002C5187"/>
    <w:rsid w:val="002C5517"/>
    <w:rsid w:val="002C58CC"/>
    <w:rsid w:val="002C6CDA"/>
    <w:rsid w:val="002D0078"/>
    <w:rsid w:val="002D1354"/>
    <w:rsid w:val="002D1A9D"/>
    <w:rsid w:val="002D1CBC"/>
    <w:rsid w:val="002D2C39"/>
    <w:rsid w:val="002D390F"/>
    <w:rsid w:val="002D4273"/>
    <w:rsid w:val="002D4CBE"/>
    <w:rsid w:val="002D4D2D"/>
    <w:rsid w:val="002D513D"/>
    <w:rsid w:val="002D61E1"/>
    <w:rsid w:val="002D62AC"/>
    <w:rsid w:val="002D71AE"/>
    <w:rsid w:val="002D7409"/>
    <w:rsid w:val="002E2D66"/>
    <w:rsid w:val="002E33A2"/>
    <w:rsid w:val="002E3609"/>
    <w:rsid w:val="002E384A"/>
    <w:rsid w:val="002E5382"/>
    <w:rsid w:val="002E5E3C"/>
    <w:rsid w:val="002E6992"/>
    <w:rsid w:val="002F07F4"/>
    <w:rsid w:val="002F2E6A"/>
    <w:rsid w:val="002F323D"/>
    <w:rsid w:val="002F570C"/>
    <w:rsid w:val="002F605D"/>
    <w:rsid w:val="00300EF7"/>
    <w:rsid w:val="0030187D"/>
    <w:rsid w:val="00301A08"/>
    <w:rsid w:val="003029E5"/>
    <w:rsid w:val="0030437B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0E2"/>
    <w:rsid w:val="00321C3D"/>
    <w:rsid w:val="00322567"/>
    <w:rsid w:val="00323333"/>
    <w:rsid w:val="00323798"/>
    <w:rsid w:val="00323A55"/>
    <w:rsid w:val="00325E98"/>
    <w:rsid w:val="003268D1"/>
    <w:rsid w:val="00326ABC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5E0B"/>
    <w:rsid w:val="0033752D"/>
    <w:rsid w:val="00341267"/>
    <w:rsid w:val="0034210D"/>
    <w:rsid w:val="0034291E"/>
    <w:rsid w:val="003456F8"/>
    <w:rsid w:val="00346324"/>
    <w:rsid w:val="0034676D"/>
    <w:rsid w:val="0034685B"/>
    <w:rsid w:val="00347675"/>
    <w:rsid w:val="00347BD4"/>
    <w:rsid w:val="00347CD5"/>
    <w:rsid w:val="00350B80"/>
    <w:rsid w:val="00351462"/>
    <w:rsid w:val="003525B9"/>
    <w:rsid w:val="00353E36"/>
    <w:rsid w:val="00354809"/>
    <w:rsid w:val="00354ACD"/>
    <w:rsid w:val="003554E0"/>
    <w:rsid w:val="00355DBF"/>
    <w:rsid w:val="003576FF"/>
    <w:rsid w:val="00357F80"/>
    <w:rsid w:val="00361A34"/>
    <w:rsid w:val="0036304D"/>
    <w:rsid w:val="003631B2"/>
    <w:rsid w:val="00363764"/>
    <w:rsid w:val="00363A22"/>
    <w:rsid w:val="00363BEB"/>
    <w:rsid w:val="0036462F"/>
    <w:rsid w:val="00364A2E"/>
    <w:rsid w:val="00367A4B"/>
    <w:rsid w:val="00372887"/>
    <w:rsid w:val="00373EDC"/>
    <w:rsid w:val="00374152"/>
    <w:rsid w:val="00374404"/>
    <w:rsid w:val="00375A29"/>
    <w:rsid w:val="00375C4D"/>
    <w:rsid w:val="00377841"/>
    <w:rsid w:val="00380A73"/>
    <w:rsid w:val="00382D34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5AE5"/>
    <w:rsid w:val="003978DA"/>
    <w:rsid w:val="0039792C"/>
    <w:rsid w:val="003A13B4"/>
    <w:rsid w:val="003A35AF"/>
    <w:rsid w:val="003A47A3"/>
    <w:rsid w:val="003A72AE"/>
    <w:rsid w:val="003A7751"/>
    <w:rsid w:val="003B1262"/>
    <w:rsid w:val="003B4A8D"/>
    <w:rsid w:val="003B5D7A"/>
    <w:rsid w:val="003B72C4"/>
    <w:rsid w:val="003C0E1C"/>
    <w:rsid w:val="003C1D40"/>
    <w:rsid w:val="003C276B"/>
    <w:rsid w:val="003C3908"/>
    <w:rsid w:val="003C3A13"/>
    <w:rsid w:val="003C48B6"/>
    <w:rsid w:val="003C7C89"/>
    <w:rsid w:val="003C7FD9"/>
    <w:rsid w:val="003D4318"/>
    <w:rsid w:val="003D46C1"/>
    <w:rsid w:val="003D4D70"/>
    <w:rsid w:val="003D542E"/>
    <w:rsid w:val="003D6200"/>
    <w:rsid w:val="003D66C8"/>
    <w:rsid w:val="003D6B2B"/>
    <w:rsid w:val="003D79C2"/>
    <w:rsid w:val="003D7D5D"/>
    <w:rsid w:val="003E0375"/>
    <w:rsid w:val="003E1CA7"/>
    <w:rsid w:val="003E2B21"/>
    <w:rsid w:val="003E4422"/>
    <w:rsid w:val="003E4FF7"/>
    <w:rsid w:val="003F0B7E"/>
    <w:rsid w:val="003F1AAC"/>
    <w:rsid w:val="003F35EF"/>
    <w:rsid w:val="003F3B35"/>
    <w:rsid w:val="003F470F"/>
    <w:rsid w:val="003F6562"/>
    <w:rsid w:val="0040121C"/>
    <w:rsid w:val="00401805"/>
    <w:rsid w:val="004032D5"/>
    <w:rsid w:val="004052B2"/>
    <w:rsid w:val="00405C0C"/>
    <w:rsid w:val="00405E87"/>
    <w:rsid w:val="00405FC1"/>
    <w:rsid w:val="00406F3A"/>
    <w:rsid w:val="00407296"/>
    <w:rsid w:val="00410B6F"/>
    <w:rsid w:val="004120E8"/>
    <w:rsid w:val="00412253"/>
    <w:rsid w:val="00413ABB"/>
    <w:rsid w:val="00415770"/>
    <w:rsid w:val="00415FC6"/>
    <w:rsid w:val="00416528"/>
    <w:rsid w:val="004179EB"/>
    <w:rsid w:val="00417D4C"/>
    <w:rsid w:val="00421292"/>
    <w:rsid w:val="004261F6"/>
    <w:rsid w:val="00426711"/>
    <w:rsid w:val="00430270"/>
    <w:rsid w:val="004303BA"/>
    <w:rsid w:val="004310BA"/>
    <w:rsid w:val="00432270"/>
    <w:rsid w:val="00434060"/>
    <w:rsid w:val="00434D32"/>
    <w:rsid w:val="00436E44"/>
    <w:rsid w:val="00437173"/>
    <w:rsid w:val="0044012A"/>
    <w:rsid w:val="00441D52"/>
    <w:rsid w:val="00442312"/>
    <w:rsid w:val="004424DA"/>
    <w:rsid w:val="004432F6"/>
    <w:rsid w:val="004446C5"/>
    <w:rsid w:val="004452B6"/>
    <w:rsid w:val="004469F9"/>
    <w:rsid w:val="00446F85"/>
    <w:rsid w:val="00450B02"/>
    <w:rsid w:val="00451586"/>
    <w:rsid w:val="004520DA"/>
    <w:rsid w:val="004522B4"/>
    <w:rsid w:val="00452891"/>
    <w:rsid w:val="00452900"/>
    <w:rsid w:val="00452A5B"/>
    <w:rsid w:val="00452CED"/>
    <w:rsid w:val="00452FE4"/>
    <w:rsid w:val="00453189"/>
    <w:rsid w:val="00454813"/>
    <w:rsid w:val="00456AC9"/>
    <w:rsid w:val="004619D4"/>
    <w:rsid w:val="00461BFF"/>
    <w:rsid w:val="00461DF8"/>
    <w:rsid w:val="0046257E"/>
    <w:rsid w:val="004642C0"/>
    <w:rsid w:val="0046775E"/>
    <w:rsid w:val="004677F7"/>
    <w:rsid w:val="004708E3"/>
    <w:rsid w:val="00470D92"/>
    <w:rsid w:val="00472492"/>
    <w:rsid w:val="00473A8D"/>
    <w:rsid w:val="004746D8"/>
    <w:rsid w:val="00475510"/>
    <w:rsid w:val="0047586E"/>
    <w:rsid w:val="00475D67"/>
    <w:rsid w:val="00477A2F"/>
    <w:rsid w:val="00480E9D"/>
    <w:rsid w:val="00485168"/>
    <w:rsid w:val="004851ED"/>
    <w:rsid w:val="0048588A"/>
    <w:rsid w:val="004859D0"/>
    <w:rsid w:val="00490397"/>
    <w:rsid w:val="00490692"/>
    <w:rsid w:val="00492663"/>
    <w:rsid w:val="0049307B"/>
    <w:rsid w:val="00494894"/>
    <w:rsid w:val="004952D7"/>
    <w:rsid w:val="00495F6A"/>
    <w:rsid w:val="00496108"/>
    <w:rsid w:val="00496192"/>
    <w:rsid w:val="00496EAF"/>
    <w:rsid w:val="00497373"/>
    <w:rsid w:val="00497B08"/>
    <w:rsid w:val="004A0830"/>
    <w:rsid w:val="004A0E05"/>
    <w:rsid w:val="004A11C7"/>
    <w:rsid w:val="004A18D7"/>
    <w:rsid w:val="004A1B26"/>
    <w:rsid w:val="004A4A80"/>
    <w:rsid w:val="004A5489"/>
    <w:rsid w:val="004B0720"/>
    <w:rsid w:val="004B6616"/>
    <w:rsid w:val="004B7AD5"/>
    <w:rsid w:val="004C0F3F"/>
    <w:rsid w:val="004C17CB"/>
    <w:rsid w:val="004C420E"/>
    <w:rsid w:val="004C73A9"/>
    <w:rsid w:val="004C7929"/>
    <w:rsid w:val="004D0248"/>
    <w:rsid w:val="004D0B47"/>
    <w:rsid w:val="004D0BDF"/>
    <w:rsid w:val="004D2424"/>
    <w:rsid w:val="004D3A0B"/>
    <w:rsid w:val="004D469E"/>
    <w:rsid w:val="004D4B67"/>
    <w:rsid w:val="004D5182"/>
    <w:rsid w:val="004E1BE7"/>
    <w:rsid w:val="004E23F3"/>
    <w:rsid w:val="004E2A6E"/>
    <w:rsid w:val="004E3405"/>
    <w:rsid w:val="004E3A57"/>
    <w:rsid w:val="004E4BBD"/>
    <w:rsid w:val="004E5018"/>
    <w:rsid w:val="004E5200"/>
    <w:rsid w:val="004E5635"/>
    <w:rsid w:val="004E5EFE"/>
    <w:rsid w:val="004E6B64"/>
    <w:rsid w:val="004F064A"/>
    <w:rsid w:val="004F0FD3"/>
    <w:rsid w:val="004F1222"/>
    <w:rsid w:val="004F33C5"/>
    <w:rsid w:val="004F3422"/>
    <w:rsid w:val="004F3FEB"/>
    <w:rsid w:val="004F4ABE"/>
    <w:rsid w:val="004F5BB4"/>
    <w:rsid w:val="004F6AEC"/>
    <w:rsid w:val="005014CD"/>
    <w:rsid w:val="00501793"/>
    <w:rsid w:val="005028C8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9DB"/>
    <w:rsid w:val="00535A6B"/>
    <w:rsid w:val="0054139F"/>
    <w:rsid w:val="005418F5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57DF4"/>
    <w:rsid w:val="00560346"/>
    <w:rsid w:val="00560786"/>
    <w:rsid w:val="00562598"/>
    <w:rsid w:val="0056268F"/>
    <w:rsid w:val="00562BE0"/>
    <w:rsid w:val="00565AC5"/>
    <w:rsid w:val="00565C3C"/>
    <w:rsid w:val="00566963"/>
    <w:rsid w:val="00566974"/>
    <w:rsid w:val="005673CC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1465"/>
    <w:rsid w:val="005835E1"/>
    <w:rsid w:val="00584471"/>
    <w:rsid w:val="00584C9B"/>
    <w:rsid w:val="00586657"/>
    <w:rsid w:val="00586FDE"/>
    <w:rsid w:val="00587B6A"/>
    <w:rsid w:val="00587C9B"/>
    <w:rsid w:val="00587F5D"/>
    <w:rsid w:val="00590E5A"/>
    <w:rsid w:val="005939D9"/>
    <w:rsid w:val="00593E65"/>
    <w:rsid w:val="005940D1"/>
    <w:rsid w:val="00594E34"/>
    <w:rsid w:val="00596B3D"/>
    <w:rsid w:val="005A00F1"/>
    <w:rsid w:val="005A0473"/>
    <w:rsid w:val="005A2279"/>
    <w:rsid w:val="005A2BB7"/>
    <w:rsid w:val="005A32A6"/>
    <w:rsid w:val="005A3A8D"/>
    <w:rsid w:val="005A4ADA"/>
    <w:rsid w:val="005A6F2F"/>
    <w:rsid w:val="005B03DD"/>
    <w:rsid w:val="005B24AF"/>
    <w:rsid w:val="005B283E"/>
    <w:rsid w:val="005B2BE8"/>
    <w:rsid w:val="005B3A18"/>
    <w:rsid w:val="005B41AA"/>
    <w:rsid w:val="005B4F61"/>
    <w:rsid w:val="005B50EF"/>
    <w:rsid w:val="005B57EF"/>
    <w:rsid w:val="005B6DF8"/>
    <w:rsid w:val="005C0524"/>
    <w:rsid w:val="005C087B"/>
    <w:rsid w:val="005C0C5C"/>
    <w:rsid w:val="005C2A99"/>
    <w:rsid w:val="005C5968"/>
    <w:rsid w:val="005C7707"/>
    <w:rsid w:val="005D0BFE"/>
    <w:rsid w:val="005D133C"/>
    <w:rsid w:val="005D14A0"/>
    <w:rsid w:val="005D26A2"/>
    <w:rsid w:val="005D2F33"/>
    <w:rsid w:val="005D33D4"/>
    <w:rsid w:val="005D5CF2"/>
    <w:rsid w:val="005D7FCA"/>
    <w:rsid w:val="005E1232"/>
    <w:rsid w:val="005E37DA"/>
    <w:rsid w:val="005E40BB"/>
    <w:rsid w:val="005E485F"/>
    <w:rsid w:val="005F0FD7"/>
    <w:rsid w:val="005F1EC4"/>
    <w:rsid w:val="005F2604"/>
    <w:rsid w:val="005F2D68"/>
    <w:rsid w:val="005F3758"/>
    <w:rsid w:val="005F71F9"/>
    <w:rsid w:val="006002AA"/>
    <w:rsid w:val="006051D7"/>
    <w:rsid w:val="006107BB"/>
    <w:rsid w:val="00611A35"/>
    <w:rsid w:val="00611C67"/>
    <w:rsid w:val="0061308C"/>
    <w:rsid w:val="00614076"/>
    <w:rsid w:val="00614368"/>
    <w:rsid w:val="00614E5A"/>
    <w:rsid w:val="00616235"/>
    <w:rsid w:val="0061690D"/>
    <w:rsid w:val="00620244"/>
    <w:rsid w:val="00620B8A"/>
    <w:rsid w:val="006226EB"/>
    <w:rsid w:val="0062275E"/>
    <w:rsid w:val="0062395A"/>
    <w:rsid w:val="00623F97"/>
    <w:rsid w:val="0062499E"/>
    <w:rsid w:val="00624F00"/>
    <w:rsid w:val="0062554E"/>
    <w:rsid w:val="00630057"/>
    <w:rsid w:val="00630230"/>
    <w:rsid w:val="00631233"/>
    <w:rsid w:val="0063197E"/>
    <w:rsid w:val="00632DC1"/>
    <w:rsid w:val="00635809"/>
    <w:rsid w:val="00636EB6"/>
    <w:rsid w:val="00637A6B"/>
    <w:rsid w:val="00640B8B"/>
    <w:rsid w:val="00640FE7"/>
    <w:rsid w:val="00643AB4"/>
    <w:rsid w:val="00643E28"/>
    <w:rsid w:val="00643E5C"/>
    <w:rsid w:val="00645153"/>
    <w:rsid w:val="006455B8"/>
    <w:rsid w:val="00645F79"/>
    <w:rsid w:val="00646223"/>
    <w:rsid w:val="006470A6"/>
    <w:rsid w:val="00647993"/>
    <w:rsid w:val="00650191"/>
    <w:rsid w:val="00650304"/>
    <w:rsid w:val="0065103C"/>
    <w:rsid w:val="006529FA"/>
    <w:rsid w:val="006535F8"/>
    <w:rsid w:val="00653B45"/>
    <w:rsid w:val="00657376"/>
    <w:rsid w:val="006600BA"/>
    <w:rsid w:val="0066093C"/>
    <w:rsid w:val="00663B7B"/>
    <w:rsid w:val="006640FF"/>
    <w:rsid w:val="00667145"/>
    <w:rsid w:val="006673BB"/>
    <w:rsid w:val="006674A4"/>
    <w:rsid w:val="006707F5"/>
    <w:rsid w:val="00670AD9"/>
    <w:rsid w:val="006713C2"/>
    <w:rsid w:val="00671713"/>
    <w:rsid w:val="00672EDC"/>
    <w:rsid w:val="006735A6"/>
    <w:rsid w:val="00673AE4"/>
    <w:rsid w:val="0067402D"/>
    <w:rsid w:val="006750E2"/>
    <w:rsid w:val="00675E56"/>
    <w:rsid w:val="0067632C"/>
    <w:rsid w:val="006768B0"/>
    <w:rsid w:val="00677934"/>
    <w:rsid w:val="00677A85"/>
    <w:rsid w:val="006805A5"/>
    <w:rsid w:val="00680B51"/>
    <w:rsid w:val="00680E3F"/>
    <w:rsid w:val="006821E3"/>
    <w:rsid w:val="00682E8F"/>
    <w:rsid w:val="00684CB6"/>
    <w:rsid w:val="00685DB6"/>
    <w:rsid w:val="006862EF"/>
    <w:rsid w:val="0069299B"/>
    <w:rsid w:val="00693137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3B3E"/>
    <w:rsid w:val="006A4CFB"/>
    <w:rsid w:val="006A71A2"/>
    <w:rsid w:val="006A7AE1"/>
    <w:rsid w:val="006A7CC8"/>
    <w:rsid w:val="006B0DD2"/>
    <w:rsid w:val="006B2505"/>
    <w:rsid w:val="006B4075"/>
    <w:rsid w:val="006B5E7A"/>
    <w:rsid w:val="006B6956"/>
    <w:rsid w:val="006B707F"/>
    <w:rsid w:val="006C09E3"/>
    <w:rsid w:val="006C0A34"/>
    <w:rsid w:val="006C0DA3"/>
    <w:rsid w:val="006C2667"/>
    <w:rsid w:val="006C3B4B"/>
    <w:rsid w:val="006C41FF"/>
    <w:rsid w:val="006C4E62"/>
    <w:rsid w:val="006C5B37"/>
    <w:rsid w:val="006C7B8B"/>
    <w:rsid w:val="006D1496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5398"/>
    <w:rsid w:val="006E6CC2"/>
    <w:rsid w:val="006E77BB"/>
    <w:rsid w:val="006F5C05"/>
    <w:rsid w:val="006F5E1D"/>
    <w:rsid w:val="006F6ADA"/>
    <w:rsid w:val="006F7069"/>
    <w:rsid w:val="006F707F"/>
    <w:rsid w:val="00701873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3AD7"/>
    <w:rsid w:val="00713CA3"/>
    <w:rsid w:val="0071439B"/>
    <w:rsid w:val="0072122E"/>
    <w:rsid w:val="00723B85"/>
    <w:rsid w:val="00725232"/>
    <w:rsid w:val="007254CF"/>
    <w:rsid w:val="007257B8"/>
    <w:rsid w:val="007265A4"/>
    <w:rsid w:val="00727A83"/>
    <w:rsid w:val="0073042B"/>
    <w:rsid w:val="00730A03"/>
    <w:rsid w:val="0073174A"/>
    <w:rsid w:val="007333BE"/>
    <w:rsid w:val="0073343B"/>
    <w:rsid w:val="007335A8"/>
    <w:rsid w:val="00734EC9"/>
    <w:rsid w:val="00735079"/>
    <w:rsid w:val="0073593C"/>
    <w:rsid w:val="00736425"/>
    <w:rsid w:val="00736A14"/>
    <w:rsid w:val="00737013"/>
    <w:rsid w:val="0073764E"/>
    <w:rsid w:val="00737DDD"/>
    <w:rsid w:val="00747908"/>
    <w:rsid w:val="0075099D"/>
    <w:rsid w:val="00751089"/>
    <w:rsid w:val="00752052"/>
    <w:rsid w:val="00753C3F"/>
    <w:rsid w:val="00754324"/>
    <w:rsid w:val="00754EA3"/>
    <w:rsid w:val="00756B84"/>
    <w:rsid w:val="00757A75"/>
    <w:rsid w:val="00760136"/>
    <w:rsid w:val="00760496"/>
    <w:rsid w:val="0076053B"/>
    <w:rsid w:val="00761553"/>
    <w:rsid w:val="007617A9"/>
    <w:rsid w:val="0076189A"/>
    <w:rsid w:val="00762D76"/>
    <w:rsid w:val="00763FB0"/>
    <w:rsid w:val="007644E5"/>
    <w:rsid w:val="00765150"/>
    <w:rsid w:val="00766121"/>
    <w:rsid w:val="00770D2D"/>
    <w:rsid w:val="00770D5D"/>
    <w:rsid w:val="00772C0B"/>
    <w:rsid w:val="007738D0"/>
    <w:rsid w:val="00773EC0"/>
    <w:rsid w:val="00774DA4"/>
    <w:rsid w:val="00774E33"/>
    <w:rsid w:val="0077567A"/>
    <w:rsid w:val="00775B12"/>
    <w:rsid w:val="00775DA1"/>
    <w:rsid w:val="00777045"/>
    <w:rsid w:val="00777690"/>
    <w:rsid w:val="007777BD"/>
    <w:rsid w:val="00777FA9"/>
    <w:rsid w:val="00780533"/>
    <w:rsid w:val="00782061"/>
    <w:rsid w:val="00783A0B"/>
    <w:rsid w:val="00783E8C"/>
    <w:rsid w:val="00784DD0"/>
    <w:rsid w:val="00785290"/>
    <w:rsid w:val="007862F7"/>
    <w:rsid w:val="0078737D"/>
    <w:rsid w:val="00790464"/>
    <w:rsid w:val="007912F9"/>
    <w:rsid w:val="00791D81"/>
    <w:rsid w:val="007939B6"/>
    <w:rsid w:val="00793D62"/>
    <w:rsid w:val="0079427C"/>
    <w:rsid w:val="00794F09"/>
    <w:rsid w:val="00795C3B"/>
    <w:rsid w:val="00795D57"/>
    <w:rsid w:val="007964C7"/>
    <w:rsid w:val="007977C0"/>
    <w:rsid w:val="007A35B4"/>
    <w:rsid w:val="007A4846"/>
    <w:rsid w:val="007A4969"/>
    <w:rsid w:val="007A603F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28B7"/>
    <w:rsid w:val="007C3D92"/>
    <w:rsid w:val="007C4D63"/>
    <w:rsid w:val="007C5420"/>
    <w:rsid w:val="007C582F"/>
    <w:rsid w:val="007C607D"/>
    <w:rsid w:val="007C6E19"/>
    <w:rsid w:val="007D1008"/>
    <w:rsid w:val="007D1B67"/>
    <w:rsid w:val="007D2672"/>
    <w:rsid w:val="007D394D"/>
    <w:rsid w:val="007D4B6B"/>
    <w:rsid w:val="007D62DC"/>
    <w:rsid w:val="007D7930"/>
    <w:rsid w:val="007D7CCF"/>
    <w:rsid w:val="007E0965"/>
    <w:rsid w:val="007E2425"/>
    <w:rsid w:val="007E58BF"/>
    <w:rsid w:val="007E728E"/>
    <w:rsid w:val="007E784C"/>
    <w:rsid w:val="007E79F5"/>
    <w:rsid w:val="007F130A"/>
    <w:rsid w:val="007F3D4F"/>
    <w:rsid w:val="007F46C8"/>
    <w:rsid w:val="007F5D18"/>
    <w:rsid w:val="00801420"/>
    <w:rsid w:val="00802069"/>
    <w:rsid w:val="008025DC"/>
    <w:rsid w:val="00802652"/>
    <w:rsid w:val="008027A4"/>
    <w:rsid w:val="00803C62"/>
    <w:rsid w:val="00806EC8"/>
    <w:rsid w:val="00814CE9"/>
    <w:rsid w:val="00815161"/>
    <w:rsid w:val="00815D21"/>
    <w:rsid w:val="00815D37"/>
    <w:rsid w:val="00815D73"/>
    <w:rsid w:val="00816F1F"/>
    <w:rsid w:val="008176D9"/>
    <w:rsid w:val="00820BE1"/>
    <w:rsid w:val="008218B7"/>
    <w:rsid w:val="00822919"/>
    <w:rsid w:val="00825BCB"/>
    <w:rsid w:val="00825CE6"/>
    <w:rsid w:val="0082609D"/>
    <w:rsid w:val="008270A6"/>
    <w:rsid w:val="00827BB7"/>
    <w:rsid w:val="008307CF"/>
    <w:rsid w:val="008310C2"/>
    <w:rsid w:val="00831662"/>
    <w:rsid w:val="00831988"/>
    <w:rsid w:val="008319E1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3951"/>
    <w:rsid w:val="00844028"/>
    <w:rsid w:val="0084493B"/>
    <w:rsid w:val="00844B59"/>
    <w:rsid w:val="00844F82"/>
    <w:rsid w:val="00845D51"/>
    <w:rsid w:val="008462E6"/>
    <w:rsid w:val="00846331"/>
    <w:rsid w:val="008469EE"/>
    <w:rsid w:val="008513F9"/>
    <w:rsid w:val="008521CA"/>
    <w:rsid w:val="00852876"/>
    <w:rsid w:val="00853F5B"/>
    <w:rsid w:val="008566B3"/>
    <w:rsid w:val="00856765"/>
    <w:rsid w:val="0085760A"/>
    <w:rsid w:val="008610D3"/>
    <w:rsid w:val="00861853"/>
    <w:rsid w:val="00862746"/>
    <w:rsid w:val="008638C5"/>
    <w:rsid w:val="00864335"/>
    <w:rsid w:val="00867AEB"/>
    <w:rsid w:val="00871FE1"/>
    <w:rsid w:val="0087467A"/>
    <w:rsid w:val="00876C2C"/>
    <w:rsid w:val="00876D26"/>
    <w:rsid w:val="008775A4"/>
    <w:rsid w:val="008809B6"/>
    <w:rsid w:val="00881122"/>
    <w:rsid w:val="00881AF4"/>
    <w:rsid w:val="00882B98"/>
    <w:rsid w:val="008834FE"/>
    <w:rsid w:val="00883BC1"/>
    <w:rsid w:val="00884AE7"/>
    <w:rsid w:val="00884CBF"/>
    <w:rsid w:val="00884F48"/>
    <w:rsid w:val="00886263"/>
    <w:rsid w:val="00890070"/>
    <w:rsid w:val="00890405"/>
    <w:rsid w:val="008907F0"/>
    <w:rsid w:val="00890B27"/>
    <w:rsid w:val="008920DC"/>
    <w:rsid w:val="008927EE"/>
    <w:rsid w:val="00892826"/>
    <w:rsid w:val="008956D1"/>
    <w:rsid w:val="008957EF"/>
    <w:rsid w:val="00895BB6"/>
    <w:rsid w:val="0089700B"/>
    <w:rsid w:val="008972B2"/>
    <w:rsid w:val="008976A1"/>
    <w:rsid w:val="00897CA1"/>
    <w:rsid w:val="008A0E25"/>
    <w:rsid w:val="008A1766"/>
    <w:rsid w:val="008A1D53"/>
    <w:rsid w:val="008A7A9B"/>
    <w:rsid w:val="008A7CDD"/>
    <w:rsid w:val="008B1750"/>
    <w:rsid w:val="008B2BA7"/>
    <w:rsid w:val="008B2BDC"/>
    <w:rsid w:val="008B3494"/>
    <w:rsid w:val="008B4A35"/>
    <w:rsid w:val="008B5FC3"/>
    <w:rsid w:val="008B60AF"/>
    <w:rsid w:val="008B7022"/>
    <w:rsid w:val="008C0A82"/>
    <w:rsid w:val="008C117C"/>
    <w:rsid w:val="008C483F"/>
    <w:rsid w:val="008C4980"/>
    <w:rsid w:val="008C5798"/>
    <w:rsid w:val="008C61D8"/>
    <w:rsid w:val="008D257B"/>
    <w:rsid w:val="008D2BDD"/>
    <w:rsid w:val="008D33F8"/>
    <w:rsid w:val="008D40A7"/>
    <w:rsid w:val="008D4BC6"/>
    <w:rsid w:val="008E190A"/>
    <w:rsid w:val="008E2DB0"/>
    <w:rsid w:val="008E4AD4"/>
    <w:rsid w:val="008E70BF"/>
    <w:rsid w:val="008F1906"/>
    <w:rsid w:val="008F1F12"/>
    <w:rsid w:val="008F2550"/>
    <w:rsid w:val="008F2E54"/>
    <w:rsid w:val="008F43E5"/>
    <w:rsid w:val="008F5A3B"/>
    <w:rsid w:val="008F6975"/>
    <w:rsid w:val="008F72C4"/>
    <w:rsid w:val="008F7EF5"/>
    <w:rsid w:val="00900A5F"/>
    <w:rsid w:val="00902108"/>
    <w:rsid w:val="00902865"/>
    <w:rsid w:val="009030D3"/>
    <w:rsid w:val="0090415F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2ACE"/>
    <w:rsid w:val="00924122"/>
    <w:rsid w:val="009241E0"/>
    <w:rsid w:val="00924D7D"/>
    <w:rsid w:val="00927747"/>
    <w:rsid w:val="00927D6F"/>
    <w:rsid w:val="00930CCE"/>
    <w:rsid w:val="00931A17"/>
    <w:rsid w:val="00934178"/>
    <w:rsid w:val="009353AC"/>
    <w:rsid w:val="009360C0"/>
    <w:rsid w:val="0093639F"/>
    <w:rsid w:val="0093653B"/>
    <w:rsid w:val="00936FF7"/>
    <w:rsid w:val="00937550"/>
    <w:rsid w:val="0094028A"/>
    <w:rsid w:val="0094183B"/>
    <w:rsid w:val="0094398C"/>
    <w:rsid w:val="00944C8D"/>
    <w:rsid w:val="00944E22"/>
    <w:rsid w:val="00947084"/>
    <w:rsid w:val="00947FBD"/>
    <w:rsid w:val="00950F90"/>
    <w:rsid w:val="0095138D"/>
    <w:rsid w:val="00953E98"/>
    <w:rsid w:val="00954A08"/>
    <w:rsid w:val="00955403"/>
    <w:rsid w:val="00957526"/>
    <w:rsid w:val="00957C85"/>
    <w:rsid w:val="00957D24"/>
    <w:rsid w:val="00961FD4"/>
    <w:rsid w:val="00962B91"/>
    <w:rsid w:val="009630B4"/>
    <w:rsid w:val="00963735"/>
    <w:rsid w:val="009650B3"/>
    <w:rsid w:val="00965964"/>
    <w:rsid w:val="00967B7A"/>
    <w:rsid w:val="009701EE"/>
    <w:rsid w:val="0097162D"/>
    <w:rsid w:val="009721C4"/>
    <w:rsid w:val="009722DB"/>
    <w:rsid w:val="0097272E"/>
    <w:rsid w:val="00973B94"/>
    <w:rsid w:val="00976F80"/>
    <w:rsid w:val="00977B89"/>
    <w:rsid w:val="009805F2"/>
    <w:rsid w:val="00984C33"/>
    <w:rsid w:val="00984E46"/>
    <w:rsid w:val="00986052"/>
    <w:rsid w:val="00987C74"/>
    <w:rsid w:val="00991B11"/>
    <w:rsid w:val="00991EDB"/>
    <w:rsid w:val="00994D71"/>
    <w:rsid w:val="00996C28"/>
    <w:rsid w:val="00996FA7"/>
    <w:rsid w:val="009977C9"/>
    <w:rsid w:val="009A2117"/>
    <w:rsid w:val="009A2DA3"/>
    <w:rsid w:val="009A37EB"/>
    <w:rsid w:val="009A3ADF"/>
    <w:rsid w:val="009A4477"/>
    <w:rsid w:val="009A662A"/>
    <w:rsid w:val="009A6C03"/>
    <w:rsid w:val="009A76B2"/>
    <w:rsid w:val="009A7F06"/>
    <w:rsid w:val="009A7F2E"/>
    <w:rsid w:val="009B0C1D"/>
    <w:rsid w:val="009B2E68"/>
    <w:rsid w:val="009B3995"/>
    <w:rsid w:val="009B7FE4"/>
    <w:rsid w:val="009C005C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3894"/>
    <w:rsid w:val="009D4F4F"/>
    <w:rsid w:val="009D6E1C"/>
    <w:rsid w:val="009D746D"/>
    <w:rsid w:val="009D75DE"/>
    <w:rsid w:val="009D7945"/>
    <w:rsid w:val="009E30A5"/>
    <w:rsid w:val="009E3CEE"/>
    <w:rsid w:val="009E3EAC"/>
    <w:rsid w:val="009E3F63"/>
    <w:rsid w:val="009E4342"/>
    <w:rsid w:val="009F03B6"/>
    <w:rsid w:val="009F0432"/>
    <w:rsid w:val="009F0ADE"/>
    <w:rsid w:val="009F1FB2"/>
    <w:rsid w:val="009F2842"/>
    <w:rsid w:val="009F2CAA"/>
    <w:rsid w:val="009F5F7B"/>
    <w:rsid w:val="009F691A"/>
    <w:rsid w:val="00A004B0"/>
    <w:rsid w:val="00A02B53"/>
    <w:rsid w:val="00A03C51"/>
    <w:rsid w:val="00A04007"/>
    <w:rsid w:val="00A04E54"/>
    <w:rsid w:val="00A061EB"/>
    <w:rsid w:val="00A06334"/>
    <w:rsid w:val="00A0698F"/>
    <w:rsid w:val="00A10DFC"/>
    <w:rsid w:val="00A113DF"/>
    <w:rsid w:val="00A12E53"/>
    <w:rsid w:val="00A13DFC"/>
    <w:rsid w:val="00A16B16"/>
    <w:rsid w:val="00A17979"/>
    <w:rsid w:val="00A22325"/>
    <w:rsid w:val="00A223B1"/>
    <w:rsid w:val="00A23478"/>
    <w:rsid w:val="00A23E03"/>
    <w:rsid w:val="00A24493"/>
    <w:rsid w:val="00A25176"/>
    <w:rsid w:val="00A26267"/>
    <w:rsid w:val="00A269CF"/>
    <w:rsid w:val="00A30AE9"/>
    <w:rsid w:val="00A31C2C"/>
    <w:rsid w:val="00A356B3"/>
    <w:rsid w:val="00A35813"/>
    <w:rsid w:val="00A364A1"/>
    <w:rsid w:val="00A36649"/>
    <w:rsid w:val="00A36D32"/>
    <w:rsid w:val="00A36E5F"/>
    <w:rsid w:val="00A401BC"/>
    <w:rsid w:val="00A40F25"/>
    <w:rsid w:val="00A423A7"/>
    <w:rsid w:val="00A430EB"/>
    <w:rsid w:val="00A44F7D"/>
    <w:rsid w:val="00A54C2F"/>
    <w:rsid w:val="00A608FD"/>
    <w:rsid w:val="00A60FC8"/>
    <w:rsid w:val="00A6177F"/>
    <w:rsid w:val="00A61A79"/>
    <w:rsid w:val="00A63606"/>
    <w:rsid w:val="00A64AD2"/>
    <w:rsid w:val="00A64D76"/>
    <w:rsid w:val="00A650B3"/>
    <w:rsid w:val="00A65B9D"/>
    <w:rsid w:val="00A66062"/>
    <w:rsid w:val="00A66317"/>
    <w:rsid w:val="00A66328"/>
    <w:rsid w:val="00A66E9E"/>
    <w:rsid w:val="00A710F1"/>
    <w:rsid w:val="00A71D3F"/>
    <w:rsid w:val="00A71FF1"/>
    <w:rsid w:val="00A7213D"/>
    <w:rsid w:val="00A76386"/>
    <w:rsid w:val="00A77136"/>
    <w:rsid w:val="00A7781C"/>
    <w:rsid w:val="00A84F3D"/>
    <w:rsid w:val="00A86DA7"/>
    <w:rsid w:val="00A90AD0"/>
    <w:rsid w:val="00A91DC0"/>
    <w:rsid w:val="00A91E49"/>
    <w:rsid w:val="00A9205A"/>
    <w:rsid w:val="00A953B4"/>
    <w:rsid w:val="00AA0FE4"/>
    <w:rsid w:val="00AA10CE"/>
    <w:rsid w:val="00AA2A57"/>
    <w:rsid w:val="00AA2C9B"/>
    <w:rsid w:val="00AA5738"/>
    <w:rsid w:val="00AA5FE0"/>
    <w:rsid w:val="00AA6191"/>
    <w:rsid w:val="00AA65EF"/>
    <w:rsid w:val="00AA787F"/>
    <w:rsid w:val="00AB07C4"/>
    <w:rsid w:val="00AB0FBF"/>
    <w:rsid w:val="00AB3272"/>
    <w:rsid w:val="00AB5A9E"/>
    <w:rsid w:val="00AB5BA1"/>
    <w:rsid w:val="00AB6942"/>
    <w:rsid w:val="00AB7331"/>
    <w:rsid w:val="00AC056B"/>
    <w:rsid w:val="00AC0C82"/>
    <w:rsid w:val="00AC18D7"/>
    <w:rsid w:val="00AC2611"/>
    <w:rsid w:val="00AC2E6A"/>
    <w:rsid w:val="00AC3E12"/>
    <w:rsid w:val="00AC44EB"/>
    <w:rsid w:val="00AC71A6"/>
    <w:rsid w:val="00AD02EC"/>
    <w:rsid w:val="00AD05A6"/>
    <w:rsid w:val="00AD3292"/>
    <w:rsid w:val="00AD388F"/>
    <w:rsid w:val="00AD436F"/>
    <w:rsid w:val="00AD7473"/>
    <w:rsid w:val="00AE0854"/>
    <w:rsid w:val="00AE0F77"/>
    <w:rsid w:val="00AE1EFF"/>
    <w:rsid w:val="00AE2657"/>
    <w:rsid w:val="00AE4C5E"/>
    <w:rsid w:val="00AE52B8"/>
    <w:rsid w:val="00AE53E8"/>
    <w:rsid w:val="00AE643F"/>
    <w:rsid w:val="00AE7805"/>
    <w:rsid w:val="00AE7BCB"/>
    <w:rsid w:val="00AE7C72"/>
    <w:rsid w:val="00AF0726"/>
    <w:rsid w:val="00AF1125"/>
    <w:rsid w:val="00AF214C"/>
    <w:rsid w:val="00AF24B2"/>
    <w:rsid w:val="00AF4E13"/>
    <w:rsid w:val="00AF529C"/>
    <w:rsid w:val="00AF5345"/>
    <w:rsid w:val="00AF5B03"/>
    <w:rsid w:val="00AF5EB2"/>
    <w:rsid w:val="00AF60B7"/>
    <w:rsid w:val="00AF751E"/>
    <w:rsid w:val="00AF7F4A"/>
    <w:rsid w:val="00B00632"/>
    <w:rsid w:val="00B01528"/>
    <w:rsid w:val="00B01A0B"/>
    <w:rsid w:val="00B03791"/>
    <w:rsid w:val="00B03F2D"/>
    <w:rsid w:val="00B047F1"/>
    <w:rsid w:val="00B051CC"/>
    <w:rsid w:val="00B05237"/>
    <w:rsid w:val="00B0532A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708"/>
    <w:rsid w:val="00B34F7E"/>
    <w:rsid w:val="00B35085"/>
    <w:rsid w:val="00B365C9"/>
    <w:rsid w:val="00B3783E"/>
    <w:rsid w:val="00B406F1"/>
    <w:rsid w:val="00B43BAA"/>
    <w:rsid w:val="00B44A32"/>
    <w:rsid w:val="00B457AA"/>
    <w:rsid w:val="00B45C22"/>
    <w:rsid w:val="00B46F5D"/>
    <w:rsid w:val="00B510D1"/>
    <w:rsid w:val="00B516F4"/>
    <w:rsid w:val="00B53695"/>
    <w:rsid w:val="00B552F4"/>
    <w:rsid w:val="00B56122"/>
    <w:rsid w:val="00B6021A"/>
    <w:rsid w:val="00B618FA"/>
    <w:rsid w:val="00B61CD8"/>
    <w:rsid w:val="00B61DDE"/>
    <w:rsid w:val="00B622BA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6CDD"/>
    <w:rsid w:val="00B77794"/>
    <w:rsid w:val="00B80677"/>
    <w:rsid w:val="00B81482"/>
    <w:rsid w:val="00B81FBF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57B7"/>
    <w:rsid w:val="00B96704"/>
    <w:rsid w:val="00B96E93"/>
    <w:rsid w:val="00B971AE"/>
    <w:rsid w:val="00B97AE8"/>
    <w:rsid w:val="00BA2289"/>
    <w:rsid w:val="00BA3745"/>
    <w:rsid w:val="00BA783E"/>
    <w:rsid w:val="00BB01C4"/>
    <w:rsid w:val="00BB1DDF"/>
    <w:rsid w:val="00BB1F05"/>
    <w:rsid w:val="00BB211A"/>
    <w:rsid w:val="00BB4665"/>
    <w:rsid w:val="00BB473F"/>
    <w:rsid w:val="00BB4A4E"/>
    <w:rsid w:val="00BC1CC8"/>
    <w:rsid w:val="00BC2D7C"/>
    <w:rsid w:val="00BC5B5E"/>
    <w:rsid w:val="00BC6124"/>
    <w:rsid w:val="00BC76D0"/>
    <w:rsid w:val="00BD2C2E"/>
    <w:rsid w:val="00BD3529"/>
    <w:rsid w:val="00BE134F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3F2C"/>
    <w:rsid w:val="00BF5106"/>
    <w:rsid w:val="00BF583E"/>
    <w:rsid w:val="00BF5D19"/>
    <w:rsid w:val="00BF5DF9"/>
    <w:rsid w:val="00C00153"/>
    <w:rsid w:val="00C00321"/>
    <w:rsid w:val="00C0043D"/>
    <w:rsid w:val="00C013C1"/>
    <w:rsid w:val="00C023AC"/>
    <w:rsid w:val="00C024B1"/>
    <w:rsid w:val="00C032E9"/>
    <w:rsid w:val="00C03950"/>
    <w:rsid w:val="00C04E50"/>
    <w:rsid w:val="00C053AA"/>
    <w:rsid w:val="00C05572"/>
    <w:rsid w:val="00C055DB"/>
    <w:rsid w:val="00C06758"/>
    <w:rsid w:val="00C10CA2"/>
    <w:rsid w:val="00C10E6A"/>
    <w:rsid w:val="00C1154C"/>
    <w:rsid w:val="00C11CA8"/>
    <w:rsid w:val="00C1279D"/>
    <w:rsid w:val="00C16581"/>
    <w:rsid w:val="00C17B97"/>
    <w:rsid w:val="00C20338"/>
    <w:rsid w:val="00C2114D"/>
    <w:rsid w:val="00C214E5"/>
    <w:rsid w:val="00C24B34"/>
    <w:rsid w:val="00C24F8E"/>
    <w:rsid w:val="00C27666"/>
    <w:rsid w:val="00C276B1"/>
    <w:rsid w:val="00C308AD"/>
    <w:rsid w:val="00C31091"/>
    <w:rsid w:val="00C32280"/>
    <w:rsid w:val="00C33673"/>
    <w:rsid w:val="00C342E0"/>
    <w:rsid w:val="00C343BD"/>
    <w:rsid w:val="00C3561A"/>
    <w:rsid w:val="00C36730"/>
    <w:rsid w:val="00C3716E"/>
    <w:rsid w:val="00C374D4"/>
    <w:rsid w:val="00C4141D"/>
    <w:rsid w:val="00C45AAA"/>
    <w:rsid w:val="00C46721"/>
    <w:rsid w:val="00C46EC8"/>
    <w:rsid w:val="00C470B7"/>
    <w:rsid w:val="00C47E65"/>
    <w:rsid w:val="00C50096"/>
    <w:rsid w:val="00C52FF7"/>
    <w:rsid w:val="00C536FD"/>
    <w:rsid w:val="00C546FF"/>
    <w:rsid w:val="00C54A1E"/>
    <w:rsid w:val="00C54B84"/>
    <w:rsid w:val="00C54C86"/>
    <w:rsid w:val="00C56178"/>
    <w:rsid w:val="00C56318"/>
    <w:rsid w:val="00C56687"/>
    <w:rsid w:val="00C56F97"/>
    <w:rsid w:val="00C571FB"/>
    <w:rsid w:val="00C577A9"/>
    <w:rsid w:val="00C60D99"/>
    <w:rsid w:val="00C62779"/>
    <w:rsid w:val="00C674B4"/>
    <w:rsid w:val="00C6787B"/>
    <w:rsid w:val="00C717FC"/>
    <w:rsid w:val="00C72455"/>
    <w:rsid w:val="00C73546"/>
    <w:rsid w:val="00C74392"/>
    <w:rsid w:val="00C74422"/>
    <w:rsid w:val="00C74C93"/>
    <w:rsid w:val="00C75948"/>
    <w:rsid w:val="00C76D3F"/>
    <w:rsid w:val="00C80BD3"/>
    <w:rsid w:val="00C8337E"/>
    <w:rsid w:val="00C83CDE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2C8"/>
    <w:rsid w:val="00C97A89"/>
    <w:rsid w:val="00CA492E"/>
    <w:rsid w:val="00CA4C09"/>
    <w:rsid w:val="00CA4FA9"/>
    <w:rsid w:val="00CA5DBC"/>
    <w:rsid w:val="00CA61C6"/>
    <w:rsid w:val="00CA6716"/>
    <w:rsid w:val="00CA6DEF"/>
    <w:rsid w:val="00CA74CA"/>
    <w:rsid w:val="00CB0908"/>
    <w:rsid w:val="00CB09A1"/>
    <w:rsid w:val="00CB146D"/>
    <w:rsid w:val="00CB2567"/>
    <w:rsid w:val="00CB3F35"/>
    <w:rsid w:val="00CB4D1B"/>
    <w:rsid w:val="00CB5505"/>
    <w:rsid w:val="00CB79A7"/>
    <w:rsid w:val="00CC1780"/>
    <w:rsid w:val="00CC3536"/>
    <w:rsid w:val="00CC4A07"/>
    <w:rsid w:val="00CC4E9E"/>
    <w:rsid w:val="00CC4F1D"/>
    <w:rsid w:val="00CC6E1E"/>
    <w:rsid w:val="00CC7338"/>
    <w:rsid w:val="00CC7BDF"/>
    <w:rsid w:val="00CD2317"/>
    <w:rsid w:val="00CD2B0E"/>
    <w:rsid w:val="00CD3D6F"/>
    <w:rsid w:val="00CD4895"/>
    <w:rsid w:val="00CD671E"/>
    <w:rsid w:val="00CD683F"/>
    <w:rsid w:val="00CD6B90"/>
    <w:rsid w:val="00CD6DFA"/>
    <w:rsid w:val="00CD782D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2659"/>
    <w:rsid w:val="00CF540D"/>
    <w:rsid w:val="00CF559C"/>
    <w:rsid w:val="00CF661C"/>
    <w:rsid w:val="00CF6E6C"/>
    <w:rsid w:val="00CF77DC"/>
    <w:rsid w:val="00CF7D0F"/>
    <w:rsid w:val="00D0086F"/>
    <w:rsid w:val="00D01A80"/>
    <w:rsid w:val="00D01B22"/>
    <w:rsid w:val="00D02682"/>
    <w:rsid w:val="00D03E15"/>
    <w:rsid w:val="00D04C48"/>
    <w:rsid w:val="00D05C60"/>
    <w:rsid w:val="00D069EF"/>
    <w:rsid w:val="00D06F63"/>
    <w:rsid w:val="00D07DF0"/>
    <w:rsid w:val="00D13147"/>
    <w:rsid w:val="00D14046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37BBE"/>
    <w:rsid w:val="00D40E17"/>
    <w:rsid w:val="00D42242"/>
    <w:rsid w:val="00D43662"/>
    <w:rsid w:val="00D45208"/>
    <w:rsid w:val="00D45568"/>
    <w:rsid w:val="00D51C6E"/>
    <w:rsid w:val="00D51D87"/>
    <w:rsid w:val="00D52DAF"/>
    <w:rsid w:val="00D53CE2"/>
    <w:rsid w:val="00D543F3"/>
    <w:rsid w:val="00D609E5"/>
    <w:rsid w:val="00D636FC"/>
    <w:rsid w:val="00D651BC"/>
    <w:rsid w:val="00D66971"/>
    <w:rsid w:val="00D67E83"/>
    <w:rsid w:val="00D708B7"/>
    <w:rsid w:val="00D71896"/>
    <w:rsid w:val="00D748E1"/>
    <w:rsid w:val="00D755A7"/>
    <w:rsid w:val="00D75ECC"/>
    <w:rsid w:val="00D77B37"/>
    <w:rsid w:val="00D80173"/>
    <w:rsid w:val="00D80B32"/>
    <w:rsid w:val="00D81357"/>
    <w:rsid w:val="00D81D4D"/>
    <w:rsid w:val="00D823A9"/>
    <w:rsid w:val="00D83E51"/>
    <w:rsid w:val="00D83FB6"/>
    <w:rsid w:val="00D864D9"/>
    <w:rsid w:val="00D90217"/>
    <w:rsid w:val="00D9048E"/>
    <w:rsid w:val="00D91F7D"/>
    <w:rsid w:val="00D92A5F"/>
    <w:rsid w:val="00D95224"/>
    <w:rsid w:val="00D95989"/>
    <w:rsid w:val="00D96184"/>
    <w:rsid w:val="00D96C89"/>
    <w:rsid w:val="00D97320"/>
    <w:rsid w:val="00DA1D51"/>
    <w:rsid w:val="00DA50AA"/>
    <w:rsid w:val="00DA52E8"/>
    <w:rsid w:val="00DA6836"/>
    <w:rsid w:val="00DA6C57"/>
    <w:rsid w:val="00DB4817"/>
    <w:rsid w:val="00DB4CF9"/>
    <w:rsid w:val="00DC162B"/>
    <w:rsid w:val="00DC2A0C"/>
    <w:rsid w:val="00DC54A4"/>
    <w:rsid w:val="00DD2C65"/>
    <w:rsid w:val="00DD491D"/>
    <w:rsid w:val="00DD593A"/>
    <w:rsid w:val="00DD7BB6"/>
    <w:rsid w:val="00DE1FE9"/>
    <w:rsid w:val="00DE23F2"/>
    <w:rsid w:val="00DE3558"/>
    <w:rsid w:val="00DE38A1"/>
    <w:rsid w:val="00DE4B32"/>
    <w:rsid w:val="00DE5012"/>
    <w:rsid w:val="00DE591C"/>
    <w:rsid w:val="00DE65E0"/>
    <w:rsid w:val="00DE68E0"/>
    <w:rsid w:val="00DE6AEA"/>
    <w:rsid w:val="00DF20F8"/>
    <w:rsid w:val="00DF274C"/>
    <w:rsid w:val="00DF2811"/>
    <w:rsid w:val="00DF2AF5"/>
    <w:rsid w:val="00DF3C21"/>
    <w:rsid w:val="00DF42DB"/>
    <w:rsid w:val="00DF6487"/>
    <w:rsid w:val="00DF6901"/>
    <w:rsid w:val="00E0010B"/>
    <w:rsid w:val="00E00E5A"/>
    <w:rsid w:val="00E0144B"/>
    <w:rsid w:val="00E01976"/>
    <w:rsid w:val="00E0203D"/>
    <w:rsid w:val="00E03AF1"/>
    <w:rsid w:val="00E03F63"/>
    <w:rsid w:val="00E04BEC"/>
    <w:rsid w:val="00E06001"/>
    <w:rsid w:val="00E102BB"/>
    <w:rsid w:val="00E118ED"/>
    <w:rsid w:val="00E126E0"/>
    <w:rsid w:val="00E1351B"/>
    <w:rsid w:val="00E13656"/>
    <w:rsid w:val="00E1642A"/>
    <w:rsid w:val="00E1655E"/>
    <w:rsid w:val="00E17D68"/>
    <w:rsid w:val="00E20BD3"/>
    <w:rsid w:val="00E21CDF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18B5"/>
    <w:rsid w:val="00E32E47"/>
    <w:rsid w:val="00E33DBD"/>
    <w:rsid w:val="00E34AAD"/>
    <w:rsid w:val="00E34C91"/>
    <w:rsid w:val="00E356CB"/>
    <w:rsid w:val="00E364D8"/>
    <w:rsid w:val="00E36BE2"/>
    <w:rsid w:val="00E3755B"/>
    <w:rsid w:val="00E37CC9"/>
    <w:rsid w:val="00E42270"/>
    <w:rsid w:val="00E43930"/>
    <w:rsid w:val="00E44E3C"/>
    <w:rsid w:val="00E45CD7"/>
    <w:rsid w:val="00E46DBD"/>
    <w:rsid w:val="00E4759B"/>
    <w:rsid w:val="00E50B8E"/>
    <w:rsid w:val="00E50FBC"/>
    <w:rsid w:val="00E52BE0"/>
    <w:rsid w:val="00E544CF"/>
    <w:rsid w:val="00E5485A"/>
    <w:rsid w:val="00E562B4"/>
    <w:rsid w:val="00E568E1"/>
    <w:rsid w:val="00E56CE6"/>
    <w:rsid w:val="00E574FC"/>
    <w:rsid w:val="00E60629"/>
    <w:rsid w:val="00E60695"/>
    <w:rsid w:val="00E61043"/>
    <w:rsid w:val="00E61CF3"/>
    <w:rsid w:val="00E61E4D"/>
    <w:rsid w:val="00E63E75"/>
    <w:rsid w:val="00E63FD5"/>
    <w:rsid w:val="00E6515F"/>
    <w:rsid w:val="00E65AAE"/>
    <w:rsid w:val="00E65BF2"/>
    <w:rsid w:val="00E672C7"/>
    <w:rsid w:val="00E674FB"/>
    <w:rsid w:val="00E70586"/>
    <w:rsid w:val="00E73406"/>
    <w:rsid w:val="00E74B8C"/>
    <w:rsid w:val="00E74DD3"/>
    <w:rsid w:val="00E75B91"/>
    <w:rsid w:val="00E7625C"/>
    <w:rsid w:val="00E76BC5"/>
    <w:rsid w:val="00E7781F"/>
    <w:rsid w:val="00E810FE"/>
    <w:rsid w:val="00E824FD"/>
    <w:rsid w:val="00E83879"/>
    <w:rsid w:val="00E8596C"/>
    <w:rsid w:val="00E8644B"/>
    <w:rsid w:val="00E864A9"/>
    <w:rsid w:val="00E865C0"/>
    <w:rsid w:val="00E87B01"/>
    <w:rsid w:val="00E900AF"/>
    <w:rsid w:val="00E9176C"/>
    <w:rsid w:val="00E91CC1"/>
    <w:rsid w:val="00E93FCD"/>
    <w:rsid w:val="00E94FC2"/>
    <w:rsid w:val="00E95C92"/>
    <w:rsid w:val="00E97CC8"/>
    <w:rsid w:val="00EA0984"/>
    <w:rsid w:val="00EA3C71"/>
    <w:rsid w:val="00EA50DE"/>
    <w:rsid w:val="00EA5A8D"/>
    <w:rsid w:val="00EA5DD7"/>
    <w:rsid w:val="00EA61A2"/>
    <w:rsid w:val="00EA689F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403E"/>
    <w:rsid w:val="00EB5AFB"/>
    <w:rsid w:val="00EB7589"/>
    <w:rsid w:val="00EC0D2E"/>
    <w:rsid w:val="00EC1E91"/>
    <w:rsid w:val="00EC3A18"/>
    <w:rsid w:val="00EC520A"/>
    <w:rsid w:val="00EC5217"/>
    <w:rsid w:val="00EC55CB"/>
    <w:rsid w:val="00EC5C09"/>
    <w:rsid w:val="00EC7A99"/>
    <w:rsid w:val="00ED073D"/>
    <w:rsid w:val="00ED0CFD"/>
    <w:rsid w:val="00ED0ED7"/>
    <w:rsid w:val="00ED12E2"/>
    <w:rsid w:val="00ED1E58"/>
    <w:rsid w:val="00ED26C2"/>
    <w:rsid w:val="00ED28E0"/>
    <w:rsid w:val="00ED6B08"/>
    <w:rsid w:val="00ED6E07"/>
    <w:rsid w:val="00ED7EDF"/>
    <w:rsid w:val="00EE0DDE"/>
    <w:rsid w:val="00EE298B"/>
    <w:rsid w:val="00EE47A2"/>
    <w:rsid w:val="00EE622A"/>
    <w:rsid w:val="00EE6DB9"/>
    <w:rsid w:val="00EF21E1"/>
    <w:rsid w:val="00EF25DD"/>
    <w:rsid w:val="00EF462D"/>
    <w:rsid w:val="00EF4908"/>
    <w:rsid w:val="00EF5B96"/>
    <w:rsid w:val="00EF67C4"/>
    <w:rsid w:val="00EF6C78"/>
    <w:rsid w:val="00F00618"/>
    <w:rsid w:val="00F00669"/>
    <w:rsid w:val="00F018B7"/>
    <w:rsid w:val="00F01ED5"/>
    <w:rsid w:val="00F06C54"/>
    <w:rsid w:val="00F1028E"/>
    <w:rsid w:val="00F11047"/>
    <w:rsid w:val="00F11576"/>
    <w:rsid w:val="00F115AA"/>
    <w:rsid w:val="00F117D2"/>
    <w:rsid w:val="00F12BB1"/>
    <w:rsid w:val="00F12BCE"/>
    <w:rsid w:val="00F13D85"/>
    <w:rsid w:val="00F15F6A"/>
    <w:rsid w:val="00F16B41"/>
    <w:rsid w:val="00F171ED"/>
    <w:rsid w:val="00F17700"/>
    <w:rsid w:val="00F20788"/>
    <w:rsid w:val="00F214DB"/>
    <w:rsid w:val="00F22502"/>
    <w:rsid w:val="00F23466"/>
    <w:rsid w:val="00F2429D"/>
    <w:rsid w:val="00F24571"/>
    <w:rsid w:val="00F245C8"/>
    <w:rsid w:val="00F275D7"/>
    <w:rsid w:val="00F27B66"/>
    <w:rsid w:val="00F306A2"/>
    <w:rsid w:val="00F320EE"/>
    <w:rsid w:val="00F32CFE"/>
    <w:rsid w:val="00F32EF9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905"/>
    <w:rsid w:val="00F5033A"/>
    <w:rsid w:val="00F5105D"/>
    <w:rsid w:val="00F520A4"/>
    <w:rsid w:val="00F557E9"/>
    <w:rsid w:val="00F57E33"/>
    <w:rsid w:val="00F61E47"/>
    <w:rsid w:val="00F61E7A"/>
    <w:rsid w:val="00F6436F"/>
    <w:rsid w:val="00F6596E"/>
    <w:rsid w:val="00F6679F"/>
    <w:rsid w:val="00F67CAA"/>
    <w:rsid w:val="00F71E30"/>
    <w:rsid w:val="00F71EC0"/>
    <w:rsid w:val="00F72F47"/>
    <w:rsid w:val="00F81CAF"/>
    <w:rsid w:val="00F82346"/>
    <w:rsid w:val="00F82796"/>
    <w:rsid w:val="00F83A61"/>
    <w:rsid w:val="00F86243"/>
    <w:rsid w:val="00F86839"/>
    <w:rsid w:val="00F8782A"/>
    <w:rsid w:val="00F87942"/>
    <w:rsid w:val="00F90904"/>
    <w:rsid w:val="00F90CCE"/>
    <w:rsid w:val="00F9162E"/>
    <w:rsid w:val="00F9236A"/>
    <w:rsid w:val="00F929D1"/>
    <w:rsid w:val="00F948AD"/>
    <w:rsid w:val="00F9748F"/>
    <w:rsid w:val="00F979A8"/>
    <w:rsid w:val="00F97E31"/>
    <w:rsid w:val="00FA028D"/>
    <w:rsid w:val="00FA078D"/>
    <w:rsid w:val="00FA1442"/>
    <w:rsid w:val="00FA1696"/>
    <w:rsid w:val="00FA1D06"/>
    <w:rsid w:val="00FA3783"/>
    <w:rsid w:val="00FA4086"/>
    <w:rsid w:val="00FA68F1"/>
    <w:rsid w:val="00FA6B98"/>
    <w:rsid w:val="00FA6CD2"/>
    <w:rsid w:val="00FB028A"/>
    <w:rsid w:val="00FB18B5"/>
    <w:rsid w:val="00FB1C7E"/>
    <w:rsid w:val="00FB31E1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419"/>
    <w:rsid w:val="00FC4E8E"/>
    <w:rsid w:val="00FC6102"/>
    <w:rsid w:val="00FC7004"/>
    <w:rsid w:val="00FC7166"/>
    <w:rsid w:val="00FC7D26"/>
    <w:rsid w:val="00FD06B6"/>
    <w:rsid w:val="00FD0D5E"/>
    <w:rsid w:val="00FD1399"/>
    <w:rsid w:val="00FD146A"/>
    <w:rsid w:val="00FD1594"/>
    <w:rsid w:val="00FD1B57"/>
    <w:rsid w:val="00FD1DDA"/>
    <w:rsid w:val="00FD45BD"/>
    <w:rsid w:val="00FD47E8"/>
    <w:rsid w:val="00FD4B4C"/>
    <w:rsid w:val="00FD5432"/>
    <w:rsid w:val="00FD63E4"/>
    <w:rsid w:val="00FD710E"/>
    <w:rsid w:val="00FE00CB"/>
    <w:rsid w:val="00FE09E6"/>
    <w:rsid w:val="00FE24BA"/>
    <w:rsid w:val="00FE277E"/>
    <w:rsid w:val="00FE38BE"/>
    <w:rsid w:val="00FE5B99"/>
    <w:rsid w:val="00FE60DD"/>
    <w:rsid w:val="00FE63F6"/>
    <w:rsid w:val="00FE7C89"/>
    <w:rsid w:val="00FF4296"/>
    <w:rsid w:val="00FF4DD0"/>
    <w:rsid w:val="00FF5229"/>
    <w:rsid w:val="00FF59C8"/>
    <w:rsid w:val="00FF6705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84FB"/>
  <w15:docId w15:val="{0F37ABE2-4DF4-4957-BAA1-B8125A8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3D85"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3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E1"/>
  </w:style>
  <w:style w:type="paragraph" w:styleId="Pidipagina">
    <w:name w:val="footer"/>
    <w:basedOn w:val="Normale"/>
    <w:link w:val="Pidipagina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E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D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0B7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50E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9282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B07C4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073CA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1C44CB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2B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rr.salute.gov.it/" TargetMode="External"/><Relationship Id="rId13" Type="http://schemas.openxmlformats.org/officeDocument/2006/relationships/hyperlink" Target="mailto:ufficio.stampa@gimbe.org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ission.europa.eu/system/files/2023-11/COM_2023_765_1_EN_annexe_proposition_cp_part1_v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bilancio.it/memoria-nellambito-dellesame-della-relazione-sullo-stato-di-attuazione-del-piano-nazionale-di-ripresa-e-resilienza-pnr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ovanorme.salute.gov.it/norme/renderNormsanPdf?anno=2023&amp;codLeg=94033&amp;parte=1%20&amp;serie=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enas.gov.it/?view=article&amp;id=2329:la-telemedicina&amp;catid=8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120C-F044-476F-9F02-BAB3DF93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Luca Bellusci</cp:lastModifiedBy>
  <cp:revision>10</cp:revision>
  <cp:lastPrinted>2014-01-27T14:53:00Z</cp:lastPrinted>
  <dcterms:created xsi:type="dcterms:W3CDTF">2024-01-23T14:02:00Z</dcterms:created>
  <dcterms:modified xsi:type="dcterms:W3CDTF">2024-01-24T08:58:00Z</dcterms:modified>
</cp:coreProperties>
</file>