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1CA" w14:textId="77777777" w:rsidR="006C4603" w:rsidRPr="00387EA5" w:rsidRDefault="006C4603" w:rsidP="006C4603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387EA5">
        <w:rPr>
          <w:b/>
          <w:bCs/>
          <w:color w:val="auto"/>
          <w:sz w:val="36"/>
          <w:szCs w:val="33"/>
        </w:rPr>
        <w:t>COMUNICATO STAMPA</w:t>
      </w:r>
    </w:p>
    <w:p w14:paraId="20522420" w14:textId="77777777" w:rsidR="00387EA5" w:rsidRPr="00B15C22" w:rsidRDefault="00387EA5" w:rsidP="00387EA5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B15C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CORONAVIRUS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(</w:t>
      </w:r>
      <w:r w:rsidRPr="00B15C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26 OTTOBRE-1</w:t>
      </w:r>
      <w:r w:rsidR="00355C24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°</w:t>
      </w:r>
      <w:r w:rsidR="002876A6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Pr="00B15C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NOVEMBRE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)</w:t>
      </w:r>
      <w:r w:rsidRPr="00B15C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: SCENDONO CONTAGI (-23,5</w:t>
      </w:r>
      <w:r w:rsidR="00A637C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%</w:t>
      </w:r>
      <w:r w:rsidRPr="00B15C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), RICOVERI (-6,3%) E DECESSI </w:t>
      </w:r>
      <w:r w:rsidR="00FF7E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br/>
      </w:r>
      <w:r w:rsidRPr="00B15C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(-4,1%). STABILI LE TERAPIE INTENSI</w:t>
      </w:r>
      <w:bookmarkStart w:id="0" w:name="_GoBack"/>
      <w:bookmarkEnd w:id="0"/>
      <w:r w:rsidRPr="00B15C2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VE (0%).</w:t>
      </w:r>
    </w:p>
    <w:p w14:paraId="0A40AF21" w14:textId="77777777" w:rsidR="00CE344F" w:rsidRPr="00917010" w:rsidRDefault="00387EA5" w:rsidP="00917010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7D455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QUARTA DOSE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:</w:t>
      </w:r>
      <w:r w:rsidR="00FF7E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Pr="007D455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12,8 MILIONI</w:t>
      </w:r>
      <w:r w:rsidR="00FF7E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DI PERSONE</w:t>
      </w:r>
      <w:r w:rsidRPr="007D455B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ANCORA SCOPERT</w:t>
      </w:r>
      <w:r w:rsidR="00FF7EE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E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.</w:t>
      </w:r>
    </w:p>
    <w:p w14:paraId="6E8B2DBF" w14:textId="288FD18A" w:rsidR="00FF7EE5" w:rsidRPr="00917010" w:rsidRDefault="00CE344F" w:rsidP="00917010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aps/>
          <w:sz w:val="36"/>
          <w:szCs w:val="36"/>
        </w:rPr>
      </w:pPr>
      <w:r w:rsidRPr="00CE344F">
        <w:rPr>
          <w:rFonts w:ascii="Calibri" w:hAnsi="Calibri" w:cs="Calibri"/>
          <w:b/>
          <w:bCs/>
          <w:caps/>
          <w:sz w:val="36"/>
          <w:szCs w:val="36"/>
        </w:rPr>
        <w:t xml:space="preserve">pubblicazione </w:t>
      </w:r>
      <w:r>
        <w:rPr>
          <w:rFonts w:ascii="Calibri" w:hAnsi="Calibri" w:cs="Calibri"/>
          <w:b/>
          <w:bCs/>
          <w:caps/>
          <w:sz w:val="36"/>
          <w:szCs w:val="36"/>
        </w:rPr>
        <w:t xml:space="preserve">SETTIMANALE </w:t>
      </w:r>
      <w:r w:rsidRPr="00CE344F">
        <w:rPr>
          <w:rFonts w:ascii="Calibri" w:hAnsi="Calibri" w:cs="Calibri"/>
          <w:b/>
          <w:bCs/>
          <w:caps/>
          <w:sz w:val="36"/>
          <w:szCs w:val="36"/>
        </w:rPr>
        <w:t>dei dati</w:t>
      </w:r>
      <w:r>
        <w:rPr>
          <w:rFonts w:ascii="Calibri" w:hAnsi="Calibri" w:cs="Calibri"/>
          <w:b/>
          <w:bCs/>
          <w:caps/>
          <w:sz w:val="36"/>
          <w:szCs w:val="36"/>
        </w:rPr>
        <w:t>:</w:t>
      </w:r>
      <w:r w:rsidRPr="00CE344F">
        <w:rPr>
          <w:rFonts w:ascii="Calibri" w:hAnsi="Calibri" w:cs="Calibri"/>
          <w:b/>
          <w:bCs/>
          <w:caps/>
          <w:sz w:val="36"/>
          <w:szCs w:val="36"/>
        </w:rPr>
        <w:t xml:space="preserve"> </w:t>
      </w:r>
      <w:r w:rsidR="001C37E7">
        <w:rPr>
          <w:rFonts w:ascii="Calibri" w:hAnsi="Calibri" w:cs="Calibri"/>
          <w:b/>
          <w:bCs/>
          <w:caps/>
          <w:sz w:val="36"/>
          <w:szCs w:val="36"/>
        </w:rPr>
        <w:t xml:space="preserve">TASSELLO DI UNA </w:t>
      </w:r>
      <w:r w:rsidRPr="00CE344F">
        <w:rPr>
          <w:rFonts w:ascii="Calibri" w:hAnsi="Calibri" w:cs="Calibri"/>
          <w:b/>
          <w:bCs/>
          <w:caps/>
          <w:sz w:val="36"/>
          <w:szCs w:val="36"/>
        </w:rPr>
        <w:t xml:space="preserve">strategia </w:t>
      </w:r>
      <w:r w:rsidR="00917010" w:rsidRPr="00B04235">
        <w:rPr>
          <w:rFonts w:ascii="Calibri" w:hAnsi="Calibri" w:cs="Calibri"/>
          <w:b/>
          <w:bCs/>
          <w:caps/>
          <w:sz w:val="36"/>
          <w:szCs w:val="36"/>
        </w:rPr>
        <w:t xml:space="preserve">OSCURANTISTA </w:t>
      </w:r>
      <w:r w:rsidR="00244BD1">
        <w:rPr>
          <w:rFonts w:ascii="Calibri" w:hAnsi="Calibri" w:cs="Calibri"/>
          <w:b/>
          <w:bCs/>
          <w:caps/>
          <w:sz w:val="36"/>
          <w:szCs w:val="36"/>
        </w:rPr>
        <w:t xml:space="preserve">nella </w:t>
      </w:r>
      <w:r w:rsidRPr="00CE344F">
        <w:rPr>
          <w:rFonts w:ascii="Calibri" w:hAnsi="Calibri" w:cs="Calibri"/>
          <w:b/>
          <w:bCs/>
          <w:caps/>
          <w:sz w:val="36"/>
          <w:szCs w:val="36"/>
        </w:rPr>
        <w:t>gestione della pandemia</w:t>
      </w:r>
    </w:p>
    <w:p w14:paraId="6C66F165" w14:textId="77777777" w:rsidR="009115A3" w:rsidRPr="00053240" w:rsidRDefault="009115A3" w:rsidP="00B02538">
      <w:pPr>
        <w:spacing w:after="0" w:line="276" w:lineRule="auto"/>
        <w:rPr>
          <w:rFonts w:cs="Calibri"/>
          <w:b/>
          <w:bCs/>
          <w:color w:val="FF0000"/>
          <w:sz w:val="10"/>
          <w:szCs w:val="10"/>
        </w:rPr>
      </w:pPr>
    </w:p>
    <w:p w14:paraId="44479705" w14:textId="77777777" w:rsidR="00D05AA8" w:rsidRPr="00FA5297" w:rsidRDefault="00053240" w:rsidP="00235468">
      <w:pPr>
        <w:spacing w:after="20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FA5297">
        <w:rPr>
          <w:rFonts w:cs="Calibri"/>
          <w:b/>
          <w:bCs/>
          <w:color w:val="auto"/>
          <w:sz w:val="24"/>
          <w:szCs w:val="24"/>
        </w:rPr>
        <w:t>10</w:t>
      </w:r>
      <w:r w:rsidR="00235468" w:rsidRPr="00FA5297">
        <w:rPr>
          <w:rFonts w:cs="Calibri"/>
          <w:b/>
          <w:bCs/>
          <w:color w:val="auto"/>
          <w:sz w:val="24"/>
          <w:szCs w:val="24"/>
        </w:rPr>
        <w:t xml:space="preserve"> novembre</w:t>
      </w:r>
      <w:r w:rsidR="00D05AA8" w:rsidRPr="00FA5297">
        <w:rPr>
          <w:rFonts w:cs="Calibri"/>
          <w:b/>
          <w:bCs/>
          <w:color w:val="auto"/>
          <w:sz w:val="24"/>
          <w:szCs w:val="24"/>
        </w:rPr>
        <w:t xml:space="preserve"> 2022 - Fondazione GIMBE, Bologna</w:t>
      </w:r>
    </w:p>
    <w:p w14:paraId="097960E1" w14:textId="77777777" w:rsidR="00751CC5" w:rsidRDefault="00195DFE" w:rsidP="00195DFE">
      <w:pPr>
        <w:spacing w:line="276" w:lineRule="auto"/>
        <w:jc w:val="both"/>
        <w:rPr>
          <w:color w:val="auto"/>
        </w:rPr>
      </w:pPr>
      <w:r>
        <w:t xml:space="preserve">Venerdì 4 novembre </w:t>
      </w:r>
      <w:r w:rsidR="00744140">
        <w:t>alle</w:t>
      </w:r>
      <w:r>
        <w:t xml:space="preserve"> ore 14.42 il Ministero della Salute ha reso disponibili sul </w:t>
      </w:r>
      <w:hyperlink r:id="rId8" w:history="1">
        <w:r w:rsidRPr="000146E0">
          <w:rPr>
            <w:rStyle w:val="Collegamentoipertestuale"/>
            <w:i/>
          </w:rPr>
          <w:t>repository</w:t>
        </w:r>
        <w:r w:rsidRPr="000146E0">
          <w:rPr>
            <w:rStyle w:val="Collegamentoipertestuale"/>
          </w:rPr>
          <w:t xml:space="preserve"> ufficiale</w:t>
        </w:r>
      </w:hyperlink>
      <w:r>
        <w:t xml:space="preserve"> i dati giornalieri relativi al periodo </w:t>
      </w:r>
      <w:r w:rsidRPr="0063032A">
        <w:rPr>
          <w:color w:val="auto"/>
        </w:rPr>
        <w:t xml:space="preserve">30 </w:t>
      </w:r>
      <w:r>
        <w:t xml:space="preserve">ottobre-3 novembre. </w:t>
      </w:r>
      <w:r w:rsidRPr="00B04235">
        <w:rPr>
          <w:color w:val="auto"/>
        </w:rPr>
        <w:t xml:space="preserve">Un compromesso al ribasso, rispetto alle richieste pervenute dal mondo scientifico, </w:t>
      </w:r>
      <w:r w:rsidRPr="00B04235">
        <w:t xml:space="preserve">che segna un passo indietro </w:t>
      </w:r>
      <w:r w:rsidR="00744140" w:rsidRPr="00B04235">
        <w:t xml:space="preserve">del tutto immotivato </w:t>
      </w:r>
      <w:r w:rsidRPr="00B04235">
        <w:t>in termini di trasparenza</w:t>
      </w:r>
      <w:r w:rsidR="00744140" w:rsidRPr="00B04235">
        <w:t>:</w:t>
      </w:r>
      <w:r w:rsidRPr="00B04235">
        <w:t xml:space="preserve"> il flusso quotidiano dei dati dalle Regioni verso il Ministero, </w:t>
      </w:r>
      <w:r w:rsidR="00744140" w:rsidRPr="00B04235">
        <w:t xml:space="preserve">infatti, </w:t>
      </w:r>
      <w:r w:rsidRPr="00B04235">
        <w:t>così faticosamente garantito anche nei momenti più bui della pandemia, viene regolarmente mantenuto e pagato con il denaro dei contribuenti</w:t>
      </w:r>
      <w:r w:rsidR="00744140" w:rsidRPr="00B04235">
        <w:t>, che tuttavia vengono privati della possibilità di accedervi tempestivamente</w:t>
      </w:r>
      <w:r w:rsidRPr="00B04235">
        <w:t>.</w:t>
      </w:r>
      <w:r>
        <w:t xml:space="preserve"> </w:t>
      </w:r>
      <w:r w:rsidR="00751CC5">
        <w:rPr>
          <w:color w:val="auto"/>
        </w:rPr>
        <w:t xml:space="preserve"> </w:t>
      </w:r>
    </w:p>
    <w:p w14:paraId="108644D9" w14:textId="77777777" w:rsidR="00195DFE" w:rsidRDefault="00195DFE" w:rsidP="00195DFE">
      <w:pPr>
        <w:spacing w:line="276" w:lineRule="auto"/>
        <w:jc w:val="both"/>
        <w:rPr>
          <w:color w:val="auto"/>
        </w:rPr>
      </w:pPr>
      <w:r w:rsidRPr="001C4680">
        <w:rPr>
          <w:color w:val="auto"/>
        </w:rPr>
        <w:t>«</w:t>
      </w:r>
      <w:r>
        <w:rPr>
          <w:color w:val="auto"/>
        </w:rPr>
        <w:t xml:space="preserve">Eppure il Presidente Meloni in Parlamento </w:t>
      </w:r>
      <w:r w:rsidRPr="001C4680">
        <w:rPr>
          <w:color w:val="auto"/>
        </w:rPr>
        <w:t xml:space="preserve">– </w:t>
      </w:r>
      <w:r>
        <w:rPr>
          <w:color w:val="auto"/>
        </w:rPr>
        <w:t>ricorda</w:t>
      </w:r>
      <w:r w:rsidRPr="001C4680">
        <w:rPr>
          <w:color w:val="auto"/>
        </w:rPr>
        <w:t xml:space="preserve"> Nino Cartabellotta, presidente della Fondazione GIMBE –</w:t>
      </w:r>
      <w:r>
        <w:rPr>
          <w:color w:val="auto"/>
        </w:rPr>
        <w:t xml:space="preserve"> aveva dichiarato che </w:t>
      </w:r>
      <w:r>
        <w:t>“</w:t>
      </w:r>
      <w:r w:rsidRPr="008F6FA9">
        <w:rPr>
          <w:i/>
          <w:iCs/>
        </w:rPr>
        <w:t>Il tema del COVID non si affronta con un approccio ideologico, ma con un approccio serio che tenga conto delle evidenze scientifiche</w:t>
      </w:r>
      <w:r w:rsidRPr="008F6FA9">
        <w:t>”</w:t>
      </w:r>
      <w:r>
        <w:t xml:space="preserve">. Come si </w:t>
      </w:r>
      <w:r w:rsidR="009C1A64" w:rsidRPr="00917010">
        <w:rPr>
          <w:color w:val="auto"/>
        </w:rPr>
        <w:t>spiega</w:t>
      </w:r>
      <w:r w:rsidRPr="00917010">
        <w:rPr>
          <w:color w:val="auto"/>
        </w:rPr>
        <w:t xml:space="preserve"> </w:t>
      </w:r>
      <w:r>
        <w:t xml:space="preserve">dunque la decisione sui dati della pandemia, che va esattamente in direzione opposta? Le evidenze scientifiche si costruiscono con dati di qualità, aperti, accessibili e aggiornati tempestivamente. </w:t>
      </w:r>
      <w:r w:rsidRPr="005439BA">
        <w:t xml:space="preserve">Inoltre, la decisione di pubblicare i dati </w:t>
      </w:r>
      <w:r w:rsidR="00751CC5">
        <w:t xml:space="preserve">a cadenza settimanale </w:t>
      </w:r>
      <w:r w:rsidR="009C1A64">
        <w:t xml:space="preserve">è in netto </w:t>
      </w:r>
      <w:r w:rsidRPr="005439BA">
        <w:t>contrast</w:t>
      </w:r>
      <w:r w:rsidR="009C1A64">
        <w:t>o</w:t>
      </w:r>
      <w:r w:rsidRPr="005439BA">
        <w:t xml:space="preserve"> con la dichiarata volontà del Presidente del Consiglio di fornire “</w:t>
      </w:r>
      <w:r w:rsidRPr="005439BA">
        <w:rPr>
          <w:i/>
          <w:iCs/>
        </w:rPr>
        <w:t>un’informazione molto più chiara di quella fatta in passato [...] e anche lavorando sulla responsabilizzazione dei cittadini che è proprio figlia di un’informazione chiara</w:t>
      </w:r>
      <w:r w:rsidRPr="005439BA">
        <w:t xml:space="preserve">”. </w:t>
      </w:r>
      <w:r w:rsidR="009C1A64">
        <w:t>Proprio quell’</w:t>
      </w:r>
      <w:r w:rsidR="000E509B">
        <w:t xml:space="preserve">informazione “azzoppata” </w:t>
      </w:r>
      <w:r w:rsidR="000E509B" w:rsidRPr="005439BA">
        <w:t>dall</w:t>
      </w:r>
      <w:r w:rsidR="000E509B">
        <w:t xml:space="preserve">a mancata pubblicazione </w:t>
      </w:r>
      <w:r w:rsidR="009C1A64">
        <w:t xml:space="preserve">giornaliera </w:t>
      </w:r>
      <w:r w:rsidRPr="005439BA">
        <w:t>dei dati</w:t>
      </w:r>
      <w:r w:rsidRPr="005439BA">
        <w:rPr>
          <w:color w:val="auto"/>
        </w:rPr>
        <w:t>».</w:t>
      </w:r>
    </w:p>
    <w:p w14:paraId="0A0BF9A6" w14:textId="77777777" w:rsidR="00195DFE" w:rsidRDefault="00195DFE" w:rsidP="00195DFE">
      <w:pPr>
        <w:jc w:val="both"/>
        <w:rPr>
          <w:color w:val="auto"/>
        </w:rPr>
      </w:pPr>
      <w:r>
        <w:rPr>
          <w:color w:val="auto"/>
        </w:rPr>
        <w:t>In assenza di risposta</w:t>
      </w:r>
      <w:r w:rsidRPr="00DA7A95">
        <w:rPr>
          <w:color w:val="auto"/>
        </w:rPr>
        <w:t xml:space="preserve"> </w:t>
      </w:r>
      <w:r>
        <w:rPr>
          <w:color w:val="auto"/>
        </w:rPr>
        <w:t xml:space="preserve">dal Ministro Schillaci alla richiesta </w:t>
      </w:r>
      <w:r w:rsidR="000E509B">
        <w:rPr>
          <w:color w:val="auto"/>
        </w:rPr>
        <w:t xml:space="preserve">ufficiale </w:t>
      </w:r>
      <w:r>
        <w:rPr>
          <w:color w:val="auto"/>
        </w:rPr>
        <w:t xml:space="preserve">di ripristino </w:t>
      </w:r>
      <w:r>
        <w:t xml:space="preserve">della pubblicazione quotidiana dei dati sul </w:t>
      </w:r>
      <w:r w:rsidRPr="00E84DB2">
        <w:rPr>
          <w:i/>
        </w:rPr>
        <w:t>repository</w:t>
      </w:r>
      <w:r>
        <w:t xml:space="preserve"> ufficiale, la Fondazione GIMBE </w:t>
      </w:r>
      <w:r w:rsidR="000E509B" w:rsidRPr="002876A6">
        <w:rPr>
          <w:color w:val="auto"/>
        </w:rPr>
        <w:t xml:space="preserve">riprende </w:t>
      </w:r>
      <w:r w:rsidRPr="002876A6">
        <w:rPr>
          <w:color w:val="auto"/>
        </w:rPr>
        <w:t xml:space="preserve">il monitoraggio indipendente sulla pandemia COVID-19 con i dati relativi alla settimana 26 ottobre – 1° novembre. </w:t>
      </w:r>
    </w:p>
    <w:p w14:paraId="08750D5B" w14:textId="77777777" w:rsidR="00DD6B88" w:rsidRDefault="00DD6B88" w:rsidP="00FA5297">
      <w:pPr>
        <w:spacing w:after="0" w:line="276" w:lineRule="auto"/>
        <w:jc w:val="both"/>
        <w:rPr>
          <w:color w:val="auto"/>
        </w:rPr>
      </w:pPr>
    </w:p>
    <w:p w14:paraId="0D8E0A71" w14:textId="77777777" w:rsidR="00DD6B88" w:rsidRPr="00DD6B88" w:rsidRDefault="00DD6B88" w:rsidP="00DD6B88">
      <w:p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MONITORAGGIO PANDEMIA COVID-19:</w:t>
      </w:r>
      <w:r w:rsidR="00341B6E">
        <w:rPr>
          <w:b/>
          <w:color w:val="auto"/>
        </w:rPr>
        <w:t xml:space="preserve"> settimana</w:t>
      </w:r>
      <w:r>
        <w:rPr>
          <w:b/>
          <w:color w:val="auto"/>
        </w:rPr>
        <w:t xml:space="preserve"> 26 ottobre </w:t>
      </w:r>
      <w:r w:rsidR="002876A6">
        <w:rPr>
          <w:b/>
          <w:color w:val="auto"/>
        </w:rPr>
        <w:t xml:space="preserve">- </w:t>
      </w:r>
      <w:r>
        <w:rPr>
          <w:b/>
          <w:color w:val="auto"/>
        </w:rPr>
        <w:t>1°</w:t>
      </w:r>
      <w:r w:rsidR="000E509B">
        <w:rPr>
          <w:b/>
          <w:color w:val="auto"/>
        </w:rPr>
        <w:t xml:space="preserve"> </w:t>
      </w:r>
      <w:r>
        <w:rPr>
          <w:b/>
          <w:color w:val="auto"/>
        </w:rPr>
        <w:t>novembre</w:t>
      </w:r>
    </w:p>
    <w:p w14:paraId="1D33553D" w14:textId="77777777" w:rsidR="004159AC" w:rsidRPr="00FA5297" w:rsidRDefault="004159AC" w:rsidP="00FA5297">
      <w:pPr>
        <w:spacing w:after="0" w:line="276" w:lineRule="auto"/>
        <w:jc w:val="both"/>
        <w:rPr>
          <w:color w:val="auto"/>
        </w:rPr>
      </w:pPr>
      <w:r w:rsidRPr="00FA5297">
        <w:rPr>
          <w:color w:val="auto"/>
        </w:rPr>
        <w:t>Il monitoraggio indipendente della Fondazione GIMBE rileva nella settimana 26 ottobre</w:t>
      </w:r>
      <w:r w:rsidR="00DD6B88">
        <w:rPr>
          <w:color w:val="auto"/>
        </w:rPr>
        <w:t xml:space="preserve"> </w:t>
      </w:r>
      <w:r w:rsidRPr="00FA5297">
        <w:rPr>
          <w:color w:val="auto"/>
        </w:rPr>
        <w:t>-</w:t>
      </w:r>
      <w:r w:rsidR="00DD6B88">
        <w:rPr>
          <w:color w:val="auto"/>
        </w:rPr>
        <w:t xml:space="preserve"> </w:t>
      </w:r>
      <w:r w:rsidRPr="00FA5297">
        <w:rPr>
          <w:color w:val="auto"/>
        </w:rPr>
        <w:t>1</w:t>
      </w:r>
      <w:r w:rsidR="00DD6B88">
        <w:rPr>
          <w:color w:val="auto"/>
        </w:rPr>
        <w:t xml:space="preserve">° </w:t>
      </w:r>
      <w:r w:rsidRPr="00FA5297">
        <w:rPr>
          <w:color w:val="auto"/>
        </w:rPr>
        <w:t>novembre</w:t>
      </w:r>
      <w:r w:rsidR="00DD6B88">
        <w:rPr>
          <w:color w:val="auto"/>
        </w:rPr>
        <w:t xml:space="preserve"> </w:t>
      </w:r>
      <w:r w:rsidRPr="00FA5297">
        <w:rPr>
          <w:color w:val="auto"/>
        </w:rPr>
        <w:t>2022, rispetto alla precedente, una diminuzione di nuovi casi (180.517 vs 236.023) (</w:t>
      </w:r>
      <w:r w:rsidRPr="00FA5297">
        <w:rPr>
          <w:color w:val="auto"/>
          <w:highlight w:val="yellow"/>
        </w:rPr>
        <w:t>figura 1</w:t>
      </w:r>
      <w:r w:rsidRPr="00FA5297">
        <w:rPr>
          <w:color w:val="auto"/>
        </w:rPr>
        <w:t>) e dei decessi (536 vs 559) (</w:t>
      </w:r>
      <w:r w:rsidRPr="00FA5297">
        <w:rPr>
          <w:color w:val="auto"/>
          <w:highlight w:val="yellow"/>
        </w:rPr>
        <w:t>figura 2</w:t>
      </w:r>
      <w:r w:rsidRPr="00FA5297">
        <w:rPr>
          <w:color w:val="auto"/>
        </w:rPr>
        <w:t xml:space="preserve">). In calo anche i casi attualmente positivi (441.425 vs 499.999), le persone in isolamento domiciliare (434.535 vs 492.661), i ricoveri con sintomi (6.658 vs 7.106); </w:t>
      </w:r>
      <w:r w:rsidR="000E509B">
        <w:rPr>
          <w:color w:val="auto"/>
        </w:rPr>
        <w:t>restano stabili</w:t>
      </w:r>
      <w:r w:rsidR="000E509B" w:rsidRPr="00FA5297">
        <w:rPr>
          <w:color w:val="auto"/>
        </w:rPr>
        <w:t xml:space="preserve"> </w:t>
      </w:r>
      <w:r w:rsidRPr="00FA5297">
        <w:rPr>
          <w:color w:val="auto"/>
        </w:rPr>
        <w:t>le terapie intensive (232 vs 232) (</w:t>
      </w:r>
      <w:r w:rsidRPr="00FA5297">
        <w:rPr>
          <w:color w:val="auto"/>
          <w:highlight w:val="yellow"/>
        </w:rPr>
        <w:t>figura 3</w:t>
      </w:r>
      <w:r w:rsidRPr="00FA5297">
        <w:rPr>
          <w:color w:val="auto"/>
        </w:rPr>
        <w:t>). In dettaglio, rispetto alla settimana precedente, si registrano le seguenti variazioni:</w:t>
      </w:r>
    </w:p>
    <w:p w14:paraId="5559C3E0" w14:textId="77777777" w:rsidR="004159AC" w:rsidRPr="004159AC" w:rsidRDefault="004159AC" w:rsidP="004159AC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4159AC">
        <w:rPr>
          <w:color w:val="auto"/>
        </w:rPr>
        <w:t>Decessi: 536 (-4,1%), di cui 10 riferiti a periodi precedenti</w:t>
      </w:r>
    </w:p>
    <w:p w14:paraId="6FBC437C" w14:textId="77777777" w:rsidR="004159AC" w:rsidRPr="00FA5297" w:rsidRDefault="004159AC" w:rsidP="004159AC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FA5297">
        <w:rPr>
          <w:color w:val="auto"/>
        </w:rPr>
        <w:t xml:space="preserve">Terapia intensiva: </w:t>
      </w:r>
      <w:r w:rsidR="00FA5297" w:rsidRPr="00FA5297">
        <w:rPr>
          <w:color w:val="auto"/>
        </w:rPr>
        <w:t>0</w:t>
      </w:r>
      <w:r w:rsidRPr="00FA5297">
        <w:rPr>
          <w:color w:val="auto"/>
        </w:rPr>
        <w:t xml:space="preserve"> (</w:t>
      </w:r>
      <w:r w:rsidR="00FA5297" w:rsidRPr="00FA5297">
        <w:rPr>
          <w:color w:val="auto"/>
        </w:rPr>
        <w:t>0</w:t>
      </w:r>
      <w:r w:rsidRPr="00FA5297">
        <w:rPr>
          <w:color w:val="auto"/>
        </w:rPr>
        <w:t>%)</w:t>
      </w:r>
    </w:p>
    <w:p w14:paraId="2475E775" w14:textId="77777777" w:rsidR="004159AC" w:rsidRPr="004159AC" w:rsidRDefault="004159AC" w:rsidP="004159AC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4159AC">
        <w:rPr>
          <w:color w:val="auto"/>
        </w:rPr>
        <w:t>Ricoverati con sintomi: -448 (-6,3%)</w:t>
      </w:r>
    </w:p>
    <w:p w14:paraId="5A3D2D46" w14:textId="77777777" w:rsidR="004159AC" w:rsidRPr="004159AC" w:rsidRDefault="004159AC" w:rsidP="004159AC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4159AC">
        <w:rPr>
          <w:color w:val="auto"/>
        </w:rPr>
        <w:t>Isolamento domiciliare: -58.126 (-11,8%)</w:t>
      </w:r>
    </w:p>
    <w:p w14:paraId="77FEB1FD" w14:textId="77777777" w:rsidR="004159AC" w:rsidRPr="004159AC" w:rsidRDefault="004159AC" w:rsidP="004159AC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4159AC">
        <w:rPr>
          <w:color w:val="auto"/>
        </w:rPr>
        <w:t>Nuovi casi: 180.517 (-23,5%)</w:t>
      </w:r>
    </w:p>
    <w:p w14:paraId="00FF35C5" w14:textId="77777777" w:rsidR="00053240" w:rsidRPr="004159AC" w:rsidRDefault="004159AC" w:rsidP="004159AC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4159AC">
        <w:rPr>
          <w:color w:val="auto"/>
        </w:rPr>
        <w:t>Casi attualmente positivi: -58.574 (-11,7%)</w:t>
      </w:r>
    </w:p>
    <w:p w14:paraId="59BE679C" w14:textId="77777777" w:rsidR="00053240" w:rsidRPr="00FA5297" w:rsidRDefault="00053240" w:rsidP="00053240">
      <w:pPr>
        <w:spacing w:line="276" w:lineRule="auto"/>
        <w:jc w:val="both"/>
        <w:rPr>
          <w:color w:val="auto"/>
        </w:rPr>
      </w:pPr>
      <w:bookmarkStart w:id="1" w:name="_Hlk105580520"/>
      <w:r w:rsidRPr="00FA5297">
        <w:rPr>
          <w:b/>
          <w:color w:val="auto"/>
        </w:rPr>
        <w:lastRenderedPageBreak/>
        <w:t xml:space="preserve">Nuovi casi. </w:t>
      </w:r>
      <w:r w:rsidRPr="00FA5297">
        <w:rPr>
          <w:color w:val="auto"/>
        </w:rPr>
        <w:t xml:space="preserve">«Per la </w:t>
      </w:r>
      <w:r w:rsidR="004159AC" w:rsidRPr="00FA5297">
        <w:rPr>
          <w:color w:val="auto"/>
        </w:rPr>
        <w:t>terza</w:t>
      </w:r>
      <w:r w:rsidRPr="00FA5297">
        <w:rPr>
          <w:color w:val="auto"/>
        </w:rPr>
        <w:t xml:space="preserve"> settimana consecutiva – dichiara Nino Cartabellotta, Presidente della Fondazione GIMBE – si registra un calo dei nuovi casi settimanali (-</w:t>
      </w:r>
      <w:r w:rsidR="004159AC" w:rsidRPr="00FA5297">
        <w:rPr>
          <w:color w:val="auto"/>
        </w:rPr>
        <w:t>23</w:t>
      </w:r>
      <w:r w:rsidRPr="00FA5297">
        <w:rPr>
          <w:color w:val="auto"/>
        </w:rPr>
        <w:t>,</w:t>
      </w:r>
      <w:r w:rsidR="004159AC" w:rsidRPr="00FA5297">
        <w:rPr>
          <w:color w:val="auto"/>
        </w:rPr>
        <w:t>5</w:t>
      </w:r>
      <w:r w:rsidRPr="00FA5297">
        <w:rPr>
          <w:color w:val="auto"/>
        </w:rPr>
        <w:t>%): da 2</w:t>
      </w:r>
      <w:r w:rsidR="004159AC" w:rsidRPr="00FA5297">
        <w:rPr>
          <w:color w:val="auto"/>
        </w:rPr>
        <w:t>36</w:t>
      </w:r>
      <w:r w:rsidRPr="00FA5297">
        <w:rPr>
          <w:color w:val="auto"/>
        </w:rPr>
        <w:t xml:space="preserve"> mila della settimana </w:t>
      </w:r>
      <w:r w:rsidR="004159AC" w:rsidRPr="00FA5297">
        <w:rPr>
          <w:color w:val="auto"/>
        </w:rPr>
        <w:t xml:space="preserve">precedente </w:t>
      </w:r>
      <w:r w:rsidRPr="00FA5297">
        <w:rPr>
          <w:color w:val="auto"/>
        </w:rPr>
        <w:t xml:space="preserve">scendono a quota </w:t>
      </w:r>
      <w:r w:rsidR="004159AC" w:rsidRPr="00FA5297">
        <w:rPr>
          <w:color w:val="auto"/>
        </w:rPr>
        <w:t>180</w:t>
      </w:r>
      <w:r w:rsidRPr="00FA5297">
        <w:rPr>
          <w:color w:val="auto"/>
        </w:rPr>
        <w:t xml:space="preserve"> mila, con una media mobile a 7 giorni di </w:t>
      </w:r>
      <w:r w:rsidR="00FA5297" w:rsidRPr="00FA5297">
        <w:rPr>
          <w:color w:val="auto"/>
        </w:rPr>
        <w:t>quasi</w:t>
      </w:r>
      <w:r w:rsidR="004159AC" w:rsidRPr="00FA5297">
        <w:rPr>
          <w:color w:val="auto"/>
        </w:rPr>
        <w:t xml:space="preserve"> </w:t>
      </w:r>
      <w:r w:rsidR="00FA5297" w:rsidRPr="00FA5297">
        <w:rPr>
          <w:color w:val="auto"/>
        </w:rPr>
        <w:t>26</w:t>
      </w:r>
      <w:r w:rsidRPr="00FA5297">
        <w:rPr>
          <w:color w:val="auto"/>
        </w:rPr>
        <w:t xml:space="preserve"> mila casi al giorno»</w:t>
      </w:r>
      <w:bookmarkEnd w:id="1"/>
      <w:r w:rsidRPr="00FA5297">
        <w:rPr>
          <w:color w:val="auto"/>
        </w:rPr>
        <w:t xml:space="preserve"> (</w:t>
      </w:r>
      <w:r w:rsidRPr="00FA5297">
        <w:rPr>
          <w:color w:val="auto"/>
          <w:highlight w:val="yellow"/>
        </w:rPr>
        <w:t>figura 4</w:t>
      </w:r>
      <w:r w:rsidRPr="00FA5297">
        <w:rPr>
          <w:color w:val="auto"/>
        </w:rPr>
        <w:t xml:space="preserve">). </w:t>
      </w:r>
      <w:r w:rsidR="004159AC" w:rsidRPr="00FA5297">
        <w:rPr>
          <w:color w:val="auto"/>
        </w:rPr>
        <w:t>I</w:t>
      </w:r>
      <w:r w:rsidRPr="00FA5297">
        <w:rPr>
          <w:color w:val="auto"/>
        </w:rPr>
        <w:t>l calo dei nuovi casi riguarda tutte le Regioni (dal -</w:t>
      </w:r>
      <w:r w:rsidR="004159AC" w:rsidRPr="00FA5297">
        <w:rPr>
          <w:color w:val="auto"/>
        </w:rPr>
        <w:t>10,2</w:t>
      </w:r>
      <w:r w:rsidRPr="00FA5297">
        <w:rPr>
          <w:color w:val="auto"/>
        </w:rPr>
        <w:t>% del</w:t>
      </w:r>
      <w:r w:rsidR="004159AC" w:rsidRPr="00FA5297">
        <w:rPr>
          <w:color w:val="auto"/>
        </w:rPr>
        <w:t xml:space="preserve">la Basilicata </w:t>
      </w:r>
      <w:r w:rsidRPr="00FA5297">
        <w:rPr>
          <w:color w:val="auto"/>
        </w:rPr>
        <w:t>al -</w:t>
      </w:r>
      <w:r w:rsidR="004159AC" w:rsidRPr="00FA5297">
        <w:rPr>
          <w:color w:val="auto"/>
        </w:rPr>
        <w:t>46,8</w:t>
      </w:r>
      <w:r w:rsidRPr="00FA5297">
        <w:rPr>
          <w:color w:val="auto"/>
        </w:rPr>
        <w:t>% del</w:t>
      </w:r>
      <w:r w:rsidR="004159AC" w:rsidRPr="00FA5297">
        <w:rPr>
          <w:color w:val="auto"/>
        </w:rPr>
        <w:t xml:space="preserve"> Piemonte</w:t>
      </w:r>
      <w:r w:rsidRPr="00FA5297">
        <w:rPr>
          <w:color w:val="auto"/>
        </w:rPr>
        <w:t>) (</w:t>
      </w:r>
      <w:r w:rsidRPr="00FA5297">
        <w:rPr>
          <w:color w:val="auto"/>
          <w:highlight w:val="yellow"/>
        </w:rPr>
        <w:t>tabella 1</w:t>
      </w:r>
      <w:r w:rsidRPr="00FA5297">
        <w:rPr>
          <w:color w:val="auto"/>
        </w:rPr>
        <w:t xml:space="preserve">). </w:t>
      </w:r>
      <w:r w:rsidR="004159AC" w:rsidRPr="00FA5297">
        <w:rPr>
          <w:color w:val="auto"/>
        </w:rPr>
        <w:t>Ad esclusione della provincia di Prato (+2,1%), i</w:t>
      </w:r>
      <w:r w:rsidRPr="00FA5297">
        <w:rPr>
          <w:color w:val="auto"/>
        </w:rPr>
        <w:t xml:space="preserve">n </w:t>
      </w:r>
      <w:r w:rsidR="004159AC" w:rsidRPr="00FA5297">
        <w:rPr>
          <w:color w:val="auto"/>
        </w:rPr>
        <w:t xml:space="preserve">tutte le </w:t>
      </w:r>
      <w:r w:rsidRPr="00FA5297">
        <w:rPr>
          <w:color w:val="auto"/>
        </w:rPr>
        <w:t>Province si registra una diminuzione dei nuovi casi (dal -</w:t>
      </w:r>
      <w:r w:rsidR="004159AC" w:rsidRPr="00FA5297">
        <w:rPr>
          <w:color w:val="auto"/>
        </w:rPr>
        <w:t>4</w:t>
      </w:r>
      <w:r w:rsidRPr="00FA5297">
        <w:rPr>
          <w:color w:val="auto"/>
        </w:rPr>
        <w:t>,</w:t>
      </w:r>
      <w:r w:rsidR="004159AC" w:rsidRPr="00FA5297">
        <w:rPr>
          <w:color w:val="auto"/>
        </w:rPr>
        <w:t>9</w:t>
      </w:r>
      <w:r w:rsidRPr="00FA5297">
        <w:rPr>
          <w:color w:val="auto"/>
        </w:rPr>
        <w:t xml:space="preserve">% di </w:t>
      </w:r>
      <w:r w:rsidR="004159AC" w:rsidRPr="00FA5297">
        <w:rPr>
          <w:color w:val="auto"/>
        </w:rPr>
        <w:t>Brindisi</w:t>
      </w:r>
      <w:r w:rsidRPr="00FA5297">
        <w:rPr>
          <w:color w:val="auto"/>
        </w:rPr>
        <w:t xml:space="preserve"> al -</w:t>
      </w:r>
      <w:r w:rsidR="004159AC" w:rsidRPr="00FA5297">
        <w:rPr>
          <w:color w:val="auto"/>
        </w:rPr>
        <w:t>53</w:t>
      </w:r>
      <w:r w:rsidRPr="00FA5297">
        <w:rPr>
          <w:color w:val="auto"/>
        </w:rPr>
        <w:t>,</w:t>
      </w:r>
      <w:r w:rsidR="004159AC" w:rsidRPr="00FA5297">
        <w:rPr>
          <w:color w:val="auto"/>
        </w:rPr>
        <w:t>6</w:t>
      </w:r>
      <w:r w:rsidRPr="00FA5297">
        <w:rPr>
          <w:color w:val="auto"/>
        </w:rPr>
        <w:t>% di Biella</w:t>
      </w:r>
      <w:r w:rsidR="004159AC" w:rsidRPr="00FA5297">
        <w:rPr>
          <w:color w:val="auto"/>
        </w:rPr>
        <w:t>)</w:t>
      </w:r>
      <w:r w:rsidRPr="00FA5297">
        <w:rPr>
          <w:color w:val="auto"/>
        </w:rPr>
        <w:t xml:space="preserve">. L’incidenza supera i 500 casi per 100.000 abitanti in </w:t>
      </w:r>
      <w:r w:rsidR="00A61D31" w:rsidRPr="00FA5297">
        <w:rPr>
          <w:color w:val="auto"/>
        </w:rPr>
        <w:t>4</w:t>
      </w:r>
      <w:r w:rsidRPr="00FA5297">
        <w:rPr>
          <w:color w:val="auto"/>
        </w:rPr>
        <w:t xml:space="preserve"> Province: </w:t>
      </w:r>
      <w:r w:rsidR="00725ACF" w:rsidRPr="00FA5297">
        <w:rPr>
          <w:color w:val="auto"/>
        </w:rPr>
        <w:t>Rovigo (591), Padova (584), Venezia (557), Belluno (509)</w:t>
      </w:r>
      <w:r w:rsidRPr="00FA5297">
        <w:rPr>
          <w:color w:val="auto"/>
        </w:rPr>
        <w:t xml:space="preserve"> (</w:t>
      </w:r>
      <w:r w:rsidRPr="00FA5297">
        <w:rPr>
          <w:color w:val="auto"/>
          <w:highlight w:val="yellow"/>
        </w:rPr>
        <w:t>tabella 2</w:t>
      </w:r>
      <w:r w:rsidRPr="00FA5297">
        <w:rPr>
          <w:color w:val="auto"/>
        </w:rPr>
        <w:t>).</w:t>
      </w:r>
    </w:p>
    <w:p w14:paraId="7899A97B" w14:textId="77777777" w:rsidR="00053240" w:rsidRPr="00FA5297" w:rsidRDefault="00053240" w:rsidP="00053240">
      <w:pPr>
        <w:spacing w:line="276" w:lineRule="auto"/>
        <w:jc w:val="both"/>
        <w:rPr>
          <w:color w:val="auto"/>
        </w:rPr>
      </w:pPr>
      <w:r w:rsidRPr="00FA5297">
        <w:rPr>
          <w:b/>
          <w:bCs/>
          <w:color w:val="auto"/>
        </w:rPr>
        <w:t>Reinfezioni</w:t>
      </w:r>
      <w:r w:rsidRPr="00FA5297">
        <w:rPr>
          <w:color w:val="auto"/>
        </w:rPr>
        <w:t xml:space="preserve">. Secondo </w:t>
      </w:r>
      <w:hyperlink r:id="rId9" w:history="1">
        <w:r w:rsidRPr="00FA5297">
          <w:rPr>
            <w:rStyle w:val="Collegamentoipertestuale"/>
            <w:color w:val="auto"/>
          </w:rPr>
          <w:t>l’ultimo report dell’Istituto Superiore di Sanità</w:t>
        </w:r>
      </w:hyperlink>
      <w:r w:rsidRPr="00FA5297">
        <w:rPr>
          <w:rStyle w:val="Collegamentoipertestuale"/>
          <w:color w:val="auto"/>
          <w:u w:val="none"/>
        </w:rPr>
        <w:t>,</w:t>
      </w:r>
      <w:r w:rsidRPr="00FA5297">
        <w:rPr>
          <w:color w:val="auto"/>
        </w:rPr>
        <w:t xml:space="preserve"> nel periodo 24 agosto 2021-</w:t>
      </w:r>
      <w:r w:rsidR="00FA5297" w:rsidRPr="00FA5297">
        <w:rPr>
          <w:color w:val="auto"/>
        </w:rPr>
        <w:t>2 novembre</w:t>
      </w:r>
      <w:r w:rsidRPr="00FA5297">
        <w:rPr>
          <w:color w:val="auto"/>
        </w:rPr>
        <w:t xml:space="preserve"> 2022 in Italia sono state registrate oltre 1,</w:t>
      </w:r>
      <w:r w:rsidR="00FA5297" w:rsidRPr="00FA5297">
        <w:rPr>
          <w:color w:val="auto"/>
        </w:rPr>
        <w:t>35</w:t>
      </w:r>
      <w:r w:rsidRPr="00FA5297">
        <w:rPr>
          <w:color w:val="auto"/>
        </w:rPr>
        <w:t xml:space="preserve"> milioni di reinfezioni, pari al 6,</w:t>
      </w:r>
      <w:r w:rsidR="00FA5297" w:rsidRPr="00FA5297">
        <w:rPr>
          <w:color w:val="auto"/>
        </w:rPr>
        <w:t>9</w:t>
      </w:r>
      <w:r w:rsidRPr="00FA5297">
        <w:rPr>
          <w:color w:val="auto"/>
        </w:rPr>
        <w:t xml:space="preserve">% del totale dei casi. La loro incidenza nella settimana </w:t>
      </w:r>
      <w:r w:rsidR="00FA5297" w:rsidRPr="00FA5297">
        <w:rPr>
          <w:color w:val="auto"/>
        </w:rPr>
        <w:t>26 ottobre-2 novembre</w:t>
      </w:r>
      <w:r w:rsidRPr="00FA5297">
        <w:rPr>
          <w:color w:val="auto"/>
        </w:rPr>
        <w:t xml:space="preserve"> è del </w:t>
      </w:r>
      <w:r w:rsidR="00FA5297" w:rsidRPr="00FA5297">
        <w:rPr>
          <w:color w:val="auto"/>
        </w:rPr>
        <w:t>16,6</w:t>
      </w:r>
      <w:r w:rsidRPr="00FA5297">
        <w:rPr>
          <w:color w:val="auto"/>
        </w:rPr>
        <w:t xml:space="preserve">% (n. </w:t>
      </w:r>
      <w:r w:rsidR="00FA5297" w:rsidRPr="00FA5297">
        <w:rPr>
          <w:color w:val="auto"/>
        </w:rPr>
        <w:t xml:space="preserve">28.913 </w:t>
      </w:r>
      <w:r w:rsidRPr="00FA5297">
        <w:rPr>
          <w:color w:val="auto"/>
        </w:rPr>
        <w:t xml:space="preserve">reinfezioni), </w:t>
      </w:r>
      <w:r w:rsidR="00FA5297" w:rsidRPr="00FA5297">
        <w:rPr>
          <w:color w:val="auto"/>
        </w:rPr>
        <w:t xml:space="preserve">stabile </w:t>
      </w:r>
      <w:r w:rsidRPr="00FA5297">
        <w:rPr>
          <w:color w:val="auto"/>
        </w:rPr>
        <w:t>rispetto alla settimana precedente (16,</w:t>
      </w:r>
      <w:r w:rsidR="00FA5297" w:rsidRPr="00FA5297">
        <w:rPr>
          <w:color w:val="auto"/>
        </w:rPr>
        <w:t>7</w:t>
      </w:r>
      <w:r w:rsidRPr="00FA5297">
        <w:rPr>
          <w:color w:val="auto"/>
        </w:rPr>
        <w:t>%).</w:t>
      </w:r>
    </w:p>
    <w:p w14:paraId="3A07C8DF" w14:textId="77777777" w:rsidR="001773CB" w:rsidRPr="00FA5297" w:rsidRDefault="001773CB" w:rsidP="00053240">
      <w:pPr>
        <w:spacing w:line="276" w:lineRule="auto"/>
        <w:jc w:val="both"/>
        <w:rPr>
          <w:color w:val="auto"/>
        </w:rPr>
      </w:pPr>
      <w:r w:rsidRPr="00FA5297">
        <w:rPr>
          <w:b/>
          <w:color w:val="auto"/>
        </w:rPr>
        <w:t>Testing.</w:t>
      </w:r>
      <w:r w:rsidRPr="00FA5297">
        <w:rPr>
          <w:color w:val="auto"/>
        </w:rPr>
        <w:t xml:space="preserve"> Si registra un calo del numero dei tamponi totali (-15,7%): da 1.410.261 della settimana 19-25 ottobre 2022 a 1.189.544 della settimana 26 ottobre 2022-</w:t>
      </w:r>
      <w:r w:rsidR="000E509B" w:rsidRPr="00FA5297">
        <w:rPr>
          <w:color w:val="auto"/>
        </w:rPr>
        <w:t>1° novembre</w:t>
      </w:r>
      <w:r w:rsidRPr="00FA5297">
        <w:rPr>
          <w:color w:val="auto"/>
        </w:rPr>
        <w:t xml:space="preserve"> 2022. In particolare i tam</w:t>
      </w:r>
      <w:r w:rsidR="00FA5297" w:rsidRPr="00FA5297">
        <w:rPr>
          <w:color w:val="auto"/>
        </w:rPr>
        <w:t xml:space="preserve">poni rapidi sono diminuiti del </w:t>
      </w:r>
      <w:r w:rsidRPr="00FA5297">
        <w:rPr>
          <w:color w:val="auto"/>
        </w:rPr>
        <w:t xml:space="preserve">17% (-200.323), </w:t>
      </w:r>
      <w:r w:rsidR="00FA5297" w:rsidRPr="00FA5297">
        <w:rPr>
          <w:color w:val="auto"/>
        </w:rPr>
        <w:t xml:space="preserve">e </w:t>
      </w:r>
      <w:r w:rsidRPr="00FA5297">
        <w:rPr>
          <w:color w:val="auto"/>
        </w:rPr>
        <w:t>quelli molecolari del</w:t>
      </w:r>
      <w:r w:rsidR="00FA5297" w:rsidRPr="00FA5297">
        <w:rPr>
          <w:color w:val="auto"/>
        </w:rPr>
        <w:t>l’</w:t>
      </w:r>
      <w:r w:rsidRPr="00FA5297">
        <w:rPr>
          <w:color w:val="auto"/>
        </w:rPr>
        <w:t>8,9% (-20.394) (</w:t>
      </w:r>
      <w:r w:rsidRPr="00FA5297">
        <w:rPr>
          <w:color w:val="auto"/>
          <w:highlight w:val="yellow"/>
        </w:rPr>
        <w:t>figura 5</w:t>
      </w:r>
      <w:r w:rsidRPr="00FA5297">
        <w:rPr>
          <w:color w:val="auto"/>
        </w:rPr>
        <w:t>). La media mobile a 7 giorni del tasso di positività si riduce dal</w:t>
      </w:r>
      <w:r w:rsidR="000E509B">
        <w:rPr>
          <w:color w:val="auto"/>
        </w:rPr>
        <w:t>l’</w:t>
      </w:r>
      <w:r w:rsidRPr="00FA5297">
        <w:rPr>
          <w:color w:val="auto"/>
        </w:rPr>
        <w:t>11,1% al 10,2% per i tamponi molecolari e dal 17,6% al 16% per gli antigenici rapidi (</w:t>
      </w:r>
      <w:r w:rsidRPr="00FA5297">
        <w:rPr>
          <w:color w:val="auto"/>
          <w:highlight w:val="yellow"/>
        </w:rPr>
        <w:t>figura 6</w:t>
      </w:r>
      <w:r w:rsidRPr="00FA5297">
        <w:rPr>
          <w:color w:val="auto"/>
        </w:rPr>
        <w:t>).</w:t>
      </w:r>
    </w:p>
    <w:p w14:paraId="57B1F025" w14:textId="77777777" w:rsidR="00501BC2" w:rsidRDefault="00053240" w:rsidP="00053240">
      <w:pPr>
        <w:jc w:val="both"/>
        <w:rPr>
          <w:color w:val="auto"/>
        </w:rPr>
      </w:pPr>
      <w:bookmarkStart w:id="2" w:name="_Hlk116462683"/>
      <w:r w:rsidRPr="001773CB">
        <w:rPr>
          <w:b/>
          <w:color w:val="auto"/>
        </w:rPr>
        <w:t>Ospedalizzazioni</w:t>
      </w:r>
      <w:r w:rsidRPr="001773CB">
        <w:rPr>
          <w:color w:val="auto"/>
        </w:rPr>
        <w:t xml:space="preserve">. </w:t>
      </w:r>
      <w:bookmarkStart w:id="3" w:name="_Hlk115867154"/>
      <w:r w:rsidRPr="001773CB">
        <w:rPr>
          <w:color w:val="auto"/>
        </w:rPr>
        <w:t xml:space="preserve">«Sul fronte degli ospedali – afferma Marco Mosti, Direttore Operativo della Fondazione GIMBE </w:t>
      </w:r>
      <w:r w:rsidR="001773CB" w:rsidRPr="001773CB">
        <w:rPr>
          <w:color w:val="auto"/>
        </w:rPr>
        <w:t>-</w:t>
      </w:r>
      <w:r w:rsidRPr="001773CB">
        <w:rPr>
          <w:color w:val="auto"/>
        </w:rPr>
        <w:t xml:space="preserve"> </w:t>
      </w:r>
      <w:r w:rsidR="00301185" w:rsidRPr="00301185">
        <w:rPr>
          <w:color w:val="auto"/>
        </w:rPr>
        <w:t xml:space="preserve">dopo tre settimane consecutive di aumento </w:t>
      </w:r>
      <w:r w:rsidR="001773CB" w:rsidRPr="001773CB">
        <w:rPr>
          <w:color w:val="auto"/>
        </w:rPr>
        <w:t>si stabilizzano</w:t>
      </w:r>
      <w:r w:rsidRPr="001773CB">
        <w:rPr>
          <w:color w:val="auto"/>
        </w:rPr>
        <w:t xml:space="preserve"> le terapie intensive (</w:t>
      </w:r>
      <w:r w:rsidR="001773CB" w:rsidRPr="001773CB">
        <w:rPr>
          <w:color w:val="auto"/>
        </w:rPr>
        <w:t>0</w:t>
      </w:r>
      <w:r w:rsidRPr="001773CB">
        <w:rPr>
          <w:color w:val="auto"/>
        </w:rPr>
        <w:t xml:space="preserve">%), mentre </w:t>
      </w:r>
      <w:r w:rsidR="001773CB" w:rsidRPr="001773CB">
        <w:rPr>
          <w:color w:val="auto"/>
        </w:rPr>
        <w:t xml:space="preserve">calano </w:t>
      </w:r>
      <w:r w:rsidRPr="001773CB">
        <w:rPr>
          <w:color w:val="auto"/>
        </w:rPr>
        <w:t>i ricoveri in area medica</w:t>
      </w:r>
      <w:r w:rsidRPr="001773CB" w:rsidDel="004A178B">
        <w:rPr>
          <w:color w:val="auto"/>
        </w:rPr>
        <w:t xml:space="preserve"> </w:t>
      </w:r>
      <w:r w:rsidRPr="001773CB">
        <w:rPr>
          <w:color w:val="auto"/>
        </w:rPr>
        <w:t>(</w:t>
      </w:r>
      <w:r w:rsidR="001773CB" w:rsidRPr="001773CB">
        <w:rPr>
          <w:color w:val="auto"/>
        </w:rPr>
        <w:t>-6,3</w:t>
      </w:r>
      <w:r w:rsidRPr="001773CB">
        <w:rPr>
          <w:color w:val="auto"/>
        </w:rPr>
        <w:t xml:space="preserve">%)». </w:t>
      </w:r>
      <w:bookmarkEnd w:id="3"/>
      <w:r w:rsidRPr="001773CB">
        <w:rPr>
          <w:color w:val="auto"/>
        </w:rPr>
        <w:t>In termini assoluti, i posti letto COVID occupati in area critica, dopo aver raggiunto il massimo di 254 il 17 ottobre</w:t>
      </w:r>
      <w:r w:rsidR="000E509B">
        <w:rPr>
          <w:color w:val="auto"/>
        </w:rPr>
        <w:t>,</w:t>
      </w:r>
      <w:r w:rsidRPr="001773CB">
        <w:rPr>
          <w:color w:val="auto"/>
        </w:rPr>
        <w:t xml:space="preserve"> sono scesi a 232 </w:t>
      </w:r>
      <w:r w:rsidR="00DD6B88">
        <w:rPr>
          <w:color w:val="auto"/>
        </w:rPr>
        <w:t xml:space="preserve">il </w:t>
      </w:r>
      <w:r w:rsidR="001773CB" w:rsidRPr="001773CB">
        <w:rPr>
          <w:color w:val="auto"/>
        </w:rPr>
        <w:t>1</w:t>
      </w:r>
      <w:r w:rsidR="00DD6B88">
        <w:rPr>
          <w:color w:val="auto"/>
        </w:rPr>
        <w:t>°</w:t>
      </w:r>
      <w:r w:rsidR="001773CB" w:rsidRPr="001773CB">
        <w:rPr>
          <w:color w:val="auto"/>
        </w:rPr>
        <w:t xml:space="preserve"> novembre</w:t>
      </w:r>
      <w:r w:rsidRPr="001773CB">
        <w:rPr>
          <w:color w:val="auto"/>
        </w:rPr>
        <w:t xml:space="preserve">; in area medica, dopo aver raggiunto </w:t>
      </w:r>
      <w:r w:rsidRPr="00301185">
        <w:rPr>
          <w:color w:val="auto"/>
        </w:rPr>
        <w:t xml:space="preserve">il </w:t>
      </w:r>
      <w:r w:rsidR="00301185" w:rsidRPr="00301185">
        <w:rPr>
          <w:color w:val="auto"/>
        </w:rPr>
        <w:t>massimo</w:t>
      </w:r>
      <w:r w:rsidRPr="00301185">
        <w:rPr>
          <w:color w:val="auto"/>
        </w:rPr>
        <w:t xml:space="preserve"> </w:t>
      </w:r>
      <w:r w:rsidR="00301185" w:rsidRPr="00301185">
        <w:rPr>
          <w:color w:val="auto"/>
        </w:rPr>
        <w:t>di</w:t>
      </w:r>
      <w:r w:rsidRPr="00301185">
        <w:rPr>
          <w:color w:val="auto"/>
        </w:rPr>
        <w:t xml:space="preserve"> </w:t>
      </w:r>
      <w:r w:rsidR="00301185" w:rsidRPr="00301185">
        <w:rPr>
          <w:color w:val="auto"/>
        </w:rPr>
        <w:t>7</w:t>
      </w:r>
      <w:r w:rsidRPr="00301185">
        <w:rPr>
          <w:color w:val="auto"/>
        </w:rPr>
        <w:t>.</w:t>
      </w:r>
      <w:r w:rsidR="00301185" w:rsidRPr="00301185">
        <w:rPr>
          <w:color w:val="auto"/>
        </w:rPr>
        <w:t>124</w:t>
      </w:r>
      <w:r w:rsidRPr="00301185">
        <w:rPr>
          <w:color w:val="auto"/>
        </w:rPr>
        <w:t xml:space="preserve"> il 24 </w:t>
      </w:r>
      <w:r w:rsidR="00301185" w:rsidRPr="00301185">
        <w:rPr>
          <w:color w:val="auto"/>
        </w:rPr>
        <w:t>ottobre</w:t>
      </w:r>
      <w:r w:rsidR="000E509B">
        <w:rPr>
          <w:color w:val="auto"/>
        </w:rPr>
        <w:t>,</w:t>
      </w:r>
      <w:r w:rsidR="00301185" w:rsidRPr="00301185">
        <w:rPr>
          <w:color w:val="auto"/>
        </w:rPr>
        <w:t xml:space="preserve"> sono scesi a quota </w:t>
      </w:r>
      <w:r w:rsidR="001773CB" w:rsidRPr="00301185">
        <w:rPr>
          <w:color w:val="auto"/>
        </w:rPr>
        <w:t>6.658</w:t>
      </w:r>
      <w:r w:rsidRPr="00301185">
        <w:rPr>
          <w:color w:val="auto"/>
        </w:rPr>
        <w:t xml:space="preserve"> </w:t>
      </w:r>
      <w:r w:rsidR="00DD6B88">
        <w:rPr>
          <w:color w:val="auto"/>
        </w:rPr>
        <w:t xml:space="preserve">il </w:t>
      </w:r>
      <w:r w:rsidR="00301185" w:rsidRPr="00301185">
        <w:rPr>
          <w:color w:val="auto"/>
        </w:rPr>
        <w:t>1</w:t>
      </w:r>
      <w:r w:rsidR="00DD6B88">
        <w:rPr>
          <w:color w:val="auto"/>
        </w:rPr>
        <w:t>°</w:t>
      </w:r>
      <w:r w:rsidR="00301185" w:rsidRPr="00301185">
        <w:rPr>
          <w:color w:val="auto"/>
        </w:rPr>
        <w:t xml:space="preserve"> novembre</w:t>
      </w:r>
      <w:r w:rsidRPr="00301185">
        <w:rPr>
          <w:color w:val="auto"/>
        </w:rPr>
        <w:t xml:space="preserve"> (</w:t>
      </w:r>
      <w:r w:rsidRPr="00301185">
        <w:rPr>
          <w:color w:val="auto"/>
          <w:highlight w:val="yellow"/>
        </w:rPr>
        <w:t>figura 7</w:t>
      </w:r>
      <w:r w:rsidRPr="00301185">
        <w:rPr>
          <w:color w:val="auto"/>
        </w:rPr>
        <w:t>)</w:t>
      </w:r>
      <w:bookmarkEnd w:id="2"/>
      <w:r w:rsidRPr="00301185">
        <w:rPr>
          <w:color w:val="auto"/>
        </w:rPr>
        <w:t xml:space="preserve">. </w:t>
      </w:r>
    </w:p>
    <w:p w14:paraId="6056B32D" w14:textId="77777777" w:rsidR="00053240" w:rsidRPr="00501BC2" w:rsidRDefault="000E509B" w:rsidP="00053240">
      <w:pPr>
        <w:jc w:val="both"/>
        <w:rPr>
          <w:color w:val="auto"/>
        </w:rPr>
      </w:pPr>
      <w:r>
        <w:rPr>
          <w:color w:val="auto"/>
        </w:rPr>
        <w:t>Considerato che i</w:t>
      </w:r>
      <w:r w:rsidR="00501BC2">
        <w:rPr>
          <w:color w:val="auto"/>
        </w:rPr>
        <w:t xml:space="preserve">l 29 ottobre Agenas ha interrotto la pubblicazione dei dati sui tassi di occupazione dei posti letto da parte di pazienti COVID-19, </w:t>
      </w:r>
      <w:r w:rsidR="00341B6E">
        <w:rPr>
          <w:color w:val="auto"/>
        </w:rPr>
        <w:t xml:space="preserve">a partire da questa settimana </w:t>
      </w:r>
      <w:r w:rsidR="00501BC2">
        <w:rPr>
          <w:color w:val="auto"/>
        </w:rPr>
        <w:t xml:space="preserve">il monitoraggio GIMBE utilizza il dato settimanale della </w:t>
      </w:r>
      <w:r w:rsidR="00501BC2" w:rsidRPr="00501BC2">
        <w:rPr>
          <w:color w:val="auto"/>
        </w:rPr>
        <w:t>Cabina di Regia ai sensi del DM Salute 30 aprile 2020 (Ministero della Salute, ISS)</w:t>
      </w:r>
      <w:r w:rsidR="00501BC2">
        <w:rPr>
          <w:color w:val="auto"/>
        </w:rPr>
        <w:t xml:space="preserve">. </w:t>
      </w:r>
      <w:r w:rsidR="00301185" w:rsidRPr="00301185">
        <w:rPr>
          <w:color w:val="auto"/>
        </w:rPr>
        <w:t>Al 3 novembre</w:t>
      </w:r>
      <w:r w:rsidR="00053240" w:rsidRPr="00301185">
        <w:rPr>
          <w:color w:val="auto"/>
        </w:rPr>
        <w:t xml:space="preserve"> il tasso nazionale di occupazione da parte di pazienti COVID è del</w:t>
      </w:r>
      <w:r w:rsidR="00301185" w:rsidRPr="00301185">
        <w:rPr>
          <w:color w:val="auto"/>
        </w:rPr>
        <w:t xml:space="preserve"> </w:t>
      </w:r>
      <w:r w:rsidR="00053240" w:rsidRPr="00301185">
        <w:rPr>
          <w:color w:val="auto"/>
        </w:rPr>
        <w:t>1</w:t>
      </w:r>
      <w:r w:rsidR="00301185" w:rsidRPr="00301185">
        <w:rPr>
          <w:color w:val="auto"/>
        </w:rPr>
        <w:t>0</w:t>
      </w:r>
      <w:r w:rsidR="00053240" w:rsidRPr="00301185">
        <w:rPr>
          <w:color w:val="auto"/>
        </w:rPr>
        <w:t>,</w:t>
      </w:r>
      <w:r w:rsidR="00301185" w:rsidRPr="00301185">
        <w:rPr>
          <w:color w:val="auto"/>
        </w:rPr>
        <w:t>4</w:t>
      </w:r>
      <w:r w:rsidR="00053240" w:rsidRPr="00301185">
        <w:rPr>
          <w:color w:val="auto"/>
        </w:rPr>
        <w:t xml:space="preserve">% in area medica (dal </w:t>
      </w:r>
      <w:r w:rsidR="00301185" w:rsidRPr="00301185">
        <w:rPr>
          <w:color w:val="auto"/>
        </w:rPr>
        <w:t>3</w:t>
      </w:r>
      <w:r w:rsidR="00053240" w:rsidRPr="00301185">
        <w:rPr>
          <w:color w:val="auto"/>
        </w:rPr>
        <w:t>,</w:t>
      </w:r>
      <w:r w:rsidR="00301185" w:rsidRPr="00301185">
        <w:rPr>
          <w:color w:val="auto"/>
        </w:rPr>
        <w:t>4</w:t>
      </w:r>
      <w:r w:rsidR="00053240" w:rsidRPr="00301185">
        <w:rPr>
          <w:color w:val="auto"/>
        </w:rPr>
        <w:t xml:space="preserve">% del Molise al </w:t>
      </w:r>
      <w:r w:rsidR="00301185" w:rsidRPr="00301185">
        <w:rPr>
          <w:color w:val="auto"/>
        </w:rPr>
        <w:t>33</w:t>
      </w:r>
      <w:r w:rsidR="00053240" w:rsidRPr="00301185">
        <w:rPr>
          <w:color w:val="auto"/>
        </w:rPr>
        <w:t>,</w:t>
      </w:r>
      <w:r w:rsidR="00301185" w:rsidRPr="00301185">
        <w:rPr>
          <w:color w:val="auto"/>
        </w:rPr>
        <w:t>5</w:t>
      </w:r>
      <w:r w:rsidR="00053240" w:rsidRPr="00301185">
        <w:rPr>
          <w:color w:val="auto"/>
        </w:rPr>
        <w:t>% d</w:t>
      </w:r>
      <w:r w:rsidR="00301185" w:rsidRPr="00301185">
        <w:rPr>
          <w:color w:val="auto"/>
        </w:rPr>
        <w:t>ell’</w:t>
      </w:r>
      <w:r w:rsidR="00053240" w:rsidRPr="00301185">
        <w:rPr>
          <w:color w:val="auto"/>
        </w:rPr>
        <w:t>Umbria) e del 2,</w:t>
      </w:r>
      <w:r w:rsidR="00301185" w:rsidRPr="00301185">
        <w:rPr>
          <w:color w:val="auto"/>
        </w:rPr>
        <w:t>4</w:t>
      </w:r>
      <w:r w:rsidR="00053240" w:rsidRPr="00301185">
        <w:rPr>
          <w:color w:val="auto"/>
        </w:rPr>
        <w:t xml:space="preserve">% in area critica (dallo 0% </w:t>
      </w:r>
      <w:r w:rsidR="00301185" w:rsidRPr="00301185">
        <w:rPr>
          <w:color w:val="auto"/>
        </w:rPr>
        <w:t>della</w:t>
      </w:r>
      <w:r w:rsidR="00053240" w:rsidRPr="00301185">
        <w:rPr>
          <w:color w:val="auto"/>
        </w:rPr>
        <w:t xml:space="preserve"> Valle D’Aosta al </w:t>
      </w:r>
      <w:r w:rsidR="00301185" w:rsidRPr="00301185">
        <w:rPr>
          <w:color w:val="auto"/>
        </w:rPr>
        <w:t>7,1</w:t>
      </w:r>
      <w:r w:rsidR="00053240" w:rsidRPr="00301185">
        <w:rPr>
          <w:color w:val="auto"/>
        </w:rPr>
        <w:t>% dell’</w:t>
      </w:r>
      <w:r w:rsidR="00301185" w:rsidRPr="00301185">
        <w:rPr>
          <w:color w:val="auto"/>
        </w:rPr>
        <w:t>Umbria</w:t>
      </w:r>
      <w:r w:rsidR="00053240" w:rsidRPr="00301185">
        <w:rPr>
          <w:color w:val="auto"/>
        </w:rPr>
        <w:t>) (</w:t>
      </w:r>
      <w:r w:rsidR="00053240" w:rsidRPr="00301185">
        <w:rPr>
          <w:color w:val="auto"/>
          <w:highlight w:val="yellow"/>
        </w:rPr>
        <w:t>figura 8</w:t>
      </w:r>
      <w:r w:rsidR="00053240" w:rsidRPr="00301185">
        <w:rPr>
          <w:color w:val="auto"/>
        </w:rPr>
        <w:t>). «Tornano a scendere gli ingressi giornalieri in terapia intensiva – puntualizza Mosti – con una media mobile a 7 giorni di 2</w:t>
      </w:r>
      <w:r w:rsidR="001773CB" w:rsidRPr="00301185">
        <w:rPr>
          <w:color w:val="auto"/>
        </w:rPr>
        <w:t>4</w:t>
      </w:r>
      <w:r w:rsidR="00053240" w:rsidRPr="00301185">
        <w:rPr>
          <w:color w:val="auto"/>
        </w:rPr>
        <w:t xml:space="preserve"> ingressi/die rispetto ai </w:t>
      </w:r>
      <w:r w:rsidR="001773CB" w:rsidRPr="00301185">
        <w:rPr>
          <w:color w:val="auto"/>
        </w:rPr>
        <w:t>29</w:t>
      </w:r>
      <w:r w:rsidR="00053240" w:rsidRPr="00301185">
        <w:rPr>
          <w:color w:val="auto"/>
        </w:rPr>
        <w:t xml:space="preserve"> della settimana precedente» (</w:t>
      </w:r>
      <w:r w:rsidR="00053240" w:rsidRPr="00301185">
        <w:rPr>
          <w:color w:val="auto"/>
          <w:highlight w:val="yellow"/>
        </w:rPr>
        <w:t>figura 9</w:t>
      </w:r>
      <w:r w:rsidR="00053240" w:rsidRPr="00301185">
        <w:rPr>
          <w:color w:val="auto"/>
        </w:rPr>
        <w:t>).</w:t>
      </w:r>
    </w:p>
    <w:p w14:paraId="7924A939" w14:textId="77777777" w:rsidR="00053240" w:rsidRPr="00301185" w:rsidRDefault="00053240" w:rsidP="00053240">
      <w:pPr>
        <w:spacing w:line="276" w:lineRule="auto"/>
        <w:jc w:val="both"/>
        <w:rPr>
          <w:color w:val="auto"/>
        </w:rPr>
      </w:pPr>
      <w:r w:rsidRPr="001773CB">
        <w:rPr>
          <w:b/>
          <w:color w:val="auto"/>
        </w:rPr>
        <w:t>Decessi</w:t>
      </w:r>
      <w:r w:rsidRPr="001773CB">
        <w:rPr>
          <w:color w:val="auto"/>
        </w:rPr>
        <w:t xml:space="preserve">. In </w:t>
      </w:r>
      <w:r w:rsidR="001773CB" w:rsidRPr="001773CB">
        <w:rPr>
          <w:color w:val="auto"/>
        </w:rPr>
        <w:t xml:space="preserve">calo </w:t>
      </w:r>
      <w:r w:rsidRPr="001773CB">
        <w:rPr>
          <w:color w:val="auto"/>
        </w:rPr>
        <w:t xml:space="preserve">il numero dei decessi: </w:t>
      </w:r>
      <w:r w:rsidR="001773CB" w:rsidRPr="001773CB">
        <w:rPr>
          <w:color w:val="auto"/>
        </w:rPr>
        <w:t>536</w:t>
      </w:r>
      <w:r w:rsidRPr="001773CB">
        <w:rPr>
          <w:color w:val="auto"/>
        </w:rPr>
        <w:t xml:space="preserve"> </w:t>
      </w:r>
      <w:r w:rsidR="001773CB" w:rsidRPr="001773CB">
        <w:rPr>
          <w:color w:val="auto"/>
        </w:rPr>
        <w:t>negli ultimi 7 giorni (di cui 10</w:t>
      </w:r>
      <w:r w:rsidRPr="001773CB">
        <w:rPr>
          <w:color w:val="auto"/>
        </w:rPr>
        <w:t xml:space="preserve"> riferiti a periodi precedenti), con una </w:t>
      </w:r>
      <w:r w:rsidRPr="00301185">
        <w:rPr>
          <w:color w:val="auto"/>
        </w:rPr>
        <w:t xml:space="preserve">media di </w:t>
      </w:r>
      <w:r w:rsidR="001773CB" w:rsidRPr="00301185">
        <w:rPr>
          <w:color w:val="auto"/>
        </w:rPr>
        <w:t>77</w:t>
      </w:r>
      <w:r w:rsidRPr="00301185">
        <w:rPr>
          <w:color w:val="auto"/>
        </w:rPr>
        <w:t xml:space="preserve"> al giorno rispetto a</w:t>
      </w:r>
      <w:r w:rsidR="001773CB" w:rsidRPr="00301185">
        <w:rPr>
          <w:color w:val="auto"/>
        </w:rPr>
        <w:t>gl</w:t>
      </w:r>
      <w:r w:rsidRPr="00301185">
        <w:rPr>
          <w:color w:val="auto"/>
        </w:rPr>
        <w:t>i 8</w:t>
      </w:r>
      <w:r w:rsidR="001773CB" w:rsidRPr="00301185">
        <w:rPr>
          <w:color w:val="auto"/>
        </w:rPr>
        <w:t>0</w:t>
      </w:r>
      <w:r w:rsidRPr="00301185">
        <w:rPr>
          <w:color w:val="auto"/>
        </w:rPr>
        <w:t xml:space="preserve"> della settimana precedente.</w:t>
      </w:r>
    </w:p>
    <w:p w14:paraId="0E7CF4C8" w14:textId="77777777" w:rsidR="00DD6B88" w:rsidRDefault="00DD6B88" w:rsidP="00053240">
      <w:pPr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MONITORAGGIO CAMPAGNA VACCINALE: settimana 2-8 novembre</w:t>
      </w:r>
      <w:r w:rsidR="00341B6E">
        <w:rPr>
          <w:b/>
          <w:color w:val="auto"/>
        </w:rPr>
        <w:t xml:space="preserve"> 2022</w:t>
      </w:r>
    </w:p>
    <w:p w14:paraId="6AC766E8" w14:textId="77777777" w:rsidR="006860D7" w:rsidRPr="00301185" w:rsidRDefault="006860D7" w:rsidP="00053240">
      <w:pPr>
        <w:spacing w:line="276" w:lineRule="auto"/>
        <w:jc w:val="both"/>
        <w:rPr>
          <w:color w:val="auto"/>
        </w:rPr>
      </w:pPr>
      <w:r w:rsidRPr="00301185">
        <w:rPr>
          <w:b/>
          <w:color w:val="auto"/>
        </w:rPr>
        <w:t>Vaccini: nuovi vaccinati.</w:t>
      </w:r>
      <w:r w:rsidRPr="00301185">
        <w:rPr>
          <w:color w:val="auto"/>
        </w:rPr>
        <w:t xml:space="preserve"> Nella settimana 2-8 novembre calano i nuovi vaccinati: 1.127 rispetto ai 1.382 della settimana precedente (-18,5%). Di questi il 20,8% è rappresentato dalla fascia 5-</w:t>
      </w:r>
      <w:r w:rsidR="00301185" w:rsidRPr="00301185">
        <w:rPr>
          <w:color w:val="auto"/>
        </w:rPr>
        <w:t xml:space="preserve">11: 234, con una riduzione del </w:t>
      </w:r>
      <w:r w:rsidRPr="00301185">
        <w:rPr>
          <w:color w:val="auto"/>
        </w:rPr>
        <w:t>10,7% rispetto alla settimana precedente. Cala tra gli over 50, più a rischio di malattia grave, il numero di nuovi vaccinati che si attesta a quota 467 (-12,7% rispetto alla settimana precedente) (</w:t>
      </w:r>
      <w:r w:rsidRPr="00301185">
        <w:rPr>
          <w:color w:val="auto"/>
          <w:highlight w:val="yellow"/>
        </w:rPr>
        <w:t>figura 10</w:t>
      </w:r>
      <w:r w:rsidRPr="00301185">
        <w:rPr>
          <w:color w:val="auto"/>
        </w:rPr>
        <w:t>).</w:t>
      </w:r>
    </w:p>
    <w:p w14:paraId="7EC3D2B4" w14:textId="77777777" w:rsidR="006860D7" w:rsidRPr="00301185" w:rsidRDefault="006860D7" w:rsidP="00301185">
      <w:pPr>
        <w:spacing w:after="80" w:line="276" w:lineRule="auto"/>
        <w:jc w:val="both"/>
        <w:rPr>
          <w:color w:val="auto"/>
        </w:rPr>
      </w:pPr>
      <w:r w:rsidRPr="00301185">
        <w:rPr>
          <w:b/>
          <w:color w:val="auto"/>
        </w:rPr>
        <w:t>Vaccini: persone non vaccinate.</w:t>
      </w:r>
      <w:r w:rsidRPr="00301185">
        <w:rPr>
          <w:color w:val="auto"/>
        </w:rPr>
        <w:t xml:space="preserve"> Al 9 novembre (aggiornamento ore 06.16) sono 6,8 milioni le persone di età superiore a 5 anni che non hanno ricevuto nemmeno una dose di vaccino (</w:t>
      </w:r>
      <w:r w:rsidRPr="00301185">
        <w:rPr>
          <w:color w:val="auto"/>
          <w:highlight w:val="yellow"/>
        </w:rPr>
        <w:t>figure 11</w:t>
      </w:r>
      <w:r w:rsidRPr="00301185">
        <w:rPr>
          <w:color w:val="auto"/>
        </w:rPr>
        <w:t>), di cui:</w:t>
      </w:r>
    </w:p>
    <w:p w14:paraId="3977507B" w14:textId="77777777" w:rsidR="006860D7" w:rsidRPr="00301185" w:rsidRDefault="006860D7" w:rsidP="006860D7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color w:val="auto"/>
        </w:rPr>
      </w:pPr>
      <w:r w:rsidRPr="00301185">
        <w:rPr>
          <w:color w:val="auto"/>
        </w:rPr>
        <w:t xml:space="preserve">6,04 milioni attualmente vaccinabili, </w:t>
      </w:r>
      <w:r w:rsidR="00301185" w:rsidRPr="00301185">
        <w:rPr>
          <w:color w:val="auto"/>
        </w:rPr>
        <w:t>pari al 10,5% della platea (dall’</w:t>
      </w:r>
      <w:r w:rsidRPr="00301185">
        <w:rPr>
          <w:color w:val="auto"/>
        </w:rPr>
        <w:t xml:space="preserve">8% del Lazio al 14% della Valle </w:t>
      </w:r>
      <w:r w:rsidR="00341B6E" w:rsidRPr="00301185">
        <w:rPr>
          <w:color w:val="auto"/>
        </w:rPr>
        <w:t>D</w:t>
      </w:r>
      <w:r w:rsidR="00341B6E">
        <w:rPr>
          <w:color w:val="auto"/>
        </w:rPr>
        <w:t>’</w:t>
      </w:r>
      <w:r w:rsidR="00341B6E" w:rsidRPr="00301185">
        <w:rPr>
          <w:color w:val="auto"/>
        </w:rPr>
        <w:t>Aosta</w:t>
      </w:r>
      <w:r w:rsidRPr="00301185">
        <w:rPr>
          <w:color w:val="auto"/>
        </w:rPr>
        <w:t>);</w:t>
      </w:r>
    </w:p>
    <w:p w14:paraId="315759B9" w14:textId="77777777" w:rsidR="006860D7" w:rsidRPr="00301185" w:rsidRDefault="006860D7" w:rsidP="006860D7">
      <w:pPr>
        <w:pStyle w:val="Paragrafoelenco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301185">
        <w:rPr>
          <w:color w:val="auto"/>
        </w:rPr>
        <w:t>0,76 milioni temporaneamente protette in quanto guarite da COVID-19 da meno di 180 giorni, pari a</w:t>
      </w:r>
      <w:r w:rsidR="00301185" w:rsidRPr="00301185">
        <w:rPr>
          <w:color w:val="auto"/>
        </w:rPr>
        <w:t>l</w:t>
      </w:r>
      <w:r w:rsidRPr="00301185">
        <w:rPr>
          <w:color w:val="auto"/>
        </w:rPr>
        <w:t>l</w:t>
      </w:r>
      <w:r w:rsidR="00301185" w:rsidRPr="00301185">
        <w:rPr>
          <w:color w:val="auto"/>
        </w:rPr>
        <w:t>’</w:t>
      </w:r>
      <w:r w:rsidRPr="00301185">
        <w:rPr>
          <w:color w:val="auto"/>
        </w:rPr>
        <w:t>1,3% della platea (dal</w:t>
      </w:r>
      <w:r w:rsidR="00301185" w:rsidRPr="00301185">
        <w:rPr>
          <w:color w:val="auto"/>
        </w:rPr>
        <w:t>lo</w:t>
      </w:r>
      <w:r w:rsidRPr="00301185">
        <w:rPr>
          <w:color w:val="auto"/>
        </w:rPr>
        <w:t xml:space="preserve"> 0,9% della Valle D</w:t>
      </w:r>
      <w:r w:rsidR="00341B6E">
        <w:rPr>
          <w:color w:val="auto"/>
        </w:rPr>
        <w:t>’</w:t>
      </w:r>
      <w:r w:rsidRPr="00301185">
        <w:rPr>
          <w:color w:val="auto"/>
        </w:rPr>
        <w:t>Aosta al 2,3% del Friuli Venezia Giulia).</w:t>
      </w:r>
    </w:p>
    <w:p w14:paraId="7F19DC47" w14:textId="77777777" w:rsidR="0001653F" w:rsidRPr="00301185" w:rsidRDefault="0001653F" w:rsidP="0035332A">
      <w:pPr>
        <w:spacing w:line="276" w:lineRule="auto"/>
        <w:jc w:val="both"/>
        <w:rPr>
          <w:color w:val="auto"/>
        </w:rPr>
      </w:pPr>
      <w:r w:rsidRPr="00301185">
        <w:rPr>
          <w:b/>
          <w:color w:val="auto"/>
        </w:rPr>
        <w:t>Vaccini: fascia 5-11 anni.</w:t>
      </w:r>
      <w:r w:rsidRPr="00301185">
        <w:rPr>
          <w:color w:val="auto"/>
        </w:rPr>
        <w:t xml:space="preserve"> Al 9 novembre (aggiornamento ore 06.16) nella fascia 5-11 anni sono state somministrate 2.605.778 dosi: 1.408.411 hanno ricevuto almeno 1 dose di vaccino (di cui 1.289.072 hanno </w:t>
      </w:r>
      <w:r w:rsidRPr="00301185">
        <w:rPr>
          <w:color w:val="auto"/>
        </w:rPr>
        <w:lastRenderedPageBreak/>
        <w:t>completato il ciclo vaccinale), con un tasso di copertura nazionale al 38,5% con nette differenze regionali</w:t>
      </w:r>
      <w:r w:rsidR="00341B6E">
        <w:rPr>
          <w:color w:val="auto"/>
        </w:rPr>
        <w:t xml:space="preserve"> (</w:t>
      </w:r>
      <w:r w:rsidRPr="00301185">
        <w:rPr>
          <w:color w:val="auto"/>
        </w:rPr>
        <w:t>dal 21,1% della Provincia Autonoma di Bolzano al 53,9% della Puglia</w:t>
      </w:r>
      <w:r w:rsidR="00341B6E">
        <w:rPr>
          <w:color w:val="auto"/>
        </w:rPr>
        <w:t>)</w:t>
      </w:r>
      <w:r w:rsidRPr="00301185">
        <w:rPr>
          <w:color w:val="auto"/>
        </w:rPr>
        <w:t xml:space="preserve"> (</w:t>
      </w:r>
      <w:r w:rsidRPr="00301185">
        <w:rPr>
          <w:color w:val="auto"/>
          <w:highlight w:val="yellow"/>
        </w:rPr>
        <w:t>figura 1</w:t>
      </w:r>
      <w:r w:rsidR="007526C9">
        <w:rPr>
          <w:color w:val="auto"/>
          <w:highlight w:val="yellow"/>
        </w:rPr>
        <w:t>2</w:t>
      </w:r>
      <w:r w:rsidRPr="00301185">
        <w:rPr>
          <w:color w:val="auto"/>
        </w:rPr>
        <w:t>).</w:t>
      </w:r>
    </w:p>
    <w:p w14:paraId="1E249A56" w14:textId="77777777" w:rsidR="008139B1" w:rsidRPr="00301185" w:rsidRDefault="008139B1" w:rsidP="00301185">
      <w:pPr>
        <w:spacing w:after="80" w:line="276" w:lineRule="auto"/>
        <w:jc w:val="both"/>
        <w:rPr>
          <w:color w:val="auto"/>
        </w:rPr>
      </w:pPr>
      <w:r w:rsidRPr="00301185">
        <w:rPr>
          <w:b/>
          <w:color w:val="auto"/>
        </w:rPr>
        <w:t xml:space="preserve">Vaccini: terza dose. </w:t>
      </w:r>
      <w:r w:rsidRPr="00301185">
        <w:rPr>
          <w:color w:val="auto"/>
        </w:rPr>
        <w:t xml:space="preserve">Al 9 novembre (aggiornamento ore 06.16) sono state somministrate 40.294.500 terze dosi con una media mobile a 7 giorni di 3.187 somministrazioni al giorno. In base alla </w:t>
      </w:r>
      <w:hyperlink r:id="rId10" w:history="1">
        <w:r w:rsidRPr="00301185">
          <w:rPr>
            <w:rStyle w:val="Collegamentoipertestuale"/>
            <w:color w:val="auto"/>
          </w:rPr>
          <w:t>platea ufficiale</w:t>
        </w:r>
      </w:hyperlink>
      <w:r w:rsidRPr="00301185">
        <w:rPr>
          <w:color w:val="auto"/>
        </w:rPr>
        <w:t xml:space="preserve"> (n. 47.703.593), aggiornata al 20 maggio</w:t>
      </w:r>
      <w:r w:rsidR="00341B6E">
        <w:rPr>
          <w:color w:val="auto"/>
        </w:rPr>
        <w:t>,</w:t>
      </w:r>
      <w:r w:rsidRPr="00301185">
        <w:rPr>
          <w:color w:val="auto"/>
        </w:rPr>
        <w:t xml:space="preserve"> il tasso di copertura nazionale per le terze dosi è del</w:t>
      </w:r>
      <w:r w:rsidR="00301185" w:rsidRPr="00301185">
        <w:rPr>
          <w:color w:val="auto"/>
        </w:rPr>
        <w:t>l’</w:t>
      </w:r>
      <w:r w:rsidRPr="00301185">
        <w:rPr>
          <w:color w:val="auto"/>
        </w:rPr>
        <w:t>84,5%: dal 78,5% della Sicilia al</w:t>
      </w:r>
      <w:r w:rsidR="00301185" w:rsidRPr="00301185">
        <w:rPr>
          <w:color w:val="auto"/>
        </w:rPr>
        <w:t>l’</w:t>
      </w:r>
      <w:r w:rsidRPr="00301185">
        <w:rPr>
          <w:color w:val="auto"/>
        </w:rPr>
        <w:t xml:space="preserve">88,4% della Lombardia. Sono 7,41 milioni le persone che non hanno ancora ricevuto la dose </w:t>
      </w:r>
      <w:r w:rsidRPr="00301185">
        <w:rPr>
          <w:i/>
          <w:color w:val="auto"/>
        </w:rPr>
        <w:t>booster</w:t>
      </w:r>
      <w:r w:rsidRPr="00301185">
        <w:rPr>
          <w:color w:val="auto"/>
        </w:rPr>
        <w:t xml:space="preserve"> (</w:t>
      </w:r>
      <w:r w:rsidRPr="00301185">
        <w:rPr>
          <w:color w:val="auto"/>
          <w:highlight w:val="yellow"/>
        </w:rPr>
        <w:t>figura 13</w:t>
      </w:r>
      <w:r w:rsidRPr="00301185">
        <w:rPr>
          <w:color w:val="auto"/>
        </w:rPr>
        <w:t>), di cui:</w:t>
      </w:r>
    </w:p>
    <w:p w14:paraId="7D41A988" w14:textId="77777777" w:rsidR="008139B1" w:rsidRPr="008139B1" w:rsidRDefault="008139B1" w:rsidP="008139B1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color w:val="auto"/>
        </w:rPr>
      </w:pPr>
      <w:r w:rsidRPr="008139B1">
        <w:rPr>
          <w:color w:val="auto"/>
        </w:rPr>
        <w:t>5,15 milioni possono riceverla subito, pari al 10,8% della platea (dal 6,9% del Piemonte al 18,4% della Sicilia);</w:t>
      </w:r>
    </w:p>
    <w:p w14:paraId="5B11D3DF" w14:textId="77777777" w:rsidR="008139B1" w:rsidRPr="008139B1" w:rsidRDefault="008139B1" w:rsidP="008139B1">
      <w:pPr>
        <w:pStyle w:val="Paragrafoelenco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8139B1">
        <w:rPr>
          <w:color w:val="auto"/>
        </w:rPr>
        <w:t>2,26 milioni non possono riceverla nell’immediato in quanto guarite da meno di 120 giorni, pari al 4,7% della platea (dal 2,6% della Valle D</w:t>
      </w:r>
      <w:r w:rsidR="00341B6E">
        <w:rPr>
          <w:color w:val="auto"/>
        </w:rPr>
        <w:t>’</w:t>
      </w:r>
      <w:r w:rsidRPr="008139B1">
        <w:rPr>
          <w:color w:val="auto"/>
        </w:rPr>
        <w:t>Aosta al 7,1% del Veneto).</w:t>
      </w:r>
    </w:p>
    <w:p w14:paraId="55F9E974" w14:textId="77777777" w:rsidR="008139B1" w:rsidRPr="006D1242" w:rsidRDefault="008139B1" w:rsidP="00BD2CFE">
      <w:pPr>
        <w:spacing w:line="276" w:lineRule="auto"/>
        <w:jc w:val="both"/>
        <w:rPr>
          <w:color w:val="auto"/>
        </w:rPr>
      </w:pPr>
      <w:r w:rsidRPr="006D1242">
        <w:rPr>
          <w:b/>
          <w:color w:val="auto"/>
        </w:rPr>
        <w:t>Vaccini: quarta dose.</w:t>
      </w:r>
      <w:r w:rsidRPr="006D1242">
        <w:rPr>
          <w:color w:val="auto"/>
        </w:rPr>
        <w:t xml:space="preserve">  </w:t>
      </w:r>
      <w:r w:rsidR="0048182D" w:rsidRPr="006D1242">
        <w:rPr>
          <w:bCs/>
          <w:color w:val="auto"/>
        </w:rPr>
        <w:t>Secondo quanto disposto</w:t>
      </w:r>
      <w:r w:rsidR="00341B6E">
        <w:rPr>
          <w:bCs/>
          <w:color w:val="auto"/>
        </w:rPr>
        <w:t xml:space="preserve"> dalla</w:t>
      </w:r>
      <w:r w:rsidR="0048182D" w:rsidRPr="006D1242">
        <w:rPr>
          <w:bCs/>
          <w:color w:val="auto"/>
        </w:rPr>
        <w:t xml:space="preserve"> </w:t>
      </w:r>
      <w:hyperlink r:id="rId11" w:history="1">
        <w:hyperlink r:id="rId12" w:history="1">
          <w:r w:rsidR="0048182D" w:rsidRPr="006D1242">
            <w:rPr>
              <w:rStyle w:val="Collegamentoipertestuale"/>
              <w:color w:val="auto"/>
            </w:rPr>
            <w:t>Circolare del Ministero della Salute del 23 settembre</w:t>
          </w:r>
        </w:hyperlink>
        <w:r w:rsidR="0048182D" w:rsidRPr="006D1242">
          <w:rPr>
            <w:rStyle w:val="Collegamentoipertestuale"/>
            <w:color w:val="auto"/>
          </w:rPr>
          <w:t xml:space="preserve"> 2022</w:t>
        </w:r>
      </w:hyperlink>
      <w:r w:rsidR="0048182D" w:rsidRPr="006D1242">
        <w:rPr>
          <w:bCs/>
          <w:color w:val="auto"/>
        </w:rPr>
        <w:t>, la platea per il secondo richiamo (quarta dose) è di 19,1 milioni di persone: di queste, 12,</w:t>
      </w:r>
      <w:r w:rsidR="006D1242" w:rsidRPr="006D1242">
        <w:rPr>
          <w:bCs/>
          <w:color w:val="auto"/>
        </w:rPr>
        <w:t>8</w:t>
      </w:r>
      <w:r w:rsidR="0048182D" w:rsidRPr="006D1242">
        <w:rPr>
          <w:bCs/>
          <w:color w:val="auto"/>
        </w:rPr>
        <w:t xml:space="preserve"> milioni possono riceverlo subito, 1,8 non sono eleggibili nell’immediato in quanto guarite da meno di 120 giorni e 4,5 milioni l’hanno già ricevuto. </w:t>
      </w:r>
      <w:r w:rsidRPr="006D1242">
        <w:rPr>
          <w:color w:val="auto"/>
        </w:rPr>
        <w:t xml:space="preserve">Al 9 novembre (aggiornamento ore 06.16) sono state somministrate 4.504.806 quarte dosi, con una media mobile di 28.883 somministrazioni al giorno, in </w:t>
      </w:r>
      <w:r w:rsidR="00341B6E">
        <w:rPr>
          <w:color w:val="auto"/>
        </w:rPr>
        <w:t xml:space="preserve">lieve </w:t>
      </w:r>
      <w:r w:rsidRPr="006D1242">
        <w:rPr>
          <w:color w:val="auto"/>
        </w:rPr>
        <w:t>aumento rispetto alle 28.310 della scorsa settimana (</w:t>
      </w:r>
      <w:r w:rsidR="006D1242" w:rsidRPr="006D1242">
        <w:rPr>
          <w:color w:val="auto"/>
        </w:rPr>
        <w:t>+</w:t>
      </w:r>
      <w:r w:rsidRPr="006D1242">
        <w:rPr>
          <w:color w:val="auto"/>
        </w:rPr>
        <w:t>2%) (</w:t>
      </w:r>
      <w:r w:rsidRPr="006D1242">
        <w:rPr>
          <w:color w:val="auto"/>
          <w:highlight w:val="yellow"/>
        </w:rPr>
        <w:t>figura 1</w:t>
      </w:r>
      <w:r w:rsidR="007526C9">
        <w:rPr>
          <w:color w:val="auto"/>
          <w:highlight w:val="yellow"/>
        </w:rPr>
        <w:t>4</w:t>
      </w:r>
      <w:r w:rsidRPr="006D1242">
        <w:rPr>
          <w:color w:val="auto"/>
        </w:rPr>
        <w:t xml:space="preserve">). In base alla </w:t>
      </w:r>
      <w:hyperlink r:id="rId13" w:history="1">
        <w:r w:rsidRPr="006D1242">
          <w:rPr>
            <w:rStyle w:val="Collegamentoipertestuale"/>
            <w:color w:val="auto"/>
          </w:rPr>
          <w:t>platea ufficiale</w:t>
        </w:r>
      </w:hyperlink>
      <w:r w:rsidRPr="006D1242">
        <w:rPr>
          <w:color w:val="auto"/>
        </w:rPr>
        <w:t xml:space="preserve"> (n. 19.119.772 di cui 13.060.462 over 60, 3.990.080 fragili e immunocompromessi, 1.748.256 di personale sanitario e 320.974 di ospiti delle RSA che non ricadono nelle categorie precedenti), aggiornata al 17 settembre, il tasso di copertura nazionale per le quarte dosi è del 23,6% con nette differenze regionali: dal 10,9% della Calabria al 35,7% del Piemonte (</w:t>
      </w:r>
      <w:r w:rsidRPr="006D1242">
        <w:rPr>
          <w:color w:val="auto"/>
          <w:highlight w:val="yellow"/>
        </w:rPr>
        <w:t>figura 1</w:t>
      </w:r>
      <w:r w:rsidR="007526C9">
        <w:rPr>
          <w:color w:val="auto"/>
          <w:highlight w:val="yellow"/>
        </w:rPr>
        <w:t>5</w:t>
      </w:r>
      <w:r w:rsidRPr="006D1242">
        <w:rPr>
          <w:color w:val="auto"/>
        </w:rPr>
        <w:t>).</w:t>
      </w:r>
    </w:p>
    <w:p w14:paraId="6F7DE001" w14:textId="77777777" w:rsidR="00C06727" w:rsidRPr="004431E1" w:rsidRDefault="00B80CBD" w:rsidP="008030A9">
      <w:pPr>
        <w:spacing w:after="120" w:line="276" w:lineRule="auto"/>
        <w:rPr>
          <w:color w:val="auto"/>
        </w:rPr>
      </w:pPr>
      <w:r w:rsidRPr="004431E1">
        <w:rPr>
          <w:b/>
          <w:color w:val="auto"/>
        </w:rPr>
        <w:t>Vaccini: quinta dose</w:t>
      </w:r>
      <w:r w:rsidRPr="004431E1">
        <w:rPr>
          <w:bCs/>
          <w:color w:val="auto"/>
        </w:rPr>
        <w:t xml:space="preserve">. </w:t>
      </w:r>
      <w:r w:rsidR="00FC739F" w:rsidRPr="004431E1">
        <w:rPr>
          <w:bCs/>
          <w:color w:val="auto"/>
        </w:rPr>
        <w:t>Non è ancora disponibile n</w:t>
      </w:r>
      <w:r w:rsidRPr="004431E1">
        <w:rPr>
          <w:bCs/>
          <w:color w:val="auto"/>
        </w:rPr>
        <w:t xml:space="preserve">essun dato ufficiale sulle somministrazioni. </w:t>
      </w:r>
    </w:p>
    <w:p w14:paraId="4B077089" w14:textId="43B23BA9" w:rsidR="006D1242" w:rsidRPr="00F30E9B" w:rsidRDefault="00195DFE" w:rsidP="00195DFE">
      <w:pPr>
        <w:jc w:val="both"/>
        <w:rPr>
          <w:color w:val="auto"/>
        </w:rPr>
      </w:pPr>
      <w:r w:rsidRPr="001C4680">
        <w:rPr>
          <w:color w:val="auto"/>
        </w:rPr>
        <w:t>«</w:t>
      </w:r>
      <w:r>
        <w:rPr>
          <w:color w:val="auto"/>
        </w:rPr>
        <w:t xml:space="preserve">La pubblicazione dei dati a cadenza settimanale – conclude </w:t>
      </w:r>
      <w:r w:rsidRPr="001C4680">
        <w:rPr>
          <w:color w:val="auto"/>
        </w:rPr>
        <w:t>Cartabellotta</w:t>
      </w:r>
      <w:r>
        <w:rPr>
          <w:color w:val="auto"/>
        </w:rPr>
        <w:t xml:space="preserve"> –</w:t>
      </w:r>
      <w:r w:rsidR="00CE344F">
        <w:rPr>
          <w:color w:val="auto"/>
        </w:rPr>
        <w:t xml:space="preserve"> rappresenta </w:t>
      </w:r>
      <w:r w:rsidR="00F30E9B" w:rsidRPr="00F30E9B">
        <w:rPr>
          <w:color w:val="auto"/>
        </w:rPr>
        <w:t xml:space="preserve">un ulteriore tassello della strategia </w:t>
      </w:r>
      <w:r w:rsidR="00917010" w:rsidRPr="00B04235">
        <w:rPr>
          <w:color w:val="auto"/>
        </w:rPr>
        <w:t xml:space="preserve">oscurantista </w:t>
      </w:r>
      <w:r w:rsidR="00F30E9B" w:rsidRPr="00F30E9B">
        <w:rPr>
          <w:color w:val="auto"/>
        </w:rPr>
        <w:t xml:space="preserve">del </w:t>
      </w:r>
      <w:r w:rsidR="00B04235">
        <w:rPr>
          <w:color w:val="auto"/>
        </w:rPr>
        <w:t xml:space="preserve">Governo </w:t>
      </w:r>
      <w:r w:rsidR="00244BD1">
        <w:rPr>
          <w:color w:val="auto"/>
        </w:rPr>
        <w:t>nella gestione della pandemia</w:t>
      </w:r>
      <w:r>
        <w:rPr>
          <w:color w:val="auto"/>
        </w:rPr>
        <w:t xml:space="preserve">: dal reintegro anticipato dei sanitari non vaccinati al “ritiro” della circolare del Ministero della Salute </w:t>
      </w:r>
      <w:r>
        <w:t>(prot. 45253 del 03/11/2022-DGPRE_DGPRE)</w:t>
      </w:r>
      <w:r w:rsidRPr="00FF6099">
        <w:t xml:space="preserve"> </w:t>
      </w:r>
      <w:r>
        <w:rPr>
          <w:color w:val="auto"/>
        </w:rPr>
        <w:t xml:space="preserve">sul piano di preparazione per la stagione autunno-inverno, al silenzio assordante sulla campagna vaccinale, in particolare sulla somministrazione dei richiami per i più fragili. Una </w:t>
      </w:r>
      <w:r w:rsidR="00B04235">
        <w:rPr>
          <w:color w:val="auto"/>
        </w:rPr>
        <w:t>strategia</w:t>
      </w:r>
      <w:r w:rsidR="001E1950">
        <w:rPr>
          <w:color w:val="auto"/>
        </w:rPr>
        <w:t xml:space="preserve"> all’insegna della </w:t>
      </w:r>
      <w:r>
        <w:rPr>
          <w:color w:val="auto"/>
        </w:rPr>
        <w:t>discontinuità politica</w:t>
      </w:r>
      <w:r w:rsidR="001E1950">
        <w:rPr>
          <w:color w:val="auto"/>
        </w:rPr>
        <w:t xml:space="preserve"> </w:t>
      </w:r>
      <w:r w:rsidR="00B04235">
        <w:rPr>
          <w:color w:val="auto"/>
        </w:rPr>
        <w:t>che risulta</w:t>
      </w:r>
      <w:r w:rsidR="001E1950">
        <w:rPr>
          <w:color w:val="auto"/>
        </w:rPr>
        <w:t xml:space="preserve"> </w:t>
      </w:r>
      <w:r w:rsidR="00B04235">
        <w:rPr>
          <w:color w:val="auto"/>
        </w:rPr>
        <w:t xml:space="preserve">in netto </w:t>
      </w:r>
      <w:r>
        <w:rPr>
          <w:color w:val="auto"/>
        </w:rPr>
        <w:t xml:space="preserve">contrasto con le raccomandazioni delle autorità internazionali di sanità pubblica (OMS, ECDC) che </w:t>
      </w:r>
      <w:r w:rsidRPr="007C2C71">
        <w:rPr>
          <w:color w:val="auto"/>
        </w:rPr>
        <w:t>invitano tutti i Paesi ad essere preparati e pronti</w:t>
      </w:r>
      <w:r>
        <w:rPr>
          <w:color w:val="auto"/>
        </w:rPr>
        <w:t xml:space="preserve"> a nuove ondate pandemiche</w:t>
      </w:r>
      <w:r w:rsidRPr="00DA7A95">
        <w:rPr>
          <w:color w:val="auto"/>
        </w:rPr>
        <w:t>»</w:t>
      </w:r>
      <w:r>
        <w:rPr>
          <w:color w:val="auto"/>
        </w:rPr>
        <w:t>.</w:t>
      </w:r>
      <w:r w:rsidR="00917010">
        <w:rPr>
          <w:color w:val="auto"/>
        </w:rPr>
        <w:t xml:space="preserve"> </w:t>
      </w:r>
    </w:p>
    <w:p w14:paraId="77752071" w14:textId="77777777" w:rsidR="008030A9" w:rsidRPr="006D1242" w:rsidRDefault="008030A9" w:rsidP="008030A9">
      <w:pPr>
        <w:spacing w:after="120" w:line="276" w:lineRule="auto"/>
        <w:rPr>
          <w:rStyle w:val="Hyperlink0"/>
          <w:color w:val="auto"/>
        </w:rPr>
      </w:pPr>
      <w:r w:rsidRPr="006D1242">
        <w:rPr>
          <w:i/>
          <w:iCs/>
          <w:color w:val="auto"/>
        </w:rPr>
        <w:t>Il monitoraggio GIMBE dell</w:t>
      </w:r>
      <w:r w:rsidR="00DD6B88">
        <w:rPr>
          <w:i/>
          <w:iCs/>
          <w:color w:val="auto"/>
        </w:rPr>
        <w:t xml:space="preserve">a pandemia </w:t>
      </w:r>
      <w:r w:rsidRPr="006D1242">
        <w:rPr>
          <w:i/>
          <w:iCs/>
          <w:color w:val="auto"/>
        </w:rPr>
        <w:t>COVID-19 è disponibile a:</w:t>
      </w:r>
      <w:r w:rsidRPr="006D1242">
        <w:rPr>
          <w:color w:val="auto"/>
        </w:rPr>
        <w:t xml:space="preserve"> </w:t>
      </w:r>
      <w:hyperlink r:id="rId14" w:history="1">
        <w:r w:rsidRPr="006D1242">
          <w:rPr>
            <w:rStyle w:val="Collegamentoipertestuale"/>
            <w:i/>
            <w:iCs/>
            <w:color w:val="auto"/>
          </w:rPr>
          <w:t>https://coronavirus.gimbe.org</w:t>
        </w:r>
      </w:hyperlink>
      <w:r w:rsidRPr="006D1242">
        <w:rPr>
          <w:i/>
          <w:iCs/>
          <w:color w:val="auto"/>
        </w:rPr>
        <w:t xml:space="preserve"> </w:t>
      </w:r>
    </w:p>
    <w:p w14:paraId="636A85BC" w14:textId="77777777" w:rsidR="00923333" w:rsidRPr="006D1242" w:rsidRDefault="00CE577D" w:rsidP="00C46A82">
      <w:pPr>
        <w:spacing w:after="120"/>
        <w:rPr>
          <w:rStyle w:val="Hyperlink1"/>
          <w:color w:val="auto"/>
        </w:rPr>
      </w:pPr>
      <w:r w:rsidRPr="006D1242">
        <w:rPr>
          <w:b/>
          <w:bCs/>
          <w:color w:val="auto"/>
        </w:rPr>
        <w:t>CONTATTI</w:t>
      </w:r>
      <w:r w:rsidRPr="006D1242">
        <w:rPr>
          <w:i/>
          <w:iCs/>
          <w:color w:val="auto"/>
        </w:rPr>
        <w:br/>
      </w:r>
      <w:r w:rsidRPr="006D1242">
        <w:rPr>
          <w:b/>
          <w:bCs/>
          <w:color w:val="auto"/>
        </w:rPr>
        <w:t>Fondazione GIMBE</w:t>
      </w:r>
      <w:r w:rsidRPr="006D1242">
        <w:rPr>
          <w:i/>
          <w:iCs/>
          <w:color w:val="auto"/>
          <w:u w:val="single" w:color="0563C1"/>
        </w:rPr>
        <w:br/>
      </w:r>
      <w:r w:rsidRPr="006D1242">
        <w:rPr>
          <w:color w:val="auto"/>
          <w:sz w:val="20"/>
          <w:szCs w:val="20"/>
        </w:rPr>
        <w:t>Via Amendola 2 - 40121 Bologn</w:t>
      </w:r>
      <w:r w:rsidR="00B443E3" w:rsidRPr="006D1242">
        <w:rPr>
          <w:color w:val="auto"/>
          <w:sz w:val="20"/>
          <w:szCs w:val="20"/>
        </w:rPr>
        <w:t>a</w:t>
      </w:r>
      <w:r w:rsidRPr="006D1242">
        <w:rPr>
          <w:color w:val="auto"/>
          <w:sz w:val="20"/>
          <w:szCs w:val="20"/>
        </w:rPr>
        <w:br/>
        <w:t>Tel. 051 5883920 - Fax 051 4075774</w:t>
      </w:r>
      <w:r w:rsidRPr="006D1242">
        <w:rPr>
          <w:color w:val="auto"/>
          <w:sz w:val="20"/>
          <w:szCs w:val="20"/>
        </w:rPr>
        <w:br/>
        <w:t xml:space="preserve">E-mail: </w:t>
      </w:r>
      <w:hyperlink r:id="rId15" w:history="1">
        <w:r w:rsidR="006D1242" w:rsidRPr="006D1242">
          <w:rPr>
            <w:rStyle w:val="Collegamentoipertestuale"/>
            <w:rFonts w:eastAsia="Calibri" w:cs="Calibri"/>
            <w:color w:val="00457D"/>
            <w:sz w:val="20"/>
            <w:szCs w:val="20"/>
            <w:u w:color="0563C1"/>
          </w:rPr>
          <w:t>ufficio.stampa@gimbe.org</w:t>
        </w:r>
      </w:hyperlink>
    </w:p>
    <w:p w14:paraId="089972B7" w14:textId="77777777" w:rsidR="00923333" w:rsidRPr="00053240" w:rsidRDefault="00923333" w:rsidP="00C46A82">
      <w:pPr>
        <w:spacing w:after="120"/>
        <w:rPr>
          <w:rFonts w:eastAsia="Calibri" w:cs="Calibri"/>
          <w:color w:val="FF0000"/>
          <w:sz w:val="20"/>
          <w:szCs w:val="20"/>
          <w:u w:val="single" w:color="0563C1"/>
        </w:rPr>
      </w:pPr>
    </w:p>
    <w:p w14:paraId="01D27BCD" w14:textId="77777777" w:rsidR="00AD5E21" w:rsidRPr="00053240" w:rsidRDefault="001203E4" w:rsidP="00235468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053240">
        <w:rPr>
          <w:b/>
          <w:bCs/>
          <w:color w:val="FF0000"/>
          <w:sz w:val="24"/>
          <w:szCs w:val="24"/>
          <w:u w:color="00457D"/>
        </w:rPr>
        <w:br w:type="page"/>
      </w:r>
    </w:p>
    <w:p w14:paraId="02E4061F" w14:textId="77777777" w:rsidR="00053240" w:rsidRPr="00D44AA7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</w:p>
    <w:p w14:paraId="00CB91E9" w14:textId="519C7D0E" w:rsidR="001773CB" w:rsidRPr="00D44AA7" w:rsidRDefault="00270749" w:rsidP="00053240">
      <w:pPr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7B7661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1.25pt">
            <v:imagedata r:id="rId16" o:title="Figura_01_20221110"/>
          </v:shape>
        </w:pict>
      </w:r>
    </w:p>
    <w:p w14:paraId="1CA93610" w14:textId="77777777" w:rsidR="00053240" w:rsidRPr="00D44AA7" w:rsidRDefault="00053240" w:rsidP="00053240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28BCC49" w14:textId="77777777" w:rsidR="00053240" w:rsidRDefault="00053240" w:rsidP="00053240">
      <w:pPr>
        <w:spacing w:after="0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2</w:t>
      </w:r>
    </w:p>
    <w:p w14:paraId="6828D4D3" w14:textId="70DB1C88" w:rsidR="001773CB" w:rsidRPr="00D44AA7" w:rsidRDefault="00270749" w:rsidP="00053240">
      <w:pPr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20E28D16">
          <v:shape id="_x0000_i1026" type="#_x0000_t75" style="width:453pt;height:251.25pt">
            <v:imagedata r:id="rId17" o:title="Figura_02_20221110"/>
          </v:shape>
        </w:pict>
      </w:r>
    </w:p>
    <w:p w14:paraId="0179875C" w14:textId="77777777" w:rsidR="00053240" w:rsidRPr="00D44AA7" w:rsidRDefault="00053240" w:rsidP="00053240">
      <w:pPr>
        <w:jc w:val="center"/>
        <w:sectPr w:rsidR="00053240" w:rsidRPr="00D44AA7" w:rsidSect="00AC5C5B">
          <w:pgSz w:w="11900" w:h="16840"/>
          <w:pgMar w:top="993" w:right="1134" w:bottom="993" w:left="1134" w:header="709" w:footer="709" w:gutter="0"/>
          <w:cols w:space="720"/>
        </w:sectPr>
      </w:pPr>
      <w:r w:rsidRPr="00D44AA7">
        <w:rPr>
          <w:b/>
          <w:bCs/>
          <w:color w:val="00457D"/>
          <w:sz w:val="24"/>
          <w:szCs w:val="24"/>
          <w:u w:color="00457D"/>
        </w:rPr>
        <w:br/>
      </w:r>
    </w:p>
    <w:p w14:paraId="2E4A8CB2" w14:textId="77777777" w:rsidR="00053240" w:rsidRDefault="00053240" w:rsidP="00053240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3</w:t>
      </w:r>
    </w:p>
    <w:p w14:paraId="7D044BF3" w14:textId="32CB34BE" w:rsidR="001773CB" w:rsidRPr="002D37CB" w:rsidRDefault="00270749" w:rsidP="00053240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1053CA16">
          <v:shape id="_x0000_i1027" type="#_x0000_t75" style="width:727.5pt;height:374.25pt">
            <v:imagedata r:id="rId18" o:title="Figura_03_20221110"/>
          </v:shape>
        </w:pict>
      </w:r>
    </w:p>
    <w:p w14:paraId="28E292F7" w14:textId="77777777" w:rsidR="00053240" w:rsidRPr="00D44AA7" w:rsidRDefault="00053240" w:rsidP="00053240">
      <w:pPr>
        <w:spacing w:after="0" w:line="360" w:lineRule="auto"/>
        <w:sectPr w:rsidR="00053240" w:rsidRPr="00D44AA7" w:rsidSect="005B4AE1">
          <w:pgSz w:w="16840" w:h="11900" w:orient="landscape"/>
          <w:pgMar w:top="992" w:right="1134" w:bottom="709" w:left="1134" w:header="709" w:footer="709" w:gutter="0"/>
          <w:cols w:space="720"/>
          <w:docGrid w:linePitch="299"/>
        </w:sectPr>
      </w:pPr>
    </w:p>
    <w:p w14:paraId="172CDC55" w14:textId="77777777" w:rsidR="00053240" w:rsidRPr="00D44AA7" w:rsidRDefault="00053240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4</w:t>
      </w:r>
    </w:p>
    <w:p w14:paraId="2F0D711C" w14:textId="77EC3B5E" w:rsidR="001773CB" w:rsidRPr="00D44AA7" w:rsidRDefault="00270749" w:rsidP="00053240">
      <w:pPr>
        <w:spacing w:after="0"/>
        <w:jc w:val="center"/>
        <w:rPr>
          <w:color w:val="auto"/>
        </w:rPr>
      </w:pPr>
      <w:r>
        <w:rPr>
          <w:noProof/>
          <w:color w:val="auto"/>
        </w:rPr>
        <w:pict w14:anchorId="709217D2">
          <v:shape id="_x0000_i1028" type="#_x0000_t75" style="width:480.75pt;height:234.75pt">
            <v:imagedata r:id="rId19" o:title="Figura_04_20221110"/>
          </v:shape>
        </w:pict>
      </w:r>
    </w:p>
    <w:p w14:paraId="31B91CE9" w14:textId="77777777" w:rsidR="00053240" w:rsidRPr="00D44AA7" w:rsidRDefault="00053240" w:rsidP="00053240">
      <w:pPr>
        <w:spacing w:after="0"/>
        <w:jc w:val="center"/>
        <w:rPr>
          <w:color w:val="auto"/>
        </w:rPr>
      </w:pPr>
    </w:p>
    <w:p w14:paraId="2596D30A" w14:textId="77777777" w:rsidR="00053240" w:rsidRDefault="00053240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62AE98C" w14:textId="77777777" w:rsidR="00053240" w:rsidRPr="00B42961" w:rsidRDefault="00053240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3C20">
        <w:rPr>
          <w:b/>
          <w:bCs/>
          <w:color w:val="00457D"/>
          <w:sz w:val="24"/>
          <w:szCs w:val="24"/>
          <w:u w:color="00457D"/>
        </w:rPr>
        <w:t>Figura 5</w:t>
      </w:r>
    </w:p>
    <w:p w14:paraId="574E5B34" w14:textId="415BC304" w:rsidR="001773CB" w:rsidRDefault="00270749" w:rsidP="00053240">
      <w:pPr>
        <w:spacing w:after="0" w:line="276" w:lineRule="auto"/>
        <w:jc w:val="center"/>
        <w:rPr>
          <w:noProof/>
          <w:color w:val="auto"/>
        </w:rPr>
      </w:pPr>
      <w:r>
        <w:rPr>
          <w:noProof/>
          <w:color w:val="auto"/>
        </w:rPr>
        <w:pict w14:anchorId="716BAB39">
          <v:shape id="_x0000_i1029" type="#_x0000_t75" style="width:480.75pt;height:261pt">
            <v:imagedata r:id="rId20" o:title="Figura_05_20221110"/>
          </v:shape>
        </w:pict>
      </w:r>
    </w:p>
    <w:p w14:paraId="740DAE55" w14:textId="77777777" w:rsidR="00053240" w:rsidRPr="00D44AA7" w:rsidRDefault="00053240" w:rsidP="00053240">
      <w:pPr>
        <w:spacing w:after="0" w:line="276" w:lineRule="auto"/>
        <w:jc w:val="center"/>
        <w:rPr>
          <w:color w:val="auto"/>
        </w:rPr>
      </w:pPr>
    </w:p>
    <w:p w14:paraId="4BE5E7EB" w14:textId="77777777" w:rsidR="00053240" w:rsidRPr="00D44AA7" w:rsidRDefault="00053240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4DFEF1B8" w14:textId="77777777" w:rsidR="00053240" w:rsidRPr="00D44AA7" w:rsidRDefault="00053240" w:rsidP="00053240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14:paraId="488C0765" w14:textId="77777777" w:rsidR="00053240" w:rsidRPr="002A22FA" w:rsidRDefault="00053240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2A22FA">
        <w:rPr>
          <w:b/>
          <w:bCs/>
          <w:color w:val="00457D"/>
          <w:sz w:val="24"/>
          <w:szCs w:val="24"/>
          <w:u w:color="00457D"/>
        </w:rPr>
        <w:lastRenderedPageBreak/>
        <w:t>Figura 6</w:t>
      </w:r>
    </w:p>
    <w:p w14:paraId="3F048894" w14:textId="248AA905" w:rsidR="001773CB" w:rsidRPr="00D44AA7" w:rsidRDefault="00CB51EC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660E5482">
          <v:shape id="_x0000_i1030" type="#_x0000_t75" style="width:480.75pt;height:253.5pt">
            <v:imagedata r:id="rId21" o:title="Figura_06_20221110"/>
          </v:shape>
        </w:pict>
      </w:r>
    </w:p>
    <w:p w14:paraId="2BF87C45" w14:textId="77777777" w:rsidR="00053240" w:rsidRPr="00D44AA7" w:rsidRDefault="00053240" w:rsidP="00053240">
      <w:pPr>
        <w:spacing w:after="0" w:line="240" w:lineRule="auto"/>
        <w:jc w:val="center"/>
        <w:rPr>
          <w:b/>
          <w:bCs/>
          <w:color w:val="00457D"/>
          <w:sz w:val="8"/>
          <w:szCs w:val="14"/>
          <w:u w:color="00457D"/>
        </w:rPr>
      </w:pPr>
    </w:p>
    <w:p w14:paraId="76C4291F" w14:textId="77777777" w:rsidR="00053240" w:rsidRPr="00D44AA7" w:rsidRDefault="00053240" w:rsidP="00053240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5E6A8418" w14:textId="77777777" w:rsidR="00053240" w:rsidRDefault="00053240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375A740C" w14:textId="77777777" w:rsidR="00053240" w:rsidRPr="00D44AA7" w:rsidRDefault="00053240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7</w:t>
      </w:r>
    </w:p>
    <w:p w14:paraId="2422B658" w14:textId="1582D8C1" w:rsidR="00046ABA" w:rsidRPr="00D44AA7" w:rsidRDefault="00CB51EC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2A3016A5">
          <v:shape id="_x0000_i1031" type="#_x0000_t75" style="width:481.5pt;height:240.75pt">
            <v:imagedata r:id="rId22" o:title="Figura_07_20221110"/>
          </v:shape>
        </w:pict>
      </w:r>
    </w:p>
    <w:p w14:paraId="62BA1A78" w14:textId="77777777" w:rsidR="00053240" w:rsidRPr="00D44AA7" w:rsidRDefault="00053240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189658E5" w14:textId="77777777" w:rsidR="00053240" w:rsidRPr="00D44AA7" w:rsidRDefault="00053240" w:rsidP="00053240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14:paraId="5ADD00DD" w14:textId="77777777" w:rsidR="007526C9" w:rsidRPr="006D24FA" w:rsidRDefault="007526C9" w:rsidP="007526C9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6D24FA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>
        <w:rPr>
          <w:b/>
          <w:bCs/>
          <w:color w:val="00457D"/>
          <w:sz w:val="24"/>
          <w:szCs w:val="24"/>
          <w:u w:color="00457D"/>
        </w:rPr>
        <w:t>8</w:t>
      </w:r>
    </w:p>
    <w:p w14:paraId="6B76F68C" w14:textId="1DD5594C" w:rsidR="007526C9" w:rsidRDefault="00CB51EC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04508315">
          <v:shape id="_x0000_i1032" type="#_x0000_t75" style="width:450.75pt;height:418.5pt">
            <v:imagedata r:id="rId23" o:title="Figura_08_20221110"/>
          </v:shape>
        </w:pict>
      </w:r>
    </w:p>
    <w:p w14:paraId="4DDD5803" w14:textId="77777777" w:rsidR="007526C9" w:rsidRDefault="007526C9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3F864E5F" w14:textId="77777777" w:rsidR="00053240" w:rsidRPr="006D24FA" w:rsidRDefault="00053240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6D24FA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7526C9">
        <w:rPr>
          <w:b/>
          <w:bCs/>
          <w:color w:val="00457D"/>
          <w:sz w:val="24"/>
          <w:szCs w:val="24"/>
          <w:u w:color="00457D"/>
        </w:rPr>
        <w:t>9</w:t>
      </w:r>
    </w:p>
    <w:p w14:paraId="1E795FD7" w14:textId="5CABD713" w:rsidR="00053240" w:rsidRPr="00D44AA7" w:rsidRDefault="00CB51EC" w:rsidP="00053240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083C7172">
          <v:shape id="_x0000_i1033" type="#_x0000_t75" style="width:461.25pt;height:223.5pt">
            <v:imagedata r:id="rId24" o:title="Figura_09_20221110"/>
          </v:shape>
        </w:pict>
      </w:r>
    </w:p>
    <w:p w14:paraId="315E7FF7" w14:textId="77777777" w:rsidR="00053240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115FFDCD" w14:textId="77777777" w:rsidR="00501BC2" w:rsidRDefault="00501BC2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2A98577F" w14:textId="77777777" w:rsidR="00053240" w:rsidRPr="00D33A53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7526C9">
        <w:rPr>
          <w:b/>
          <w:bCs/>
          <w:color w:val="00457D"/>
          <w:sz w:val="24"/>
          <w:szCs w:val="24"/>
          <w:u w:color="00457D"/>
        </w:rPr>
        <w:t>10</w:t>
      </w:r>
    </w:p>
    <w:p w14:paraId="31617B8E" w14:textId="1383988A" w:rsidR="00053240" w:rsidRDefault="00CB51EC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0F3797C">
          <v:shape id="_x0000_i1034" type="#_x0000_t75" style="width:473.25pt;height:300.75pt">
            <v:imagedata r:id="rId25" o:title="Figura_10_20221110"/>
          </v:shape>
        </w:pict>
      </w:r>
    </w:p>
    <w:p w14:paraId="03CDB6F4" w14:textId="77777777" w:rsidR="00053240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05F0633F" w14:textId="77777777" w:rsidR="00053240" w:rsidRDefault="00053240" w:rsidP="00053240">
      <w:pPr>
        <w:spacing w:after="0" w:line="240" w:lineRule="auto"/>
        <w:jc w:val="center"/>
        <w:rPr>
          <w:b/>
          <w:bCs/>
          <w:noProof/>
          <w:color w:val="FF0000"/>
          <w:sz w:val="12"/>
          <w:szCs w:val="12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t>Figura 1</w:t>
      </w:r>
      <w:r w:rsidR="007526C9">
        <w:rPr>
          <w:b/>
          <w:bCs/>
          <w:color w:val="00457D"/>
          <w:sz w:val="24"/>
          <w:szCs w:val="24"/>
          <w:u w:color="00457D"/>
        </w:rPr>
        <w:t>1</w:t>
      </w:r>
    </w:p>
    <w:p w14:paraId="721C08A1" w14:textId="287B0FF1" w:rsidR="007526C9" w:rsidRPr="00B42961" w:rsidRDefault="00CB51EC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4405E03D">
          <v:shape id="_x0000_i1035" type="#_x0000_t75" style="width:466.5pt;height:350.25pt">
            <v:imagedata r:id="rId26" o:title="Figura_11_20221110"/>
          </v:shape>
        </w:pict>
      </w:r>
    </w:p>
    <w:p w14:paraId="3883F0CA" w14:textId="77777777" w:rsidR="00053240" w:rsidRPr="00CF6F3B" w:rsidRDefault="00053240" w:rsidP="00053240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</w:p>
    <w:p w14:paraId="38B9493A" w14:textId="77777777" w:rsidR="00053240" w:rsidRDefault="00053240" w:rsidP="00053240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373B19BA" w14:textId="77777777" w:rsidR="00053240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7526C9">
        <w:rPr>
          <w:b/>
          <w:bCs/>
          <w:color w:val="00457D"/>
          <w:sz w:val="24"/>
          <w:szCs w:val="24"/>
          <w:u w:color="00457D"/>
        </w:rPr>
        <w:t>2</w:t>
      </w:r>
    </w:p>
    <w:p w14:paraId="7156BE5F" w14:textId="7BA5E772" w:rsidR="00053240" w:rsidRDefault="00CB51EC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63F021D1">
          <v:shape id="_x0000_i1036" type="#_x0000_t75" style="width:459.75pt;height:345pt">
            <v:imagedata r:id="rId27" o:title="Figura_12_20221110"/>
          </v:shape>
        </w:pict>
      </w:r>
    </w:p>
    <w:p w14:paraId="27D23F7E" w14:textId="77777777" w:rsidR="00053240" w:rsidRDefault="00053240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</w:p>
    <w:p w14:paraId="47DA9DB7" w14:textId="77777777" w:rsidR="00053240" w:rsidRDefault="00053240" w:rsidP="00053240">
      <w:pPr>
        <w:spacing w:after="0" w:line="240" w:lineRule="auto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t>Figura 1</w:t>
      </w:r>
      <w:r w:rsidR="007526C9">
        <w:rPr>
          <w:b/>
          <w:bCs/>
          <w:color w:val="00457D"/>
          <w:sz w:val="24"/>
          <w:szCs w:val="24"/>
          <w:u w:color="00457D"/>
        </w:rPr>
        <w:t>3</w:t>
      </w:r>
    </w:p>
    <w:p w14:paraId="28E14043" w14:textId="41A1AA73" w:rsidR="007526C9" w:rsidRPr="00AB145A" w:rsidRDefault="00CB51EC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52FF5233">
          <v:shape id="_x0000_i1037" type="#_x0000_t75" style="width:441pt;height:332.25pt">
            <v:imagedata r:id="rId28" o:title="Figura_13_20221110"/>
          </v:shape>
        </w:pict>
      </w:r>
    </w:p>
    <w:p w14:paraId="646B0874" w14:textId="77777777" w:rsidR="00053240" w:rsidRPr="00CF6F3B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6F3B" w:rsidSect="00DF4F27">
          <w:pgSz w:w="11900" w:h="16840"/>
          <w:pgMar w:top="1171" w:right="1134" w:bottom="1134" w:left="1134" w:header="709" w:footer="709" w:gutter="0"/>
          <w:cols w:space="720"/>
          <w:docGrid w:linePitch="299"/>
        </w:sectPr>
      </w:pPr>
    </w:p>
    <w:p w14:paraId="79303A3B" w14:textId="77777777" w:rsidR="00053240" w:rsidRPr="00AB145A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8717BA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7526C9">
        <w:rPr>
          <w:b/>
          <w:bCs/>
          <w:color w:val="00457D"/>
          <w:sz w:val="24"/>
          <w:szCs w:val="24"/>
          <w:u w:color="00457D"/>
        </w:rPr>
        <w:t>4</w:t>
      </w:r>
    </w:p>
    <w:p w14:paraId="4A36DF72" w14:textId="55F749AB" w:rsidR="00053240" w:rsidRPr="00CF6F3B" w:rsidRDefault="00CB51EC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74CD5164">
          <v:shape id="_x0000_i1038" type="#_x0000_t75" style="width:481.5pt;height:281.25pt">
            <v:imagedata r:id="rId29" o:title="Figura_14_20221110"/>
          </v:shape>
        </w:pict>
      </w:r>
    </w:p>
    <w:p w14:paraId="3626F58D" w14:textId="77777777" w:rsidR="00053240" w:rsidRPr="00CF6F3B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0FA6F399" w14:textId="77777777" w:rsidR="00053240" w:rsidRDefault="00053240" w:rsidP="0005324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12DBF21A" w14:textId="77777777" w:rsidR="00053240" w:rsidRPr="00CF6F3B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8717BA">
        <w:rPr>
          <w:b/>
          <w:bCs/>
          <w:color w:val="00457D"/>
          <w:sz w:val="24"/>
          <w:szCs w:val="24"/>
          <w:u w:color="00457D"/>
        </w:rPr>
        <w:t>Figura 1</w:t>
      </w:r>
      <w:r w:rsidR="007526C9">
        <w:rPr>
          <w:b/>
          <w:bCs/>
          <w:color w:val="00457D"/>
          <w:sz w:val="24"/>
          <w:szCs w:val="24"/>
          <w:u w:color="00457D"/>
        </w:rPr>
        <w:t>5</w:t>
      </w:r>
    </w:p>
    <w:p w14:paraId="1AE387CB" w14:textId="21292006" w:rsidR="00053240" w:rsidRDefault="00CB51EC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 w14:anchorId="33B62ACF">
          <v:shape id="_x0000_i1039" type="#_x0000_t75" style="width:456pt;height:343.5pt">
            <v:imagedata r:id="rId30" o:title="Figura_15_20221110"/>
          </v:shape>
        </w:pict>
      </w:r>
    </w:p>
    <w:p w14:paraId="25DD4101" w14:textId="77777777" w:rsidR="00053240" w:rsidRPr="00CF6F3B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6F3B">
        <w:rPr>
          <w:b/>
          <w:bCs/>
          <w:color w:val="FF0000"/>
          <w:sz w:val="24"/>
          <w:szCs w:val="24"/>
          <w:u w:color="00457D"/>
        </w:rPr>
        <w:br w:type="page"/>
      </w:r>
    </w:p>
    <w:p w14:paraId="34137711" w14:textId="77777777" w:rsidR="00053240" w:rsidRPr="00CF6F3B" w:rsidRDefault="00053240" w:rsidP="0005324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053240" w:rsidRPr="00CF6F3B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69CB8763" w14:textId="77777777" w:rsidR="00053240" w:rsidRDefault="00053240" w:rsidP="00254684">
      <w:pPr>
        <w:spacing w:after="60" w:line="276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2C1ADB">
        <w:rPr>
          <w:b/>
          <w:bCs/>
          <w:color w:val="00457D"/>
          <w:sz w:val="24"/>
          <w:szCs w:val="24"/>
          <w:u w:color="00457D"/>
        </w:rPr>
        <w:lastRenderedPageBreak/>
        <w:t xml:space="preserve">Tabella 1. Indicatori regionali: </w:t>
      </w:r>
      <w:r w:rsidRPr="00254684">
        <w:rPr>
          <w:b/>
          <w:bCs/>
          <w:color w:val="00457D"/>
          <w:sz w:val="24"/>
          <w:szCs w:val="24"/>
          <w:u w:color="00457D"/>
        </w:rPr>
        <w:t xml:space="preserve">settimana </w:t>
      </w:r>
      <w:r w:rsidR="00883080" w:rsidRPr="00254684">
        <w:rPr>
          <w:b/>
          <w:bCs/>
          <w:color w:val="00457D"/>
          <w:sz w:val="24"/>
          <w:szCs w:val="24"/>
          <w:u w:color="00457D"/>
        </w:rPr>
        <w:t>26</w:t>
      </w:r>
      <w:r w:rsidRPr="00254684">
        <w:rPr>
          <w:b/>
          <w:bCs/>
          <w:color w:val="00457D"/>
          <w:sz w:val="24"/>
          <w:szCs w:val="24"/>
          <w:u w:color="00457D"/>
        </w:rPr>
        <w:t xml:space="preserve"> ottobre</w:t>
      </w:r>
      <w:r w:rsidR="00883080" w:rsidRPr="00254684">
        <w:rPr>
          <w:b/>
          <w:bCs/>
          <w:color w:val="00457D"/>
          <w:sz w:val="24"/>
          <w:szCs w:val="24"/>
          <w:u w:color="00457D"/>
        </w:rPr>
        <w:t>-1 novembre</w:t>
      </w:r>
      <w:r w:rsidRPr="00254684">
        <w:rPr>
          <w:b/>
          <w:bCs/>
          <w:color w:val="00457D"/>
          <w:sz w:val="24"/>
          <w:szCs w:val="24"/>
          <w:u w:color="00457D"/>
        </w:rPr>
        <w:t xml:space="preserve"> 2022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660"/>
        <w:gridCol w:w="1458"/>
        <w:gridCol w:w="2410"/>
        <w:gridCol w:w="2410"/>
      </w:tblGrid>
      <w:tr w:rsidR="00254684" w:rsidRPr="00254684" w14:paraId="5CE72CAE" w14:textId="77777777" w:rsidTr="00254684">
        <w:trPr>
          <w:trHeight w:val="907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4015D45B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66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20807669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Casi attualmente positivi per 100.000 abitanti</w:t>
            </w:r>
          </w:p>
        </w:tc>
        <w:tc>
          <w:tcPr>
            <w:tcW w:w="145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7B4B5B54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254684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41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14FBA6C5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41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153993C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254684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254684" w:rsidRPr="00254684" w14:paraId="793D7B4F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BAA04ED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48BB949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1.183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F50006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-17,6%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B2C7C4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11,9%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4A8C294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2,2%</w:t>
            </w:r>
          </w:p>
        </w:tc>
      </w:tr>
      <w:tr w:rsidR="00254684" w:rsidRPr="00254684" w14:paraId="5CA915ED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6B073D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A58FFE7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883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35E4A56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-10,2%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356A42E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8,9%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DE53181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1,6%</w:t>
            </w:r>
          </w:p>
        </w:tc>
      </w:tr>
      <w:tr w:rsidR="00254684" w:rsidRPr="00254684" w14:paraId="36654D56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DBB0CD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BE9B6CD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448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016D6FB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-17,0%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741FC15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13,8%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9705B25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3,7%</w:t>
            </w:r>
          </w:p>
        </w:tc>
      </w:tr>
      <w:tr w:rsidR="00254684" w:rsidRPr="00254684" w14:paraId="0E948D29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754BB0B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89884B7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770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E2833A6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-15,3%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75258F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7,1%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D2C10FD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1,5%</w:t>
            </w:r>
          </w:p>
        </w:tc>
      </w:tr>
      <w:tr w:rsidR="00254684" w:rsidRPr="00254684" w14:paraId="474BB89B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3F809CD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Emilia Romagna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D9CE840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750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7868C95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-19,7%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FCC05D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13,1%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10927E1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3,7%</w:t>
            </w:r>
          </w:p>
        </w:tc>
      </w:tr>
      <w:tr w:rsidR="00254684" w:rsidRPr="00254684" w14:paraId="074F5468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EF5F24B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Friuli Venezia Giulia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C5CF4DE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713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52AEFB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-23,8%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B3C390C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17,0%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0653FD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1,7%</w:t>
            </w:r>
          </w:p>
        </w:tc>
      </w:tr>
      <w:tr w:rsidR="00254684" w:rsidRPr="00254684" w14:paraId="288BD8A9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965D4D4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2A28197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916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F5236A7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-16,9%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007725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9,0%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8BB67D9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2,6%</w:t>
            </w:r>
          </w:p>
        </w:tc>
      </w:tr>
      <w:tr w:rsidR="00254684" w:rsidRPr="00254684" w14:paraId="33E798EF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803834B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9D09B0D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481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2D93484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-25,6%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1C069EB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15,0%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DAC3E87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254684" w:rsidRPr="00254684" w14:paraId="7A97444C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6E2E523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597D4129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674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539ACBE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-26,2%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0A4CF9E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10,0%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DBD84A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1,5%</w:t>
            </w:r>
          </w:p>
        </w:tc>
      </w:tr>
      <w:tr w:rsidR="00254684" w:rsidRPr="00254684" w14:paraId="51730364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18241B69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C3C521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451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12689CE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-21,9%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E81A649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13,5%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ED5217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3,0%</w:t>
            </w:r>
          </w:p>
        </w:tc>
      </w:tr>
      <w:tr w:rsidR="00254684" w:rsidRPr="00254684" w14:paraId="76E2FCA1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455EFB7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FDA17E6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1.472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CD392EB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-30,8%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BB81C56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3,4%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123D65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5,1%</w:t>
            </w:r>
          </w:p>
        </w:tc>
      </w:tr>
      <w:tr w:rsidR="00254684" w:rsidRPr="00254684" w14:paraId="4AEE0FED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D02A6B1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9C1DE64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837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D7D998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-46,8%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6781C9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8,7%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8EDEEC7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2,5%</w:t>
            </w:r>
          </w:p>
        </w:tc>
      </w:tr>
      <w:tr w:rsidR="00254684" w:rsidRPr="00254684" w14:paraId="6610E1CB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9E5C374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E87F023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528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01454FD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-42,6%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70D6BDD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11,2%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8EFE42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1,0%</w:t>
            </w:r>
          </w:p>
        </w:tc>
      </w:tr>
      <w:tr w:rsidR="00254684" w:rsidRPr="00254684" w14:paraId="3DA73BA7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0B30DF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02BF281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376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103320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-38,2%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2A3175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10,4%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5C3A540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2,2%</w:t>
            </w:r>
          </w:p>
        </w:tc>
      </w:tr>
      <w:tr w:rsidR="00254684" w:rsidRPr="00254684" w14:paraId="4482A74C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3A8405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8BA5A05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340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01C660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-11,9%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C831040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6,2%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B13752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1,7%</w:t>
            </w:r>
          </w:p>
        </w:tc>
      </w:tr>
      <w:tr w:rsidR="00254684" w:rsidRPr="00254684" w14:paraId="6BD29328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358DCA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31709C0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540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5DE0556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-16,0%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17F6E03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5,8%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0AC44A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2,9%</w:t>
            </w:r>
          </w:p>
        </w:tc>
      </w:tr>
      <w:tr w:rsidR="00254684" w:rsidRPr="00254684" w14:paraId="60E334FC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864533B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BD9BA74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409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AD2BA93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-29,8%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14C695A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9,1%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B727445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2,0%</w:t>
            </w:r>
          </w:p>
        </w:tc>
      </w:tr>
      <w:tr w:rsidR="00254684" w:rsidRPr="00254684" w14:paraId="0303111B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774910D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DED499C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1.357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32DADC1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-12,9%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A6F94E9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8,6%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5B099A5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2,5%</w:t>
            </w:r>
          </w:p>
        </w:tc>
      </w:tr>
      <w:tr w:rsidR="00254684" w:rsidRPr="00254684" w14:paraId="1F13814C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7B3FB32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EB88475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595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7BE5E6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-21,8%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D39B1AC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33,5%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961FC2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7,1%</w:t>
            </w:r>
          </w:p>
        </w:tc>
      </w:tr>
      <w:tr w:rsidR="00254684" w:rsidRPr="00254684" w14:paraId="64E9C124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A53F043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1352843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716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F5657B9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-31,4%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E7035B0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20,9%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1C886D7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254684" w:rsidRPr="00254684" w14:paraId="26342372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6A37684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54684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8068A21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1.052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DEE0EA6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006100"/>
                <w:bdr w:val="none" w:sz="0" w:space="0" w:color="auto"/>
              </w:rPr>
              <w:t>-19,9%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0B4B71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11,3%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FE1D84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9C0006"/>
                <w:bdr w:val="none" w:sz="0" w:space="0" w:color="auto"/>
              </w:rPr>
              <w:t>3,4%</w:t>
            </w:r>
          </w:p>
        </w:tc>
      </w:tr>
      <w:tr w:rsidR="00254684" w:rsidRPr="00254684" w14:paraId="1E0A1339" w14:textId="77777777" w:rsidTr="00254684">
        <w:trPr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39409099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CF822A8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745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6568882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-23,5%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0BFB845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10,4%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60D0F1F" w14:textId="77777777" w:rsidR="00254684" w:rsidRPr="00254684" w:rsidRDefault="00254684" w:rsidP="00254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254684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2,4%</w:t>
            </w:r>
          </w:p>
        </w:tc>
      </w:tr>
      <w:tr w:rsidR="00254684" w:rsidRPr="00254684" w14:paraId="4C59A8F6" w14:textId="77777777" w:rsidTr="00254684">
        <w:trPr>
          <w:trHeight w:val="1710"/>
        </w:trPr>
        <w:tc>
          <w:tcPr>
            <w:tcW w:w="9923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039027F6" w14:textId="77777777" w:rsidR="00254684" w:rsidRPr="00254684" w:rsidRDefault="00254684" w:rsidP="00501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54684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254684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254684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Nelle ultime 2 colonne i colori rosso e verde indicano rispettivamente un valore superiore o inferiore rispetto alla media nazionale (</w:t>
            </w:r>
            <w:r w:rsidR="00501BC2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dati </w:t>
            </w:r>
            <w:r w:rsidR="00501BC2" w:rsidRPr="00501BC2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Cabina di Regia ai sen</w:t>
            </w:r>
            <w:r w:rsidR="00501BC2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si del DM Salute 30 aprile 2020. Ministero della Salute, ISS</w:t>
            </w:r>
            <w:r w:rsidRPr="00254684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 xml:space="preserve">). </w:t>
            </w:r>
          </w:p>
        </w:tc>
      </w:tr>
    </w:tbl>
    <w:p w14:paraId="26B3BFBC" w14:textId="77777777" w:rsidR="00053240" w:rsidRDefault="00053240" w:rsidP="00053240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58CF4505" w14:textId="77777777" w:rsidR="00053240" w:rsidRPr="00D44AA7" w:rsidRDefault="00053240" w:rsidP="00053240">
      <w:pPr>
        <w:spacing w:after="8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Tabella 2. Nuovi casi nell’ultima settimana suddivisi per provincia</w:t>
      </w:r>
    </w:p>
    <w:tbl>
      <w:tblPr>
        <w:tblStyle w:val="TableNormal1"/>
        <w:tblW w:w="87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838"/>
        <w:gridCol w:w="1705"/>
      </w:tblGrid>
      <w:tr w:rsidR="00053240" w:rsidRPr="00640F0C" w14:paraId="6ED60580" w14:textId="77777777" w:rsidTr="00883080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7B3B9" w14:textId="77777777" w:rsidR="00053240" w:rsidRPr="00640F0C" w:rsidRDefault="00053240" w:rsidP="008139B1">
            <w:pPr>
              <w:spacing w:after="0" w:line="240" w:lineRule="auto"/>
              <w:rPr>
                <w:rFonts w:cs="Calibri"/>
                <w:szCs w:val="21"/>
              </w:rPr>
            </w:pP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6910E" w14:textId="77777777" w:rsidR="00053240" w:rsidRPr="00640F0C" w:rsidRDefault="00053240" w:rsidP="008139B1">
            <w:pPr>
              <w:spacing w:after="0" w:line="240" w:lineRule="auto"/>
              <w:rPr>
                <w:rFonts w:cs="Calibri"/>
                <w:szCs w:val="21"/>
              </w:rPr>
            </w:pP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>Provincia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79F8D" w14:textId="77777777" w:rsidR="00053240" w:rsidRPr="00640F0C" w:rsidRDefault="00053240" w:rsidP="00883080">
            <w:pPr>
              <w:spacing w:after="0" w:line="240" w:lineRule="auto"/>
              <w:jc w:val="center"/>
              <w:rPr>
                <w:rFonts w:cs="Calibri"/>
                <w:szCs w:val="21"/>
              </w:rPr>
            </w:pP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 xml:space="preserve">Nuovi casi per </w:t>
            </w: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br/>
              <w:t xml:space="preserve">100.000 abitanti </w:t>
            </w: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br/>
            </w:r>
            <w:r w:rsidR="00883080">
              <w:rPr>
                <w:rFonts w:cs="Calibri"/>
                <w:b/>
                <w:bCs/>
                <w:color w:val="FFFFFF"/>
                <w:szCs w:val="21"/>
                <w:u w:color="FFFFFF"/>
              </w:rPr>
              <w:t>26</w:t>
            </w: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 xml:space="preserve"> ottobre</w:t>
            </w:r>
            <w:r w:rsidR="00883080">
              <w:rPr>
                <w:rFonts w:cs="Calibri"/>
                <w:b/>
                <w:bCs/>
                <w:color w:val="FFFFFF"/>
                <w:szCs w:val="21"/>
                <w:u w:color="FFFFFF"/>
              </w:rPr>
              <w:t>-1 novembre</w:t>
            </w: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 xml:space="preserve"> 2022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1800B96B" w14:textId="77777777" w:rsidR="00053240" w:rsidRPr="00640F0C" w:rsidRDefault="00053240" w:rsidP="008139B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1"/>
                <w:u w:color="FFFFFF"/>
              </w:rPr>
            </w:pP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>Variazione % nuovi casi</w:t>
            </w:r>
          </w:p>
        </w:tc>
      </w:tr>
      <w:tr w:rsidR="00883080" w:rsidRPr="00640F0C" w14:paraId="50EE1E2D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9DF23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62056A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Pescara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76A0C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404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01DFA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-15,5%</w:t>
            </w:r>
          </w:p>
        </w:tc>
      </w:tr>
      <w:tr w:rsidR="00883080" w:rsidRPr="00640F0C" w14:paraId="11CDB041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087EA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EF085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L'Aquila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1F8BE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404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04713C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-12,6%</w:t>
            </w:r>
          </w:p>
        </w:tc>
      </w:tr>
      <w:tr w:rsidR="00883080" w:rsidRPr="00640F0C" w14:paraId="5733C2DA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EF58A0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27AFA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Teramo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8A054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351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5F9B22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-9,6%</w:t>
            </w:r>
          </w:p>
        </w:tc>
      </w:tr>
      <w:tr w:rsidR="00883080" w:rsidRPr="00640F0C" w14:paraId="758ACFFB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C712B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26CBE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Chieti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6A3943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347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82383F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-27,6%</w:t>
            </w:r>
          </w:p>
        </w:tc>
      </w:tr>
      <w:tr w:rsidR="00883080" w:rsidRPr="00640F0C" w14:paraId="37509282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59B8E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18804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Potenza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FD899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179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99369D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-7,1%</w:t>
            </w:r>
          </w:p>
        </w:tc>
      </w:tr>
      <w:tr w:rsidR="00883080" w:rsidRPr="00640F0C" w14:paraId="5D97EACA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11558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90BD14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Matera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68361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127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9F0952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-17,6%</w:t>
            </w:r>
          </w:p>
        </w:tc>
      </w:tr>
      <w:tr w:rsidR="00883080" w:rsidRPr="00640F0C" w14:paraId="35E2AA82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17227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93372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Catanzaro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B8BFC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255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6A1BD2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-12,4%</w:t>
            </w:r>
          </w:p>
        </w:tc>
      </w:tr>
      <w:tr w:rsidR="00883080" w:rsidRPr="00640F0C" w14:paraId="67EEF997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3B4042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115970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Cosenza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A0F9C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248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A9B03D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-23,0%</w:t>
            </w:r>
          </w:p>
        </w:tc>
      </w:tr>
      <w:tr w:rsidR="00883080" w:rsidRPr="00640F0C" w14:paraId="37FE1FA1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E9FAC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46BE3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Vibo Valentia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FB617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184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6D6581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-10,8%</w:t>
            </w:r>
          </w:p>
        </w:tc>
      </w:tr>
      <w:tr w:rsidR="00883080" w:rsidRPr="00640F0C" w14:paraId="76E244F3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1042F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E5277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Reggio di Calabria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28BDA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182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FF8D73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-11,3%</w:t>
            </w:r>
          </w:p>
        </w:tc>
      </w:tr>
      <w:tr w:rsidR="00883080" w:rsidRPr="00640F0C" w14:paraId="33C35E8D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7C05C0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F5911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Crotone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CCAA6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143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B1F2F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-12,7%</w:t>
            </w:r>
          </w:p>
        </w:tc>
      </w:tr>
      <w:tr w:rsidR="00883080" w:rsidRPr="00640F0C" w14:paraId="5D83471A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0F249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FB4E69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Avellino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FBC34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263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801A7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-13,8%</w:t>
            </w:r>
          </w:p>
        </w:tc>
      </w:tr>
      <w:tr w:rsidR="00883080" w:rsidRPr="00640F0C" w14:paraId="532D83D6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4B996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498A11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Benevento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42931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250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C123FF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-16,6%</w:t>
            </w:r>
          </w:p>
        </w:tc>
      </w:tr>
      <w:tr w:rsidR="00883080" w:rsidRPr="00640F0C" w14:paraId="2450D0A3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2778B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4DF0D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Salerno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1E7B4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236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26CD5C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-25,0%</w:t>
            </w:r>
          </w:p>
        </w:tc>
      </w:tr>
      <w:tr w:rsidR="00883080" w:rsidRPr="00640F0C" w14:paraId="2B474EED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60C54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7DDB69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Caserta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572D1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200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0691B4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-15,9%</w:t>
            </w:r>
          </w:p>
        </w:tc>
      </w:tr>
      <w:tr w:rsidR="00883080" w:rsidRPr="00640F0C" w14:paraId="2722AD84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ABAA6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B5C04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Napoli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9E7C3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191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70F75A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-9,6%</w:t>
            </w:r>
          </w:p>
        </w:tc>
      </w:tr>
      <w:tr w:rsidR="00883080" w:rsidRPr="00640F0C" w14:paraId="6F094350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676D01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CDA73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Ferrara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94B98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446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29E53F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-19,1%</w:t>
            </w:r>
          </w:p>
        </w:tc>
      </w:tr>
      <w:tr w:rsidR="00883080" w:rsidRPr="00640F0C" w14:paraId="4BAB342B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68408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81886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Reggio nell'Emilia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5A210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433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FB19B9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-17,4%</w:t>
            </w:r>
          </w:p>
        </w:tc>
      </w:tr>
      <w:tr w:rsidR="00883080" w:rsidRPr="00640F0C" w14:paraId="02A74126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FD2B91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7D1A4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Parma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656C3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392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7F5255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-16,9%</w:t>
            </w:r>
          </w:p>
        </w:tc>
      </w:tr>
      <w:tr w:rsidR="00883080" w:rsidRPr="00640F0C" w14:paraId="732C747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7AF28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B7B0F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Forlì-Cesena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0DB95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376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B8D34B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-16,0%</w:t>
            </w:r>
          </w:p>
        </w:tc>
      </w:tr>
      <w:tr w:rsidR="00883080" w:rsidRPr="00640F0C" w14:paraId="07734E3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7E1D8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3EB0F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Piacenza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1791B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359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33D730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-29,1%</w:t>
            </w:r>
          </w:p>
        </w:tc>
      </w:tr>
      <w:tr w:rsidR="00883080" w:rsidRPr="00640F0C" w14:paraId="5BEC41C2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8D6B2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548DB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Bologna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CD512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343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AAF8E2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-16,0%</w:t>
            </w:r>
          </w:p>
        </w:tc>
      </w:tr>
      <w:tr w:rsidR="00883080" w:rsidRPr="00640F0C" w14:paraId="562A5A50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A38B0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19D71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Ravenna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5EADF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343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74466D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-33,5%</w:t>
            </w:r>
          </w:p>
        </w:tc>
      </w:tr>
      <w:tr w:rsidR="00883080" w:rsidRPr="00640F0C" w14:paraId="097AD82A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D793D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4F84B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Modena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A2F94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302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E421DB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-18,7%</w:t>
            </w:r>
          </w:p>
        </w:tc>
      </w:tr>
      <w:tr w:rsidR="00883080" w:rsidRPr="00640F0C" w14:paraId="6F2CF2E0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C37F3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F3AD5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Rimini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4E502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278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864D43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-28,6%</w:t>
            </w:r>
          </w:p>
        </w:tc>
      </w:tr>
      <w:tr w:rsidR="00883080" w:rsidRPr="00640F0C" w14:paraId="1E7A4024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6E797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37322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Pordenone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8B230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480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7CAE9D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-10,6%</w:t>
            </w:r>
          </w:p>
        </w:tc>
      </w:tr>
      <w:tr w:rsidR="00883080" w:rsidRPr="00640F0C" w14:paraId="144894BD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FB66CA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A338B0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Gorizia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C2819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456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9F26CE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-17,2%</w:t>
            </w:r>
          </w:p>
        </w:tc>
      </w:tr>
      <w:tr w:rsidR="00883080" w:rsidRPr="00640F0C" w14:paraId="6328AFF4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7EE0B1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7EAB7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Trieste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849A7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394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125D35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-22,3%</w:t>
            </w:r>
          </w:p>
        </w:tc>
      </w:tr>
      <w:tr w:rsidR="00883080" w:rsidRPr="00640F0C" w14:paraId="0B26BD5E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F3023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A8413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Udine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DA709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382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31D03C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-33,0%</w:t>
            </w:r>
          </w:p>
        </w:tc>
      </w:tr>
      <w:tr w:rsidR="00883080" w:rsidRPr="00640F0C" w14:paraId="1EA5B034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3B6AF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8419F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Rieti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E597F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370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B029F4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-15,0%</w:t>
            </w:r>
          </w:p>
        </w:tc>
      </w:tr>
      <w:tr w:rsidR="00883080" w:rsidRPr="00640F0C" w14:paraId="42B6EAAC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6577F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B7CD4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Frosinone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4A8CB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334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503ED6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-10,0%</w:t>
            </w:r>
          </w:p>
        </w:tc>
      </w:tr>
      <w:tr w:rsidR="00883080" w:rsidRPr="00640F0C" w14:paraId="68E3AF51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559E0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9D433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Latina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27B35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330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718438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-9,8%</w:t>
            </w:r>
          </w:p>
        </w:tc>
      </w:tr>
      <w:tr w:rsidR="00883080" w:rsidRPr="00640F0C" w14:paraId="3BB27D53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C99A6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3460E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Roma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76DD8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323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D1C8F4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-17,9%</w:t>
            </w:r>
          </w:p>
        </w:tc>
      </w:tr>
      <w:tr w:rsidR="00883080" w:rsidRPr="00640F0C" w14:paraId="47E9697A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7EB8C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82E1F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Viterbo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2475E3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262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ECB4A2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-27,2%</w:t>
            </w:r>
          </w:p>
        </w:tc>
      </w:tr>
      <w:tr w:rsidR="00883080" w:rsidRPr="00640F0C" w14:paraId="11C90B4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08051F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D4AEF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La Spezia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48415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351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DFEC49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-18,1%</w:t>
            </w:r>
          </w:p>
        </w:tc>
      </w:tr>
      <w:tr w:rsidR="00883080" w:rsidRPr="00640F0C" w14:paraId="31277028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C3947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24617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Genova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BCEFB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316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344601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-21,3%</w:t>
            </w:r>
          </w:p>
        </w:tc>
      </w:tr>
      <w:tr w:rsidR="00883080" w:rsidRPr="00640F0C" w14:paraId="6162834E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067689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FE54F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Imperia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0E507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260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328D4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-33,6%</w:t>
            </w:r>
          </w:p>
        </w:tc>
      </w:tr>
      <w:tr w:rsidR="00883080" w:rsidRPr="00640F0C" w14:paraId="0E58FA13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542F1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A034F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Savona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1CC1D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232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2464F3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-39,2%</w:t>
            </w:r>
          </w:p>
        </w:tc>
      </w:tr>
      <w:tr w:rsidR="00883080" w:rsidRPr="00640F0C" w14:paraId="61E7A771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7E545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76523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Como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3DD6A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396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C61E053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-28,2%</w:t>
            </w:r>
          </w:p>
        </w:tc>
      </w:tr>
      <w:tr w:rsidR="00883080" w:rsidRPr="00640F0C" w14:paraId="0CB9FA56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0F8B5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617B0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Varese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B956A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391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13EAE8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-26,0%</w:t>
            </w:r>
          </w:p>
        </w:tc>
      </w:tr>
      <w:tr w:rsidR="00883080" w:rsidRPr="00640F0C" w14:paraId="37024BC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C57CC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lastRenderedPageBreak/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5189D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Mantova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22780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379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063FD8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-23,6%</w:t>
            </w:r>
          </w:p>
        </w:tc>
      </w:tr>
      <w:tr w:rsidR="00883080" w:rsidRPr="00640F0C" w14:paraId="3FF82FD2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23124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80EB9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Cremona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DB93F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374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0C851D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-22,8%</w:t>
            </w:r>
          </w:p>
        </w:tc>
      </w:tr>
      <w:tr w:rsidR="00883080" w:rsidRPr="00640F0C" w14:paraId="284B35D8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4F642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C2165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Pavia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DFF03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368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50EEA9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-27,5%</w:t>
            </w:r>
          </w:p>
        </w:tc>
      </w:tr>
      <w:tr w:rsidR="00883080" w:rsidRPr="00640F0C" w14:paraId="23EFEB9C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5D6AC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D5F67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Lecco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5CE01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356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70E8AC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-28,0%</w:t>
            </w:r>
          </w:p>
        </w:tc>
      </w:tr>
      <w:tr w:rsidR="00883080" w:rsidRPr="00640F0C" w14:paraId="3FDD8405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2E934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D57300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Monza e della Brianza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A976C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348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63F925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-23,0%</w:t>
            </w:r>
          </w:p>
        </w:tc>
      </w:tr>
      <w:tr w:rsidR="00883080" w:rsidRPr="00640F0C" w14:paraId="63A2C62E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1E960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6F2939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Lodi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8D218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340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84C569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-27,4%</w:t>
            </w:r>
          </w:p>
        </w:tc>
      </w:tr>
      <w:tr w:rsidR="00883080" w:rsidRPr="00640F0C" w14:paraId="2BCD35D9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99BF0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436EF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Sondrio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044BA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318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8D7045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-40,7%</w:t>
            </w:r>
          </w:p>
        </w:tc>
      </w:tr>
      <w:tr w:rsidR="00883080" w:rsidRPr="00640F0C" w14:paraId="452E8026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9795E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5FABF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Milano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552123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313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DE4FF9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-23,7%</w:t>
            </w:r>
          </w:p>
        </w:tc>
      </w:tr>
      <w:tr w:rsidR="00883080" w:rsidRPr="00640F0C" w14:paraId="44BB95E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F71D6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2FCBF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Brescia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B08A8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297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DBE9DE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-30,9%</w:t>
            </w:r>
          </w:p>
        </w:tc>
      </w:tr>
      <w:tr w:rsidR="00883080" w:rsidRPr="00640F0C" w14:paraId="67036330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73B98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A169BA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Bergamo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61DDD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247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D8734D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-27,8%</w:t>
            </w:r>
          </w:p>
        </w:tc>
      </w:tr>
      <w:tr w:rsidR="00883080" w:rsidRPr="00640F0C" w14:paraId="5A9C6BA2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011A0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50667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Ascoli Piceno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77E0F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380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1FE0F4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-17,3%</w:t>
            </w:r>
          </w:p>
        </w:tc>
      </w:tr>
      <w:tr w:rsidR="00883080" w:rsidRPr="00640F0C" w14:paraId="6F89F729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DA199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141E5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Ancona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DC550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360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0B5F52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-21,2%</w:t>
            </w:r>
          </w:p>
        </w:tc>
      </w:tr>
      <w:tr w:rsidR="00883080" w:rsidRPr="00640F0C" w14:paraId="2B75FF5B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DBC99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D297A0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Fermo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0FBE2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334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4FF914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-14,0%</w:t>
            </w:r>
          </w:p>
        </w:tc>
      </w:tr>
      <w:tr w:rsidR="00883080" w:rsidRPr="00640F0C" w14:paraId="264F605E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D20B5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0AEFA9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Macerata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99106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257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617B38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-25,2%</w:t>
            </w:r>
          </w:p>
        </w:tc>
      </w:tr>
      <w:tr w:rsidR="00883080" w:rsidRPr="00640F0C" w14:paraId="3FC99DB8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30C89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8B5B6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Pesaro e Urbino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3DB05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249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2A2EF7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-28,5%</w:t>
            </w:r>
          </w:p>
        </w:tc>
      </w:tr>
      <w:tr w:rsidR="00883080" w:rsidRPr="00640F0C" w14:paraId="30953665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B46E7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FFAFA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Campobasso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02E91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194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EB428F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-29,1%</w:t>
            </w:r>
          </w:p>
        </w:tc>
      </w:tr>
      <w:tr w:rsidR="00883080" w:rsidRPr="00640F0C" w14:paraId="1DDB996C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549B4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D5E3C9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Isernia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906C9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138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2A1A24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-37,1%</w:t>
            </w:r>
          </w:p>
        </w:tc>
      </w:tr>
      <w:tr w:rsidR="00883080" w:rsidRPr="00640F0C" w14:paraId="16A24595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9981F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1C2111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Bolzano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2D93C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337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18BAE1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-42,8%</w:t>
            </w:r>
          </w:p>
        </w:tc>
      </w:tr>
      <w:tr w:rsidR="00883080" w:rsidRPr="00640F0C" w14:paraId="1B7F74B9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54129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5ACE5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Trento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AA365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333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0F2BE6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-38,2%</w:t>
            </w:r>
          </w:p>
        </w:tc>
      </w:tr>
      <w:tr w:rsidR="00883080" w:rsidRPr="00640F0C" w14:paraId="59037A53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ADA7F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12530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Alessandria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07FD4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432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78C3613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-21,4%</w:t>
            </w:r>
          </w:p>
        </w:tc>
      </w:tr>
      <w:tr w:rsidR="00883080" w:rsidRPr="00640F0C" w14:paraId="335ECC80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78B311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7A891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Biella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EAF3C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306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D96F5C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-53,6%</w:t>
            </w:r>
          </w:p>
        </w:tc>
      </w:tr>
      <w:tr w:rsidR="00883080" w:rsidRPr="00640F0C" w14:paraId="219CABF9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D806B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87825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Asti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A0ED5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281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5BF293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-40,7%</w:t>
            </w:r>
          </w:p>
        </w:tc>
      </w:tr>
      <w:tr w:rsidR="00883080" w:rsidRPr="00640F0C" w14:paraId="47143B5E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7E418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A3C7B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Torino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3230E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268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E8B74F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-51,0%</w:t>
            </w:r>
          </w:p>
        </w:tc>
      </w:tr>
      <w:tr w:rsidR="00883080" w:rsidRPr="00640F0C" w14:paraId="0E73D87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36722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C6C07A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Vercelli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D2CEA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257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A4FB23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-42,9%</w:t>
            </w:r>
          </w:p>
        </w:tc>
      </w:tr>
      <w:tr w:rsidR="00883080" w:rsidRPr="00640F0C" w14:paraId="609BC1C3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4539A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C2B53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Verbano-Cusio-Ossola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AF7D4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252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A66461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-50,8%</w:t>
            </w:r>
          </w:p>
        </w:tc>
      </w:tr>
      <w:tr w:rsidR="00883080" w:rsidRPr="00640F0C" w14:paraId="7A9872D7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6534C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A66F1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Novara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00930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246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41667C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-46,8%</w:t>
            </w:r>
          </w:p>
        </w:tc>
      </w:tr>
      <w:tr w:rsidR="00883080" w:rsidRPr="00640F0C" w14:paraId="17CADD73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7AA6B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5B1AE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Cuneo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23773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200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AA06EE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-52,5%</w:t>
            </w:r>
          </w:p>
        </w:tc>
      </w:tr>
      <w:tr w:rsidR="00883080" w:rsidRPr="00640F0C" w14:paraId="73CBABE0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9E363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934AC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Lecce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A889D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313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1BDA76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-13,4%</w:t>
            </w:r>
          </w:p>
        </w:tc>
      </w:tr>
      <w:tr w:rsidR="00883080" w:rsidRPr="00640F0C" w14:paraId="6D89167B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8D969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D67C50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Brindisi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6BED0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270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F70982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-4,9%</w:t>
            </w:r>
          </w:p>
        </w:tc>
      </w:tr>
      <w:tr w:rsidR="00883080" w:rsidRPr="00640F0C" w14:paraId="40DF942D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306D7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E5112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Bari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D0D11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193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2F29F8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BF8F00" w:themeColor="accent4" w:themeShade="BF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-13,2%</w:t>
            </w:r>
          </w:p>
        </w:tc>
      </w:tr>
      <w:tr w:rsidR="00883080" w:rsidRPr="00640F0C" w14:paraId="63A6911D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4465C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015E8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Taranto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95509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172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D40A27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-13,2%</w:t>
            </w:r>
          </w:p>
        </w:tc>
      </w:tr>
      <w:tr w:rsidR="00883080" w:rsidRPr="00640F0C" w14:paraId="10D2EC57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1A018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B9FC9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Foggia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1B6D6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117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14074F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-14,0%</w:t>
            </w:r>
          </w:p>
        </w:tc>
      </w:tr>
      <w:tr w:rsidR="00883080" w:rsidRPr="00640F0C" w14:paraId="60059F56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C16E3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AE1F0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Barletta-Andria-Trani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EA253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111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8A2939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-9,4%</w:t>
            </w:r>
          </w:p>
        </w:tc>
      </w:tr>
      <w:tr w:rsidR="00883080" w:rsidRPr="00640F0C" w14:paraId="3BA5FAF1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BE940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4114E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Cagliari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CBA54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327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2907A0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-7,1%</w:t>
            </w:r>
          </w:p>
        </w:tc>
      </w:tr>
      <w:tr w:rsidR="00883080" w:rsidRPr="00640F0C" w14:paraId="74B3D072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98C35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89FD7A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Sassari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CDFF3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271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5C5EA2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-11,1%</w:t>
            </w:r>
          </w:p>
        </w:tc>
      </w:tr>
      <w:tr w:rsidR="00883080" w:rsidRPr="00640F0C" w14:paraId="1658A834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50AB2A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C3269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Oristano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FABB7B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182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9B3809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-31,9%</w:t>
            </w:r>
          </w:p>
        </w:tc>
      </w:tr>
      <w:tr w:rsidR="00883080" w:rsidRPr="00640F0C" w14:paraId="1D0503CE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397EB9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BF630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Sud Sardegna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4641D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157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95856C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-22,9%</w:t>
            </w:r>
          </w:p>
        </w:tc>
      </w:tr>
      <w:tr w:rsidR="00883080" w:rsidRPr="00640F0C" w14:paraId="7CF34827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6FB99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2EF7A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Nuoro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E04EF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157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142062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-34,6%</w:t>
            </w:r>
          </w:p>
        </w:tc>
      </w:tr>
      <w:tr w:rsidR="00883080" w:rsidRPr="00640F0C" w14:paraId="455216C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240AA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B8DC7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Siracusa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EEA57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190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94F613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-19,6%</w:t>
            </w:r>
          </w:p>
        </w:tc>
      </w:tr>
      <w:tr w:rsidR="00883080" w:rsidRPr="00640F0C" w14:paraId="4B700BD8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41DF2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1A16A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Trapani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E510D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168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CC2E24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-38,9%</w:t>
            </w:r>
          </w:p>
        </w:tc>
      </w:tr>
      <w:tr w:rsidR="00883080" w:rsidRPr="00640F0C" w14:paraId="7CB1A9DE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834AF1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DEC17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Messina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B1AC4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162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A2A1D4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-37,0%</w:t>
            </w:r>
          </w:p>
        </w:tc>
      </w:tr>
      <w:tr w:rsidR="00883080" w:rsidRPr="00640F0C" w14:paraId="109F8E6D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CEA6A1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DB476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Palermo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5011B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153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5C5642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-20,2%</w:t>
            </w:r>
          </w:p>
        </w:tc>
      </w:tr>
      <w:tr w:rsidR="00883080" w:rsidRPr="00640F0C" w14:paraId="7FBDDE2C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279AC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lastRenderedPageBreak/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6A94F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Catania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E0E60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141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3E5536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-29,7%</w:t>
            </w:r>
          </w:p>
        </w:tc>
      </w:tr>
      <w:tr w:rsidR="00883080" w:rsidRPr="00640F0C" w14:paraId="3257120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0147E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31385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Ragusa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94C7638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109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56016C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-33,1%</w:t>
            </w:r>
          </w:p>
        </w:tc>
      </w:tr>
      <w:tr w:rsidR="00883080" w:rsidRPr="00640F0C" w14:paraId="23B0EDB7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5C98A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58F1E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Enna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45A78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108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637BF4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-32,3%</w:t>
            </w:r>
          </w:p>
        </w:tc>
      </w:tr>
      <w:tr w:rsidR="00883080" w:rsidRPr="00640F0C" w14:paraId="7B10945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9C5BC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7A8489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Caltanissetta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3B7D6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90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A466EA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-41,7%</w:t>
            </w:r>
          </w:p>
        </w:tc>
      </w:tr>
      <w:tr w:rsidR="00883080" w:rsidRPr="00640F0C" w14:paraId="69106FD9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19034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9EF9D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Agrigento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E327B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81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7747F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-35,7%</w:t>
            </w:r>
          </w:p>
        </w:tc>
      </w:tr>
      <w:tr w:rsidR="00883080" w:rsidRPr="00640F0C" w14:paraId="6C6B6424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9FBC9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13924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Lucca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DF6CF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405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C63D19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-13,8%</w:t>
            </w:r>
          </w:p>
        </w:tc>
      </w:tr>
      <w:tr w:rsidR="00883080" w:rsidRPr="00640F0C" w14:paraId="5400632E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EDA951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858C8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Massa Carrara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6CD38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385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DFB127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-10,5%</w:t>
            </w:r>
          </w:p>
        </w:tc>
      </w:tr>
      <w:tr w:rsidR="00883080" w:rsidRPr="00640F0C" w14:paraId="1ED89B55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E9B09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28FC6D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Grosseto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468E4C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370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71E420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-18,8%</w:t>
            </w:r>
          </w:p>
        </w:tc>
      </w:tr>
      <w:tr w:rsidR="00883080" w:rsidRPr="00640F0C" w14:paraId="7540C6C3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CBBE9A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5C1907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Pisa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38D76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343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ACEE5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-24,4%</w:t>
            </w:r>
          </w:p>
        </w:tc>
      </w:tr>
      <w:tr w:rsidR="00883080" w:rsidRPr="00640F0C" w14:paraId="0B361C3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161F6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BF6FE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Livorno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36028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329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A0C0C07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-13,4%</w:t>
            </w:r>
          </w:p>
        </w:tc>
      </w:tr>
      <w:tr w:rsidR="00883080" w:rsidRPr="00640F0C" w14:paraId="24A05A5B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E65D1A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8E7B7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Siena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23A04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314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BC9B7E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-18,6%</w:t>
            </w:r>
          </w:p>
        </w:tc>
      </w:tr>
      <w:tr w:rsidR="00883080" w:rsidRPr="00640F0C" w14:paraId="7DFF92E7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B7153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B50B9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Pistoia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8A4CF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290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8B7608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-16,2%</w:t>
            </w:r>
          </w:p>
        </w:tc>
      </w:tr>
      <w:tr w:rsidR="00883080" w:rsidRPr="00640F0C" w14:paraId="0798241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B3A30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8207C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Arezzo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722F86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290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895D84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-14,4%</w:t>
            </w:r>
          </w:p>
        </w:tc>
      </w:tr>
      <w:tr w:rsidR="00883080" w:rsidRPr="00640F0C" w14:paraId="67C63D36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AE6F6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F5DBA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Prato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F95A7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290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4B110A5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9C0006"/>
                <w:sz w:val="21"/>
                <w:szCs w:val="21"/>
              </w:rPr>
              <w:t>2,1%</w:t>
            </w:r>
          </w:p>
        </w:tc>
      </w:tr>
      <w:tr w:rsidR="00883080" w:rsidRPr="00640F0C" w14:paraId="3E8D45BC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2734C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1FBEC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Firenze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E6E35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285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AAD1F0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-11,3%</w:t>
            </w:r>
          </w:p>
        </w:tc>
      </w:tr>
      <w:tr w:rsidR="00883080" w:rsidRPr="00640F0C" w14:paraId="7A12F28B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B91B7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6023E2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Perugia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4D8C04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432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501331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-20,6%</w:t>
            </w:r>
          </w:p>
        </w:tc>
      </w:tr>
      <w:tr w:rsidR="00883080" w:rsidRPr="00640F0C" w14:paraId="4C29CCC5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3EFA6DF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E193E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Terni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F3C50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428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DDB9681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-26,2%</w:t>
            </w:r>
          </w:p>
        </w:tc>
      </w:tr>
      <w:tr w:rsidR="00883080" w:rsidRPr="00640F0C" w14:paraId="0A5B4D7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A18FB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13136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Aosta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DC51F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325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841AB73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-32,6%</w:t>
            </w:r>
          </w:p>
        </w:tc>
      </w:tr>
      <w:tr w:rsidR="00883080" w:rsidRPr="00640F0C" w14:paraId="17A0235F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BB8B83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7FB680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Rovigo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89200C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591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59F342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-11,1%</w:t>
            </w:r>
          </w:p>
        </w:tc>
      </w:tr>
      <w:tr w:rsidR="00883080" w:rsidRPr="00640F0C" w14:paraId="5DA6D7E4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79A24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52F1BA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Padova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10637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584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AC549A3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-10,1%</w:t>
            </w:r>
          </w:p>
        </w:tc>
      </w:tr>
      <w:tr w:rsidR="00883080" w:rsidRPr="00640F0C" w14:paraId="7D42712E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B5325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587498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Venezia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7DA7E9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557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19F746E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-18,1%</w:t>
            </w:r>
          </w:p>
        </w:tc>
      </w:tr>
      <w:tr w:rsidR="00883080" w:rsidRPr="00640F0C" w14:paraId="6751EFA4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FCEE04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43F67B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Belluno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539D3B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509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EC3C463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-22,4%</w:t>
            </w:r>
          </w:p>
        </w:tc>
      </w:tr>
      <w:tr w:rsidR="00883080" w:rsidRPr="00640F0C" w14:paraId="013C252D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635326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79BA35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Treviso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E9888D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488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8286875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-22,6%</w:t>
            </w:r>
          </w:p>
        </w:tc>
      </w:tr>
      <w:tr w:rsidR="00883080" w:rsidRPr="00640F0C" w14:paraId="23C37318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6AEC90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0023983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Vicenza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653CDF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448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6DCE82A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-27,0%</w:t>
            </w:r>
          </w:p>
        </w:tc>
      </w:tr>
      <w:tr w:rsidR="00883080" w:rsidRPr="00640F0C" w14:paraId="15FAC084" w14:textId="77777777" w:rsidTr="00883080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232DCC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A0A8EE" w14:textId="77777777" w:rsidR="00883080" w:rsidRPr="00883080" w:rsidRDefault="00883080" w:rsidP="00883080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Verona</w:t>
            </w:r>
          </w:p>
        </w:tc>
        <w:tc>
          <w:tcPr>
            <w:tcW w:w="283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7D6052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883080">
              <w:rPr>
                <w:rFonts w:cs="Calibri"/>
                <w:sz w:val="21"/>
                <w:szCs w:val="21"/>
              </w:rPr>
              <w:t>389</w:t>
            </w:r>
          </w:p>
        </w:tc>
        <w:tc>
          <w:tcPr>
            <w:tcW w:w="170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6E4E390" w14:textId="77777777" w:rsidR="00883080" w:rsidRPr="00883080" w:rsidRDefault="00883080" w:rsidP="00883080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883080">
              <w:rPr>
                <w:rFonts w:cs="Calibri"/>
                <w:color w:val="006100"/>
                <w:sz w:val="21"/>
                <w:szCs w:val="21"/>
              </w:rPr>
              <w:t>-25,1%</w:t>
            </w:r>
          </w:p>
        </w:tc>
      </w:tr>
      <w:tr w:rsidR="00053240" w:rsidRPr="00640F0C" w14:paraId="6998FEF5" w14:textId="77777777" w:rsidTr="00883080">
        <w:tblPrEx>
          <w:shd w:val="clear" w:color="auto" w:fill="CDD4E9"/>
        </w:tblPrEx>
        <w:trPr>
          <w:trHeight w:val="567"/>
          <w:jc w:val="center"/>
        </w:trPr>
        <w:tc>
          <w:tcPr>
            <w:tcW w:w="8788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4FB83A14" w14:textId="77777777" w:rsidR="00053240" w:rsidRPr="00640F0C" w:rsidRDefault="00053240" w:rsidP="008139B1">
            <w:pPr>
              <w:spacing w:after="0" w:line="240" w:lineRule="auto"/>
              <w:contextualSpacing/>
              <w:rPr>
                <w:rFonts w:cs="Calibri"/>
                <w:sz w:val="20"/>
                <w:szCs w:val="21"/>
              </w:rPr>
            </w:pPr>
            <w:r w:rsidRPr="00640F0C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</w:t>
            </w:r>
            <w:r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 xml:space="preserve"> Il colore giallo indica l’assenza di variazione percentuale dei nuovi casi rispetto alla settimana precedente.</w:t>
            </w:r>
          </w:p>
        </w:tc>
      </w:tr>
    </w:tbl>
    <w:p w14:paraId="2D79FA36" w14:textId="77777777" w:rsidR="00053240" w:rsidRPr="00D44AA7" w:rsidRDefault="00053240" w:rsidP="00053240"/>
    <w:p w14:paraId="3B80B119" w14:textId="77777777" w:rsidR="00793687" w:rsidRPr="00053240" w:rsidRDefault="00793687" w:rsidP="00053240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</w:p>
    <w:sectPr w:rsidR="00793687" w:rsidRPr="00053240" w:rsidSect="00053240"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B0441" w14:textId="77777777" w:rsidR="00CB51EC" w:rsidRDefault="00CB51EC">
      <w:pPr>
        <w:spacing w:after="0" w:line="240" w:lineRule="auto"/>
      </w:pPr>
      <w:r>
        <w:separator/>
      </w:r>
    </w:p>
  </w:endnote>
  <w:endnote w:type="continuationSeparator" w:id="0">
    <w:p w14:paraId="0278B1C7" w14:textId="77777777" w:rsidR="00CB51EC" w:rsidRDefault="00CB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FB85" w14:textId="77777777" w:rsidR="00CB51EC" w:rsidRDefault="00CB51EC">
      <w:pPr>
        <w:spacing w:after="0" w:line="240" w:lineRule="auto"/>
      </w:pPr>
      <w:r>
        <w:separator/>
      </w:r>
    </w:p>
  </w:footnote>
  <w:footnote w:type="continuationSeparator" w:id="0">
    <w:p w14:paraId="02F810D7" w14:textId="77777777" w:rsidR="00CB51EC" w:rsidRDefault="00CB5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05A51"/>
    <w:multiLevelType w:val="hybridMultilevel"/>
    <w:tmpl w:val="4420E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64F90"/>
    <w:multiLevelType w:val="hybridMultilevel"/>
    <w:tmpl w:val="F800B0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74CEC"/>
    <w:multiLevelType w:val="hybridMultilevel"/>
    <w:tmpl w:val="66508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92D85"/>
    <w:multiLevelType w:val="hybridMultilevel"/>
    <w:tmpl w:val="7AB0174C"/>
    <w:lvl w:ilvl="0" w:tplc="2B98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542D08"/>
    <w:multiLevelType w:val="hybridMultilevel"/>
    <w:tmpl w:val="D9648E6E"/>
    <w:lvl w:ilvl="0" w:tplc="82C65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84117"/>
    <w:multiLevelType w:val="hybridMultilevel"/>
    <w:tmpl w:val="8A961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374556"/>
    <w:multiLevelType w:val="multilevel"/>
    <w:tmpl w:val="874E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3"/>
  </w:num>
  <w:num w:numId="5">
    <w:abstractNumId w:val="12"/>
  </w:num>
  <w:num w:numId="6">
    <w:abstractNumId w:val="19"/>
  </w:num>
  <w:num w:numId="7">
    <w:abstractNumId w:val="10"/>
  </w:num>
  <w:num w:numId="8">
    <w:abstractNumId w:val="28"/>
  </w:num>
  <w:num w:numId="9">
    <w:abstractNumId w:val="30"/>
  </w:num>
  <w:num w:numId="10">
    <w:abstractNumId w:val="23"/>
  </w:num>
  <w:num w:numId="11">
    <w:abstractNumId w:val="16"/>
  </w:num>
  <w:num w:numId="12">
    <w:abstractNumId w:val="38"/>
  </w:num>
  <w:num w:numId="13">
    <w:abstractNumId w:val="42"/>
  </w:num>
  <w:num w:numId="14">
    <w:abstractNumId w:val="8"/>
  </w:num>
  <w:num w:numId="15">
    <w:abstractNumId w:val="36"/>
  </w:num>
  <w:num w:numId="16">
    <w:abstractNumId w:val="31"/>
  </w:num>
  <w:num w:numId="17">
    <w:abstractNumId w:val="37"/>
  </w:num>
  <w:num w:numId="18">
    <w:abstractNumId w:val="20"/>
  </w:num>
  <w:num w:numId="19">
    <w:abstractNumId w:val="24"/>
  </w:num>
  <w:num w:numId="20">
    <w:abstractNumId w:val="4"/>
  </w:num>
  <w:num w:numId="21">
    <w:abstractNumId w:val="7"/>
  </w:num>
  <w:num w:numId="22">
    <w:abstractNumId w:val="40"/>
  </w:num>
  <w:num w:numId="23">
    <w:abstractNumId w:val="17"/>
  </w:num>
  <w:num w:numId="24">
    <w:abstractNumId w:val="22"/>
  </w:num>
  <w:num w:numId="25">
    <w:abstractNumId w:val="0"/>
  </w:num>
  <w:num w:numId="26">
    <w:abstractNumId w:val="25"/>
  </w:num>
  <w:num w:numId="27">
    <w:abstractNumId w:val="5"/>
  </w:num>
  <w:num w:numId="28">
    <w:abstractNumId w:val="27"/>
  </w:num>
  <w:num w:numId="29">
    <w:abstractNumId w:val="34"/>
  </w:num>
  <w:num w:numId="30">
    <w:abstractNumId w:val="41"/>
  </w:num>
  <w:num w:numId="31">
    <w:abstractNumId w:val="2"/>
  </w:num>
  <w:num w:numId="32">
    <w:abstractNumId w:val="3"/>
  </w:num>
  <w:num w:numId="33">
    <w:abstractNumId w:val="32"/>
  </w:num>
  <w:num w:numId="34">
    <w:abstractNumId w:val="11"/>
  </w:num>
  <w:num w:numId="35">
    <w:abstractNumId w:val="14"/>
  </w:num>
  <w:num w:numId="36">
    <w:abstractNumId w:val="35"/>
  </w:num>
  <w:num w:numId="37">
    <w:abstractNumId w:val="9"/>
  </w:num>
  <w:num w:numId="38">
    <w:abstractNumId w:val="21"/>
  </w:num>
  <w:num w:numId="39">
    <w:abstractNumId w:val="18"/>
  </w:num>
  <w:num w:numId="40">
    <w:abstractNumId w:val="39"/>
  </w:num>
  <w:num w:numId="41">
    <w:abstractNumId w:val="26"/>
  </w:num>
  <w:num w:numId="42">
    <w:abstractNumId w:val="29"/>
  </w:num>
  <w:num w:numId="43">
    <w:abstractNumId w:val="13"/>
  </w:num>
  <w:num w:numId="44">
    <w:abstractNumId w:val="43"/>
  </w:num>
  <w:num w:numId="45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188E"/>
    <w:rsid w:val="000022A7"/>
    <w:rsid w:val="00002300"/>
    <w:rsid w:val="0000244C"/>
    <w:rsid w:val="000027F8"/>
    <w:rsid w:val="00002EAC"/>
    <w:rsid w:val="000035D6"/>
    <w:rsid w:val="000043C6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22A5"/>
    <w:rsid w:val="00023784"/>
    <w:rsid w:val="00023CE6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C36"/>
    <w:rsid w:val="00057E5F"/>
    <w:rsid w:val="00057F3D"/>
    <w:rsid w:val="00060277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699"/>
    <w:rsid w:val="00067A2E"/>
    <w:rsid w:val="00067B8B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3AC9"/>
    <w:rsid w:val="000A403F"/>
    <w:rsid w:val="000A422E"/>
    <w:rsid w:val="000A471A"/>
    <w:rsid w:val="000A4BEE"/>
    <w:rsid w:val="000A53F4"/>
    <w:rsid w:val="000A57A1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1217"/>
    <w:rsid w:val="000C1CFE"/>
    <w:rsid w:val="000C1E98"/>
    <w:rsid w:val="000C22FE"/>
    <w:rsid w:val="000C2A6C"/>
    <w:rsid w:val="000C2BD2"/>
    <w:rsid w:val="000C2E80"/>
    <w:rsid w:val="000C3C3C"/>
    <w:rsid w:val="000C3DE4"/>
    <w:rsid w:val="000C4285"/>
    <w:rsid w:val="000C46E0"/>
    <w:rsid w:val="000C5DA1"/>
    <w:rsid w:val="000C63F8"/>
    <w:rsid w:val="000C645E"/>
    <w:rsid w:val="000C6B69"/>
    <w:rsid w:val="000C7105"/>
    <w:rsid w:val="000C789B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84C"/>
    <w:rsid w:val="001418E1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4EC3"/>
    <w:rsid w:val="0014500F"/>
    <w:rsid w:val="00145D4E"/>
    <w:rsid w:val="00146286"/>
    <w:rsid w:val="00146CE5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680"/>
    <w:rsid w:val="001C5612"/>
    <w:rsid w:val="001C5B0D"/>
    <w:rsid w:val="001C5BD4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DB8"/>
    <w:rsid w:val="00201768"/>
    <w:rsid w:val="00201A2D"/>
    <w:rsid w:val="00201C9E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A20"/>
    <w:rsid w:val="002330ED"/>
    <w:rsid w:val="002330F2"/>
    <w:rsid w:val="00234360"/>
    <w:rsid w:val="00234498"/>
    <w:rsid w:val="002344C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60A9"/>
    <w:rsid w:val="002569A9"/>
    <w:rsid w:val="00257103"/>
    <w:rsid w:val="002572A2"/>
    <w:rsid w:val="002573BE"/>
    <w:rsid w:val="00257704"/>
    <w:rsid w:val="002611A3"/>
    <w:rsid w:val="00261A98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0749"/>
    <w:rsid w:val="00272094"/>
    <w:rsid w:val="002723FF"/>
    <w:rsid w:val="002739E8"/>
    <w:rsid w:val="002739EC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2D8E"/>
    <w:rsid w:val="0028306E"/>
    <w:rsid w:val="0028387B"/>
    <w:rsid w:val="00283CCD"/>
    <w:rsid w:val="002846B6"/>
    <w:rsid w:val="0028485A"/>
    <w:rsid w:val="00284E3A"/>
    <w:rsid w:val="002851AE"/>
    <w:rsid w:val="00285319"/>
    <w:rsid w:val="00286961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954"/>
    <w:rsid w:val="003049F6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66AD"/>
    <w:rsid w:val="00317002"/>
    <w:rsid w:val="00317292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5B7"/>
    <w:rsid w:val="00342A3A"/>
    <w:rsid w:val="0034324C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32A"/>
    <w:rsid w:val="003534DD"/>
    <w:rsid w:val="00353CBD"/>
    <w:rsid w:val="00354B9D"/>
    <w:rsid w:val="0035543D"/>
    <w:rsid w:val="00355C24"/>
    <w:rsid w:val="00356213"/>
    <w:rsid w:val="003562C6"/>
    <w:rsid w:val="003565D0"/>
    <w:rsid w:val="00357327"/>
    <w:rsid w:val="00357363"/>
    <w:rsid w:val="00357B80"/>
    <w:rsid w:val="00360D63"/>
    <w:rsid w:val="00360F67"/>
    <w:rsid w:val="00361268"/>
    <w:rsid w:val="003612F6"/>
    <w:rsid w:val="003614B8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D44"/>
    <w:rsid w:val="003F434E"/>
    <w:rsid w:val="003F4BBB"/>
    <w:rsid w:val="003F5167"/>
    <w:rsid w:val="003F534E"/>
    <w:rsid w:val="003F5612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FA8"/>
    <w:rsid w:val="0040190A"/>
    <w:rsid w:val="00401C4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9AC"/>
    <w:rsid w:val="00415E66"/>
    <w:rsid w:val="004167BB"/>
    <w:rsid w:val="00417326"/>
    <w:rsid w:val="00417C5E"/>
    <w:rsid w:val="00417D75"/>
    <w:rsid w:val="00417F28"/>
    <w:rsid w:val="00420736"/>
    <w:rsid w:val="00421389"/>
    <w:rsid w:val="004222A8"/>
    <w:rsid w:val="0042267C"/>
    <w:rsid w:val="00422E3F"/>
    <w:rsid w:val="004230E7"/>
    <w:rsid w:val="0042340E"/>
    <w:rsid w:val="004235BB"/>
    <w:rsid w:val="00423AFE"/>
    <w:rsid w:val="00423EC1"/>
    <w:rsid w:val="00424065"/>
    <w:rsid w:val="00424111"/>
    <w:rsid w:val="004243B2"/>
    <w:rsid w:val="0042539D"/>
    <w:rsid w:val="004254C7"/>
    <w:rsid w:val="0042568F"/>
    <w:rsid w:val="00426290"/>
    <w:rsid w:val="004262FC"/>
    <w:rsid w:val="00431177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C1D"/>
    <w:rsid w:val="00433412"/>
    <w:rsid w:val="00434350"/>
    <w:rsid w:val="00434FB1"/>
    <w:rsid w:val="00435333"/>
    <w:rsid w:val="004358B8"/>
    <w:rsid w:val="00435DD8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366"/>
    <w:rsid w:val="004535DC"/>
    <w:rsid w:val="0045421C"/>
    <w:rsid w:val="00454452"/>
    <w:rsid w:val="00454CA9"/>
    <w:rsid w:val="004550B5"/>
    <w:rsid w:val="004556A7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5EA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5F33"/>
    <w:rsid w:val="00476376"/>
    <w:rsid w:val="004765D7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CE"/>
    <w:rsid w:val="004B50C4"/>
    <w:rsid w:val="004B512D"/>
    <w:rsid w:val="004B5C6E"/>
    <w:rsid w:val="004B5CB6"/>
    <w:rsid w:val="004B6407"/>
    <w:rsid w:val="004B6438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3357"/>
    <w:rsid w:val="004C373C"/>
    <w:rsid w:val="004C3F74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60C7"/>
    <w:rsid w:val="004D7ABD"/>
    <w:rsid w:val="004D7C29"/>
    <w:rsid w:val="004D7E87"/>
    <w:rsid w:val="004E0063"/>
    <w:rsid w:val="004E0DD7"/>
    <w:rsid w:val="004E102A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9CD"/>
    <w:rsid w:val="004F4849"/>
    <w:rsid w:val="004F5848"/>
    <w:rsid w:val="004F58B7"/>
    <w:rsid w:val="004F5DA1"/>
    <w:rsid w:val="004F6556"/>
    <w:rsid w:val="004F6E84"/>
    <w:rsid w:val="004F70C6"/>
    <w:rsid w:val="004F798A"/>
    <w:rsid w:val="0050002C"/>
    <w:rsid w:val="00500148"/>
    <w:rsid w:val="00500C6B"/>
    <w:rsid w:val="00500CDB"/>
    <w:rsid w:val="00501B5F"/>
    <w:rsid w:val="00501BC2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076FF"/>
    <w:rsid w:val="00510F4E"/>
    <w:rsid w:val="005110E4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8F7"/>
    <w:rsid w:val="005265EC"/>
    <w:rsid w:val="005268E4"/>
    <w:rsid w:val="00526970"/>
    <w:rsid w:val="00526D10"/>
    <w:rsid w:val="00526D94"/>
    <w:rsid w:val="00526DCB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78B"/>
    <w:rsid w:val="00535B9E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ADD"/>
    <w:rsid w:val="00585B70"/>
    <w:rsid w:val="005862A2"/>
    <w:rsid w:val="0058640B"/>
    <w:rsid w:val="00586B9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338C"/>
    <w:rsid w:val="00593AE5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34C"/>
    <w:rsid w:val="005A4857"/>
    <w:rsid w:val="005A52DD"/>
    <w:rsid w:val="005A5433"/>
    <w:rsid w:val="005A57C5"/>
    <w:rsid w:val="005A6770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D21"/>
    <w:rsid w:val="005D5E08"/>
    <w:rsid w:val="005D5E18"/>
    <w:rsid w:val="005D63FA"/>
    <w:rsid w:val="005D672E"/>
    <w:rsid w:val="005D6FAA"/>
    <w:rsid w:val="005D750D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273"/>
    <w:rsid w:val="00621BD2"/>
    <w:rsid w:val="006222EF"/>
    <w:rsid w:val="00622835"/>
    <w:rsid w:val="00622991"/>
    <w:rsid w:val="00623175"/>
    <w:rsid w:val="006236A4"/>
    <w:rsid w:val="006237F8"/>
    <w:rsid w:val="00623C8E"/>
    <w:rsid w:val="00624679"/>
    <w:rsid w:val="00624898"/>
    <w:rsid w:val="006248CB"/>
    <w:rsid w:val="00624DFE"/>
    <w:rsid w:val="00626103"/>
    <w:rsid w:val="0062682F"/>
    <w:rsid w:val="00627F3B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88F"/>
    <w:rsid w:val="00653A32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5C87"/>
    <w:rsid w:val="006761A1"/>
    <w:rsid w:val="00676314"/>
    <w:rsid w:val="00676B7B"/>
    <w:rsid w:val="006771CE"/>
    <w:rsid w:val="00677ADA"/>
    <w:rsid w:val="00677B01"/>
    <w:rsid w:val="00677F3D"/>
    <w:rsid w:val="0068026F"/>
    <w:rsid w:val="0068195B"/>
    <w:rsid w:val="006823AD"/>
    <w:rsid w:val="0068281C"/>
    <w:rsid w:val="00684004"/>
    <w:rsid w:val="0068405E"/>
    <w:rsid w:val="006847E4"/>
    <w:rsid w:val="006850DD"/>
    <w:rsid w:val="0068557B"/>
    <w:rsid w:val="006860D7"/>
    <w:rsid w:val="00686C1B"/>
    <w:rsid w:val="006875D7"/>
    <w:rsid w:val="006878E8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5005"/>
    <w:rsid w:val="00696029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44A"/>
    <w:rsid w:val="006B3522"/>
    <w:rsid w:val="006B365C"/>
    <w:rsid w:val="006B3B3A"/>
    <w:rsid w:val="006B3B7F"/>
    <w:rsid w:val="006B4376"/>
    <w:rsid w:val="006B5BED"/>
    <w:rsid w:val="006B627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4603"/>
    <w:rsid w:val="006C515D"/>
    <w:rsid w:val="006C5FDC"/>
    <w:rsid w:val="006C6333"/>
    <w:rsid w:val="006C6F0C"/>
    <w:rsid w:val="006C7761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CC5"/>
    <w:rsid w:val="00751D3E"/>
    <w:rsid w:val="007526C9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87D95"/>
    <w:rsid w:val="007901B2"/>
    <w:rsid w:val="00790569"/>
    <w:rsid w:val="00790AC7"/>
    <w:rsid w:val="00790EA2"/>
    <w:rsid w:val="0079118B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602C"/>
    <w:rsid w:val="007A6242"/>
    <w:rsid w:val="007A62FB"/>
    <w:rsid w:val="007A69F8"/>
    <w:rsid w:val="007A6C37"/>
    <w:rsid w:val="007A6E24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6181"/>
    <w:rsid w:val="007C6E4D"/>
    <w:rsid w:val="007C7630"/>
    <w:rsid w:val="007C7C66"/>
    <w:rsid w:val="007C7E75"/>
    <w:rsid w:val="007D03C2"/>
    <w:rsid w:val="007D04B4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91E"/>
    <w:rsid w:val="00852C4B"/>
    <w:rsid w:val="0085391C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142A"/>
    <w:rsid w:val="00881788"/>
    <w:rsid w:val="00881A83"/>
    <w:rsid w:val="008820F4"/>
    <w:rsid w:val="008823A3"/>
    <w:rsid w:val="0088256B"/>
    <w:rsid w:val="008828C6"/>
    <w:rsid w:val="008828FB"/>
    <w:rsid w:val="00883080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10DD"/>
    <w:rsid w:val="00891337"/>
    <w:rsid w:val="00891DCD"/>
    <w:rsid w:val="008927DE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68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69D"/>
    <w:rsid w:val="008C4763"/>
    <w:rsid w:val="008C4B91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7049"/>
    <w:rsid w:val="008E70C3"/>
    <w:rsid w:val="008E7C06"/>
    <w:rsid w:val="008F01DF"/>
    <w:rsid w:val="008F022F"/>
    <w:rsid w:val="008F039D"/>
    <w:rsid w:val="008F04B0"/>
    <w:rsid w:val="008F0934"/>
    <w:rsid w:val="008F0A73"/>
    <w:rsid w:val="008F11C8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66E7"/>
    <w:rsid w:val="008F68A8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F2D"/>
    <w:rsid w:val="00A110EF"/>
    <w:rsid w:val="00A119A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979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76D"/>
    <w:rsid w:val="00A359A1"/>
    <w:rsid w:val="00A36909"/>
    <w:rsid w:val="00A36B95"/>
    <w:rsid w:val="00A3777A"/>
    <w:rsid w:val="00A37905"/>
    <w:rsid w:val="00A37F61"/>
    <w:rsid w:val="00A40A07"/>
    <w:rsid w:val="00A40F01"/>
    <w:rsid w:val="00A42390"/>
    <w:rsid w:val="00A4253C"/>
    <w:rsid w:val="00A42754"/>
    <w:rsid w:val="00A42F56"/>
    <w:rsid w:val="00A438B3"/>
    <w:rsid w:val="00A43AD7"/>
    <w:rsid w:val="00A43FB6"/>
    <w:rsid w:val="00A44550"/>
    <w:rsid w:val="00A44B67"/>
    <w:rsid w:val="00A44EAA"/>
    <w:rsid w:val="00A44EAC"/>
    <w:rsid w:val="00A44EE1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6A9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DC3"/>
    <w:rsid w:val="00A66BCF"/>
    <w:rsid w:val="00A6754C"/>
    <w:rsid w:val="00A700EF"/>
    <w:rsid w:val="00A701A5"/>
    <w:rsid w:val="00A70227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8EF"/>
    <w:rsid w:val="00AC6CE2"/>
    <w:rsid w:val="00AC7409"/>
    <w:rsid w:val="00AC7AE1"/>
    <w:rsid w:val="00AD04AB"/>
    <w:rsid w:val="00AD0D1E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E87"/>
    <w:rsid w:val="00B03FFD"/>
    <w:rsid w:val="00B04235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997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27D7D"/>
    <w:rsid w:val="00B305F0"/>
    <w:rsid w:val="00B30632"/>
    <w:rsid w:val="00B307DE"/>
    <w:rsid w:val="00B30901"/>
    <w:rsid w:val="00B30C5E"/>
    <w:rsid w:val="00B31940"/>
    <w:rsid w:val="00B31DC3"/>
    <w:rsid w:val="00B32455"/>
    <w:rsid w:val="00B324DC"/>
    <w:rsid w:val="00B325DD"/>
    <w:rsid w:val="00B32937"/>
    <w:rsid w:val="00B32A3E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67F"/>
    <w:rsid w:val="00B43A83"/>
    <w:rsid w:val="00B43AF3"/>
    <w:rsid w:val="00B443E3"/>
    <w:rsid w:val="00B46108"/>
    <w:rsid w:val="00B4610A"/>
    <w:rsid w:val="00B4655D"/>
    <w:rsid w:val="00B46AEB"/>
    <w:rsid w:val="00B46C56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3355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322A"/>
    <w:rsid w:val="00B735D1"/>
    <w:rsid w:val="00B736F5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13A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91E"/>
    <w:rsid w:val="00BB2AE2"/>
    <w:rsid w:val="00BB2DA8"/>
    <w:rsid w:val="00BB36DE"/>
    <w:rsid w:val="00BB383A"/>
    <w:rsid w:val="00BB3BA4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719"/>
    <w:rsid w:val="00BD4B09"/>
    <w:rsid w:val="00BD4CEC"/>
    <w:rsid w:val="00BD4F61"/>
    <w:rsid w:val="00BD5050"/>
    <w:rsid w:val="00BD50D0"/>
    <w:rsid w:val="00BD58A3"/>
    <w:rsid w:val="00BD5A3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73DF"/>
    <w:rsid w:val="00BE75C3"/>
    <w:rsid w:val="00BE774D"/>
    <w:rsid w:val="00BF05A8"/>
    <w:rsid w:val="00BF12A8"/>
    <w:rsid w:val="00BF1551"/>
    <w:rsid w:val="00BF186E"/>
    <w:rsid w:val="00BF264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693"/>
    <w:rsid w:val="00C10D93"/>
    <w:rsid w:val="00C11059"/>
    <w:rsid w:val="00C1127F"/>
    <w:rsid w:val="00C116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40581"/>
    <w:rsid w:val="00C40A92"/>
    <w:rsid w:val="00C40B0B"/>
    <w:rsid w:val="00C41089"/>
    <w:rsid w:val="00C4182B"/>
    <w:rsid w:val="00C41B42"/>
    <w:rsid w:val="00C42751"/>
    <w:rsid w:val="00C4313A"/>
    <w:rsid w:val="00C43985"/>
    <w:rsid w:val="00C43BFF"/>
    <w:rsid w:val="00C43E99"/>
    <w:rsid w:val="00C44288"/>
    <w:rsid w:val="00C44312"/>
    <w:rsid w:val="00C4440A"/>
    <w:rsid w:val="00C44A70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C68"/>
    <w:rsid w:val="00CB369B"/>
    <w:rsid w:val="00CB3727"/>
    <w:rsid w:val="00CB3BD4"/>
    <w:rsid w:val="00CB49DD"/>
    <w:rsid w:val="00CB51EC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A"/>
    <w:rsid w:val="00CF5DEB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415"/>
    <w:rsid w:val="00D174F8"/>
    <w:rsid w:val="00D175C4"/>
    <w:rsid w:val="00D200BE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124D"/>
    <w:rsid w:val="00D31365"/>
    <w:rsid w:val="00D316FA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139A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1EEA"/>
    <w:rsid w:val="00D62A37"/>
    <w:rsid w:val="00D62CC9"/>
    <w:rsid w:val="00D62D11"/>
    <w:rsid w:val="00D6336F"/>
    <w:rsid w:val="00D63707"/>
    <w:rsid w:val="00D63D7A"/>
    <w:rsid w:val="00D645E9"/>
    <w:rsid w:val="00D64DEC"/>
    <w:rsid w:val="00D6523B"/>
    <w:rsid w:val="00D65692"/>
    <w:rsid w:val="00D65B96"/>
    <w:rsid w:val="00D6634E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9B1"/>
    <w:rsid w:val="00D72D69"/>
    <w:rsid w:val="00D73279"/>
    <w:rsid w:val="00D744AC"/>
    <w:rsid w:val="00D74646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6017"/>
    <w:rsid w:val="00D87040"/>
    <w:rsid w:val="00D874A4"/>
    <w:rsid w:val="00D8764F"/>
    <w:rsid w:val="00D87BFE"/>
    <w:rsid w:val="00D90AA9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9C"/>
    <w:rsid w:val="00DE5F4A"/>
    <w:rsid w:val="00DE6192"/>
    <w:rsid w:val="00DE6727"/>
    <w:rsid w:val="00DE68D8"/>
    <w:rsid w:val="00DE6AA0"/>
    <w:rsid w:val="00DE6EE2"/>
    <w:rsid w:val="00DE7474"/>
    <w:rsid w:val="00DE7E8F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2"/>
    <w:rsid w:val="00E5730C"/>
    <w:rsid w:val="00E600E6"/>
    <w:rsid w:val="00E605BC"/>
    <w:rsid w:val="00E60808"/>
    <w:rsid w:val="00E6094F"/>
    <w:rsid w:val="00E61326"/>
    <w:rsid w:val="00E61434"/>
    <w:rsid w:val="00E614AA"/>
    <w:rsid w:val="00E61535"/>
    <w:rsid w:val="00E61877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6D96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149"/>
    <w:rsid w:val="00EB0206"/>
    <w:rsid w:val="00EB034D"/>
    <w:rsid w:val="00EB040E"/>
    <w:rsid w:val="00EB1389"/>
    <w:rsid w:val="00EB16CF"/>
    <w:rsid w:val="00EB21C9"/>
    <w:rsid w:val="00EB2782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C30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7DE6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A39"/>
    <w:rsid w:val="00EE3E16"/>
    <w:rsid w:val="00EE417D"/>
    <w:rsid w:val="00EE460E"/>
    <w:rsid w:val="00EE489D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6E89"/>
    <w:rsid w:val="00EF73AC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A6A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75"/>
    <w:rsid w:val="00FA0A87"/>
    <w:rsid w:val="00FA2822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9F5"/>
    <w:rsid w:val="00FA60F0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783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4E91D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C208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pcm-dpc/COVID-19" TargetMode="External"/><Relationship Id="rId13" Type="http://schemas.openxmlformats.org/officeDocument/2006/relationships/hyperlink" Target="https://github.com/italia/covid19-opendata-vaccini/blob/master/dati/platea-second-booster.csv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salute.gov.it/portale/nuovocoronavirus/Circolare23settembre2022.pdf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vanorme.salute.gov.it/norme/renderNormsanPdf?anno=2022&amp;codLeg=88794&amp;parte=1%20&amp;serie=null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fficio.stampa@gimbe.or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https://github.com/italia/covid19-opendata-vaccini/blob/master/dati/platea-dose-addizionale-booster.csv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icentro.iss.it/coronavirus/bollettino/Bollettino-sorveglianza-integrata-COVID-19_2-novembre-2022.pdf" TargetMode="External"/><Relationship Id="rId14" Type="http://schemas.openxmlformats.org/officeDocument/2006/relationships/hyperlink" Target="https://coronavirus.gimbe.org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411F-5168-4F0F-8539-4F82BAA5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6</cp:revision>
  <cp:lastPrinted>2022-08-24T13:12:00Z</cp:lastPrinted>
  <dcterms:created xsi:type="dcterms:W3CDTF">2022-11-09T14:03:00Z</dcterms:created>
  <dcterms:modified xsi:type="dcterms:W3CDTF">2022-11-09T14:34:00Z</dcterms:modified>
</cp:coreProperties>
</file>