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7C98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0DAD3C54" w14:textId="36EE66EE" w:rsidR="00CB67E0" w:rsidRDefault="004B1756" w:rsidP="00CB67E0">
      <w:pPr>
        <w:jc w:val="center"/>
        <w:rPr>
          <w:b/>
          <w:bCs/>
          <w:sz w:val="32"/>
          <w:szCs w:val="36"/>
        </w:rPr>
      </w:pPr>
      <w:bookmarkStart w:id="0" w:name="_GoBack"/>
      <w:r w:rsidRPr="00CB67E0">
        <w:rPr>
          <w:b/>
          <w:bCs/>
          <w:sz w:val="32"/>
          <w:szCs w:val="36"/>
        </w:rPr>
        <w:t>SPESA SANITARIA DELLE FAMIGLIE A</w:t>
      </w:r>
      <w:r>
        <w:rPr>
          <w:b/>
          <w:bCs/>
          <w:sz w:val="32"/>
          <w:szCs w:val="36"/>
        </w:rPr>
        <w:t xml:space="preserve"> 40 MILIARDI: IL DATO È REALE, </w:t>
      </w:r>
      <w:r w:rsidRPr="00CB67E0">
        <w:rPr>
          <w:b/>
          <w:bCs/>
          <w:sz w:val="32"/>
          <w:szCs w:val="36"/>
        </w:rPr>
        <w:t>MA LE PREVISIONI CATASTROFICHE DEL CENSIS SONO UN FALSO ALLARME</w:t>
      </w:r>
    </w:p>
    <w:bookmarkEnd w:id="0"/>
    <w:p w14:paraId="420B5F34" w14:textId="4DAB6D34" w:rsidR="00AE1EFF" w:rsidRPr="003A47A3" w:rsidRDefault="004B1756" w:rsidP="00CB67E0">
      <w:pPr>
        <w:jc w:val="both"/>
        <w:rPr>
          <w:b/>
        </w:rPr>
      </w:pPr>
      <w:r>
        <w:rPr>
          <w:b/>
        </w:rPr>
        <w:t xml:space="preserve">LA SOFISTICATA CAMPAGNA DI PERSUASIONE SOCIALE DI RBM SALUTE, SOSTENUTA DA UN DISCUTIBILE STUDIO DEL CENSIS, CONTINUA A SEMINARE IL PANICO NELLA POPOLAZIONE E A “PROCURARE ALLARME” NELLE ISTITUZIONI CON L’OBIETTIVO DI LEGITTIMARE UNA OPPORTUNISTICA SOLUZIONE GIÀ DEFINITA: POTENZIARE IL “SECONDO PILASTRO” GESTITO DALL’INTERMEDIAZIONE ASSICURATIVO-FINANZIARIA, PROPRIO NEL MOMENTO IN CUI IL GOVERNO DEL CAMBIAMENTO DICHIARA DI VOLER RILANCIARE IL FINANZIAMENTO PUBBLICO. </w:t>
      </w:r>
    </w:p>
    <w:p w14:paraId="49501479" w14:textId="5997BD93" w:rsidR="005B4F61" w:rsidRDefault="001A18C9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="00DE6AEA">
        <w:rPr>
          <w:rFonts w:ascii="Calibri" w:eastAsia="Calibri" w:hAnsi="Calibri" w:cs="Times New Roman"/>
          <w:b/>
          <w:bCs/>
          <w:sz w:val="24"/>
          <w:szCs w:val="24"/>
        </w:rPr>
        <w:t xml:space="preserve"> giugno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97373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</w:t>
      </w:r>
      <w:r w:rsidR="00E76563">
        <w:rPr>
          <w:rFonts w:ascii="Calibri" w:eastAsia="Calibri" w:hAnsi="Calibri" w:cs="Times New Roman"/>
          <w:b/>
          <w:bCs/>
          <w:sz w:val="24"/>
          <w:szCs w:val="24"/>
        </w:rPr>
        <w:t>, Bologna</w:t>
      </w:r>
    </w:p>
    <w:p w14:paraId="202E43D8" w14:textId="7FAB161B" w:rsidR="001A18C9" w:rsidRDefault="004F297A" w:rsidP="00B01528">
      <w:pPr>
        <w:rPr>
          <w:rFonts w:cstheme="minorHAnsi"/>
        </w:rPr>
      </w:pPr>
      <w:r>
        <w:rPr>
          <w:rFonts w:cstheme="minorHAnsi"/>
        </w:rPr>
        <w:t>Puntuale</w:t>
      </w:r>
      <w:r w:rsidR="00B2249A">
        <w:rPr>
          <w:rFonts w:cstheme="minorHAnsi"/>
        </w:rPr>
        <w:t xml:space="preserve"> come un orologio s</w:t>
      </w:r>
      <w:r>
        <w:rPr>
          <w:rFonts w:cstheme="minorHAnsi"/>
        </w:rPr>
        <w:t xml:space="preserve">vizzero </w:t>
      </w:r>
      <w:r w:rsidR="00491B4F">
        <w:rPr>
          <w:rFonts w:cstheme="minorHAnsi"/>
        </w:rPr>
        <w:t xml:space="preserve">anche nel 2018 </w:t>
      </w:r>
      <w:r w:rsidR="0099708A">
        <w:rPr>
          <w:rFonts w:cstheme="minorHAnsi"/>
        </w:rPr>
        <w:t xml:space="preserve">con il </w:t>
      </w:r>
      <w:r>
        <w:rPr>
          <w:rFonts w:cstheme="minorHAnsi"/>
        </w:rPr>
        <w:t xml:space="preserve">Welfare Day </w:t>
      </w:r>
      <w:r w:rsidR="00E73F98">
        <w:rPr>
          <w:rFonts w:cstheme="minorHAnsi"/>
        </w:rPr>
        <w:t>il rapporto RBM</w:t>
      </w:r>
      <w:r w:rsidR="00022E26">
        <w:rPr>
          <w:rFonts w:cstheme="minorHAnsi"/>
        </w:rPr>
        <w:t xml:space="preserve"> Salute</w:t>
      </w:r>
      <w:r w:rsidR="00E73F98">
        <w:rPr>
          <w:rFonts w:cstheme="minorHAnsi"/>
        </w:rPr>
        <w:t xml:space="preserve">-Censis </w:t>
      </w:r>
      <w:r w:rsidR="00164B0D">
        <w:rPr>
          <w:rFonts w:cstheme="minorHAnsi"/>
        </w:rPr>
        <w:t xml:space="preserve">ripropone </w:t>
      </w:r>
      <w:r w:rsidR="00DD6047">
        <w:rPr>
          <w:rFonts w:cstheme="minorHAnsi"/>
        </w:rPr>
        <w:t xml:space="preserve">dati </w:t>
      </w:r>
      <w:r w:rsidR="00C81F72">
        <w:rPr>
          <w:rFonts w:cstheme="minorHAnsi"/>
        </w:rPr>
        <w:t>sempre più catastrofici. N</w:t>
      </w:r>
      <w:r w:rsidR="00491B4F">
        <w:rPr>
          <w:rFonts w:cstheme="minorHAnsi"/>
        </w:rPr>
        <w:t xml:space="preserve">ell’impossibilità di aumentare </w:t>
      </w:r>
      <w:r w:rsidR="00B2249A">
        <w:rPr>
          <w:rFonts w:cstheme="minorHAnsi"/>
        </w:rPr>
        <w:t xml:space="preserve">i 12 milioni di italiani che rinunciano alle cure e il 25% </w:t>
      </w:r>
      <w:r w:rsidR="002A0BAA">
        <w:rPr>
          <w:rFonts w:cstheme="minorHAnsi"/>
        </w:rPr>
        <w:t xml:space="preserve">della popolazione </w:t>
      </w:r>
      <w:r w:rsidR="00B2249A">
        <w:rPr>
          <w:rFonts w:cstheme="minorHAnsi"/>
        </w:rPr>
        <w:t xml:space="preserve">che </w:t>
      </w:r>
      <w:r w:rsidR="001D5275" w:rsidRPr="001D5275">
        <w:rPr>
          <w:rFonts w:cstheme="minorHAnsi"/>
        </w:rPr>
        <w:t>subisce danni economici per pagare le spese sanitarie</w:t>
      </w:r>
      <w:r w:rsidR="00B2249A">
        <w:rPr>
          <w:rFonts w:cstheme="minorHAnsi"/>
        </w:rPr>
        <w:t xml:space="preserve">, </w:t>
      </w:r>
      <w:r w:rsidR="002A0BAA">
        <w:rPr>
          <w:rFonts w:cstheme="minorHAnsi"/>
        </w:rPr>
        <w:t xml:space="preserve">quest’anno </w:t>
      </w:r>
      <w:r w:rsidR="00C54F38">
        <w:rPr>
          <w:rFonts w:cstheme="minorHAnsi"/>
        </w:rPr>
        <w:t xml:space="preserve">è </w:t>
      </w:r>
      <w:r w:rsidR="001D5275">
        <w:rPr>
          <w:rFonts w:cstheme="minorHAnsi"/>
        </w:rPr>
        <w:t xml:space="preserve">allarme </w:t>
      </w:r>
      <w:r w:rsidR="00A41B03">
        <w:rPr>
          <w:rFonts w:cstheme="minorHAnsi"/>
        </w:rPr>
        <w:t>indebitamento</w:t>
      </w:r>
      <w:r>
        <w:rPr>
          <w:rFonts w:cstheme="minorHAnsi"/>
        </w:rPr>
        <w:t>: n</w:t>
      </w:r>
      <w:r w:rsidRPr="004F297A">
        <w:rPr>
          <w:rFonts w:cstheme="minorHAnsi"/>
        </w:rPr>
        <w:t xml:space="preserve">ell'ultimo anno </w:t>
      </w:r>
      <w:r w:rsidR="00FA5614" w:rsidRPr="004F297A">
        <w:rPr>
          <w:rFonts w:cstheme="minorHAnsi"/>
        </w:rPr>
        <w:t xml:space="preserve">7 milioni di italiani </w:t>
      </w:r>
      <w:r w:rsidR="00164B0D">
        <w:rPr>
          <w:rFonts w:cstheme="minorHAnsi"/>
        </w:rPr>
        <w:t>“</w:t>
      </w:r>
      <w:r w:rsidR="00FA5614">
        <w:rPr>
          <w:rFonts w:cstheme="minorHAnsi"/>
        </w:rPr>
        <w:t>si sarebbero indebitati</w:t>
      </w:r>
      <w:r w:rsidR="00164B0D">
        <w:rPr>
          <w:rFonts w:cstheme="minorHAnsi"/>
        </w:rPr>
        <w:t>”</w:t>
      </w:r>
      <w:r w:rsidR="00FA5614">
        <w:rPr>
          <w:rFonts w:cstheme="minorHAnsi"/>
        </w:rPr>
        <w:t xml:space="preserve"> </w:t>
      </w:r>
      <w:r w:rsidRPr="004F297A">
        <w:rPr>
          <w:rFonts w:cstheme="minorHAnsi"/>
        </w:rPr>
        <w:t xml:space="preserve">per pagare le spese per la salute </w:t>
      </w:r>
      <w:r>
        <w:rPr>
          <w:rFonts w:cstheme="minorHAnsi"/>
        </w:rPr>
        <w:t xml:space="preserve">e </w:t>
      </w:r>
      <w:r w:rsidRPr="004F297A">
        <w:rPr>
          <w:rFonts w:cstheme="minorHAnsi"/>
        </w:rPr>
        <w:t xml:space="preserve">2,8 milioni </w:t>
      </w:r>
      <w:r w:rsidR="00164B0D">
        <w:rPr>
          <w:rFonts w:cstheme="minorHAnsi"/>
        </w:rPr>
        <w:t>“avrebbero</w:t>
      </w:r>
      <w:r w:rsidRPr="004F297A">
        <w:rPr>
          <w:rFonts w:cstheme="minorHAnsi"/>
        </w:rPr>
        <w:t xml:space="preserve"> dovuto usare</w:t>
      </w:r>
      <w:r w:rsidR="00164B0D">
        <w:rPr>
          <w:rFonts w:cstheme="minorHAnsi"/>
        </w:rPr>
        <w:t>”</w:t>
      </w:r>
      <w:r w:rsidRPr="004F297A">
        <w:rPr>
          <w:rFonts w:cstheme="minorHAnsi"/>
        </w:rPr>
        <w:t xml:space="preserve"> il ricavato della vendita di una casa o svincolare risparmi.</w:t>
      </w:r>
    </w:p>
    <w:p w14:paraId="444FB4CB" w14:textId="0A3C3C0E" w:rsidR="00C54F38" w:rsidRDefault="00C54F38" w:rsidP="00C54F38">
      <w:pPr>
        <w:rPr>
          <w:rFonts w:cstheme="minorHAnsi"/>
        </w:rPr>
      </w:pPr>
      <w:r w:rsidRPr="00D26331">
        <w:rPr>
          <w:rFonts w:cstheme="minorHAnsi"/>
        </w:rPr>
        <w:t>«</w:t>
      </w:r>
      <w:r>
        <w:rPr>
          <w:rFonts w:cstheme="minorHAnsi"/>
        </w:rPr>
        <w:t>Il sodalizio R</w:t>
      </w:r>
      <w:r w:rsidR="008F3C50">
        <w:rPr>
          <w:rFonts w:cstheme="minorHAnsi"/>
        </w:rPr>
        <w:t>BM Salute-</w:t>
      </w:r>
      <w:r>
        <w:rPr>
          <w:rFonts w:cstheme="minorHAnsi"/>
        </w:rPr>
        <w:t xml:space="preserve">Censis </w:t>
      </w:r>
      <w:r w:rsidRPr="00D26331">
        <w:rPr>
          <w:rFonts w:cstheme="minorHAnsi"/>
        </w:rPr>
        <w:t>–</w:t>
      </w:r>
      <w:r>
        <w:rPr>
          <w:rFonts w:cstheme="minorHAnsi"/>
        </w:rPr>
        <w:t xml:space="preserve"> afferma </w:t>
      </w:r>
      <w:r w:rsidRPr="00D26331">
        <w:rPr>
          <w:rFonts w:cstheme="minorHAnsi"/>
        </w:rPr>
        <w:t>Nino Cartabellotta</w:t>
      </w:r>
      <w:r>
        <w:rPr>
          <w:rFonts w:cstheme="minorHAnsi"/>
        </w:rPr>
        <w:t>, presidente della Fondazione GIMBE</w:t>
      </w:r>
      <w:r w:rsidRPr="00D26331">
        <w:rPr>
          <w:rFonts w:cstheme="minorHAnsi"/>
        </w:rPr>
        <w:t xml:space="preserve"> –</w:t>
      </w:r>
      <w:r>
        <w:rPr>
          <w:rFonts w:cstheme="minorHAnsi"/>
        </w:rPr>
        <w:t xml:space="preserve"> si configura come un collaudato team di pallavolo: </w:t>
      </w:r>
      <w:r w:rsidR="008F3C50">
        <w:rPr>
          <w:rFonts w:cstheme="minorHAnsi"/>
        </w:rPr>
        <w:t xml:space="preserve">il prestigioso istituto di ricerca </w:t>
      </w:r>
      <w:r>
        <w:rPr>
          <w:rFonts w:cstheme="minorHAnsi"/>
        </w:rPr>
        <w:t>alza la palla, producendo ogni anno dati sempre più allarmanti</w:t>
      </w:r>
      <w:r w:rsidR="0016141F">
        <w:rPr>
          <w:rFonts w:cstheme="minorHAnsi"/>
        </w:rPr>
        <w:t xml:space="preserve"> e</w:t>
      </w:r>
      <w:r>
        <w:rPr>
          <w:rFonts w:cstheme="minorHAnsi"/>
        </w:rPr>
        <w:t xml:space="preserve"> </w:t>
      </w:r>
      <w:r w:rsidR="008F3C50">
        <w:rPr>
          <w:rFonts w:cstheme="minorHAnsi"/>
        </w:rPr>
        <w:t xml:space="preserve">la compagnia assicurativa </w:t>
      </w:r>
      <w:r>
        <w:rPr>
          <w:rFonts w:cstheme="minorHAnsi"/>
        </w:rPr>
        <w:t>schiaccia sempre nella stessa direzione: la necessità di un “secondo pilastro” intermediato da fondi e assicurazioni è ormai inderogabile per ridurre la spesa delle famiglie e garantire la sostenibilità del servizio sanitario nazionale</w:t>
      </w:r>
      <w:r w:rsidRPr="00D26331">
        <w:rPr>
          <w:rFonts w:cstheme="minorHAnsi"/>
        </w:rPr>
        <w:t>».</w:t>
      </w:r>
    </w:p>
    <w:p w14:paraId="7028C588" w14:textId="443EABFB" w:rsidR="00496192" w:rsidRDefault="00DD6047" w:rsidP="00A26C52">
      <w:pPr>
        <w:rPr>
          <w:rFonts w:cstheme="minorHAnsi"/>
        </w:rPr>
      </w:pPr>
      <w:r>
        <w:rPr>
          <w:rFonts w:cstheme="minorHAnsi"/>
        </w:rPr>
        <w:t xml:space="preserve">Gli inquietanti </w:t>
      </w:r>
      <w:r w:rsidR="000B56FE" w:rsidRPr="000B56FE">
        <w:rPr>
          <w:rFonts w:cstheme="minorHAnsi"/>
        </w:rPr>
        <w:t xml:space="preserve">dati </w:t>
      </w:r>
      <w:r>
        <w:rPr>
          <w:rFonts w:cstheme="minorHAnsi"/>
        </w:rPr>
        <w:t>de</w:t>
      </w:r>
      <w:r w:rsidR="000B56FE" w:rsidRPr="000B56FE">
        <w:rPr>
          <w:rFonts w:cstheme="minorHAnsi"/>
        </w:rPr>
        <w:t>l Censis</w:t>
      </w:r>
      <w:r w:rsidR="000B56FE">
        <w:rPr>
          <w:rFonts w:cstheme="minorHAnsi"/>
        </w:rPr>
        <w:t xml:space="preserve"> anche quest’anno</w:t>
      </w:r>
      <w:r w:rsidR="00164B0D">
        <w:rPr>
          <w:rFonts w:cstheme="minorHAnsi"/>
        </w:rPr>
        <w:t xml:space="preserve"> </w:t>
      </w:r>
      <w:r w:rsidR="000B56FE" w:rsidRPr="000B56FE">
        <w:rPr>
          <w:rFonts w:cstheme="minorHAnsi"/>
        </w:rPr>
        <w:t>proie</w:t>
      </w:r>
      <w:r w:rsidR="00C54F38">
        <w:rPr>
          <w:rFonts w:cstheme="minorHAnsi"/>
        </w:rPr>
        <w:t xml:space="preserve">ttano </w:t>
      </w:r>
      <w:r w:rsidR="00455D6F">
        <w:rPr>
          <w:rFonts w:cstheme="minorHAnsi"/>
        </w:rPr>
        <w:t xml:space="preserve">su oltre 60 milioni di persone </w:t>
      </w:r>
      <w:r>
        <w:rPr>
          <w:rFonts w:cstheme="minorHAnsi"/>
        </w:rPr>
        <w:t>i risultati d</w:t>
      </w:r>
      <w:r w:rsidR="000B56FE" w:rsidRPr="000B56FE">
        <w:rPr>
          <w:rFonts w:cstheme="minorHAnsi"/>
        </w:rPr>
        <w:t xml:space="preserve">i </w:t>
      </w:r>
      <w:r w:rsidR="00AB1916">
        <w:rPr>
          <w:rFonts w:cstheme="minorHAnsi"/>
        </w:rPr>
        <w:t>un’indagine commissionata da RBM Salute e</w:t>
      </w:r>
      <w:r w:rsidR="000B56FE">
        <w:rPr>
          <w:rFonts w:cstheme="minorHAnsi"/>
        </w:rPr>
        <w:t xml:space="preserve"> realizzata </w:t>
      </w:r>
      <w:r w:rsidR="00491B4F">
        <w:rPr>
          <w:rFonts w:cstheme="minorHAnsi"/>
        </w:rPr>
        <w:t xml:space="preserve">tramite </w:t>
      </w:r>
      <w:r w:rsidR="00455D6F">
        <w:rPr>
          <w:rFonts w:cstheme="minorHAnsi"/>
        </w:rPr>
        <w:t xml:space="preserve">un </w:t>
      </w:r>
      <w:r w:rsidR="000B56FE" w:rsidRPr="000B56FE">
        <w:rPr>
          <w:rFonts w:cstheme="minorHAnsi"/>
        </w:rPr>
        <w:t>question</w:t>
      </w:r>
      <w:r w:rsidR="000B56FE">
        <w:rPr>
          <w:rFonts w:cstheme="minorHAnsi"/>
        </w:rPr>
        <w:t xml:space="preserve">ario strutturato </w:t>
      </w:r>
      <w:r w:rsidR="00491B4F">
        <w:rPr>
          <w:rFonts w:cstheme="minorHAnsi"/>
        </w:rPr>
        <w:t xml:space="preserve">somministrato </w:t>
      </w:r>
      <w:r w:rsidR="00740A57">
        <w:rPr>
          <w:rFonts w:cstheme="minorHAnsi"/>
        </w:rPr>
        <w:t xml:space="preserve">ad un campione </w:t>
      </w:r>
      <w:r w:rsidR="000B56FE" w:rsidRPr="000B56FE">
        <w:rPr>
          <w:rFonts w:cstheme="minorHAnsi"/>
        </w:rPr>
        <w:t xml:space="preserve">rappresentativo di 1.000 adulti </w:t>
      </w:r>
      <w:r w:rsidR="00E94D39">
        <w:rPr>
          <w:rFonts w:cstheme="minorHAnsi"/>
        </w:rPr>
        <w:t>maggiorenni</w:t>
      </w:r>
      <w:r w:rsidR="000B56FE" w:rsidRPr="000B56FE">
        <w:rPr>
          <w:rFonts w:cstheme="minorHAnsi"/>
        </w:rPr>
        <w:t xml:space="preserve"> residenti in Italia</w:t>
      </w:r>
      <w:r w:rsidR="00455D6F">
        <w:rPr>
          <w:rFonts w:cstheme="minorHAnsi"/>
        </w:rPr>
        <w:t xml:space="preserve">. </w:t>
      </w:r>
      <w:r w:rsidR="00A26C52">
        <w:rPr>
          <w:rFonts w:cstheme="minorHAnsi"/>
        </w:rPr>
        <w:t xml:space="preserve">Numerose le </w:t>
      </w:r>
      <w:r w:rsidR="00455D6F">
        <w:rPr>
          <w:rFonts w:cstheme="minorHAnsi"/>
        </w:rPr>
        <w:t>criticità metodologiche: innanzitutto, non si conoscono le domande del questionario; in secondo luogo</w:t>
      </w:r>
      <w:r w:rsidR="00A26C52">
        <w:rPr>
          <w:rFonts w:cstheme="minorHAnsi"/>
        </w:rPr>
        <w:t>,</w:t>
      </w:r>
      <w:r w:rsidR="00455D6F">
        <w:rPr>
          <w:rFonts w:cstheme="minorHAnsi"/>
        </w:rPr>
        <w:t xml:space="preserve"> l</w:t>
      </w:r>
      <w:r w:rsidR="00A26C52">
        <w:rPr>
          <w:rFonts w:cstheme="minorHAnsi"/>
        </w:rPr>
        <w:t xml:space="preserve">e tecniche per </w:t>
      </w:r>
      <w:r w:rsidR="00455D6F">
        <w:rPr>
          <w:rFonts w:cstheme="minorHAnsi"/>
        </w:rPr>
        <w:t>s</w:t>
      </w:r>
      <w:r w:rsidR="00A26C52">
        <w:rPr>
          <w:rFonts w:cstheme="minorHAnsi"/>
        </w:rPr>
        <w:t>elezionare gli</w:t>
      </w:r>
      <w:r w:rsidR="000B56FE">
        <w:rPr>
          <w:rFonts w:cstheme="minorHAnsi"/>
        </w:rPr>
        <w:t xml:space="preserve"> </w:t>
      </w:r>
      <w:r w:rsidR="00455D6F">
        <w:rPr>
          <w:rFonts w:cstheme="minorHAnsi"/>
        </w:rPr>
        <w:t xml:space="preserve">intervistati </w:t>
      </w:r>
      <w:r w:rsidR="000B56FE">
        <w:rPr>
          <w:rFonts w:cstheme="minorHAnsi"/>
        </w:rPr>
        <w:t xml:space="preserve">non permettono di escludere </w:t>
      </w:r>
      <w:r w:rsidR="002F7D4C">
        <w:rPr>
          <w:rFonts w:cstheme="minorHAnsi"/>
        </w:rPr>
        <w:t>un</w:t>
      </w:r>
      <w:r w:rsidR="000B56FE">
        <w:rPr>
          <w:rFonts w:cstheme="minorHAnsi"/>
        </w:rPr>
        <w:t xml:space="preserve"> “campionamento di convenienza”</w:t>
      </w:r>
      <w:r w:rsidR="00455D6F">
        <w:rPr>
          <w:rFonts w:cstheme="minorHAnsi"/>
        </w:rPr>
        <w:t xml:space="preserve">; </w:t>
      </w:r>
      <w:r w:rsidR="00A26C52">
        <w:rPr>
          <w:rFonts w:cstheme="minorHAnsi"/>
        </w:rPr>
        <w:t xml:space="preserve">ancora, non vengono riportati margini di variabilità sulle stime ottenute; </w:t>
      </w:r>
      <w:r w:rsidR="00455D6F">
        <w:rPr>
          <w:rFonts w:cstheme="minorHAnsi"/>
        </w:rPr>
        <w:t xml:space="preserve">infine, </w:t>
      </w:r>
      <w:r w:rsidR="00445CE5">
        <w:rPr>
          <w:rFonts w:cstheme="minorHAnsi"/>
        </w:rPr>
        <w:t>il margine di errore del ± 3</w:t>
      </w:r>
      <w:r w:rsidR="00022E26">
        <w:rPr>
          <w:rFonts w:cstheme="minorHAnsi"/>
        </w:rPr>
        <w:t>,</w:t>
      </w:r>
      <w:r w:rsidR="00445CE5">
        <w:rPr>
          <w:rFonts w:cstheme="minorHAnsi"/>
        </w:rPr>
        <w:t>1%</w:t>
      </w:r>
      <w:r w:rsidR="0055326D">
        <w:rPr>
          <w:rFonts w:cstheme="minorHAnsi"/>
        </w:rPr>
        <w:t>,</w:t>
      </w:r>
      <w:r w:rsidR="00445CE5">
        <w:rPr>
          <w:rFonts w:cstheme="minorHAnsi"/>
        </w:rPr>
        <w:t xml:space="preserve"> </w:t>
      </w:r>
      <w:r w:rsidR="00FA5614">
        <w:rPr>
          <w:rFonts w:cstheme="minorHAnsi"/>
        </w:rPr>
        <w:t>riferito all’</w:t>
      </w:r>
      <w:r w:rsidR="00445CE5">
        <w:rPr>
          <w:rFonts w:cstheme="minorHAnsi"/>
        </w:rPr>
        <w:t xml:space="preserve">intero campione, </w:t>
      </w:r>
      <w:r w:rsidR="00A26C52">
        <w:rPr>
          <w:rFonts w:cstheme="minorHAnsi"/>
        </w:rPr>
        <w:t xml:space="preserve">risulta </w:t>
      </w:r>
      <w:r w:rsidR="00164B0D">
        <w:rPr>
          <w:rFonts w:cstheme="minorHAnsi"/>
        </w:rPr>
        <w:t xml:space="preserve">di gran lunga più elevato </w:t>
      </w:r>
      <w:r w:rsidR="00445CE5">
        <w:rPr>
          <w:rFonts w:cstheme="minorHAnsi"/>
        </w:rPr>
        <w:t xml:space="preserve">per </w:t>
      </w:r>
      <w:r w:rsidR="005F4164">
        <w:rPr>
          <w:rFonts w:cstheme="minorHAnsi"/>
        </w:rPr>
        <w:t xml:space="preserve">ciascuno dei sottogruppi ottenuti all’interno delle </w:t>
      </w:r>
      <w:r w:rsidR="00445CE5">
        <w:rPr>
          <w:rFonts w:cstheme="minorHAnsi"/>
        </w:rPr>
        <w:t>variabili di stratificazione</w:t>
      </w:r>
      <w:r w:rsidR="00022E26">
        <w:rPr>
          <w:rFonts w:cstheme="minorHAnsi"/>
        </w:rPr>
        <w:t xml:space="preserve"> (</w:t>
      </w:r>
      <w:r w:rsidR="00445CE5">
        <w:rPr>
          <w:rFonts w:cstheme="minorHAnsi"/>
        </w:rPr>
        <w:t xml:space="preserve">classe </w:t>
      </w:r>
      <w:r w:rsidR="00445CE5" w:rsidRPr="00445CE5">
        <w:rPr>
          <w:rFonts w:cstheme="minorHAnsi"/>
        </w:rPr>
        <w:t>di età, genere</w:t>
      </w:r>
      <w:r w:rsidR="00445CE5">
        <w:rPr>
          <w:rFonts w:cstheme="minorHAnsi"/>
        </w:rPr>
        <w:t>,</w:t>
      </w:r>
      <w:r w:rsidR="00445CE5" w:rsidRPr="00445CE5">
        <w:rPr>
          <w:rFonts w:cstheme="minorHAnsi"/>
        </w:rPr>
        <w:t xml:space="preserve"> </w:t>
      </w:r>
      <w:r w:rsidR="00445CE5">
        <w:rPr>
          <w:rFonts w:cstheme="minorHAnsi"/>
        </w:rPr>
        <w:t xml:space="preserve">area geografica di </w:t>
      </w:r>
      <w:r w:rsidR="00445CE5" w:rsidRPr="00445CE5">
        <w:rPr>
          <w:rFonts w:cstheme="minorHAnsi"/>
        </w:rPr>
        <w:t>residenza</w:t>
      </w:r>
      <w:r w:rsidR="00740A57">
        <w:rPr>
          <w:rFonts w:cstheme="minorHAnsi"/>
        </w:rPr>
        <w:t>,</w:t>
      </w:r>
      <w:r w:rsidR="00445CE5" w:rsidRPr="00445CE5">
        <w:rPr>
          <w:rFonts w:cstheme="minorHAnsi"/>
        </w:rPr>
        <w:t xml:space="preserve"> ampiezza demografica del</w:t>
      </w:r>
      <w:r w:rsidR="00445CE5">
        <w:rPr>
          <w:rFonts w:cstheme="minorHAnsi"/>
        </w:rPr>
        <w:t xml:space="preserve"> comune di residenza</w:t>
      </w:r>
      <w:r w:rsidR="00022E26">
        <w:rPr>
          <w:rFonts w:cstheme="minorHAnsi"/>
        </w:rPr>
        <w:t>)</w:t>
      </w:r>
      <w:r w:rsidR="00445CE5">
        <w:rPr>
          <w:rFonts w:cstheme="minorHAnsi"/>
        </w:rPr>
        <w:t>.</w:t>
      </w:r>
      <w:r w:rsidR="00A26C52">
        <w:rPr>
          <w:rFonts w:cstheme="minorHAnsi"/>
        </w:rPr>
        <w:t xml:space="preserve"> </w:t>
      </w:r>
      <w:r w:rsidR="00740A57">
        <w:rPr>
          <w:rFonts w:cstheme="minorHAnsi"/>
        </w:rPr>
        <w:t>Lo scorso anno, p</w:t>
      </w:r>
      <w:r w:rsidR="008F3C50">
        <w:rPr>
          <w:rFonts w:cstheme="minorHAnsi"/>
        </w:rPr>
        <w:t xml:space="preserve">er </w:t>
      </w:r>
      <w:r w:rsidR="00740A57">
        <w:rPr>
          <w:rFonts w:cstheme="minorHAnsi"/>
        </w:rPr>
        <w:t xml:space="preserve">le stesse </w:t>
      </w:r>
      <w:r w:rsidR="008F3C50">
        <w:rPr>
          <w:rFonts w:cstheme="minorHAnsi"/>
        </w:rPr>
        <w:t>ragioni</w:t>
      </w:r>
      <w:r w:rsidR="00022E26">
        <w:rPr>
          <w:rFonts w:cstheme="minorHAnsi"/>
        </w:rPr>
        <w:t>,</w:t>
      </w:r>
      <w:r w:rsidR="00740A57">
        <w:rPr>
          <w:rFonts w:cstheme="minorHAnsi"/>
        </w:rPr>
        <w:t xml:space="preserve"> </w:t>
      </w:r>
      <w:r w:rsidR="008F3C50">
        <w:rPr>
          <w:rFonts w:cstheme="minorHAnsi"/>
        </w:rPr>
        <w:t xml:space="preserve">puntualizza il Presidente </w:t>
      </w:r>
      <w:r w:rsidR="00D26331" w:rsidRPr="00D26331">
        <w:rPr>
          <w:rFonts w:cstheme="minorHAnsi"/>
        </w:rPr>
        <w:t>«</w:t>
      </w:r>
      <w:r w:rsidR="00D20002">
        <w:rPr>
          <w:rFonts w:cstheme="minorHAnsi"/>
        </w:rPr>
        <w:t>il Ministero della Salute, con il comunicato stampa</w:t>
      </w:r>
      <w:r w:rsidR="00164B0D">
        <w:rPr>
          <w:rFonts w:cstheme="minorHAnsi"/>
        </w:rPr>
        <w:t xml:space="preserve"> n. 75 </w:t>
      </w:r>
      <w:r w:rsidR="002F7D4C">
        <w:rPr>
          <w:rFonts w:cstheme="minorHAnsi"/>
        </w:rPr>
        <w:t>d</w:t>
      </w:r>
      <w:r w:rsidR="00D20002">
        <w:rPr>
          <w:rFonts w:cstheme="minorHAnsi"/>
        </w:rPr>
        <w:t xml:space="preserve">el 31 luglio, aveva smentito i dati </w:t>
      </w:r>
      <w:r w:rsidR="00AB1916">
        <w:rPr>
          <w:rFonts w:cstheme="minorHAnsi"/>
        </w:rPr>
        <w:t xml:space="preserve">del Censis </w:t>
      </w:r>
      <w:r w:rsidR="00740A57">
        <w:rPr>
          <w:rFonts w:cstheme="minorHAnsi"/>
        </w:rPr>
        <w:t>sulla</w:t>
      </w:r>
      <w:r w:rsidR="00D20002">
        <w:rPr>
          <w:rFonts w:cstheme="minorHAnsi"/>
        </w:rPr>
        <w:t xml:space="preserve"> rinuncia alle cure</w:t>
      </w:r>
      <w:r w:rsidR="00FA5614">
        <w:rPr>
          <w:rFonts w:cstheme="minorHAnsi"/>
        </w:rPr>
        <w:t>,</w:t>
      </w:r>
      <w:r w:rsidR="00D20002">
        <w:rPr>
          <w:rFonts w:cstheme="minorHAnsi"/>
        </w:rPr>
        <w:t xml:space="preserve"> sottolineando i limiti dello studio</w:t>
      </w:r>
      <w:r w:rsidR="00FA5614">
        <w:rPr>
          <w:rFonts w:cstheme="minorHAnsi"/>
        </w:rPr>
        <w:t xml:space="preserve"> </w:t>
      </w:r>
      <w:r w:rsidR="00E94D39" w:rsidRPr="00D26331">
        <w:rPr>
          <w:rFonts w:cstheme="minorHAnsi"/>
        </w:rPr>
        <w:t>–</w:t>
      </w:r>
      <w:r w:rsidR="00FA5614">
        <w:rPr>
          <w:rFonts w:cstheme="minorHAnsi"/>
        </w:rPr>
        <w:t xml:space="preserve"> i</w:t>
      </w:r>
      <w:r w:rsidR="00AB1916">
        <w:rPr>
          <w:rFonts w:cstheme="minorHAnsi"/>
        </w:rPr>
        <w:t>dentici</w:t>
      </w:r>
      <w:r w:rsidR="00D20002">
        <w:rPr>
          <w:rFonts w:cstheme="minorHAnsi"/>
        </w:rPr>
        <w:t xml:space="preserve"> a quelli del 2018</w:t>
      </w:r>
      <w:r w:rsidR="00FA5614">
        <w:rPr>
          <w:rFonts w:cstheme="minorHAnsi"/>
        </w:rPr>
        <w:t xml:space="preserve"> </w:t>
      </w:r>
      <w:r w:rsidR="00E94D39" w:rsidRPr="00D26331">
        <w:rPr>
          <w:rFonts w:cstheme="minorHAnsi"/>
        </w:rPr>
        <w:t>–</w:t>
      </w:r>
      <w:r w:rsidR="00D20002">
        <w:rPr>
          <w:rFonts w:cstheme="minorHAnsi"/>
        </w:rPr>
        <w:t xml:space="preserve"> che riportava risultati di gran lunga più catastrofici di quelli </w:t>
      </w:r>
      <w:r w:rsidR="0055326D">
        <w:rPr>
          <w:rFonts w:cstheme="minorHAnsi"/>
        </w:rPr>
        <w:t>de</w:t>
      </w:r>
      <w:r w:rsidR="00D20002">
        <w:rPr>
          <w:rFonts w:cstheme="minorHAnsi"/>
        </w:rPr>
        <w:t>ll’ISTAT e d</w:t>
      </w:r>
      <w:r w:rsidR="0055326D">
        <w:rPr>
          <w:rFonts w:cstheme="minorHAnsi"/>
        </w:rPr>
        <w:t>e</w:t>
      </w:r>
      <w:r>
        <w:rPr>
          <w:rFonts w:cstheme="minorHAnsi"/>
        </w:rPr>
        <w:t>ll’</w:t>
      </w:r>
      <w:r w:rsidRPr="00DD6047">
        <w:rPr>
          <w:rFonts w:cstheme="minorHAnsi"/>
        </w:rPr>
        <w:t>indagine europea sul reddito e le condizioni di vita delle famiglie</w:t>
      </w:r>
      <w:r w:rsidR="0069299B" w:rsidRPr="00D26331">
        <w:rPr>
          <w:rFonts w:cstheme="minorHAnsi"/>
        </w:rPr>
        <w:t>».</w:t>
      </w:r>
    </w:p>
    <w:p w14:paraId="0D40F1E4" w14:textId="5C716428" w:rsidR="00F41ABE" w:rsidRDefault="00F41ABE" w:rsidP="005F4164">
      <w:pPr>
        <w:spacing w:after="0"/>
        <w:rPr>
          <w:rFonts w:cstheme="minorHAnsi"/>
        </w:rPr>
      </w:pPr>
      <w:r>
        <w:rPr>
          <w:rFonts w:cstheme="minorHAnsi"/>
        </w:rPr>
        <w:t>Rispetto al</w:t>
      </w:r>
      <w:r w:rsidR="0055326D">
        <w:rPr>
          <w:rFonts w:cstheme="minorHAnsi"/>
        </w:rPr>
        <w:t>l</w:t>
      </w:r>
      <w:r w:rsidR="00A26C52">
        <w:rPr>
          <w:rFonts w:cstheme="minorHAnsi"/>
        </w:rPr>
        <w:t>’entità dell</w:t>
      </w:r>
      <w:r w:rsidR="0055326D">
        <w:rPr>
          <w:rFonts w:cstheme="minorHAnsi"/>
        </w:rPr>
        <w:t xml:space="preserve">a spesa sanitaria out-of-pocket, </w:t>
      </w:r>
      <w:r w:rsidR="003865E7">
        <w:rPr>
          <w:rFonts w:cstheme="minorHAnsi"/>
        </w:rPr>
        <w:t xml:space="preserve">dato </w:t>
      </w:r>
      <w:r>
        <w:rPr>
          <w:rFonts w:cstheme="minorHAnsi"/>
        </w:rPr>
        <w:t xml:space="preserve">di partenza </w:t>
      </w:r>
      <w:r w:rsidR="003865E7">
        <w:rPr>
          <w:rFonts w:cstheme="minorHAnsi"/>
        </w:rPr>
        <w:t xml:space="preserve">di questa </w:t>
      </w:r>
      <w:r>
        <w:rPr>
          <w:rFonts w:cstheme="minorHAnsi"/>
        </w:rPr>
        <w:t xml:space="preserve">raffinata strategia di marketing, </w:t>
      </w:r>
      <w:r w:rsidR="00BF7E7E">
        <w:rPr>
          <w:rFonts w:cstheme="minorHAnsi"/>
        </w:rPr>
        <w:t>precisa Cartabellotta</w:t>
      </w:r>
      <w:r w:rsidR="00EE570A">
        <w:rPr>
          <w:rFonts w:cstheme="minorHAnsi"/>
        </w:rPr>
        <w:t>,</w:t>
      </w:r>
      <w:r w:rsidR="00BF7E7E">
        <w:rPr>
          <w:rFonts w:cstheme="minorHAnsi"/>
        </w:rPr>
        <w:t xml:space="preserve"> </w:t>
      </w:r>
      <w:r w:rsidR="00EE570A" w:rsidRPr="00D26331">
        <w:rPr>
          <w:rFonts w:cstheme="minorHAnsi"/>
        </w:rPr>
        <w:t>«</w:t>
      </w:r>
      <w:r w:rsidR="00164B0D">
        <w:rPr>
          <w:rFonts w:cstheme="minorHAnsi"/>
        </w:rPr>
        <w:t>i</w:t>
      </w:r>
      <w:r>
        <w:rPr>
          <w:rFonts w:cstheme="minorHAnsi"/>
        </w:rPr>
        <w:t>l 3° Rapporto GIMBE</w:t>
      </w:r>
      <w:r w:rsidR="00BF7E7E">
        <w:rPr>
          <w:rFonts w:cstheme="minorHAnsi"/>
        </w:rPr>
        <w:t xml:space="preserve"> </w:t>
      </w:r>
      <w:r w:rsidR="00164B0D">
        <w:rPr>
          <w:rFonts w:cstheme="minorHAnsi"/>
        </w:rPr>
        <w:t>conferma</w:t>
      </w:r>
      <w:r>
        <w:rPr>
          <w:rFonts w:cstheme="minorHAnsi"/>
        </w:rPr>
        <w:t xml:space="preserve"> </w:t>
      </w:r>
      <w:r w:rsidR="003865E7">
        <w:rPr>
          <w:rFonts w:cstheme="minorHAnsi"/>
        </w:rPr>
        <w:t xml:space="preserve">sì </w:t>
      </w:r>
      <w:r>
        <w:rPr>
          <w:rFonts w:cstheme="minorHAnsi"/>
        </w:rPr>
        <w:t>che la spesa delle famiglie nel 2016 sfiora</w:t>
      </w:r>
      <w:r w:rsidR="003865E7">
        <w:rPr>
          <w:rFonts w:cstheme="minorHAnsi"/>
        </w:rPr>
        <w:t xml:space="preserve"> </w:t>
      </w:r>
      <w:r>
        <w:rPr>
          <w:rFonts w:cstheme="minorHAnsi"/>
        </w:rPr>
        <w:t xml:space="preserve">i </w:t>
      </w:r>
      <w:r w:rsidR="00C54F38">
        <w:rPr>
          <w:rFonts w:cstheme="minorHAnsi"/>
        </w:rPr>
        <w:t xml:space="preserve">€ </w:t>
      </w:r>
      <w:r>
        <w:rPr>
          <w:rFonts w:cstheme="minorHAnsi"/>
        </w:rPr>
        <w:t>40 miliardi</w:t>
      </w:r>
      <w:r w:rsidR="00254FC2">
        <w:rPr>
          <w:rFonts w:cstheme="minorHAnsi"/>
        </w:rPr>
        <w:t xml:space="preserve">, </w:t>
      </w:r>
      <w:r w:rsidR="000D0B3B">
        <w:rPr>
          <w:rFonts w:cstheme="minorHAnsi"/>
        </w:rPr>
        <w:t xml:space="preserve">ma </w:t>
      </w:r>
      <w:r w:rsidR="00164B0D">
        <w:rPr>
          <w:rFonts w:cstheme="minorHAnsi"/>
        </w:rPr>
        <w:t>non rileva</w:t>
      </w:r>
      <w:r w:rsidR="00BF7E7E">
        <w:rPr>
          <w:rFonts w:cstheme="minorHAnsi"/>
        </w:rPr>
        <w:t xml:space="preserve"> </w:t>
      </w:r>
      <w:r w:rsidR="00A26C52">
        <w:rPr>
          <w:rFonts w:cstheme="minorHAnsi"/>
        </w:rPr>
        <w:t xml:space="preserve">nessun </w:t>
      </w:r>
      <w:r w:rsidR="00BF7E7E" w:rsidRPr="00BF7E7E">
        <w:rPr>
          <w:rFonts w:cstheme="minorHAnsi"/>
        </w:rPr>
        <w:t>allarme sul</w:t>
      </w:r>
      <w:r w:rsidR="00A26C52">
        <w:rPr>
          <w:rFonts w:cstheme="minorHAnsi"/>
        </w:rPr>
        <w:t xml:space="preserve"> suo </w:t>
      </w:r>
      <w:r w:rsidR="00BF7E7E" w:rsidRPr="00BF7E7E">
        <w:rPr>
          <w:rFonts w:cstheme="minorHAnsi"/>
        </w:rPr>
        <w:t>incremento</w:t>
      </w:r>
      <w:r w:rsidR="00A26C52">
        <w:rPr>
          <w:rFonts w:cstheme="minorHAnsi"/>
        </w:rPr>
        <w:t>,</w:t>
      </w:r>
      <w:r w:rsidR="003865E7">
        <w:rPr>
          <w:rFonts w:cstheme="minorHAnsi"/>
        </w:rPr>
        <w:t xml:space="preserve"> che rimane stabile intorno al 18% sia</w:t>
      </w:r>
      <w:r w:rsidR="00BF7E7E" w:rsidRPr="00BF7E7E">
        <w:rPr>
          <w:rFonts w:cstheme="minorHAnsi"/>
        </w:rPr>
        <w:t xml:space="preserve"> nel periodo </w:t>
      </w:r>
      <w:r w:rsidR="000D0B3B">
        <w:rPr>
          <w:rFonts w:cstheme="minorHAnsi"/>
        </w:rPr>
        <w:t xml:space="preserve">della </w:t>
      </w:r>
      <w:r w:rsidR="00BF7E7E">
        <w:rPr>
          <w:rFonts w:cstheme="minorHAnsi"/>
        </w:rPr>
        <w:t>crisi (</w:t>
      </w:r>
      <w:r w:rsidR="00BF7E7E" w:rsidRPr="00BF7E7E">
        <w:rPr>
          <w:rFonts w:cstheme="minorHAnsi"/>
        </w:rPr>
        <w:t>2009-2016</w:t>
      </w:r>
      <w:r w:rsidR="00BF7E7E">
        <w:rPr>
          <w:rFonts w:cstheme="minorHAnsi"/>
        </w:rPr>
        <w:t>)</w:t>
      </w:r>
      <w:r w:rsidR="00BF7E7E" w:rsidRPr="00BF7E7E">
        <w:rPr>
          <w:rFonts w:cstheme="minorHAnsi"/>
        </w:rPr>
        <w:t xml:space="preserve"> </w:t>
      </w:r>
      <w:r w:rsidR="003865E7">
        <w:rPr>
          <w:rFonts w:cstheme="minorHAnsi"/>
        </w:rPr>
        <w:t>sia</w:t>
      </w:r>
      <w:r w:rsidR="00BF7E7E" w:rsidRPr="00BF7E7E">
        <w:rPr>
          <w:rFonts w:cstheme="minorHAnsi"/>
        </w:rPr>
        <w:t xml:space="preserve"> </w:t>
      </w:r>
      <w:r w:rsidR="003865E7">
        <w:rPr>
          <w:rFonts w:cstheme="minorHAnsi"/>
        </w:rPr>
        <w:t>nel</w:t>
      </w:r>
      <w:r w:rsidR="003865E7" w:rsidRPr="00BF7E7E">
        <w:rPr>
          <w:rFonts w:cstheme="minorHAnsi"/>
        </w:rPr>
        <w:t xml:space="preserve"> </w:t>
      </w:r>
      <w:r w:rsidR="00BF7E7E" w:rsidRPr="00BF7E7E">
        <w:rPr>
          <w:rFonts w:cstheme="minorHAnsi"/>
        </w:rPr>
        <w:t xml:space="preserve">periodo </w:t>
      </w:r>
      <w:r w:rsidR="00BF7E7E">
        <w:rPr>
          <w:rFonts w:cstheme="minorHAnsi"/>
        </w:rPr>
        <w:t>pre-crisi (</w:t>
      </w:r>
      <w:r w:rsidR="00BF7E7E" w:rsidRPr="00BF7E7E">
        <w:rPr>
          <w:rFonts w:cstheme="minorHAnsi"/>
        </w:rPr>
        <w:t>2000-2008)</w:t>
      </w:r>
      <w:r w:rsidR="00EE570A" w:rsidRPr="00D26331">
        <w:rPr>
          <w:rFonts w:cstheme="minorHAnsi"/>
        </w:rPr>
        <w:t>».</w:t>
      </w:r>
      <w:r w:rsidR="00EE570A">
        <w:rPr>
          <w:rFonts w:cstheme="minorHAnsi"/>
        </w:rPr>
        <w:t xml:space="preserve"> </w:t>
      </w:r>
      <w:r w:rsidR="000D0B3B">
        <w:rPr>
          <w:rFonts w:cstheme="minorHAnsi"/>
        </w:rPr>
        <w:t>Inoltre, l</w:t>
      </w:r>
      <w:r w:rsidR="001D5275">
        <w:rPr>
          <w:rFonts w:cstheme="minorHAnsi"/>
        </w:rPr>
        <w:t xml:space="preserve">’analisi dettagliata </w:t>
      </w:r>
      <w:r w:rsidR="0055326D">
        <w:rPr>
          <w:rFonts w:cstheme="minorHAnsi"/>
        </w:rPr>
        <w:t>del</w:t>
      </w:r>
      <w:r w:rsidR="005A1417">
        <w:rPr>
          <w:rFonts w:cstheme="minorHAnsi"/>
        </w:rPr>
        <w:t xml:space="preserve">la spesa </w:t>
      </w:r>
      <w:r w:rsidR="0055326D">
        <w:rPr>
          <w:rFonts w:cstheme="minorHAnsi"/>
        </w:rPr>
        <w:t>out-of-pocket</w:t>
      </w:r>
      <w:r w:rsidR="000D0B3B">
        <w:rPr>
          <w:rFonts w:cstheme="minorHAnsi"/>
        </w:rPr>
        <w:t xml:space="preserve"> </w:t>
      </w:r>
      <w:r w:rsidR="001D5275">
        <w:rPr>
          <w:rFonts w:cstheme="minorHAnsi"/>
        </w:rPr>
        <w:t xml:space="preserve">permette di mitigare </w:t>
      </w:r>
      <w:r w:rsidR="000D0B3B">
        <w:rPr>
          <w:rFonts w:cstheme="minorHAnsi"/>
        </w:rPr>
        <w:t xml:space="preserve">ampiamente </w:t>
      </w:r>
      <w:r w:rsidR="001D5275">
        <w:rPr>
          <w:rFonts w:cstheme="minorHAnsi"/>
        </w:rPr>
        <w:t xml:space="preserve">l’entità del fenomeno perché </w:t>
      </w:r>
      <w:r w:rsidR="003865E7">
        <w:rPr>
          <w:rFonts w:cstheme="minorHAnsi"/>
        </w:rPr>
        <w:t>d</w:t>
      </w:r>
      <w:r w:rsidR="00C54F38">
        <w:rPr>
          <w:rFonts w:cstheme="minorHAnsi"/>
        </w:rPr>
        <w:t>e</w:t>
      </w:r>
      <w:r w:rsidR="003865E7">
        <w:rPr>
          <w:rFonts w:cstheme="minorHAnsi"/>
        </w:rPr>
        <w:t xml:space="preserve">i </w:t>
      </w:r>
      <w:r w:rsidR="00C54F38">
        <w:rPr>
          <w:rFonts w:cstheme="minorHAnsi"/>
        </w:rPr>
        <w:t xml:space="preserve">€ </w:t>
      </w:r>
      <w:r w:rsidR="001D5275">
        <w:rPr>
          <w:rFonts w:cstheme="minorHAnsi"/>
        </w:rPr>
        <w:t>40 miliardi</w:t>
      </w:r>
      <w:r>
        <w:rPr>
          <w:rFonts w:cstheme="minorHAnsi"/>
        </w:rPr>
        <w:t>:</w:t>
      </w:r>
    </w:p>
    <w:p w14:paraId="0F8C6B62" w14:textId="77777777" w:rsidR="00F41ABE" w:rsidRDefault="00F41ABE" w:rsidP="005F4164">
      <w:pPr>
        <w:pStyle w:val="Paragrafoelenco"/>
        <w:numPr>
          <w:ilvl w:val="0"/>
          <w:numId w:val="24"/>
        </w:numPr>
        <w:spacing w:line="276" w:lineRule="auto"/>
        <w:rPr>
          <w:rFonts w:cstheme="minorHAnsi"/>
        </w:rPr>
      </w:pPr>
      <w:r w:rsidRPr="00F41ABE">
        <w:rPr>
          <w:rFonts w:cstheme="minorHAnsi"/>
        </w:rPr>
        <w:t>€ 3.362</w:t>
      </w:r>
      <w:r>
        <w:rPr>
          <w:rFonts w:cstheme="minorHAnsi"/>
        </w:rPr>
        <w:t xml:space="preserve"> milioni </w:t>
      </w:r>
      <w:r w:rsidR="001D5275">
        <w:rPr>
          <w:rFonts w:cstheme="minorHAnsi"/>
        </w:rPr>
        <w:t>vengono “</w:t>
      </w:r>
      <w:r>
        <w:rPr>
          <w:rFonts w:cstheme="minorHAnsi"/>
        </w:rPr>
        <w:t>restituiti</w:t>
      </w:r>
      <w:r w:rsidR="001D5275">
        <w:rPr>
          <w:rFonts w:cstheme="minorHAnsi"/>
        </w:rPr>
        <w:t>”</w:t>
      </w:r>
      <w:r>
        <w:rPr>
          <w:rFonts w:cstheme="minorHAnsi"/>
        </w:rPr>
        <w:t xml:space="preserve"> dallo Stato sotto forma di detrazioni fiscali</w:t>
      </w:r>
    </w:p>
    <w:p w14:paraId="190040E2" w14:textId="3358A157" w:rsidR="00F41ABE" w:rsidRDefault="00F41ABE" w:rsidP="005F4164">
      <w:pPr>
        <w:pStyle w:val="Paragrafoelenco"/>
        <w:numPr>
          <w:ilvl w:val="0"/>
          <w:numId w:val="24"/>
        </w:numPr>
        <w:spacing w:line="276" w:lineRule="auto"/>
        <w:rPr>
          <w:rFonts w:cstheme="minorHAnsi"/>
        </w:rPr>
      </w:pPr>
      <w:r w:rsidRPr="00F41ABE">
        <w:rPr>
          <w:rFonts w:cstheme="minorHAnsi"/>
        </w:rPr>
        <w:lastRenderedPageBreak/>
        <w:t>€ 1.310</w:t>
      </w:r>
      <w:r>
        <w:rPr>
          <w:rFonts w:cstheme="minorHAnsi"/>
        </w:rPr>
        <w:t xml:space="preserve"> milioni </w:t>
      </w:r>
      <w:r w:rsidR="001D5275">
        <w:rPr>
          <w:rFonts w:cstheme="minorHAnsi"/>
        </w:rPr>
        <w:t xml:space="preserve">sono </w:t>
      </w:r>
      <w:r>
        <w:rPr>
          <w:rFonts w:cstheme="minorHAnsi"/>
        </w:rPr>
        <w:t xml:space="preserve">relativi all’acquisto di farmaci di fascia A, </w:t>
      </w:r>
      <w:r w:rsidR="0055326D">
        <w:rPr>
          <w:rFonts w:cstheme="minorHAnsi"/>
        </w:rPr>
        <w:t xml:space="preserve">virtualmente </w:t>
      </w:r>
      <w:r>
        <w:rPr>
          <w:rFonts w:cstheme="minorHAnsi"/>
        </w:rPr>
        <w:t xml:space="preserve">a carico del SSN, ma che </w:t>
      </w:r>
      <w:r w:rsidR="0055326D">
        <w:rPr>
          <w:rFonts w:cstheme="minorHAnsi"/>
        </w:rPr>
        <w:t xml:space="preserve">i cittadini acquistano in autonomia </w:t>
      </w:r>
      <w:r w:rsidR="003865E7">
        <w:rPr>
          <w:rFonts w:cstheme="minorHAnsi"/>
        </w:rPr>
        <w:t>per loro volontà</w:t>
      </w:r>
    </w:p>
    <w:p w14:paraId="39C5CD02" w14:textId="74A2E14B" w:rsidR="00A24341" w:rsidRPr="00A24341" w:rsidRDefault="00A24341" w:rsidP="005F4164">
      <w:pPr>
        <w:pStyle w:val="Paragrafoelenco"/>
        <w:numPr>
          <w:ilvl w:val="0"/>
          <w:numId w:val="24"/>
        </w:numPr>
        <w:spacing w:line="276" w:lineRule="auto"/>
        <w:rPr>
          <w:rFonts w:cstheme="minorHAnsi"/>
        </w:rPr>
      </w:pPr>
      <w:r w:rsidRPr="00A24341">
        <w:rPr>
          <w:rFonts w:cstheme="minorHAnsi"/>
        </w:rPr>
        <w:t>€ 1,5 miliardi sono destinati alla compartecipazione della spesa</w:t>
      </w:r>
      <w:r>
        <w:rPr>
          <w:rFonts w:cstheme="minorHAnsi"/>
        </w:rPr>
        <w:t xml:space="preserve"> per i farmaci</w:t>
      </w:r>
      <w:r w:rsidRPr="00A24341">
        <w:rPr>
          <w:rFonts w:cstheme="minorHAnsi"/>
        </w:rPr>
        <w:t>, ma di questi € 1 miliardo viene sborsato per acquistare farmaci brand al posto degli equivalenti</w:t>
      </w:r>
    </w:p>
    <w:p w14:paraId="74569453" w14:textId="34736632" w:rsidR="007F0A21" w:rsidRDefault="007F0A21" w:rsidP="005F4164">
      <w:pPr>
        <w:pStyle w:val="Paragrafoelenco"/>
        <w:numPr>
          <w:ilvl w:val="0"/>
          <w:numId w:val="24"/>
        </w:numPr>
        <w:spacing w:line="276" w:lineRule="auto"/>
        <w:rPr>
          <w:rFonts w:cstheme="minorHAnsi"/>
        </w:rPr>
      </w:pPr>
      <w:r>
        <w:rPr>
          <w:rFonts w:cstheme="minorHAnsi"/>
        </w:rPr>
        <w:t>€ 5.900 milioni sono destinati a p</w:t>
      </w:r>
      <w:r w:rsidRPr="00F41ABE">
        <w:rPr>
          <w:rFonts w:cstheme="minorHAnsi"/>
        </w:rPr>
        <w:t xml:space="preserve">rodotti omeopatici, erboristici, integratori, </w:t>
      </w:r>
      <w:r>
        <w:rPr>
          <w:rFonts w:cstheme="minorHAnsi"/>
        </w:rPr>
        <w:t>nutrizionali, parafarmaci, etc</w:t>
      </w:r>
      <w:r w:rsidR="0055326D">
        <w:rPr>
          <w:rFonts w:cstheme="minorHAnsi"/>
        </w:rPr>
        <w:t>.</w:t>
      </w:r>
      <w:r>
        <w:rPr>
          <w:rFonts w:cstheme="minorHAnsi"/>
        </w:rPr>
        <w:t xml:space="preserve">, </w:t>
      </w:r>
      <w:r w:rsidR="0055326D">
        <w:rPr>
          <w:rFonts w:cstheme="minorHAnsi"/>
        </w:rPr>
        <w:t xml:space="preserve">voce di </w:t>
      </w:r>
      <w:r>
        <w:rPr>
          <w:rFonts w:cstheme="minorHAnsi"/>
        </w:rPr>
        <w:t xml:space="preserve">spesa peraltro esclusa dai nuovi conti della sanità dell’ISTAT </w:t>
      </w:r>
    </w:p>
    <w:p w14:paraId="388522BF" w14:textId="27A9FC8C" w:rsidR="00254FC2" w:rsidRDefault="00254FC2" w:rsidP="005F4164">
      <w:pPr>
        <w:pStyle w:val="Paragrafoelenco"/>
        <w:numPr>
          <w:ilvl w:val="0"/>
          <w:numId w:val="2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€ 5.215 milioni </w:t>
      </w:r>
      <w:r w:rsidR="00B72277">
        <w:rPr>
          <w:rFonts w:cstheme="minorHAnsi"/>
        </w:rPr>
        <w:t xml:space="preserve">vengono spesi </w:t>
      </w:r>
      <w:r>
        <w:rPr>
          <w:rFonts w:cstheme="minorHAnsi"/>
        </w:rPr>
        <w:t xml:space="preserve">per farmaci di fascia C e di </w:t>
      </w:r>
      <w:r w:rsidR="0055326D">
        <w:rPr>
          <w:rFonts w:cstheme="minorHAnsi"/>
        </w:rPr>
        <w:t>automedicazione</w:t>
      </w:r>
      <w:r>
        <w:rPr>
          <w:rFonts w:cstheme="minorHAnsi"/>
        </w:rPr>
        <w:t xml:space="preserve">, buona parte dei quali </w:t>
      </w:r>
      <w:r w:rsidR="001D5275">
        <w:rPr>
          <w:rFonts w:cstheme="minorHAnsi"/>
        </w:rPr>
        <w:t xml:space="preserve">sono </w:t>
      </w:r>
      <w:r>
        <w:rPr>
          <w:rFonts w:cstheme="minorHAnsi"/>
        </w:rPr>
        <w:t>di efficacia non dimostrata</w:t>
      </w:r>
    </w:p>
    <w:p w14:paraId="6692D71F" w14:textId="77777777" w:rsidR="00254FC2" w:rsidRDefault="00254FC2" w:rsidP="005F4164">
      <w:pPr>
        <w:pStyle w:val="Paragrafoelenco"/>
        <w:numPr>
          <w:ilvl w:val="0"/>
          <w:numId w:val="2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€ 11.000 milioni </w:t>
      </w:r>
      <w:r w:rsidR="00A24341">
        <w:rPr>
          <w:rFonts w:cstheme="minorHAnsi"/>
        </w:rPr>
        <w:t xml:space="preserve">(che includono € 1.300 milioni di ticket) </w:t>
      </w:r>
      <w:r w:rsidR="00B72277">
        <w:rPr>
          <w:rFonts w:cstheme="minorHAnsi"/>
        </w:rPr>
        <w:t xml:space="preserve">sono destinati a </w:t>
      </w:r>
      <w:r>
        <w:rPr>
          <w:rFonts w:cstheme="minorHAnsi"/>
        </w:rPr>
        <w:t>visite specialistiche e</w:t>
      </w:r>
      <w:r w:rsidR="007F0A21">
        <w:rPr>
          <w:rFonts w:cstheme="minorHAnsi"/>
        </w:rPr>
        <w:t>d</w:t>
      </w:r>
      <w:r>
        <w:rPr>
          <w:rFonts w:cstheme="minorHAnsi"/>
        </w:rPr>
        <w:t xml:space="preserve"> </w:t>
      </w:r>
      <w:r w:rsidR="007F0A21">
        <w:rPr>
          <w:rFonts w:cstheme="minorHAnsi"/>
        </w:rPr>
        <w:t xml:space="preserve">esami </w:t>
      </w:r>
      <w:r>
        <w:rPr>
          <w:rFonts w:cstheme="minorHAnsi"/>
        </w:rPr>
        <w:t>diagnostici di laboratorio e strumentali</w:t>
      </w:r>
      <w:r w:rsidR="00A24341">
        <w:rPr>
          <w:rFonts w:cstheme="minorHAnsi"/>
        </w:rPr>
        <w:t xml:space="preserve">, </w:t>
      </w:r>
      <w:r>
        <w:rPr>
          <w:rFonts w:cstheme="minorHAnsi"/>
        </w:rPr>
        <w:t>di cui una</w:t>
      </w:r>
      <w:r w:rsidR="00EE570A">
        <w:rPr>
          <w:rFonts w:cstheme="minorHAnsi"/>
        </w:rPr>
        <w:t xml:space="preserve"> variabile</w:t>
      </w:r>
      <w:r>
        <w:rPr>
          <w:rFonts w:cstheme="minorHAnsi"/>
        </w:rPr>
        <w:t xml:space="preserve"> percentuale del 30-50%</w:t>
      </w:r>
      <w:r w:rsidR="007F0A21">
        <w:rPr>
          <w:rFonts w:cstheme="minorHAnsi"/>
        </w:rPr>
        <w:t xml:space="preserve"> </w:t>
      </w:r>
      <w:r>
        <w:rPr>
          <w:rFonts w:cstheme="minorHAnsi"/>
        </w:rPr>
        <w:t>secondo stime internazionali è inappropriata</w:t>
      </w:r>
    </w:p>
    <w:p w14:paraId="2A53A305" w14:textId="3F4A5BE7" w:rsidR="00254FC2" w:rsidRDefault="00254FC2" w:rsidP="005F4164">
      <w:pPr>
        <w:pStyle w:val="Paragrafoelenco"/>
        <w:numPr>
          <w:ilvl w:val="0"/>
          <w:numId w:val="2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€ 8.500 milioni </w:t>
      </w:r>
      <w:r w:rsidR="00B72277">
        <w:rPr>
          <w:rFonts w:cstheme="minorHAnsi"/>
        </w:rPr>
        <w:t xml:space="preserve">vanno </w:t>
      </w:r>
      <w:r>
        <w:rPr>
          <w:rFonts w:cstheme="minorHAnsi"/>
        </w:rPr>
        <w:t>per</w:t>
      </w:r>
      <w:r w:rsidR="007F0A21">
        <w:rPr>
          <w:rFonts w:cstheme="minorHAnsi"/>
        </w:rPr>
        <w:t xml:space="preserve"> </w:t>
      </w:r>
      <w:r w:rsidR="00B72277">
        <w:rPr>
          <w:rFonts w:cstheme="minorHAnsi"/>
        </w:rPr>
        <w:t xml:space="preserve">le </w:t>
      </w:r>
      <w:r>
        <w:rPr>
          <w:rFonts w:cstheme="minorHAnsi"/>
        </w:rPr>
        <w:t>cure odontoiatriche (</w:t>
      </w:r>
      <w:r w:rsidR="00FF2CE1">
        <w:rPr>
          <w:rFonts w:cstheme="minorHAnsi"/>
        </w:rPr>
        <w:t xml:space="preserve">mai </w:t>
      </w:r>
      <w:r>
        <w:rPr>
          <w:rFonts w:cstheme="minorHAnsi"/>
        </w:rPr>
        <w:t>incluse nei livelli essenziali di assistenza)</w:t>
      </w:r>
    </w:p>
    <w:p w14:paraId="65A1B9BA" w14:textId="77777777" w:rsidR="00254FC2" w:rsidRDefault="00254FC2" w:rsidP="005F4164">
      <w:pPr>
        <w:pStyle w:val="Paragrafoelenco"/>
        <w:numPr>
          <w:ilvl w:val="0"/>
          <w:numId w:val="24"/>
        </w:numPr>
        <w:spacing w:line="276" w:lineRule="auto"/>
        <w:rPr>
          <w:rFonts w:cstheme="minorHAnsi"/>
        </w:rPr>
      </w:pPr>
      <w:r>
        <w:rPr>
          <w:rFonts w:cstheme="minorHAnsi"/>
        </w:rPr>
        <w:t>€ 5.255 milioni per l’assistenza ospedaliera, di cui oltre € 3.000 milioni per la long-term-care</w:t>
      </w:r>
    </w:p>
    <w:p w14:paraId="085EF648" w14:textId="77777777" w:rsidR="00EE570A" w:rsidRPr="00F41ABE" w:rsidRDefault="00A24341" w:rsidP="005F4164">
      <w:pPr>
        <w:pStyle w:val="Paragrafoelenco"/>
        <w:numPr>
          <w:ilvl w:val="0"/>
          <w:numId w:val="24"/>
        </w:numPr>
        <w:spacing w:line="276" w:lineRule="auto"/>
        <w:rPr>
          <w:rFonts w:cstheme="minorHAnsi"/>
        </w:rPr>
      </w:pPr>
      <w:r>
        <w:rPr>
          <w:rFonts w:cstheme="minorHAnsi"/>
        </w:rPr>
        <w:t>€ 1.000 milioni per protesi e ausili</w:t>
      </w:r>
    </w:p>
    <w:p w14:paraId="3E1AD63D" w14:textId="77777777" w:rsidR="00BF7E7E" w:rsidRDefault="00BF7E7E" w:rsidP="00672EDC">
      <w:pPr>
        <w:spacing w:after="0"/>
        <w:rPr>
          <w:rFonts w:cstheme="minorHAnsi"/>
        </w:rPr>
      </w:pPr>
    </w:p>
    <w:p w14:paraId="3BDE8FF3" w14:textId="2899B360" w:rsidR="00FC0917" w:rsidRDefault="00712FB7" w:rsidP="00EE570A">
      <w:pPr>
        <w:rPr>
          <w:rFonts w:cstheme="minorHAnsi"/>
        </w:rPr>
      </w:pPr>
      <w:r w:rsidRPr="001A18C9">
        <w:rPr>
          <w:rFonts w:cstheme="minorHAnsi"/>
        </w:rPr>
        <w:t>«</w:t>
      </w:r>
      <w:r w:rsidR="00BF7E7E">
        <w:rPr>
          <w:rFonts w:cstheme="minorHAnsi"/>
        </w:rPr>
        <w:t xml:space="preserve">Lo “spacchettamento” della spesa delle famiglie </w:t>
      </w:r>
      <w:r w:rsidRPr="001A18C9">
        <w:rPr>
          <w:rFonts w:cstheme="minorHAnsi"/>
        </w:rPr>
        <w:t>– precisa Cartabellotta –</w:t>
      </w:r>
      <w:r w:rsidR="001D5275">
        <w:rPr>
          <w:rFonts w:cstheme="minorHAnsi"/>
        </w:rPr>
        <w:t xml:space="preserve"> confuta</w:t>
      </w:r>
      <w:r w:rsidR="00BF7E7E">
        <w:rPr>
          <w:rFonts w:cstheme="minorHAnsi"/>
        </w:rPr>
        <w:t xml:space="preserve"> </w:t>
      </w:r>
      <w:r w:rsidR="009E7ED7">
        <w:rPr>
          <w:rFonts w:cstheme="minorHAnsi"/>
        </w:rPr>
        <w:t xml:space="preserve">di fatto </w:t>
      </w:r>
      <w:r w:rsidR="00BF7E7E">
        <w:rPr>
          <w:rFonts w:cstheme="minorHAnsi"/>
        </w:rPr>
        <w:t>l’</w:t>
      </w:r>
      <w:r w:rsidR="00BF7E7E" w:rsidRPr="00BF7E7E">
        <w:rPr>
          <w:rFonts w:cstheme="minorHAnsi"/>
        </w:rPr>
        <w:t xml:space="preserve">ipotesi che </w:t>
      </w:r>
      <w:r w:rsidR="00B72277">
        <w:rPr>
          <w:rFonts w:cstheme="minorHAnsi"/>
        </w:rPr>
        <w:t>gli esborsi dei cittadini</w:t>
      </w:r>
      <w:r w:rsidR="00BF7E7E" w:rsidRPr="00BF7E7E">
        <w:rPr>
          <w:rFonts w:cstheme="minorHAnsi"/>
        </w:rPr>
        <w:t xml:space="preserve"> sia</w:t>
      </w:r>
      <w:r w:rsidR="00B72277">
        <w:rPr>
          <w:rFonts w:cstheme="minorHAnsi"/>
        </w:rPr>
        <w:t>no</w:t>
      </w:r>
      <w:r w:rsidR="00BF7E7E" w:rsidRPr="00BF7E7E">
        <w:rPr>
          <w:rFonts w:cstheme="minorHAnsi"/>
        </w:rPr>
        <w:t xml:space="preserve"> destinat</w:t>
      </w:r>
      <w:r w:rsidR="00B72277">
        <w:rPr>
          <w:rFonts w:cstheme="minorHAnsi"/>
        </w:rPr>
        <w:t>i esclusivamente</w:t>
      </w:r>
      <w:r w:rsidR="007F0A21">
        <w:rPr>
          <w:rFonts w:cstheme="minorHAnsi"/>
        </w:rPr>
        <w:t xml:space="preserve"> </w:t>
      </w:r>
      <w:r w:rsidR="00BF7E7E" w:rsidRPr="00BF7E7E">
        <w:rPr>
          <w:rFonts w:cstheme="minorHAnsi"/>
        </w:rPr>
        <w:t>a fronteggiare le minori tutele pubbliche: infatti</w:t>
      </w:r>
      <w:r w:rsidR="00C54F38">
        <w:rPr>
          <w:rFonts w:cstheme="minorHAnsi"/>
        </w:rPr>
        <w:t xml:space="preserve">, </w:t>
      </w:r>
      <w:r w:rsidR="00BF7E7E" w:rsidRPr="00BF7E7E">
        <w:rPr>
          <w:rFonts w:cstheme="minorHAnsi"/>
        </w:rPr>
        <w:t xml:space="preserve">almeno il 40% non </w:t>
      </w:r>
      <w:r w:rsidR="00B72277">
        <w:rPr>
          <w:rFonts w:cstheme="minorHAnsi"/>
        </w:rPr>
        <w:t xml:space="preserve">viene speso per </w:t>
      </w:r>
      <w:r w:rsidR="00BF7E7E" w:rsidRPr="00BF7E7E">
        <w:rPr>
          <w:rFonts w:cstheme="minorHAnsi"/>
        </w:rPr>
        <w:t xml:space="preserve">beni e servizi </w:t>
      </w:r>
      <w:r w:rsidR="00BF7E7E">
        <w:rPr>
          <w:rFonts w:cstheme="minorHAnsi"/>
        </w:rPr>
        <w:t xml:space="preserve">indispensabili </w:t>
      </w:r>
      <w:r w:rsidR="00FC0917">
        <w:rPr>
          <w:rFonts w:cstheme="minorHAnsi"/>
        </w:rPr>
        <w:t>a</w:t>
      </w:r>
      <w:r w:rsidR="00BF7E7E" w:rsidRPr="00BF7E7E">
        <w:rPr>
          <w:rFonts w:cstheme="minorHAnsi"/>
        </w:rPr>
        <w:t xml:space="preserve"> migliorare lo stato di salute, </w:t>
      </w:r>
      <w:r w:rsidR="009E7ED7">
        <w:rPr>
          <w:rFonts w:cstheme="minorHAnsi"/>
        </w:rPr>
        <w:t>bensì</w:t>
      </w:r>
      <w:r w:rsidR="009E7ED7" w:rsidRPr="00BF7E7E">
        <w:rPr>
          <w:rFonts w:cstheme="minorHAnsi"/>
        </w:rPr>
        <w:t xml:space="preserve"> </w:t>
      </w:r>
      <w:r w:rsidR="00BF7E7E" w:rsidRPr="00BF7E7E">
        <w:rPr>
          <w:rFonts w:cstheme="minorHAnsi"/>
        </w:rPr>
        <w:t>soddisfa</w:t>
      </w:r>
      <w:r w:rsidR="007F0A21">
        <w:rPr>
          <w:rFonts w:cstheme="minorHAnsi"/>
        </w:rPr>
        <w:t xml:space="preserve"> </w:t>
      </w:r>
      <w:r w:rsidR="00BF7E7E" w:rsidRPr="00BF7E7E">
        <w:rPr>
          <w:rFonts w:cstheme="minorHAnsi"/>
        </w:rPr>
        <w:t>bisogni indotti dal</w:t>
      </w:r>
      <w:r w:rsidR="00BF7E7E">
        <w:rPr>
          <w:rFonts w:cstheme="minorHAnsi"/>
        </w:rPr>
        <w:t xml:space="preserve"> benessere e dal</w:t>
      </w:r>
      <w:r w:rsidR="00BF7E7E" w:rsidRPr="00BF7E7E">
        <w:rPr>
          <w:rFonts w:cstheme="minorHAnsi"/>
        </w:rPr>
        <w:t>la medicalizzazione della società</w:t>
      </w:r>
      <w:r w:rsidR="00DD6047">
        <w:rPr>
          <w:rFonts w:cstheme="minorHAnsi"/>
        </w:rPr>
        <w:t xml:space="preserve"> </w:t>
      </w:r>
      <w:r w:rsidR="00FC0917">
        <w:rPr>
          <w:rFonts w:cstheme="minorHAnsi"/>
        </w:rPr>
        <w:t xml:space="preserve">e </w:t>
      </w:r>
      <w:r w:rsidR="00FC0917" w:rsidRPr="00FC0917">
        <w:rPr>
          <w:rFonts w:cstheme="minorHAnsi"/>
        </w:rPr>
        <w:t>condizionati da consumismo, pseudo-di</w:t>
      </w:r>
      <w:r w:rsidR="00FC0917">
        <w:rPr>
          <w:rFonts w:cstheme="minorHAnsi"/>
        </w:rPr>
        <w:t>agnosi e preferenze individuali</w:t>
      </w:r>
      <w:r w:rsidR="007A6FD9" w:rsidRPr="001A18C9">
        <w:rPr>
          <w:rFonts w:cstheme="minorHAnsi"/>
        </w:rPr>
        <w:t>».</w:t>
      </w:r>
      <w:r w:rsidR="007A6FD9" w:rsidRPr="001A18C9">
        <w:rPr>
          <w:rFonts w:cstheme="minorHAnsi"/>
          <w:i/>
        </w:rPr>
        <w:t xml:space="preserve"> </w:t>
      </w:r>
      <w:r w:rsidR="001D5275">
        <w:rPr>
          <w:rFonts w:cstheme="minorHAnsi"/>
        </w:rPr>
        <w:t xml:space="preserve">La controprova viene fornita dal fatto che </w:t>
      </w:r>
      <w:r w:rsidR="00FC0917">
        <w:rPr>
          <w:rFonts w:cstheme="minorHAnsi"/>
        </w:rPr>
        <w:t>nel</w:t>
      </w:r>
      <w:r w:rsidR="00FC0917" w:rsidRPr="00BF7E7E">
        <w:rPr>
          <w:rFonts w:cstheme="minorHAnsi"/>
        </w:rPr>
        <w:t xml:space="preserve">le diverse </w:t>
      </w:r>
      <w:r w:rsidR="00FC0917">
        <w:rPr>
          <w:rFonts w:cstheme="minorHAnsi"/>
        </w:rPr>
        <w:t>Regioni</w:t>
      </w:r>
      <w:r w:rsidR="00FC0917" w:rsidRPr="00BF7E7E">
        <w:rPr>
          <w:rFonts w:cstheme="minorHAnsi"/>
        </w:rPr>
        <w:t xml:space="preserve"> </w:t>
      </w:r>
      <w:r w:rsidR="00BF7E7E" w:rsidRPr="00BF7E7E">
        <w:rPr>
          <w:rFonts w:cstheme="minorHAnsi"/>
        </w:rPr>
        <w:t xml:space="preserve">la spesa </w:t>
      </w:r>
      <w:r w:rsidR="001D5275">
        <w:rPr>
          <w:rFonts w:cstheme="minorHAnsi"/>
        </w:rPr>
        <w:t>out-of-pocket</w:t>
      </w:r>
      <w:r w:rsidR="00FF2CE1">
        <w:rPr>
          <w:rFonts w:cstheme="minorHAnsi"/>
        </w:rPr>
        <w:t xml:space="preserve"> è prop</w:t>
      </w:r>
      <w:r w:rsidR="00635ED5">
        <w:rPr>
          <w:rFonts w:cstheme="minorHAnsi"/>
        </w:rPr>
        <w:t xml:space="preserve">orzionale </w:t>
      </w:r>
      <w:r w:rsidR="00FF2CE1">
        <w:rPr>
          <w:rFonts w:cstheme="minorHAnsi"/>
        </w:rPr>
        <w:t xml:space="preserve">al </w:t>
      </w:r>
      <w:r w:rsidR="00BF7E7E">
        <w:rPr>
          <w:rFonts w:cstheme="minorHAnsi"/>
        </w:rPr>
        <w:t xml:space="preserve">reddito pro-capite e </w:t>
      </w:r>
      <w:r w:rsidR="00FF2CE1">
        <w:rPr>
          <w:rFonts w:cstheme="minorHAnsi"/>
        </w:rPr>
        <w:t>al</w:t>
      </w:r>
      <w:r w:rsidR="00BF7E7E">
        <w:rPr>
          <w:rFonts w:cstheme="minorHAnsi"/>
        </w:rPr>
        <w:t>la q</w:t>
      </w:r>
      <w:r w:rsidR="00BF7E7E" w:rsidRPr="00BF7E7E">
        <w:rPr>
          <w:rFonts w:cstheme="minorHAnsi"/>
        </w:rPr>
        <w:t>ualità dell’offerta pubblica</w:t>
      </w:r>
      <w:r w:rsidR="00BF7E7E">
        <w:rPr>
          <w:rFonts w:cstheme="minorHAnsi"/>
        </w:rPr>
        <w:t>: in</w:t>
      </w:r>
      <w:r w:rsidR="002F7D4C">
        <w:rPr>
          <w:rFonts w:cstheme="minorHAnsi"/>
        </w:rPr>
        <w:t xml:space="preserve"> altre parole</w:t>
      </w:r>
      <w:r w:rsidR="00BF7E7E">
        <w:rPr>
          <w:rFonts w:cstheme="minorHAnsi"/>
        </w:rPr>
        <w:t xml:space="preserve">, </w:t>
      </w:r>
      <w:r w:rsidR="002F7D4C">
        <w:rPr>
          <w:rFonts w:cstheme="minorHAnsi"/>
        </w:rPr>
        <w:t xml:space="preserve">le famiglie spendono di più nelle </w:t>
      </w:r>
      <w:r w:rsidR="001D5275">
        <w:rPr>
          <w:rFonts w:cstheme="minorHAnsi"/>
        </w:rPr>
        <w:t>R</w:t>
      </w:r>
      <w:r w:rsidR="00BF7E7E" w:rsidRPr="00BF7E7E">
        <w:rPr>
          <w:rFonts w:cstheme="minorHAnsi"/>
        </w:rPr>
        <w:t>egioni del nord dove l’offerta d</w:t>
      </w:r>
      <w:r w:rsidR="00DD6047">
        <w:rPr>
          <w:rFonts w:cstheme="minorHAnsi"/>
        </w:rPr>
        <w:t>e</w:t>
      </w:r>
      <w:r w:rsidR="00BF7E7E" w:rsidRPr="00BF7E7E">
        <w:rPr>
          <w:rFonts w:cstheme="minorHAnsi"/>
        </w:rPr>
        <w:t xml:space="preserve">i servizi sanitari </w:t>
      </w:r>
      <w:r w:rsidR="00B72277">
        <w:rPr>
          <w:rFonts w:cstheme="minorHAnsi"/>
        </w:rPr>
        <w:t xml:space="preserve">pubblici </w:t>
      </w:r>
      <w:r w:rsidR="00BF7E7E" w:rsidRPr="00BF7E7E">
        <w:rPr>
          <w:rFonts w:cstheme="minorHAnsi"/>
        </w:rPr>
        <w:t xml:space="preserve">è adeguata, mentre quelle del </w:t>
      </w:r>
      <w:r w:rsidR="002F7D4C">
        <w:rPr>
          <w:rFonts w:cstheme="minorHAnsi"/>
        </w:rPr>
        <w:t>s</w:t>
      </w:r>
      <w:r w:rsidR="00BF7E7E" w:rsidRPr="00BF7E7E">
        <w:rPr>
          <w:rFonts w:cstheme="minorHAnsi"/>
        </w:rPr>
        <w:t>ud</w:t>
      </w:r>
      <w:r w:rsidR="00BF7E7E">
        <w:rPr>
          <w:rFonts w:cstheme="minorHAnsi"/>
        </w:rPr>
        <w:t xml:space="preserve"> </w:t>
      </w:r>
      <w:r w:rsidR="00BF7E7E" w:rsidRPr="00BF7E7E">
        <w:rPr>
          <w:rFonts w:cstheme="minorHAnsi"/>
        </w:rPr>
        <w:t xml:space="preserve">si attestano </w:t>
      </w:r>
      <w:r w:rsidR="002F7D4C">
        <w:rPr>
          <w:rFonts w:cstheme="minorHAnsi"/>
        </w:rPr>
        <w:t xml:space="preserve">tutte </w:t>
      </w:r>
      <w:r w:rsidR="00BF7E7E" w:rsidRPr="00BF7E7E">
        <w:rPr>
          <w:rFonts w:cstheme="minorHAnsi"/>
        </w:rPr>
        <w:t>sotto la media</w:t>
      </w:r>
      <w:r w:rsidR="00DD6047">
        <w:rPr>
          <w:rFonts w:cstheme="minorHAnsi"/>
        </w:rPr>
        <w:t>, nonostante una qualità peggiore dei servizi</w:t>
      </w:r>
      <w:r w:rsidR="00BF7E7E" w:rsidRPr="00BF7E7E">
        <w:rPr>
          <w:rFonts w:cstheme="minorHAnsi"/>
        </w:rPr>
        <w:t xml:space="preserve">. </w:t>
      </w:r>
    </w:p>
    <w:p w14:paraId="3959872A" w14:textId="3068E649" w:rsidR="001A18C9" w:rsidRDefault="00FC0917" w:rsidP="00EE570A">
      <w:pPr>
        <w:rPr>
          <w:rFonts w:cstheme="minorHAnsi"/>
        </w:rPr>
      </w:pPr>
      <w:r>
        <w:rPr>
          <w:rFonts w:cstheme="minorHAnsi"/>
        </w:rPr>
        <w:t>Infine, l</w:t>
      </w:r>
      <w:r w:rsidR="00DE0619">
        <w:rPr>
          <w:rFonts w:cstheme="minorHAnsi"/>
        </w:rPr>
        <w:t xml:space="preserve">a </w:t>
      </w:r>
      <w:r w:rsidR="00DE0619" w:rsidRPr="00EE570A">
        <w:rPr>
          <w:rFonts w:cstheme="minorHAnsi"/>
        </w:rPr>
        <w:t>strategia di</w:t>
      </w:r>
      <w:r w:rsidR="00DE0619">
        <w:rPr>
          <w:rFonts w:cstheme="minorHAnsi"/>
        </w:rPr>
        <w:t xml:space="preserve"> persuasione collettiva che punta</w:t>
      </w:r>
      <w:r w:rsidR="00FF2CE1">
        <w:rPr>
          <w:rFonts w:cstheme="minorHAnsi"/>
        </w:rPr>
        <w:t xml:space="preserve"> dritta </w:t>
      </w:r>
      <w:r w:rsidR="00740A57">
        <w:rPr>
          <w:rFonts w:cstheme="minorHAnsi"/>
        </w:rPr>
        <w:t>al</w:t>
      </w:r>
      <w:r w:rsidR="00DE0619">
        <w:rPr>
          <w:rFonts w:cstheme="minorHAnsi"/>
        </w:rPr>
        <w:t xml:space="preserve"> “secondo pilastro” </w:t>
      </w:r>
      <w:r>
        <w:rPr>
          <w:rFonts w:cstheme="minorHAnsi"/>
        </w:rPr>
        <w:t xml:space="preserve">prova a sensibilizzare il nuovo Esecutivo “personalizzando” </w:t>
      </w:r>
      <w:r w:rsidR="005A1417">
        <w:rPr>
          <w:rFonts w:cstheme="minorHAnsi"/>
        </w:rPr>
        <w:t>i risultati dell’indagine Censis</w:t>
      </w:r>
      <w:r w:rsidR="00C54F38">
        <w:rPr>
          <w:rFonts w:cstheme="minorHAnsi"/>
        </w:rPr>
        <w:t xml:space="preserve">, </w:t>
      </w:r>
      <w:r>
        <w:rPr>
          <w:rFonts w:cstheme="minorHAnsi"/>
        </w:rPr>
        <w:t>da cui emerge</w:t>
      </w:r>
      <w:r w:rsidR="00A26C52">
        <w:rPr>
          <w:rFonts w:cstheme="minorHAnsi"/>
        </w:rPr>
        <w:t>rebbe</w:t>
      </w:r>
      <w:r>
        <w:rPr>
          <w:rFonts w:cstheme="minorHAnsi"/>
        </w:rPr>
        <w:t xml:space="preserve"> un</w:t>
      </w:r>
      <w:r w:rsidR="00DE0619">
        <w:rPr>
          <w:rFonts w:cstheme="minorHAnsi"/>
        </w:rPr>
        <w:t xml:space="preserve"> “maggior rancore degli e</w:t>
      </w:r>
      <w:r w:rsidR="00DE0619" w:rsidRPr="00195690">
        <w:rPr>
          <w:rFonts w:cstheme="minorHAnsi"/>
        </w:rPr>
        <w:t xml:space="preserve">lettori </w:t>
      </w:r>
      <w:r w:rsidR="00DE0619">
        <w:rPr>
          <w:rFonts w:cstheme="minorHAnsi"/>
        </w:rPr>
        <w:t xml:space="preserve">di </w:t>
      </w:r>
      <w:r w:rsidR="00DE0619" w:rsidRPr="00195690">
        <w:rPr>
          <w:rFonts w:cstheme="minorHAnsi"/>
        </w:rPr>
        <w:t>5 Stelle e Lega</w:t>
      </w:r>
      <w:r w:rsidR="00DE0619">
        <w:rPr>
          <w:rFonts w:cstheme="minorHAnsi"/>
        </w:rPr>
        <w:t xml:space="preserve"> nei confronti della sanità</w:t>
      </w:r>
      <w:r w:rsidR="00AB1916">
        <w:rPr>
          <w:rFonts w:cstheme="minorHAnsi"/>
        </w:rPr>
        <w:t>”</w:t>
      </w:r>
      <w:r w:rsidR="00847F06">
        <w:rPr>
          <w:rFonts w:cstheme="minorHAnsi"/>
        </w:rPr>
        <w:t>, considerata</w:t>
      </w:r>
      <w:r w:rsidR="00AB1916">
        <w:rPr>
          <w:rFonts w:cstheme="minorHAnsi"/>
        </w:rPr>
        <w:t xml:space="preserve"> </w:t>
      </w:r>
      <w:r w:rsidR="00AB1916" w:rsidRPr="00AB1916">
        <w:rPr>
          <w:rFonts w:cstheme="minorHAnsi"/>
        </w:rPr>
        <w:t xml:space="preserve">il </w:t>
      </w:r>
      <w:r w:rsidR="00C54F38">
        <w:rPr>
          <w:rFonts w:cstheme="minorHAnsi"/>
        </w:rPr>
        <w:t>“</w:t>
      </w:r>
      <w:r w:rsidR="00AB1916" w:rsidRPr="00AB1916">
        <w:rPr>
          <w:rFonts w:cstheme="minorHAnsi"/>
        </w:rPr>
        <w:t xml:space="preserve">cantiere </w:t>
      </w:r>
      <w:r w:rsidR="00A11812">
        <w:rPr>
          <w:rFonts w:cstheme="minorHAnsi"/>
        </w:rPr>
        <w:t xml:space="preserve">con </w:t>
      </w:r>
      <w:r w:rsidR="00AB1916" w:rsidRPr="00AB1916">
        <w:rPr>
          <w:rFonts w:cstheme="minorHAnsi"/>
        </w:rPr>
        <w:t>cui gli italiani metteranno alla prova il passaggi</w:t>
      </w:r>
      <w:r w:rsidR="00EF640D">
        <w:rPr>
          <w:rFonts w:cstheme="minorHAnsi"/>
        </w:rPr>
        <w:t xml:space="preserve">o </w:t>
      </w:r>
      <w:r w:rsidR="00A11812" w:rsidRPr="00A11812">
        <w:rPr>
          <w:rFonts w:cstheme="minorHAnsi"/>
        </w:rPr>
        <w:t>dal rancore alla speranza del cambiamento</w:t>
      </w:r>
      <w:r w:rsidR="00C54F38">
        <w:rPr>
          <w:rFonts w:cstheme="minorHAnsi"/>
        </w:rPr>
        <w:t>”</w:t>
      </w:r>
      <w:r w:rsidR="00A11812" w:rsidRPr="00A11812">
        <w:rPr>
          <w:rFonts w:cstheme="minorHAnsi"/>
        </w:rPr>
        <w:t>.</w:t>
      </w:r>
      <w:r w:rsidR="008F3C50">
        <w:rPr>
          <w:rFonts w:cstheme="minorHAnsi"/>
        </w:rPr>
        <w:t xml:space="preserve"> </w:t>
      </w:r>
      <w:r>
        <w:rPr>
          <w:rFonts w:cstheme="minorHAnsi"/>
        </w:rPr>
        <w:t xml:space="preserve">Peccato (per loro) che </w:t>
      </w:r>
      <w:r w:rsidR="00AB1916">
        <w:rPr>
          <w:rFonts w:cstheme="minorHAnsi"/>
        </w:rPr>
        <w:t xml:space="preserve">il contratto del Governo del cambiamento afferma </w:t>
      </w:r>
      <w:r>
        <w:rPr>
          <w:rFonts w:cstheme="minorHAnsi"/>
        </w:rPr>
        <w:t>senza indugi</w:t>
      </w:r>
      <w:r w:rsidR="00AB1916">
        <w:rPr>
          <w:rFonts w:cstheme="minorHAnsi"/>
        </w:rPr>
        <w:t xml:space="preserve"> che “</w:t>
      </w:r>
      <w:r w:rsidR="00AB1916" w:rsidRPr="00195690">
        <w:rPr>
          <w:rFonts w:cstheme="minorHAnsi"/>
        </w:rPr>
        <w:t>È prioritario preservare l’attuale modello di gestione del servizio sanitario a finanziamento prevalentemente pubblico e tutelare il principio universalistico su cui si fonda la legge n. 833 del 1978 istitutiva del Servizio Sanitario Nazionale</w:t>
      </w:r>
      <w:r w:rsidR="00AB1916">
        <w:rPr>
          <w:rFonts w:cstheme="minorHAnsi"/>
        </w:rPr>
        <w:t>”,</w:t>
      </w:r>
      <w:r w:rsidR="009E7ED7">
        <w:rPr>
          <w:rFonts w:cstheme="minorHAnsi"/>
        </w:rPr>
        <w:t xml:space="preserve"> per cui</w:t>
      </w:r>
      <w:r w:rsidR="00AB1916">
        <w:rPr>
          <w:rFonts w:cstheme="minorHAnsi"/>
        </w:rPr>
        <w:t xml:space="preserve"> la </w:t>
      </w:r>
      <w:r w:rsidR="009E7ED7">
        <w:rPr>
          <w:rFonts w:cstheme="minorHAnsi"/>
        </w:rPr>
        <w:t>vera “</w:t>
      </w:r>
      <w:r w:rsidR="00AB1916">
        <w:rPr>
          <w:rFonts w:cstheme="minorHAnsi"/>
        </w:rPr>
        <w:t>prova di esame</w:t>
      </w:r>
      <w:r w:rsidR="009E7ED7">
        <w:rPr>
          <w:rFonts w:cstheme="minorHAnsi"/>
        </w:rPr>
        <w:t>”</w:t>
      </w:r>
      <w:r w:rsidR="00AB1916">
        <w:rPr>
          <w:rFonts w:cstheme="minorHAnsi"/>
        </w:rPr>
        <w:t>, conclude Cartabellotta</w:t>
      </w:r>
      <w:r w:rsidR="009E7ED7">
        <w:rPr>
          <w:rFonts w:cstheme="minorHAnsi"/>
        </w:rPr>
        <w:t>,</w:t>
      </w:r>
      <w:r w:rsidR="00AB1916">
        <w:rPr>
          <w:rFonts w:cstheme="minorHAnsi"/>
        </w:rPr>
        <w:t xml:space="preserve"> </w:t>
      </w:r>
      <w:r w:rsidR="00330A9B" w:rsidRPr="005240BD">
        <w:rPr>
          <w:rFonts w:cstheme="minorHAnsi"/>
        </w:rPr>
        <w:t>«</w:t>
      </w:r>
      <w:r w:rsidR="00DE0619">
        <w:rPr>
          <w:rFonts w:cstheme="minorHAnsi"/>
        </w:rPr>
        <w:t>non è affatto rappresentata dall’espansione del secondo pilastro, quanto invece dal rilancio del finanziamento pubblic</w:t>
      </w:r>
      <w:r w:rsidR="00A11812">
        <w:rPr>
          <w:rFonts w:cstheme="minorHAnsi"/>
        </w:rPr>
        <w:t>o</w:t>
      </w:r>
      <w:r w:rsidR="00AB1916">
        <w:rPr>
          <w:rFonts w:cstheme="minorHAnsi"/>
        </w:rPr>
        <w:t>, peraltro annunciato anche dal Premier Conte nel discorso per la fiducia al Senato</w:t>
      </w:r>
      <w:r w:rsidR="00D258D8" w:rsidRPr="005240BD">
        <w:rPr>
          <w:rFonts w:cstheme="minorHAnsi"/>
        </w:rPr>
        <w:t>».</w:t>
      </w:r>
    </w:p>
    <w:p w14:paraId="3AA33963" w14:textId="326FAB24" w:rsidR="00AB1916" w:rsidRDefault="00AB1916" w:rsidP="00EE570A">
      <w:pPr>
        <w:rPr>
          <w:rFonts w:cstheme="minorHAnsi"/>
        </w:rPr>
      </w:pPr>
      <w:r>
        <w:rPr>
          <w:rFonts w:cstheme="minorHAnsi"/>
        </w:rPr>
        <w:t>Se così non fosse, il Governo del cambiamento, oltre ai propri “rancorosi elettori”, avrà tradito anche il contratto</w:t>
      </w:r>
      <w:r w:rsidR="00130482">
        <w:rPr>
          <w:rFonts w:cstheme="minorHAnsi"/>
        </w:rPr>
        <w:t xml:space="preserve"> </w:t>
      </w:r>
      <w:r w:rsidR="00FC0917">
        <w:rPr>
          <w:rFonts w:cstheme="minorHAnsi"/>
        </w:rPr>
        <w:t xml:space="preserve">che </w:t>
      </w:r>
      <w:r w:rsidR="00130482">
        <w:rPr>
          <w:rFonts w:cstheme="minorHAnsi"/>
        </w:rPr>
        <w:t xml:space="preserve">oggi </w:t>
      </w:r>
      <w:r w:rsidR="00FC0917">
        <w:rPr>
          <w:rFonts w:cstheme="minorHAnsi"/>
        </w:rPr>
        <w:t>riguarda tutto l’intero popolo italiano</w:t>
      </w:r>
      <w:r w:rsidR="00130482">
        <w:rPr>
          <w:rFonts w:cstheme="minorHAnsi"/>
        </w:rPr>
        <w:t>.</w:t>
      </w:r>
    </w:p>
    <w:p w14:paraId="22DD70B8" w14:textId="77777777"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243A0FF2" w14:textId="77777777"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62828D3B" w14:textId="77777777" w:rsidR="005240BD" w:rsidRPr="002F7D4C" w:rsidRDefault="00DC2A0C" w:rsidP="002F7D4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9" w:history="1">
        <w:r w:rsidRPr="005240BD">
          <w:rPr>
            <w:rFonts w:eastAsia="Calibri" w:cstheme="minorHAnsi"/>
          </w:rPr>
          <w:t>ufficio.stampa@gimbe.org</w:t>
        </w:r>
      </w:hyperlink>
    </w:p>
    <w:sectPr w:rsidR="005240BD" w:rsidRPr="002F7D4C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81FA89" w15:done="0"/>
  <w15:commentEx w15:paraId="1CF64A0C" w15:paraIdParent="6381FA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D989" w14:textId="77777777" w:rsidR="00F86FE9" w:rsidRDefault="00F86FE9" w:rsidP="00ED0CFD">
      <w:pPr>
        <w:spacing w:after="0" w:line="240" w:lineRule="auto"/>
      </w:pPr>
      <w:r>
        <w:separator/>
      </w:r>
    </w:p>
  </w:endnote>
  <w:endnote w:type="continuationSeparator" w:id="0">
    <w:p w14:paraId="5B79DAB0" w14:textId="77777777" w:rsidR="00F86FE9" w:rsidRDefault="00F86FE9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B44DD" w14:textId="77777777" w:rsidR="00F86FE9" w:rsidRDefault="00F86FE9" w:rsidP="00ED0CFD">
      <w:pPr>
        <w:spacing w:after="0" w:line="240" w:lineRule="auto"/>
      </w:pPr>
      <w:r>
        <w:separator/>
      </w:r>
    </w:p>
  </w:footnote>
  <w:footnote w:type="continuationSeparator" w:id="0">
    <w:p w14:paraId="0AE67985" w14:textId="77777777" w:rsidR="00F86FE9" w:rsidRDefault="00F86FE9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F12C83"/>
    <w:multiLevelType w:val="hybridMultilevel"/>
    <w:tmpl w:val="B50C0D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21"/>
  </w:num>
  <w:num w:numId="5">
    <w:abstractNumId w:val="12"/>
  </w:num>
  <w:num w:numId="6">
    <w:abstractNumId w:val="9"/>
  </w:num>
  <w:num w:numId="7">
    <w:abstractNumId w:val="18"/>
  </w:num>
  <w:num w:numId="8">
    <w:abstractNumId w:val="16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3"/>
  </w:num>
  <w:num w:numId="15">
    <w:abstractNumId w:val="13"/>
  </w:num>
  <w:num w:numId="16">
    <w:abstractNumId w:val="22"/>
  </w:num>
  <w:num w:numId="17">
    <w:abstractNumId w:val="11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8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AD" w15:userId="S-1-5-21-2621246473-3078978095-2341016601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5D8E"/>
    <w:rsid w:val="00017968"/>
    <w:rsid w:val="00017FB4"/>
    <w:rsid w:val="00021D7F"/>
    <w:rsid w:val="00022E26"/>
    <w:rsid w:val="00023D8A"/>
    <w:rsid w:val="000252D2"/>
    <w:rsid w:val="00034188"/>
    <w:rsid w:val="000346D7"/>
    <w:rsid w:val="00035404"/>
    <w:rsid w:val="00036089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815B7"/>
    <w:rsid w:val="000863FA"/>
    <w:rsid w:val="00090A39"/>
    <w:rsid w:val="00090B7E"/>
    <w:rsid w:val="00090CF8"/>
    <w:rsid w:val="000927C7"/>
    <w:rsid w:val="000935F1"/>
    <w:rsid w:val="00095589"/>
    <w:rsid w:val="000A0FC3"/>
    <w:rsid w:val="000A1367"/>
    <w:rsid w:val="000A2084"/>
    <w:rsid w:val="000A226B"/>
    <w:rsid w:val="000A3F54"/>
    <w:rsid w:val="000A58EB"/>
    <w:rsid w:val="000A62A9"/>
    <w:rsid w:val="000A7B66"/>
    <w:rsid w:val="000B07B0"/>
    <w:rsid w:val="000B185F"/>
    <w:rsid w:val="000B1C52"/>
    <w:rsid w:val="000B2168"/>
    <w:rsid w:val="000B50CD"/>
    <w:rsid w:val="000B56FE"/>
    <w:rsid w:val="000B7985"/>
    <w:rsid w:val="000C098C"/>
    <w:rsid w:val="000C0B04"/>
    <w:rsid w:val="000C344B"/>
    <w:rsid w:val="000C544C"/>
    <w:rsid w:val="000C6130"/>
    <w:rsid w:val="000D02E4"/>
    <w:rsid w:val="000D0B3B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E4F"/>
    <w:rsid w:val="000E6B01"/>
    <w:rsid w:val="000E7CC2"/>
    <w:rsid w:val="000F0BBD"/>
    <w:rsid w:val="000F10F8"/>
    <w:rsid w:val="000F39EF"/>
    <w:rsid w:val="000F5C0F"/>
    <w:rsid w:val="0010059E"/>
    <w:rsid w:val="001020FC"/>
    <w:rsid w:val="001043DB"/>
    <w:rsid w:val="0010685E"/>
    <w:rsid w:val="00107096"/>
    <w:rsid w:val="00107984"/>
    <w:rsid w:val="0011205F"/>
    <w:rsid w:val="001139A6"/>
    <w:rsid w:val="00113D4A"/>
    <w:rsid w:val="00113F3C"/>
    <w:rsid w:val="001167D9"/>
    <w:rsid w:val="0011796A"/>
    <w:rsid w:val="00117F68"/>
    <w:rsid w:val="00125838"/>
    <w:rsid w:val="00125C6A"/>
    <w:rsid w:val="001262A5"/>
    <w:rsid w:val="00130482"/>
    <w:rsid w:val="001317CF"/>
    <w:rsid w:val="00132082"/>
    <w:rsid w:val="00132BFB"/>
    <w:rsid w:val="00134C8C"/>
    <w:rsid w:val="00143689"/>
    <w:rsid w:val="00144F94"/>
    <w:rsid w:val="001458FE"/>
    <w:rsid w:val="001471AF"/>
    <w:rsid w:val="001504F4"/>
    <w:rsid w:val="00150EF3"/>
    <w:rsid w:val="0015229D"/>
    <w:rsid w:val="001560D3"/>
    <w:rsid w:val="0016141F"/>
    <w:rsid w:val="00162FBC"/>
    <w:rsid w:val="0016375C"/>
    <w:rsid w:val="00163D48"/>
    <w:rsid w:val="00164B0D"/>
    <w:rsid w:val="001654A5"/>
    <w:rsid w:val="00170760"/>
    <w:rsid w:val="00170B46"/>
    <w:rsid w:val="00171767"/>
    <w:rsid w:val="00173764"/>
    <w:rsid w:val="0017405D"/>
    <w:rsid w:val="001748BA"/>
    <w:rsid w:val="00185966"/>
    <w:rsid w:val="00192DAD"/>
    <w:rsid w:val="00192F75"/>
    <w:rsid w:val="00193F19"/>
    <w:rsid w:val="00194C03"/>
    <w:rsid w:val="00195690"/>
    <w:rsid w:val="001A18C9"/>
    <w:rsid w:val="001A3E0D"/>
    <w:rsid w:val="001A3E96"/>
    <w:rsid w:val="001A6181"/>
    <w:rsid w:val="001B59E3"/>
    <w:rsid w:val="001C51E2"/>
    <w:rsid w:val="001C7324"/>
    <w:rsid w:val="001D0E41"/>
    <w:rsid w:val="001D153D"/>
    <w:rsid w:val="001D19F1"/>
    <w:rsid w:val="001D240E"/>
    <w:rsid w:val="001D38B9"/>
    <w:rsid w:val="001D4CE8"/>
    <w:rsid w:val="001D5275"/>
    <w:rsid w:val="001E42B9"/>
    <w:rsid w:val="001E53AB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2389A"/>
    <w:rsid w:val="00223F01"/>
    <w:rsid w:val="00224E88"/>
    <w:rsid w:val="00233EF5"/>
    <w:rsid w:val="002349C3"/>
    <w:rsid w:val="00235FC2"/>
    <w:rsid w:val="0023771D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4FC2"/>
    <w:rsid w:val="002551A1"/>
    <w:rsid w:val="00260A01"/>
    <w:rsid w:val="00261479"/>
    <w:rsid w:val="00262274"/>
    <w:rsid w:val="00265B05"/>
    <w:rsid w:val="00266561"/>
    <w:rsid w:val="00266E0C"/>
    <w:rsid w:val="00266E1A"/>
    <w:rsid w:val="002723FC"/>
    <w:rsid w:val="0027468B"/>
    <w:rsid w:val="00282655"/>
    <w:rsid w:val="00282DAE"/>
    <w:rsid w:val="00284792"/>
    <w:rsid w:val="00287105"/>
    <w:rsid w:val="00287452"/>
    <w:rsid w:val="00291602"/>
    <w:rsid w:val="00293854"/>
    <w:rsid w:val="0029392F"/>
    <w:rsid w:val="00297583"/>
    <w:rsid w:val="002A0BAA"/>
    <w:rsid w:val="002A2034"/>
    <w:rsid w:val="002A3232"/>
    <w:rsid w:val="002A5A93"/>
    <w:rsid w:val="002A6B08"/>
    <w:rsid w:val="002B12E6"/>
    <w:rsid w:val="002B1329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D1354"/>
    <w:rsid w:val="002D1A9D"/>
    <w:rsid w:val="002D1CBC"/>
    <w:rsid w:val="002D2C39"/>
    <w:rsid w:val="002D390F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47E7"/>
    <w:rsid w:val="002F605D"/>
    <w:rsid w:val="002F7D4C"/>
    <w:rsid w:val="00300EF7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B49"/>
    <w:rsid w:val="00331F29"/>
    <w:rsid w:val="00333A1D"/>
    <w:rsid w:val="0033460B"/>
    <w:rsid w:val="00334F92"/>
    <w:rsid w:val="0033752D"/>
    <w:rsid w:val="00337F43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2887"/>
    <w:rsid w:val="00373EDC"/>
    <w:rsid w:val="00374404"/>
    <w:rsid w:val="00375C4D"/>
    <w:rsid w:val="00380A73"/>
    <w:rsid w:val="00382F29"/>
    <w:rsid w:val="00384AF1"/>
    <w:rsid w:val="00385A79"/>
    <w:rsid w:val="00386385"/>
    <w:rsid w:val="003865E7"/>
    <w:rsid w:val="00387555"/>
    <w:rsid w:val="0039006E"/>
    <w:rsid w:val="00391AD2"/>
    <w:rsid w:val="00393B9D"/>
    <w:rsid w:val="00394823"/>
    <w:rsid w:val="003955A0"/>
    <w:rsid w:val="003978DA"/>
    <w:rsid w:val="003A13B4"/>
    <w:rsid w:val="003A47A3"/>
    <w:rsid w:val="003A72AE"/>
    <w:rsid w:val="003B1262"/>
    <w:rsid w:val="003B4A8D"/>
    <w:rsid w:val="003B5D7A"/>
    <w:rsid w:val="003B6587"/>
    <w:rsid w:val="003B72C4"/>
    <w:rsid w:val="003C276B"/>
    <w:rsid w:val="003C3908"/>
    <w:rsid w:val="003C48B6"/>
    <w:rsid w:val="003C7C89"/>
    <w:rsid w:val="003D4318"/>
    <w:rsid w:val="003D6200"/>
    <w:rsid w:val="003D66C8"/>
    <w:rsid w:val="003D6B2B"/>
    <w:rsid w:val="003E0375"/>
    <w:rsid w:val="003E2B21"/>
    <w:rsid w:val="003E4422"/>
    <w:rsid w:val="003E4FF7"/>
    <w:rsid w:val="003F1AAC"/>
    <w:rsid w:val="003F35EF"/>
    <w:rsid w:val="003F3B35"/>
    <w:rsid w:val="003F470F"/>
    <w:rsid w:val="004052B2"/>
    <w:rsid w:val="00405C0C"/>
    <w:rsid w:val="00405FC1"/>
    <w:rsid w:val="00407741"/>
    <w:rsid w:val="00410B6F"/>
    <w:rsid w:val="00412253"/>
    <w:rsid w:val="00415770"/>
    <w:rsid w:val="00415FC6"/>
    <w:rsid w:val="004179EB"/>
    <w:rsid w:val="00426711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46C5"/>
    <w:rsid w:val="00445CE5"/>
    <w:rsid w:val="004469F9"/>
    <w:rsid w:val="00446F85"/>
    <w:rsid w:val="004522B4"/>
    <w:rsid w:val="00452891"/>
    <w:rsid w:val="00452900"/>
    <w:rsid w:val="00452A5B"/>
    <w:rsid w:val="00452CED"/>
    <w:rsid w:val="00453189"/>
    <w:rsid w:val="00454813"/>
    <w:rsid w:val="00455D6F"/>
    <w:rsid w:val="00456AC9"/>
    <w:rsid w:val="004619D4"/>
    <w:rsid w:val="00461BFF"/>
    <w:rsid w:val="0046257E"/>
    <w:rsid w:val="004642C0"/>
    <w:rsid w:val="0046775E"/>
    <w:rsid w:val="00470D92"/>
    <w:rsid w:val="00475510"/>
    <w:rsid w:val="0047586E"/>
    <w:rsid w:val="00475D67"/>
    <w:rsid w:val="00480E9D"/>
    <w:rsid w:val="00485168"/>
    <w:rsid w:val="004851ED"/>
    <w:rsid w:val="0048588A"/>
    <w:rsid w:val="00490397"/>
    <w:rsid w:val="00490692"/>
    <w:rsid w:val="00491B4F"/>
    <w:rsid w:val="004952D7"/>
    <w:rsid w:val="00496108"/>
    <w:rsid w:val="00496192"/>
    <w:rsid w:val="00497373"/>
    <w:rsid w:val="004A0830"/>
    <w:rsid w:val="004A0E05"/>
    <w:rsid w:val="004A11C7"/>
    <w:rsid w:val="004A18D7"/>
    <w:rsid w:val="004A1B26"/>
    <w:rsid w:val="004A4A80"/>
    <w:rsid w:val="004A5489"/>
    <w:rsid w:val="004A668A"/>
    <w:rsid w:val="004B1756"/>
    <w:rsid w:val="004B7AD5"/>
    <w:rsid w:val="004C17CB"/>
    <w:rsid w:val="004C420E"/>
    <w:rsid w:val="004C7929"/>
    <w:rsid w:val="004D0248"/>
    <w:rsid w:val="004D0BDF"/>
    <w:rsid w:val="004D3A0B"/>
    <w:rsid w:val="004D469E"/>
    <w:rsid w:val="004D4B67"/>
    <w:rsid w:val="004E3A57"/>
    <w:rsid w:val="004E4BBD"/>
    <w:rsid w:val="004E5018"/>
    <w:rsid w:val="004E5200"/>
    <w:rsid w:val="004E5EFE"/>
    <w:rsid w:val="004F064A"/>
    <w:rsid w:val="004F0FD3"/>
    <w:rsid w:val="004F297A"/>
    <w:rsid w:val="004F3FEB"/>
    <w:rsid w:val="004F6AEC"/>
    <w:rsid w:val="005014CD"/>
    <w:rsid w:val="00501793"/>
    <w:rsid w:val="00505BFD"/>
    <w:rsid w:val="005074D5"/>
    <w:rsid w:val="00510AA1"/>
    <w:rsid w:val="00511E6F"/>
    <w:rsid w:val="005127CE"/>
    <w:rsid w:val="00512879"/>
    <w:rsid w:val="00513282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5A6B"/>
    <w:rsid w:val="005419E9"/>
    <w:rsid w:val="00541DC9"/>
    <w:rsid w:val="00542475"/>
    <w:rsid w:val="005440CF"/>
    <w:rsid w:val="00546397"/>
    <w:rsid w:val="00550C9C"/>
    <w:rsid w:val="00551444"/>
    <w:rsid w:val="005516A8"/>
    <w:rsid w:val="0055326D"/>
    <w:rsid w:val="005533C4"/>
    <w:rsid w:val="00560786"/>
    <w:rsid w:val="00561E50"/>
    <w:rsid w:val="0056268F"/>
    <w:rsid w:val="00565C3C"/>
    <w:rsid w:val="00566974"/>
    <w:rsid w:val="00567623"/>
    <w:rsid w:val="0057085B"/>
    <w:rsid w:val="00570C6B"/>
    <w:rsid w:val="00572DF6"/>
    <w:rsid w:val="00573388"/>
    <w:rsid w:val="00573AB6"/>
    <w:rsid w:val="005760C1"/>
    <w:rsid w:val="00577D77"/>
    <w:rsid w:val="00580725"/>
    <w:rsid w:val="005807CD"/>
    <w:rsid w:val="00586657"/>
    <w:rsid w:val="00586FDE"/>
    <w:rsid w:val="00587B6A"/>
    <w:rsid w:val="00587C9B"/>
    <w:rsid w:val="00587F5D"/>
    <w:rsid w:val="00590E5A"/>
    <w:rsid w:val="005940D1"/>
    <w:rsid w:val="00594E34"/>
    <w:rsid w:val="00596B3D"/>
    <w:rsid w:val="005A1417"/>
    <w:rsid w:val="005A2279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37DA"/>
    <w:rsid w:val="005E485F"/>
    <w:rsid w:val="005F3758"/>
    <w:rsid w:val="005F4164"/>
    <w:rsid w:val="005F71F9"/>
    <w:rsid w:val="006002AA"/>
    <w:rsid w:val="0060638A"/>
    <w:rsid w:val="00611C67"/>
    <w:rsid w:val="00614076"/>
    <w:rsid w:val="00614E5A"/>
    <w:rsid w:val="00616235"/>
    <w:rsid w:val="00620244"/>
    <w:rsid w:val="00620B8A"/>
    <w:rsid w:val="0062275E"/>
    <w:rsid w:val="0062554E"/>
    <w:rsid w:val="00630230"/>
    <w:rsid w:val="00631233"/>
    <w:rsid w:val="0063197E"/>
    <w:rsid w:val="00635ED5"/>
    <w:rsid w:val="00636EB6"/>
    <w:rsid w:val="00640B8B"/>
    <w:rsid w:val="00640FE7"/>
    <w:rsid w:val="00643AB4"/>
    <w:rsid w:val="00643E28"/>
    <w:rsid w:val="00645153"/>
    <w:rsid w:val="006455B8"/>
    <w:rsid w:val="00646223"/>
    <w:rsid w:val="00647993"/>
    <w:rsid w:val="00650304"/>
    <w:rsid w:val="006529FA"/>
    <w:rsid w:val="006535F8"/>
    <w:rsid w:val="00653B45"/>
    <w:rsid w:val="00657376"/>
    <w:rsid w:val="00663B7B"/>
    <w:rsid w:val="006640FF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E56"/>
    <w:rsid w:val="0067632C"/>
    <w:rsid w:val="00677934"/>
    <w:rsid w:val="00677A85"/>
    <w:rsid w:val="006805A5"/>
    <w:rsid w:val="00680B51"/>
    <w:rsid w:val="006821E3"/>
    <w:rsid w:val="00685DB6"/>
    <w:rsid w:val="0069299B"/>
    <w:rsid w:val="00693518"/>
    <w:rsid w:val="00694C51"/>
    <w:rsid w:val="006955E7"/>
    <w:rsid w:val="00695FCF"/>
    <w:rsid w:val="00696965"/>
    <w:rsid w:val="00696DDA"/>
    <w:rsid w:val="00696E5E"/>
    <w:rsid w:val="006970D5"/>
    <w:rsid w:val="006A013E"/>
    <w:rsid w:val="006A135C"/>
    <w:rsid w:val="006A4CFB"/>
    <w:rsid w:val="006A71A2"/>
    <w:rsid w:val="006B0DD2"/>
    <w:rsid w:val="006B2505"/>
    <w:rsid w:val="006B4075"/>
    <w:rsid w:val="006B5E7A"/>
    <w:rsid w:val="006B6956"/>
    <w:rsid w:val="006C09E3"/>
    <w:rsid w:val="006C0A34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4DAD"/>
    <w:rsid w:val="006E6CC2"/>
    <w:rsid w:val="006F4844"/>
    <w:rsid w:val="006F5C05"/>
    <w:rsid w:val="006F5E1D"/>
    <w:rsid w:val="006F6ADA"/>
    <w:rsid w:val="006F707F"/>
    <w:rsid w:val="0070382E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2122E"/>
    <w:rsid w:val="00723B85"/>
    <w:rsid w:val="007257B8"/>
    <w:rsid w:val="00727A83"/>
    <w:rsid w:val="00730A03"/>
    <w:rsid w:val="0073174A"/>
    <w:rsid w:val="007333BE"/>
    <w:rsid w:val="007335A8"/>
    <w:rsid w:val="00735079"/>
    <w:rsid w:val="0073593C"/>
    <w:rsid w:val="00736A14"/>
    <w:rsid w:val="00737013"/>
    <w:rsid w:val="0073764E"/>
    <w:rsid w:val="00737DDD"/>
    <w:rsid w:val="00740A57"/>
    <w:rsid w:val="0075099D"/>
    <w:rsid w:val="00752052"/>
    <w:rsid w:val="00754EA3"/>
    <w:rsid w:val="00756B84"/>
    <w:rsid w:val="00757A75"/>
    <w:rsid w:val="00760136"/>
    <w:rsid w:val="00760496"/>
    <w:rsid w:val="0076053B"/>
    <w:rsid w:val="00763FB0"/>
    <w:rsid w:val="007644E5"/>
    <w:rsid w:val="00765150"/>
    <w:rsid w:val="00770D2D"/>
    <w:rsid w:val="00770D5D"/>
    <w:rsid w:val="00772C0B"/>
    <w:rsid w:val="007738D0"/>
    <w:rsid w:val="00773EC0"/>
    <w:rsid w:val="00774DA4"/>
    <w:rsid w:val="00774E33"/>
    <w:rsid w:val="0077567A"/>
    <w:rsid w:val="00775DA1"/>
    <w:rsid w:val="00777690"/>
    <w:rsid w:val="00780533"/>
    <w:rsid w:val="00783A0B"/>
    <w:rsid w:val="00784DD0"/>
    <w:rsid w:val="0078737D"/>
    <w:rsid w:val="00790464"/>
    <w:rsid w:val="00791D81"/>
    <w:rsid w:val="007939B6"/>
    <w:rsid w:val="007964C7"/>
    <w:rsid w:val="007A35B4"/>
    <w:rsid w:val="007A4846"/>
    <w:rsid w:val="007A4969"/>
    <w:rsid w:val="007A66DF"/>
    <w:rsid w:val="007A6D9A"/>
    <w:rsid w:val="007A6FD9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3D92"/>
    <w:rsid w:val="007C5420"/>
    <w:rsid w:val="007D01D5"/>
    <w:rsid w:val="007D1008"/>
    <w:rsid w:val="007D1B67"/>
    <w:rsid w:val="007D2672"/>
    <w:rsid w:val="007D4B6B"/>
    <w:rsid w:val="007D62DC"/>
    <w:rsid w:val="007D7930"/>
    <w:rsid w:val="007D7CCF"/>
    <w:rsid w:val="007E0965"/>
    <w:rsid w:val="007E58BF"/>
    <w:rsid w:val="007E728E"/>
    <w:rsid w:val="007E784C"/>
    <w:rsid w:val="007F01F4"/>
    <w:rsid w:val="007F0A21"/>
    <w:rsid w:val="007F130A"/>
    <w:rsid w:val="007F3D4F"/>
    <w:rsid w:val="007F46C8"/>
    <w:rsid w:val="007F5D18"/>
    <w:rsid w:val="00801420"/>
    <w:rsid w:val="00802069"/>
    <w:rsid w:val="008025DC"/>
    <w:rsid w:val="00802652"/>
    <w:rsid w:val="00803C62"/>
    <w:rsid w:val="00806EC8"/>
    <w:rsid w:val="00814CE9"/>
    <w:rsid w:val="00815D73"/>
    <w:rsid w:val="008176D9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B59"/>
    <w:rsid w:val="00844F82"/>
    <w:rsid w:val="00845D51"/>
    <w:rsid w:val="008469EE"/>
    <w:rsid w:val="008475C5"/>
    <w:rsid w:val="00847F06"/>
    <w:rsid w:val="008513F9"/>
    <w:rsid w:val="008521CA"/>
    <w:rsid w:val="008566B3"/>
    <w:rsid w:val="00856765"/>
    <w:rsid w:val="0085760A"/>
    <w:rsid w:val="00862746"/>
    <w:rsid w:val="008638C5"/>
    <w:rsid w:val="00864335"/>
    <w:rsid w:val="00867AEB"/>
    <w:rsid w:val="008775A4"/>
    <w:rsid w:val="008809B6"/>
    <w:rsid w:val="00881122"/>
    <w:rsid w:val="00881AF4"/>
    <w:rsid w:val="008834FE"/>
    <w:rsid w:val="00883BC1"/>
    <w:rsid w:val="00884AE7"/>
    <w:rsid w:val="00886263"/>
    <w:rsid w:val="00890070"/>
    <w:rsid w:val="00890405"/>
    <w:rsid w:val="008920DC"/>
    <w:rsid w:val="008927EE"/>
    <w:rsid w:val="008956D1"/>
    <w:rsid w:val="008957EF"/>
    <w:rsid w:val="00895BB6"/>
    <w:rsid w:val="008972B2"/>
    <w:rsid w:val="008976A1"/>
    <w:rsid w:val="00897CA1"/>
    <w:rsid w:val="008A0E25"/>
    <w:rsid w:val="008A1766"/>
    <w:rsid w:val="008A1D53"/>
    <w:rsid w:val="008B2BA7"/>
    <w:rsid w:val="008B3494"/>
    <w:rsid w:val="008B5FC3"/>
    <w:rsid w:val="008B7022"/>
    <w:rsid w:val="008C0A82"/>
    <w:rsid w:val="008C1708"/>
    <w:rsid w:val="008C4980"/>
    <w:rsid w:val="008C5798"/>
    <w:rsid w:val="008D2BDD"/>
    <w:rsid w:val="008D33F8"/>
    <w:rsid w:val="008D4BC6"/>
    <w:rsid w:val="008E190A"/>
    <w:rsid w:val="008E4AD4"/>
    <w:rsid w:val="008F1906"/>
    <w:rsid w:val="008F1F12"/>
    <w:rsid w:val="008F2550"/>
    <w:rsid w:val="008F2E54"/>
    <w:rsid w:val="008F3C50"/>
    <w:rsid w:val="008F4074"/>
    <w:rsid w:val="008F43E5"/>
    <w:rsid w:val="008F5A3B"/>
    <w:rsid w:val="008F6975"/>
    <w:rsid w:val="008F72C4"/>
    <w:rsid w:val="00900A5F"/>
    <w:rsid w:val="00902108"/>
    <w:rsid w:val="00902865"/>
    <w:rsid w:val="009030D3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7084"/>
    <w:rsid w:val="00947FBD"/>
    <w:rsid w:val="00955403"/>
    <w:rsid w:val="00957526"/>
    <w:rsid w:val="00957C85"/>
    <w:rsid w:val="00957D24"/>
    <w:rsid w:val="009630B4"/>
    <w:rsid w:val="00963735"/>
    <w:rsid w:val="009650B3"/>
    <w:rsid w:val="00965964"/>
    <w:rsid w:val="0097162D"/>
    <w:rsid w:val="009721C4"/>
    <w:rsid w:val="009722DB"/>
    <w:rsid w:val="0097272E"/>
    <w:rsid w:val="00973B94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9708A"/>
    <w:rsid w:val="009A2DA3"/>
    <w:rsid w:val="009A37EB"/>
    <w:rsid w:val="009A3ADF"/>
    <w:rsid w:val="009A662A"/>
    <w:rsid w:val="009A6C03"/>
    <w:rsid w:val="009A7F2E"/>
    <w:rsid w:val="009B0C1D"/>
    <w:rsid w:val="009B2E68"/>
    <w:rsid w:val="009C1A22"/>
    <w:rsid w:val="009C2C3C"/>
    <w:rsid w:val="009C60D3"/>
    <w:rsid w:val="009C6AFA"/>
    <w:rsid w:val="009C7037"/>
    <w:rsid w:val="009C7943"/>
    <w:rsid w:val="009D1A5C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E7ED7"/>
    <w:rsid w:val="009F03B6"/>
    <w:rsid w:val="009F0432"/>
    <w:rsid w:val="009F2842"/>
    <w:rsid w:val="009F2CAA"/>
    <w:rsid w:val="009F3B4C"/>
    <w:rsid w:val="009F691A"/>
    <w:rsid w:val="00A004B0"/>
    <w:rsid w:val="00A04E54"/>
    <w:rsid w:val="00A061EB"/>
    <w:rsid w:val="00A0698F"/>
    <w:rsid w:val="00A11812"/>
    <w:rsid w:val="00A12E53"/>
    <w:rsid w:val="00A13DFC"/>
    <w:rsid w:val="00A16B16"/>
    <w:rsid w:val="00A23E03"/>
    <w:rsid w:val="00A24341"/>
    <w:rsid w:val="00A25176"/>
    <w:rsid w:val="00A269CF"/>
    <w:rsid w:val="00A26C52"/>
    <w:rsid w:val="00A336BC"/>
    <w:rsid w:val="00A364A1"/>
    <w:rsid w:val="00A36649"/>
    <w:rsid w:val="00A36D32"/>
    <w:rsid w:val="00A36E5F"/>
    <w:rsid w:val="00A401BC"/>
    <w:rsid w:val="00A40F25"/>
    <w:rsid w:val="00A41B03"/>
    <w:rsid w:val="00A423A7"/>
    <w:rsid w:val="00A44F7D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DC0"/>
    <w:rsid w:val="00A91E49"/>
    <w:rsid w:val="00A9205A"/>
    <w:rsid w:val="00AA0FE4"/>
    <w:rsid w:val="00AA10CE"/>
    <w:rsid w:val="00AA2A57"/>
    <w:rsid w:val="00AA5738"/>
    <w:rsid w:val="00AA6191"/>
    <w:rsid w:val="00AA65EF"/>
    <w:rsid w:val="00AB0FBF"/>
    <w:rsid w:val="00AB1916"/>
    <w:rsid w:val="00AB5A9E"/>
    <w:rsid w:val="00AC0C82"/>
    <w:rsid w:val="00AC18D7"/>
    <w:rsid w:val="00AC2611"/>
    <w:rsid w:val="00AC2E6A"/>
    <w:rsid w:val="00AC3E12"/>
    <w:rsid w:val="00AD05A6"/>
    <w:rsid w:val="00AD436F"/>
    <w:rsid w:val="00AE0F77"/>
    <w:rsid w:val="00AE1EFF"/>
    <w:rsid w:val="00AE265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1528"/>
    <w:rsid w:val="00B03791"/>
    <w:rsid w:val="00B047F1"/>
    <w:rsid w:val="00B051CC"/>
    <w:rsid w:val="00B17FF8"/>
    <w:rsid w:val="00B20DA5"/>
    <w:rsid w:val="00B2249A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6F4"/>
    <w:rsid w:val="00B53695"/>
    <w:rsid w:val="00B56122"/>
    <w:rsid w:val="00B6021A"/>
    <w:rsid w:val="00B61CD8"/>
    <w:rsid w:val="00B61DDE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2277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67DC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B5EF9"/>
    <w:rsid w:val="00BB6A89"/>
    <w:rsid w:val="00BC1CC8"/>
    <w:rsid w:val="00BC2D7C"/>
    <w:rsid w:val="00BC6124"/>
    <w:rsid w:val="00BC76D0"/>
    <w:rsid w:val="00BD3529"/>
    <w:rsid w:val="00BE134F"/>
    <w:rsid w:val="00BE3538"/>
    <w:rsid w:val="00BE4EA8"/>
    <w:rsid w:val="00BE5463"/>
    <w:rsid w:val="00BE56ED"/>
    <w:rsid w:val="00BE67E4"/>
    <w:rsid w:val="00BE77A5"/>
    <w:rsid w:val="00BF158F"/>
    <w:rsid w:val="00BF1A98"/>
    <w:rsid w:val="00BF2576"/>
    <w:rsid w:val="00BF5106"/>
    <w:rsid w:val="00BF583E"/>
    <w:rsid w:val="00BF5D19"/>
    <w:rsid w:val="00BF5DF9"/>
    <w:rsid w:val="00BF7E7E"/>
    <w:rsid w:val="00C0043D"/>
    <w:rsid w:val="00C032E9"/>
    <w:rsid w:val="00C03950"/>
    <w:rsid w:val="00C04E50"/>
    <w:rsid w:val="00C053AA"/>
    <w:rsid w:val="00C05572"/>
    <w:rsid w:val="00C10CA2"/>
    <w:rsid w:val="00C1154C"/>
    <w:rsid w:val="00C11CA8"/>
    <w:rsid w:val="00C17B97"/>
    <w:rsid w:val="00C20338"/>
    <w:rsid w:val="00C204D5"/>
    <w:rsid w:val="00C2114D"/>
    <w:rsid w:val="00C24B34"/>
    <w:rsid w:val="00C276B1"/>
    <w:rsid w:val="00C343BD"/>
    <w:rsid w:val="00C3561A"/>
    <w:rsid w:val="00C36730"/>
    <w:rsid w:val="00C374D4"/>
    <w:rsid w:val="00C4141D"/>
    <w:rsid w:val="00C45AAA"/>
    <w:rsid w:val="00C46721"/>
    <w:rsid w:val="00C46EC8"/>
    <w:rsid w:val="00C52FF7"/>
    <w:rsid w:val="00C536FD"/>
    <w:rsid w:val="00C546FF"/>
    <w:rsid w:val="00C54B84"/>
    <w:rsid w:val="00C54C86"/>
    <w:rsid w:val="00C54F38"/>
    <w:rsid w:val="00C56178"/>
    <w:rsid w:val="00C56687"/>
    <w:rsid w:val="00C56F97"/>
    <w:rsid w:val="00C577A9"/>
    <w:rsid w:val="00C674B4"/>
    <w:rsid w:val="00C700B6"/>
    <w:rsid w:val="00C717FC"/>
    <w:rsid w:val="00C72455"/>
    <w:rsid w:val="00C74392"/>
    <w:rsid w:val="00C74422"/>
    <w:rsid w:val="00C75948"/>
    <w:rsid w:val="00C76D3F"/>
    <w:rsid w:val="00C81F72"/>
    <w:rsid w:val="00C8337E"/>
    <w:rsid w:val="00C83CDE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492E"/>
    <w:rsid w:val="00CA4C09"/>
    <w:rsid w:val="00CA4FA9"/>
    <w:rsid w:val="00CA6DEF"/>
    <w:rsid w:val="00CA74CA"/>
    <w:rsid w:val="00CB09A1"/>
    <w:rsid w:val="00CB146D"/>
    <w:rsid w:val="00CB3F35"/>
    <w:rsid w:val="00CB4D1B"/>
    <w:rsid w:val="00CB67E0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4895"/>
    <w:rsid w:val="00CD671E"/>
    <w:rsid w:val="00CD683F"/>
    <w:rsid w:val="00CD6B90"/>
    <w:rsid w:val="00CD6DFA"/>
    <w:rsid w:val="00CD7ACC"/>
    <w:rsid w:val="00CE1E5E"/>
    <w:rsid w:val="00CE202C"/>
    <w:rsid w:val="00CE5CEA"/>
    <w:rsid w:val="00CE688C"/>
    <w:rsid w:val="00CE6911"/>
    <w:rsid w:val="00CE71E5"/>
    <w:rsid w:val="00CF1C62"/>
    <w:rsid w:val="00CF540D"/>
    <w:rsid w:val="00CF6E6C"/>
    <w:rsid w:val="00CF77DC"/>
    <w:rsid w:val="00CF7D0F"/>
    <w:rsid w:val="00D0086F"/>
    <w:rsid w:val="00D01B22"/>
    <w:rsid w:val="00D02682"/>
    <w:rsid w:val="00D03E15"/>
    <w:rsid w:val="00D04C48"/>
    <w:rsid w:val="00D05C60"/>
    <w:rsid w:val="00D06F63"/>
    <w:rsid w:val="00D07DF0"/>
    <w:rsid w:val="00D13147"/>
    <w:rsid w:val="00D14818"/>
    <w:rsid w:val="00D15111"/>
    <w:rsid w:val="00D167ED"/>
    <w:rsid w:val="00D20002"/>
    <w:rsid w:val="00D20341"/>
    <w:rsid w:val="00D21751"/>
    <w:rsid w:val="00D21F6E"/>
    <w:rsid w:val="00D22CFE"/>
    <w:rsid w:val="00D23A72"/>
    <w:rsid w:val="00D23AB2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40E17"/>
    <w:rsid w:val="00D42242"/>
    <w:rsid w:val="00D45208"/>
    <w:rsid w:val="00D45568"/>
    <w:rsid w:val="00D51C6E"/>
    <w:rsid w:val="00D51D87"/>
    <w:rsid w:val="00D53CE2"/>
    <w:rsid w:val="00D543F3"/>
    <w:rsid w:val="00D609E5"/>
    <w:rsid w:val="00D636FC"/>
    <w:rsid w:val="00D651BC"/>
    <w:rsid w:val="00D66971"/>
    <w:rsid w:val="00D708B7"/>
    <w:rsid w:val="00D755A7"/>
    <w:rsid w:val="00D77B37"/>
    <w:rsid w:val="00D80173"/>
    <w:rsid w:val="00D81D4D"/>
    <w:rsid w:val="00D823A9"/>
    <w:rsid w:val="00D83FB6"/>
    <w:rsid w:val="00D90217"/>
    <w:rsid w:val="00D91E91"/>
    <w:rsid w:val="00D91F7D"/>
    <w:rsid w:val="00D935D9"/>
    <w:rsid w:val="00D95224"/>
    <w:rsid w:val="00D95989"/>
    <w:rsid w:val="00D96184"/>
    <w:rsid w:val="00D96C89"/>
    <w:rsid w:val="00D97320"/>
    <w:rsid w:val="00DA52E8"/>
    <w:rsid w:val="00DA6836"/>
    <w:rsid w:val="00DC2A0C"/>
    <w:rsid w:val="00DC54A4"/>
    <w:rsid w:val="00DD2C65"/>
    <w:rsid w:val="00DD491D"/>
    <w:rsid w:val="00DD593A"/>
    <w:rsid w:val="00DD6047"/>
    <w:rsid w:val="00DD7BB6"/>
    <w:rsid w:val="00DE0619"/>
    <w:rsid w:val="00DE1FE9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E00E5A"/>
    <w:rsid w:val="00E0144B"/>
    <w:rsid w:val="00E0203D"/>
    <w:rsid w:val="00E03F63"/>
    <w:rsid w:val="00E04BEC"/>
    <w:rsid w:val="00E06001"/>
    <w:rsid w:val="00E102BB"/>
    <w:rsid w:val="00E118ED"/>
    <w:rsid w:val="00E126E0"/>
    <w:rsid w:val="00E13656"/>
    <w:rsid w:val="00E1655E"/>
    <w:rsid w:val="00E17D68"/>
    <w:rsid w:val="00E21DED"/>
    <w:rsid w:val="00E22F11"/>
    <w:rsid w:val="00E25FA6"/>
    <w:rsid w:val="00E263F2"/>
    <w:rsid w:val="00E27E4C"/>
    <w:rsid w:val="00E301EE"/>
    <w:rsid w:val="00E30818"/>
    <w:rsid w:val="00E34AAD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0B8E"/>
    <w:rsid w:val="00E52BE0"/>
    <w:rsid w:val="00E544CF"/>
    <w:rsid w:val="00E5485A"/>
    <w:rsid w:val="00E562B4"/>
    <w:rsid w:val="00E568E1"/>
    <w:rsid w:val="00E574FC"/>
    <w:rsid w:val="00E60629"/>
    <w:rsid w:val="00E60695"/>
    <w:rsid w:val="00E61043"/>
    <w:rsid w:val="00E61CF3"/>
    <w:rsid w:val="00E61E4D"/>
    <w:rsid w:val="00E63E75"/>
    <w:rsid w:val="00E6515F"/>
    <w:rsid w:val="00E65AAE"/>
    <w:rsid w:val="00E65BF2"/>
    <w:rsid w:val="00E672C7"/>
    <w:rsid w:val="00E73406"/>
    <w:rsid w:val="00E73F98"/>
    <w:rsid w:val="00E75B91"/>
    <w:rsid w:val="00E7625C"/>
    <w:rsid w:val="00E76563"/>
    <w:rsid w:val="00E76BC5"/>
    <w:rsid w:val="00E7781F"/>
    <w:rsid w:val="00E824FD"/>
    <w:rsid w:val="00E83879"/>
    <w:rsid w:val="00E8596C"/>
    <w:rsid w:val="00E865C0"/>
    <w:rsid w:val="00E900AF"/>
    <w:rsid w:val="00E91CC1"/>
    <w:rsid w:val="00E94D39"/>
    <w:rsid w:val="00E94FC2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D4358"/>
    <w:rsid w:val="00EE570A"/>
    <w:rsid w:val="00EE622A"/>
    <w:rsid w:val="00EE6DB9"/>
    <w:rsid w:val="00EF21E1"/>
    <w:rsid w:val="00EF462D"/>
    <w:rsid w:val="00EF4908"/>
    <w:rsid w:val="00EF5B96"/>
    <w:rsid w:val="00EF640D"/>
    <w:rsid w:val="00EF67C4"/>
    <w:rsid w:val="00F00618"/>
    <w:rsid w:val="00F01ED5"/>
    <w:rsid w:val="00F06C54"/>
    <w:rsid w:val="00F1028E"/>
    <w:rsid w:val="00F11576"/>
    <w:rsid w:val="00F115AA"/>
    <w:rsid w:val="00F117D2"/>
    <w:rsid w:val="00F12BB1"/>
    <w:rsid w:val="00F12BCE"/>
    <w:rsid w:val="00F16B41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1ABE"/>
    <w:rsid w:val="00F4217C"/>
    <w:rsid w:val="00F4406F"/>
    <w:rsid w:val="00F46D61"/>
    <w:rsid w:val="00F5033A"/>
    <w:rsid w:val="00F61E47"/>
    <w:rsid w:val="00F61E7A"/>
    <w:rsid w:val="00F6436F"/>
    <w:rsid w:val="00F6596E"/>
    <w:rsid w:val="00F6679F"/>
    <w:rsid w:val="00F67CAA"/>
    <w:rsid w:val="00F71E30"/>
    <w:rsid w:val="00F72F47"/>
    <w:rsid w:val="00F754D5"/>
    <w:rsid w:val="00F82796"/>
    <w:rsid w:val="00F83A61"/>
    <w:rsid w:val="00F86243"/>
    <w:rsid w:val="00F86FE9"/>
    <w:rsid w:val="00F87942"/>
    <w:rsid w:val="00F9162E"/>
    <w:rsid w:val="00F948AD"/>
    <w:rsid w:val="00F9667E"/>
    <w:rsid w:val="00F97E31"/>
    <w:rsid w:val="00FA028D"/>
    <w:rsid w:val="00FA1696"/>
    <w:rsid w:val="00FA1D06"/>
    <w:rsid w:val="00FA4086"/>
    <w:rsid w:val="00FA5614"/>
    <w:rsid w:val="00FA68F1"/>
    <w:rsid w:val="00FA6B98"/>
    <w:rsid w:val="00FA6CD2"/>
    <w:rsid w:val="00FB028A"/>
    <w:rsid w:val="00FB3E48"/>
    <w:rsid w:val="00FB41F7"/>
    <w:rsid w:val="00FB4811"/>
    <w:rsid w:val="00FB5FD1"/>
    <w:rsid w:val="00FC01D2"/>
    <w:rsid w:val="00FC0917"/>
    <w:rsid w:val="00FC094C"/>
    <w:rsid w:val="00FC183E"/>
    <w:rsid w:val="00FC3BAE"/>
    <w:rsid w:val="00FC4E8E"/>
    <w:rsid w:val="00FC6102"/>
    <w:rsid w:val="00FC7166"/>
    <w:rsid w:val="00FD06B6"/>
    <w:rsid w:val="00FD1399"/>
    <w:rsid w:val="00FD146A"/>
    <w:rsid w:val="00FD1DDA"/>
    <w:rsid w:val="00FD47E8"/>
    <w:rsid w:val="00FD4B4C"/>
    <w:rsid w:val="00FD710E"/>
    <w:rsid w:val="00FE09E6"/>
    <w:rsid w:val="00FE277E"/>
    <w:rsid w:val="00FE38BE"/>
    <w:rsid w:val="00FE5B99"/>
    <w:rsid w:val="00FE63F6"/>
    <w:rsid w:val="00FE7C89"/>
    <w:rsid w:val="00FF2CE1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1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9A7D-2340-45F2-AA68-88CBEEF8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2018-06-12T11:43:00Z</dcterms:created>
  <dcterms:modified xsi:type="dcterms:W3CDTF">2018-06-12T11:43:00Z</dcterms:modified>
</cp:coreProperties>
</file>