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62A6A" w14:textId="77777777" w:rsidR="00815D37" w:rsidRPr="0099030D" w:rsidRDefault="00815D37" w:rsidP="00272C11">
      <w:pPr>
        <w:tabs>
          <w:tab w:val="left" w:pos="2552"/>
        </w:tabs>
        <w:jc w:val="center"/>
        <w:rPr>
          <w:rFonts w:eastAsia="Calibri" w:cstheme="minorHAnsi"/>
          <w:b/>
          <w:bCs/>
          <w:sz w:val="36"/>
          <w:szCs w:val="36"/>
        </w:rPr>
      </w:pPr>
      <w:r w:rsidRPr="0099030D">
        <w:rPr>
          <w:rFonts w:eastAsia="Calibri" w:cstheme="minorHAnsi"/>
          <w:b/>
          <w:bCs/>
          <w:sz w:val="36"/>
          <w:szCs w:val="36"/>
        </w:rPr>
        <w:t>COMUNICATO STAMPA</w:t>
      </w:r>
    </w:p>
    <w:p w14:paraId="33FE9D37" w14:textId="77777777" w:rsidR="006B4205" w:rsidRDefault="00646A3D" w:rsidP="006B4205">
      <w:pPr>
        <w:spacing w:after="80"/>
        <w:jc w:val="center"/>
        <w:rPr>
          <w:rFonts w:cstheme="minorHAnsi"/>
          <w:b/>
          <w:bCs/>
          <w:sz w:val="36"/>
          <w:szCs w:val="36"/>
        </w:rPr>
      </w:pPr>
      <w:r w:rsidRPr="004E4BA5">
        <w:rPr>
          <w:rFonts w:cstheme="minorHAnsi"/>
          <w:b/>
          <w:bCs/>
          <w:sz w:val="36"/>
          <w:szCs w:val="36"/>
        </w:rPr>
        <w:t xml:space="preserve">9° RAPPORTO GIMBE: </w:t>
      </w:r>
      <w:r w:rsidR="0068591D" w:rsidRPr="004E4BA5">
        <w:rPr>
          <w:rFonts w:cstheme="minorHAnsi"/>
          <w:b/>
          <w:bCs/>
          <w:sz w:val="36"/>
          <w:szCs w:val="36"/>
        </w:rPr>
        <w:t xml:space="preserve">DIRITTO ALLA SALUTE </w:t>
      </w:r>
      <w:r w:rsidRPr="004E4BA5">
        <w:rPr>
          <w:rFonts w:cstheme="minorHAnsi"/>
          <w:b/>
          <w:bCs/>
          <w:sz w:val="36"/>
          <w:szCs w:val="36"/>
        </w:rPr>
        <w:t>SEMPRE PIÙ CONDIZIONAT</w:t>
      </w:r>
      <w:r w:rsidR="0068591D" w:rsidRPr="004E4BA5">
        <w:rPr>
          <w:rFonts w:cstheme="minorHAnsi"/>
          <w:b/>
          <w:bCs/>
          <w:sz w:val="36"/>
          <w:szCs w:val="36"/>
        </w:rPr>
        <w:t>O</w:t>
      </w:r>
      <w:r w:rsidRPr="004E4BA5">
        <w:rPr>
          <w:rFonts w:cstheme="minorHAnsi"/>
          <w:b/>
          <w:bCs/>
          <w:sz w:val="36"/>
          <w:szCs w:val="36"/>
        </w:rPr>
        <w:t xml:space="preserve"> DA REDDITO </w:t>
      </w:r>
      <w:bookmarkStart w:id="0" w:name="_GoBack"/>
      <w:bookmarkEnd w:id="0"/>
      <w:r w:rsidRPr="004E4BA5">
        <w:rPr>
          <w:rFonts w:cstheme="minorHAnsi"/>
          <w:b/>
          <w:bCs/>
          <w:sz w:val="36"/>
          <w:szCs w:val="36"/>
        </w:rPr>
        <w:t>E RESIDENZA.</w:t>
      </w:r>
    </w:p>
    <w:p w14:paraId="6D4DCC07" w14:textId="77777777" w:rsidR="006B4205" w:rsidRDefault="00A33D31" w:rsidP="006B4205">
      <w:pPr>
        <w:spacing w:after="80"/>
        <w:jc w:val="center"/>
        <w:rPr>
          <w:rFonts w:cstheme="minorHAnsi"/>
          <w:b/>
          <w:bCs/>
          <w:color w:val="FF0000"/>
          <w:sz w:val="36"/>
          <w:szCs w:val="36"/>
        </w:rPr>
      </w:pPr>
      <w:r w:rsidRPr="004E4BA5">
        <w:rPr>
          <w:rFonts w:cstheme="minorHAnsi"/>
          <w:b/>
          <w:bCs/>
          <w:sz w:val="36"/>
          <w:szCs w:val="36"/>
        </w:rPr>
        <w:t xml:space="preserve">NEGLI ULTIMI 4 ANNI </w:t>
      </w:r>
      <w:r w:rsidR="00646A3D" w:rsidRPr="004E4BA5">
        <w:rPr>
          <w:rFonts w:cstheme="minorHAnsi"/>
          <w:b/>
          <w:bCs/>
          <w:sz w:val="36"/>
          <w:szCs w:val="36"/>
        </w:rPr>
        <w:t xml:space="preserve">€ </w:t>
      </w:r>
      <w:r w:rsidR="00FC2429" w:rsidRPr="004E4BA5">
        <w:rPr>
          <w:rFonts w:cstheme="minorHAnsi"/>
          <w:b/>
          <w:bCs/>
          <w:sz w:val="36"/>
          <w:szCs w:val="36"/>
        </w:rPr>
        <w:t>18,8</w:t>
      </w:r>
      <w:r w:rsidR="00646A3D" w:rsidRPr="004E4BA5">
        <w:rPr>
          <w:rFonts w:cstheme="minorHAnsi"/>
          <w:b/>
          <w:bCs/>
          <w:sz w:val="36"/>
          <w:szCs w:val="36"/>
        </w:rPr>
        <w:t xml:space="preserve"> MILIARDI DI “TAGLI INVISIBILI”</w:t>
      </w:r>
      <w:r w:rsidRPr="004E4BA5">
        <w:rPr>
          <w:rFonts w:cstheme="minorHAnsi"/>
          <w:b/>
          <w:bCs/>
          <w:sz w:val="36"/>
          <w:szCs w:val="36"/>
        </w:rPr>
        <w:t>.</w:t>
      </w:r>
    </w:p>
    <w:p w14:paraId="421E0623" w14:textId="77777777" w:rsidR="006B4205" w:rsidRDefault="00D510A7" w:rsidP="006B4205">
      <w:pPr>
        <w:spacing w:after="80"/>
        <w:jc w:val="center"/>
        <w:rPr>
          <w:rFonts w:cstheme="minorHAnsi"/>
          <w:b/>
          <w:bCs/>
          <w:color w:val="FF0000"/>
          <w:sz w:val="36"/>
          <w:szCs w:val="36"/>
        </w:rPr>
      </w:pPr>
      <w:r w:rsidRPr="004E4BA5">
        <w:rPr>
          <w:rFonts w:cstheme="minorHAnsi"/>
          <w:b/>
          <w:bCs/>
          <w:sz w:val="36"/>
          <w:szCs w:val="36"/>
        </w:rPr>
        <w:t xml:space="preserve">FINANZIAMENTO E </w:t>
      </w:r>
      <w:r w:rsidR="00A7610A">
        <w:rPr>
          <w:rFonts w:cstheme="minorHAnsi"/>
          <w:b/>
          <w:bCs/>
          <w:sz w:val="36"/>
          <w:szCs w:val="36"/>
        </w:rPr>
        <w:t xml:space="preserve">PREVISIONI DI </w:t>
      </w:r>
      <w:r w:rsidRPr="004E4BA5">
        <w:rPr>
          <w:rFonts w:cstheme="minorHAnsi"/>
          <w:b/>
          <w:bCs/>
          <w:sz w:val="36"/>
          <w:szCs w:val="36"/>
        </w:rPr>
        <w:t xml:space="preserve">SPESA: </w:t>
      </w:r>
      <w:r w:rsidR="00A7610A">
        <w:rPr>
          <w:rFonts w:cstheme="minorHAnsi"/>
          <w:b/>
          <w:bCs/>
          <w:sz w:val="36"/>
          <w:szCs w:val="36"/>
        </w:rPr>
        <w:t xml:space="preserve">DIVARIO DI </w:t>
      </w:r>
      <w:r w:rsidRPr="004E4BA5">
        <w:rPr>
          <w:rFonts w:cstheme="minorHAnsi"/>
          <w:b/>
          <w:bCs/>
          <w:sz w:val="36"/>
          <w:szCs w:val="36"/>
        </w:rPr>
        <w:t>€ 32,3 MILIARDI NEL TRIENNI</w:t>
      </w:r>
      <w:r w:rsidR="008C3E9C">
        <w:rPr>
          <w:rFonts w:cstheme="minorHAnsi"/>
          <w:b/>
          <w:bCs/>
          <w:sz w:val="36"/>
          <w:szCs w:val="36"/>
        </w:rPr>
        <w:t>O</w:t>
      </w:r>
      <w:r w:rsidRPr="004E4BA5">
        <w:rPr>
          <w:rFonts w:cstheme="minorHAnsi"/>
          <w:b/>
          <w:bCs/>
          <w:sz w:val="36"/>
          <w:szCs w:val="36"/>
        </w:rPr>
        <w:t xml:space="preserve"> 2027-2029. SENZA NUOVE RISORSE, IL CONTO RICADRÀ SU REGIONI E CITTADINI.</w:t>
      </w:r>
    </w:p>
    <w:p w14:paraId="34C7381D" w14:textId="77777777" w:rsidR="006B4205" w:rsidRDefault="00646A3D" w:rsidP="006B4205">
      <w:pPr>
        <w:spacing w:after="80"/>
        <w:jc w:val="center"/>
        <w:rPr>
          <w:rFonts w:cstheme="minorHAnsi"/>
          <w:b/>
          <w:bCs/>
          <w:color w:val="FF0000"/>
          <w:sz w:val="36"/>
          <w:szCs w:val="36"/>
        </w:rPr>
      </w:pPr>
      <w:r w:rsidRPr="004E4BA5">
        <w:rPr>
          <w:rFonts w:cstheme="minorHAnsi"/>
          <w:b/>
          <w:bCs/>
          <w:sz w:val="36"/>
          <w:szCs w:val="36"/>
        </w:rPr>
        <w:t xml:space="preserve">PERSONALE: € 36,8 MILIARDI </w:t>
      </w:r>
      <w:r w:rsidR="00CB72EA" w:rsidRPr="004E4BA5">
        <w:rPr>
          <w:rFonts w:cstheme="minorHAnsi"/>
          <w:b/>
          <w:bCs/>
          <w:sz w:val="36"/>
          <w:szCs w:val="36"/>
        </w:rPr>
        <w:t>IN</w:t>
      </w:r>
      <w:r w:rsidRPr="004E4BA5">
        <w:rPr>
          <w:rFonts w:cstheme="minorHAnsi"/>
          <w:b/>
          <w:bCs/>
          <w:sz w:val="36"/>
          <w:szCs w:val="36"/>
        </w:rPr>
        <w:t xml:space="preserve"> </w:t>
      </w:r>
      <w:r w:rsidR="00CB72EA" w:rsidRPr="004E4BA5">
        <w:rPr>
          <w:rFonts w:cstheme="minorHAnsi"/>
          <w:b/>
          <w:bCs/>
          <w:sz w:val="36"/>
          <w:szCs w:val="36"/>
        </w:rPr>
        <w:t xml:space="preserve">MENO </w:t>
      </w:r>
      <w:r w:rsidRPr="004E4BA5">
        <w:rPr>
          <w:rFonts w:cstheme="minorHAnsi"/>
          <w:b/>
          <w:bCs/>
          <w:sz w:val="36"/>
          <w:szCs w:val="36"/>
        </w:rPr>
        <w:t xml:space="preserve">RISPETTO </w:t>
      </w:r>
      <w:r w:rsidR="002C304F">
        <w:rPr>
          <w:rFonts w:cstheme="minorHAnsi"/>
          <w:b/>
          <w:bCs/>
          <w:sz w:val="36"/>
          <w:szCs w:val="36"/>
        </w:rPr>
        <w:t>AL</w:t>
      </w:r>
      <w:r w:rsidR="00CB72EA" w:rsidRPr="004E4BA5">
        <w:rPr>
          <w:rFonts w:cstheme="minorHAnsi"/>
          <w:b/>
          <w:bCs/>
          <w:sz w:val="36"/>
          <w:szCs w:val="36"/>
        </w:rPr>
        <w:t xml:space="preserve"> 2012. </w:t>
      </w:r>
    </w:p>
    <w:p w14:paraId="33F1EBF0" w14:textId="77777777" w:rsidR="006B4205" w:rsidRDefault="008714ED" w:rsidP="006B4205">
      <w:pPr>
        <w:spacing w:after="80"/>
        <w:jc w:val="center"/>
        <w:rPr>
          <w:rFonts w:cstheme="minorHAnsi"/>
          <w:b/>
          <w:bCs/>
          <w:sz w:val="36"/>
          <w:szCs w:val="36"/>
        </w:rPr>
      </w:pPr>
      <w:r w:rsidRPr="008738FA">
        <w:rPr>
          <w:rFonts w:cstheme="minorHAnsi"/>
          <w:b/>
          <w:bCs/>
          <w:spacing w:val="-12"/>
          <w:sz w:val="36"/>
          <w:szCs w:val="36"/>
        </w:rPr>
        <w:t>UN MEDICO SU 4 E</w:t>
      </w:r>
      <w:r w:rsidR="00A7610A" w:rsidRPr="008738FA">
        <w:rPr>
          <w:rFonts w:cstheme="minorHAnsi"/>
          <w:b/>
          <w:bCs/>
          <w:spacing w:val="-12"/>
          <w:sz w:val="36"/>
          <w:szCs w:val="36"/>
        </w:rPr>
        <w:t xml:space="preserve"> UN </w:t>
      </w:r>
      <w:r w:rsidRPr="008738FA">
        <w:rPr>
          <w:rFonts w:cstheme="minorHAnsi"/>
          <w:b/>
          <w:bCs/>
          <w:spacing w:val="-12"/>
          <w:sz w:val="36"/>
          <w:szCs w:val="36"/>
        </w:rPr>
        <w:t xml:space="preserve">INFERMIERE SU 5 NON </w:t>
      </w:r>
      <w:r w:rsidR="00D510A7" w:rsidRPr="008738FA">
        <w:rPr>
          <w:rFonts w:cstheme="minorHAnsi"/>
          <w:b/>
          <w:bCs/>
          <w:spacing w:val="-12"/>
          <w:sz w:val="36"/>
          <w:szCs w:val="36"/>
        </w:rPr>
        <w:t>LAVORA</w:t>
      </w:r>
      <w:r w:rsidRPr="008738FA">
        <w:rPr>
          <w:rFonts w:cstheme="minorHAnsi"/>
          <w:b/>
          <w:bCs/>
          <w:spacing w:val="-12"/>
          <w:sz w:val="36"/>
          <w:szCs w:val="36"/>
        </w:rPr>
        <w:t>NO</w:t>
      </w:r>
      <w:r w:rsidR="00D510A7" w:rsidRPr="008738FA">
        <w:rPr>
          <w:rFonts w:cstheme="minorHAnsi"/>
          <w:b/>
          <w:bCs/>
          <w:spacing w:val="-12"/>
          <w:sz w:val="36"/>
          <w:szCs w:val="36"/>
        </w:rPr>
        <w:t xml:space="preserve"> NEL SSN</w:t>
      </w:r>
      <w:r w:rsidRPr="008738FA">
        <w:rPr>
          <w:rFonts w:cstheme="minorHAnsi"/>
          <w:b/>
          <w:bCs/>
          <w:spacing w:val="-12"/>
          <w:sz w:val="36"/>
          <w:szCs w:val="36"/>
        </w:rPr>
        <w:t>.</w:t>
      </w:r>
      <w:r w:rsidR="004223D5" w:rsidRPr="004E4BA5">
        <w:rPr>
          <w:rFonts w:cstheme="minorHAnsi"/>
          <w:b/>
          <w:bCs/>
          <w:sz w:val="36"/>
          <w:szCs w:val="36"/>
        </w:rPr>
        <w:br/>
      </w:r>
      <w:r w:rsidR="001630A9">
        <w:rPr>
          <w:rFonts w:cstheme="minorHAnsi"/>
          <w:b/>
          <w:bCs/>
          <w:sz w:val="36"/>
          <w:szCs w:val="36"/>
        </w:rPr>
        <w:t xml:space="preserve">SPESA: </w:t>
      </w:r>
      <w:r w:rsidR="00581F34" w:rsidRPr="004E4BA5">
        <w:rPr>
          <w:rFonts w:cstheme="minorHAnsi"/>
          <w:b/>
          <w:bCs/>
          <w:sz w:val="36"/>
          <w:szCs w:val="36"/>
        </w:rPr>
        <w:t xml:space="preserve">NEL 2025 </w:t>
      </w:r>
      <w:r w:rsidR="0096012C" w:rsidRPr="004E4BA5">
        <w:rPr>
          <w:rFonts w:cstheme="minorHAnsi"/>
          <w:b/>
          <w:bCs/>
          <w:sz w:val="36"/>
          <w:szCs w:val="36"/>
        </w:rPr>
        <w:t xml:space="preserve">€ 42,4 MILIARDI </w:t>
      </w:r>
      <w:r w:rsidR="00581F34" w:rsidRPr="004E4BA5">
        <w:rPr>
          <w:rFonts w:cstheme="minorHAnsi"/>
          <w:b/>
          <w:bCs/>
          <w:sz w:val="36"/>
          <w:szCs w:val="36"/>
        </w:rPr>
        <w:t>A CARICO DELLE FAMIGLIE</w:t>
      </w:r>
      <w:r w:rsidR="0096012C" w:rsidRPr="004E4BA5">
        <w:rPr>
          <w:rFonts w:cstheme="minorHAnsi"/>
          <w:b/>
          <w:bCs/>
          <w:sz w:val="36"/>
          <w:szCs w:val="36"/>
        </w:rPr>
        <w:t>.</w:t>
      </w:r>
    </w:p>
    <w:p w14:paraId="1E79B0D8" w14:textId="77777777" w:rsidR="006B4205" w:rsidRDefault="00FE7354" w:rsidP="006B4205">
      <w:pPr>
        <w:spacing w:after="80"/>
        <w:jc w:val="center"/>
        <w:rPr>
          <w:rFonts w:cstheme="minorHAnsi"/>
          <w:b/>
          <w:bCs/>
          <w:color w:val="FF0000"/>
          <w:sz w:val="36"/>
          <w:szCs w:val="36"/>
        </w:rPr>
      </w:pPr>
      <w:r w:rsidRPr="004E4BA5">
        <w:rPr>
          <w:rFonts w:cstheme="minorHAnsi"/>
          <w:b/>
          <w:bCs/>
          <w:sz w:val="36"/>
          <w:szCs w:val="36"/>
        </w:rPr>
        <w:t>PNRR SALUTE: TARGET FINALI RENDICONTATI</w:t>
      </w:r>
      <w:r w:rsidR="00D510A7" w:rsidRPr="004E4BA5">
        <w:rPr>
          <w:rFonts w:cstheme="minorHAnsi"/>
          <w:b/>
          <w:bCs/>
          <w:sz w:val="36"/>
          <w:szCs w:val="36"/>
        </w:rPr>
        <w:t xml:space="preserve"> ALL’EUROPA</w:t>
      </w:r>
      <w:r w:rsidRPr="004E4BA5">
        <w:rPr>
          <w:rFonts w:cstheme="minorHAnsi"/>
          <w:b/>
          <w:bCs/>
          <w:sz w:val="36"/>
          <w:szCs w:val="36"/>
        </w:rPr>
        <w:t>,</w:t>
      </w:r>
      <w:r w:rsidR="004F4AED">
        <w:rPr>
          <w:rFonts w:cstheme="minorHAnsi"/>
          <w:b/>
          <w:bCs/>
          <w:sz w:val="36"/>
          <w:szCs w:val="36"/>
        </w:rPr>
        <w:t xml:space="preserve"> </w:t>
      </w:r>
      <w:r w:rsidR="004F4AED" w:rsidRPr="008C3E9C">
        <w:rPr>
          <w:rFonts w:cstheme="minorHAnsi"/>
          <w:b/>
          <w:bCs/>
          <w:sz w:val="36"/>
          <w:szCs w:val="36"/>
        </w:rPr>
        <w:t xml:space="preserve">MA </w:t>
      </w:r>
      <w:r w:rsidR="004F4AED" w:rsidRPr="004F4AED">
        <w:rPr>
          <w:rFonts w:cstheme="minorHAnsi"/>
          <w:b/>
          <w:bCs/>
          <w:sz w:val="36"/>
          <w:szCs w:val="36"/>
        </w:rPr>
        <w:t>MANCANO DATI PUBBLICI PER UNA VERIFICA COMPLETA.</w:t>
      </w:r>
    </w:p>
    <w:p w14:paraId="17CBAEF5" w14:textId="74208420" w:rsidR="00A8793B" w:rsidRDefault="0096012C" w:rsidP="006B4205">
      <w:pPr>
        <w:spacing w:after="80"/>
        <w:jc w:val="center"/>
        <w:rPr>
          <w:rFonts w:cstheme="minorHAnsi"/>
          <w:b/>
          <w:bCs/>
          <w:color w:val="FF0000"/>
          <w:sz w:val="36"/>
          <w:szCs w:val="36"/>
        </w:rPr>
      </w:pPr>
      <w:r w:rsidRPr="001630A9">
        <w:rPr>
          <w:rFonts w:cstheme="minorHAnsi"/>
          <w:b/>
          <w:bCs/>
          <w:sz w:val="36"/>
          <w:szCs w:val="36"/>
        </w:rPr>
        <w:t xml:space="preserve">PIANO DI RILANCIO DEL SSN: DA GIMBE 16 LINEE DI INTERVENTO </w:t>
      </w:r>
      <w:r w:rsidR="00FE7354" w:rsidRPr="001630A9">
        <w:rPr>
          <w:rFonts w:cstheme="minorHAnsi"/>
          <w:b/>
          <w:bCs/>
          <w:sz w:val="36"/>
          <w:szCs w:val="36"/>
        </w:rPr>
        <w:t>PER VALUTARE I PROGRAMMI ELETTORALI</w:t>
      </w:r>
    </w:p>
    <w:p w14:paraId="58B92B07" w14:textId="289FDC1B" w:rsidR="003914F4" w:rsidRPr="00061CFC" w:rsidRDefault="00AB59FA" w:rsidP="00A8793B">
      <w:pPr>
        <w:spacing w:after="240"/>
        <w:jc w:val="center"/>
        <w:rPr>
          <w:rFonts w:cstheme="minorHAnsi"/>
          <w:b/>
          <w:bCs/>
          <w:sz w:val="36"/>
          <w:szCs w:val="36"/>
        </w:rPr>
      </w:pPr>
      <w:r>
        <w:rPr>
          <w:rFonts w:eastAsia="Calibri" w:cstheme="minorHAnsi"/>
          <w:b/>
          <w:bCs/>
          <w:sz w:val="24"/>
          <w:szCs w:val="24"/>
        </w:rPr>
        <w:t>7 ottobre 2026 - Fondazione GIMBE, Roma</w:t>
      </w:r>
    </w:p>
    <w:p w14:paraId="7187DC9E" w14:textId="09F6F0A5" w:rsidR="00050C01" w:rsidRDefault="00AB59FA" w:rsidP="00AB59FA">
      <w:pPr>
        <w:jc w:val="both"/>
        <w:rPr>
          <w:rFonts w:cstheme="minorHAnsi"/>
        </w:rPr>
      </w:pPr>
      <w:r>
        <w:rPr>
          <w:rFonts w:cstheme="minorHAnsi"/>
        </w:rPr>
        <w:t>«</w:t>
      </w:r>
      <w:r w:rsidR="00420BFB">
        <w:rPr>
          <w:rFonts w:cstheme="minorHAnsi"/>
        </w:rPr>
        <w:t>I</w:t>
      </w:r>
      <w:r w:rsidR="00420BFB" w:rsidRPr="00090856">
        <w:rPr>
          <w:rFonts w:cstheme="minorHAnsi"/>
        </w:rPr>
        <w:t xml:space="preserve">l SSN continua a garantire buoni esiti di salute, in particolare un’elevata aspettativa di vita e una bassa mortalità evitabile, ma </w:t>
      </w:r>
      <w:r w:rsidR="008104AA">
        <w:rPr>
          <w:rFonts w:cstheme="minorHAnsi"/>
        </w:rPr>
        <w:t>ha perso</w:t>
      </w:r>
      <w:r w:rsidR="00420BFB" w:rsidRPr="00090856">
        <w:rPr>
          <w:rFonts w:cstheme="minorHAnsi"/>
        </w:rPr>
        <w:t xml:space="preserve"> la capacità di erogare prestazioni </w:t>
      </w:r>
      <w:r w:rsidR="00A40120">
        <w:rPr>
          <w:rFonts w:cstheme="minorHAnsi"/>
        </w:rPr>
        <w:t xml:space="preserve">in modo equo e </w:t>
      </w:r>
      <w:r w:rsidR="00420BFB" w:rsidRPr="00090856">
        <w:rPr>
          <w:rFonts w:cstheme="minorHAnsi"/>
        </w:rPr>
        <w:t>tempestivo</w:t>
      </w:r>
      <w:r w:rsidR="00420BFB">
        <w:rPr>
          <w:rFonts w:cstheme="minorHAnsi"/>
        </w:rPr>
        <w:t xml:space="preserve">. Il sottofinanziamento strutturale, le diseguaglianze territoriali e sociali e la profonda crisi del personale stanno progressivamente erodendo i princìpi di universalità, uguaglianza ed equità. </w:t>
      </w:r>
      <w:r w:rsidR="00A40120">
        <w:rPr>
          <w:rFonts w:cstheme="minorHAnsi"/>
        </w:rPr>
        <w:t xml:space="preserve">Queste criticità </w:t>
      </w:r>
      <w:r>
        <w:rPr>
          <w:rFonts w:cstheme="minorHAnsi"/>
        </w:rPr>
        <w:t>non cancella</w:t>
      </w:r>
      <w:r w:rsidR="00A40120">
        <w:rPr>
          <w:rFonts w:cstheme="minorHAnsi"/>
        </w:rPr>
        <w:t>no</w:t>
      </w:r>
      <w:r>
        <w:rPr>
          <w:rFonts w:cstheme="minorHAnsi"/>
        </w:rPr>
        <w:t xml:space="preserve"> il diritto alla </w:t>
      </w:r>
      <w:r w:rsidR="008F7F39">
        <w:rPr>
          <w:rFonts w:cstheme="minorHAnsi"/>
        </w:rPr>
        <w:t xml:space="preserve">tutela della </w:t>
      </w:r>
      <w:r>
        <w:rPr>
          <w:rFonts w:cstheme="minorHAnsi"/>
        </w:rPr>
        <w:t>salute</w:t>
      </w:r>
      <w:r w:rsidR="008F7F39">
        <w:rPr>
          <w:rFonts w:cstheme="minorHAnsi"/>
        </w:rPr>
        <w:t>, ma</w:t>
      </w:r>
      <w:r>
        <w:rPr>
          <w:rFonts w:cstheme="minorHAnsi"/>
        </w:rPr>
        <w:t xml:space="preserve"> ne compromett</w:t>
      </w:r>
      <w:r w:rsidR="00A40120">
        <w:rPr>
          <w:rFonts w:cstheme="minorHAnsi"/>
        </w:rPr>
        <w:t>ono</w:t>
      </w:r>
      <w:r>
        <w:rPr>
          <w:rFonts w:cstheme="minorHAnsi"/>
        </w:rPr>
        <w:t xml:space="preserve"> l’effettiva esigibilità</w:t>
      </w:r>
      <w:r w:rsidR="00050C01">
        <w:rPr>
          <w:rFonts w:cstheme="minorHAnsi"/>
        </w:rPr>
        <w:t xml:space="preserve">, </w:t>
      </w:r>
      <w:r w:rsidR="00A40120">
        <w:rPr>
          <w:rFonts w:cstheme="minorHAnsi"/>
        </w:rPr>
        <w:t xml:space="preserve">sempre più </w:t>
      </w:r>
      <w:r w:rsidR="00050C01">
        <w:rPr>
          <w:rFonts w:cstheme="minorHAnsi"/>
        </w:rPr>
        <w:t>condizionata dal CAP di residenza e dalle condizioni economiche</w:t>
      </w:r>
      <w:r w:rsidR="00420BFB">
        <w:rPr>
          <w:rFonts w:cstheme="minorHAnsi"/>
        </w:rPr>
        <w:t>: o</w:t>
      </w:r>
      <w:r>
        <w:rPr>
          <w:rFonts w:cstheme="minorHAnsi"/>
        </w:rPr>
        <w:t>ggi</w:t>
      </w:r>
      <w:r w:rsidR="00306303">
        <w:rPr>
          <w:rFonts w:cstheme="minorHAnsi"/>
        </w:rPr>
        <w:t xml:space="preserve"> </w:t>
      </w:r>
      <w:r>
        <w:rPr>
          <w:rFonts w:cstheme="minorHAnsi"/>
        </w:rPr>
        <w:t>chi può paga, chi non può aspetta o rinuncia a</w:t>
      </w:r>
      <w:r w:rsidR="00A33D31">
        <w:rPr>
          <w:rFonts w:cstheme="minorHAnsi"/>
        </w:rPr>
        <w:t xml:space="preserve"> visite e</w:t>
      </w:r>
      <w:r w:rsidR="00A7610A">
        <w:rPr>
          <w:rFonts w:cstheme="minorHAnsi"/>
        </w:rPr>
        <w:t>d esami</w:t>
      </w:r>
      <w:r>
        <w:rPr>
          <w:rFonts w:cstheme="minorHAnsi"/>
        </w:rPr>
        <w:t>».</w:t>
      </w:r>
      <w:r w:rsidR="002D6D85">
        <w:rPr>
          <w:rFonts w:cstheme="minorHAnsi"/>
        </w:rPr>
        <w:t xml:space="preserve"> </w:t>
      </w:r>
      <w:r>
        <w:rPr>
          <w:rFonts w:cstheme="minorHAnsi"/>
        </w:rPr>
        <w:t xml:space="preserve">Così Nino Cartabellotta, Presidente della Fondazione GIMBE, </w:t>
      </w:r>
      <w:r w:rsidR="00306303">
        <w:rPr>
          <w:rFonts w:cstheme="minorHAnsi"/>
        </w:rPr>
        <w:t xml:space="preserve">ha aperto </w:t>
      </w:r>
      <w:r>
        <w:rPr>
          <w:rFonts w:cstheme="minorHAnsi"/>
        </w:rPr>
        <w:t xml:space="preserve">la presentazione del </w:t>
      </w:r>
      <w:r>
        <w:rPr>
          <w:rFonts w:cstheme="minorHAnsi"/>
          <w:b/>
          <w:bCs/>
        </w:rPr>
        <w:t>9° Rapporto sul Servizio Sanitario Nazionale (SSN)</w:t>
      </w:r>
      <w:r w:rsidR="00306303" w:rsidRPr="00306303">
        <w:rPr>
          <w:rFonts w:cstheme="minorHAnsi"/>
        </w:rPr>
        <w:t xml:space="preserve"> </w:t>
      </w:r>
      <w:r w:rsidR="00306303">
        <w:rPr>
          <w:rFonts w:cstheme="minorHAnsi"/>
        </w:rPr>
        <w:t>presso la Sala della Regina della Camera dei Deputati.</w:t>
      </w:r>
    </w:p>
    <w:p w14:paraId="04278992" w14:textId="7A560F13" w:rsidR="00600541" w:rsidRPr="00AB59FA" w:rsidRDefault="00AB59FA" w:rsidP="00600541">
      <w:pPr>
        <w:jc w:val="both"/>
        <w:rPr>
          <w:rFonts w:cstheme="minorHAnsi"/>
        </w:rPr>
      </w:pPr>
      <w:r>
        <w:rPr>
          <w:rFonts w:cstheme="minorHAnsi"/>
        </w:rPr>
        <w:t xml:space="preserve">Il </w:t>
      </w:r>
      <w:r w:rsidR="00050C01">
        <w:rPr>
          <w:rFonts w:cstheme="minorHAnsi"/>
        </w:rPr>
        <w:t xml:space="preserve">9° </w:t>
      </w:r>
      <w:r>
        <w:rPr>
          <w:rFonts w:cstheme="minorHAnsi"/>
        </w:rPr>
        <w:t xml:space="preserve">Rapporto </w:t>
      </w:r>
      <w:r w:rsidR="00050C01">
        <w:rPr>
          <w:rFonts w:cstheme="minorHAnsi"/>
        </w:rPr>
        <w:t xml:space="preserve">GIMBE </w:t>
      </w:r>
      <w:r>
        <w:rPr>
          <w:rFonts w:cstheme="minorHAnsi"/>
        </w:rPr>
        <w:t xml:space="preserve">fotografa lo </w:t>
      </w:r>
      <w:r w:rsidR="002D6D85">
        <w:rPr>
          <w:rFonts w:cstheme="minorHAnsi"/>
        </w:rPr>
        <w:t>“</w:t>
      </w:r>
      <w:r>
        <w:rPr>
          <w:rFonts w:cstheme="minorHAnsi"/>
        </w:rPr>
        <w:t xml:space="preserve">stato </w:t>
      </w:r>
      <w:r w:rsidR="002D6D85">
        <w:rPr>
          <w:rFonts w:cstheme="minorHAnsi"/>
        </w:rPr>
        <w:t xml:space="preserve">di salute” del SSN analizzando </w:t>
      </w:r>
      <w:r>
        <w:rPr>
          <w:rFonts w:cstheme="minorHAnsi"/>
        </w:rPr>
        <w:t xml:space="preserve">finanziamento </w:t>
      </w:r>
      <w:r w:rsidR="008104AA">
        <w:rPr>
          <w:rFonts w:cstheme="minorHAnsi"/>
        </w:rPr>
        <w:t xml:space="preserve">pubblico </w:t>
      </w:r>
      <w:r>
        <w:rPr>
          <w:rFonts w:cstheme="minorHAnsi"/>
        </w:rPr>
        <w:t>e riparto delle risorse</w:t>
      </w:r>
      <w:r w:rsidR="008104AA">
        <w:rPr>
          <w:rFonts w:cstheme="minorHAnsi"/>
        </w:rPr>
        <w:t xml:space="preserve"> alle Regioni</w:t>
      </w:r>
      <w:r>
        <w:rPr>
          <w:rFonts w:cstheme="minorHAnsi"/>
        </w:rPr>
        <w:t xml:space="preserve">, spesa sanitaria, Livelli Essenziali di Assistenza (LEA), sprechi e inefficienze, personale sanitario, Missione </w:t>
      </w:r>
      <w:r w:rsidR="002D6D85">
        <w:rPr>
          <w:rFonts w:cstheme="minorHAnsi"/>
        </w:rPr>
        <w:t xml:space="preserve">6 </w:t>
      </w:r>
      <w:r>
        <w:rPr>
          <w:rFonts w:cstheme="minorHAnsi"/>
        </w:rPr>
        <w:t xml:space="preserve">Salute del PNRR e ruolo del privato in sanità. </w:t>
      </w:r>
      <w:r w:rsidR="00600541">
        <w:rPr>
          <w:rFonts w:cstheme="minorHAnsi"/>
        </w:rPr>
        <w:t>Il Rapporto</w:t>
      </w:r>
      <w:r w:rsidR="00050C01">
        <w:rPr>
          <w:rFonts w:cstheme="minorHAnsi"/>
        </w:rPr>
        <w:t xml:space="preserve"> aggiorna e amplia inoltre il Piano di Rilancio del SSN</w:t>
      </w:r>
      <w:r w:rsidR="00600541">
        <w:rPr>
          <w:rFonts w:cstheme="minorHAnsi"/>
        </w:rPr>
        <w:t xml:space="preserve">: </w:t>
      </w:r>
      <w:r w:rsidR="00050C01" w:rsidRPr="00050C01">
        <w:rPr>
          <w:rFonts w:cstheme="minorHAnsi"/>
        </w:rPr>
        <w:t>una cornice strategica</w:t>
      </w:r>
      <w:r w:rsidR="008104AA">
        <w:rPr>
          <w:rFonts w:cstheme="minorHAnsi"/>
        </w:rPr>
        <w:t xml:space="preserve"> che</w:t>
      </w:r>
      <w:r w:rsidR="00600541" w:rsidRPr="00600541">
        <w:rPr>
          <w:rFonts w:cstheme="minorHAnsi"/>
        </w:rPr>
        <w:t xml:space="preserve">, a partire dalle criticità documentate, individua le priorità per rafforzare e innovare il </w:t>
      </w:r>
      <w:r w:rsidR="00600541">
        <w:rPr>
          <w:rFonts w:cstheme="minorHAnsi"/>
        </w:rPr>
        <w:t>SSN</w:t>
      </w:r>
      <w:r w:rsidR="00050C01">
        <w:rPr>
          <w:rFonts w:cstheme="minorHAnsi"/>
        </w:rPr>
        <w:t>.</w:t>
      </w:r>
    </w:p>
    <w:p w14:paraId="32559BC8" w14:textId="417692B1" w:rsidR="00047697" w:rsidRDefault="00AB59FA" w:rsidP="00195C55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Finanziamento pubblico: </w:t>
      </w:r>
      <w:r w:rsidR="00591B7B">
        <w:rPr>
          <w:rFonts w:cstheme="minorHAnsi"/>
          <w:b/>
          <w:bCs/>
        </w:rPr>
        <w:t xml:space="preserve">nel 2023-2026 </w:t>
      </w:r>
      <w:r>
        <w:rPr>
          <w:rFonts w:cstheme="minorHAnsi"/>
          <w:b/>
          <w:bCs/>
        </w:rPr>
        <w:t xml:space="preserve">€ </w:t>
      </w:r>
      <w:r w:rsidR="00FC2429">
        <w:rPr>
          <w:rFonts w:cstheme="minorHAnsi"/>
          <w:b/>
          <w:bCs/>
        </w:rPr>
        <w:t>18,8</w:t>
      </w:r>
      <w:r>
        <w:rPr>
          <w:rFonts w:cstheme="minorHAnsi"/>
          <w:b/>
          <w:bCs/>
        </w:rPr>
        <w:t xml:space="preserve"> miliardi di “tagli invisibili”. </w:t>
      </w:r>
      <w:r>
        <w:rPr>
          <w:rFonts w:cstheme="minorHAnsi"/>
        </w:rPr>
        <w:t xml:space="preserve">Nel </w:t>
      </w:r>
      <w:r w:rsidR="002D6D85">
        <w:rPr>
          <w:rFonts w:cstheme="minorHAnsi"/>
        </w:rPr>
        <w:t>periodo</w:t>
      </w:r>
      <w:r>
        <w:rPr>
          <w:rFonts w:cstheme="minorHAnsi"/>
        </w:rPr>
        <w:t xml:space="preserve"> 2023-2026 il Fondo Sanitario Nazionale (FSN) è aumentato </w:t>
      </w:r>
      <w:r w:rsidRPr="009E72EF">
        <w:rPr>
          <w:rFonts w:cstheme="minorHAnsi"/>
        </w:rPr>
        <w:t>di € 17,5 miliardi, passando da € 125,4 miliardi del 2022 a € 142,9 miliardi nel 2026. Il quadro cambia</w:t>
      </w:r>
      <w:r w:rsidR="00B57430" w:rsidRPr="009E72EF">
        <w:rPr>
          <w:rFonts w:cstheme="minorHAnsi"/>
        </w:rPr>
        <w:t xml:space="preserve"> però </w:t>
      </w:r>
      <w:r w:rsidR="00416830">
        <w:rPr>
          <w:rFonts w:cstheme="minorHAnsi"/>
        </w:rPr>
        <w:t>se il finanziamento è rapportato</w:t>
      </w:r>
      <w:r w:rsidR="003424DD">
        <w:rPr>
          <w:rFonts w:cstheme="minorHAnsi"/>
        </w:rPr>
        <w:t xml:space="preserve"> </w:t>
      </w:r>
      <w:r w:rsidRPr="009E72EF">
        <w:rPr>
          <w:rFonts w:cstheme="minorHAnsi"/>
        </w:rPr>
        <w:t>alla ricchezza prodotta dal Paese</w:t>
      </w:r>
      <w:r w:rsidR="00B57430" w:rsidRPr="009E72EF">
        <w:rPr>
          <w:rFonts w:cstheme="minorHAnsi"/>
        </w:rPr>
        <w:t>: nel</w:t>
      </w:r>
      <w:r w:rsidRPr="009E72EF">
        <w:rPr>
          <w:rFonts w:cstheme="minorHAnsi"/>
        </w:rPr>
        <w:t xml:space="preserve"> 2022 il FSN rappresentava il 6,27% del PIL; negli anni successivi </w:t>
      </w:r>
      <w:r w:rsidR="008F7F39" w:rsidRPr="009E72EF">
        <w:rPr>
          <w:rFonts w:cstheme="minorHAnsi"/>
        </w:rPr>
        <w:t xml:space="preserve">la </w:t>
      </w:r>
      <w:r w:rsidRPr="009E72EF">
        <w:rPr>
          <w:rFonts w:cstheme="minorHAnsi"/>
        </w:rPr>
        <w:t>quota si è mantenuta intorno al 6%, con l’eccezione del 6,</w:t>
      </w:r>
      <w:r w:rsidR="008104AA" w:rsidRPr="009E72EF">
        <w:rPr>
          <w:rFonts w:cstheme="minorHAnsi"/>
        </w:rPr>
        <w:t>1</w:t>
      </w:r>
      <w:r w:rsidR="008104AA">
        <w:rPr>
          <w:rFonts w:cstheme="minorHAnsi"/>
        </w:rPr>
        <w:t>4</w:t>
      </w:r>
      <w:r w:rsidRPr="009E72EF">
        <w:rPr>
          <w:rFonts w:cstheme="minorHAnsi"/>
        </w:rPr>
        <w:t>% del 2026</w:t>
      </w:r>
      <w:r w:rsidR="00107CCF" w:rsidRPr="009E72EF">
        <w:rPr>
          <w:rFonts w:cstheme="minorHAnsi"/>
        </w:rPr>
        <w:t xml:space="preserve"> (</w:t>
      </w:r>
      <w:r w:rsidR="00107CCF" w:rsidRPr="009E72EF">
        <w:rPr>
          <w:rFonts w:cstheme="minorHAnsi"/>
          <w:highlight w:val="yellow"/>
        </w:rPr>
        <w:t>figura 1</w:t>
      </w:r>
      <w:r w:rsidR="00107CCF" w:rsidRPr="009E72EF">
        <w:rPr>
          <w:rFonts w:cstheme="minorHAnsi"/>
        </w:rPr>
        <w:t>)</w:t>
      </w:r>
      <w:r w:rsidRPr="009E72EF">
        <w:rPr>
          <w:rFonts w:cstheme="minorHAnsi"/>
        </w:rPr>
        <w:t xml:space="preserve">. Se nel periodo 2023-2026 il rapporto FSN/PIL fosse rimasto costante al livello del 2022, </w:t>
      </w:r>
      <w:r w:rsidR="008F7F39" w:rsidRPr="009E72EF">
        <w:rPr>
          <w:rFonts w:cstheme="minorHAnsi"/>
        </w:rPr>
        <w:t>il SSN avrebbe avuto a disposizione</w:t>
      </w:r>
      <w:r w:rsidR="008F7F39" w:rsidRPr="009E72EF" w:rsidDel="008F7F39">
        <w:rPr>
          <w:rFonts w:cstheme="minorHAnsi"/>
        </w:rPr>
        <w:t xml:space="preserve"> </w:t>
      </w:r>
      <w:r w:rsidRPr="009E72EF">
        <w:rPr>
          <w:rFonts w:cstheme="minorHAnsi"/>
        </w:rPr>
        <w:t xml:space="preserve">€ </w:t>
      </w:r>
      <w:r w:rsidR="00F716FB">
        <w:rPr>
          <w:rFonts w:cstheme="minorHAnsi"/>
        </w:rPr>
        <w:t>18,8</w:t>
      </w:r>
      <w:r w:rsidRPr="009E72EF">
        <w:rPr>
          <w:rFonts w:cstheme="minorHAnsi"/>
        </w:rPr>
        <w:t xml:space="preserve"> miliardi </w:t>
      </w:r>
      <w:r w:rsidR="00506FA5" w:rsidRPr="009E72EF">
        <w:rPr>
          <w:rFonts w:cstheme="minorHAnsi"/>
        </w:rPr>
        <w:t>in più</w:t>
      </w:r>
      <w:r w:rsidR="0096012C">
        <w:rPr>
          <w:rFonts w:cstheme="minorHAnsi"/>
        </w:rPr>
        <w:t xml:space="preserve"> </w:t>
      </w:r>
      <w:r>
        <w:rPr>
          <w:rFonts w:cstheme="minorHAnsi"/>
        </w:rPr>
        <w:t>(</w:t>
      </w:r>
      <w:r w:rsidRPr="00E03BD6">
        <w:rPr>
          <w:rFonts w:cstheme="minorHAnsi"/>
          <w:highlight w:val="yellow"/>
        </w:rPr>
        <w:t xml:space="preserve">figura </w:t>
      </w:r>
      <w:r w:rsidR="00107CCF">
        <w:rPr>
          <w:rFonts w:cstheme="minorHAnsi"/>
          <w:highlight w:val="yellow"/>
        </w:rPr>
        <w:t>2</w:t>
      </w:r>
      <w:r>
        <w:rPr>
          <w:rFonts w:cstheme="minorHAnsi"/>
        </w:rPr>
        <w:t>).</w:t>
      </w:r>
      <w:r w:rsidR="00E03BD6">
        <w:rPr>
          <w:rFonts w:cstheme="minorHAnsi"/>
        </w:rPr>
        <w:t xml:space="preserve"> </w:t>
      </w:r>
      <w:r>
        <w:rPr>
          <w:rFonts w:cstheme="minorHAnsi"/>
        </w:rPr>
        <w:t xml:space="preserve">«Il </w:t>
      </w:r>
      <w:r>
        <w:rPr>
          <w:rFonts w:cstheme="minorHAnsi"/>
        </w:rPr>
        <w:lastRenderedPageBreak/>
        <w:t xml:space="preserve">finanziamento nominale è certamente aumentato – spiega Cartabellotta – ma </w:t>
      </w:r>
      <w:r w:rsidR="008F7F39">
        <w:rPr>
          <w:rFonts w:cstheme="minorHAnsi"/>
        </w:rPr>
        <w:t xml:space="preserve">si è ridotta </w:t>
      </w:r>
      <w:r>
        <w:rPr>
          <w:rFonts w:cstheme="minorHAnsi"/>
        </w:rPr>
        <w:t xml:space="preserve">la quota di ricchezza nazionale destinata al SSN. È </w:t>
      </w:r>
      <w:r w:rsidR="008F7F39">
        <w:rPr>
          <w:rFonts w:cstheme="minorHAnsi"/>
        </w:rPr>
        <w:t xml:space="preserve">il fenomeno dei </w:t>
      </w:r>
      <w:r>
        <w:rPr>
          <w:rFonts w:cstheme="minorHAnsi"/>
        </w:rPr>
        <w:t xml:space="preserve">“tagli invisibili”: non </w:t>
      </w:r>
      <w:r w:rsidR="00B57430">
        <w:rPr>
          <w:rFonts w:cstheme="minorHAnsi"/>
        </w:rPr>
        <w:t>tagli nominali</w:t>
      </w:r>
      <w:r>
        <w:rPr>
          <w:rFonts w:cstheme="minorHAnsi"/>
        </w:rPr>
        <w:t>, ma risorse</w:t>
      </w:r>
      <w:r w:rsidR="00B57430">
        <w:rPr>
          <w:rFonts w:cstheme="minorHAnsi"/>
        </w:rPr>
        <w:t xml:space="preserve"> inferiori</w:t>
      </w:r>
      <w:r>
        <w:rPr>
          <w:rFonts w:cstheme="minorHAnsi"/>
        </w:rPr>
        <w:t xml:space="preserve"> rispetto a quelle che il SSN avrebbe ricevuto mantenendo </w:t>
      </w:r>
      <w:r w:rsidR="00B57430">
        <w:rPr>
          <w:rFonts w:cstheme="minorHAnsi"/>
        </w:rPr>
        <w:t>invariato il rapporto FSN/</w:t>
      </w:r>
      <w:r>
        <w:rPr>
          <w:rFonts w:cstheme="minorHAnsi"/>
        </w:rPr>
        <w:t>PIL del 2022</w:t>
      </w:r>
      <w:r w:rsidR="00FA3BF2">
        <w:rPr>
          <w:rFonts w:cstheme="minorHAnsi"/>
        </w:rPr>
        <w:t>»</w:t>
      </w:r>
      <w:r>
        <w:rPr>
          <w:rFonts w:cstheme="minorHAnsi"/>
        </w:rPr>
        <w:t xml:space="preserve">. </w:t>
      </w:r>
      <w:r w:rsidR="008B761C" w:rsidRPr="00416830">
        <w:rPr>
          <w:rFonts w:cstheme="minorHAnsi"/>
        </w:rPr>
        <w:t xml:space="preserve">E c’è un altro dato </w:t>
      </w:r>
      <w:r w:rsidR="008B761C">
        <w:rPr>
          <w:rFonts w:cstheme="minorHAnsi"/>
        </w:rPr>
        <w:t>da non trascurare: d</w:t>
      </w:r>
      <w:r w:rsidR="00E95223" w:rsidRPr="00E95223">
        <w:rPr>
          <w:rFonts w:cstheme="minorHAnsi"/>
        </w:rPr>
        <w:t>al 2010 al 2026 il FSN nominale è cresciuto di € 37,5 miliardi</w:t>
      </w:r>
      <w:r w:rsidR="00047697">
        <w:rPr>
          <w:rFonts w:cstheme="minorHAnsi"/>
        </w:rPr>
        <w:t xml:space="preserve"> </w:t>
      </w:r>
      <w:r w:rsidR="00E95223" w:rsidRPr="00E95223">
        <w:rPr>
          <w:rFonts w:cstheme="minorHAnsi"/>
        </w:rPr>
        <w:t>ma</w:t>
      </w:r>
      <w:r w:rsidR="00047697">
        <w:rPr>
          <w:rFonts w:cstheme="minorHAnsi"/>
        </w:rPr>
        <w:t>, al netto dell’inflazione generale ISTAT, nel 2026</w:t>
      </w:r>
      <w:r w:rsidR="00E95223" w:rsidRPr="00E95223">
        <w:rPr>
          <w:rFonts w:cstheme="minorHAnsi"/>
        </w:rPr>
        <w:t xml:space="preserve"> il finanziamento </w:t>
      </w:r>
      <w:r w:rsidR="00047697">
        <w:rPr>
          <w:rFonts w:cstheme="minorHAnsi"/>
        </w:rPr>
        <w:t>è</w:t>
      </w:r>
      <w:r w:rsidR="00E95223" w:rsidRPr="00E95223">
        <w:rPr>
          <w:rFonts w:cstheme="minorHAnsi"/>
        </w:rPr>
        <w:t xml:space="preserve"> sostanzialmente </w:t>
      </w:r>
      <w:r w:rsidR="00047697">
        <w:rPr>
          <w:rFonts w:cstheme="minorHAnsi"/>
        </w:rPr>
        <w:t>tornato ai livelli</w:t>
      </w:r>
      <w:r w:rsidR="00E95223" w:rsidRPr="00E95223">
        <w:rPr>
          <w:rFonts w:cstheme="minorHAnsi"/>
        </w:rPr>
        <w:t xml:space="preserve"> del 2010. </w:t>
      </w:r>
      <w:r w:rsidR="00FA3BF2">
        <w:rPr>
          <w:rFonts w:cstheme="minorHAnsi"/>
        </w:rPr>
        <w:t>«</w:t>
      </w:r>
      <w:r w:rsidR="00E95223" w:rsidRPr="00E95223">
        <w:rPr>
          <w:rFonts w:cstheme="minorHAnsi"/>
        </w:rPr>
        <w:t xml:space="preserve">Nel frattempo </w:t>
      </w:r>
      <w:r w:rsidR="00FA3BF2">
        <w:rPr>
          <w:rFonts w:cstheme="minorHAnsi"/>
        </w:rPr>
        <w:t>– continua il Presidente</w:t>
      </w:r>
      <w:r w:rsidR="00047697">
        <w:rPr>
          <w:rFonts w:cstheme="minorHAnsi"/>
        </w:rPr>
        <w:t xml:space="preserve"> </w:t>
      </w:r>
      <w:r w:rsidR="00FA3BF2">
        <w:rPr>
          <w:rFonts w:cstheme="minorHAnsi"/>
        </w:rPr>
        <w:t xml:space="preserve">– </w:t>
      </w:r>
      <w:r w:rsidR="008B761C">
        <w:rPr>
          <w:rFonts w:cstheme="minorHAnsi"/>
        </w:rPr>
        <w:t xml:space="preserve">sono </w:t>
      </w:r>
      <w:r w:rsidR="00E95223" w:rsidRPr="00E95223">
        <w:rPr>
          <w:rFonts w:cstheme="minorHAnsi"/>
        </w:rPr>
        <w:t>aument</w:t>
      </w:r>
      <w:r w:rsidR="008B761C">
        <w:rPr>
          <w:rFonts w:cstheme="minorHAnsi"/>
        </w:rPr>
        <w:t>ati</w:t>
      </w:r>
      <w:r w:rsidR="00E95223" w:rsidRPr="00E95223">
        <w:rPr>
          <w:rFonts w:cstheme="minorHAnsi"/>
        </w:rPr>
        <w:t xml:space="preserve"> i bisogni di una popolazione che invecchia e </w:t>
      </w:r>
      <w:r w:rsidR="008B761C">
        <w:rPr>
          <w:rFonts w:cstheme="minorHAnsi"/>
        </w:rPr>
        <w:t xml:space="preserve">i costi delle </w:t>
      </w:r>
      <w:r w:rsidR="00E95223" w:rsidRPr="00E95223">
        <w:rPr>
          <w:rFonts w:cstheme="minorHAnsi"/>
        </w:rPr>
        <w:t>innovazion</w:t>
      </w:r>
      <w:r w:rsidR="008B761C">
        <w:rPr>
          <w:rFonts w:cstheme="minorHAnsi"/>
        </w:rPr>
        <w:t>i</w:t>
      </w:r>
      <w:r w:rsidR="00E95223" w:rsidRPr="00E95223">
        <w:rPr>
          <w:rFonts w:cstheme="minorHAnsi"/>
        </w:rPr>
        <w:t xml:space="preserve"> farmacologic</w:t>
      </w:r>
      <w:r w:rsidR="008B761C">
        <w:rPr>
          <w:rFonts w:cstheme="minorHAnsi"/>
        </w:rPr>
        <w:t>he</w:t>
      </w:r>
      <w:r w:rsidR="00E95223" w:rsidRPr="00E95223">
        <w:rPr>
          <w:rFonts w:cstheme="minorHAnsi"/>
        </w:rPr>
        <w:t xml:space="preserve"> e tecnologic</w:t>
      </w:r>
      <w:r w:rsidR="008B761C">
        <w:rPr>
          <w:rFonts w:cstheme="minorHAnsi"/>
        </w:rPr>
        <w:t>he</w:t>
      </w:r>
      <w:r w:rsidR="00E95223" w:rsidRPr="00E95223">
        <w:rPr>
          <w:rFonts w:cstheme="minorHAnsi"/>
        </w:rPr>
        <w:t xml:space="preserve">. </w:t>
      </w:r>
      <w:r w:rsidR="00047697">
        <w:rPr>
          <w:rFonts w:cstheme="minorHAnsi"/>
        </w:rPr>
        <w:t>Limitarsi a comunicare</w:t>
      </w:r>
      <w:r w:rsidR="00E95223" w:rsidRPr="00E95223">
        <w:rPr>
          <w:rFonts w:cstheme="minorHAnsi"/>
        </w:rPr>
        <w:t xml:space="preserve"> i miliardi stanziati non basta a dimostrare che il SSN sia adeguatamente finanziato</w:t>
      </w:r>
      <w:r w:rsidR="00FA3BF2">
        <w:rPr>
          <w:rFonts w:cstheme="minorHAnsi"/>
        </w:rPr>
        <w:t>»</w:t>
      </w:r>
      <w:r w:rsidR="008B761C">
        <w:rPr>
          <w:rFonts w:cstheme="minorHAnsi"/>
        </w:rPr>
        <w:t>.</w:t>
      </w:r>
    </w:p>
    <w:p w14:paraId="425F340F" w14:textId="4EC758CD" w:rsidR="00B02173" w:rsidRDefault="00195C55" w:rsidP="00195C55">
      <w:pPr>
        <w:jc w:val="both"/>
        <w:rPr>
          <w:rFonts w:cstheme="minorHAnsi"/>
        </w:rPr>
      </w:pPr>
      <w:r>
        <w:rPr>
          <w:rFonts w:cstheme="minorHAnsi"/>
          <w:b/>
          <w:bCs/>
        </w:rPr>
        <w:t>Confronti internazionali: Italia ultima nel G7 per spesa sanitaria pubblica pro-capite.</w:t>
      </w:r>
      <w:r>
        <w:rPr>
          <w:rFonts w:cstheme="minorHAnsi"/>
        </w:rPr>
        <w:t xml:space="preserve"> Nel 2025 la spesa sanitaria pubblica italiana si attesta al 6,2% del PIL, contro il 7,1% della media OCSE. La spesa pubblica pro-capite è pari a $ </w:t>
      </w:r>
      <w:r w:rsidRPr="002622F8">
        <w:rPr>
          <w:rFonts w:cstheme="minorHAnsi"/>
        </w:rPr>
        <w:t>3.952 a parità di potere d’acquisto: $ 909 in meno della media OCSE</w:t>
      </w:r>
      <w:r w:rsidR="002622F8" w:rsidRPr="002622F8">
        <w:rPr>
          <w:rFonts w:cstheme="minorHAnsi"/>
        </w:rPr>
        <w:t xml:space="preserve"> e $ 1.013 in meno della media europea</w:t>
      </w:r>
      <w:r w:rsidRPr="002622F8">
        <w:rPr>
          <w:rFonts w:cstheme="minorHAnsi"/>
        </w:rPr>
        <w:t xml:space="preserve">. </w:t>
      </w:r>
      <w:r w:rsidR="002C304F">
        <w:rPr>
          <w:rFonts w:cstheme="minorHAnsi"/>
        </w:rPr>
        <w:t>«Un divario – commenta Cartabellotta – r</w:t>
      </w:r>
      <w:r w:rsidR="002C304F" w:rsidRPr="002C304F">
        <w:rPr>
          <w:rFonts w:cstheme="minorHAnsi"/>
        </w:rPr>
        <w:t>apportato ai quasi 59 milioni di residenti s</w:t>
      </w:r>
      <w:r w:rsidR="002C304F">
        <w:rPr>
          <w:rFonts w:cstheme="minorHAnsi"/>
        </w:rPr>
        <w:t xml:space="preserve">upera i </w:t>
      </w:r>
      <w:r w:rsidR="002C304F" w:rsidRPr="002C304F">
        <w:rPr>
          <w:rFonts w:cstheme="minorHAnsi"/>
        </w:rPr>
        <w:t>€ 36</w:t>
      </w:r>
      <w:r w:rsidR="002C304F">
        <w:rPr>
          <w:rFonts w:cstheme="minorHAnsi"/>
        </w:rPr>
        <w:t xml:space="preserve"> </w:t>
      </w:r>
      <w:r w:rsidR="002C304F" w:rsidRPr="002C304F">
        <w:rPr>
          <w:rFonts w:cstheme="minorHAnsi"/>
        </w:rPr>
        <w:t>miliardi</w:t>
      </w:r>
      <w:r w:rsidR="002C304F">
        <w:rPr>
          <w:rFonts w:cstheme="minorHAnsi"/>
        </w:rPr>
        <w:t xml:space="preserve">. Una </w:t>
      </w:r>
      <w:r w:rsidR="002C304F" w:rsidRPr="002C304F">
        <w:rPr>
          <w:rFonts w:cstheme="minorHAnsi"/>
        </w:rPr>
        <w:t xml:space="preserve">voragine scavata </w:t>
      </w:r>
      <w:r w:rsidR="002C304F">
        <w:rPr>
          <w:rFonts w:cstheme="minorHAnsi"/>
        </w:rPr>
        <w:t xml:space="preserve">negli ultimi </w:t>
      </w:r>
      <w:r w:rsidR="002C304F" w:rsidRPr="002C304F">
        <w:rPr>
          <w:rFonts w:cstheme="minorHAnsi"/>
        </w:rPr>
        <w:t>15 anni d</w:t>
      </w:r>
      <w:r w:rsidR="002C304F">
        <w:rPr>
          <w:rFonts w:cstheme="minorHAnsi"/>
        </w:rPr>
        <w:t>a</w:t>
      </w:r>
      <w:r w:rsidR="002C304F" w:rsidRPr="002C304F">
        <w:rPr>
          <w:rFonts w:cstheme="minorHAnsi"/>
        </w:rPr>
        <w:t xml:space="preserve"> </w:t>
      </w:r>
      <w:r w:rsidR="002C304F">
        <w:rPr>
          <w:rFonts w:cstheme="minorHAnsi"/>
        </w:rPr>
        <w:t xml:space="preserve">Governi di </w:t>
      </w:r>
      <w:r w:rsidR="002C304F" w:rsidRPr="002C304F">
        <w:rPr>
          <w:rFonts w:cstheme="minorHAnsi"/>
        </w:rPr>
        <w:t xml:space="preserve">ogni colore, che </w:t>
      </w:r>
      <w:r w:rsidR="002C304F">
        <w:rPr>
          <w:rFonts w:cstheme="minorHAnsi"/>
        </w:rPr>
        <w:t>anno dopo anno</w:t>
      </w:r>
      <w:r w:rsidR="002C304F" w:rsidRPr="002C304F">
        <w:rPr>
          <w:rFonts w:cstheme="minorHAnsi"/>
        </w:rPr>
        <w:t xml:space="preserve"> </w:t>
      </w:r>
      <w:r w:rsidR="002C304F">
        <w:rPr>
          <w:rFonts w:cstheme="minorHAnsi"/>
        </w:rPr>
        <w:t xml:space="preserve">ha allontanato l’Italia dal </w:t>
      </w:r>
      <w:r w:rsidR="002C304F" w:rsidRPr="002C304F">
        <w:rPr>
          <w:rFonts w:cstheme="minorHAnsi"/>
        </w:rPr>
        <w:t>resto d’Europa</w:t>
      </w:r>
      <w:r w:rsidR="002C304F">
        <w:rPr>
          <w:rFonts w:cstheme="minorHAnsi"/>
        </w:rPr>
        <w:t xml:space="preserve">». </w:t>
      </w:r>
      <w:r w:rsidR="002622F8" w:rsidRPr="002622F8">
        <w:t>Tra i Paesi del G7,</w:t>
      </w:r>
      <w:r w:rsidR="002622F8" w:rsidRPr="002622F8">
        <w:rPr>
          <w:rFonts w:cstheme="minorHAnsi"/>
        </w:rPr>
        <w:t xml:space="preserve"> l’Italia </w:t>
      </w:r>
      <w:r w:rsidR="002C304F">
        <w:rPr>
          <w:rFonts w:cstheme="minorHAnsi"/>
        </w:rPr>
        <w:t xml:space="preserve">è fanalino di coda </w:t>
      </w:r>
      <w:r w:rsidR="002622F8" w:rsidRPr="002622F8">
        <w:t>per spesa sanitaria pubblica pro-capite</w:t>
      </w:r>
      <w:r w:rsidR="002622F8">
        <w:rPr>
          <w:rFonts w:cstheme="minorHAnsi"/>
        </w:rPr>
        <w:t xml:space="preserve">. </w:t>
      </w:r>
      <w:r>
        <w:rPr>
          <w:rFonts w:cstheme="minorHAnsi"/>
        </w:rPr>
        <w:t>La spesa diretta pro-capite delle famiglie supera invece la media OCSE del 12,3%, mentre quella intermediata è inferiore del 43,7% (</w:t>
      </w:r>
      <w:r w:rsidRPr="00195C55">
        <w:rPr>
          <w:rFonts w:cstheme="minorHAnsi"/>
          <w:highlight w:val="yellow"/>
        </w:rPr>
        <w:t xml:space="preserve">tabella </w:t>
      </w:r>
      <w:r w:rsidR="006E5B7E">
        <w:rPr>
          <w:rFonts w:cstheme="minorHAnsi"/>
          <w:highlight w:val="yellow"/>
        </w:rPr>
        <w:t>1</w:t>
      </w:r>
      <w:r>
        <w:rPr>
          <w:rFonts w:cstheme="minorHAnsi"/>
        </w:rPr>
        <w:t>):</w:t>
      </w:r>
      <w:r w:rsidR="00416830">
        <w:rPr>
          <w:rFonts w:cstheme="minorHAnsi"/>
        </w:rPr>
        <w:t xml:space="preserve"> </w:t>
      </w:r>
      <w:r w:rsidR="00B02173" w:rsidRPr="00B02173">
        <w:rPr>
          <w:rFonts w:cstheme="minorHAnsi"/>
        </w:rPr>
        <w:t>al minore investimento pubblico corrisponde una minore protezione finanziaria delle famiglie, più esposte al pagamento diretto delle cure.</w:t>
      </w:r>
    </w:p>
    <w:p w14:paraId="35BF0D76" w14:textId="340973A9" w:rsidR="00830AFC" w:rsidRPr="001218BC" w:rsidRDefault="00AD35DB" w:rsidP="00195C55">
      <w:pPr>
        <w:jc w:val="both"/>
        <w:rPr>
          <w:rFonts w:cstheme="minorHAnsi"/>
          <w:color w:val="000000"/>
        </w:rPr>
      </w:pPr>
      <w:r w:rsidRPr="00AD35DB">
        <w:rPr>
          <w:rFonts w:cstheme="minorHAnsi"/>
          <w:b/>
          <w:bCs/>
        </w:rPr>
        <w:t xml:space="preserve">Documento Programmatico di Finanza Pubblica </w:t>
      </w:r>
      <w:r>
        <w:rPr>
          <w:rFonts w:cstheme="minorHAnsi"/>
          <w:b/>
          <w:bCs/>
        </w:rPr>
        <w:t xml:space="preserve">(DPFP) </w:t>
      </w:r>
      <w:r w:rsidRPr="00AD35DB">
        <w:rPr>
          <w:rFonts w:cstheme="minorHAnsi"/>
          <w:b/>
          <w:bCs/>
        </w:rPr>
        <w:t>2026</w:t>
      </w:r>
      <w:r>
        <w:rPr>
          <w:rFonts w:cstheme="minorHAnsi"/>
          <w:b/>
          <w:bCs/>
        </w:rPr>
        <w:t>:</w:t>
      </w:r>
      <w:r>
        <w:rPr>
          <w:rFonts w:cstheme="minorHAnsi"/>
        </w:rPr>
        <w:t xml:space="preserve"> </w:t>
      </w:r>
      <w:r w:rsidR="00195C55">
        <w:rPr>
          <w:rFonts w:cstheme="minorHAnsi"/>
          <w:b/>
          <w:bCs/>
          <w:color w:val="000000"/>
        </w:rPr>
        <w:t>il banco di prova per gli anni 2027-2029.</w:t>
      </w:r>
      <w:r w:rsidR="00195C55">
        <w:rPr>
          <w:rFonts w:cstheme="minorHAnsi"/>
        </w:rPr>
        <w:t xml:space="preserve"> Il DPFP</w:t>
      </w:r>
      <w:r>
        <w:rPr>
          <w:rFonts w:cstheme="minorHAnsi"/>
        </w:rPr>
        <w:t xml:space="preserve"> </w:t>
      </w:r>
      <w:r w:rsidR="00195C55">
        <w:rPr>
          <w:rFonts w:cstheme="minorHAnsi"/>
        </w:rPr>
        <w:t>2026</w:t>
      </w:r>
      <w:r w:rsidR="00830AFC">
        <w:rPr>
          <w:rFonts w:cstheme="minorHAnsi"/>
        </w:rPr>
        <w:t>,</w:t>
      </w:r>
      <w:r>
        <w:rPr>
          <w:rFonts w:cstheme="minorHAnsi"/>
        </w:rPr>
        <w:t xml:space="preserve"> approvato il 2 ottobre</w:t>
      </w:r>
      <w:r w:rsidR="00830AFC">
        <w:rPr>
          <w:rFonts w:cstheme="minorHAnsi"/>
        </w:rPr>
        <w:t>,</w:t>
      </w:r>
      <w:r w:rsidR="00195C55">
        <w:rPr>
          <w:rFonts w:cstheme="minorHAnsi"/>
        </w:rPr>
        <w:t xml:space="preserve"> prevede una spesa sanitaria in aumento in termini nominali, ma in calo dal 6,4% del PIL nel 2026 al 6,3% nel 2027-2029 (</w:t>
      </w:r>
      <w:r w:rsidR="00195C55" w:rsidRPr="00195C55">
        <w:rPr>
          <w:rFonts w:cstheme="minorHAnsi"/>
          <w:highlight w:val="yellow"/>
        </w:rPr>
        <w:t xml:space="preserve">tabella </w:t>
      </w:r>
      <w:r w:rsidR="006E5B7E">
        <w:rPr>
          <w:rFonts w:cstheme="minorHAnsi"/>
          <w:highlight w:val="yellow"/>
        </w:rPr>
        <w:t>2</w:t>
      </w:r>
      <w:r w:rsidR="00195C55">
        <w:rPr>
          <w:rFonts w:cstheme="minorHAnsi"/>
        </w:rPr>
        <w:t xml:space="preserve">). Le stime </w:t>
      </w:r>
      <w:r w:rsidR="00416830">
        <w:rPr>
          <w:rFonts w:cstheme="minorHAnsi"/>
        </w:rPr>
        <w:t>confermano</w:t>
      </w:r>
      <w:r w:rsidR="00195C55">
        <w:rPr>
          <w:rFonts w:cstheme="minorHAnsi"/>
        </w:rPr>
        <w:t xml:space="preserve"> che non c’è alcuna inversione di tendenza</w:t>
      </w:r>
      <w:r w:rsidR="00416830">
        <w:rPr>
          <w:rFonts w:cstheme="minorHAnsi"/>
        </w:rPr>
        <w:t>:</w:t>
      </w:r>
      <w:r w:rsidR="00602418">
        <w:rPr>
          <w:rFonts w:cstheme="minorHAnsi"/>
        </w:rPr>
        <w:t xml:space="preserve"> al contrario,</w:t>
      </w:r>
      <w:r w:rsidR="00CA06C7">
        <w:rPr>
          <w:rFonts w:cstheme="minorHAnsi"/>
        </w:rPr>
        <w:t xml:space="preserve"> </w:t>
      </w:r>
      <w:r w:rsidR="00416830">
        <w:rPr>
          <w:rFonts w:cstheme="minorHAnsi"/>
        </w:rPr>
        <w:t xml:space="preserve">la quota </w:t>
      </w:r>
      <w:r w:rsidR="00195C55">
        <w:rPr>
          <w:rFonts w:cstheme="minorHAnsi"/>
        </w:rPr>
        <w:t xml:space="preserve">di ricchezza del Paese destinata alla sanità </w:t>
      </w:r>
      <w:r w:rsidR="00CA06C7">
        <w:rPr>
          <w:rFonts w:cstheme="minorHAnsi"/>
        </w:rPr>
        <w:t>si riduce</w:t>
      </w:r>
      <w:r w:rsidR="00195C55">
        <w:rPr>
          <w:rFonts w:cstheme="minorHAnsi"/>
        </w:rPr>
        <w:t>.</w:t>
      </w:r>
      <w:r w:rsidR="00E46888">
        <w:rPr>
          <w:rFonts w:cstheme="minorHAnsi"/>
        </w:rPr>
        <w:t xml:space="preserve"> Inoltre</w:t>
      </w:r>
      <w:r w:rsidR="00416830">
        <w:rPr>
          <w:rFonts w:cstheme="minorHAnsi"/>
        </w:rPr>
        <w:t>,</w:t>
      </w:r>
      <w:r w:rsidR="00E46888">
        <w:rPr>
          <w:rFonts w:cstheme="minorHAnsi"/>
        </w:rPr>
        <w:t xml:space="preserve"> </w:t>
      </w:r>
      <w:r w:rsidR="00416830">
        <w:rPr>
          <w:rFonts w:cstheme="minorHAnsi"/>
        </w:rPr>
        <w:t>nel triennio</w:t>
      </w:r>
      <w:r w:rsidR="00E46888">
        <w:rPr>
          <w:rFonts w:cstheme="minorHAnsi"/>
        </w:rPr>
        <w:t xml:space="preserve"> 2027-2029 </w:t>
      </w:r>
      <w:r w:rsidR="00E46888">
        <w:rPr>
          <w:rFonts w:cstheme="minorHAnsi"/>
          <w:color w:val="000000"/>
        </w:rPr>
        <w:t xml:space="preserve">si amplia </w:t>
      </w:r>
      <w:r w:rsidR="001218BC">
        <w:rPr>
          <w:rFonts w:cstheme="minorHAnsi"/>
          <w:color w:val="000000"/>
        </w:rPr>
        <w:t xml:space="preserve">ulteriormente </w:t>
      </w:r>
      <w:r w:rsidR="00E46888">
        <w:rPr>
          <w:rFonts w:cstheme="minorHAnsi"/>
          <w:color w:val="000000"/>
        </w:rPr>
        <w:t>la</w:t>
      </w:r>
      <w:r w:rsidR="00E46888" w:rsidRPr="00341E23">
        <w:rPr>
          <w:rFonts w:cstheme="minorHAnsi"/>
          <w:color w:val="000000"/>
        </w:rPr>
        <w:t xml:space="preserve"> forbice tra </w:t>
      </w:r>
      <w:r w:rsidR="00E46888">
        <w:rPr>
          <w:rFonts w:cstheme="minorHAnsi"/>
          <w:color w:val="000000"/>
        </w:rPr>
        <w:t xml:space="preserve">previsioni di </w:t>
      </w:r>
      <w:r w:rsidR="00E46888" w:rsidRPr="00341E23">
        <w:rPr>
          <w:rFonts w:cstheme="minorHAnsi"/>
          <w:color w:val="000000"/>
        </w:rPr>
        <w:t>spesa e</w:t>
      </w:r>
      <w:r w:rsidR="00E46888">
        <w:rPr>
          <w:rFonts w:cstheme="minorHAnsi"/>
          <w:color w:val="000000"/>
        </w:rPr>
        <w:t>d entità del</w:t>
      </w:r>
      <w:r w:rsidR="00E46888" w:rsidRPr="00341E23">
        <w:rPr>
          <w:rFonts w:cstheme="minorHAnsi"/>
          <w:color w:val="000000"/>
        </w:rPr>
        <w:t xml:space="preserve"> F</w:t>
      </w:r>
      <w:r w:rsidR="001218BC">
        <w:rPr>
          <w:rFonts w:cstheme="minorHAnsi"/>
          <w:color w:val="000000"/>
        </w:rPr>
        <w:t>SN</w:t>
      </w:r>
      <w:r w:rsidR="001218BC" w:rsidRPr="001218BC">
        <w:rPr>
          <w:rFonts w:cstheme="minorHAnsi"/>
          <w:color w:val="000000"/>
        </w:rPr>
        <w:t>: € 7,6 miliardi nel 2027, € 10,7 miliardi nel 2028 e € 14 miliardi nel 2029 (</w:t>
      </w:r>
      <w:r w:rsidR="001218BC" w:rsidRPr="00E04CD9">
        <w:rPr>
          <w:rFonts w:cstheme="minorHAnsi"/>
          <w:color w:val="000000"/>
          <w:highlight w:val="yellow"/>
        </w:rPr>
        <w:t xml:space="preserve">figura </w:t>
      </w:r>
      <w:r w:rsidR="00E04CD9">
        <w:rPr>
          <w:rFonts w:cstheme="minorHAnsi"/>
          <w:color w:val="000000"/>
          <w:highlight w:val="yellow"/>
        </w:rPr>
        <w:t>3</w:t>
      </w:r>
      <w:r w:rsidR="001218BC" w:rsidRPr="001218BC">
        <w:rPr>
          <w:rFonts w:cstheme="minorHAnsi"/>
          <w:color w:val="000000"/>
        </w:rPr>
        <w:t>), per un divario cumulativo di € 32,3 miliardi</w:t>
      </w:r>
      <w:r w:rsidR="001218BC" w:rsidRPr="00581F34">
        <w:rPr>
          <w:rFonts w:cstheme="minorHAnsi"/>
          <w:color w:val="000000"/>
        </w:rPr>
        <w:t xml:space="preserve">. </w:t>
      </w:r>
      <w:r w:rsidR="00CA06C7" w:rsidRPr="00581F34">
        <w:rPr>
          <w:rFonts w:cstheme="minorHAnsi"/>
        </w:rPr>
        <w:t>«</w:t>
      </w:r>
      <w:r w:rsidR="00602418">
        <w:rPr>
          <w:rFonts w:cstheme="minorHAnsi"/>
        </w:rPr>
        <w:t>Poiché</w:t>
      </w:r>
      <w:r w:rsidR="00602418" w:rsidRPr="00581F34">
        <w:rPr>
          <w:rFonts w:cstheme="minorHAnsi"/>
        </w:rPr>
        <w:t xml:space="preserve"> </w:t>
      </w:r>
      <w:r w:rsidR="00A40120" w:rsidRPr="00581F34">
        <w:rPr>
          <w:rFonts w:cstheme="minorHAnsi"/>
          <w:color w:val="000000"/>
        </w:rPr>
        <w:t>spetta allo Stato</w:t>
      </w:r>
      <w:r w:rsidR="0084688E" w:rsidRPr="00581F34">
        <w:rPr>
          <w:rFonts w:cstheme="minorHAnsi"/>
          <w:color w:val="000000"/>
        </w:rPr>
        <w:t xml:space="preserve"> garantire il finanziamento dei LEA</w:t>
      </w:r>
      <w:r w:rsidR="0021170C" w:rsidRPr="00581F34">
        <w:rPr>
          <w:rFonts w:cstheme="minorHAnsi"/>
          <w:color w:val="000000"/>
        </w:rPr>
        <w:t xml:space="preserve"> </w:t>
      </w:r>
      <w:r w:rsidR="00CA06C7" w:rsidRPr="00581F34">
        <w:rPr>
          <w:rFonts w:cstheme="minorHAnsi"/>
        </w:rPr>
        <w:t>– osserva Cartabellotta –</w:t>
      </w:r>
      <w:r w:rsidR="00A40120" w:rsidRPr="00581F34">
        <w:rPr>
          <w:rFonts w:cstheme="minorHAnsi"/>
          <w:color w:val="000000"/>
        </w:rPr>
        <w:t xml:space="preserve"> i</w:t>
      </w:r>
      <w:r w:rsidR="00E46888" w:rsidRPr="00581F34">
        <w:rPr>
          <w:rFonts w:cstheme="minorHAnsi"/>
          <w:color w:val="000000"/>
        </w:rPr>
        <w:t xml:space="preserve">l nodo è capire con quali risorse </w:t>
      </w:r>
      <w:r w:rsidR="00416830" w:rsidRPr="00581F34">
        <w:rPr>
          <w:rFonts w:cstheme="minorHAnsi"/>
          <w:color w:val="000000"/>
        </w:rPr>
        <w:t xml:space="preserve">verrà </w:t>
      </w:r>
      <w:r w:rsidR="00E46888" w:rsidRPr="00581F34">
        <w:rPr>
          <w:rFonts w:cstheme="minorHAnsi"/>
          <w:color w:val="000000"/>
        </w:rPr>
        <w:t>colmato questo divario</w:t>
      </w:r>
      <w:r w:rsidR="0084688E" w:rsidRPr="00581F34">
        <w:rPr>
          <w:rFonts w:cstheme="minorHAnsi"/>
          <w:color w:val="000000"/>
        </w:rPr>
        <w:t>.</w:t>
      </w:r>
      <w:r w:rsidR="00E46888" w:rsidRPr="00581F34">
        <w:rPr>
          <w:rFonts w:cstheme="minorHAnsi"/>
          <w:color w:val="000000"/>
        </w:rPr>
        <w:t xml:space="preserve"> </w:t>
      </w:r>
      <w:r w:rsidR="0084688E" w:rsidRPr="00581F34">
        <w:rPr>
          <w:rFonts w:cstheme="minorHAnsi"/>
          <w:color w:val="000000"/>
        </w:rPr>
        <w:t>In assenza di ulteriori stanziamenti, ricadr</w:t>
      </w:r>
      <w:r w:rsidR="00581F34" w:rsidRPr="00581F34">
        <w:rPr>
          <w:rFonts w:cstheme="minorHAnsi"/>
          <w:color w:val="000000"/>
        </w:rPr>
        <w:t xml:space="preserve">à </w:t>
      </w:r>
      <w:r w:rsidR="00A40120" w:rsidRPr="00581F34">
        <w:rPr>
          <w:rFonts w:cstheme="minorHAnsi"/>
          <w:color w:val="000000"/>
        </w:rPr>
        <w:t xml:space="preserve">interamente </w:t>
      </w:r>
      <w:r w:rsidR="0084688E" w:rsidRPr="00581F34">
        <w:rPr>
          <w:rFonts w:cstheme="minorHAnsi"/>
          <w:color w:val="000000"/>
        </w:rPr>
        <w:t xml:space="preserve">sui bilanci </w:t>
      </w:r>
      <w:r w:rsidR="00CA06C7" w:rsidRPr="00581F34">
        <w:rPr>
          <w:rFonts w:cstheme="minorHAnsi"/>
          <w:color w:val="000000"/>
        </w:rPr>
        <w:t>delle Regioni</w:t>
      </w:r>
      <w:r w:rsidR="00602418">
        <w:rPr>
          <w:rFonts w:cstheme="minorHAnsi"/>
          <w:color w:val="000000"/>
        </w:rPr>
        <w:t>,</w:t>
      </w:r>
      <w:r w:rsidR="00CA06C7" w:rsidRPr="00581F34">
        <w:rPr>
          <w:rFonts w:cstheme="minorHAnsi"/>
          <w:color w:val="000000"/>
        </w:rPr>
        <w:t xml:space="preserve"> che </w:t>
      </w:r>
      <w:r w:rsidR="00602418" w:rsidRPr="00581F34">
        <w:rPr>
          <w:rFonts w:cstheme="minorHAnsi"/>
          <w:color w:val="000000"/>
        </w:rPr>
        <w:t xml:space="preserve">per mantenere i conti in ordine </w:t>
      </w:r>
      <w:r w:rsidR="00CA06C7" w:rsidRPr="00581F34">
        <w:rPr>
          <w:rFonts w:cstheme="minorHAnsi"/>
          <w:color w:val="000000"/>
        </w:rPr>
        <w:t xml:space="preserve">avranno due sole </w:t>
      </w:r>
      <w:r w:rsidR="00602418">
        <w:rPr>
          <w:rFonts w:cstheme="minorHAnsi"/>
          <w:color w:val="000000"/>
        </w:rPr>
        <w:t>possibilità</w:t>
      </w:r>
      <w:r w:rsidR="00CA06C7" w:rsidRPr="00581F34">
        <w:rPr>
          <w:rFonts w:cstheme="minorHAnsi"/>
          <w:color w:val="000000"/>
        </w:rPr>
        <w:t xml:space="preserve">: </w:t>
      </w:r>
      <w:r w:rsidR="00A40120" w:rsidRPr="00581F34">
        <w:rPr>
          <w:rFonts w:cstheme="minorHAnsi"/>
          <w:color w:val="000000"/>
        </w:rPr>
        <w:t xml:space="preserve">aumentare le imposte </w:t>
      </w:r>
      <w:r w:rsidR="00570155" w:rsidRPr="00581F34">
        <w:rPr>
          <w:rFonts w:cstheme="minorHAnsi"/>
          <w:color w:val="000000"/>
        </w:rPr>
        <w:t xml:space="preserve">o </w:t>
      </w:r>
      <w:r w:rsidR="00A40120" w:rsidRPr="00581F34">
        <w:rPr>
          <w:rFonts w:cstheme="minorHAnsi"/>
          <w:color w:val="000000"/>
        </w:rPr>
        <w:t>tagliare i servizi</w:t>
      </w:r>
      <w:r w:rsidR="00CA06C7" w:rsidRPr="00581F34">
        <w:rPr>
          <w:rFonts w:cstheme="minorHAnsi"/>
          <w:color w:val="000000"/>
        </w:rPr>
        <w:t xml:space="preserve">. </w:t>
      </w:r>
      <w:r w:rsidR="00830AFC">
        <w:rPr>
          <w:rFonts w:cstheme="minorHAnsi"/>
          <w:color w:val="000000"/>
        </w:rPr>
        <w:t>I</w:t>
      </w:r>
      <w:r w:rsidR="004244B5">
        <w:rPr>
          <w:rFonts w:cstheme="minorHAnsi"/>
          <w:color w:val="000000"/>
        </w:rPr>
        <w:t>n entrambi i casi</w:t>
      </w:r>
      <w:r w:rsidR="00CA06C7" w:rsidRPr="00581F34">
        <w:rPr>
          <w:rFonts w:cstheme="minorHAnsi"/>
          <w:color w:val="000000"/>
        </w:rPr>
        <w:t xml:space="preserve">, </w:t>
      </w:r>
      <w:r w:rsidR="004244B5">
        <w:rPr>
          <w:rFonts w:cstheme="minorHAnsi"/>
          <w:color w:val="000000"/>
        </w:rPr>
        <w:t>il costo ricadrà</w:t>
      </w:r>
      <w:r w:rsidR="004244B5" w:rsidRPr="00581F34">
        <w:rPr>
          <w:rFonts w:cstheme="minorHAnsi"/>
          <w:color w:val="000000"/>
        </w:rPr>
        <w:t xml:space="preserve"> </w:t>
      </w:r>
      <w:r w:rsidR="00CA06C7" w:rsidRPr="00581F34">
        <w:rPr>
          <w:rFonts w:cstheme="minorHAnsi"/>
          <w:color w:val="000000"/>
        </w:rPr>
        <w:t xml:space="preserve">ancora una volta </w:t>
      </w:r>
      <w:r w:rsidR="004244B5">
        <w:rPr>
          <w:rFonts w:cstheme="minorHAnsi"/>
          <w:color w:val="000000"/>
        </w:rPr>
        <w:t>su</w:t>
      </w:r>
      <w:r w:rsidR="00CA06C7" w:rsidRPr="00581F34">
        <w:rPr>
          <w:rFonts w:cstheme="minorHAnsi"/>
          <w:color w:val="000000"/>
        </w:rPr>
        <w:t>i cittadini</w:t>
      </w:r>
      <w:r w:rsidR="00195C55" w:rsidRPr="00581F34">
        <w:rPr>
          <w:rFonts w:cstheme="minorHAnsi"/>
        </w:rPr>
        <w:t>».</w:t>
      </w:r>
    </w:p>
    <w:p w14:paraId="5C8DF2A9" w14:textId="77777777" w:rsidR="00CA10BB" w:rsidRDefault="00050C01" w:rsidP="00DD503B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Riparto del FSN: criteri non allineati ai bisogni di salute. </w:t>
      </w:r>
      <w:r>
        <w:rPr>
          <w:rFonts w:cstheme="minorHAnsi"/>
        </w:rPr>
        <w:t xml:space="preserve">Nel 2025 il riparto del FSN indistinto assegna </w:t>
      </w:r>
      <w:r w:rsidRPr="009E72EF">
        <w:rPr>
          <w:rFonts w:cstheme="minorHAnsi"/>
        </w:rPr>
        <w:t>in media € 2.218 per abitante, con valori compresi tra i € 2.319 del Molise e i € 2.143 della Provincia</w:t>
      </w:r>
      <w:r>
        <w:rPr>
          <w:rFonts w:cstheme="minorHAnsi"/>
        </w:rPr>
        <w:t xml:space="preserve"> autonoma di Bolzano. La Campania, con € 2.173, riceve la quota pro-capite più bassa tra le Regioni a statuto ordinario (</w:t>
      </w:r>
      <w:r w:rsidRPr="00E03BD6">
        <w:rPr>
          <w:rFonts w:cstheme="minorHAnsi"/>
          <w:highlight w:val="yellow"/>
        </w:rPr>
        <w:t xml:space="preserve">figura </w:t>
      </w:r>
      <w:r w:rsidR="00E04CD9">
        <w:rPr>
          <w:rFonts w:cstheme="minorHAnsi"/>
          <w:highlight w:val="yellow"/>
        </w:rPr>
        <w:t>4</w:t>
      </w:r>
      <w:r>
        <w:rPr>
          <w:rFonts w:cstheme="minorHAnsi"/>
        </w:rPr>
        <w:t xml:space="preserve">). «Il caso della Campania – rileva Cartabellotta – è emblematico dei limiti dell’attuale sistema: la Regione più giovane d’Italia riceve meno risorse pro-capite della media nazionale, nonostante condizioni socio-economiche sfavorevoli e una speranza di vita alla nascita quasi tre anni inferiore a quella della Provincia </w:t>
      </w:r>
      <w:r w:rsidRPr="00E03BD6">
        <w:rPr>
          <w:rFonts w:cstheme="minorHAnsi"/>
        </w:rPr>
        <w:t>autonoma di Trento</w:t>
      </w:r>
      <w:r>
        <w:rPr>
          <w:rFonts w:cstheme="minorHAnsi"/>
        </w:rPr>
        <w:t xml:space="preserve">. </w:t>
      </w:r>
      <w:r w:rsidR="00195C55">
        <w:rPr>
          <w:rFonts w:cstheme="minorHAnsi"/>
        </w:rPr>
        <w:t xml:space="preserve">Le correzioni introdotte </w:t>
      </w:r>
      <w:r w:rsidR="00570155">
        <w:rPr>
          <w:rFonts w:cstheme="minorHAnsi"/>
        </w:rPr>
        <w:t xml:space="preserve">a partire dal </w:t>
      </w:r>
      <w:r w:rsidR="00195C55">
        <w:rPr>
          <w:rFonts w:cstheme="minorHAnsi"/>
        </w:rPr>
        <w:t>2023 restano marginali: mortalità precoce e deprivazione socio-economica pesano appena lo 0,75% ciascuna</w:t>
      </w:r>
      <w:r>
        <w:rPr>
          <w:rFonts w:cstheme="minorHAnsi"/>
        </w:rPr>
        <w:t>».</w:t>
      </w:r>
    </w:p>
    <w:p w14:paraId="4CA329F7" w14:textId="0EF3FC5D" w:rsidR="00CA10BB" w:rsidRPr="002622F8" w:rsidRDefault="00AB59FA" w:rsidP="00DD503B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Spesa sanitaria: € 42,4 miliardi a carico delle famiglie, crescono fondi e assicurazioni. </w:t>
      </w:r>
      <w:r>
        <w:rPr>
          <w:rFonts w:cstheme="minorHAnsi"/>
        </w:rPr>
        <w:t xml:space="preserve">Nel 2025 la spesa sanitaria </w:t>
      </w:r>
      <w:r w:rsidR="00E46888">
        <w:rPr>
          <w:rFonts w:cstheme="minorHAnsi"/>
        </w:rPr>
        <w:t>totale</w:t>
      </w:r>
      <w:r>
        <w:rPr>
          <w:rFonts w:cstheme="minorHAnsi"/>
        </w:rPr>
        <w:t xml:space="preserve"> </w:t>
      </w:r>
      <w:r w:rsidR="00E46888">
        <w:rPr>
          <w:rFonts w:cstheme="minorHAnsi"/>
        </w:rPr>
        <w:t xml:space="preserve">è di </w:t>
      </w:r>
      <w:r w:rsidRPr="009E72EF">
        <w:rPr>
          <w:rFonts w:cstheme="minorHAnsi"/>
        </w:rPr>
        <w:t>€ 190,1 miliardi: € 140,8 miliardi di spesa pubblica</w:t>
      </w:r>
      <w:r w:rsidR="00506FA5" w:rsidRPr="009E72EF">
        <w:rPr>
          <w:rFonts w:cstheme="minorHAnsi"/>
        </w:rPr>
        <w:t>,</w:t>
      </w:r>
      <w:r w:rsidRPr="009E72EF">
        <w:rPr>
          <w:rFonts w:cstheme="minorHAnsi"/>
        </w:rPr>
        <w:t xml:space="preserve"> € 42,4 miliardi </w:t>
      </w:r>
      <w:r w:rsidR="00E46888">
        <w:rPr>
          <w:rFonts w:cstheme="minorHAnsi"/>
        </w:rPr>
        <w:t>a carico de</w:t>
      </w:r>
      <w:r w:rsidRPr="009E72EF">
        <w:rPr>
          <w:rFonts w:cstheme="minorHAnsi"/>
        </w:rPr>
        <w:t xml:space="preserve">lle famiglie e quasi € 7 miliardi intermediati da </w:t>
      </w:r>
      <w:r w:rsidR="002D6D85">
        <w:rPr>
          <w:rFonts w:cstheme="minorHAnsi"/>
        </w:rPr>
        <w:t xml:space="preserve">fondi sanitari, </w:t>
      </w:r>
      <w:r w:rsidRPr="009E72EF">
        <w:rPr>
          <w:rFonts w:cstheme="minorHAnsi"/>
        </w:rPr>
        <w:t>assicurazioni</w:t>
      </w:r>
      <w:r w:rsidR="002D6D85">
        <w:rPr>
          <w:rFonts w:cstheme="minorHAnsi"/>
        </w:rPr>
        <w:t xml:space="preserve"> </w:t>
      </w:r>
      <w:r w:rsidRPr="009E72EF">
        <w:rPr>
          <w:rFonts w:cstheme="minorHAnsi"/>
        </w:rPr>
        <w:t>e altri soggetti (</w:t>
      </w:r>
      <w:r w:rsidRPr="009E72EF">
        <w:rPr>
          <w:rFonts w:cstheme="minorHAnsi"/>
          <w:highlight w:val="yellow"/>
        </w:rPr>
        <w:t xml:space="preserve">figura </w:t>
      </w:r>
      <w:r w:rsidR="00E04CD9">
        <w:rPr>
          <w:rFonts w:cstheme="minorHAnsi"/>
          <w:highlight w:val="yellow"/>
        </w:rPr>
        <w:t>5</w:t>
      </w:r>
      <w:r w:rsidRPr="009E72EF">
        <w:rPr>
          <w:rFonts w:cstheme="minorHAnsi"/>
        </w:rPr>
        <w:t>). Rispetto al 2024</w:t>
      </w:r>
      <w:r w:rsidR="00DD503B" w:rsidRPr="009E72EF">
        <w:rPr>
          <w:rFonts w:cstheme="minorHAnsi"/>
        </w:rPr>
        <w:t>,</w:t>
      </w:r>
      <w:r w:rsidRPr="009E72EF">
        <w:rPr>
          <w:rFonts w:cstheme="minorHAnsi"/>
        </w:rPr>
        <w:t xml:space="preserve"> la spesa out-of-pocket diminuisce dell’1% (- € 434 milioni), mentre quella intermediata cresce del 10,1% (+</w:t>
      </w:r>
      <w:r w:rsidR="00532C46" w:rsidRPr="009E72EF">
        <w:rPr>
          <w:rFonts w:cstheme="minorHAnsi"/>
        </w:rPr>
        <w:t xml:space="preserve"> </w:t>
      </w:r>
      <w:r w:rsidRPr="009E72EF">
        <w:rPr>
          <w:rFonts w:cstheme="minorHAnsi"/>
        </w:rPr>
        <w:t xml:space="preserve">€ 642 milioni). </w:t>
      </w:r>
      <w:r w:rsidR="00DD503B" w:rsidRPr="009E72EF">
        <w:rPr>
          <w:rFonts w:cstheme="minorHAnsi"/>
        </w:rPr>
        <w:t>In particolare</w:t>
      </w:r>
      <w:r w:rsidRPr="009E72EF">
        <w:rPr>
          <w:rFonts w:cstheme="minorHAnsi"/>
        </w:rPr>
        <w:t xml:space="preserve">, </w:t>
      </w:r>
      <w:r w:rsidR="00591B7B">
        <w:rPr>
          <w:rFonts w:cstheme="minorHAnsi"/>
        </w:rPr>
        <w:t xml:space="preserve">quella </w:t>
      </w:r>
      <w:r w:rsidR="00DD503B" w:rsidRPr="009E72EF">
        <w:rPr>
          <w:rFonts w:cstheme="minorHAnsi"/>
        </w:rPr>
        <w:t>per</w:t>
      </w:r>
      <w:r w:rsidRPr="009E72EF">
        <w:rPr>
          <w:rFonts w:cstheme="minorHAnsi"/>
        </w:rPr>
        <w:t xml:space="preserve"> assicurazioni sanitarie volontarie aumenta del 12,7%, </w:t>
      </w:r>
      <w:r w:rsidR="00DD503B" w:rsidRPr="009E72EF">
        <w:rPr>
          <w:rFonts w:cstheme="minorHAnsi"/>
        </w:rPr>
        <w:t>passando</w:t>
      </w:r>
      <w:r w:rsidR="00DD503B">
        <w:rPr>
          <w:rFonts w:cstheme="minorHAnsi"/>
        </w:rPr>
        <w:t xml:space="preserve"> </w:t>
      </w:r>
      <w:r>
        <w:rPr>
          <w:rFonts w:cstheme="minorHAnsi"/>
        </w:rPr>
        <w:t>da € 4,69 a € 5,29 miliardi (</w:t>
      </w:r>
      <w:r>
        <w:rPr>
          <w:rFonts w:cstheme="minorHAnsi"/>
          <w:highlight w:val="yellow"/>
        </w:rPr>
        <w:t xml:space="preserve">tabella </w:t>
      </w:r>
      <w:r w:rsidR="006E5B7E">
        <w:rPr>
          <w:rFonts w:cstheme="minorHAnsi"/>
          <w:highlight w:val="yellow"/>
        </w:rPr>
        <w:t>3</w:t>
      </w:r>
      <w:r>
        <w:rPr>
          <w:rFonts w:cstheme="minorHAnsi"/>
        </w:rPr>
        <w:t xml:space="preserve">). «Se il servizio pubblico arretra – puntualizza Cartabellotta – fondi e assicurazioni rischiano di diventare </w:t>
      </w:r>
      <w:r w:rsidR="00DD49F4">
        <w:rPr>
          <w:rFonts w:cstheme="minorHAnsi"/>
        </w:rPr>
        <w:t xml:space="preserve">una corsia preferenziale </w:t>
      </w:r>
      <w:r>
        <w:rPr>
          <w:rFonts w:cstheme="minorHAnsi"/>
        </w:rPr>
        <w:t>per chi dispone di una copertura.</w:t>
      </w:r>
      <w:r w:rsidR="00E46888">
        <w:rPr>
          <w:rFonts w:cstheme="minorHAnsi"/>
        </w:rPr>
        <w:t xml:space="preserve"> Servono regole, trasparenza e vigilanza </w:t>
      </w:r>
      <w:r w:rsidR="00D67E3A">
        <w:rPr>
          <w:rFonts w:cstheme="minorHAnsi"/>
        </w:rPr>
        <w:t xml:space="preserve">affinché </w:t>
      </w:r>
      <w:r w:rsidR="00E46888">
        <w:rPr>
          <w:rFonts w:cstheme="minorHAnsi"/>
        </w:rPr>
        <w:t>la sanità integrativa completi le tutele del SSN, senza sostituirle né ampliare le diseguaglianze</w:t>
      </w:r>
      <w:r>
        <w:rPr>
          <w:rFonts w:cstheme="minorHAnsi"/>
        </w:rPr>
        <w:t>».</w:t>
      </w:r>
      <w:r w:rsidR="00DD503B">
        <w:rPr>
          <w:rFonts w:cstheme="minorHAnsi"/>
        </w:rPr>
        <w:t xml:space="preserve"> </w:t>
      </w:r>
    </w:p>
    <w:p w14:paraId="2A8DCA24" w14:textId="4941A6F7" w:rsidR="00B02173" w:rsidRDefault="00C650B9" w:rsidP="005569B7">
      <w:pPr>
        <w:jc w:val="both"/>
        <w:rPr>
          <w:rFonts w:cstheme="minorHAnsi"/>
        </w:rPr>
      </w:pPr>
      <w:r>
        <w:rPr>
          <w:rFonts w:cstheme="minorHAnsi"/>
          <w:b/>
          <w:bCs/>
        </w:rPr>
        <w:lastRenderedPageBreak/>
        <w:t>Accessibilità alle cure</w:t>
      </w:r>
      <w:r w:rsidR="005569B7">
        <w:rPr>
          <w:rFonts w:cstheme="minorHAnsi"/>
          <w:b/>
          <w:bCs/>
        </w:rPr>
        <w:t xml:space="preserve"> e protezione finanziaria</w:t>
      </w:r>
      <w:r>
        <w:rPr>
          <w:rFonts w:cstheme="minorHAnsi"/>
          <w:b/>
          <w:bCs/>
        </w:rPr>
        <w:t>: 5,8 milioni di persone rinunciano a visite ed esami.</w:t>
      </w:r>
      <w:r>
        <w:rPr>
          <w:rFonts w:cstheme="minorHAnsi"/>
        </w:rPr>
        <w:t xml:space="preserve"> </w:t>
      </w:r>
      <w:r w:rsidR="00B10BE6" w:rsidRPr="00B10BE6">
        <w:rPr>
          <w:rFonts w:cstheme="minorHAnsi"/>
        </w:rPr>
        <w:t xml:space="preserve">Nel 2024 </w:t>
      </w:r>
      <w:r w:rsidR="00B10BE6" w:rsidRPr="00B10BE6">
        <w:t xml:space="preserve">oltre 5,8 milioni di persone, pari al </w:t>
      </w:r>
      <w:r w:rsidR="00B10BE6" w:rsidRPr="00B10BE6">
        <w:rPr>
          <w:rFonts w:cstheme="minorHAnsi"/>
        </w:rPr>
        <w:t xml:space="preserve">9,9% della popolazione, hanno dichiarato di aver rinunciato a una o più </w:t>
      </w:r>
      <w:r w:rsidR="00B10BE6">
        <w:rPr>
          <w:rFonts w:cstheme="minorHAnsi"/>
        </w:rPr>
        <w:t>visite o esami</w:t>
      </w:r>
      <w:r w:rsidR="00B10BE6" w:rsidRPr="00B10BE6">
        <w:rPr>
          <w:rFonts w:cstheme="minorHAnsi"/>
        </w:rPr>
        <w:t>, rispetto al 7,6% del 2023: circa 4 milioni hanno rinunciato per i lunghi tempi d’attesa e 3,1 milioni per motivi economici, potendo indicare entrambe le cause. «Quando tempi d’attesa</w:t>
      </w:r>
      <w:r w:rsidR="00A00F56">
        <w:rPr>
          <w:rFonts w:cstheme="minorHAnsi"/>
        </w:rPr>
        <w:t>,</w:t>
      </w:r>
      <w:r w:rsidR="00B10BE6" w:rsidRPr="00B10BE6">
        <w:rPr>
          <w:rFonts w:cstheme="minorHAnsi"/>
        </w:rPr>
        <w:t xml:space="preserve"> disponibilità economiche e luogo di residenza condizionano l</w:t>
      </w:r>
      <w:r w:rsidR="004D1140">
        <w:rPr>
          <w:rFonts w:cstheme="minorHAnsi"/>
        </w:rPr>
        <w:t xml:space="preserve">’accesso alle prestazioni sanitarie </w:t>
      </w:r>
      <w:r w:rsidR="00B10BE6" w:rsidRPr="00B10BE6">
        <w:rPr>
          <w:rFonts w:cstheme="minorHAnsi"/>
        </w:rPr>
        <w:t xml:space="preserve">– afferma Cartabellotta – è in gioco la tenuta del patto sociale. Una prestazione garantita sulla carta, ma inaccessibile nella realtà, lascia il cittadino </w:t>
      </w:r>
      <w:r w:rsidR="00D67E3A">
        <w:rPr>
          <w:rFonts w:cstheme="minorHAnsi"/>
        </w:rPr>
        <w:t xml:space="preserve">da </w:t>
      </w:r>
      <w:r w:rsidR="00B10BE6" w:rsidRPr="00B10BE6">
        <w:rPr>
          <w:rFonts w:cstheme="minorHAnsi"/>
        </w:rPr>
        <w:t>solo di fronte al proprio bisogno di salute».</w:t>
      </w:r>
    </w:p>
    <w:p w14:paraId="1C907FA7" w14:textId="14FDBB05" w:rsidR="005569B7" w:rsidRDefault="004D1140" w:rsidP="005569B7">
      <w:pPr>
        <w:jc w:val="both"/>
        <w:rPr>
          <w:rFonts w:cstheme="minorHAnsi"/>
        </w:rPr>
      </w:pPr>
      <w:r w:rsidRPr="004D1140">
        <w:rPr>
          <w:rFonts w:cstheme="minorHAnsi"/>
        </w:rPr>
        <w:t xml:space="preserve">La spesa out-of-pocket non è un indicatore affidabile delle mancate tutele pubbliche. Da un lato, </w:t>
      </w:r>
      <w:r w:rsidR="005569B7" w:rsidRPr="005569B7">
        <w:rPr>
          <w:rFonts w:cstheme="minorHAnsi"/>
        </w:rPr>
        <w:t>non intercetta le prestazioni a cui le persone rinunciano per indisponibilità economica</w:t>
      </w:r>
      <w:r w:rsidR="005569B7">
        <w:rPr>
          <w:rFonts w:cstheme="minorHAnsi"/>
        </w:rPr>
        <w:t>; d</w:t>
      </w:r>
      <w:r w:rsidRPr="004D1140">
        <w:rPr>
          <w:rFonts w:cstheme="minorHAnsi"/>
        </w:rPr>
        <w:t>all’altro, include spese per prestazioni extra-LEA e per beni e servizi a basso valore. «In questo contesto – sottolinea Cartabellotta – il SSN deve garantire cure accessibili e proteggere le famiglie dalle conseguenze economiche della malattia.</w:t>
      </w:r>
      <w:r>
        <w:rPr>
          <w:rFonts w:cstheme="minorHAnsi"/>
        </w:rPr>
        <w:t xml:space="preserve"> Le rinunce a visite ed esami restano fuori dal conto della spesa, ma alimentano bisogni di salute insoddisfatti: è un “debito sanitario” che genera “interessi” di salute, economici e sociali</w:t>
      </w:r>
      <w:r w:rsidRPr="004D1140">
        <w:rPr>
          <w:rFonts w:cstheme="minorHAnsi"/>
        </w:rPr>
        <w:t>».</w:t>
      </w:r>
    </w:p>
    <w:p w14:paraId="6E7DE276" w14:textId="64FC75EC" w:rsidR="00D67E3A" w:rsidRDefault="00AB59FA" w:rsidP="00D8418F">
      <w:pPr>
        <w:jc w:val="both"/>
        <w:rPr>
          <w:rFonts w:cstheme="minorHAnsi"/>
        </w:rPr>
      </w:pPr>
      <w:r>
        <w:rPr>
          <w:rFonts w:cstheme="minorHAnsi"/>
          <w:b/>
          <w:bCs/>
        </w:rPr>
        <w:t>LEA: più Regioni “promosse”, ma i divari</w:t>
      </w:r>
      <w:r w:rsidR="00DD49F4">
        <w:rPr>
          <w:rFonts w:cstheme="minorHAnsi"/>
          <w:b/>
          <w:bCs/>
        </w:rPr>
        <w:t xml:space="preserve"> restano</w:t>
      </w:r>
      <w:r>
        <w:rPr>
          <w:rFonts w:cstheme="minorHAnsi"/>
          <w:b/>
          <w:bCs/>
        </w:rPr>
        <w:t xml:space="preserve">. </w:t>
      </w:r>
      <w:r>
        <w:rPr>
          <w:rFonts w:cstheme="minorHAnsi"/>
        </w:rPr>
        <w:t xml:space="preserve">Nel 2024 </w:t>
      </w:r>
      <w:r w:rsidRPr="00DD49F4">
        <w:rPr>
          <w:rFonts w:cstheme="minorHAnsi"/>
        </w:rPr>
        <w:t>18 Regioni e Province autonome su 21</w:t>
      </w:r>
      <w:r>
        <w:rPr>
          <w:rFonts w:cstheme="minorHAnsi"/>
        </w:rPr>
        <w:t xml:space="preserve"> risultano adempienti ai LEA, contro le 13 del 2023 (</w:t>
      </w:r>
      <w:r>
        <w:rPr>
          <w:rFonts w:cstheme="minorHAnsi"/>
          <w:highlight w:val="yellow"/>
        </w:rPr>
        <w:t xml:space="preserve">tabella </w:t>
      </w:r>
      <w:r w:rsidR="00107CCF">
        <w:rPr>
          <w:rFonts w:cstheme="minorHAnsi"/>
          <w:highlight w:val="yellow"/>
        </w:rPr>
        <w:t>4</w:t>
      </w:r>
      <w:r>
        <w:rPr>
          <w:rFonts w:cstheme="minorHAnsi"/>
        </w:rPr>
        <w:t xml:space="preserve">). Tuttavia, </w:t>
      </w:r>
      <w:r w:rsidR="00D8418F">
        <w:rPr>
          <w:rFonts w:cstheme="minorHAnsi"/>
        </w:rPr>
        <w:t xml:space="preserve">6 </w:t>
      </w:r>
      <w:r>
        <w:rPr>
          <w:rFonts w:cstheme="minorHAnsi"/>
        </w:rPr>
        <w:t>delle 18 Regioni “promosse” presentano almeno una macro-area con un punteggio compreso tra 60 e 69 (</w:t>
      </w:r>
      <w:r>
        <w:rPr>
          <w:rFonts w:cstheme="minorHAnsi"/>
          <w:highlight w:val="yellow"/>
        </w:rPr>
        <w:t xml:space="preserve">tabella </w:t>
      </w:r>
      <w:r w:rsidR="00107CCF">
        <w:rPr>
          <w:rFonts w:cstheme="minorHAnsi"/>
          <w:highlight w:val="yellow"/>
        </w:rPr>
        <w:t>5</w:t>
      </w:r>
      <w:r>
        <w:rPr>
          <w:rFonts w:cstheme="minorHAnsi"/>
        </w:rPr>
        <w:t xml:space="preserve">) </w:t>
      </w:r>
      <w:r w:rsidRPr="00E03BD6">
        <w:rPr>
          <w:rFonts w:cstheme="minorHAnsi"/>
        </w:rPr>
        <w:t>e</w:t>
      </w:r>
      <w:r w:rsidR="00D67E3A">
        <w:rPr>
          <w:rFonts w:cstheme="minorHAnsi"/>
        </w:rPr>
        <w:t>,</w:t>
      </w:r>
      <w:r w:rsidRPr="00E03BD6">
        <w:rPr>
          <w:rFonts w:cstheme="minorHAnsi"/>
        </w:rPr>
        <w:t xml:space="preserve"> nello stesso anno</w:t>
      </w:r>
      <w:r w:rsidR="00D67E3A">
        <w:rPr>
          <w:rFonts w:cstheme="minorHAnsi"/>
        </w:rPr>
        <w:t>,</w:t>
      </w:r>
      <w:r w:rsidRPr="00E03BD6">
        <w:rPr>
          <w:rFonts w:cstheme="minorHAnsi"/>
        </w:rPr>
        <w:t xml:space="preserve"> </w:t>
      </w:r>
      <w:r w:rsidR="00E03BD6" w:rsidRPr="00E03BD6">
        <w:rPr>
          <w:rFonts w:cstheme="minorHAnsi"/>
        </w:rPr>
        <w:t xml:space="preserve">aumenta </w:t>
      </w:r>
      <w:r w:rsidRPr="00E03BD6">
        <w:rPr>
          <w:rFonts w:cstheme="minorHAnsi"/>
        </w:rPr>
        <w:t xml:space="preserve">la quota di popolazione che rinuncia a visite o esami </w:t>
      </w:r>
      <w:r w:rsidR="00E03BD6">
        <w:rPr>
          <w:rFonts w:cstheme="minorHAnsi"/>
        </w:rPr>
        <w:t>(</w:t>
      </w:r>
      <w:r w:rsidRPr="00E03BD6">
        <w:rPr>
          <w:rFonts w:cstheme="minorHAnsi"/>
          <w:highlight w:val="yellow"/>
        </w:rPr>
        <w:t>figura</w:t>
      </w:r>
      <w:r w:rsidRPr="000F3F9A">
        <w:rPr>
          <w:rFonts w:cstheme="minorHAnsi"/>
          <w:highlight w:val="yellow"/>
        </w:rPr>
        <w:t xml:space="preserve"> </w:t>
      </w:r>
      <w:r w:rsidR="00E04CD9">
        <w:rPr>
          <w:rFonts w:cstheme="minorHAnsi"/>
          <w:highlight w:val="yellow"/>
        </w:rPr>
        <w:t>6</w:t>
      </w:r>
      <w:r w:rsidRPr="00E03BD6">
        <w:rPr>
          <w:rFonts w:cstheme="minorHAnsi"/>
        </w:rPr>
        <w:t xml:space="preserve">). «La pagella ministeriale </w:t>
      </w:r>
      <w:r w:rsidR="00EB154D">
        <w:rPr>
          <w:rFonts w:cstheme="minorHAnsi"/>
        </w:rPr>
        <w:t xml:space="preserve">migliora </w:t>
      </w:r>
      <w:r>
        <w:rPr>
          <w:rFonts w:cstheme="minorHAnsi"/>
        </w:rPr>
        <w:t xml:space="preserve">– </w:t>
      </w:r>
      <w:r w:rsidR="00EB154D">
        <w:rPr>
          <w:rFonts w:cstheme="minorHAnsi"/>
        </w:rPr>
        <w:t>sottolinea</w:t>
      </w:r>
      <w:r>
        <w:rPr>
          <w:rFonts w:cstheme="minorHAnsi"/>
        </w:rPr>
        <w:t xml:space="preserve"> Cartabellotta – </w:t>
      </w:r>
      <w:r w:rsidR="00EB154D">
        <w:rPr>
          <w:rFonts w:cstheme="minorHAnsi"/>
        </w:rPr>
        <w:t>ma non misura</w:t>
      </w:r>
      <w:r>
        <w:rPr>
          <w:rFonts w:cstheme="minorHAnsi"/>
        </w:rPr>
        <w:t xml:space="preserve"> l’effettiva esigibilità dei LEA</w:t>
      </w:r>
      <w:r w:rsidR="00DD49F4">
        <w:rPr>
          <w:rFonts w:cstheme="minorHAnsi"/>
        </w:rPr>
        <w:t>.</w:t>
      </w:r>
      <w:r w:rsidR="00D67E3A">
        <w:rPr>
          <w:rFonts w:cstheme="minorHAnsi"/>
        </w:rPr>
        <w:t xml:space="preserve"> U</w:t>
      </w:r>
      <w:r w:rsidR="00A36F86">
        <w:rPr>
          <w:rFonts w:cstheme="minorHAnsi"/>
        </w:rPr>
        <w:t>n</w:t>
      </w:r>
      <w:r w:rsidR="00555F0A">
        <w:rPr>
          <w:rFonts w:cstheme="minorHAnsi"/>
        </w:rPr>
        <w:t xml:space="preserve">a Regione </w:t>
      </w:r>
      <w:r>
        <w:rPr>
          <w:rFonts w:cstheme="minorHAnsi"/>
        </w:rPr>
        <w:t xml:space="preserve">può </w:t>
      </w:r>
      <w:r w:rsidR="00D67E3A">
        <w:rPr>
          <w:rFonts w:cstheme="minorHAnsi"/>
        </w:rPr>
        <w:t xml:space="preserve">così </w:t>
      </w:r>
      <w:r w:rsidR="00D8418F">
        <w:rPr>
          <w:rFonts w:cstheme="minorHAnsi"/>
        </w:rPr>
        <w:t>risultare formalmente adempiente</w:t>
      </w:r>
      <w:r w:rsidR="00A00F56">
        <w:rPr>
          <w:rFonts w:cstheme="minorHAnsi"/>
        </w:rPr>
        <w:t>,</w:t>
      </w:r>
      <w:r w:rsidR="00D8418F">
        <w:rPr>
          <w:rFonts w:cstheme="minorHAnsi"/>
        </w:rPr>
        <w:t xml:space="preserve"> </w:t>
      </w:r>
      <w:r w:rsidR="00D8418F" w:rsidRPr="00D8418F">
        <w:rPr>
          <w:rFonts w:cstheme="minorHAnsi"/>
        </w:rPr>
        <w:t xml:space="preserve">mentre una parte dei </w:t>
      </w:r>
      <w:r w:rsidR="00591B7B">
        <w:rPr>
          <w:rFonts w:cstheme="minorHAnsi"/>
        </w:rPr>
        <w:t xml:space="preserve">cittadini </w:t>
      </w:r>
      <w:r w:rsidR="00D8418F" w:rsidRPr="00D8418F">
        <w:rPr>
          <w:rFonts w:cstheme="minorHAnsi"/>
        </w:rPr>
        <w:t>incontra difficoltà nell’accesso alle cure</w:t>
      </w:r>
      <w:r>
        <w:rPr>
          <w:rFonts w:cstheme="minorHAnsi"/>
        </w:rPr>
        <w:t xml:space="preserve">. Per questo bisogna misurare anche chi resta fuori, riceve risposte tardive o incomplete oppure rinuncia alle prestazioni». </w:t>
      </w:r>
      <w:r w:rsidR="00AA6FA3" w:rsidRPr="00AA6FA3">
        <w:rPr>
          <w:rFonts w:cstheme="minorHAnsi"/>
        </w:rPr>
        <w:t>Le diseguaglianze territoriali sono confermate anche dalla mobilità sanitaria interregionale, che nel 2023 ha raggiunto € 5,15 miliardi, il valore più elevato dal 2010 (</w:t>
      </w:r>
      <w:r w:rsidR="00AA6FA3" w:rsidRPr="00B831BC">
        <w:rPr>
          <w:rFonts w:cstheme="minorHAnsi"/>
          <w:highlight w:val="yellow"/>
        </w:rPr>
        <w:t xml:space="preserve">figura </w:t>
      </w:r>
      <w:r w:rsidR="00E04CD9">
        <w:rPr>
          <w:rFonts w:cstheme="minorHAnsi"/>
          <w:highlight w:val="yellow"/>
        </w:rPr>
        <w:t>7</w:t>
      </w:r>
      <w:r w:rsidR="00AA6FA3" w:rsidRPr="00AA6FA3">
        <w:rPr>
          <w:rFonts w:cstheme="minorHAnsi"/>
        </w:rPr>
        <w:t>).</w:t>
      </w:r>
      <w:r w:rsidR="00AA6FA3">
        <w:rPr>
          <w:rFonts w:cstheme="minorHAnsi"/>
        </w:rPr>
        <w:t xml:space="preserve"> </w:t>
      </w:r>
      <w:r w:rsidR="00DD49F4">
        <w:rPr>
          <w:rFonts w:cstheme="minorHAnsi"/>
        </w:rPr>
        <w:t xml:space="preserve">«Finalmente </w:t>
      </w:r>
      <w:r w:rsidR="00DD49F4" w:rsidRPr="008A115B">
        <w:rPr>
          <w:rFonts w:cstheme="minorHAnsi"/>
        </w:rPr>
        <w:t>– commenta Cartabellotta –</w:t>
      </w:r>
      <w:r w:rsidR="00D67E3A">
        <w:rPr>
          <w:rFonts w:cstheme="minorHAnsi"/>
        </w:rPr>
        <w:t xml:space="preserve"> </w:t>
      </w:r>
      <w:r w:rsidR="00DD49F4">
        <w:rPr>
          <w:rFonts w:cstheme="minorHAnsi"/>
        </w:rPr>
        <w:t xml:space="preserve">dal 30 ottobre 2026 saranno in vigore i LEA aggiornati, dopo un’attesa di quasi 10 </w:t>
      </w:r>
      <w:r w:rsidR="008A115B" w:rsidRPr="008A115B">
        <w:rPr>
          <w:rFonts w:cstheme="minorHAnsi"/>
        </w:rPr>
        <w:t>anni</w:t>
      </w:r>
      <w:r w:rsidR="00DD49F4">
        <w:rPr>
          <w:rFonts w:cstheme="minorHAnsi"/>
        </w:rPr>
        <w:t xml:space="preserve">. Tuttavia, </w:t>
      </w:r>
      <w:r w:rsidR="008A115B" w:rsidRPr="008A115B">
        <w:rPr>
          <w:rFonts w:cstheme="minorHAnsi"/>
        </w:rPr>
        <w:t xml:space="preserve">inserire una </w:t>
      </w:r>
      <w:r w:rsidR="00DD49F4">
        <w:rPr>
          <w:rFonts w:cstheme="minorHAnsi"/>
        </w:rPr>
        <w:t xml:space="preserve">nuova </w:t>
      </w:r>
      <w:r w:rsidR="008A115B" w:rsidRPr="008A115B">
        <w:rPr>
          <w:rFonts w:cstheme="minorHAnsi"/>
        </w:rPr>
        <w:t xml:space="preserve">prestazione nei LEA non </w:t>
      </w:r>
      <w:r w:rsidR="00DD49F4">
        <w:rPr>
          <w:rFonts w:cstheme="minorHAnsi"/>
        </w:rPr>
        <w:t xml:space="preserve">equivale a </w:t>
      </w:r>
      <w:r w:rsidR="008A115B" w:rsidRPr="008A115B">
        <w:rPr>
          <w:rFonts w:cstheme="minorHAnsi"/>
        </w:rPr>
        <w:t>renderla accessibile a tutti: bisogna garantire che le Regioni siano effettivamente in grado di erogarla in modo tempestivo e uniforme</w:t>
      </w:r>
      <w:r w:rsidR="00555F0A">
        <w:rPr>
          <w:rFonts w:cstheme="minorHAnsi"/>
        </w:rPr>
        <w:t>»</w:t>
      </w:r>
      <w:r w:rsidR="008A115B" w:rsidRPr="008A115B">
        <w:rPr>
          <w:rFonts w:cstheme="minorHAnsi"/>
        </w:rPr>
        <w:t>.</w:t>
      </w:r>
    </w:p>
    <w:p w14:paraId="6E65BCEE" w14:textId="22A97549" w:rsidR="00754655" w:rsidRDefault="00416E97" w:rsidP="00754655">
      <w:pPr>
        <w:jc w:val="both"/>
        <w:rPr>
          <w:rFonts w:cstheme="minorHAnsi"/>
        </w:rPr>
      </w:pPr>
      <w:r>
        <w:rPr>
          <w:rFonts w:cstheme="minorHAnsi"/>
          <w:b/>
          <w:bCs/>
        </w:rPr>
        <w:t>Spesa per il p</w:t>
      </w:r>
      <w:r w:rsidR="00AB59FA">
        <w:rPr>
          <w:rFonts w:cstheme="minorHAnsi"/>
          <w:b/>
          <w:bCs/>
        </w:rPr>
        <w:t xml:space="preserve">ersonale sanitario: </w:t>
      </w:r>
      <w:r w:rsidR="00AA6FA3" w:rsidRPr="00AA6FA3">
        <w:rPr>
          <w:rFonts w:cstheme="minorHAnsi"/>
          <w:b/>
          <w:bCs/>
        </w:rPr>
        <w:t>in 13 anni € 36,8 miliardi in meno rispet</w:t>
      </w:r>
      <w:r w:rsidR="00AA6FA3">
        <w:rPr>
          <w:rFonts w:cstheme="minorHAnsi"/>
          <w:b/>
          <w:bCs/>
        </w:rPr>
        <w:t xml:space="preserve">to </w:t>
      </w:r>
      <w:r>
        <w:rPr>
          <w:rFonts w:cstheme="minorHAnsi"/>
          <w:b/>
          <w:bCs/>
        </w:rPr>
        <w:t>al</w:t>
      </w:r>
      <w:r w:rsidR="00AA6FA3">
        <w:rPr>
          <w:rFonts w:cstheme="minorHAnsi"/>
          <w:b/>
          <w:bCs/>
        </w:rPr>
        <w:t xml:space="preserve"> 2012</w:t>
      </w:r>
      <w:r w:rsidR="00AB59FA">
        <w:rPr>
          <w:rFonts w:cstheme="minorHAnsi"/>
          <w:b/>
          <w:bCs/>
        </w:rPr>
        <w:t xml:space="preserve">. </w:t>
      </w:r>
      <w:r w:rsidR="00AB59FA">
        <w:rPr>
          <w:rFonts w:cstheme="minorHAnsi"/>
        </w:rPr>
        <w:t xml:space="preserve">Nel 2025 la spesa per il personale dipendente e convenzionato </w:t>
      </w:r>
      <w:r w:rsidR="007E32C2">
        <w:rPr>
          <w:rFonts w:cstheme="minorHAnsi"/>
        </w:rPr>
        <w:t xml:space="preserve">ammonta </w:t>
      </w:r>
      <w:r w:rsidR="00AB59FA">
        <w:rPr>
          <w:rFonts w:cstheme="minorHAnsi"/>
        </w:rPr>
        <w:t xml:space="preserve">a € 52,2 miliardi, ma la sua </w:t>
      </w:r>
      <w:r w:rsidR="00D8418F">
        <w:rPr>
          <w:rFonts w:cstheme="minorHAnsi"/>
        </w:rPr>
        <w:t xml:space="preserve">incidenza </w:t>
      </w:r>
      <w:r w:rsidR="00AB59FA">
        <w:rPr>
          <w:rFonts w:cstheme="minorHAnsi"/>
        </w:rPr>
        <w:t>sulla spesa sanitaria pubblica è scesa dal 39,7% del 2012 al 36,9% (</w:t>
      </w:r>
      <w:r w:rsidR="00AB59FA" w:rsidRPr="00191B8C">
        <w:rPr>
          <w:rFonts w:cstheme="minorHAnsi"/>
          <w:highlight w:val="yellow"/>
        </w:rPr>
        <w:t xml:space="preserve">figura </w:t>
      </w:r>
      <w:r w:rsidR="00107CCF">
        <w:rPr>
          <w:rFonts w:cstheme="minorHAnsi"/>
          <w:highlight w:val="yellow"/>
        </w:rPr>
        <w:t>8</w:t>
      </w:r>
      <w:r w:rsidR="00AB59FA">
        <w:rPr>
          <w:rFonts w:cstheme="minorHAnsi"/>
        </w:rPr>
        <w:t xml:space="preserve">). Se </w:t>
      </w:r>
      <w:r w:rsidR="007E32C2">
        <w:rPr>
          <w:rFonts w:cstheme="minorHAnsi"/>
        </w:rPr>
        <w:t xml:space="preserve">questa </w:t>
      </w:r>
      <w:r w:rsidR="00AB59FA">
        <w:rPr>
          <w:rFonts w:cstheme="minorHAnsi"/>
        </w:rPr>
        <w:t>quota</w:t>
      </w:r>
      <w:r w:rsidR="00D67E3A">
        <w:rPr>
          <w:rFonts w:cstheme="minorHAnsi"/>
        </w:rPr>
        <w:t xml:space="preserve"> negli anni</w:t>
      </w:r>
      <w:r w:rsidR="00AB59FA">
        <w:rPr>
          <w:rFonts w:cstheme="minorHAnsi"/>
        </w:rPr>
        <w:t xml:space="preserve"> fosse rimasta </w:t>
      </w:r>
      <w:r w:rsidR="007E32C2">
        <w:rPr>
          <w:rFonts w:cstheme="minorHAnsi"/>
        </w:rPr>
        <w:t>invariata</w:t>
      </w:r>
      <w:r w:rsidR="00AB59FA">
        <w:rPr>
          <w:rFonts w:cstheme="minorHAnsi"/>
        </w:rPr>
        <w:t xml:space="preserve">, nel periodo 2012-2025 </w:t>
      </w:r>
      <w:r w:rsidR="007E32C2" w:rsidRPr="007E32C2">
        <w:rPr>
          <w:rFonts w:cstheme="minorHAnsi"/>
        </w:rPr>
        <w:t xml:space="preserve">sarebbero stati destinati al personale </w:t>
      </w:r>
      <w:r w:rsidR="00AB59FA" w:rsidRPr="009E72EF">
        <w:rPr>
          <w:rFonts w:cstheme="minorHAnsi"/>
        </w:rPr>
        <w:t xml:space="preserve">€ 36,8 miliardi </w:t>
      </w:r>
      <w:r w:rsidR="007E32C2" w:rsidRPr="009E72EF">
        <w:rPr>
          <w:rFonts w:cstheme="minorHAnsi"/>
        </w:rPr>
        <w:t>in più</w:t>
      </w:r>
      <w:r w:rsidR="00AB59FA" w:rsidRPr="009E72EF">
        <w:rPr>
          <w:rFonts w:cstheme="minorHAnsi"/>
        </w:rPr>
        <w:t>, di</w:t>
      </w:r>
      <w:r w:rsidR="00AB59FA">
        <w:rPr>
          <w:rFonts w:cstheme="minorHAnsi"/>
        </w:rPr>
        <w:t xml:space="preserve"> cui € 23,9 miliardi nel periodo 2020-2025 (</w:t>
      </w:r>
      <w:r w:rsidR="00AB59FA" w:rsidRPr="000F3F9A">
        <w:rPr>
          <w:rFonts w:cstheme="minorHAnsi"/>
          <w:highlight w:val="yellow"/>
        </w:rPr>
        <w:t>figura</w:t>
      </w:r>
      <w:r w:rsidR="000F3F9A" w:rsidRPr="000F3F9A">
        <w:rPr>
          <w:rFonts w:cstheme="minorHAnsi"/>
          <w:highlight w:val="yellow"/>
        </w:rPr>
        <w:t xml:space="preserve"> </w:t>
      </w:r>
      <w:r w:rsidR="00107CCF">
        <w:rPr>
          <w:rFonts w:cstheme="minorHAnsi"/>
          <w:highlight w:val="yellow"/>
        </w:rPr>
        <w:t>9</w:t>
      </w:r>
      <w:r w:rsidR="00AB59FA">
        <w:rPr>
          <w:rFonts w:cstheme="minorHAnsi"/>
        </w:rPr>
        <w:t xml:space="preserve">). </w:t>
      </w:r>
      <w:r w:rsidR="007E32C2" w:rsidRPr="007E32C2">
        <w:rPr>
          <w:rFonts w:cstheme="minorHAnsi"/>
        </w:rPr>
        <w:t>Non si tratta di un taglio nominale, ma della differenza cumulativa rispetto a uno scenario</w:t>
      </w:r>
      <w:r w:rsidR="007E32C2">
        <w:rPr>
          <w:rFonts w:cstheme="minorHAnsi"/>
        </w:rPr>
        <w:t xml:space="preserve"> ipotetico</w:t>
      </w:r>
      <w:r w:rsidR="00AB59FA">
        <w:rPr>
          <w:rFonts w:cstheme="minorHAnsi"/>
        </w:rPr>
        <w:t>. «</w:t>
      </w:r>
      <w:r w:rsidR="00DB20DE">
        <w:rPr>
          <w:rFonts w:cstheme="minorHAnsi"/>
        </w:rPr>
        <w:t xml:space="preserve">Il capitale umano è indispensabile per trasformare le risorse in assistenza </w:t>
      </w:r>
      <w:r w:rsidR="00AB59FA">
        <w:rPr>
          <w:rFonts w:cstheme="minorHAnsi"/>
        </w:rPr>
        <w:t>– spiega Cartabellotta – ma il SSN ha perso attrattività</w:t>
      </w:r>
      <w:r w:rsidR="00D67E3A">
        <w:rPr>
          <w:rFonts w:cstheme="minorHAnsi"/>
        </w:rPr>
        <w:t xml:space="preserve">: </w:t>
      </w:r>
      <w:r w:rsidR="00DB20DE">
        <w:rPr>
          <w:rFonts w:cstheme="minorHAnsi"/>
        </w:rPr>
        <w:t>i</w:t>
      </w:r>
      <w:r w:rsidR="00AB59FA">
        <w:rPr>
          <w:rFonts w:cstheme="minorHAnsi"/>
        </w:rPr>
        <w:t xml:space="preserve"> professionisti non si trattengono con gli appelli</w:t>
      </w:r>
      <w:r w:rsidR="00D67E3A">
        <w:rPr>
          <w:rFonts w:cstheme="minorHAnsi"/>
        </w:rPr>
        <w:t>. S</w:t>
      </w:r>
      <w:r w:rsidR="00AB59FA">
        <w:rPr>
          <w:rFonts w:cstheme="minorHAnsi"/>
        </w:rPr>
        <w:t xml:space="preserve">ervono retribuzioni competitive, condizioni di lavoro </w:t>
      </w:r>
      <w:r w:rsidR="00DB20DE">
        <w:rPr>
          <w:rFonts w:cstheme="minorHAnsi"/>
        </w:rPr>
        <w:t xml:space="preserve">compatibili con la vita privata </w:t>
      </w:r>
      <w:r w:rsidR="00AB59FA">
        <w:rPr>
          <w:rFonts w:cstheme="minorHAnsi"/>
        </w:rPr>
        <w:t>e prospettive di carriera».</w:t>
      </w:r>
    </w:p>
    <w:p w14:paraId="500DDE3C" w14:textId="201330B8" w:rsidR="00516B46" w:rsidRPr="00241C8C" w:rsidRDefault="00754655" w:rsidP="00754655">
      <w:pPr>
        <w:pStyle w:val="Testocommento"/>
        <w:spacing w:line="276" w:lineRule="auto"/>
        <w:jc w:val="both"/>
        <w:rPr>
          <w:sz w:val="22"/>
          <w:szCs w:val="22"/>
        </w:rPr>
      </w:pPr>
      <w:r w:rsidRPr="00581F34">
        <w:rPr>
          <w:b/>
          <w:sz w:val="22"/>
          <w:szCs w:val="22"/>
        </w:rPr>
        <w:t xml:space="preserve">Personale sanitario: </w:t>
      </w:r>
      <w:r w:rsidR="0011433D" w:rsidRPr="00581F34">
        <w:rPr>
          <w:b/>
          <w:sz w:val="22"/>
          <w:szCs w:val="22"/>
        </w:rPr>
        <w:t>molti</w:t>
      </w:r>
      <w:r w:rsidRPr="00581F34">
        <w:rPr>
          <w:b/>
          <w:sz w:val="22"/>
          <w:szCs w:val="22"/>
        </w:rPr>
        <w:t xml:space="preserve"> medici, pochi infermieri e un SSN sempre meno attrattivo.</w:t>
      </w:r>
      <w:r w:rsidR="004F4AED">
        <w:rPr>
          <w:b/>
          <w:sz w:val="22"/>
          <w:szCs w:val="22"/>
        </w:rPr>
        <w:t xml:space="preserve"> </w:t>
      </w:r>
      <w:r w:rsidRPr="00581F34">
        <w:rPr>
          <w:sz w:val="22"/>
          <w:szCs w:val="22"/>
        </w:rPr>
        <w:t>Secondo l’OCSE, l’Italia dispone di 5,8 medici per 1.000 abitanti (media OCSE: 4,0) e si colloca al 2° posto tra i 34 Paesi che forniscono il dato (</w:t>
      </w:r>
      <w:r w:rsidRPr="00581F34">
        <w:rPr>
          <w:sz w:val="22"/>
          <w:szCs w:val="22"/>
          <w:highlight w:val="yellow"/>
        </w:rPr>
        <w:t>figura 10</w:t>
      </w:r>
      <w:r w:rsidRPr="00581F34">
        <w:rPr>
          <w:sz w:val="22"/>
          <w:szCs w:val="22"/>
        </w:rPr>
        <w:t>). Tuttavia, dei 339.256 medici censiti dall’OCSE</w:t>
      </w:r>
      <w:r w:rsidR="00516B46">
        <w:rPr>
          <w:sz w:val="22"/>
          <w:szCs w:val="22"/>
        </w:rPr>
        <w:t>,</w:t>
      </w:r>
      <w:r w:rsidR="008714ED">
        <w:rPr>
          <w:sz w:val="22"/>
          <w:szCs w:val="22"/>
        </w:rPr>
        <w:t xml:space="preserve"> almeno 88.258 (26,1%) non </w:t>
      </w:r>
      <w:r w:rsidR="008714ED" w:rsidRPr="008714ED">
        <w:rPr>
          <w:sz w:val="22"/>
          <w:szCs w:val="22"/>
        </w:rPr>
        <w:t xml:space="preserve">lavorano nel SSN </w:t>
      </w:r>
      <w:r w:rsidR="008714ED">
        <w:rPr>
          <w:sz w:val="22"/>
          <w:szCs w:val="22"/>
        </w:rPr>
        <w:t xml:space="preserve">né </w:t>
      </w:r>
      <w:r w:rsidR="008F34E9">
        <w:rPr>
          <w:sz w:val="22"/>
          <w:szCs w:val="22"/>
        </w:rPr>
        <w:t xml:space="preserve">frequentano </w:t>
      </w:r>
      <w:r w:rsidRPr="00581F34">
        <w:rPr>
          <w:sz w:val="22"/>
          <w:szCs w:val="22"/>
        </w:rPr>
        <w:t>percorsi formativi post-laure</w:t>
      </w:r>
      <w:r w:rsidR="00083213">
        <w:rPr>
          <w:sz w:val="22"/>
          <w:szCs w:val="22"/>
        </w:rPr>
        <w:t>a.</w:t>
      </w:r>
      <w:r w:rsidR="00701D48">
        <w:rPr>
          <w:sz w:val="22"/>
          <w:szCs w:val="22"/>
        </w:rPr>
        <w:t xml:space="preserve"> </w:t>
      </w:r>
      <w:r w:rsidR="00701D48" w:rsidRPr="00241C8C">
        <w:rPr>
          <w:sz w:val="22"/>
          <w:szCs w:val="22"/>
        </w:rPr>
        <w:t xml:space="preserve">«Se </w:t>
      </w:r>
      <w:r w:rsidR="00516B46">
        <w:rPr>
          <w:sz w:val="22"/>
          <w:szCs w:val="22"/>
        </w:rPr>
        <w:t xml:space="preserve">oltre </w:t>
      </w:r>
      <w:r w:rsidR="00701D48" w:rsidRPr="00241C8C">
        <w:rPr>
          <w:sz w:val="22"/>
          <w:szCs w:val="22"/>
        </w:rPr>
        <w:t>1 medico su 4 – afferma Cartabellotta – non lavora nel SSN né è inserito in percorsi formativi pos</w:t>
      </w:r>
      <w:r w:rsidR="00701D48">
        <w:rPr>
          <w:sz w:val="22"/>
          <w:szCs w:val="22"/>
        </w:rPr>
        <w:t>t</w:t>
      </w:r>
      <w:r w:rsidR="00701D48" w:rsidRPr="00241C8C">
        <w:rPr>
          <w:sz w:val="22"/>
          <w:szCs w:val="22"/>
        </w:rPr>
        <w:t xml:space="preserve">-laurea, è evidente che il servizio pubblico fatica sempre più ad attrarre e trattenere i medici. </w:t>
      </w:r>
      <w:r w:rsidR="00516B46">
        <w:rPr>
          <w:sz w:val="22"/>
          <w:szCs w:val="22"/>
        </w:rPr>
        <w:t>Aumentare</w:t>
      </w:r>
      <w:r w:rsidR="00701D48" w:rsidRPr="00241C8C">
        <w:rPr>
          <w:sz w:val="22"/>
          <w:szCs w:val="22"/>
        </w:rPr>
        <w:t xml:space="preserve"> i posti nei Corsi di Laurea di Medicina non garantisce </w:t>
      </w:r>
      <w:r w:rsidR="00516B46">
        <w:rPr>
          <w:sz w:val="22"/>
          <w:szCs w:val="22"/>
        </w:rPr>
        <w:t>quindi</w:t>
      </w:r>
      <w:r w:rsidR="00516B46" w:rsidRPr="00241C8C">
        <w:rPr>
          <w:sz w:val="22"/>
          <w:szCs w:val="22"/>
        </w:rPr>
        <w:t xml:space="preserve"> </w:t>
      </w:r>
      <w:r w:rsidR="00701D48" w:rsidRPr="00241C8C">
        <w:rPr>
          <w:sz w:val="22"/>
          <w:szCs w:val="22"/>
        </w:rPr>
        <w:t>più medici al SSN, in particolare nelle specialità e nei territori dove servono</w:t>
      </w:r>
      <w:r w:rsidR="00701D48">
        <w:rPr>
          <w:rFonts w:cstheme="minorHAnsi"/>
        </w:rPr>
        <w:t>»</w:t>
      </w:r>
      <w:r w:rsidR="00701D48" w:rsidRPr="00241C8C">
        <w:rPr>
          <w:sz w:val="22"/>
          <w:szCs w:val="22"/>
        </w:rPr>
        <w:t>.</w:t>
      </w:r>
      <w:r w:rsidR="00701D48">
        <w:rPr>
          <w:sz w:val="22"/>
          <w:szCs w:val="22"/>
        </w:rPr>
        <w:t xml:space="preserve"> </w:t>
      </w:r>
      <w:r w:rsidR="00581F34" w:rsidRPr="00581F34">
        <w:rPr>
          <w:sz w:val="22"/>
          <w:szCs w:val="22"/>
        </w:rPr>
        <w:t xml:space="preserve">Secondo i dati della Ragioneria Generale dello Stato (RGS), nel 2024 i medici </w:t>
      </w:r>
      <w:r w:rsidR="008D7DCD">
        <w:rPr>
          <w:sz w:val="22"/>
          <w:szCs w:val="22"/>
        </w:rPr>
        <w:t xml:space="preserve">dipendenti del SSN </w:t>
      </w:r>
      <w:r w:rsidR="00581F34" w:rsidRPr="00581F34">
        <w:rPr>
          <w:sz w:val="22"/>
          <w:szCs w:val="22"/>
        </w:rPr>
        <w:t>sono 108.243</w:t>
      </w:r>
      <w:r w:rsidR="00516B46">
        <w:rPr>
          <w:sz w:val="22"/>
          <w:szCs w:val="22"/>
        </w:rPr>
        <w:t>,</w:t>
      </w:r>
      <w:r w:rsidR="00581F34" w:rsidRPr="00581F34">
        <w:rPr>
          <w:sz w:val="22"/>
          <w:szCs w:val="22"/>
        </w:rPr>
        <w:t xml:space="preserve"> pari a 1,84 medici per 1.000 abitanti, con </w:t>
      </w:r>
      <w:r w:rsidR="00516B46">
        <w:rPr>
          <w:sz w:val="22"/>
          <w:szCs w:val="22"/>
        </w:rPr>
        <w:t>valori compresi tra</w:t>
      </w:r>
      <w:r w:rsidR="00581F34" w:rsidRPr="00581F34">
        <w:rPr>
          <w:sz w:val="22"/>
          <w:szCs w:val="22"/>
        </w:rPr>
        <w:t xml:space="preserve"> 1,35 del Molise </w:t>
      </w:r>
      <w:r w:rsidR="00A00F56">
        <w:rPr>
          <w:sz w:val="22"/>
          <w:szCs w:val="22"/>
        </w:rPr>
        <w:t>e</w:t>
      </w:r>
      <w:r w:rsidR="00581F34" w:rsidRPr="00581F34">
        <w:rPr>
          <w:sz w:val="22"/>
          <w:szCs w:val="22"/>
        </w:rPr>
        <w:t xml:space="preserve"> 2,56 della Sardegna (</w:t>
      </w:r>
      <w:r w:rsidR="00581F34" w:rsidRPr="00581F34">
        <w:rPr>
          <w:sz w:val="22"/>
          <w:szCs w:val="22"/>
          <w:highlight w:val="yellow"/>
        </w:rPr>
        <w:t>figura 11</w:t>
      </w:r>
      <w:r w:rsidR="00581F34" w:rsidRPr="00581F34">
        <w:rPr>
          <w:sz w:val="22"/>
          <w:szCs w:val="22"/>
        </w:rPr>
        <w:t xml:space="preserve">). </w:t>
      </w:r>
      <w:r w:rsidRPr="00581F34">
        <w:rPr>
          <w:sz w:val="22"/>
          <w:szCs w:val="22"/>
        </w:rPr>
        <w:t xml:space="preserve">Le carenze </w:t>
      </w:r>
      <w:r w:rsidR="00516B46">
        <w:rPr>
          <w:sz w:val="22"/>
          <w:szCs w:val="22"/>
        </w:rPr>
        <w:t>si concentrano in</w:t>
      </w:r>
      <w:r w:rsidR="0011433D" w:rsidRPr="00581F34">
        <w:rPr>
          <w:sz w:val="22"/>
          <w:szCs w:val="22"/>
        </w:rPr>
        <w:t xml:space="preserve"> alcune specializzazioni e </w:t>
      </w:r>
      <w:r w:rsidRPr="00581F34">
        <w:rPr>
          <w:sz w:val="22"/>
          <w:szCs w:val="22"/>
        </w:rPr>
        <w:t xml:space="preserve">nell’assistenza primaria: al 1° gennaio 2025 la Fondazione GIMBE stima un deficit di 5.716 medici di medicina generale (MMG), assumendo come riferimento il rapporto ottimale di un medico </w:t>
      </w:r>
      <w:r w:rsidRPr="00581F34">
        <w:rPr>
          <w:sz w:val="22"/>
          <w:szCs w:val="22"/>
        </w:rPr>
        <w:lastRenderedPageBreak/>
        <w:t>ogni 1.200 assistiti (</w:t>
      </w:r>
      <w:r w:rsidRPr="00581F34">
        <w:rPr>
          <w:sz w:val="22"/>
          <w:szCs w:val="22"/>
          <w:highlight w:val="yellow"/>
        </w:rPr>
        <w:t>figura 1</w:t>
      </w:r>
      <w:r w:rsidR="00626C0D" w:rsidRPr="00626C0D">
        <w:rPr>
          <w:sz w:val="22"/>
          <w:szCs w:val="22"/>
          <w:highlight w:val="yellow"/>
        </w:rPr>
        <w:t>2</w:t>
      </w:r>
      <w:r w:rsidRPr="00581F34">
        <w:rPr>
          <w:sz w:val="22"/>
          <w:szCs w:val="22"/>
        </w:rPr>
        <w:t>), e di 497 pediatri di libera scelta (PLS), il 78,7% dei quali concentrato in Lombardia, Piemonte e Veneto (</w:t>
      </w:r>
      <w:r w:rsidRPr="00581F34">
        <w:rPr>
          <w:sz w:val="22"/>
          <w:szCs w:val="22"/>
          <w:highlight w:val="yellow"/>
        </w:rPr>
        <w:t>figura 1</w:t>
      </w:r>
      <w:r w:rsidR="00626C0D">
        <w:rPr>
          <w:sz w:val="22"/>
          <w:szCs w:val="22"/>
          <w:highlight w:val="yellow"/>
        </w:rPr>
        <w:t>3</w:t>
      </w:r>
      <w:r w:rsidRPr="00241C8C">
        <w:rPr>
          <w:sz w:val="22"/>
          <w:szCs w:val="22"/>
        </w:rPr>
        <w:t>).</w:t>
      </w:r>
      <w:r w:rsidR="00581F34" w:rsidRPr="00241C8C">
        <w:rPr>
          <w:sz w:val="22"/>
          <w:szCs w:val="22"/>
        </w:rPr>
        <w:t xml:space="preserve"> </w:t>
      </w:r>
    </w:p>
    <w:p w14:paraId="6D14C1DD" w14:textId="1119B3D3" w:rsidR="00754655" w:rsidRPr="00754655" w:rsidRDefault="00754655" w:rsidP="00754655">
      <w:pPr>
        <w:pStyle w:val="Testocommento"/>
        <w:spacing w:line="276" w:lineRule="auto"/>
        <w:jc w:val="both"/>
        <w:rPr>
          <w:sz w:val="22"/>
          <w:szCs w:val="22"/>
        </w:rPr>
      </w:pPr>
      <w:r w:rsidRPr="00754655">
        <w:rPr>
          <w:sz w:val="22"/>
          <w:szCs w:val="22"/>
        </w:rPr>
        <w:t xml:space="preserve">Per gli infermieri il problema è </w:t>
      </w:r>
      <w:r w:rsidR="00701D48">
        <w:rPr>
          <w:sz w:val="22"/>
          <w:szCs w:val="22"/>
        </w:rPr>
        <w:t>inn</w:t>
      </w:r>
      <w:r w:rsidRPr="00754655">
        <w:rPr>
          <w:sz w:val="22"/>
          <w:szCs w:val="22"/>
        </w:rPr>
        <w:t xml:space="preserve">anzitutto quantitativo: l’Italia ne conta 6,9 ogni 1.000 abitanti contro </w:t>
      </w:r>
      <w:r w:rsidRPr="00581F34">
        <w:rPr>
          <w:sz w:val="22"/>
          <w:szCs w:val="22"/>
        </w:rPr>
        <w:t>9,7 della media OCSE, una dotazione inferiore del 29% (</w:t>
      </w:r>
      <w:r w:rsidRPr="00581F34">
        <w:rPr>
          <w:sz w:val="22"/>
          <w:szCs w:val="22"/>
          <w:highlight w:val="yellow"/>
        </w:rPr>
        <w:t>figura 1</w:t>
      </w:r>
      <w:r w:rsidR="00626C0D">
        <w:rPr>
          <w:sz w:val="22"/>
          <w:szCs w:val="22"/>
          <w:highlight w:val="yellow"/>
        </w:rPr>
        <w:t>4</w:t>
      </w:r>
      <w:r w:rsidRPr="00581F34">
        <w:rPr>
          <w:sz w:val="22"/>
          <w:szCs w:val="22"/>
        </w:rPr>
        <w:t xml:space="preserve">). </w:t>
      </w:r>
      <w:r w:rsidR="00701D48">
        <w:rPr>
          <w:sz w:val="22"/>
          <w:szCs w:val="22"/>
        </w:rPr>
        <w:t>Tuttavia,</w:t>
      </w:r>
      <w:r w:rsidRPr="00581F34">
        <w:rPr>
          <w:sz w:val="22"/>
          <w:szCs w:val="22"/>
        </w:rPr>
        <w:t xml:space="preserve"> dei 407.750 infermieri censiti dall’OCSE, </w:t>
      </w:r>
      <w:r w:rsidR="008D7DCD">
        <w:rPr>
          <w:sz w:val="22"/>
          <w:szCs w:val="22"/>
        </w:rPr>
        <w:t>almeno 79.926 (19,6%) non lavorano nel SSN</w:t>
      </w:r>
      <w:r w:rsidRPr="00581F34">
        <w:rPr>
          <w:sz w:val="22"/>
          <w:szCs w:val="22"/>
        </w:rPr>
        <w:t xml:space="preserve">. </w:t>
      </w:r>
      <w:r w:rsidR="00701D48" w:rsidRPr="00241C8C">
        <w:rPr>
          <w:sz w:val="22"/>
          <w:szCs w:val="22"/>
        </w:rPr>
        <w:t>«</w:t>
      </w:r>
      <w:r w:rsidR="004F4AED" w:rsidRPr="004F4AED">
        <w:rPr>
          <w:sz w:val="22"/>
          <w:szCs w:val="22"/>
        </w:rPr>
        <w:t>Alla grave carenza di personale infermieristico – spiega il Presidente – si aggiunge il fatto che 1 infermiere su 5 non lavora nel SSN: un ulteriore segnale delle difficoltà del servizio pubblico ad attrarre e trattenere questi professionisti</w:t>
      </w:r>
      <w:r w:rsidR="00701D48">
        <w:rPr>
          <w:rFonts w:cstheme="minorHAnsi"/>
        </w:rPr>
        <w:t>»</w:t>
      </w:r>
      <w:r w:rsidR="00701D48" w:rsidRPr="00241C8C">
        <w:rPr>
          <w:sz w:val="22"/>
          <w:szCs w:val="22"/>
        </w:rPr>
        <w:t>.</w:t>
      </w:r>
      <w:r w:rsidR="004F4AED">
        <w:rPr>
          <w:sz w:val="22"/>
          <w:szCs w:val="22"/>
        </w:rPr>
        <w:t xml:space="preserve"> </w:t>
      </w:r>
      <w:r w:rsidR="004F4AED" w:rsidRPr="00581F34">
        <w:rPr>
          <w:sz w:val="22"/>
          <w:szCs w:val="22"/>
        </w:rPr>
        <w:t>Secondo i dati della RGS</w:t>
      </w:r>
      <w:r w:rsidR="004F4AED">
        <w:rPr>
          <w:sz w:val="22"/>
          <w:szCs w:val="22"/>
        </w:rPr>
        <w:t>, n</w:t>
      </w:r>
      <w:r w:rsidR="00581F34" w:rsidRPr="00581F34">
        <w:rPr>
          <w:sz w:val="22"/>
          <w:szCs w:val="22"/>
        </w:rPr>
        <w:t xml:space="preserve">el 2024 gli infermieri </w:t>
      </w:r>
      <w:r w:rsidR="008D7DCD">
        <w:rPr>
          <w:sz w:val="22"/>
          <w:szCs w:val="22"/>
        </w:rPr>
        <w:t xml:space="preserve">dipendenti del SSN </w:t>
      </w:r>
      <w:r w:rsidR="00581F34" w:rsidRPr="00581F34">
        <w:rPr>
          <w:sz w:val="22"/>
          <w:szCs w:val="22"/>
        </w:rPr>
        <w:t>sono 279.990, pari a 4,75 per 1.000 abitanti, con valori compresi tra 3,75 della Lombardia e 6,78 della Liguria (</w:t>
      </w:r>
      <w:r w:rsidR="00581F34" w:rsidRPr="00581F34">
        <w:rPr>
          <w:sz w:val="22"/>
          <w:szCs w:val="22"/>
          <w:highlight w:val="yellow"/>
        </w:rPr>
        <w:t>figura 1</w:t>
      </w:r>
      <w:r w:rsidR="00626C0D">
        <w:rPr>
          <w:sz w:val="22"/>
          <w:szCs w:val="22"/>
          <w:highlight w:val="yellow"/>
        </w:rPr>
        <w:t>5</w:t>
      </w:r>
      <w:r w:rsidR="00581F34" w:rsidRPr="00581F34">
        <w:rPr>
          <w:sz w:val="22"/>
          <w:szCs w:val="22"/>
        </w:rPr>
        <w:t xml:space="preserve">). </w:t>
      </w:r>
      <w:r w:rsidRPr="00581F34">
        <w:rPr>
          <w:sz w:val="22"/>
          <w:szCs w:val="22"/>
        </w:rPr>
        <w:t>Anche formazione e retribuzioni restano indietro: 19,5 laureati in infermieristica ogni 100 mila abitanti contro 43,6 della media OCSE (</w:t>
      </w:r>
      <w:r w:rsidRPr="00581F34">
        <w:rPr>
          <w:sz w:val="22"/>
          <w:szCs w:val="22"/>
          <w:highlight w:val="yellow"/>
        </w:rPr>
        <w:t>figura 1</w:t>
      </w:r>
      <w:r w:rsidR="00626C0D">
        <w:rPr>
          <w:sz w:val="22"/>
          <w:szCs w:val="22"/>
          <w:highlight w:val="yellow"/>
        </w:rPr>
        <w:t>6</w:t>
      </w:r>
      <w:r w:rsidRPr="00581F34">
        <w:rPr>
          <w:sz w:val="22"/>
          <w:szCs w:val="22"/>
          <w:highlight w:val="yellow"/>
        </w:rPr>
        <w:t>)</w:t>
      </w:r>
      <w:r w:rsidRPr="00581F34">
        <w:rPr>
          <w:sz w:val="22"/>
          <w:szCs w:val="22"/>
        </w:rPr>
        <w:t xml:space="preserve"> e retribuzioni degli</w:t>
      </w:r>
      <w:r w:rsidRPr="00754655">
        <w:rPr>
          <w:sz w:val="22"/>
          <w:szCs w:val="22"/>
        </w:rPr>
        <w:t xml:space="preserve"> infermieri ospedalieri inferiori del 27% a parità di potere d’acquisto (</w:t>
      </w:r>
      <w:r w:rsidRPr="00754655">
        <w:rPr>
          <w:sz w:val="22"/>
          <w:szCs w:val="22"/>
          <w:highlight w:val="yellow"/>
        </w:rPr>
        <w:t>figura 1</w:t>
      </w:r>
      <w:r w:rsidR="00626C0D">
        <w:rPr>
          <w:sz w:val="22"/>
          <w:szCs w:val="22"/>
          <w:highlight w:val="yellow"/>
        </w:rPr>
        <w:t>7</w:t>
      </w:r>
      <w:r w:rsidRPr="00754655">
        <w:rPr>
          <w:sz w:val="22"/>
          <w:szCs w:val="22"/>
        </w:rPr>
        <w:t>). Il risultato è uno squilibrio strutturale</w:t>
      </w:r>
      <w:r w:rsidR="001F334A">
        <w:rPr>
          <w:sz w:val="22"/>
          <w:szCs w:val="22"/>
        </w:rPr>
        <w:t xml:space="preserve"> tra le due professioni</w:t>
      </w:r>
      <w:r w:rsidRPr="00754655">
        <w:rPr>
          <w:sz w:val="22"/>
          <w:szCs w:val="22"/>
        </w:rPr>
        <w:t>: 1,2 infermieri per medico, la metà della media OCSE (2,4), con l’Italia al 30° posto su 33 Paesi (</w:t>
      </w:r>
      <w:r w:rsidRPr="00754655">
        <w:rPr>
          <w:sz w:val="22"/>
          <w:szCs w:val="22"/>
          <w:highlight w:val="yellow"/>
        </w:rPr>
        <w:t>figura 1</w:t>
      </w:r>
      <w:r w:rsidR="00626C0D">
        <w:rPr>
          <w:sz w:val="22"/>
          <w:szCs w:val="22"/>
          <w:highlight w:val="yellow"/>
        </w:rPr>
        <w:t>8</w:t>
      </w:r>
      <w:r w:rsidRPr="00754655">
        <w:rPr>
          <w:sz w:val="22"/>
          <w:szCs w:val="22"/>
          <w:highlight w:val="yellow"/>
        </w:rPr>
        <w:t>, tabella 6</w:t>
      </w:r>
      <w:r w:rsidRPr="00754655">
        <w:rPr>
          <w:sz w:val="22"/>
          <w:szCs w:val="22"/>
        </w:rPr>
        <w:t>).</w:t>
      </w:r>
    </w:p>
    <w:p w14:paraId="505E24B5" w14:textId="275E0E67" w:rsidR="00D67E3A" w:rsidRPr="00AB59FA" w:rsidRDefault="00C009E0" w:rsidP="00AB59FA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Il fenomeno dei “gettonisti”. </w:t>
      </w:r>
      <w:r w:rsidR="00EB154D">
        <w:rPr>
          <w:rFonts w:cstheme="minorHAnsi"/>
        </w:rPr>
        <w:t>N</w:t>
      </w:r>
      <w:r w:rsidR="003B0AE9">
        <w:rPr>
          <w:rFonts w:cstheme="minorHAnsi"/>
        </w:rPr>
        <w:t>el</w:t>
      </w:r>
      <w:r w:rsidR="00AB59FA">
        <w:rPr>
          <w:rFonts w:cstheme="minorHAnsi"/>
        </w:rPr>
        <w:t xml:space="preserve"> biennio 2024-2025 il valore dei contratti per servizi di fornitura di personale ha </w:t>
      </w:r>
      <w:r w:rsidR="00AB59FA" w:rsidRPr="009E72EF">
        <w:rPr>
          <w:rFonts w:cstheme="minorHAnsi"/>
        </w:rPr>
        <w:t xml:space="preserve">raggiunto € 1,06 miliardi; nel 2025 </w:t>
      </w:r>
      <w:r w:rsidR="003B0AE9" w:rsidRPr="009E72EF">
        <w:rPr>
          <w:rFonts w:cstheme="minorHAnsi"/>
        </w:rPr>
        <w:t xml:space="preserve">la spesa è cresciuta </w:t>
      </w:r>
      <w:r w:rsidR="00AB59FA" w:rsidRPr="009E72EF">
        <w:rPr>
          <w:rFonts w:cstheme="minorHAnsi"/>
        </w:rPr>
        <w:t>del 15% e i</w:t>
      </w:r>
      <w:r w:rsidR="003B0AE9" w:rsidRPr="009E72EF">
        <w:rPr>
          <w:rFonts w:cstheme="minorHAnsi"/>
        </w:rPr>
        <w:t>l valore dei</w:t>
      </w:r>
      <w:r w:rsidR="00AB59FA" w:rsidRPr="009E72EF">
        <w:rPr>
          <w:rFonts w:cstheme="minorHAnsi"/>
        </w:rPr>
        <w:t xml:space="preserve"> contratti specificamente riferiti al personale medico </w:t>
      </w:r>
      <w:r w:rsidR="003B0AE9" w:rsidRPr="009E72EF">
        <w:rPr>
          <w:rFonts w:cstheme="minorHAnsi"/>
        </w:rPr>
        <w:t>è aumentato</w:t>
      </w:r>
      <w:r w:rsidR="00AB59FA" w:rsidRPr="009E72EF">
        <w:rPr>
          <w:rFonts w:cstheme="minorHAnsi"/>
        </w:rPr>
        <w:t xml:space="preserve"> del 62%</w:t>
      </w:r>
      <w:r w:rsidR="00AB59FA">
        <w:rPr>
          <w:rFonts w:cstheme="minorHAnsi"/>
        </w:rPr>
        <w:t xml:space="preserve"> rispetto al 2024 (</w:t>
      </w:r>
      <w:r w:rsidR="00AB59FA">
        <w:rPr>
          <w:rFonts w:cstheme="minorHAnsi"/>
          <w:highlight w:val="yellow"/>
        </w:rPr>
        <w:t xml:space="preserve">tabella </w:t>
      </w:r>
      <w:r w:rsidR="00107CCF">
        <w:rPr>
          <w:rFonts w:cstheme="minorHAnsi"/>
          <w:highlight w:val="yellow"/>
        </w:rPr>
        <w:t>7</w:t>
      </w:r>
      <w:r w:rsidR="00AB59FA">
        <w:rPr>
          <w:rFonts w:cstheme="minorHAnsi"/>
        </w:rPr>
        <w:t xml:space="preserve">). «Lo stop </w:t>
      </w:r>
      <w:r>
        <w:rPr>
          <w:rFonts w:cstheme="minorHAnsi"/>
        </w:rPr>
        <w:t xml:space="preserve">normativo </w:t>
      </w:r>
      <w:r w:rsidR="00AB59FA">
        <w:rPr>
          <w:rFonts w:cstheme="minorHAnsi"/>
        </w:rPr>
        <w:t xml:space="preserve">ai </w:t>
      </w:r>
      <w:r>
        <w:rPr>
          <w:rFonts w:cstheme="minorHAnsi"/>
        </w:rPr>
        <w:t>“</w:t>
      </w:r>
      <w:r w:rsidR="00AB59FA">
        <w:rPr>
          <w:rFonts w:cstheme="minorHAnsi"/>
        </w:rPr>
        <w:t>gettonisti</w:t>
      </w:r>
      <w:r>
        <w:rPr>
          <w:rFonts w:cstheme="minorHAnsi"/>
        </w:rPr>
        <w:t>”</w:t>
      </w:r>
      <w:r w:rsidR="00AB59FA">
        <w:rPr>
          <w:rFonts w:cstheme="minorHAnsi"/>
        </w:rPr>
        <w:t xml:space="preserve"> – osserva Cartabellotta – non riporta </w:t>
      </w:r>
      <w:r w:rsidR="004F4AED">
        <w:rPr>
          <w:rFonts w:cstheme="minorHAnsi"/>
        </w:rPr>
        <w:t>automaticamente</w:t>
      </w:r>
      <w:r w:rsidR="003B0AE9">
        <w:rPr>
          <w:rFonts w:cstheme="minorHAnsi"/>
        </w:rPr>
        <w:t xml:space="preserve"> </w:t>
      </w:r>
      <w:r w:rsidR="00AB59FA">
        <w:rPr>
          <w:rFonts w:cstheme="minorHAnsi"/>
        </w:rPr>
        <w:t>medici</w:t>
      </w:r>
      <w:r w:rsidR="00244C21">
        <w:rPr>
          <w:rFonts w:cstheme="minorHAnsi"/>
        </w:rPr>
        <w:t xml:space="preserve"> e</w:t>
      </w:r>
      <w:r>
        <w:rPr>
          <w:rFonts w:cstheme="minorHAnsi"/>
        </w:rPr>
        <w:t xml:space="preserve"> infermieri </w:t>
      </w:r>
      <w:r w:rsidR="004F4AED">
        <w:rPr>
          <w:rFonts w:cstheme="minorHAnsi"/>
        </w:rPr>
        <w:t>nei reparti</w:t>
      </w:r>
      <w:r w:rsidR="00C52DA3">
        <w:rPr>
          <w:rFonts w:cstheme="minorHAnsi"/>
        </w:rPr>
        <w:t xml:space="preserve">: </w:t>
      </w:r>
      <w:r w:rsidR="000449C3">
        <w:rPr>
          <w:rFonts w:cstheme="minorHAnsi"/>
        </w:rPr>
        <w:t>d</w:t>
      </w:r>
      <w:r w:rsidR="00AB59FA">
        <w:rPr>
          <w:rFonts w:cstheme="minorHAnsi"/>
        </w:rPr>
        <w:t xml:space="preserve">eve </w:t>
      </w:r>
      <w:r w:rsidR="003B0AE9">
        <w:rPr>
          <w:rFonts w:cstheme="minorHAnsi"/>
        </w:rPr>
        <w:t>essere accompagnato da</w:t>
      </w:r>
      <w:r w:rsidR="00AB59FA">
        <w:rPr>
          <w:rFonts w:cstheme="minorHAnsi"/>
        </w:rPr>
        <w:t xml:space="preserve"> misure capaci di reclutare e trattenere i professionisti</w:t>
      </w:r>
      <w:r>
        <w:rPr>
          <w:rFonts w:cstheme="minorHAnsi"/>
        </w:rPr>
        <w:t xml:space="preserve"> nel SSN</w:t>
      </w:r>
      <w:r w:rsidR="00AB59FA">
        <w:rPr>
          <w:rFonts w:cstheme="minorHAnsi"/>
        </w:rPr>
        <w:t>, altrimenti si rischia di lasciare scoperti servizi essenziali».</w:t>
      </w:r>
    </w:p>
    <w:p w14:paraId="46B32379" w14:textId="64296868" w:rsidR="003D5665" w:rsidRDefault="00AB59FA" w:rsidP="00AB59FA">
      <w:pPr>
        <w:jc w:val="both"/>
        <w:rPr>
          <w:rFonts w:cstheme="minorHAnsi"/>
        </w:rPr>
      </w:pPr>
      <w:r>
        <w:rPr>
          <w:rFonts w:cstheme="minorHAnsi"/>
          <w:b/>
          <w:bCs/>
        </w:rPr>
        <w:t>Privato in sanità: distinguere gli erogatori accreditati dal “privato puro”.</w:t>
      </w:r>
      <w:r>
        <w:rPr>
          <w:rFonts w:cstheme="minorHAnsi"/>
        </w:rPr>
        <w:t xml:space="preserve"> </w:t>
      </w:r>
      <w:r w:rsidRPr="009E72EF">
        <w:rPr>
          <w:rFonts w:cstheme="minorHAnsi"/>
        </w:rPr>
        <w:t>Nel 2023, delle 29.386 strutture sanitarie censite</w:t>
      </w:r>
      <w:r w:rsidR="00754655">
        <w:rPr>
          <w:rFonts w:cstheme="minorHAnsi"/>
        </w:rPr>
        <w:t xml:space="preserve"> dal Ministero della Salute</w:t>
      </w:r>
      <w:r w:rsidR="00C009E0">
        <w:rPr>
          <w:rFonts w:cstheme="minorHAnsi"/>
        </w:rPr>
        <w:t xml:space="preserve">, il </w:t>
      </w:r>
      <w:r w:rsidRPr="009E72EF">
        <w:rPr>
          <w:rFonts w:cstheme="minorHAnsi"/>
        </w:rPr>
        <w:t>58%</w:t>
      </w:r>
      <w:r w:rsidR="00C009E0">
        <w:rPr>
          <w:rFonts w:cstheme="minorHAnsi"/>
        </w:rPr>
        <w:t xml:space="preserve"> (n. </w:t>
      </w:r>
      <w:r w:rsidR="00C009E0" w:rsidRPr="009E72EF">
        <w:rPr>
          <w:rFonts w:cstheme="minorHAnsi"/>
        </w:rPr>
        <w:t>17.042</w:t>
      </w:r>
      <w:r w:rsidR="00C009E0">
        <w:rPr>
          <w:rFonts w:cstheme="minorHAnsi"/>
        </w:rPr>
        <w:t>)</w:t>
      </w:r>
      <w:r w:rsidRPr="009E72EF">
        <w:rPr>
          <w:rFonts w:cstheme="minorHAnsi"/>
        </w:rPr>
        <w:t xml:space="preserve"> </w:t>
      </w:r>
      <w:r w:rsidR="00754655">
        <w:rPr>
          <w:rFonts w:cstheme="minorHAnsi"/>
        </w:rPr>
        <w:t xml:space="preserve">sono </w:t>
      </w:r>
      <w:r w:rsidRPr="009E72EF">
        <w:rPr>
          <w:rFonts w:cstheme="minorHAnsi"/>
        </w:rPr>
        <w:t xml:space="preserve">private accreditate e </w:t>
      </w:r>
      <w:r w:rsidR="00C009E0">
        <w:rPr>
          <w:rFonts w:cstheme="minorHAnsi"/>
        </w:rPr>
        <w:t xml:space="preserve">il 42% pubbliche (n. </w:t>
      </w:r>
      <w:r w:rsidRPr="009E72EF">
        <w:rPr>
          <w:rFonts w:cstheme="minorHAnsi"/>
        </w:rPr>
        <w:t>12.344</w:t>
      </w:r>
      <w:r w:rsidR="00C009E0">
        <w:rPr>
          <w:rFonts w:cstheme="minorHAnsi"/>
        </w:rPr>
        <w:t xml:space="preserve">) </w:t>
      </w:r>
      <w:r w:rsidRPr="009E72EF">
        <w:rPr>
          <w:rFonts w:cstheme="minorHAnsi"/>
        </w:rPr>
        <w:t>(</w:t>
      </w:r>
      <w:r w:rsidRPr="009E72EF">
        <w:rPr>
          <w:rFonts w:cstheme="minorHAnsi"/>
          <w:highlight w:val="yellow"/>
        </w:rPr>
        <w:t xml:space="preserve">tabella </w:t>
      </w:r>
      <w:r w:rsidR="00107CCF" w:rsidRPr="009E72EF">
        <w:rPr>
          <w:rFonts w:cstheme="minorHAnsi"/>
          <w:highlight w:val="yellow"/>
        </w:rPr>
        <w:t>8</w:t>
      </w:r>
      <w:r w:rsidRPr="009E72EF">
        <w:rPr>
          <w:rFonts w:cstheme="minorHAnsi"/>
        </w:rPr>
        <w:t>). Il peso del privato accreditato è particolarmente rilevante nell’assistenza residenziale (85,1%), riabilitativa (78,4%), semi-residenziale (72,8%) e specialistica ambulatoriale (59,7%)</w:t>
      </w:r>
      <w:r w:rsidR="00C009E0">
        <w:rPr>
          <w:rFonts w:cstheme="minorHAnsi"/>
        </w:rPr>
        <w:t xml:space="preserve"> </w:t>
      </w:r>
      <w:r w:rsidRPr="009E72EF">
        <w:rPr>
          <w:rFonts w:cstheme="minorHAnsi"/>
        </w:rPr>
        <w:t>(</w:t>
      </w:r>
      <w:r w:rsidR="00787878">
        <w:rPr>
          <w:rFonts w:cstheme="minorHAnsi"/>
          <w:highlight w:val="yellow"/>
        </w:rPr>
        <w:t>figura</w:t>
      </w:r>
      <w:r w:rsidR="007D68E4">
        <w:rPr>
          <w:rFonts w:cstheme="minorHAnsi"/>
          <w:highlight w:val="yellow"/>
        </w:rPr>
        <w:t xml:space="preserve"> 19</w:t>
      </w:r>
      <w:r w:rsidRPr="009E72EF">
        <w:rPr>
          <w:rFonts w:cstheme="minorHAnsi"/>
        </w:rPr>
        <w:t xml:space="preserve">). </w:t>
      </w:r>
      <w:r w:rsidR="003D5665" w:rsidRPr="003D5665">
        <w:rPr>
          <w:rFonts w:cstheme="minorHAnsi"/>
        </w:rPr>
        <w:t xml:space="preserve">Nel 2025 la spesa sanitaria pubblica destinata al privato convenzionato ha raggiunto € 29,4 miliardi, con un aumento del 25,9% rispetto al 2012. Tuttavia, </w:t>
      </w:r>
      <w:r w:rsidR="00CA06C7">
        <w:rPr>
          <w:rFonts w:cstheme="minorHAnsi"/>
        </w:rPr>
        <w:t xml:space="preserve">nel 2025 </w:t>
      </w:r>
      <w:r w:rsidR="003D5665" w:rsidRPr="003D5665">
        <w:rPr>
          <w:rFonts w:cstheme="minorHAnsi"/>
        </w:rPr>
        <w:t xml:space="preserve">la sua incidenza sulla spesa sanitaria pubblica è </w:t>
      </w:r>
      <w:r w:rsidR="00B8239E" w:rsidRPr="00B8239E">
        <w:rPr>
          <w:rFonts w:cstheme="minorHAnsi"/>
        </w:rPr>
        <w:t>scesa al 20,8%, il valore più basso de</w:t>
      </w:r>
      <w:r w:rsidR="004D4684">
        <w:rPr>
          <w:rFonts w:cstheme="minorHAnsi"/>
        </w:rPr>
        <w:t>l</w:t>
      </w:r>
      <w:r w:rsidR="00B8239E" w:rsidRPr="00B8239E">
        <w:rPr>
          <w:rFonts w:cstheme="minorHAnsi"/>
        </w:rPr>
        <w:t xml:space="preserve"> periodo 2012-2025</w:t>
      </w:r>
      <w:r>
        <w:rPr>
          <w:rFonts w:cstheme="minorHAnsi"/>
        </w:rPr>
        <w:t xml:space="preserve"> (</w:t>
      </w:r>
      <w:r>
        <w:rPr>
          <w:rFonts w:cstheme="minorHAnsi"/>
          <w:highlight w:val="yellow"/>
        </w:rPr>
        <w:t xml:space="preserve">figura </w:t>
      </w:r>
      <w:r w:rsidR="007D68E4">
        <w:rPr>
          <w:rFonts w:cstheme="minorHAnsi"/>
          <w:highlight w:val="yellow"/>
        </w:rPr>
        <w:t>20</w:t>
      </w:r>
      <w:r w:rsidRPr="004B7BFA">
        <w:rPr>
          <w:rFonts w:cstheme="minorHAnsi"/>
          <w:highlight w:val="yellow"/>
        </w:rPr>
        <w:t>).</w:t>
      </w:r>
      <w:r>
        <w:rPr>
          <w:rFonts w:cstheme="minorHAnsi"/>
        </w:rPr>
        <w:t xml:space="preserve"> </w:t>
      </w:r>
      <w:r w:rsidR="00B8239E" w:rsidRPr="00B8239E">
        <w:rPr>
          <w:rFonts w:cstheme="minorHAnsi"/>
        </w:rPr>
        <w:t xml:space="preserve">«Il privato </w:t>
      </w:r>
      <w:r w:rsidR="004D4684">
        <w:rPr>
          <w:rFonts w:cstheme="minorHAnsi"/>
        </w:rPr>
        <w:t>convenzionato</w:t>
      </w:r>
      <w:r w:rsidR="00B8239E" w:rsidRPr="00B8239E">
        <w:rPr>
          <w:rFonts w:cstheme="minorHAnsi"/>
        </w:rPr>
        <w:t xml:space="preserve"> – spiega Cartabellotta –</w:t>
      </w:r>
      <w:r w:rsidR="00126C71">
        <w:rPr>
          <w:rFonts w:cstheme="minorHAnsi"/>
        </w:rPr>
        <w:t xml:space="preserve"> </w:t>
      </w:r>
      <w:r w:rsidR="00B8239E" w:rsidRPr="00B8239E">
        <w:rPr>
          <w:rFonts w:cstheme="minorHAnsi"/>
        </w:rPr>
        <w:t>è parte integrante del</w:t>
      </w:r>
      <w:r w:rsidR="00126C71">
        <w:rPr>
          <w:rFonts w:cstheme="minorHAnsi"/>
        </w:rPr>
        <w:t xml:space="preserve"> SSN, m</w:t>
      </w:r>
      <w:r w:rsidR="00C009E0">
        <w:rPr>
          <w:rFonts w:cstheme="minorHAnsi"/>
        </w:rPr>
        <w:t xml:space="preserve">a </w:t>
      </w:r>
      <w:r w:rsidR="00EB154D">
        <w:rPr>
          <w:rFonts w:cstheme="minorHAnsi"/>
        </w:rPr>
        <w:t xml:space="preserve">bisogna </w:t>
      </w:r>
      <w:r w:rsidR="00B8239E" w:rsidRPr="00B8239E">
        <w:rPr>
          <w:rFonts w:cstheme="minorHAnsi"/>
        </w:rPr>
        <w:t>rafforzare la governance pubblica</w:t>
      </w:r>
      <w:r w:rsidR="00EB154D">
        <w:rPr>
          <w:rFonts w:cstheme="minorHAnsi"/>
        </w:rPr>
        <w:t xml:space="preserve"> per allineare </w:t>
      </w:r>
      <w:r w:rsidR="00B8239E" w:rsidRPr="00B8239E">
        <w:rPr>
          <w:rFonts w:cstheme="minorHAnsi"/>
        </w:rPr>
        <w:t xml:space="preserve">accreditamento, volumi e remunerazione </w:t>
      </w:r>
      <w:r w:rsidR="00B10BE6">
        <w:rPr>
          <w:rFonts w:cstheme="minorHAnsi"/>
        </w:rPr>
        <w:t xml:space="preserve">ai </w:t>
      </w:r>
      <w:r w:rsidR="00B8239E" w:rsidRPr="00B8239E">
        <w:rPr>
          <w:rFonts w:cstheme="minorHAnsi"/>
        </w:rPr>
        <w:t xml:space="preserve">bisogni di salute e </w:t>
      </w:r>
      <w:r w:rsidR="00B10BE6">
        <w:rPr>
          <w:rFonts w:cstheme="minorHAnsi"/>
        </w:rPr>
        <w:t>al</w:t>
      </w:r>
      <w:r w:rsidR="00B8239E" w:rsidRPr="00B8239E">
        <w:rPr>
          <w:rFonts w:cstheme="minorHAnsi"/>
        </w:rPr>
        <w:t>la qualità dell</w:t>
      </w:r>
      <w:r w:rsidR="00B10BE6">
        <w:rPr>
          <w:rFonts w:cstheme="minorHAnsi"/>
        </w:rPr>
        <w:t>’assistenza</w:t>
      </w:r>
      <w:r w:rsidR="00B8239E" w:rsidRPr="00B8239E">
        <w:rPr>
          <w:rFonts w:cstheme="minorHAnsi"/>
        </w:rPr>
        <w:t>».</w:t>
      </w:r>
      <w:r w:rsidR="00E03BD6">
        <w:rPr>
          <w:rFonts w:cstheme="minorHAnsi"/>
        </w:rPr>
        <w:t xml:space="preserve"> </w:t>
      </w:r>
      <w:r>
        <w:rPr>
          <w:rFonts w:cstheme="minorHAnsi"/>
        </w:rPr>
        <w:t xml:space="preserve">Diversa è la dinamica del “privato puro”: la spesa out-of-pocket tracciata dal Sistema Tessera Sanitaria presso le strutture non accreditate è aumentata del 169%, </w:t>
      </w:r>
      <w:r w:rsidR="003B0AE9">
        <w:rPr>
          <w:rFonts w:cstheme="minorHAnsi"/>
        </w:rPr>
        <w:t xml:space="preserve">passando </w:t>
      </w:r>
      <w:r>
        <w:rPr>
          <w:rFonts w:cstheme="minorHAnsi"/>
        </w:rPr>
        <w:t>da € 3,05 miliardi nel 2016 a € 8,2 miliardi nel 2024. Nello stesso periodo quella presso le strutture accreditate</w:t>
      </w:r>
      <w:r w:rsidR="00F67B38">
        <w:rPr>
          <w:rFonts w:cstheme="minorHAnsi"/>
        </w:rPr>
        <w:t xml:space="preserve"> ha raggiunto </w:t>
      </w:r>
      <w:r w:rsidR="00C52DA3">
        <w:rPr>
          <w:rFonts w:cstheme="minorHAnsi"/>
        </w:rPr>
        <w:t>anch’essa</w:t>
      </w:r>
      <w:r>
        <w:rPr>
          <w:rFonts w:cstheme="minorHAnsi"/>
        </w:rPr>
        <w:t xml:space="preserve"> € 8,2 miliardi</w:t>
      </w:r>
      <w:r w:rsidR="004D7A76">
        <w:rPr>
          <w:rFonts w:cstheme="minorHAnsi"/>
        </w:rPr>
        <w:t xml:space="preserve">. </w:t>
      </w:r>
      <w:r>
        <w:rPr>
          <w:rFonts w:cstheme="minorHAnsi"/>
        </w:rPr>
        <w:t>«</w:t>
      </w:r>
      <w:r w:rsidR="00C009E0">
        <w:rPr>
          <w:rFonts w:cstheme="minorHAnsi"/>
        </w:rPr>
        <w:t>N</w:t>
      </w:r>
      <w:r w:rsidR="00B742EB">
        <w:rPr>
          <w:rFonts w:cstheme="minorHAnsi"/>
        </w:rPr>
        <w:t xml:space="preserve">umeri </w:t>
      </w:r>
      <w:r w:rsidR="00C009E0">
        <w:rPr>
          <w:rFonts w:cstheme="minorHAnsi"/>
        </w:rPr>
        <w:t xml:space="preserve">che </w:t>
      </w:r>
      <w:r w:rsidR="00C52DA3">
        <w:rPr>
          <w:rFonts w:cstheme="minorHAnsi"/>
        </w:rPr>
        <w:t xml:space="preserve">documentano </w:t>
      </w:r>
      <w:r w:rsidR="00C009E0">
        <w:rPr>
          <w:rFonts w:cstheme="minorHAnsi"/>
        </w:rPr>
        <w:t xml:space="preserve">la progressiva espansione </w:t>
      </w:r>
      <w:r w:rsidR="00C52DA3">
        <w:rPr>
          <w:rFonts w:cstheme="minorHAnsi"/>
        </w:rPr>
        <w:t xml:space="preserve">di un </w:t>
      </w:r>
      <w:r w:rsidR="00B742EB">
        <w:rPr>
          <w:rFonts w:cstheme="minorHAnsi"/>
        </w:rPr>
        <w:t>“</w:t>
      </w:r>
      <w:r w:rsidR="0054475D">
        <w:rPr>
          <w:rFonts w:cstheme="minorHAnsi"/>
        </w:rPr>
        <w:t xml:space="preserve">secondo </w:t>
      </w:r>
      <w:r w:rsidR="00B742EB">
        <w:rPr>
          <w:rFonts w:cstheme="minorHAnsi"/>
        </w:rPr>
        <w:t>binario” dell’offerta sanitaria</w:t>
      </w:r>
      <w:r w:rsidR="00C52DA3">
        <w:rPr>
          <w:rFonts w:cstheme="minorHAnsi"/>
        </w:rPr>
        <w:t xml:space="preserve"> – precisa Cartabellotta –</w:t>
      </w:r>
      <w:r w:rsidR="00B742EB">
        <w:rPr>
          <w:rFonts w:cstheme="minorHAnsi"/>
        </w:rPr>
        <w:t xml:space="preserve"> riservato a chi può pagare o </w:t>
      </w:r>
      <w:r w:rsidR="00C009E0">
        <w:rPr>
          <w:rFonts w:cstheme="minorHAnsi"/>
        </w:rPr>
        <w:t xml:space="preserve">dispone di un fondo </w:t>
      </w:r>
      <w:r w:rsidR="00244C21">
        <w:rPr>
          <w:rFonts w:cstheme="minorHAnsi"/>
        </w:rPr>
        <w:t xml:space="preserve">sanitario </w:t>
      </w:r>
      <w:r w:rsidR="00C009E0">
        <w:rPr>
          <w:rFonts w:cstheme="minorHAnsi"/>
        </w:rPr>
        <w:t xml:space="preserve">o </w:t>
      </w:r>
      <w:r w:rsidR="00244C21">
        <w:rPr>
          <w:rFonts w:cstheme="minorHAnsi"/>
        </w:rPr>
        <w:t xml:space="preserve">di una </w:t>
      </w:r>
      <w:r w:rsidR="00B742EB">
        <w:rPr>
          <w:rFonts w:cstheme="minorHAnsi"/>
        </w:rPr>
        <w:t>polizza assicurativa</w:t>
      </w:r>
      <w:r>
        <w:rPr>
          <w:rFonts w:cstheme="minorHAnsi"/>
        </w:rPr>
        <w:t>».</w:t>
      </w:r>
      <w:r w:rsidR="003B0AE9">
        <w:rPr>
          <w:rFonts w:cstheme="minorHAnsi"/>
        </w:rPr>
        <w:t xml:space="preserve"> </w:t>
      </w:r>
    </w:p>
    <w:p w14:paraId="6164AC20" w14:textId="7AAC1B72" w:rsidR="00C52DA3" w:rsidRPr="00AB59FA" w:rsidRDefault="00AB59FA" w:rsidP="007923B0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PNRR Salute: obiettivi rendicontati, ora verificare l’impatto sulle cure. </w:t>
      </w:r>
      <w:r>
        <w:rPr>
          <w:rFonts w:cstheme="minorHAnsi"/>
        </w:rPr>
        <w:t xml:space="preserve">Il 29 settembre 2026 il Governo ha trasmesso alla Commissione europea la </w:t>
      </w:r>
      <w:r w:rsidRPr="009E72EF">
        <w:rPr>
          <w:rFonts w:cstheme="minorHAnsi"/>
        </w:rPr>
        <w:t>decima e ultima richiesta di pagamento del PNRR</w:t>
      </w:r>
      <w:r w:rsidR="00003EAF">
        <w:rPr>
          <w:rFonts w:cstheme="minorHAnsi"/>
        </w:rPr>
        <w:t xml:space="preserve">, che per la Missione 6 Salute </w:t>
      </w:r>
      <w:r w:rsidR="00B10BE6">
        <w:rPr>
          <w:rFonts w:cstheme="minorHAnsi"/>
        </w:rPr>
        <w:t xml:space="preserve">include nove target e </w:t>
      </w:r>
      <w:r w:rsidR="00003EAF">
        <w:rPr>
          <w:rFonts w:cstheme="minorHAnsi"/>
        </w:rPr>
        <w:t xml:space="preserve">una </w:t>
      </w:r>
      <w:r w:rsidR="00B10BE6">
        <w:rPr>
          <w:rFonts w:cstheme="minorHAnsi"/>
        </w:rPr>
        <w:t>milestone</w:t>
      </w:r>
      <w:r w:rsidR="00244C21">
        <w:rPr>
          <w:rFonts w:cstheme="minorHAnsi"/>
        </w:rPr>
        <w:t>,</w:t>
      </w:r>
      <w:r w:rsidR="00003EAF">
        <w:rPr>
          <w:rFonts w:cstheme="minorHAnsi"/>
        </w:rPr>
        <w:t xml:space="preserve"> ora </w:t>
      </w:r>
      <w:r w:rsidR="00B10BE6">
        <w:rPr>
          <w:rFonts w:cstheme="minorHAnsi"/>
        </w:rPr>
        <w:t>in attesa della validazione europea</w:t>
      </w:r>
      <w:r w:rsidRPr="009E72EF">
        <w:rPr>
          <w:rFonts w:cstheme="minorHAnsi"/>
        </w:rPr>
        <w:t xml:space="preserve">. Il monitoraggio indipendente GIMBE </w:t>
      </w:r>
      <w:r w:rsidR="00C52DA3">
        <w:rPr>
          <w:rFonts w:cstheme="minorHAnsi"/>
        </w:rPr>
        <w:t>sulle</w:t>
      </w:r>
      <w:r w:rsidRPr="009E72EF">
        <w:rPr>
          <w:rFonts w:cstheme="minorHAnsi"/>
        </w:rPr>
        <w:t xml:space="preserve"> evidenze pubblicamente disponibili </w:t>
      </w:r>
      <w:r w:rsidR="003E45B5" w:rsidRPr="009E72EF">
        <w:rPr>
          <w:rFonts w:cstheme="minorHAnsi"/>
        </w:rPr>
        <w:t>(</w:t>
      </w:r>
      <w:r w:rsidR="003E45B5" w:rsidRPr="009E72EF">
        <w:rPr>
          <w:rFonts w:cstheme="minorHAnsi"/>
          <w:highlight w:val="yellow"/>
        </w:rPr>
        <w:t xml:space="preserve">tabella </w:t>
      </w:r>
      <w:r w:rsidR="007D68E4">
        <w:rPr>
          <w:rFonts w:cstheme="minorHAnsi"/>
          <w:highlight w:val="yellow"/>
        </w:rPr>
        <w:t>9</w:t>
      </w:r>
      <w:r w:rsidR="003E45B5" w:rsidRPr="009E72EF">
        <w:rPr>
          <w:rFonts w:cstheme="minorHAnsi"/>
        </w:rPr>
        <w:t>)</w:t>
      </w:r>
      <w:r w:rsidR="00C52DA3">
        <w:rPr>
          <w:rFonts w:cstheme="minorHAnsi"/>
        </w:rPr>
        <w:t xml:space="preserve"> </w:t>
      </w:r>
      <w:r w:rsidR="00C52DA3" w:rsidRPr="00C52DA3">
        <w:rPr>
          <w:rFonts w:cstheme="minorHAnsi"/>
        </w:rPr>
        <w:t xml:space="preserve">mostra che </w:t>
      </w:r>
      <w:r w:rsidR="00003EAF">
        <w:rPr>
          <w:rFonts w:cstheme="minorHAnsi"/>
        </w:rPr>
        <w:t>il raggiungimento de</w:t>
      </w:r>
      <w:r w:rsidR="00C52DA3" w:rsidRPr="00C52DA3">
        <w:rPr>
          <w:rFonts w:cstheme="minorHAnsi"/>
        </w:rPr>
        <w:t xml:space="preserve">gli obiettivi </w:t>
      </w:r>
      <w:r w:rsidR="00003EAF">
        <w:rPr>
          <w:rFonts w:cstheme="minorHAnsi"/>
        </w:rPr>
        <w:t xml:space="preserve">non è </w:t>
      </w:r>
      <w:r w:rsidR="00C52DA3" w:rsidRPr="00C52DA3">
        <w:rPr>
          <w:rFonts w:cstheme="minorHAnsi"/>
        </w:rPr>
        <w:t>integralmente verificabil</w:t>
      </w:r>
      <w:r w:rsidR="00003EAF">
        <w:rPr>
          <w:rFonts w:cstheme="minorHAnsi"/>
        </w:rPr>
        <w:t>e</w:t>
      </w:r>
      <w:r w:rsidR="00C52DA3" w:rsidRPr="00C52DA3">
        <w:rPr>
          <w:rFonts w:cstheme="minorHAnsi"/>
        </w:rPr>
        <w:t xml:space="preserve">: per </w:t>
      </w:r>
      <w:r w:rsidR="00003EAF">
        <w:rPr>
          <w:rFonts w:cstheme="minorHAnsi"/>
        </w:rPr>
        <w:t>3 di essi</w:t>
      </w:r>
      <w:r w:rsidR="00003EAF" w:rsidRPr="00C52DA3">
        <w:rPr>
          <w:rFonts w:cstheme="minorHAnsi"/>
        </w:rPr>
        <w:t xml:space="preserve"> </w:t>
      </w:r>
      <w:r w:rsidR="00C52DA3" w:rsidRPr="00C52DA3">
        <w:rPr>
          <w:rFonts w:cstheme="minorHAnsi"/>
        </w:rPr>
        <w:t xml:space="preserve">è verificabile il </w:t>
      </w:r>
      <w:r w:rsidR="00003EAF">
        <w:rPr>
          <w:rFonts w:cstheme="minorHAnsi"/>
        </w:rPr>
        <w:t xml:space="preserve">rispetto </w:t>
      </w:r>
      <w:r w:rsidR="00C52DA3" w:rsidRPr="00C52DA3">
        <w:rPr>
          <w:rFonts w:cstheme="minorHAnsi"/>
        </w:rPr>
        <w:t xml:space="preserve">dei requisiti previsti, mentre per </w:t>
      </w:r>
      <w:r w:rsidR="00003EAF">
        <w:rPr>
          <w:rFonts w:cstheme="minorHAnsi"/>
        </w:rPr>
        <w:t xml:space="preserve">gli </w:t>
      </w:r>
      <w:r w:rsidR="00C52DA3" w:rsidRPr="00C52DA3">
        <w:rPr>
          <w:rFonts w:cstheme="minorHAnsi"/>
        </w:rPr>
        <w:t xml:space="preserve">altri </w:t>
      </w:r>
      <w:r w:rsidR="00003EAF">
        <w:rPr>
          <w:rFonts w:cstheme="minorHAnsi"/>
        </w:rPr>
        <w:t xml:space="preserve">7 </w:t>
      </w:r>
      <w:r w:rsidR="00C52DA3" w:rsidRPr="00C52DA3">
        <w:rPr>
          <w:rFonts w:cstheme="minorHAnsi"/>
        </w:rPr>
        <w:t>mancano evidenze pubbliche sufficientemente dettagliate. Ciò non implica il mancato raggiungimento dei target, ma non consente di verificarne integralmente il conseguimento in maniera indipendente.</w:t>
      </w:r>
      <w:r w:rsidR="00C52DA3">
        <w:rPr>
          <w:rFonts w:cstheme="minorHAnsi"/>
        </w:rPr>
        <w:t xml:space="preserve"> </w:t>
      </w:r>
      <w:r w:rsidRPr="009E72EF">
        <w:rPr>
          <w:rFonts w:cstheme="minorHAnsi"/>
        </w:rPr>
        <w:t>«</w:t>
      </w:r>
      <w:r w:rsidR="005D2426">
        <w:rPr>
          <w:rFonts w:cstheme="minorHAnsi"/>
        </w:rPr>
        <w:t xml:space="preserve">In ogni caso </w:t>
      </w:r>
      <w:r w:rsidRPr="009E72EF">
        <w:rPr>
          <w:rFonts w:cstheme="minorHAnsi"/>
        </w:rPr>
        <w:t xml:space="preserve">– precisa Cartabellotta – </w:t>
      </w:r>
      <w:r w:rsidR="005D2426">
        <w:rPr>
          <w:rFonts w:cstheme="minorHAnsi"/>
        </w:rPr>
        <w:t>la validazione europea di tutti i target</w:t>
      </w:r>
      <w:r w:rsidR="005D2426" w:rsidRPr="009E72EF">
        <w:rPr>
          <w:rFonts w:cstheme="minorHAnsi"/>
        </w:rPr>
        <w:t xml:space="preserve"> </w:t>
      </w:r>
      <w:r w:rsidRPr="009E72EF">
        <w:rPr>
          <w:rFonts w:cstheme="minorHAnsi"/>
        </w:rPr>
        <w:t xml:space="preserve">non </w:t>
      </w:r>
      <w:r w:rsidR="00BA5B6B">
        <w:rPr>
          <w:rFonts w:cstheme="minorHAnsi"/>
        </w:rPr>
        <w:t xml:space="preserve">potrà </w:t>
      </w:r>
      <w:r w:rsidR="00BA5B6B">
        <w:rPr>
          <w:rFonts w:cstheme="minorHAnsi"/>
        </w:rPr>
        <w:lastRenderedPageBreak/>
        <w:t>dimostrare</w:t>
      </w:r>
      <w:r w:rsidR="00C52DA3">
        <w:rPr>
          <w:rFonts w:cstheme="minorHAnsi"/>
        </w:rPr>
        <w:t xml:space="preserve">, da sola, </w:t>
      </w:r>
      <w:r w:rsidRPr="009E72EF">
        <w:rPr>
          <w:rFonts w:cstheme="minorHAnsi"/>
        </w:rPr>
        <w:t>che il PNRR abbia migliorato l’assistenza</w:t>
      </w:r>
      <w:r w:rsidR="005D2426">
        <w:rPr>
          <w:rFonts w:cstheme="minorHAnsi"/>
        </w:rPr>
        <w:t xml:space="preserve"> sanitaria</w:t>
      </w:r>
      <w:r w:rsidRPr="009E72EF">
        <w:rPr>
          <w:rFonts w:cstheme="minorHAnsi"/>
        </w:rPr>
        <w:t xml:space="preserve">. Dal 2027 bisognerà </w:t>
      </w:r>
      <w:r w:rsidR="007923B0" w:rsidRPr="009E72EF">
        <w:rPr>
          <w:rFonts w:cstheme="minorHAnsi"/>
        </w:rPr>
        <w:t xml:space="preserve">verificare </w:t>
      </w:r>
      <w:r w:rsidRPr="009E72EF">
        <w:rPr>
          <w:rFonts w:cstheme="minorHAnsi"/>
        </w:rPr>
        <w:t xml:space="preserve">se i servizi sono realmente operativi, </w:t>
      </w:r>
      <w:r w:rsidR="007923B0" w:rsidRPr="009E72EF">
        <w:rPr>
          <w:rFonts w:cstheme="minorHAnsi"/>
        </w:rPr>
        <w:t xml:space="preserve">se dispongono di </w:t>
      </w:r>
      <w:r w:rsidRPr="009E72EF">
        <w:rPr>
          <w:rFonts w:cstheme="minorHAnsi"/>
        </w:rPr>
        <w:t xml:space="preserve">personale adeguato e </w:t>
      </w:r>
      <w:r w:rsidR="00813E19" w:rsidRPr="009E72EF">
        <w:rPr>
          <w:rFonts w:cstheme="minorHAnsi"/>
        </w:rPr>
        <w:t>qual</w:t>
      </w:r>
      <w:r w:rsidR="00C52DA3">
        <w:rPr>
          <w:rFonts w:cstheme="minorHAnsi"/>
        </w:rPr>
        <w:t xml:space="preserve">e </w:t>
      </w:r>
      <w:r w:rsidR="00813E19" w:rsidRPr="009E72EF">
        <w:rPr>
          <w:rFonts w:cstheme="minorHAnsi"/>
        </w:rPr>
        <w:t>impatto</w:t>
      </w:r>
      <w:r w:rsidR="00C52DA3">
        <w:rPr>
          <w:rFonts w:cstheme="minorHAnsi"/>
        </w:rPr>
        <w:t xml:space="preserve"> producono</w:t>
      </w:r>
      <w:r w:rsidR="00813E19" w:rsidRPr="009E72EF">
        <w:rPr>
          <w:rFonts w:cstheme="minorHAnsi"/>
        </w:rPr>
        <w:t xml:space="preserve"> su</w:t>
      </w:r>
      <w:r w:rsidRPr="009E72EF">
        <w:rPr>
          <w:rFonts w:cstheme="minorHAnsi"/>
        </w:rPr>
        <w:t xml:space="preserve"> </w:t>
      </w:r>
      <w:r w:rsidR="008E30DE">
        <w:rPr>
          <w:rFonts w:cstheme="minorHAnsi"/>
        </w:rPr>
        <w:t xml:space="preserve">accesso, </w:t>
      </w:r>
      <w:r w:rsidR="008E30DE" w:rsidRPr="008E30DE">
        <w:rPr>
          <w:rFonts w:cstheme="minorHAnsi"/>
        </w:rPr>
        <w:t>esperienza dei pazienti</w:t>
      </w:r>
      <w:r w:rsidR="008E30DE">
        <w:rPr>
          <w:rFonts w:cstheme="minorHAnsi"/>
        </w:rPr>
        <w:t xml:space="preserve">, </w:t>
      </w:r>
      <w:r w:rsidR="008E30DE" w:rsidRPr="008E30DE">
        <w:rPr>
          <w:rFonts w:cstheme="minorHAnsi"/>
        </w:rPr>
        <w:t>esiti di salute</w:t>
      </w:r>
      <w:r w:rsidR="008E30DE">
        <w:rPr>
          <w:rFonts w:cstheme="minorHAnsi"/>
        </w:rPr>
        <w:t xml:space="preserve"> ed </w:t>
      </w:r>
      <w:r w:rsidR="008E30DE" w:rsidRPr="008E30DE">
        <w:rPr>
          <w:rFonts w:cstheme="minorHAnsi"/>
        </w:rPr>
        <w:t>efficienza del SSN</w:t>
      </w:r>
      <w:r w:rsidRPr="009E72EF">
        <w:rPr>
          <w:rFonts w:cstheme="minorHAnsi"/>
        </w:rPr>
        <w:t>».</w:t>
      </w:r>
      <w:r w:rsidR="00B10BE6">
        <w:rPr>
          <w:rFonts w:cstheme="minorHAnsi"/>
        </w:rPr>
        <w:t xml:space="preserve"> </w:t>
      </w:r>
      <w:r w:rsidR="00C52DA3">
        <w:rPr>
          <w:rFonts w:cstheme="minorHAnsi"/>
        </w:rPr>
        <w:t>C</w:t>
      </w:r>
      <w:r w:rsidR="005D2426">
        <w:rPr>
          <w:rFonts w:cstheme="minorHAnsi"/>
        </w:rPr>
        <w:t xml:space="preserve">onclusa la rendicontazione amministrativa, </w:t>
      </w:r>
      <w:r w:rsidR="00C52DA3">
        <w:rPr>
          <w:rFonts w:cstheme="minorHAnsi"/>
        </w:rPr>
        <w:t>la Fondazione GIMBE invita le Istituzioni a</w:t>
      </w:r>
      <w:r w:rsidR="00B10BE6">
        <w:rPr>
          <w:rFonts w:cstheme="minorHAnsi"/>
        </w:rPr>
        <w:t xml:space="preserve"> </w:t>
      </w:r>
      <w:r w:rsidR="00BA5B6B">
        <w:rPr>
          <w:rFonts w:cstheme="minorHAnsi"/>
        </w:rPr>
        <w:t xml:space="preserve">garantire </w:t>
      </w:r>
      <w:r w:rsidR="005D2426">
        <w:rPr>
          <w:rFonts w:cstheme="minorHAnsi"/>
        </w:rPr>
        <w:t xml:space="preserve">un </w:t>
      </w:r>
      <w:r w:rsidRPr="009E72EF">
        <w:rPr>
          <w:rFonts w:cstheme="minorHAnsi"/>
        </w:rPr>
        <w:t>monitoraggio pubblico continu</w:t>
      </w:r>
      <w:r w:rsidR="00BA5B6B">
        <w:rPr>
          <w:rFonts w:cstheme="minorHAnsi"/>
        </w:rPr>
        <w:t>o</w:t>
      </w:r>
      <w:r w:rsidRPr="009E72EF">
        <w:rPr>
          <w:rFonts w:cstheme="minorHAnsi"/>
        </w:rPr>
        <w:t xml:space="preserve"> dell’impatto</w:t>
      </w:r>
      <w:r>
        <w:rPr>
          <w:rFonts w:cstheme="minorHAnsi"/>
        </w:rPr>
        <w:t xml:space="preserve"> della Missione </w:t>
      </w:r>
      <w:r w:rsidR="005D2426">
        <w:rPr>
          <w:rFonts w:cstheme="minorHAnsi"/>
        </w:rPr>
        <w:t xml:space="preserve">6 </w:t>
      </w:r>
      <w:r>
        <w:rPr>
          <w:rFonts w:cstheme="minorHAnsi"/>
        </w:rPr>
        <w:t>Salute</w:t>
      </w:r>
      <w:r w:rsidR="00C52DA3">
        <w:rPr>
          <w:rFonts w:cstheme="minorHAnsi"/>
        </w:rPr>
        <w:t>,</w:t>
      </w:r>
      <w:r>
        <w:rPr>
          <w:rFonts w:cstheme="minorHAnsi"/>
        </w:rPr>
        <w:t xml:space="preserve"> con pubblicazione almeno semestrale di dati in formato aperto.</w:t>
      </w:r>
    </w:p>
    <w:p w14:paraId="6E2C394A" w14:textId="68C4CA06" w:rsidR="00C52DA3" w:rsidRDefault="00AB59FA" w:rsidP="007923B0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Il Piano di Rilancio del Servizio Sanitario Nazionale. </w:t>
      </w:r>
      <w:r w:rsidR="00B10BE6">
        <w:rPr>
          <w:rFonts w:cstheme="minorHAnsi"/>
        </w:rPr>
        <w:t>I</w:t>
      </w:r>
      <w:r>
        <w:rPr>
          <w:rFonts w:cstheme="minorHAnsi"/>
        </w:rPr>
        <w:t xml:space="preserve">l Rapporto aggiorna il </w:t>
      </w:r>
      <w:r w:rsidRPr="000C39CB">
        <w:rPr>
          <w:rFonts w:cstheme="minorHAnsi"/>
        </w:rPr>
        <w:t>Piano di Rilancio del SSN della Fondazione</w:t>
      </w:r>
      <w:r>
        <w:rPr>
          <w:rFonts w:cstheme="minorHAnsi"/>
        </w:rPr>
        <w:t xml:space="preserve"> GIMBE: 16 linee di intervento per orientare e monitorare le politiche di Governo e Regioni. </w:t>
      </w:r>
      <w:r w:rsidR="00B10BE6">
        <w:rPr>
          <w:rFonts w:cstheme="minorHAnsi"/>
        </w:rPr>
        <w:t xml:space="preserve">Serve una strategia organica </w:t>
      </w:r>
      <w:r w:rsidR="00C52DA3">
        <w:rPr>
          <w:rFonts w:cstheme="minorHAnsi"/>
        </w:rPr>
        <w:t xml:space="preserve">che integri </w:t>
      </w:r>
      <w:r>
        <w:rPr>
          <w:rFonts w:cstheme="minorHAnsi"/>
        </w:rPr>
        <w:t xml:space="preserve">un finanziamento pubblico adeguato ai bisogni di salute, una governance Stato-Regioni capace di ridurre i divari, l’aggiornamento </w:t>
      </w:r>
      <w:r w:rsidR="005D2426">
        <w:rPr>
          <w:rFonts w:cstheme="minorHAnsi"/>
        </w:rPr>
        <w:t xml:space="preserve">continuo </w:t>
      </w:r>
      <w:r>
        <w:rPr>
          <w:rFonts w:cstheme="minorHAnsi"/>
        </w:rPr>
        <w:t>e l’uniforme esigibilità dei LEA, il rilancio delle politiche sul personale</w:t>
      </w:r>
      <w:r w:rsidR="005D2426">
        <w:rPr>
          <w:rFonts w:cstheme="minorHAnsi"/>
        </w:rPr>
        <w:t xml:space="preserve"> sanitario</w:t>
      </w:r>
      <w:r>
        <w:rPr>
          <w:rFonts w:cstheme="minorHAnsi"/>
        </w:rPr>
        <w:t xml:space="preserve">, </w:t>
      </w:r>
      <w:r w:rsidR="00B10BE6">
        <w:rPr>
          <w:rFonts w:cstheme="minorHAnsi"/>
        </w:rPr>
        <w:t>il potenziamento del territorio e l’integrazione con ospedale e servizi sociali</w:t>
      </w:r>
      <w:r>
        <w:rPr>
          <w:rFonts w:cstheme="minorHAnsi"/>
        </w:rPr>
        <w:t>, la riduzione di sprechi e in</w:t>
      </w:r>
      <w:r w:rsidR="00555F0A">
        <w:rPr>
          <w:rFonts w:cstheme="minorHAnsi"/>
        </w:rPr>
        <w:t>efficienze</w:t>
      </w:r>
      <w:r>
        <w:rPr>
          <w:rFonts w:cstheme="minorHAnsi"/>
        </w:rPr>
        <w:t xml:space="preserve">, la governance del rapporto pubblico-privato, il riordino della sanità integrativa e gli investimenti in prevenzione, ricerca e digitalizzazione. Il Piano rafforza inoltre l’attenzione alla sicurezza e alla manutenzione del patrimonio edilizio e tecnologico, ai dati aperti e alla partecipazione dei cittadini. </w:t>
      </w:r>
      <w:r w:rsidR="005D2426" w:rsidRPr="009E72EF">
        <w:rPr>
          <w:rFonts w:cstheme="minorHAnsi"/>
        </w:rPr>
        <w:t>«</w:t>
      </w:r>
      <w:r w:rsidR="005D2426">
        <w:rPr>
          <w:rFonts w:cstheme="minorHAnsi"/>
        </w:rPr>
        <w:t xml:space="preserve">Nel 2027 </w:t>
      </w:r>
      <w:r w:rsidR="005D2426" w:rsidRPr="009E72EF">
        <w:rPr>
          <w:rFonts w:cstheme="minorHAnsi"/>
        </w:rPr>
        <w:t xml:space="preserve">– </w:t>
      </w:r>
      <w:r w:rsidR="005D2426">
        <w:rPr>
          <w:rFonts w:cstheme="minorHAnsi"/>
        </w:rPr>
        <w:t xml:space="preserve">spiega il Presidente </w:t>
      </w:r>
      <w:r w:rsidR="005D2426" w:rsidRPr="009E72EF">
        <w:rPr>
          <w:rFonts w:cstheme="minorHAnsi"/>
        </w:rPr>
        <w:t>–</w:t>
      </w:r>
      <w:r w:rsidR="005D2426">
        <w:rPr>
          <w:rFonts w:cstheme="minorHAnsi"/>
        </w:rPr>
        <w:t xml:space="preserve"> il Piano di Rilancio sarà il</w:t>
      </w:r>
      <w:r w:rsidR="00C52DA3">
        <w:rPr>
          <w:rFonts w:cstheme="minorHAnsi"/>
        </w:rPr>
        <w:t xml:space="preserve"> nostro</w:t>
      </w:r>
      <w:r w:rsidR="005D2426">
        <w:rPr>
          <w:rFonts w:cstheme="minorHAnsi"/>
        </w:rPr>
        <w:t xml:space="preserve"> riferimento per analizzare i programmi sulla sanità di tutte</w:t>
      </w:r>
      <w:r w:rsidR="00244C21">
        <w:rPr>
          <w:rFonts w:cstheme="minorHAnsi"/>
        </w:rPr>
        <w:t xml:space="preserve"> le</w:t>
      </w:r>
      <w:r w:rsidR="005D2426">
        <w:rPr>
          <w:rFonts w:cstheme="minorHAnsi"/>
        </w:rPr>
        <w:t xml:space="preserve"> forze politiche alle prossime elezioni. Perché i cittadini hanno il diritto di conoscere azioni e omissioni della politica nella tutela della loro salute</w:t>
      </w:r>
      <w:r w:rsidR="005D2426" w:rsidRPr="009E72EF">
        <w:rPr>
          <w:rFonts w:cstheme="minorHAnsi"/>
        </w:rPr>
        <w:t>».</w:t>
      </w:r>
    </w:p>
    <w:p w14:paraId="319EBAC7" w14:textId="1923B6BB" w:rsidR="00C52DA3" w:rsidRDefault="00BA5B6B" w:rsidP="00674AA3">
      <w:pPr>
        <w:jc w:val="both"/>
      </w:pPr>
      <w:r>
        <w:t>«A quasi 48 anni dall’istituzione del SSN – conclude Cartabellotta – il diritto alla tutela della salute rimane fondamentale sulla Carta, ma</w:t>
      </w:r>
      <w:r w:rsidR="00C52DA3">
        <w:t xml:space="preserve"> è</w:t>
      </w:r>
      <w:r>
        <w:t xml:space="preserve"> sempre meno esigibile nella vita reale. Un’involuzione che indebolisce i princìpi di universalità ed equità: disponibilità economiche e luogo di residenza condizionano l’accesso alle cure, ampliando il divario tra chi può pagare e chi è costretto ad attendere o a rinunciare. </w:t>
      </w:r>
      <w:r w:rsidR="00C52DA3">
        <w:t xml:space="preserve">Il </w:t>
      </w:r>
      <w:r>
        <w:t>SSN continua formalmente a funzionare, ma perde progressivamente la capacità di garantire cure accessibili a tutti</w:t>
      </w:r>
      <w:r w:rsidR="00C52DA3">
        <w:t xml:space="preserve">, mettendo a rischio </w:t>
      </w:r>
      <w:r>
        <w:t xml:space="preserve">il patto sociale tra cittadini e istituzioni. La crisi del SSN non è più solo un problema sanitario, ma ha ricadute sulla tenuta economica e sociale del Paese. La politica deve quindi chiarire quale modello di sanità intende lasciare alle future generazioni e con quali risorse e riforme renderlo concreto. Per la Fondazione GIMBE, rilanciare il SSN è un imperativo etico: significa preservare uno strumento di democrazia e coesione sociale e una leva </w:t>
      </w:r>
      <w:r w:rsidR="00C52DA3">
        <w:t xml:space="preserve">per lo </w:t>
      </w:r>
      <w:r>
        <w:t xml:space="preserve">sviluppo economico del Paese. </w:t>
      </w:r>
      <w:r w:rsidR="00C52DA3">
        <w:t>È attraverso</w:t>
      </w:r>
      <w:r>
        <w:t xml:space="preserve"> il SSN che la Repubblica rende concreto il principio di uguaglianza tra le persone</w:t>
      </w:r>
      <w:r w:rsidR="00C52DA3">
        <w:t xml:space="preserve">: </w:t>
      </w:r>
      <w:r>
        <w:t>la salute non è un privilegio riservato a chi può permetterselo, ma un diritto costituzionale che deve essere garantito a tutti».</w:t>
      </w:r>
    </w:p>
    <w:p w14:paraId="3170378A" w14:textId="77777777" w:rsidR="00FD63E4" w:rsidRPr="0099030D" w:rsidRDefault="00F71183" w:rsidP="00FD63E4">
      <w:pPr>
        <w:rPr>
          <w:rFonts w:cstheme="minorHAnsi"/>
        </w:rPr>
      </w:pPr>
      <w:r>
        <w:rPr>
          <w:rFonts w:cstheme="minorHAnsi"/>
        </w:rPr>
        <w:t>V</w:t>
      </w:r>
      <w:r w:rsidR="00FD63E4" w:rsidRPr="0099030D">
        <w:rPr>
          <w:rFonts w:cstheme="minorHAnsi"/>
        </w:rPr>
        <w:t xml:space="preserve">ersione integrale del </w:t>
      </w:r>
      <w:r w:rsidR="00A07F59">
        <w:rPr>
          <w:rFonts w:cstheme="minorHAnsi"/>
        </w:rPr>
        <w:t>9</w:t>
      </w:r>
      <w:r w:rsidR="00FD63E4" w:rsidRPr="0099030D">
        <w:rPr>
          <w:rFonts w:cstheme="minorHAnsi"/>
        </w:rPr>
        <w:t xml:space="preserve">° Rapporto GIMBE: </w:t>
      </w:r>
      <w:hyperlink r:id="rId8" w:history="1">
        <w:r w:rsidR="00A07F59" w:rsidRPr="00051048">
          <w:rPr>
            <w:rStyle w:val="Collegamentoipertestuale"/>
            <w:rFonts w:cstheme="minorHAnsi"/>
          </w:rPr>
          <w:t>www.salviamo-ssn.it/9-rapporto</w:t>
        </w:r>
      </w:hyperlink>
      <w:r w:rsidR="00984E46" w:rsidRPr="0099030D">
        <w:rPr>
          <w:rFonts w:cstheme="minorHAnsi"/>
        </w:rPr>
        <w:t xml:space="preserve"> </w:t>
      </w:r>
    </w:p>
    <w:p w14:paraId="390F7B68" w14:textId="77777777" w:rsidR="00A93EBE" w:rsidRPr="0099030D" w:rsidRDefault="00DF6BC5" w:rsidP="00FD63E4">
      <w:pPr>
        <w:rPr>
          <w:rFonts w:cstheme="minorHAnsi"/>
        </w:rPr>
      </w:pPr>
      <w:r w:rsidRPr="0099030D">
        <w:rPr>
          <w:rFonts w:cstheme="minorHAnsi"/>
        </w:rPr>
        <w:t xml:space="preserve">Piano di Rilancio </w:t>
      </w:r>
      <w:r w:rsidR="002A4D4A">
        <w:rPr>
          <w:rFonts w:cstheme="minorHAnsi"/>
        </w:rPr>
        <w:t>del SSN</w:t>
      </w:r>
      <w:r w:rsidRPr="0099030D">
        <w:rPr>
          <w:rFonts w:cstheme="minorHAnsi"/>
        </w:rPr>
        <w:t xml:space="preserve">: </w:t>
      </w:r>
      <w:hyperlink r:id="rId9" w:history="1">
        <w:r w:rsidR="00F71183" w:rsidRPr="00D53B9B">
          <w:rPr>
            <w:rStyle w:val="Collegamentoipertestuale"/>
            <w:rFonts w:cstheme="minorHAnsi"/>
          </w:rPr>
          <w:t>www.salviamo-ssn.it/salviamo-ssn/piano-di-rilancio</w:t>
        </w:r>
      </w:hyperlink>
      <w:r w:rsidR="00F96707">
        <w:rPr>
          <w:rFonts w:cstheme="minorHAnsi"/>
        </w:rPr>
        <w:t xml:space="preserve"> </w:t>
      </w:r>
    </w:p>
    <w:p w14:paraId="21FE0931" w14:textId="77777777" w:rsidR="00FD63E4" w:rsidRPr="0099030D" w:rsidRDefault="00FD63E4" w:rsidP="004B7BFA">
      <w:pPr>
        <w:keepNext/>
        <w:spacing w:after="0"/>
        <w:rPr>
          <w:rFonts w:eastAsia="Calibri" w:cstheme="minorHAnsi"/>
        </w:rPr>
      </w:pPr>
      <w:r w:rsidRPr="0099030D">
        <w:rPr>
          <w:rFonts w:eastAsia="Calibri" w:cstheme="minorHAnsi"/>
          <w:b/>
          <w:bCs/>
        </w:rPr>
        <w:t>Fondazione GIMBE</w:t>
      </w:r>
      <w:r w:rsidRPr="0099030D">
        <w:rPr>
          <w:rFonts w:eastAsia="Calibri" w:cstheme="minorHAnsi"/>
        </w:rPr>
        <w:br/>
        <w:t>Via Amendola 2 - 40121 Bologna</w:t>
      </w:r>
    </w:p>
    <w:p w14:paraId="29B3706C" w14:textId="77777777" w:rsidR="00FD63E4" w:rsidRPr="0099030D" w:rsidRDefault="00FD63E4" w:rsidP="004B7BFA">
      <w:pPr>
        <w:keepNext/>
        <w:spacing w:after="0"/>
        <w:rPr>
          <w:rFonts w:eastAsia="Calibri" w:cstheme="minorHAnsi"/>
        </w:rPr>
      </w:pPr>
      <w:r w:rsidRPr="0099030D">
        <w:rPr>
          <w:rFonts w:eastAsia="Calibri" w:cstheme="minorHAnsi"/>
        </w:rPr>
        <w:t>Tel. 051 5883920 - Fax 051 4075774</w:t>
      </w:r>
    </w:p>
    <w:p w14:paraId="63ECADFB" w14:textId="77777777" w:rsidR="00FD63E4" w:rsidRPr="0099030D" w:rsidRDefault="00FD63E4" w:rsidP="00FD63E4">
      <w:pPr>
        <w:spacing w:after="0"/>
        <w:rPr>
          <w:rFonts w:eastAsia="Calibri" w:cstheme="minorHAnsi"/>
        </w:rPr>
      </w:pPr>
      <w:r w:rsidRPr="0099030D">
        <w:rPr>
          <w:rFonts w:eastAsia="Calibri" w:cstheme="minorHAnsi"/>
        </w:rPr>
        <w:t xml:space="preserve">E-mail: </w:t>
      </w:r>
      <w:hyperlink r:id="rId10" w:history="1">
        <w:r w:rsidRPr="0099030D">
          <w:rPr>
            <w:rFonts w:eastAsia="Calibri" w:cstheme="minorHAnsi"/>
          </w:rPr>
          <w:t>ufficio.stampa@gimbe.org</w:t>
        </w:r>
      </w:hyperlink>
    </w:p>
    <w:p w14:paraId="09DB72B8" w14:textId="77777777" w:rsidR="00107CCF" w:rsidRDefault="00A53625" w:rsidP="00691F6C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eastAsia="Calibri" w:cstheme="minorHAnsi"/>
        </w:rPr>
      </w:pPr>
      <w:r>
        <w:rPr>
          <w:rFonts w:eastAsia="Calibri" w:cstheme="minorHAnsi"/>
        </w:rPr>
        <w:br w:type="page"/>
      </w:r>
    </w:p>
    <w:p w14:paraId="42CCABF9" w14:textId="77777777" w:rsidR="00107CCF" w:rsidRPr="00107CCF" w:rsidRDefault="00107CCF" w:rsidP="00107CC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  <w:r w:rsidRPr="00107CCF">
        <w:rPr>
          <w:rFonts w:cstheme="minorHAnsi"/>
          <w:b/>
          <w:color w:val="00457D"/>
          <w:sz w:val="20"/>
          <w:szCs w:val="20"/>
        </w:rPr>
        <w:lastRenderedPageBreak/>
        <w:t>Fi</w:t>
      </w:r>
      <w:r>
        <w:rPr>
          <w:rFonts w:cstheme="minorHAnsi"/>
          <w:b/>
          <w:color w:val="00457D"/>
          <w:sz w:val="20"/>
          <w:szCs w:val="20"/>
        </w:rPr>
        <w:t>gura 1</w:t>
      </w:r>
      <w:r w:rsidRPr="00107CCF">
        <w:rPr>
          <w:rFonts w:cstheme="minorHAnsi"/>
          <w:b/>
          <w:color w:val="00457D"/>
          <w:sz w:val="20"/>
          <w:szCs w:val="20"/>
        </w:rPr>
        <w:t>. Fabbisogno Sanitario Nazionale nominale e in % del PIL: trend 2010-2026</w:t>
      </w:r>
    </w:p>
    <w:p w14:paraId="40EE52F6" w14:textId="77777777" w:rsidR="00107CCF" w:rsidRPr="00BA0E23" w:rsidRDefault="00107CCF" w:rsidP="00107CCF">
      <w:pPr>
        <w:suppressAutoHyphens/>
        <w:spacing w:before="120" w:after="0"/>
        <w:jc w:val="center"/>
        <w:rPr>
          <w:rFonts w:ascii="Cambria" w:hAnsi="Cambria"/>
          <w:b/>
          <w:color w:val="00457D"/>
          <w:sz w:val="18"/>
        </w:rPr>
      </w:pPr>
      <w:r>
        <w:rPr>
          <w:rFonts w:ascii="Cambria" w:hAnsi="Cambria"/>
          <w:b/>
          <w:noProof/>
          <w:color w:val="00457D"/>
          <w:sz w:val="18"/>
          <w:lang w:eastAsia="it-IT"/>
        </w:rPr>
        <w:drawing>
          <wp:inline distT="0" distB="0" distL="0" distR="0" wp14:anchorId="1D82DF70" wp14:editId="40C28F93">
            <wp:extent cx="5040000" cy="2791412"/>
            <wp:effectExtent l="0" t="0" r="8255" b="9525"/>
            <wp:docPr id="1803272035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791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F1899A" w14:textId="77777777" w:rsidR="00107CCF" w:rsidRDefault="00107CCF" w:rsidP="00691F6C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eastAsia="Calibri" w:cstheme="minorHAnsi"/>
        </w:rPr>
      </w:pPr>
    </w:p>
    <w:p w14:paraId="7A389170" w14:textId="0A25D8FD" w:rsidR="00F716FB" w:rsidRPr="00F716FB" w:rsidRDefault="00691F6C" w:rsidP="00691F6C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color w:val="00457D"/>
          <w:sz w:val="20"/>
          <w:szCs w:val="20"/>
        </w:rPr>
      </w:pPr>
      <w:r w:rsidRPr="00691F6C">
        <w:rPr>
          <w:rFonts w:cstheme="minorHAnsi"/>
          <w:b/>
          <w:color w:val="00457D"/>
          <w:sz w:val="20"/>
          <w:szCs w:val="20"/>
        </w:rPr>
        <w:t xml:space="preserve">Figura </w:t>
      </w:r>
      <w:r w:rsidR="00107CCF">
        <w:rPr>
          <w:rFonts w:cstheme="minorHAnsi"/>
          <w:b/>
          <w:color w:val="00457D"/>
          <w:sz w:val="20"/>
          <w:szCs w:val="20"/>
        </w:rPr>
        <w:t>2</w:t>
      </w:r>
      <w:r w:rsidRPr="00691F6C">
        <w:rPr>
          <w:rFonts w:cstheme="minorHAnsi"/>
          <w:b/>
          <w:color w:val="00457D"/>
          <w:sz w:val="20"/>
          <w:szCs w:val="20"/>
        </w:rPr>
        <w:t>. Fabbisogno Sanitario Nazionale: FSN effettivo vs FSN al 6,27% del PIL</w:t>
      </w:r>
      <w:r>
        <w:rPr>
          <w:rFonts w:cstheme="minorHAnsi"/>
          <w:b/>
          <w:color w:val="00457D"/>
          <w:sz w:val="20"/>
          <w:szCs w:val="20"/>
        </w:rPr>
        <w:br/>
      </w:r>
      <w:r w:rsidR="00F716FB">
        <w:rPr>
          <w:rFonts w:cstheme="minorHAnsi"/>
          <w:color w:val="00457D"/>
          <w:sz w:val="20"/>
          <w:szCs w:val="20"/>
        </w:rPr>
        <w:t>(</w:t>
      </w:r>
      <w:r w:rsidR="00F716FB" w:rsidRPr="00F716FB">
        <w:rPr>
          <w:rFonts w:cstheme="minorHAnsi"/>
          <w:color w:val="00457D"/>
          <w:sz w:val="20"/>
          <w:szCs w:val="20"/>
        </w:rPr>
        <w:t>elaborazione GIMBE: 2023-2025, dati ISTAT sul PIL a prezzi correnti; 2026, stima del PIL nel DPFP 202</w:t>
      </w:r>
      <w:r w:rsidR="00F716FB">
        <w:rPr>
          <w:rFonts w:cstheme="minorHAnsi"/>
          <w:color w:val="00457D"/>
          <w:sz w:val="20"/>
          <w:szCs w:val="20"/>
        </w:rPr>
        <w:t>6)</w:t>
      </w:r>
    </w:p>
    <w:p w14:paraId="6730743D" w14:textId="77777777" w:rsidR="00691F6C" w:rsidRDefault="00F716FB" w:rsidP="00691F6C">
      <w:pPr>
        <w:spacing w:after="0"/>
        <w:jc w:val="center"/>
        <w:rPr>
          <w:rFonts w:ascii="Cambria" w:hAnsi="Cambria"/>
          <w:b/>
          <w:bCs/>
          <w:color w:val="00457D"/>
          <w:sz w:val="18"/>
          <w:szCs w:val="18"/>
        </w:rPr>
      </w:pPr>
      <w:r>
        <w:rPr>
          <w:rFonts w:ascii="Cambria" w:hAnsi="Cambria"/>
          <w:b/>
          <w:bCs/>
          <w:noProof/>
          <w:color w:val="00457D"/>
          <w:sz w:val="18"/>
          <w:szCs w:val="18"/>
          <w:lang w:eastAsia="it-IT"/>
        </w:rPr>
        <w:drawing>
          <wp:inline distT="0" distB="0" distL="0" distR="0" wp14:anchorId="030AC39D" wp14:editId="4EFEFCE8">
            <wp:extent cx="5040000" cy="2787731"/>
            <wp:effectExtent l="0" t="0" r="8255" b="0"/>
            <wp:docPr id="39473889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787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E8406B" w14:textId="77777777" w:rsidR="00691F6C" w:rsidRDefault="00691F6C" w:rsidP="00691F6C">
      <w:pPr>
        <w:spacing w:after="0"/>
        <w:jc w:val="center"/>
        <w:rPr>
          <w:rFonts w:ascii="Cambria" w:hAnsi="Cambria"/>
          <w:b/>
          <w:bCs/>
          <w:color w:val="00457D"/>
          <w:sz w:val="18"/>
          <w:szCs w:val="18"/>
        </w:rPr>
      </w:pPr>
    </w:p>
    <w:p w14:paraId="10FC372B" w14:textId="69021477" w:rsidR="006E5B7E" w:rsidRPr="00107CCF" w:rsidRDefault="006E5B7E" w:rsidP="006E5B7E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  <w:r w:rsidRPr="00107CCF">
        <w:rPr>
          <w:rFonts w:cstheme="minorHAnsi"/>
          <w:b/>
          <w:color w:val="00457D"/>
          <w:sz w:val="20"/>
          <w:szCs w:val="20"/>
        </w:rPr>
        <w:t xml:space="preserve">Tabella </w:t>
      </w:r>
      <w:r>
        <w:rPr>
          <w:rFonts w:cstheme="minorHAnsi"/>
          <w:b/>
          <w:color w:val="00457D"/>
          <w:sz w:val="20"/>
          <w:szCs w:val="20"/>
        </w:rPr>
        <w:t>1</w:t>
      </w:r>
      <w:r w:rsidRPr="00107CCF">
        <w:rPr>
          <w:rFonts w:cstheme="minorHAnsi"/>
          <w:b/>
          <w:color w:val="00457D"/>
          <w:sz w:val="20"/>
          <w:szCs w:val="20"/>
        </w:rPr>
        <w:t>. Confronto dei dati OCSE sulla spesa sanitaria in $ PPP pro-capite</w:t>
      </w:r>
    </w:p>
    <w:tbl>
      <w:tblPr>
        <w:tblW w:w="5665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134"/>
        <w:gridCol w:w="1134"/>
        <w:gridCol w:w="1134"/>
      </w:tblGrid>
      <w:tr w:rsidR="006E5B7E" w:rsidRPr="00E16EB7" w14:paraId="430718F5" w14:textId="77777777" w:rsidTr="00516B46">
        <w:trPr>
          <w:trHeight w:val="340"/>
          <w:jc w:val="center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457D"/>
              <w:right w:val="single" w:sz="4" w:space="0" w:color="00457D"/>
            </w:tcBorders>
            <w:vAlign w:val="center"/>
          </w:tcPr>
          <w:p w14:paraId="36DD2E7C" w14:textId="77777777" w:rsidR="006E5B7E" w:rsidRPr="007B7BA6" w:rsidRDefault="006E5B7E" w:rsidP="00516B4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left w:val="single" w:sz="4" w:space="0" w:color="00457D"/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5E4D17EC" w14:textId="77777777" w:rsidR="006E5B7E" w:rsidRPr="007B7BA6" w:rsidRDefault="006E5B7E" w:rsidP="00516B4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B7BA6">
              <w:rPr>
                <w:rFonts w:ascii="Cambria" w:hAnsi="Cambria"/>
                <w:b/>
                <w:bCs/>
                <w:sz w:val="20"/>
                <w:szCs w:val="20"/>
              </w:rPr>
              <w:t>Italia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vAlign w:val="center"/>
          </w:tcPr>
          <w:p w14:paraId="4E9BA082" w14:textId="77777777" w:rsidR="006E5B7E" w:rsidRPr="007B7BA6" w:rsidRDefault="006E5B7E" w:rsidP="00516B4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B7BA6">
              <w:rPr>
                <w:rFonts w:ascii="Cambria" w:hAnsi="Cambria"/>
                <w:b/>
                <w:bCs/>
                <w:sz w:val="20"/>
                <w:szCs w:val="20"/>
              </w:rPr>
              <w:t xml:space="preserve">Media </w:t>
            </w:r>
            <w:r w:rsidRPr="007B7BA6">
              <w:rPr>
                <w:rFonts w:ascii="Cambria" w:hAnsi="Cambria"/>
                <w:b/>
                <w:bCs/>
                <w:sz w:val="20"/>
                <w:szCs w:val="20"/>
              </w:rPr>
              <w:br/>
              <w:t>OCSE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00457D"/>
            </w:tcBorders>
            <w:shd w:val="clear" w:color="auto" w:fill="00457D"/>
            <w:vAlign w:val="center"/>
          </w:tcPr>
          <w:p w14:paraId="43698B05" w14:textId="77777777" w:rsidR="006E5B7E" w:rsidRPr="007B7BA6" w:rsidRDefault="006E5B7E" w:rsidP="00516B4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B7BA6">
              <w:rPr>
                <w:rFonts w:ascii="Cambria" w:hAnsi="Cambria"/>
                <w:b/>
                <w:bCs/>
                <w:sz w:val="20"/>
                <w:szCs w:val="20"/>
              </w:rPr>
              <w:t xml:space="preserve">Rank </w:t>
            </w:r>
            <w:r w:rsidRPr="007B7BA6">
              <w:rPr>
                <w:rFonts w:ascii="Cambria" w:hAnsi="Cambria"/>
                <w:b/>
                <w:bCs/>
                <w:sz w:val="20"/>
                <w:szCs w:val="20"/>
              </w:rPr>
              <w:br/>
              <w:t>Italia</w:t>
            </w:r>
          </w:p>
        </w:tc>
      </w:tr>
      <w:tr w:rsidR="006E5B7E" w:rsidRPr="00E16EB7" w14:paraId="3044AC9C" w14:textId="77777777" w:rsidTr="00516B46">
        <w:trPr>
          <w:trHeight w:val="340"/>
          <w:jc w:val="center"/>
        </w:trPr>
        <w:tc>
          <w:tcPr>
            <w:tcW w:w="2263" w:type="dxa"/>
            <w:vAlign w:val="center"/>
          </w:tcPr>
          <w:p w14:paraId="02553631" w14:textId="77777777" w:rsidR="006E5B7E" w:rsidRPr="007B7BA6" w:rsidRDefault="006E5B7E" w:rsidP="00516B4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Totale</w:t>
            </w:r>
          </w:p>
        </w:tc>
        <w:tc>
          <w:tcPr>
            <w:tcW w:w="1134" w:type="dxa"/>
            <w:noWrap/>
            <w:vAlign w:val="center"/>
          </w:tcPr>
          <w:p w14:paraId="1A0C9858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$ 5.337 </w:t>
            </w:r>
          </w:p>
        </w:tc>
        <w:tc>
          <w:tcPr>
            <w:tcW w:w="1134" w:type="dxa"/>
            <w:vAlign w:val="center"/>
          </w:tcPr>
          <w:p w14:paraId="703D37B1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 xml:space="preserve">$ 6.097 </w:t>
            </w:r>
          </w:p>
        </w:tc>
        <w:tc>
          <w:tcPr>
            <w:tcW w:w="1134" w:type="dxa"/>
            <w:vAlign w:val="center"/>
          </w:tcPr>
          <w:p w14:paraId="778E7C54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24/38</w:t>
            </w:r>
          </w:p>
        </w:tc>
      </w:tr>
      <w:tr w:rsidR="006E5B7E" w:rsidRPr="00E16EB7" w14:paraId="20D1105F" w14:textId="77777777" w:rsidTr="00516B46">
        <w:trPr>
          <w:trHeight w:val="340"/>
          <w:jc w:val="center"/>
        </w:trPr>
        <w:tc>
          <w:tcPr>
            <w:tcW w:w="2263" w:type="dxa"/>
            <w:vAlign w:val="center"/>
          </w:tcPr>
          <w:p w14:paraId="559EAD85" w14:textId="548B1DA5" w:rsidR="006E5B7E" w:rsidRPr="007B7BA6" w:rsidRDefault="000B6596" w:rsidP="00516B4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6E5B7E">
              <w:rPr>
                <w:rFonts w:ascii="Cambria" w:hAnsi="Cambria"/>
                <w:bCs/>
                <w:sz w:val="20"/>
                <w:szCs w:val="20"/>
              </w:rPr>
              <w:t>Pubblica</w:t>
            </w:r>
          </w:p>
        </w:tc>
        <w:tc>
          <w:tcPr>
            <w:tcW w:w="1134" w:type="dxa"/>
            <w:noWrap/>
            <w:vAlign w:val="center"/>
          </w:tcPr>
          <w:p w14:paraId="4373A0C8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$ 3.952 </w:t>
            </w:r>
          </w:p>
        </w:tc>
        <w:tc>
          <w:tcPr>
            <w:tcW w:w="1134" w:type="dxa"/>
            <w:vAlign w:val="center"/>
          </w:tcPr>
          <w:p w14:paraId="45EBEDDA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 xml:space="preserve">$ 4.861 </w:t>
            </w:r>
          </w:p>
        </w:tc>
        <w:tc>
          <w:tcPr>
            <w:tcW w:w="1134" w:type="dxa"/>
            <w:vAlign w:val="center"/>
          </w:tcPr>
          <w:p w14:paraId="07108BD5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  <w:highlight w:val="yellow"/>
              </w:rPr>
            </w:pPr>
            <w:r>
              <w:rPr>
                <w:rFonts w:ascii="Cambria" w:hAnsi="Cambria" w:cs="Arial"/>
                <w:sz w:val="20"/>
                <w:szCs w:val="20"/>
              </w:rPr>
              <w:t>24/38</w:t>
            </w:r>
          </w:p>
        </w:tc>
      </w:tr>
      <w:tr w:rsidR="006E5B7E" w:rsidRPr="00E16EB7" w14:paraId="4ED46D0E" w14:textId="77777777" w:rsidTr="00516B46">
        <w:trPr>
          <w:trHeight w:val="340"/>
          <w:jc w:val="center"/>
        </w:trPr>
        <w:tc>
          <w:tcPr>
            <w:tcW w:w="2263" w:type="dxa"/>
            <w:vAlign w:val="center"/>
          </w:tcPr>
          <w:p w14:paraId="0F6DC383" w14:textId="4485337C" w:rsidR="006E5B7E" w:rsidRPr="007B7BA6" w:rsidRDefault="000B6596" w:rsidP="00516B4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6E5B7E">
              <w:rPr>
                <w:rFonts w:ascii="Cambria" w:hAnsi="Cambria"/>
                <w:bCs/>
                <w:sz w:val="20"/>
                <w:szCs w:val="20"/>
              </w:rPr>
              <w:t>Privata</w:t>
            </w:r>
          </w:p>
        </w:tc>
        <w:tc>
          <w:tcPr>
            <w:tcW w:w="1134" w:type="dxa"/>
            <w:noWrap/>
            <w:vAlign w:val="center"/>
          </w:tcPr>
          <w:p w14:paraId="00F23882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$ 1.385 </w:t>
            </w:r>
          </w:p>
        </w:tc>
        <w:tc>
          <w:tcPr>
            <w:tcW w:w="1134" w:type="dxa"/>
            <w:vAlign w:val="center"/>
          </w:tcPr>
          <w:p w14:paraId="676E8461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 xml:space="preserve">$ 1.407 </w:t>
            </w:r>
          </w:p>
        </w:tc>
        <w:tc>
          <w:tcPr>
            <w:tcW w:w="1134" w:type="dxa"/>
            <w:vAlign w:val="center"/>
          </w:tcPr>
          <w:p w14:paraId="15D95D13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16/38</w:t>
            </w:r>
          </w:p>
        </w:tc>
      </w:tr>
      <w:tr w:rsidR="006E5B7E" w:rsidRPr="00E16EB7" w14:paraId="4DCAD23D" w14:textId="77777777" w:rsidTr="00516B46">
        <w:trPr>
          <w:trHeight w:val="340"/>
          <w:jc w:val="center"/>
        </w:trPr>
        <w:tc>
          <w:tcPr>
            <w:tcW w:w="2263" w:type="dxa"/>
            <w:vAlign w:val="center"/>
          </w:tcPr>
          <w:p w14:paraId="4668930B" w14:textId="4E01EFF7" w:rsidR="006E5B7E" w:rsidRPr="0071670B" w:rsidRDefault="000B6596" w:rsidP="00516B4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 </w:t>
            </w:r>
            <w:r w:rsidR="004F4AED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 </w:t>
            </w:r>
            <w:r w:rsidR="006E5B7E" w:rsidRPr="0071670B">
              <w:rPr>
                <w:rFonts w:ascii="Cambria" w:hAnsi="Cambria"/>
                <w:bCs/>
                <w:sz w:val="20"/>
                <w:szCs w:val="20"/>
                <w:lang w:val="en-US"/>
              </w:rPr>
              <w:t>Out-of-pocket</w:t>
            </w:r>
          </w:p>
        </w:tc>
        <w:tc>
          <w:tcPr>
            <w:tcW w:w="1134" w:type="dxa"/>
            <w:noWrap/>
            <w:vAlign w:val="center"/>
          </w:tcPr>
          <w:p w14:paraId="34DDE87C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$ 1.189 </w:t>
            </w:r>
          </w:p>
        </w:tc>
        <w:tc>
          <w:tcPr>
            <w:tcW w:w="1134" w:type="dxa"/>
            <w:vAlign w:val="center"/>
          </w:tcPr>
          <w:p w14:paraId="402CAE92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 xml:space="preserve">$ 1.059 </w:t>
            </w:r>
          </w:p>
        </w:tc>
        <w:tc>
          <w:tcPr>
            <w:tcW w:w="1134" w:type="dxa"/>
            <w:vAlign w:val="center"/>
          </w:tcPr>
          <w:p w14:paraId="0D31E27F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13/38</w:t>
            </w:r>
          </w:p>
        </w:tc>
      </w:tr>
      <w:tr w:rsidR="006E5B7E" w:rsidRPr="00E16EB7" w14:paraId="2ABF4090" w14:textId="77777777" w:rsidTr="00516B46">
        <w:trPr>
          <w:trHeight w:val="340"/>
          <w:jc w:val="center"/>
        </w:trPr>
        <w:tc>
          <w:tcPr>
            <w:tcW w:w="2263" w:type="dxa"/>
            <w:vAlign w:val="center"/>
          </w:tcPr>
          <w:p w14:paraId="78F05F86" w14:textId="648C3A1A" w:rsidR="006E5B7E" w:rsidRPr="007B7BA6" w:rsidRDefault="000B6596" w:rsidP="00516B4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4F4AED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6E5B7E">
              <w:rPr>
                <w:rFonts w:ascii="Cambria" w:hAnsi="Cambria"/>
                <w:bCs/>
                <w:sz w:val="20"/>
                <w:szCs w:val="20"/>
              </w:rPr>
              <w:t>Intermediata</w:t>
            </w:r>
          </w:p>
        </w:tc>
        <w:tc>
          <w:tcPr>
            <w:tcW w:w="1134" w:type="dxa"/>
            <w:noWrap/>
            <w:vAlign w:val="center"/>
          </w:tcPr>
          <w:p w14:paraId="388D9110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$ 196 </w:t>
            </w:r>
          </w:p>
        </w:tc>
        <w:tc>
          <w:tcPr>
            <w:tcW w:w="1134" w:type="dxa"/>
            <w:vAlign w:val="center"/>
          </w:tcPr>
          <w:p w14:paraId="2A02F68B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 xml:space="preserve">$ 348 </w:t>
            </w:r>
          </w:p>
        </w:tc>
        <w:tc>
          <w:tcPr>
            <w:tcW w:w="1134" w:type="dxa"/>
            <w:vAlign w:val="center"/>
          </w:tcPr>
          <w:p w14:paraId="4EB90345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23/38</w:t>
            </w:r>
          </w:p>
        </w:tc>
      </w:tr>
    </w:tbl>
    <w:p w14:paraId="061CADA2" w14:textId="77777777" w:rsidR="00E04CD9" w:rsidRDefault="00E04CD9" w:rsidP="00691F6C">
      <w:pPr>
        <w:spacing w:after="0"/>
        <w:jc w:val="center"/>
        <w:rPr>
          <w:rFonts w:ascii="Cambria" w:hAnsi="Cambria"/>
          <w:b/>
          <w:bCs/>
          <w:color w:val="00457D"/>
          <w:sz w:val="18"/>
          <w:szCs w:val="18"/>
        </w:rPr>
      </w:pPr>
    </w:p>
    <w:p w14:paraId="153DC0BF" w14:textId="77777777" w:rsidR="00691F6C" w:rsidRDefault="00691F6C" w:rsidP="00691F6C">
      <w:pPr>
        <w:spacing w:after="0"/>
        <w:jc w:val="center"/>
        <w:rPr>
          <w:rFonts w:ascii="Cambria" w:hAnsi="Cambria"/>
          <w:b/>
          <w:bCs/>
          <w:color w:val="00457D"/>
          <w:sz w:val="18"/>
          <w:szCs w:val="18"/>
        </w:rPr>
      </w:pPr>
    </w:p>
    <w:p w14:paraId="77374EF5" w14:textId="77777777" w:rsidR="00A00F56" w:rsidRDefault="00A00F56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7D182F42" w14:textId="03628FE7" w:rsidR="000F3F9A" w:rsidRPr="000F3F9A" w:rsidRDefault="000F3F9A" w:rsidP="000F3F9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  <w:r w:rsidRPr="000F3F9A">
        <w:rPr>
          <w:rFonts w:cstheme="minorHAnsi"/>
          <w:b/>
          <w:color w:val="00457D"/>
          <w:sz w:val="20"/>
          <w:szCs w:val="20"/>
        </w:rPr>
        <w:lastRenderedPageBreak/>
        <w:t xml:space="preserve">Tabella </w:t>
      </w:r>
      <w:r w:rsidR="006E5B7E">
        <w:rPr>
          <w:rFonts w:cstheme="minorHAnsi"/>
          <w:b/>
          <w:color w:val="00457D"/>
          <w:sz w:val="20"/>
          <w:szCs w:val="20"/>
        </w:rPr>
        <w:t>2</w:t>
      </w:r>
      <w:r w:rsidRPr="000F3F9A">
        <w:rPr>
          <w:rFonts w:cstheme="minorHAnsi"/>
          <w:b/>
          <w:color w:val="00457D"/>
          <w:sz w:val="20"/>
          <w:szCs w:val="20"/>
        </w:rPr>
        <w:t>. Documento Programmatico di Finanza Pubblica 2026: consuntivo 2025 e stime 2026-2029</w:t>
      </w:r>
    </w:p>
    <w:tbl>
      <w:tblPr>
        <w:tblW w:w="7753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shd w:val="clear" w:color="auto" w:fill="FFFFFF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1014"/>
        <w:gridCol w:w="1014"/>
        <w:gridCol w:w="1013"/>
        <w:gridCol w:w="1013"/>
        <w:gridCol w:w="1009"/>
      </w:tblGrid>
      <w:tr w:rsidR="002453AA" w:rsidRPr="00003EAF" w14:paraId="46D7315F" w14:textId="77777777" w:rsidTr="002453AA">
        <w:trPr>
          <w:trHeight w:val="340"/>
          <w:jc w:val="center"/>
        </w:trPr>
        <w:tc>
          <w:tcPr>
            <w:tcW w:w="1735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00457D"/>
            </w:tcBorders>
            <w:shd w:val="clear" w:color="auto" w:fill="FFFFFF" w:themeFill="background1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D9E8F2" w14:textId="77777777" w:rsidR="002453AA" w:rsidRPr="004D7A76" w:rsidRDefault="002453AA" w:rsidP="0096012C">
            <w:pPr>
              <w:suppressAutoHyphens/>
              <w:spacing w:after="0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654" w:type="pct"/>
            <w:tcBorders>
              <w:left w:val="single" w:sz="4" w:space="0" w:color="00457D"/>
              <w:right w:val="single" w:sz="4" w:space="0" w:color="FFFFFF" w:themeColor="background1"/>
            </w:tcBorders>
            <w:shd w:val="clear" w:color="auto" w:fill="00457D"/>
            <w:vAlign w:val="center"/>
          </w:tcPr>
          <w:p w14:paraId="79CA4A07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D7A76">
              <w:rPr>
                <w:rFonts w:asciiTheme="majorHAnsi" w:hAnsiTheme="majorHAnsi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65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86DEA2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D7A76">
              <w:rPr>
                <w:rFonts w:asciiTheme="majorHAnsi" w:hAnsiTheme="majorHAns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653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117E2DD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D7A76">
              <w:rPr>
                <w:rFonts w:asciiTheme="majorHAnsi" w:hAnsiTheme="majorHAnsi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653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671558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D7A76">
              <w:rPr>
                <w:rFonts w:asciiTheme="majorHAnsi" w:hAnsiTheme="majorHAnsi"/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651" w:type="pct"/>
            <w:tcBorders>
              <w:left w:val="single" w:sz="4" w:space="0" w:color="FFFFFF" w:themeColor="background1"/>
            </w:tcBorders>
            <w:shd w:val="clear" w:color="auto" w:fill="0045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AAC1BD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D7A76">
              <w:rPr>
                <w:rFonts w:asciiTheme="majorHAnsi" w:hAnsiTheme="majorHAnsi"/>
                <w:b/>
                <w:bCs/>
                <w:sz w:val="20"/>
                <w:szCs w:val="20"/>
              </w:rPr>
              <w:t>2029</w:t>
            </w:r>
          </w:p>
        </w:tc>
      </w:tr>
      <w:tr w:rsidR="002453AA" w:rsidRPr="00003EAF" w14:paraId="6F9033BD" w14:textId="77777777" w:rsidTr="002453AA">
        <w:trPr>
          <w:trHeight w:val="340"/>
          <w:jc w:val="center"/>
        </w:trPr>
        <w:tc>
          <w:tcPr>
            <w:tcW w:w="1735" w:type="pct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8DEED1" w14:textId="77777777" w:rsidR="002453AA" w:rsidRPr="004D7A76" w:rsidRDefault="002453AA" w:rsidP="0096012C">
            <w:pPr>
              <w:suppressAutoHyphens/>
              <w:spacing w:after="0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  <w:lang w:eastAsia="it-IT"/>
              </w:rPr>
              <w:t xml:space="preserve">Spesa sanitaria (milioni di €) </w:t>
            </w:r>
          </w:p>
        </w:tc>
        <w:tc>
          <w:tcPr>
            <w:tcW w:w="654" w:type="pct"/>
            <w:vAlign w:val="center"/>
          </w:tcPr>
          <w:p w14:paraId="080F9196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141.539</w:t>
            </w:r>
          </w:p>
        </w:tc>
        <w:tc>
          <w:tcPr>
            <w:tcW w:w="6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0C9CF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148.836</w:t>
            </w:r>
          </w:p>
        </w:tc>
        <w:tc>
          <w:tcPr>
            <w:tcW w:w="6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5AEB62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151.668</w:t>
            </w:r>
          </w:p>
        </w:tc>
        <w:tc>
          <w:tcPr>
            <w:tcW w:w="6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04D8A1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155.647</w:t>
            </w:r>
          </w:p>
        </w:tc>
        <w:tc>
          <w:tcPr>
            <w:tcW w:w="65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F78402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160.035</w:t>
            </w:r>
          </w:p>
        </w:tc>
      </w:tr>
      <w:tr w:rsidR="002453AA" w:rsidRPr="00003EAF" w14:paraId="0FD49647" w14:textId="77777777" w:rsidTr="002453AA">
        <w:trPr>
          <w:trHeight w:val="340"/>
          <w:jc w:val="center"/>
        </w:trPr>
        <w:tc>
          <w:tcPr>
            <w:tcW w:w="1735" w:type="pct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1DD2E6" w14:textId="77777777" w:rsidR="002453AA" w:rsidRPr="004D7A76" w:rsidRDefault="002453AA" w:rsidP="0096012C">
            <w:pPr>
              <w:suppressAutoHyphens/>
              <w:spacing w:after="0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  <w:lang w:eastAsia="it-IT"/>
              </w:rPr>
              <w:t>Spesa sanitaria (% PIL)</w:t>
            </w:r>
          </w:p>
        </w:tc>
        <w:tc>
          <w:tcPr>
            <w:tcW w:w="654" w:type="pct"/>
            <w:vAlign w:val="center"/>
          </w:tcPr>
          <w:p w14:paraId="35307123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6,2%</w:t>
            </w:r>
          </w:p>
        </w:tc>
        <w:tc>
          <w:tcPr>
            <w:tcW w:w="6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710C4E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6,4%</w:t>
            </w:r>
          </w:p>
        </w:tc>
        <w:tc>
          <w:tcPr>
            <w:tcW w:w="6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1D5D6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6,3%</w:t>
            </w:r>
          </w:p>
        </w:tc>
        <w:tc>
          <w:tcPr>
            <w:tcW w:w="6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A57A36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6,3%</w:t>
            </w:r>
          </w:p>
        </w:tc>
        <w:tc>
          <w:tcPr>
            <w:tcW w:w="65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4E530B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6,3%</w:t>
            </w:r>
          </w:p>
        </w:tc>
      </w:tr>
      <w:tr w:rsidR="002453AA" w:rsidRPr="00003EAF" w14:paraId="06E272E4" w14:textId="77777777" w:rsidTr="002453AA">
        <w:trPr>
          <w:trHeight w:val="340"/>
          <w:jc w:val="center"/>
        </w:trPr>
        <w:tc>
          <w:tcPr>
            <w:tcW w:w="1735" w:type="pct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95EDFE" w14:textId="77777777" w:rsidR="002453AA" w:rsidRPr="004D7A76" w:rsidRDefault="002453AA" w:rsidP="0096012C">
            <w:pPr>
              <w:suppressAutoHyphens/>
              <w:spacing w:after="0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  <w:lang w:eastAsia="it-IT"/>
              </w:rPr>
              <w:t>Tasso di variazione in %</w:t>
            </w:r>
          </w:p>
        </w:tc>
        <w:tc>
          <w:tcPr>
            <w:tcW w:w="654" w:type="pct"/>
            <w:vAlign w:val="center"/>
          </w:tcPr>
          <w:p w14:paraId="37D81F10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—</w:t>
            </w:r>
          </w:p>
        </w:tc>
        <w:tc>
          <w:tcPr>
            <w:tcW w:w="6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2C70F7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5,2%</w:t>
            </w:r>
          </w:p>
        </w:tc>
        <w:tc>
          <w:tcPr>
            <w:tcW w:w="6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F6B0DD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1,9%</w:t>
            </w:r>
          </w:p>
        </w:tc>
        <w:tc>
          <w:tcPr>
            <w:tcW w:w="6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EBCEF2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2,6%</w:t>
            </w:r>
          </w:p>
        </w:tc>
        <w:tc>
          <w:tcPr>
            <w:tcW w:w="65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6F10BF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2,8%</w:t>
            </w:r>
          </w:p>
        </w:tc>
      </w:tr>
    </w:tbl>
    <w:p w14:paraId="1D4F9AD2" w14:textId="77777777" w:rsidR="00A00F56" w:rsidRDefault="00A00F56" w:rsidP="00A00F56">
      <w:pPr>
        <w:pStyle w:val="Didascalia"/>
        <w:suppressAutoHyphens/>
        <w:spacing w:before="360" w:after="120" w:line="276" w:lineRule="auto"/>
        <w:jc w:val="center"/>
        <w:rPr>
          <w:rFonts w:cstheme="minorHAnsi"/>
          <w:bCs w:val="0"/>
          <w:color w:val="00457D"/>
          <w:sz w:val="20"/>
          <w:szCs w:val="20"/>
        </w:rPr>
      </w:pPr>
    </w:p>
    <w:p w14:paraId="6CA0945C" w14:textId="6F3FDD76" w:rsidR="00E04CD9" w:rsidRDefault="00E04CD9" w:rsidP="00A00F56">
      <w:pPr>
        <w:pStyle w:val="Didascalia"/>
        <w:suppressAutoHyphens/>
        <w:spacing w:before="360" w:after="120" w:line="276" w:lineRule="auto"/>
        <w:jc w:val="center"/>
        <w:rPr>
          <w:rFonts w:ascii="Cambria" w:hAnsi="Cambria"/>
          <w:b w:val="0"/>
        </w:rPr>
      </w:pPr>
      <w:r w:rsidRPr="00E04CD9">
        <w:rPr>
          <w:rFonts w:cstheme="minorHAnsi"/>
          <w:bCs w:val="0"/>
          <w:color w:val="00457D"/>
          <w:sz w:val="20"/>
          <w:szCs w:val="20"/>
        </w:rPr>
        <w:t xml:space="preserve">Figura </w:t>
      </w:r>
      <w:r>
        <w:rPr>
          <w:rFonts w:cstheme="minorHAnsi"/>
          <w:bCs w:val="0"/>
          <w:color w:val="00457D"/>
          <w:sz w:val="20"/>
          <w:szCs w:val="20"/>
        </w:rPr>
        <w:t>3</w:t>
      </w:r>
      <w:r w:rsidRPr="00E04CD9">
        <w:rPr>
          <w:rFonts w:cstheme="minorHAnsi"/>
          <w:bCs w:val="0"/>
          <w:color w:val="00457D"/>
          <w:sz w:val="20"/>
          <w:szCs w:val="20"/>
        </w:rPr>
        <w:t>. Divario tra spesa sanitaria e FSN</w:t>
      </w:r>
      <w:r w:rsidRPr="00333ECC">
        <w:rPr>
          <w:rFonts w:cstheme="minorHAnsi"/>
          <w:color w:val="00457D"/>
          <w:sz w:val="20"/>
          <w:szCs w:val="20"/>
        </w:rPr>
        <w:t>: 2023-2029</w:t>
      </w:r>
      <w:r w:rsidRPr="00E04CD9">
        <w:rPr>
          <w:rFonts w:cstheme="minorHAnsi"/>
          <w:b w:val="0"/>
          <w:bCs w:val="0"/>
          <w:color w:val="00457D"/>
          <w:sz w:val="20"/>
          <w:szCs w:val="20"/>
        </w:rPr>
        <w:t xml:space="preserve"> </w:t>
      </w:r>
      <w:r w:rsidRPr="00E04CD9">
        <w:rPr>
          <w:rFonts w:cstheme="minorHAnsi"/>
          <w:b w:val="0"/>
          <w:bCs w:val="0"/>
          <w:color w:val="00457D"/>
          <w:sz w:val="20"/>
          <w:szCs w:val="20"/>
        </w:rPr>
        <w:br/>
        <w:t>(Dati 2023-2025 elaborazione GIMBE, 2026-2029 da Legge di Bilancio 2026 e DPFP 2026)</w:t>
      </w:r>
    </w:p>
    <w:p w14:paraId="67687E69" w14:textId="77777777" w:rsidR="00E04CD9" w:rsidRPr="00622ADF" w:rsidRDefault="00E04CD9" w:rsidP="00E04CD9">
      <w:pPr>
        <w:suppressAutoHyphens/>
        <w:spacing w:before="120" w:after="0"/>
        <w:jc w:val="center"/>
        <w:rPr>
          <w:rFonts w:ascii="Cambria" w:hAnsi="Cambria"/>
          <w:b/>
          <w:sz w:val="18"/>
        </w:rPr>
      </w:pPr>
      <w:r>
        <w:rPr>
          <w:rFonts w:ascii="Cambria" w:hAnsi="Cambria"/>
          <w:b/>
          <w:noProof/>
          <w:sz w:val="18"/>
          <w:lang w:eastAsia="it-IT"/>
        </w:rPr>
        <w:drawing>
          <wp:inline distT="0" distB="0" distL="0" distR="0" wp14:anchorId="273923D5" wp14:editId="56205ACD">
            <wp:extent cx="5040000" cy="2787731"/>
            <wp:effectExtent l="0" t="0" r="8255" b="0"/>
            <wp:docPr id="280122723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787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C67F0D" w14:textId="77777777" w:rsidR="00E04CD9" w:rsidRDefault="00E04CD9" w:rsidP="004D7A76">
      <w:pPr>
        <w:pStyle w:val="Didascalia"/>
        <w:suppressAutoHyphens/>
        <w:spacing w:before="120" w:after="120" w:line="276" w:lineRule="auto"/>
        <w:jc w:val="center"/>
        <w:rPr>
          <w:rFonts w:cstheme="minorHAnsi"/>
          <w:color w:val="00457D"/>
          <w:sz w:val="20"/>
          <w:szCs w:val="20"/>
        </w:rPr>
      </w:pPr>
    </w:p>
    <w:p w14:paraId="27396691" w14:textId="2DC2BED5" w:rsidR="00691F6C" w:rsidRPr="00691F6C" w:rsidRDefault="00691F6C" w:rsidP="00A00F56">
      <w:pPr>
        <w:pStyle w:val="Didascalia"/>
        <w:suppressAutoHyphens/>
        <w:spacing w:before="120" w:after="120" w:line="276" w:lineRule="auto"/>
        <w:jc w:val="center"/>
        <w:rPr>
          <w:rFonts w:cstheme="minorHAnsi"/>
          <w:color w:val="4A4A4A"/>
          <w:sz w:val="20"/>
          <w:szCs w:val="20"/>
        </w:rPr>
      </w:pPr>
      <w:r>
        <w:rPr>
          <w:rFonts w:cstheme="minorHAnsi"/>
          <w:color w:val="00457D"/>
          <w:sz w:val="20"/>
          <w:szCs w:val="20"/>
        </w:rPr>
        <w:lastRenderedPageBreak/>
        <w:t xml:space="preserve">Figura </w:t>
      </w:r>
      <w:r w:rsidR="00E04CD9">
        <w:rPr>
          <w:rFonts w:cstheme="minorHAnsi"/>
          <w:color w:val="00457D"/>
          <w:sz w:val="20"/>
          <w:szCs w:val="20"/>
        </w:rPr>
        <w:t>4</w:t>
      </w:r>
      <w:r>
        <w:rPr>
          <w:rFonts w:cstheme="minorHAnsi"/>
          <w:color w:val="00457D"/>
          <w:sz w:val="20"/>
          <w:szCs w:val="20"/>
        </w:rPr>
        <w:t xml:space="preserve">. </w:t>
      </w:r>
      <w:r w:rsidR="00C06CFA" w:rsidRPr="00C06CFA">
        <w:rPr>
          <w:rFonts w:cstheme="minorHAnsi"/>
          <w:color w:val="00457D"/>
          <w:sz w:val="20"/>
          <w:szCs w:val="20"/>
        </w:rPr>
        <w:t>Quota di riparto</w:t>
      </w:r>
      <w:r>
        <w:rPr>
          <w:rFonts w:cstheme="minorHAnsi"/>
          <w:color w:val="00457D"/>
          <w:sz w:val="20"/>
          <w:szCs w:val="20"/>
        </w:rPr>
        <w:t xml:space="preserve"> pro-capite del FSN indistinto per Regione, </w:t>
      </w:r>
      <w:r w:rsidR="00333ECC">
        <w:rPr>
          <w:rFonts w:cstheme="minorHAnsi"/>
          <w:color w:val="00457D"/>
          <w:sz w:val="20"/>
          <w:szCs w:val="20"/>
        </w:rPr>
        <w:t xml:space="preserve">anno </w:t>
      </w:r>
      <w:r>
        <w:rPr>
          <w:rFonts w:cstheme="minorHAnsi"/>
          <w:color w:val="00457D"/>
          <w:sz w:val="20"/>
          <w:szCs w:val="20"/>
        </w:rPr>
        <w:t xml:space="preserve">2025 </w:t>
      </w:r>
      <w:r>
        <w:rPr>
          <w:rFonts w:cstheme="minorHAnsi"/>
          <w:color w:val="00457D"/>
          <w:sz w:val="20"/>
          <w:szCs w:val="20"/>
        </w:rPr>
        <w:br/>
      </w:r>
      <w:r>
        <w:rPr>
          <w:rFonts w:cstheme="minorHAnsi"/>
          <w:b w:val="0"/>
          <w:bCs w:val="0"/>
          <w:color w:val="00457D"/>
          <w:sz w:val="20"/>
          <w:szCs w:val="20"/>
        </w:rPr>
        <w:t>(elaborazione GIMBE su dati Delibera CIPESS n. 4/2026)</w:t>
      </w:r>
      <w:r w:rsidRPr="00691F6C">
        <w:rPr>
          <w:rFonts w:cstheme="minorHAnsi"/>
          <w:noProof/>
          <w:color w:val="4A4A4A"/>
          <w:sz w:val="20"/>
          <w:szCs w:val="20"/>
          <w:lang w:eastAsia="it-IT"/>
        </w:rPr>
        <w:drawing>
          <wp:inline distT="0" distB="0" distL="0" distR="0" wp14:anchorId="32483BB2" wp14:editId="1826F19C">
            <wp:extent cx="5040000" cy="4481533"/>
            <wp:effectExtent l="0" t="0" r="8255" b="0"/>
            <wp:docPr id="599160568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4815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20866A" w14:textId="77777777" w:rsidR="00A53625" w:rsidRPr="00493383" w:rsidRDefault="00A53625" w:rsidP="00A53625">
      <w:pPr>
        <w:spacing w:after="0"/>
        <w:jc w:val="center"/>
        <w:rPr>
          <w:rFonts w:ascii="Cambria" w:hAnsi="Cambria" w:cstheme="minorHAnsi"/>
          <w:sz w:val="32"/>
        </w:rPr>
      </w:pPr>
    </w:p>
    <w:p w14:paraId="5AD1841F" w14:textId="77777777" w:rsidR="00A53625" w:rsidRDefault="00A53625" w:rsidP="00A53625">
      <w:pPr>
        <w:spacing w:after="0"/>
        <w:rPr>
          <w:rFonts w:eastAsia="Calibri" w:cstheme="minorHAnsi"/>
        </w:rPr>
      </w:pPr>
    </w:p>
    <w:p w14:paraId="03CA0C25" w14:textId="77777777" w:rsidR="00003EAF" w:rsidRDefault="00D604C6" w:rsidP="004D7A76">
      <w:pPr>
        <w:pStyle w:val="Didascalia"/>
        <w:suppressAutoHyphens/>
        <w:spacing w:before="120" w:after="120" w:line="276" w:lineRule="auto"/>
        <w:jc w:val="center"/>
        <w:rPr>
          <w:rFonts w:eastAsia="SimSun" w:cstheme="minorHAnsi"/>
          <w:b w:val="0"/>
          <w:color w:val="00457D"/>
          <w:sz w:val="20"/>
          <w:szCs w:val="20"/>
        </w:rPr>
      </w:pPr>
      <w:r>
        <w:rPr>
          <w:rFonts w:eastAsia="SimSun" w:cstheme="minorHAnsi"/>
          <w:color w:val="00457D"/>
          <w:sz w:val="20"/>
          <w:szCs w:val="20"/>
        </w:rPr>
        <w:t xml:space="preserve">Figura </w:t>
      </w:r>
      <w:r w:rsidR="00E04CD9">
        <w:rPr>
          <w:rFonts w:eastAsia="SimSun" w:cstheme="minorHAnsi"/>
          <w:color w:val="00457D"/>
          <w:sz w:val="20"/>
          <w:szCs w:val="20"/>
        </w:rPr>
        <w:t>5</w:t>
      </w:r>
      <w:r>
        <w:rPr>
          <w:rFonts w:eastAsia="SimSun" w:cstheme="minorHAnsi"/>
          <w:color w:val="00457D"/>
          <w:sz w:val="20"/>
          <w:szCs w:val="20"/>
        </w:rPr>
        <w:t xml:space="preserve">. Composizione della spesa sanitaria </w:t>
      </w:r>
      <w:r>
        <w:rPr>
          <w:rFonts w:eastAsia="SimSun" w:cstheme="minorHAnsi"/>
          <w:color w:val="00457D"/>
          <w:sz w:val="20"/>
          <w:szCs w:val="20"/>
        </w:rPr>
        <w:br/>
      </w:r>
      <w:r>
        <w:rPr>
          <w:rFonts w:eastAsia="SimSun" w:cstheme="minorHAnsi"/>
          <w:b w:val="0"/>
          <w:color w:val="00457D"/>
          <w:sz w:val="20"/>
          <w:szCs w:val="20"/>
        </w:rPr>
        <w:t>(dati ISTAT-SHA, anno 2025)</w:t>
      </w:r>
    </w:p>
    <w:p w14:paraId="79409D16" w14:textId="77777777" w:rsidR="00D604C6" w:rsidRDefault="00D604C6" w:rsidP="00D604C6">
      <w:pPr>
        <w:pStyle w:val="Didascalia"/>
        <w:suppressAutoHyphens/>
        <w:spacing w:before="120" w:after="300" w:line="276" w:lineRule="auto"/>
        <w:jc w:val="center"/>
        <w:rPr>
          <w:rFonts w:eastAsia="SimSun" w:cstheme="minorHAnsi"/>
          <w:b w:val="0"/>
          <w:color w:val="00457D"/>
          <w:sz w:val="20"/>
          <w:szCs w:val="20"/>
        </w:rPr>
      </w:pPr>
      <w:r w:rsidRPr="00D604C6">
        <w:rPr>
          <w:rFonts w:eastAsia="SimSun" w:cstheme="minorHAnsi"/>
          <w:b w:val="0"/>
          <w:noProof/>
          <w:sz w:val="20"/>
          <w:szCs w:val="20"/>
          <w:lang w:eastAsia="it-IT"/>
        </w:rPr>
        <w:drawing>
          <wp:inline distT="0" distB="0" distL="0" distR="0" wp14:anchorId="290FAE43" wp14:editId="599D09D8">
            <wp:extent cx="5040000" cy="2821335"/>
            <wp:effectExtent l="0" t="0" r="8255" b="0"/>
            <wp:docPr id="202745249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2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6D0543" w14:textId="77777777" w:rsidR="00A00F56" w:rsidRDefault="00A00F56" w:rsidP="00D604C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bCs/>
          <w:color w:val="00457D"/>
          <w:sz w:val="20"/>
          <w:szCs w:val="20"/>
        </w:rPr>
      </w:pPr>
    </w:p>
    <w:p w14:paraId="3ED7574B" w14:textId="4B029DD0" w:rsidR="00D604C6" w:rsidRPr="00D604C6" w:rsidRDefault="00D604C6" w:rsidP="00D604C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00457D"/>
          <w:sz w:val="20"/>
          <w:szCs w:val="20"/>
        </w:rPr>
        <w:lastRenderedPageBreak/>
        <w:t xml:space="preserve">Tabella </w:t>
      </w:r>
      <w:r w:rsidR="006E5B7E">
        <w:rPr>
          <w:rFonts w:cstheme="minorHAnsi"/>
          <w:b/>
          <w:bCs/>
          <w:color w:val="00457D"/>
          <w:sz w:val="20"/>
          <w:szCs w:val="20"/>
        </w:rPr>
        <w:t>3</w:t>
      </w:r>
      <w:r w:rsidRPr="00D604C6">
        <w:rPr>
          <w:rFonts w:cstheme="minorHAnsi"/>
          <w:b/>
          <w:bCs/>
          <w:color w:val="00457D"/>
          <w:sz w:val="20"/>
          <w:szCs w:val="20"/>
        </w:rPr>
        <w:t xml:space="preserve">. Spesa sanitaria 2025 vs 2024 in milioni di euro </w:t>
      </w:r>
      <w:r w:rsidRPr="00D604C6">
        <w:rPr>
          <w:rFonts w:cstheme="minorHAnsi"/>
          <w:b/>
          <w:bCs/>
          <w:color w:val="00457D"/>
          <w:sz w:val="20"/>
          <w:szCs w:val="20"/>
        </w:rPr>
        <w:br/>
      </w:r>
      <w:r w:rsidRPr="00D604C6">
        <w:rPr>
          <w:rFonts w:cstheme="minorHAnsi"/>
          <w:color w:val="00457D"/>
          <w:sz w:val="20"/>
          <w:szCs w:val="20"/>
        </w:rPr>
        <w:t>(dati</w:t>
      </w:r>
      <w:r w:rsidRPr="00D604C6">
        <w:rPr>
          <w:rFonts w:cstheme="minorHAnsi"/>
          <w:b/>
          <w:bCs/>
          <w:color w:val="00457D"/>
          <w:sz w:val="20"/>
          <w:szCs w:val="20"/>
        </w:rPr>
        <w:t xml:space="preserve"> </w:t>
      </w:r>
      <w:r w:rsidRPr="00D604C6">
        <w:rPr>
          <w:rFonts w:cstheme="minorHAnsi"/>
          <w:color w:val="00457D"/>
          <w:sz w:val="20"/>
          <w:szCs w:val="20"/>
        </w:rPr>
        <w:t>ISTAT-SHA)</w:t>
      </w:r>
    </w:p>
    <w:tbl>
      <w:tblPr>
        <w:tblW w:w="8500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1134"/>
        <w:gridCol w:w="1134"/>
        <w:gridCol w:w="992"/>
        <w:gridCol w:w="1134"/>
      </w:tblGrid>
      <w:tr w:rsidR="00D604C6" w:rsidRPr="00AC058C" w14:paraId="1DB8415D" w14:textId="77777777" w:rsidTr="003D708E">
        <w:trPr>
          <w:trHeight w:val="329"/>
          <w:jc w:val="center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00457D"/>
            </w:tcBorders>
            <w:noWrap/>
            <w:vAlign w:val="center"/>
            <w:hideMark/>
          </w:tcPr>
          <w:p w14:paraId="663CAD4A" w14:textId="77777777" w:rsidR="00D604C6" w:rsidRPr="00AC058C" w:rsidRDefault="00D604C6" w:rsidP="003D708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left w:val="single" w:sz="4" w:space="0" w:color="00457D"/>
              <w:right w:val="single" w:sz="4" w:space="0" w:color="FFFFFF" w:themeColor="background1"/>
            </w:tcBorders>
            <w:shd w:val="clear" w:color="auto" w:fill="00457D"/>
            <w:noWrap/>
            <w:vAlign w:val="center"/>
            <w:hideMark/>
          </w:tcPr>
          <w:p w14:paraId="40D0CFF1" w14:textId="77777777" w:rsidR="00D604C6" w:rsidRPr="00AC058C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202</w:t>
            </w:r>
            <w:r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  <w:hideMark/>
          </w:tcPr>
          <w:p w14:paraId="25C62526" w14:textId="77777777" w:rsidR="00D604C6" w:rsidRPr="00AC058C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202</w:t>
            </w:r>
            <w:r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  <w:hideMark/>
          </w:tcPr>
          <w:p w14:paraId="3D8BD90E" w14:textId="77777777" w:rsidR="00D604C6" w:rsidRPr="00AC058C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Delta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</w:tcBorders>
            <w:shd w:val="clear" w:color="auto" w:fill="00457D"/>
            <w:noWrap/>
            <w:vAlign w:val="center"/>
            <w:hideMark/>
          </w:tcPr>
          <w:p w14:paraId="3912B50B" w14:textId="77777777" w:rsidR="00D604C6" w:rsidRPr="00AC058C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Delta (%)</w:t>
            </w:r>
          </w:p>
        </w:tc>
      </w:tr>
      <w:tr w:rsidR="00D604C6" w:rsidRPr="00AC058C" w14:paraId="5C443DF7" w14:textId="77777777" w:rsidTr="003D708E">
        <w:trPr>
          <w:trHeight w:val="329"/>
          <w:jc w:val="center"/>
        </w:trPr>
        <w:tc>
          <w:tcPr>
            <w:tcW w:w="4106" w:type="dxa"/>
            <w:noWrap/>
            <w:vAlign w:val="center"/>
            <w:hideMark/>
          </w:tcPr>
          <w:p w14:paraId="40B04282" w14:textId="77777777" w:rsidR="00D604C6" w:rsidRPr="00AC058C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Totale spesa sanitaria</w:t>
            </w:r>
          </w:p>
        </w:tc>
        <w:tc>
          <w:tcPr>
            <w:tcW w:w="1134" w:type="dxa"/>
            <w:noWrap/>
            <w:vAlign w:val="center"/>
          </w:tcPr>
          <w:p w14:paraId="44F45822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186.228</w:t>
            </w:r>
          </w:p>
        </w:tc>
        <w:tc>
          <w:tcPr>
            <w:tcW w:w="1134" w:type="dxa"/>
            <w:noWrap/>
            <w:vAlign w:val="center"/>
          </w:tcPr>
          <w:p w14:paraId="6CE5E132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190.117</w:t>
            </w:r>
          </w:p>
        </w:tc>
        <w:tc>
          <w:tcPr>
            <w:tcW w:w="992" w:type="dxa"/>
            <w:noWrap/>
            <w:vAlign w:val="center"/>
          </w:tcPr>
          <w:p w14:paraId="49FD3AFE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3.889</w:t>
            </w:r>
          </w:p>
        </w:tc>
        <w:tc>
          <w:tcPr>
            <w:tcW w:w="1134" w:type="dxa"/>
            <w:noWrap/>
            <w:vAlign w:val="center"/>
          </w:tcPr>
          <w:p w14:paraId="12CCF79F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2,1%</w:t>
            </w:r>
          </w:p>
        </w:tc>
      </w:tr>
      <w:tr w:rsidR="00D604C6" w:rsidRPr="00AC058C" w14:paraId="42614766" w14:textId="77777777" w:rsidTr="003D708E">
        <w:trPr>
          <w:trHeight w:val="329"/>
          <w:jc w:val="center"/>
        </w:trPr>
        <w:tc>
          <w:tcPr>
            <w:tcW w:w="4106" w:type="dxa"/>
            <w:tcBorders>
              <w:bottom w:val="single" w:sz="4" w:space="0" w:color="00457D"/>
            </w:tcBorders>
            <w:noWrap/>
            <w:vAlign w:val="center"/>
            <w:hideMark/>
          </w:tcPr>
          <w:p w14:paraId="410A1734" w14:textId="77777777" w:rsidR="00D604C6" w:rsidRPr="00AC058C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Spesa pubblica</w:t>
            </w:r>
          </w:p>
        </w:tc>
        <w:tc>
          <w:tcPr>
            <w:tcW w:w="1134" w:type="dxa"/>
            <w:noWrap/>
            <w:vAlign w:val="center"/>
          </w:tcPr>
          <w:p w14:paraId="3B290400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137.108</w:t>
            </w:r>
          </w:p>
        </w:tc>
        <w:tc>
          <w:tcPr>
            <w:tcW w:w="1134" w:type="dxa"/>
            <w:noWrap/>
            <w:vAlign w:val="center"/>
          </w:tcPr>
          <w:p w14:paraId="2F8B533C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140.789</w:t>
            </w:r>
          </w:p>
        </w:tc>
        <w:tc>
          <w:tcPr>
            <w:tcW w:w="992" w:type="dxa"/>
            <w:noWrap/>
            <w:vAlign w:val="center"/>
          </w:tcPr>
          <w:p w14:paraId="0F04F978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3.681</w:t>
            </w:r>
          </w:p>
        </w:tc>
        <w:tc>
          <w:tcPr>
            <w:tcW w:w="1134" w:type="dxa"/>
            <w:noWrap/>
            <w:vAlign w:val="center"/>
          </w:tcPr>
          <w:p w14:paraId="4CE32DCF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2,7%</w:t>
            </w:r>
          </w:p>
        </w:tc>
      </w:tr>
      <w:tr w:rsidR="00D604C6" w:rsidRPr="00AC058C" w14:paraId="49A980E3" w14:textId="77777777" w:rsidTr="003D708E">
        <w:trPr>
          <w:trHeight w:val="329"/>
          <w:jc w:val="center"/>
        </w:trPr>
        <w:tc>
          <w:tcPr>
            <w:tcW w:w="4106" w:type="dxa"/>
            <w:tcBorders>
              <w:bottom w:val="dashSmallGap" w:sz="4" w:space="0" w:color="00457D"/>
            </w:tcBorders>
            <w:noWrap/>
            <w:vAlign w:val="center"/>
            <w:hideMark/>
          </w:tcPr>
          <w:p w14:paraId="28FCEECB" w14:textId="77777777" w:rsidR="00D604C6" w:rsidRPr="00AC058C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Spesa privata</w:t>
            </w:r>
          </w:p>
        </w:tc>
        <w:tc>
          <w:tcPr>
            <w:tcW w:w="1134" w:type="dxa"/>
            <w:noWrap/>
            <w:vAlign w:val="center"/>
          </w:tcPr>
          <w:p w14:paraId="0A61BA51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49.120</w:t>
            </w:r>
          </w:p>
        </w:tc>
        <w:tc>
          <w:tcPr>
            <w:tcW w:w="1134" w:type="dxa"/>
            <w:noWrap/>
            <w:vAlign w:val="center"/>
          </w:tcPr>
          <w:p w14:paraId="62355D5C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49.328</w:t>
            </w:r>
          </w:p>
        </w:tc>
        <w:tc>
          <w:tcPr>
            <w:tcW w:w="992" w:type="dxa"/>
            <w:noWrap/>
            <w:vAlign w:val="center"/>
          </w:tcPr>
          <w:p w14:paraId="344B8B82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134" w:type="dxa"/>
            <w:noWrap/>
            <w:vAlign w:val="center"/>
          </w:tcPr>
          <w:p w14:paraId="5133C215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0,4%</w:t>
            </w:r>
          </w:p>
        </w:tc>
      </w:tr>
      <w:tr w:rsidR="00D604C6" w:rsidRPr="00AC058C" w14:paraId="646FB441" w14:textId="77777777" w:rsidTr="003D708E">
        <w:trPr>
          <w:trHeight w:val="329"/>
          <w:jc w:val="center"/>
        </w:trPr>
        <w:tc>
          <w:tcPr>
            <w:tcW w:w="4106" w:type="dxa"/>
            <w:tcBorders>
              <w:top w:val="dashSmallGap" w:sz="4" w:space="0" w:color="00457D"/>
              <w:bottom w:val="dashSmallGap" w:sz="4" w:space="0" w:color="00457D"/>
            </w:tcBorders>
            <w:noWrap/>
            <w:vAlign w:val="center"/>
            <w:hideMark/>
          </w:tcPr>
          <w:p w14:paraId="06C25577" w14:textId="77777777" w:rsidR="00D604C6" w:rsidRPr="00AC058C" w:rsidRDefault="00D604C6" w:rsidP="003D708E">
            <w:pPr>
              <w:spacing w:after="0" w:line="240" w:lineRule="auto"/>
              <w:ind w:left="360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Out-of-pocket</w:t>
            </w:r>
          </w:p>
        </w:tc>
        <w:tc>
          <w:tcPr>
            <w:tcW w:w="1134" w:type="dxa"/>
            <w:noWrap/>
            <w:vAlign w:val="center"/>
          </w:tcPr>
          <w:p w14:paraId="68557744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42.791</w:t>
            </w:r>
          </w:p>
        </w:tc>
        <w:tc>
          <w:tcPr>
            <w:tcW w:w="1134" w:type="dxa"/>
            <w:noWrap/>
            <w:vAlign w:val="center"/>
          </w:tcPr>
          <w:p w14:paraId="31CD5F05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42.357</w:t>
            </w:r>
          </w:p>
        </w:tc>
        <w:tc>
          <w:tcPr>
            <w:tcW w:w="992" w:type="dxa"/>
            <w:noWrap/>
            <w:vAlign w:val="center"/>
          </w:tcPr>
          <w:p w14:paraId="2EC30B33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-434</w:t>
            </w:r>
          </w:p>
        </w:tc>
        <w:tc>
          <w:tcPr>
            <w:tcW w:w="1134" w:type="dxa"/>
            <w:noWrap/>
            <w:vAlign w:val="center"/>
          </w:tcPr>
          <w:p w14:paraId="0B9168D7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-1,0%</w:t>
            </w:r>
          </w:p>
        </w:tc>
      </w:tr>
      <w:tr w:rsidR="00D604C6" w:rsidRPr="00AC058C" w14:paraId="070ECD15" w14:textId="77777777" w:rsidTr="003D708E">
        <w:trPr>
          <w:trHeight w:val="329"/>
          <w:jc w:val="center"/>
        </w:trPr>
        <w:tc>
          <w:tcPr>
            <w:tcW w:w="4106" w:type="dxa"/>
            <w:tcBorders>
              <w:top w:val="dashSmallGap" w:sz="4" w:space="0" w:color="00457D"/>
              <w:bottom w:val="dashSmallGap" w:sz="4" w:space="0" w:color="00457D"/>
            </w:tcBorders>
            <w:noWrap/>
            <w:vAlign w:val="center"/>
            <w:hideMark/>
          </w:tcPr>
          <w:p w14:paraId="2C630BA3" w14:textId="77777777" w:rsidR="00D604C6" w:rsidRPr="00AC058C" w:rsidRDefault="00D604C6" w:rsidP="003D708E">
            <w:pPr>
              <w:spacing w:after="0" w:line="240" w:lineRule="auto"/>
              <w:ind w:left="360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Intermediata</w:t>
            </w:r>
          </w:p>
        </w:tc>
        <w:tc>
          <w:tcPr>
            <w:tcW w:w="1134" w:type="dxa"/>
            <w:noWrap/>
            <w:vAlign w:val="center"/>
          </w:tcPr>
          <w:p w14:paraId="6EC246E0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6.329</w:t>
            </w:r>
          </w:p>
        </w:tc>
        <w:tc>
          <w:tcPr>
            <w:tcW w:w="1134" w:type="dxa"/>
            <w:noWrap/>
            <w:vAlign w:val="center"/>
          </w:tcPr>
          <w:p w14:paraId="2E25F756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6.971</w:t>
            </w:r>
          </w:p>
        </w:tc>
        <w:tc>
          <w:tcPr>
            <w:tcW w:w="992" w:type="dxa"/>
            <w:noWrap/>
            <w:vAlign w:val="center"/>
          </w:tcPr>
          <w:p w14:paraId="018E70BE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1134" w:type="dxa"/>
            <w:noWrap/>
            <w:vAlign w:val="center"/>
          </w:tcPr>
          <w:p w14:paraId="5087DBF9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10,1%</w:t>
            </w:r>
          </w:p>
        </w:tc>
      </w:tr>
      <w:tr w:rsidR="00D604C6" w:rsidRPr="00AC058C" w14:paraId="59D10621" w14:textId="77777777" w:rsidTr="003D708E">
        <w:trPr>
          <w:trHeight w:val="329"/>
          <w:jc w:val="center"/>
        </w:trPr>
        <w:tc>
          <w:tcPr>
            <w:tcW w:w="4106" w:type="dxa"/>
            <w:tcBorders>
              <w:top w:val="dashSmallGap" w:sz="4" w:space="0" w:color="00457D"/>
              <w:bottom w:val="dashSmallGap" w:sz="4" w:space="0" w:color="00457D"/>
            </w:tcBorders>
            <w:noWrap/>
          </w:tcPr>
          <w:p w14:paraId="5DDE539A" w14:textId="77777777" w:rsidR="00D604C6" w:rsidRPr="00847467" w:rsidRDefault="00D604C6" w:rsidP="003D708E">
            <w:pPr>
              <w:spacing w:after="0" w:line="240" w:lineRule="auto"/>
              <w:ind w:left="720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847467">
              <w:rPr>
                <w:rFonts w:ascii="Cambria" w:hAnsi="Cambria"/>
                <w:sz w:val="20"/>
                <w:szCs w:val="20"/>
              </w:rPr>
              <w:t>Assicurazioni sanitarie volontarie</w:t>
            </w:r>
          </w:p>
        </w:tc>
        <w:tc>
          <w:tcPr>
            <w:tcW w:w="1134" w:type="dxa"/>
            <w:noWrap/>
            <w:vAlign w:val="center"/>
          </w:tcPr>
          <w:p w14:paraId="353A24E5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4.694</w:t>
            </w:r>
          </w:p>
        </w:tc>
        <w:tc>
          <w:tcPr>
            <w:tcW w:w="1134" w:type="dxa"/>
            <w:noWrap/>
            <w:vAlign w:val="center"/>
          </w:tcPr>
          <w:p w14:paraId="12A638E4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5.290</w:t>
            </w:r>
          </w:p>
        </w:tc>
        <w:tc>
          <w:tcPr>
            <w:tcW w:w="992" w:type="dxa"/>
            <w:noWrap/>
            <w:vAlign w:val="center"/>
          </w:tcPr>
          <w:p w14:paraId="0DE13230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1134" w:type="dxa"/>
            <w:noWrap/>
            <w:vAlign w:val="center"/>
          </w:tcPr>
          <w:p w14:paraId="134F0720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12,7%</w:t>
            </w:r>
          </w:p>
        </w:tc>
      </w:tr>
      <w:tr w:rsidR="00D604C6" w:rsidRPr="00AC058C" w14:paraId="45A85CAC" w14:textId="77777777" w:rsidTr="003D708E">
        <w:trPr>
          <w:trHeight w:val="329"/>
          <w:jc w:val="center"/>
        </w:trPr>
        <w:tc>
          <w:tcPr>
            <w:tcW w:w="4106" w:type="dxa"/>
            <w:tcBorders>
              <w:top w:val="dashSmallGap" w:sz="4" w:space="0" w:color="00457D"/>
              <w:bottom w:val="dashSmallGap" w:sz="4" w:space="0" w:color="00457D"/>
            </w:tcBorders>
            <w:noWrap/>
          </w:tcPr>
          <w:p w14:paraId="42E4FFF9" w14:textId="77777777" w:rsidR="00D604C6" w:rsidRPr="00847467" w:rsidRDefault="00D604C6" w:rsidP="003D708E">
            <w:pPr>
              <w:spacing w:after="0" w:line="240" w:lineRule="auto"/>
              <w:ind w:left="720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847467">
              <w:rPr>
                <w:rFonts w:ascii="Cambria" w:hAnsi="Cambria"/>
                <w:sz w:val="20"/>
                <w:szCs w:val="20"/>
              </w:rPr>
              <w:t>Istituzioni senza scopo di lucro</w:t>
            </w:r>
          </w:p>
        </w:tc>
        <w:tc>
          <w:tcPr>
            <w:tcW w:w="1134" w:type="dxa"/>
            <w:noWrap/>
            <w:vAlign w:val="center"/>
          </w:tcPr>
          <w:p w14:paraId="663CC115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1134" w:type="dxa"/>
            <w:noWrap/>
            <w:vAlign w:val="center"/>
          </w:tcPr>
          <w:p w14:paraId="43C8235D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694</w:t>
            </w:r>
          </w:p>
        </w:tc>
        <w:tc>
          <w:tcPr>
            <w:tcW w:w="992" w:type="dxa"/>
            <w:noWrap/>
            <w:vAlign w:val="center"/>
          </w:tcPr>
          <w:p w14:paraId="70016D5D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vAlign w:val="center"/>
          </w:tcPr>
          <w:p w14:paraId="01CD8D0A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3,1%</w:t>
            </w:r>
          </w:p>
        </w:tc>
      </w:tr>
      <w:tr w:rsidR="00D604C6" w:rsidRPr="00AC058C" w14:paraId="33D7FD72" w14:textId="77777777" w:rsidTr="003D708E">
        <w:trPr>
          <w:trHeight w:val="329"/>
          <w:jc w:val="center"/>
        </w:trPr>
        <w:tc>
          <w:tcPr>
            <w:tcW w:w="4106" w:type="dxa"/>
            <w:tcBorders>
              <w:top w:val="dashSmallGap" w:sz="4" w:space="0" w:color="00457D"/>
            </w:tcBorders>
            <w:noWrap/>
          </w:tcPr>
          <w:p w14:paraId="66F81A7C" w14:textId="77777777" w:rsidR="00D604C6" w:rsidRPr="00847467" w:rsidRDefault="00D604C6" w:rsidP="003D708E">
            <w:pPr>
              <w:spacing w:after="0" w:line="240" w:lineRule="auto"/>
              <w:ind w:left="720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847467">
              <w:rPr>
                <w:rFonts w:ascii="Cambria" w:hAnsi="Cambria"/>
                <w:sz w:val="20"/>
                <w:szCs w:val="20"/>
              </w:rPr>
              <w:t>Imprese</w:t>
            </w:r>
          </w:p>
        </w:tc>
        <w:tc>
          <w:tcPr>
            <w:tcW w:w="1134" w:type="dxa"/>
            <w:noWrap/>
            <w:vAlign w:val="center"/>
          </w:tcPr>
          <w:p w14:paraId="571CFC62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962</w:t>
            </w:r>
          </w:p>
        </w:tc>
        <w:tc>
          <w:tcPr>
            <w:tcW w:w="1134" w:type="dxa"/>
            <w:noWrap/>
            <w:vAlign w:val="center"/>
          </w:tcPr>
          <w:p w14:paraId="0E0B26AD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987</w:t>
            </w:r>
          </w:p>
        </w:tc>
        <w:tc>
          <w:tcPr>
            <w:tcW w:w="992" w:type="dxa"/>
            <w:noWrap/>
            <w:vAlign w:val="center"/>
          </w:tcPr>
          <w:p w14:paraId="5CD783FA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vAlign w:val="center"/>
          </w:tcPr>
          <w:p w14:paraId="52EEF273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2,6%</w:t>
            </w:r>
          </w:p>
        </w:tc>
      </w:tr>
    </w:tbl>
    <w:p w14:paraId="0022C5D3" w14:textId="77777777" w:rsidR="00D604C6" w:rsidRDefault="00D604C6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</w:p>
    <w:p w14:paraId="510BE719" w14:textId="77777777" w:rsidR="00D604C6" w:rsidRDefault="00D604C6" w:rsidP="00D604C6">
      <w:pPr>
        <w:spacing w:before="120" w:after="300"/>
        <w:jc w:val="center"/>
        <w:rPr>
          <w:rFonts w:ascii="Cambria" w:hAnsi="Cambria"/>
          <w:b/>
          <w:color w:val="00457D"/>
          <w:sz w:val="18"/>
        </w:rPr>
      </w:pPr>
    </w:p>
    <w:p w14:paraId="50AD93CE" w14:textId="77777777" w:rsidR="00D604C6" w:rsidRPr="00D604C6" w:rsidRDefault="00D604C6" w:rsidP="00D604C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sz w:val="20"/>
          <w:szCs w:val="20"/>
        </w:rPr>
      </w:pPr>
      <w:r w:rsidRPr="00D604C6">
        <w:rPr>
          <w:rFonts w:cstheme="minorHAnsi"/>
          <w:b/>
          <w:color w:val="00457D"/>
          <w:sz w:val="20"/>
          <w:szCs w:val="20"/>
        </w:rPr>
        <w:t xml:space="preserve">Tabella </w:t>
      </w:r>
      <w:r w:rsidR="00107CCF">
        <w:rPr>
          <w:rFonts w:cstheme="minorHAnsi"/>
          <w:b/>
          <w:color w:val="00457D"/>
          <w:sz w:val="20"/>
          <w:szCs w:val="20"/>
        </w:rPr>
        <w:t>4</w:t>
      </w:r>
      <w:r w:rsidRPr="00D604C6">
        <w:rPr>
          <w:rFonts w:cstheme="minorHAnsi"/>
          <w:b/>
          <w:color w:val="00457D"/>
          <w:sz w:val="20"/>
          <w:szCs w:val="20"/>
        </w:rPr>
        <w:t>. Nuovo Sistema di Garanzia: Regioni inadempienti 2020-2024</w:t>
      </w:r>
      <w:r w:rsidRPr="00D604C6">
        <w:rPr>
          <w:rFonts w:cstheme="minorHAnsi"/>
          <w:b/>
          <w:color w:val="00457D"/>
          <w:sz w:val="20"/>
          <w:szCs w:val="20"/>
        </w:rPr>
        <w:br/>
      </w:r>
      <w:r w:rsidRPr="00D604C6">
        <w:rPr>
          <w:rFonts w:cstheme="minorHAnsi"/>
          <w:color w:val="00457D"/>
          <w:sz w:val="20"/>
          <w:szCs w:val="20"/>
        </w:rPr>
        <w:t>(dati Ministero della Salute)</w:t>
      </w:r>
    </w:p>
    <w:tbl>
      <w:tblPr>
        <w:tblW w:w="7935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512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604C6" w:rsidRPr="00CD319D" w14:paraId="3E6D2532" w14:textId="77777777" w:rsidTr="003D708E">
        <w:trPr>
          <w:trHeight w:val="306"/>
          <w:jc w:val="center"/>
        </w:trPr>
        <w:tc>
          <w:tcPr>
            <w:tcW w:w="1980" w:type="dxa"/>
            <w:gridSpan w:val="2"/>
            <w:vMerge w:val="restart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noWrap/>
            <w:vAlign w:val="center"/>
            <w:hideMark/>
          </w:tcPr>
          <w:p w14:paraId="2E0C3960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Regione</w:t>
            </w:r>
          </w:p>
        </w:tc>
        <w:tc>
          <w:tcPr>
            <w:tcW w:w="1191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/>
            </w:tcBorders>
            <w:shd w:val="clear" w:color="000000" w:fill="00457D"/>
            <w:vAlign w:val="center"/>
          </w:tcPr>
          <w:p w14:paraId="2601F52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2020</w:t>
            </w:r>
          </w:p>
        </w:tc>
        <w:tc>
          <w:tcPr>
            <w:tcW w:w="1191" w:type="dxa"/>
            <w:gridSpan w:val="3"/>
            <w:tcBorders>
              <w:left w:val="single" w:sz="18" w:space="0" w:color="FFFFFF"/>
              <w:bottom w:val="single" w:sz="4" w:space="0" w:color="FFFFFF" w:themeColor="background1"/>
              <w:right w:val="single" w:sz="18" w:space="0" w:color="FFFFFF"/>
            </w:tcBorders>
            <w:shd w:val="clear" w:color="000000" w:fill="00457D"/>
            <w:vAlign w:val="center"/>
          </w:tcPr>
          <w:p w14:paraId="3427053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2021</w:t>
            </w:r>
          </w:p>
        </w:tc>
        <w:tc>
          <w:tcPr>
            <w:tcW w:w="1191" w:type="dxa"/>
            <w:gridSpan w:val="3"/>
            <w:tcBorders>
              <w:left w:val="single" w:sz="18" w:space="0" w:color="FFFFFF"/>
              <w:bottom w:val="single" w:sz="4" w:space="0" w:color="FFFFFF" w:themeColor="background1"/>
              <w:right w:val="single" w:sz="18" w:space="0" w:color="FFFFFF"/>
            </w:tcBorders>
            <w:shd w:val="clear" w:color="000000" w:fill="00457D"/>
            <w:noWrap/>
            <w:vAlign w:val="center"/>
            <w:hideMark/>
          </w:tcPr>
          <w:p w14:paraId="57FF778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2022</w:t>
            </w:r>
          </w:p>
        </w:tc>
        <w:tc>
          <w:tcPr>
            <w:tcW w:w="1191" w:type="dxa"/>
            <w:gridSpan w:val="3"/>
            <w:tcBorders>
              <w:left w:val="single" w:sz="18" w:space="0" w:color="FFFFFF"/>
              <w:bottom w:val="single" w:sz="4" w:space="0" w:color="FFFFFF" w:themeColor="background1"/>
            </w:tcBorders>
            <w:shd w:val="clear" w:color="000000" w:fill="00457D"/>
            <w:vAlign w:val="center"/>
          </w:tcPr>
          <w:p w14:paraId="7E99558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2023</w:t>
            </w:r>
          </w:p>
        </w:tc>
        <w:tc>
          <w:tcPr>
            <w:tcW w:w="1191" w:type="dxa"/>
            <w:gridSpan w:val="3"/>
            <w:tcBorders>
              <w:left w:val="single" w:sz="18" w:space="0" w:color="FFFFFF"/>
              <w:bottom w:val="single" w:sz="4" w:space="0" w:color="FFFFFF" w:themeColor="background1"/>
            </w:tcBorders>
            <w:shd w:val="clear" w:color="000000" w:fill="00457D"/>
            <w:vAlign w:val="center"/>
          </w:tcPr>
          <w:p w14:paraId="5B71F91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202</w:t>
            </w:r>
            <w:r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4</w:t>
            </w:r>
          </w:p>
        </w:tc>
      </w:tr>
      <w:tr w:rsidR="00D604C6" w:rsidRPr="00CD319D" w14:paraId="6E40F639" w14:textId="77777777" w:rsidTr="003D708E">
        <w:trPr>
          <w:trHeight w:val="283"/>
          <w:jc w:val="center"/>
        </w:trPr>
        <w:tc>
          <w:tcPr>
            <w:tcW w:w="1980" w:type="dxa"/>
            <w:gridSpan w:val="2"/>
            <w:vMerge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noWrap/>
            <w:vAlign w:val="center"/>
          </w:tcPr>
          <w:p w14:paraId="7C38BA17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2747F6C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P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0ED2CB7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/>
            </w:tcBorders>
            <w:shd w:val="clear" w:color="000000" w:fill="00457D"/>
            <w:vAlign w:val="center"/>
          </w:tcPr>
          <w:p w14:paraId="47D5782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O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18" w:space="0" w:color="FFFFFF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636ECEF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P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2D0714C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/>
            </w:tcBorders>
            <w:shd w:val="clear" w:color="000000" w:fill="00457D"/>
            <w:vAlign w:val="center"/>
          </w:tcPr>
          <w:p w14:paraId="03B3F1F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O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18" w:space="0" w:color="FFFFFF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2956D0B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P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0291247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/>
            </w:tcBorders>
            <w:shd w:val="clear" w:color="000000" w:fill="00457D"/>
            <w:vAlign w:val="center"/>
          </w:tcPr>
          <w:p w14:paraId="152FCC7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O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18" w:space="0" w:color="FFFFFF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65C464D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P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3A5CD0D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/>
            </w:tcBorders>
            <w:shd w:val="clear" w:color="000000" w:fill="00457D"/>
            <w:vAlign w:val="center"/>
          </w:tcPr>
          <w:p w14:paraId="15C487F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O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18" w:space="0" w:color="FFFFFF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2FA01F7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P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2CE3D5D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000000" w:fill="00457D"/>
            <w:vAlign w:val="center"/>
          </w:tcPr>
          <w:p w14:paraId="3B8EBEF8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O</w:t>
            </w:r>
          </w:p>
        </w:tc>
      </w:tr>
      <w:tr w:rsidR="00D604C6" w:rsidRPr="00CD319D" w14:paraId="02015B81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4D32E982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Abruzzo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FF0000"/>
            <w:vAlign w:val="center"/>
          </w:tcPr>
          <w:p w14:paraId="3535035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4DCE9FD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0AD5BBA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448D3F1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79B99F5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61225B2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7E0F573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2D91720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3FCF83F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1706F21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00819E18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079AB45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</w:tcPr>
          <w:p w14:paraId="5506561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6F216A7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6FFE189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63BEB133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09201BD7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Basilicata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FF0000"/>
            <w:vAlign w:val="center"/>
          </w:tcPr>
          <w:p w14:paraId="2FD8AE8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26AC039E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301390C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79A6630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7F32946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5273BE6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3D5D76C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45A26A9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02DFE27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61FFF79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33CA98E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7E58AB1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</w:tcPr>
          <w:p w14:paraId="2AA93F2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39E920F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3FA2CDD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179D73E3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25A0EF69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Calabria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FF0000"/>
            <w:vAlign w:val="center"/>
          </w:tcPr>
          <w:p w14:paraId="2A0D489E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5AA7951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6A0F55F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6961D0E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6898F90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4F964EB8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5456C62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1FFBBF4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17E6A24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05EB2A5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29C45B8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6CF8BAB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</w:tcPr>
          <w:p w14:paraId="1D1FC27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FF0000"/>
          </w:tcPr>
          <w:p w14:paraId="6673394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6D6A070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66ECFF6E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0E73902D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Campania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92D050"/>
            <w:vAlign w:val="center"/>
          </w:tcPr>
          <w:p w14:paraId="026ED77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714D47F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3CCE0CF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47D37E6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17A4EAC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2CCF47A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26FBD0F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258B852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747F9CE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5EB245A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78279A8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2260B62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</w:tcPr>
          <w:p w14:paraId="73384F6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524C0C5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4A818C3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2FCDC2DD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2D101CEB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Liguria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FF0000"/>
            <w:vAlign w:val="center"/>
          </w:tcPr>
          <w:p w14:paraId="5E3223C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44949E2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1483415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0A6E68E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48BBCFB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681BAEB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090A6E2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7030DFE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1E0A85E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14C082E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3869CAE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4D99DF9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</w:tcPr>
          <w:p w14:paraId="2323EF1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349703A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20747C3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7D73ACC4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03B96850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Molise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92D050"/>
            <w:vAlign w:val="center"/>
          </w:tcPr>
          <w:p w14:paraId="7AE3783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0388985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2A486BD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375CE53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01D2B3A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0B43798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369A9BD8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64598FD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5AF0089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4587634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75F75D8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2DCBBE4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</w:tcPr>
          <w:p w14:paraId="7C4EEF6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7B43EF5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7841555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4581D04D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59B7C407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Prov</w:t>
            </w:r>
            <w:r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.</w:t>
            </w: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 xml:space="preserve"> Aut. di Bolzano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FF0000"/>
            <w:vAlign w:val="center"/>
          </w:tcPr>
          <w:p w14:paraId="79E81EE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58F56B8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5A2A6F68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2900DB6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20EE94A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7BC8A88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5BF5F3D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0597A2B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254A481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2DBD16C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4A201B3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4CC048D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</w:tcPr>
          <w:p w14:paraId="07B8689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4890E03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78F7624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719ABA10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2020EEB8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Sardegna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92D050"/>
            <w:vAlign w:val="center"/>
          </w:tcPr>
          <w:p w14:paraId="2A72CD08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11306AA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097730E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3C9AD66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1B20A6E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4EB0CD0E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6FB76EB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6B1E8FF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0E8690F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5B74F6A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3128309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6DDD510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</w:tcPr>
          <w:p w14:paraId="5E7B0FA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3215434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74C2D60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34A0DCEC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57E0F611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Sicilia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FF0000"/>
            <w:vAlign w:val="center"/>
          </w:tcPr>
          <w:p w14:paraId="6C4CC68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586A5AB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0327784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1C3ED69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31BA8C8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5CAD568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00DD6A3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493F718E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21F41E5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2D3BE48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6DBB572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470C3968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</w:tcPr>
          <w:p w14:paraId="3B031F8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01DD423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2042902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755611A5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bottom w:val="single" w:sz="4" w:space="0" w:color="00457D"/>
              <w:right w:val="single" w:sz="4" w:space="0" w:color="00457D"/>
            </w:tcBorders>
            <w:noWrap/>
            <w:vAlign w:val="center"/>
          </w:tcPr>
          <w:p w14:paraId="1A480F6C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Valle d’Aosta</w:t>
            </w:r>
          </w:p>
        </w:tc>
        <w:tc>
          <w:tcPr>
            <w:tcW w:w="397" w:type="dxa"/>
            <w:tcBorders>
              <w:left w:val="single" w:sz="4" w:space="0" w:color="00457D"/>
              <w:bottom w:val="single" w:sz="4" w:space="0" w:color="00457D"/>
            </w:tcBorders>
            <w:shd w:val="clear" w:color="auto" w:fill="92D050"/>
            <w:vAlign w:val="center"/>
          </w:tcPr>
          <w:p w14:paraId="598452D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</w:tcBorders>
            <w:shd w:val="clear" w:color="auto" w:fill="FF0000"/>
            <w:vAlign w:val="center"/>
          </w:tcPr>
          <w:p w14:paraId="446BBDB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  <w:right w:val="single" w:sz="18" w:space="0" w:color="FFFFFF"/>
            </w:tcBorders>
            <w:shd w:val="clear" w:color="auto" w:fill="FF0000"/>
            <w:vAlign w:val="center"/>
          </w:tcPr>
          <w:p w14:paraId="74597EE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  <w:bottom w:val="single" w:sz="4" w:space="0" w:color="00457D"/>
            </w:tcBorders>
            <w:shd w:val="clear" w:color="auto" w:fill="FF0000"/>
            <w:vAlign w:val="center"/>
          </w:tcPr>
          <w:p w14:paraId="2867307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</w:tcBorders>
            <w:shd w:val="clear" w:color="auto" w:fill="FF0000"/>
            <w:vAlign w:val="center"/>
          </w:tcPr>
          <w:p w14:paraId="19BA8A6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  <w:right w:val="single" w:sz="18" w:space="0" w:color="FFFFFF"/>
            </w:tcBorders>
            <w:shd w:val="clear" w:color="auto" w:fill="FF0000"/>
            <w:vAlign w:val="center"/>
          </w:tcPr>
          <w:p w14:paraId="245CC7C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  <w:bottom w:val="single" w:sz="4" w:space="0" w:color="00457D"/>
            </w:tcBorders>
            <w:shd w:val="clear" w:color="auto" w:fill="FF0000"/>
            <w:vAlign w:val="center"/>
          </w:tcPr>
          <w:p w14:paraId="166994E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</w:tcBorders>
            <w:shd w:val="clear" w:color="auto" w:fill="FF0000"/>
            <w:vAlign w:val="center"/>
          </w:tcPr>
          <w:p w14:paraId="6B8354A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  <w:right w:val="single" w:sz="18" w:space="0" w:color="FFFFFF"/>
            </w:tcBorders>
            <w:shd w:val="clear" w:color="auto" w:fill="FF0000"/>
            <w:vAlign w:val="center"/>
          </w:tcPr>
          <w:p w14:paraId="2853CE4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  <w:bottom w:val="single" w:sz="4" w:space="0" w:color="00457D"/>
            </w:tcBorders>
            <w:shd w:val="clear" w:color="auto" w:fill="92D050"/>
            <w:vAlign w:val="center"/>
          </w:tcPr>
          <w:p w14:paraId="321E6A5E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</w:tcBorders>
            <w:shd w:val="clear" w:color="auto" w:fill="FF0000"/>
            <w:vAlign w:val="center"/>
          </w:tcPr>
          <w:p w14:paraId="53E35E6E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  <w:right w:val="single" w:sz="18" w:space="0" w:color="FFFFFF"/>
            </w:tcBorders>
            <w:shd w:val="clear" w:color="auto" w:fill="FF0000"/>
            <w:vAlign w:val="center"/>
          </w:tcPr>
          <w:p w14:paraId="54AA8A5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  <w:bottom w:val="single" w:sz="4" w:space="0" w:color="00457D"/>
            </w:tcBorders>
            <w:shd w:val="clear" w:color="auto" w:fill="92D050"/>
          </w:tcPr>
          <w:p w14:paraId="2D89E00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  <w:bottom w:val="single" w:sz="4" w:space="0" w:color="00457D"/>
            </w:tcBorders>
            <w:shd w:val="clear" w:color="auto" w:fill="92D050"/>
          </w:tcPr>
          <w:p w14:paraId="1D65589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  <w:bottom w:val="single" w:sz="4" w:space="0" w:color="00457D"/>
            </w:tcBorders>
            <w:shd w:val="clear" w:color="auto" w:fill="92D050"/>
          </w:tcPr>
          <w:p w14:paraId="540595F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0581A34F" w14:textId="77777777" w:rsidTr="003D708E">
        <w:trPr>
          <w:trHeight w:val="227"/>
          <w:jc w:val="center"/>
        </w:trPr>
        <w:tc>
          <w:tcPr>
            <w:tcW w:w="1468" w:type="dxa"/>
            <w:tcBorders>
              <w:bottom w:val="single" w:sz="4" w:space="0" w:color="FFFFFF"/>
              <w:right w:val="single" w:sz="4" w:space="0" w:color="FFFFFF"/>
            </w:tcBorders>
          </w:tcPr>
          <w:p w14:paraId="01EFD1A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it-IT"/>
              </w:rPr>
            </w:pPr>
          </w:p>
        </w:tc>
        <w:tc>
          <w:tcPr>
            <w:tcW w:w="6465" w:type="dxa"/>
            <w:gridSpan w:val="16"/>
            <w:tcBorders>
              <w:left w:val="single" w:sz="4" w:space="0" w:color="FFFFFF"/>
              <w:bottom w:val="single" w:sz="4" w:space="0" w:color="FFFFFF" w:themeColor="background1"/>
            </w:tcBorders>
            <w:noWrap/>
            <w:vAlign w:val="bottom"/>
          </w:tcPr>
          <w:p w14:paraId="684A4D3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sz w:val="18"/>
                <w:szCs w:val="18"/>
                <w:lang w:eastAsia="it-IT"/>
              </w:rPr>
              <w:t>P: area prevenzione, D: area distrettuale, O: area ospedaliera</w:t>
            </w:r>
          </w:p>
        </w:tc>
      </w:tr>
      <w:tr w:rsidR="00D604C6" w:rsidRPr="00CD319D" w14:paraId="6A4BF6FE" w14:textId="77777777" w:rsidTr="003D708E">
        <w:trPr>
          <w:trHeight w:val="624"/>
          <w:jc w:val="center"/>
        </w:trPr>
        <w:tc>
          <w:tcPr>
            <w:tcW w:w="1468" w:type="dxa"/>
            <w:tcBorders>
              <w:top w:val="single" w:sz="4" w:space="0" w:color="FFFFFF"/>
              <w:right w:val="single" w:sz="4" w:space="0" w:color="FFFFFF"/>
            </w:tcBorders>
          </w:tcPr>
          <w:p w14:paraId="5962D421" w14:textId="77777777" w:rsidR="00D604C6" w:rsidRPr="00CD319D" w:rsidRDefault="00D604C6" w:rsidP="003D708E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6465" w:type="dxa"/>
            <w:gridSpan w:val="16"/>
            <w:tcBorders>
              <w:top w:val="single" w:sz="4" w:space="0" w:color="FFFFFF" w:themeColor="background1"/>
              <w:left w:val="single" w:sz="4" w:space="0" w:color="FFFFFF"/>
            </w:tcBorders>
            <w:noWrap/>
            <w:vAlign w:val="center"/>
          </w:tcPr>
          <w:tbl>
            <w:tblPr>
              <w:tblStyle w:val="Grigliatabella"/>
              <w:tblW w:w="3046" w:type="dxa"/>
              <w:jc w:val="center"/>
              <w:tblBorders>
                <w:top w:val="single" w:sz="4" w:space="0" w:color="00457D"/>
                <w:left w:val="single" w:sz="4" w:space="0" w:color="00457D"/>
                <w:bottom w:val="single" w:sz="4" w:space="0" w:color="00457D"/>
                <w:right w:val="single" w:sz="4" w:space="0" w:color="00457D"/>
                <w:insideH w:val="single" w:sz="4" w:space="0" w:color="00457D"/>
                <w:insideV w:val="single" w:sz="4" w:space="0" w:color="00457D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7"/>
              <w:gridCol w:w="1629"/>
            </w:tblGrid>
            <w:tr w:rsidR="00D604C6" w:rsidRPr="00CD319D" w14:paraId="52886CC7" w14:textId="77777777" w:rsidTr="003D708E">
              <w:trPr>
                <w:trHeight w:val="454"/>
                <w:jc w:val="center"/>
              </w:trPr>
              <w:tc>
                <w:tcPr>
                  <w:tcW w:w="1417" w:type="dxa"/>
                  <w:shd w:val="clear" w:color="auto" w:fill="92D050"/>
                  <w:vAlign w:val="center"/>
                </w:tcPr>
                <w:p w14:paraId="3F70EC4D" w14:textId="77777777" w:rsidR="00D604C6" w:rsidRPr="00CD319D" w:rsidRDefault="00D604C6" w:rsidP="003D708E">
                  <w:pPr>
                    <w:jc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CD319D">
                    <w:rPr>
                      <w:rFonts w:ascii="Cambria" w:hAnsi="Cambria" w:cs="Calibri"/>
                      <w:sz w:val="18"/>
                      <w:szCs w:val="18"/>
                    </w:rPr>
                    <w:t>Adempiente</w:t>
                  </w:r>
                </w:p>
              </w:tc>
              <w:tc>
                <w:tcPr>
                  <w:tcW w:w="1629" w:type="dxa"/>
                  <w:shd w:val="clear" w:color="auto" w:fill="FF0000"/>
                  <w:vAlign w:val="center"/>
                </w:tcPr>
                <w:p w14:paraId="6A26188B" w14:textId="77777777" w:rsidR="00D604C6" w:rsidRPr="00CD319D" w:rsidRDefault="00D604C6" w:rsidP="003D708E">
                  <w:pPr>
                    <w:jc w:val="center"/>
                    <w:rPr>
                      <w:rFonts w:ascii="Cambria" w:hAnsi="Cambria" w:cs="Calibri"/>
                      <w:color w:val="FFFFFF" w:themeColor="background1"/>
                      <w:sz w:val="18"/>
                      <w:szCs w:val="18"/>
                    </w:rPr>
                  </w:pPr>
                  <w:r w:rsidRPr="00CD319D">
                    <w:rPr>
                      <w:rFonts w:ascii="Cambria" w:hAnsi="Cambria" w:cs="Calibri"/>
                      <w:color w:val="FFFFFF" w:themeColor="background1"/>
                      <w:sz w:val="18"/>
                      <w:szCs w:val="18"/>
                    </w:rPr>
                    <w:t>Inadempiente</w:t>
                  </w:r>
                </w:p>
              </w:tc>
            </w:tr>
          </w:tbl>
          <w:p w14:paraId="56C1F7CA" w14:textId="77777777" w:rsidR="00D604C6" w:rsidRPr="00CD319D" w:rsidRDefault="00D604C6" w:rsidP="003D708E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</w:p>
        </w:tc>
      </w:tr>
    </w:tbl>
    <w:p w14:paraId="7F4F5CB7" w14:textId="77777777" w:rsidR="00D604C6" w:rsidRDefault="00D604C6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</w:p>
    <w:p w14:paraId="22A4CEA5" w14:textId="77777777" w:rsidR="00D604C6" w:rsidRDefault="00D604C6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279854A7" w14:textId="77777777" w:rsidR="00D604C6" w:rsidRPr="00D604C6" w:rsidRDefault="00D604C6" w:rsidP="00D604C6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  <w:r w:rsidRPr="00D604C6">
        <w:rPr>
          <w:rFonts w:cstheme="minorHAnsi"/>
          <w:b/>
          <w:color w:val="00457D"/>
          <w:sz w:val="20"/>
          <w:szCs w:val="20"/>
        </w:rPr>
        <w:lastRenderedPageBreak/>
        <w:t xml:space="preserve">Tabella </w:t>
      </w:r>
      <w:r w:rsidR="00107CCF">
        <w:rPr>
          <w:rFonts w:cstheme="minorHAnsi"/>
          <w:b/>
          <w:color w:val="00457D"/>
          <w:sz w:val="20"/>
          <w:szCs w:val="20"/>
        </w:rPr>
        <w:t>5</w:t>
      </w:r>
      <w:r w:rsidRPr="00D604C6">
        <w:rPr>
          <w:rFonts w:cstheme="minorHAnsi"/>
          <w:b/>
          <w:color w:val="00457D"/>
          <w:sz w:val="20"/>
          <w:szCs w:val="20"/>
        </w:rPr>
        <w:t>. Nuovo Sistema di Garanzia: punteggi per area 2024</w:t>
      </w:r>
    </w:p>
    <w:p w14:paraId="19F453CD" w14:textId="77777777" w:rsidR="00D604C6" w:rsidRPr="00D604C6" w:rsidRDefault="00D604C6" w:rsidP="00D604C6">
      <w:pPr>
        <w:spacing w:after="0"/>
        <w:jc w:val="center"/>
        <w:rPr>
          <w:rFonts w:cstheme="minorHAnsi"/>
          <w:b/>
          <w:color w:val="00457D"/>
          <w:sz w:val="20"/>
          <w:szCs w:val="20"/>
        </w:rPr>
      </w:pPr>
      <w:r w:rsidRPr="00D604C6">
        <w:rPr>
          <w:rFonts w:cstheme="minorHAnsi"/>
          <w:color w:val="00457D"/>
          <w:sz w:val="20"/>
          <w:szCs w:val="20"/>
        </w:rPr>
        <w:t>(dati Ministero della Salute)</w:t>
      </w:r>
    </w:p>
    <w:tbl>
      <w:tblPr>
        <w:tblW w:w="8354" w:type="dxa"/>
        <w:jc w:val="center"/>
        <w:tblCellMar>
          <w:top w:w="45" w:type="dxa"/>
          <w:left w:w="70" w:type="dxa"/>
          <w:bottom w:w="45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418"/>
        <w:gridCol w:w="1417"/>
        <w:gridCol w:w="1418"/>
        <w:gridCol w:w="1701"/>
      </w:tblGrid>
      <w:tr w:rsidR="00D604C6" w:rsidRPr="00CD319D" w14:paraId="5ED1167F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single" w:sz="8" w:space="0" w:color="FFFFFF"/>
              <w:left w:val="single" w:sz="8" w:space="0" w:color="00457D"/>
              <w:bottom w:val="single" w:sz="8" w:space="0" w:color="00457D"/>
              <w:right w:val="single" w:sz="8" w:space="0" w:color="FFFFFF"/>
            </w:tcBorders>
            <w:shd w:val="clear" w:color="000000" w:fill="00457D"/>
            <w:noWrap/>
            <w:vAlign w:val="center"/>
            <w:hideMark/>
          </w:tcPr>
          <w:p w14:paraId="4D3F9DBD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Regione</w:t>
            </w:r>
          </w:p>
        </w:tc>
        <w:tc>
          <w:tcPr>
            <w:tcW w:w="1418" w:type="dxa"/>
            <w:tcBorders>
              <w:top w:val="single" w:sz="8" w:space="0" w:color="FFFFFF"/>
              <w:left w:val="nil"/>
              <w:bottom w:val="single" w:sz="8" w:space="0" w:color="00457D"/>
              <w:right w:val="single" w:sz="8" w:space="0" w:color="FFFFFF"/>
            </w:tcBorders>
            <w:shd w:val="clear" w:color="000000" w:fill="00457D"/>
            <w:noWrap/>
            <w:vAlign w:val="center"/>
            <w:hideMark/>
          </w:tcPr>
          <w:p w14:paraId="1C93335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Prevenzione</w:t>
            </w:r>
          </w:p>
        </w:tc>
        <w:tc>
          <w:tcPr>
            <w:tcW w:w="1417" w:type="dxa"/>
            <w:tcBorders>
              <w:top w:val="single" w:sz="8" w:space="0" w:color="FFFFFF"/>
              <w:left w:val="nil"/>
              <w:bottom w:val="single" w:sz="8" w:space="0" w:color="00457D"/>
              <w:right w:val="single" w:sz="8" w:space="0" w:color="FFFFFF"/>
            </w:tcBorders>
            <w:shd w:val="clear" w:color="000000" w:fill="00457D"/>
            <w:noWrap/>
            <w:vAlign w:val="center"/>
            <w:hideMark/>
          </w:tcPr>
          <w:p w14:paraId="5624E4E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Distrettuale</w:t>
            </w:r>
          </w:p>
        </w:tc>
        <w:tc>
          <w:tcPr>
            <w:tcW w:w="1418" w:type="dxa"/>
            <w:tcBorders>
              <w:top w:val="single" w:sz="8" w:space="0" w:color="FFFFFF"/>
              <w:left w:val="nil"/>
              <w:bottom w:val="single" w:sz="8" w:space="0" w:color="00457D"/>
              <w:right w:val="single" w:sz="8" w:space="0" w:color="FFFFFF"/>
            </w:tcBorders>
            <w:shd w:val="clear" w:color="000000" w:fill="00457D"/>
            <w:noWrap/>
            <w:vAlign w:val="center"/>
            <w:hideMark/>
          </w:tcPr>
          <w:p w14:paraId="606F0F8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Ospedaliera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000000" w:fill="00457D"/>
            <w:vAlign w:val="center"/>
            <w:hideMark/>
          </w:tcPr>
          <w:p w14:paraId="1FB43139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Status</w:t>
            </w:r>
          </w:p>
        </w:tc>
      </w:tr>
      <w:tr w:rsidR="00D604C6" w:rsidRPr="00CD319D" w14:paraId="12421134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1658E839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Abruzzo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BD17D44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EBF7A22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000000" w:fill="92D050"/>
            <w:noWrap/>
            <w:hideMark/>
          </w:tcPr>
          <w:p w14:paraId="72BD61DC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hideMark/>
          </w:tcPr>
          <w:p w14:paraId="66602A42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EE0000"/>
                <w:sz w:val="20"/>
                <w:szCs w:val="20"/>
                <w:lang w:eastAsia="it-IT"/>
              </w:rPr>
            </w:pPr>
            <w:r w:rsidRPr="00044517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1281F77E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0B9AA899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Basilicata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4742AB9B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3BE31B9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12866CF0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hideMark/>
          </w:tcPr>
          <w:p w14:paraId="4A0DE7C9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044517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08BA84FC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1F005EB6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Calabria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C3E3FF6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FF0000"/>
            <w:noWrap/>
            <w:hideMark/>
          </w:tcPr>
          <w:p w14:paraId="2B28A406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color w:val="FFFFFF" w:themeColor="background1"/>
                <w:sz w:val="20"/>
                <w:szCs w:val="20"/>
              </w:rPr>
              <w:t>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1294422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3727B0E8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FF0000"/>
                <w:sz w:val="20"/>
                <w:szCs w:val="20"/>
                <w:lang w:eastAsia="it-IT"/>
              </w:rPr>
              <w:t>Inadempiente</w:t>
            </w:r>
          </w:p>
        </w:tc>
      </w:tr>
      <w:tr w:rsidR="00D604C6" w:rsidRPr="00CD319D" w14:paraId="027A4EEF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768C5CB5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Campania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01CD8F8F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4609018B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28D0BDC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580CEA03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68104BBC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2932D222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Emilia-Romagna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1DB43BBF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2664CD41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0422F94E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4CC2CBC6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7A2C9DEC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54365F36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Friuli Venezia Giulia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44EF7462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31509E4E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CD5F3D8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36F899AF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180033B7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1CB34E4A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Lazio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25CF218F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16473907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45637F5C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1519C0A5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6827548A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5ACCA8AE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Liguria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86FF3B3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9E507B8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2661B0C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hideMark/>
          </w:tcPr>
          <w:p w14:paraId="02288949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362730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2BC4A90C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47E3139E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Lombardia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D746AF0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26377186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380AF0BB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hideMark/>
          </w:tcPr>
          <w:p w14:paraId="16C2019D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362730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4926E82E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3295F000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Marche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3D250425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01CD89B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DAE91FD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hideMark/>
          </w:tcPr>
          <w:p w14:paraId="2D239564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362730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01E14CC3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74A61828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Molise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22F9A281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DDBFEF6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BD103E0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hideMark/>
          </w:tcPr>
          <w:p w14:paraId="7C8E806A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362730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722B32B1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3B4A77D5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 xml:space="preserve">Piemonte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32E3F98E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EE97887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0DC1B8E0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hideMark/>
          </w:tcPr>
          <w:p w14:paraId="5BDE1728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362730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0655A2C9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7E44B658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Provincia Aut. di Bolzano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FF0000"/>
            <w:noWrap/>
            <w:hideMark/>
          </w:tcPr>
          <w:p w14:paraId="2D144C86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color w:val="FFFFFF" w:themeColor="background1"/>
                <w:sz w:val="20"/>
                <w:szCs w:val="20"/>
              </w:rP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EC88293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D462FB2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38A0A7E4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FF0000"/>
                <w:sz w:val="20"/>
                <w:szCs w:val="20"/>
                <w:lang w:eastAsia="it-IT"/>
              </w:rPr>
              <w:t>Inadempiente</w:t>
            </w:r>
          </w:p>
        </w:tc>
      </w:tr>
      <w:tr w:rsidR="00D604C6" w:rsidRPr="00CD319D" w14:paraId="3ED4E540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1E529B0A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Provincia Aut. di Trento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21293F1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DC25F10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24C5D2D7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5436367B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292D6873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086B968E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Puglia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227B71F2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4CF18C4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47F61ED3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480955CD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10C374AA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4E0CC87C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Sardegna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B742C8A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12DD8EC4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8BAA681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0B9290A3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2DB9A1B8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355F611F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Sicilia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FF0000"/>
            <w:noWrap/>
            <w:hideMark/>
          </w:tcPr>
          <w:p w14:paraId="271DA10E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color w:val="FFFFFF" w:themeColor="background1"/>
                <w:sz w:val="20"/>
                <w:szCs w:val="20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36B851CE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8271CC2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6F871EE8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FF0000"/>
                <w:sz w:val="20"/>
                <w:szCs w:val="20"/>
                <w:lang w:eastAsia="it-IT"/>
              </w:rPr>
              <w:t>Inadempiente</w:t>
            </w:r>
          </w:p>
        </w:tc>
      </w:tr>
      <w:tr w:rsidR="00D604C6" w:rsidRPr="00CD319D" w14:paraId="30362219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457DD800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Toscana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07D44EC5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6DE9C14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516942A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5E3EF47C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1DD6AFC5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27C6E5E3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Umbria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146DEFE9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8998B32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157DD6EE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17AB332B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6593EE41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5021E66B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Valle d’Aosta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3F916625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48087A06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083E1731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510C7290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6C0F41B1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4" w:space="0" w:color="00457D"/>
              <w:right w:val="single" w:sz="8" w:space="0" w:color="00457D"/>
            </w:tcBorders>
            <w:noWrap/>
            <w:vAlign w:val="center"/>
            <w:hideMark/>
          </w:tcPr>
          <w:p w14:paraId="77281BB0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Veneto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8BB143D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1C04582E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DB7A564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457D"/>
              <w:right w:val="single" w:sz="8" w:space="0" w:color="00457D"/>
            </w:tcBorders>
            <w:vAlign w:val="center"/>
            <w:hideMark/>
          </w:tcPr>
          <w:p w14:paraId="3950CE83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072B6F35" w14:textId="77777777" w:rsidTr="003D708E">
        <w:tblPrEx>
          <w:tblBorders>
            <w:top w:val="single" w:sz="4" w:space="0" w:color="00457D"/>
            <w:left w:val="single" w:sz="4" w:space="0" w:color="00457D"/>
            <w:bottom w:val="single" w:sz="4" w:space="0" w:color="00457D"/>
            <w:right w:val="single" w:sz="4" w:space="0" w:color="00457D"/>
            <w:insideH w:val="single" w:sz="6" w:space="0" w:color="00457D"/>
            <w:insideV w:val="single" w:sz="6" w:space="0" w:color="00457D"/>
          </w:tblBorders>
        </w:tblPrEx>
        <w:trPr>
          <w:trHeight w:val="496"/>
          <w:jc w:val="center"/>
        </w:trPr>
        <w:tc>
          <w:tcPr>
            <w:tcW w:w="8354" w:type="dxa"/>
            <w:gridSpan w:val="5"/>
            <w:tcBorders>
              <w:bottom w:val="single" w:sz="4" w:space="0" w:color="00457D"/>
            </w:tcBorders>
            <w:noWrap/>
            <w:vAlign w:val="center"/>
          </w:tcPr>
          <w:tbl>
            <w:tblPr>
              <w:tblW w:w="2937" w:type="dxa"/>
              <w:jc w:val="center"/>
              <w:tblBorders>
                <w:top w:val="single" w:sz="4" w:space="0" w:color="00457D"/>
                <w:left w:val="single" w:sz="4" w:space="0" w:color="00457D"/>
                <w:bottom w:val="single" w:sz="4" w:space="0" w:color="00457D"/>
                <w:right w:val="single" w:sz="4" w:space="0" w:color="00457D"/>
                <w:insideH w:val="single" w:sz="4" w:space="0" w:color="00457D"/>
                <w:insideV w:val="single" w:sz="4" w:space="0" w:color="00457D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02"/>
              <w:gridCol w:w="917"/>
              <w:gridCol w:w="918"/>
            </w:tblGrid>
            <w:tr w:rsidR="00D604C6" w:rsidRPr="00CD319D" w14:paraId="4768602A" w14:textId="77777777" w:rsidTr="003D708E">
              <w:trPr>
                <w:trHeight w:val="315"/>
                <w:jc w:val="center"/>
              </w:trPr>
              <w:tc>
                <w:tcPr>
                  <w:tcW w:w="1102" w:type="dxa"/>
                  <w:vAlign w:val="center"/>
                </w:tcPr>
                <w:p w14:paraId="205815CB" w14:textId="77777777" w:rsidR="00D604C6" w:rsidRPr="00CD319D" w:rsidRDefault="00D604C6" w:rsidP="003D708E">
                  <w:pPr>
                    <w:spacing w:after="0" w:line="240" w:lineRule="auto"/>
                    <w:contextualSpacing/>
                    <w:rPr>
                      <w:rFonts w:ascii="Cambria" w:eastAsia="Times New Roman" w:hAnsi="Cambria" w:cstheme="minorHAnsi"/>
                      <w:color w:val="000000"/>
                      <w:sz w:val="20"/>
                      <w:szCs w:val="20"/>
                      <w:lang w:eastAsia="it-IT"/>
                    </w:rPr>
                  </w:pPr>
                  <w:r w:rsidRPr="00CD319D">
                    <w:rPr>
                      <w:rFonts w:ascii="Cambria" w:eastAsia="Times New Roman" w:hAnsi="Cambria" w:cstheme="minorHAnsi"/>
                      <w:color w:val="000000"/>
                      <w:sz w:val="20"/>
                      <w:szCs w:val="20"/>
                      <w:lang w:eastAsia="it-IT"/>
                    </w:rPr>
                    <w:t>Punteggio</w:t>
                  </w:r>
                </w:p>
              </w:tc>
              <w:tc>
                <w:tcPr>
                  <w:tcW w:w="917" w:type="dxa"/>
                  <w:shd w:val="clear" w:color="auto" w:fill="92D050"/>
                  <w:noWrap/>
                  <w:vAlign w:val="center"/>
                  <w:hideMark/>
                </w:tcPr>
                <w:p w14:paraId="6E48D533" w14:textId="77777777" w:rsidR="00D604C6" w:rsidRPr="00CD319D" w:rsidRDefault="00D604C6" w:rsidP="003D708E">
                  <w:pPr>
                    <w:spacing w:after="0" w:line="240" w:lineRule="auto"/>
                    <w:contextualSpacing/>
                    <w:jc w:val="center"/>
                    <w:rPr>
                      <w:rFonts w:ascii="Cambria" w:eastAsia="Times New Roman" w:hAnsi="Cambria" w:cstheme="minorHAnsi"/>
                      <w:color w:val="000000"/>
                      <w:sz w:val="20"/>
                      <w:szCs w:val="20"/>
                      <w:lang w:eastAsia="it-IT"/>
                    </w:rPr>
                  </w:pPr>
                  <w:r w:rsidRPr="00CD319D">
                    <w:rPr>
                      <w:rFonts w:ascii="Cambria" w:eastAsia="Times New Roman" w:hAnsi="Cambria" w:cstheme="minorHAnsi"/>
                      <w:color w:val="000000"/>
                      <w:sz w:val="20"/>
                      <w:szCs w:val="20"/>
                      <w:lang w:eastAsia="it-IT"/>
                    </w:rPr>
                    <w:t>≥ 60</w:t>
                  </w:r>
                </w:p>
              </w:tc>
              <w:tc>
                <w:tcPr>
                  <w:tcW w:w="918" w:type="dxa"/>
                  <w:shd w:val="clear" w:color="auto" w:fill="FF0000"/>
                  <w:noWrap/>
                  <w:vAlign w:val="center"/>
                  <w:hideMark/>
                </w:tcPr>
                <w:p w14:paraId="7B27F82A" w14:textId="77777777" w:rsidR="00D604C6" w:rsidRPr="00CD319D" w:rsidRDefault="00D604C6" w:rsidP="003D708E">
                  <w:pPr>
                    <w:spacing w:after="0" w:line="240" w:lineRule="auto"/>
                    <w:contextualSpacing/>
                    <w:jc w:val="center"/>
                    <w:rPr>
                      <w:rFonts w:ascii="Cambria" w:eastAsia="Times New Roman" w:hAnsi="Cambria" w:cstheme="minorHAnsi"/>
                      <w:color w:val="FFFFFF" w:themeColor="background1"/>
                      <w:sz w:val="20"/>
                      <w:szCs w:val="20"/>
                      <w:lang w:eastAsia="it-IT"/>
                    </w:rPr>
                  </w:pPr>
                  <w:r w:rsidRPr="00CD319D">
                    <w:rPr>
                      <w:rFonts w:ascii="Cambria" w:eastAsia="Times New Roman" w:hAnsi="Cambria" w:cstheme="minorHAnsi"/>
                      <w:color w:val="FFFFFF" w:themeColor="background1"/>
                      <w:sz w:val="20"/>
                      <w:szCs w:val="20"/>
                      <w:lang w:eastAsia="it-IT"/>
                    </w:rPr>
                    <w:t>&lt; 60</w:t>
                  </w:r>
                </w:p>
              </w:tc>
            </w:tr>
          </w:tbl>
          <w:p w14:paraId="0A3DFD4F" w14:textId="77777777" w:rsidR="00D604C6" w:rsidRPr="00CD319D" w:rsidRDefault="00D604C6" w:rsidP="003D708E">
            <w:pPr>
              <w:spacing w:after="0" w:line="240" w:lineRule="auto"/>
              <w:contextualSpacing/>
              <w:rPr>
                <w:rFonts w:ascii="Cambria" w:hAnsi="Cambria" w:cstheme="minorHAnsi"/>
                <w:color w:val="000000"/>
                <w:sz w:val="20"/>
                <w:szCs w:val="20"/>
              </w:rPr>
            </w:pPr>
          </w:p>
        </w:tc>
      </w:tr>
    </w:tbl>
    <w:p w14:paraId="2855FDE0" w14:textId="77777777" w:rsidR="00D604C6" w:rsidRDefault="00D604C6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</w:p>
    <w:p w14:paraId="05F94801" w14:textId="77777777" w:rsidR="004511BB" w:rsidRDefault="004511BB" w:rsidP="004511BB">
      <w:pPr>
        <w:spacing w:before="120" w:after="0" w:line="240" w:lineRule="auto"/>
        <w:jc w:val="center"/>
        <w:rPr>
          <w:rFonts w:ascii="Cambria" w:hAnsi="Cambria" w:cstheme="majorHAnsi"/>
          <w:b/>
          <w:color w:val="00457D"/>
          <w:sz w:val="18"/>
        </w:rPr>
      </w:pPr>
    </w:p>
    <w:p w14:paraId="474C08BB" w14:textId="77777777" w:rsidR="004511BB" w:rsidRDefault="004511BB" w:rsidP="004511BB">
      <w:pPr>
        <w:spacing w:before="120" w:after="0" w:line="240" w:lineRule="auto"/>
        <w:jc w:val="center"/>
        <w:rPr>
          <w:rFonts w:ascii="Cambria" w:hAnsi="Cambria" w:cstheme="majorHAnsi"/>
          <w:b/>
          <w:color w:val="00457D"/>
          <w:sz w:val="18"/>
        </w:rPr>
      </w:pPr>
    </w:p>
    <w:p w14:paraId="4AF7DAE1" w14:textId="77777777" w:rsidR="004511BB" w:rsidRDefault="004511BB" w:rsidP="004511BB">
      <w:pPr>
        <w:spacing w:before="120" w:after="0" w:line="240" w:lineRule="auto"/>
        <w:jc w:val="center"/>
        <w:rPr>
          <w:rFonts w:ascii="Cambria" w:hAnsi="Cambria" w:cstheme="majorHAnsi"/>
          <w:b/>
          <w:color w:val="00457D"/>
          <w:sz w:val="18"/>
        </w:rPr>
      </w:pPr>
    </w:p>
    <w:p w14:paraId="2194C7A0" w14:textId="77777777" w:rsidR="004511BB" w:rsidRDefault="004511BB">
      <w:pPr>
        <w:rPr>
          <w:rFonts w:ascii="Cambria" w:hAnsi="Cambria" w:cstheme="majorHAnsi"/>
          <w:b/>
          <w:color w:val="00457D"/>
          <w:sz w:val="18"/>
        </w:rPr>
      </w:pPr>
      <w:r>
        <w:rPr>
          <w:rFonts w:ascii="Cambria" w:hAnsi="Cambria" w:cstheme="majorHAnsi"/>
          <w:b/>
          <w:color w:val="00457D"/>
          <w:sz w:val="18"/>
        </w:rPr>
        <w:br w:type="page"/>
      </w:r>
    </w:p>
    <w:p w14:paraId="63BB0F74" w14:textId="77777777" w:rsidR="004511BB" w:rsidRDefault="004511BB" w:rsidP="004511BB">
      <w:pPr>
        <w:spacing w:before="120" w:after="0" w:line="240" w:lineRule="auto"/>
        <w:jc w:val="center"/>
        <w:rPr>
          <w:rFonts w:ascii="Cambria" w:hAnsi="Cambria" w:cstheme="majorHAnsi"/>
          <w:b/>
          <w:color w:val="00457D"/>
          <w:sz w:val="18"/>
        </w:rPr>
      </w:pPr>
    </w:p>
    <w:p w14:paraId="1A4CB62D" w14:textId="77777777" w:rsidR="004511BB" w:rsidRPr="004511BB" w:rsidRDefault="004511BB" w:rsidP="004511BB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 xml:space="preserve">Figura </w:t>
      </w:r>
      <w:r w:rsidR="00E04CD9">
        <w:rPr>
          <w:rFonts w:cstheme="minorHAnsi"/>
          <w:b/>
          <w:color w:val="00457D"/>
          <w:sz w:val="20"/>
          <w:szCs w:val="20"/>
        </w:rPr>
        <w:t>6</w:t>
      </w:r>
      <w:r>
        <w:rPr>
          <w:rFonts w:cstheme="minorHAnsi"/>
          <w:b/>
          <w:color w:val="00457D"/>
          <w:sz w:val="20"/>
          <w:szCs w:val="20"/>
        </w:rPr>
        <w:t xml:space="preserve">. Popolazione che ha rinunciato alle prestazioni sanitarie </w:t>
      </w:r>
      <w:r>
        <w:rPr>
          <w:rFonts w:cstheme="minorHAnsi"/>
          <w:b/>
          <w:color w:val="00457D"/>
          <w:sz w:val="20"/>
          <w:szCs w:val="20"/>
        </w:rPr>
        <w:br/>
      </w:r>
      <w:r>
        <w:rPr>
          <w:rFonts w:cstheme="minorHAnsi"/>
          <w:color w:val="00457D"/>
          <w:sz w:val="20"/>
          <w:szCs w:val="20"/>
        </w:rPr>
        <w:t>(dati ISTAT 2024)</w:t>
      </w:r>
    </w:p>
    <w:p w14:paraId="0BF59872" w14:textId="77777777" w:rsidR="004511BB" w:rsidRPr="00AC058C" w:rsidRDefault="004511BB" w:rsidP="004511BB">
      <w:pPr>
        <w:spacing w:before="120" w:after="0" w:line="240" w:lineRule="auto"/>
        <w:jc w:val="center"/>
        <w:rPr>
          <w:rFonts w:ascii="Cambria" w:hAnsi="Cambria" w:cstheme="majorHAnsi"/>
          <w:b/>
          <w:color w:val="00457D"/>
          <w:sz w:val="18"/>
        </w:rPr>
      </w:pPr>
      <w:r w:rsidRPr="00AC058C">
        <w:rPr>
          <w:rFonts w:ascii="Cambria" w:hAnsi="Cambria" w:cstheme="majorHAnsi"/>
          <w:b/>
          <w:noProof/>
          <w:color w:val="00457D"/>
          <w:sz w:val="18"/>
          <w:lang w:eastAsia="it-IT"/>
        </w:rPr>
        <w:drawing>
          <wp:inline distT="0" distB="0" distL="0" distR="0" wp14:anchorId="788F8493" wp14:editId="34DDE4D4">
            <wp:extent cx="5040000" cy="3239851"/>
            <wp:effectExtent l="0" t="0" r="8255" b="0"/>
            <wp:docPr id="1820597636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239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E5F473" w14:textId="77777777" w:rsidR="004511BB" w:rsidRDefault="004511BB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</w:p>
    <w:p w14:paraId="7BDFD1F7" w14:textId="77777777" w:rsidR="004511BB" w:rsidRDefault="004511BB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</w:p>
    <w:p w14:paraId="5486EA0A" w14:textId="77777777" w:rsidR="004511BB" w:rsidRPr="004511BB" w:rsidRDefault="004511BB" w:rsidP="004511BB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 xml:space="preserve">Figura </w:t>
      </w:r>
      <w:r w:rsidR="00E04CD9">
        <w:rPr>
          <w:rFonts w:cstheme="minorHAnsi"/>
          <w:b/>
          <w:color w:val="00457D"/>
          <w:sz w:val="20"/>
          <w:szCs w:val="20"/>
        </w:rPr>
        <w:t>7</w:t>
      </w:r>
      <w:r>
        <w:rPr>
          <w:rFonts w:cstheme="minorHAnsi"/>
          <w:b/>
          <w:color w:val="00457D"/>
          <w:sz w:val="20"/>
          <w:szCs w:val="20"/>
        </w:rPr>
        <w:t>. Valore della mobilità sanitaria: trend 2010-2023</w:t>
      </w:r>
      <w:r>
        <w:rPr>
          <w:rFonts w:cstheme="minorHAnsi"/>
          <w:color w:val="00457D"/>
          <w:sz w:val="20"/>
          <w:szCs w:val="20"/>
        </w:rPr>
        <w:br/>
        <w:t>(elaborazione GIMBE su dati Conferenza Stato-Regioni/CIPESS)</w:t>
      </w:r>
    </w:p>
    <w:p w14:paraId="56CD5E78" w14:textId="77777777" w:rsidR="004511BB" w:rsidRPr="00CD319D" w:rsidRDefault="004511BB" w:rsidP="004511BB">
      <w:pPr>
        <w:spacing w:before="120" w:after="0"/>
        <w:jc w:val="center"/>
        <w:rPr>
          <w:rFonts w:ascii="Cambria" w:eastAsia="Times New Roman" w:hAnsi="Cambria" w:cs="Times New Roman"/>
          <w:b/>
          <w:color w:val="00457D"/>
          <w:sz w:val="18"/>
          <w:lang w:eastAsia="it-IT"/>
        </w:rPr>
      </w:pPr>
      <w:r>
        <w:rPr>
          <w:rFonts w:ascii="Cambria" w:eastAsia="Times New Roman" w:hAnsi="Cambria" w:cs="Times New Roman"/>
          <w:b/>
          <w:noProof/>
          <w:color w:val="00457D"/>
          <w:sz w:val="18"/>
          <w:lang w:eastAsia="it-IT"/>
        </w:rPr>
        <w:drawing>
          <wp:inline distT="0" distB="0" distL="0" distR="0" wp14:anchorId="3FA0625F" wp14:editId="06EAA9B0">
            <wp:extent cx="5040000" cy="3192255"/>
            <wp:effectExtent l="0" t="0" r="8255" b="8255"/>
            <wp:docPr id="123799261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19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ADFD75" w14:textId="77777777" w:rsidR="004511BB" w:rsidRDefault="004511BB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70E13F80" w14:textId="77777777" w:rsidR="004511BB" w:rsidRPr="003D708E" w:rsidRDefault="004511BB" w:rsidP="003D708E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lastRenderedPageBreak/>
        <w:t xml:space="preserve">Figura </w:t>
      </w:r>
      <w:r w:rsidR="00107CCF">
        <w:rPr>
          <w:rFonts w:cstheme="minorHAnsi"/>
          <w:b/>
          <w:color w:val="00457D"/>
          <w:sz w:val="20"/>
          <w:szCs w:val="20"/>
        </w:rPr>
        <w:t>8</w:t>
      </w:r>
      <w:r>
        <w:rPr>
          <w:rFonts w:cstheme="minorHAnsi"/>
          <w:b/>
          <w:color w:val="00457D"/>
          <w:sz w:val="20"/>
          <w:szCs w:val="20"/>
        </w:rPr>
        <w:t>. Spesa sanitaria pubblica per redditi da lavoro dipendente e assistenza medico-generica da convenzione</w:t>
      </w:r>
      <w:r>
        <w:rPr>
          <w:rFonts w:cstheme="minorHAnsi"/>
          <w:color w:val="00457D"/>
          <w:sz w:val="20"/>
          <w:szCs w:val="20"/>
        </w:rPr>
        <w:br/>
        <w:t>(dati ISTAT)</w:t>
      </w:r>
    </w:p>
    <w:p w14:paraId="0C4E1514" w14:textId="77777777" w:rsidR="004511BB" w:rsidRPr="00FC6194" w:rsidRDefault="004511BB" w:rsidP="004511BB">
      <w:pPr>
        <w:spacing w:after="0"/>
        <w:jc w:val="center"/>
        <w:rPr>
          <w:rFonts w:ascii="Cambria" w:hAnsi="Cambria"/>
        </w:rPr>
      </w:pPr>
      <w:r>
        <w:rPr>
          <w:rFonts w:ascii="Cambria" w:hAnsi="Cambria"/>
          <w:noProof/>
          <w:lang w:eastAsia="it-IT"/>
        </w:rPr>
        <w:drawing>
          <wp:inline distT="0" distB="0" distL="0" distR="0" wp14:anchorId="737C69E0" wp14:editId="06F6A546">
            <wp:extent cx="5040000" cy="2582781"/>
            <wp:effectExtent l="0" t="0" r="8255" b="8255"/>
            <wp:docPr id="134473311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582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8B523F" w14:textId="77777777" w:rsidR="003E45B5" w:rsidRDefault="003E45B5" w:rsidP="003D708E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</w:p>
    <w:p w14:paraId="3DDEF448" w14:textId="6A2F31DF" w:rsidR="003D708E" w:rsidRPr="003D708E" w:rsidRDefault="003D708E" w:rsidP="003D708E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 xml:space="preserve">Figura </w:t>
      </w:r>
      <w:r w:rsidR="00107CCF">
        <w:rPr>
          <w:rFonts w:cstheme="minorHAnsi"/>
          <w:b/>
          <w:color w:val="00457D"/>
          <w:sz w:val="20"/>
          <w:szCs w:val="20"/>
        </w:rPr>
        <w:t>9</w:t>
      </w:r>
      <w:r>
        <w:rPr>
          <w:rFonts w:cstheme="minorHAnsi"/>
          <w:b/>
          <w:color w:val="00457D"/>
          <w:sz w:val="20"/>
          <w:szCs w:val="20"/>
        </w:rPr>
        <w:t xml:space="preserve">. Minore spesa per il personale dipendente e convenzionato rispetto a uno </w:t>
      </w:r>
      <w:r w:rsidR="008C3E9C">
        <w:rPr>
          <w:rFonts w:cstheme="minorHAnsi"/>
          <w:b/>
          <w:color w:val="00457D"/>
          <w:sz w:val="20"/>
          <w:szCs w:val="20"/>
        </w:rPr>
        <w:br/>
      </w:r>
      <w:r>
        <w:rPr>
          <w:rFonts w:cstheme="minorHAnsi"/>
          <w:b/>
          <w:color w:val="00457D"/>
          <w:sz w:val="20"/>
          <w:szCs w:val="20"/>
        </w:rPr>
        <w:t>scenario a quota costante del 39,7% della spesa sanitaria pubblica</w:t>
      </w:r>
      <w:r>
        <w:rPr>
          <w:rFonts w:cstheme="minorHAnsi"/>
          <w:color w:val="00457D"/>
          <w:sz w:val="20"/>
          <w:szCs w:val="20"/>
        </w:rPr>
        <w:br/>
        <w:t>(elaborazione GIMBE su dati ISTAT)</w:t>
      </w:r>
    </w:p>
    <w:p w14:paraId="2D4E4D3E" w14:textId="77777777" w:rsidR="003D708E" w:rsidRPr="00FC6194" w:rsidRDefault="003D708E" w:rsidP="003D708E">
      <w:pPr>
        <w:spacing w:after="0"/>
        <w:jc w:val="center"/>
        <w:rPr>
          <w:rFonts w:ascii="Cambria" w:hAnsi="Cambria"/>
        </w:rPr>
      </w:pPr>
      <w:r>
        <w:rPr>
          <w:rFonts w:ascii="Cambria" w:hAnsi="Cambria"/>
          <w:noProof/>
          <w:lang w:eastAsia="it-IT"/>
        </w:rPr>
        <w:drawing>
          <wp:inline distT="0" distB="0" distL="0" distR="0" wp14:anchorId="3F2F1B50" wp14:editId="0D379E56">
            <wp:extent cx="5040000" cy="2861803"/>
            <wp:effectExtent l="0" t="0" r="8255" b="0"/>
            <wp:docPr id="1920006533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61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F60A42" w14:textId="77777777" w:rsidR="00C11C59" w:rsidRDefault="00C11C59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0CF44B70" w14:textId="77777777" w:rsidR="00C11C59" w:rsidRPr="003D708E" w:rsidRDefault="00C11C59" w:rsidP="00C11C59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lastRenderedPageBreak/>
        <w:t xml:space="preserve">Figura </w:t>
      </w:r>
      <w:r w:rsidR="00107CCF">
        <w:rPr>
          <w:rFonts w:cstheme="minorHAnsi"/>
          <w:b/>
          <w:color w:val="00457D"/>
          <w:sz w:val="20"/>
          <w:szCs w:val="20"/>
        </w:rPr>
        <w:t>10</w:t>
      </w:r>
      <w:r>
        <w:rPr>
          <w:rFonts w:cstheme="minorHAnsi"/>
          <w:b/>
          <w:color w:val="00457D"/>
          <w:sz w:val="20"/>
          <w:szCs w:val="20"/>
        </w:rPr>
        <w:t>. Medici per 1.000 abitanti</w:t>
      </w:r>
      <w:r>
        <w:rPr>
          <w:rFonts w:cstheme="minorHAnsi"/>
          <w:color w:val="00457D"/>
          <w:sz w:val="20"/>
          <w:szCs w:val="20"/>
        </w:rPr>
        <w:br/>
        <w:t>(dati OCSE, anno 2024 o più recente disponibile)</w:t>
      </w:r>
    </w:p>
    <w:p w14:paraId="12FEC9C7" w14:textId="77777777" w:rsidR="00C11C59" w:rsidRDefault="00C11C59" w:rsidP="00C11C59">
      <w:pPr>
        <w:spacing w:after="0"/>
        <w:jc w:val="center"/>
        <w:rPr>
          <w:rFonts w:ascii="Cambria" w:hAnsi="Cambria"/>
          <w:lang w:eastAsia="it-IT"/>
        </w:rPr>
      </w:pPr>
      <w:r>
        <w:rPr>
          <w:rFonts w:ascii="Cambria" w:hAnsi="Cambria"/>
          <w:noProof/>
          <w:lang w:eastAsia="it-IT"/>
        </w:rPr>
        <w:drawing>
          <wp:inline distT="0" distB="0" distL="0" distR="0" wp14:anchorId="29C20DA7" wp14:editId="1492934A">
            <wp:extent cx="5040000" cy="2770053"/>
            <wp:effectExtent l="0" t="0" r="8255" b="0"/>
            <wp:docPr id="63664419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770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8F92B6" w14:textId="77777777" w:rsidR="00A80497" w:rsidRDefault="00A80497" w:rsidP="00C11C59">
      <w:pPr>
        <w:spacing w:after="0"/>
        <w:jc w:val="center"/>
        <w:rPr>
          <w:rFonts w:ascii="Cambria" w:hAnsi="Cambria"/>
          <w:lang w:eastAsia="it-IT"/>
        </w:rPr>
      </w:pPr>
    </w:p>
    <w:p w14:paraId="45FC2B88" w14:textId="713A8427" w:rsidR="00A80497" w:rsidRDefault="00A80497" w:rsidP="00A80497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 w:rsidRPr="00A80497">
        <w:rPr>
          <w:rFonts w:cstheme="minorHAnsi"/>
          <w:b/>
          <w:color w:val="00457D"/>
          <w:sz w:val="20"/>
          <w:szCs w:val="20"/>
        </w:rPr>
        <w:t xml:space="preserve">Figura </w:t>
      </w:r>
      <w:r>
        <w:rPr>
          <w:rFonts w:cstheme="minorHAnsi"/>
          <w:b/>
          <w:color w:val="00457D"/>
          <w:sz w:val="20"/>
          <w:szCs w:val="20"/>
        </w:rPr>
        <w:t>11</w:t>
      </w:r>
      <w:r w:rsidRPr="00A80497">
        <w:rPr>
          <w:rFonts w:cstheme="minorHAnsi"/>
          <w:b/>
          <w:color w:val="00457D"/>
          <w:sz w:val="20"/>
          <w:szCs w:val="20"/>
        </w:rPr>
        <w:t>. Medici dipendenti CCNL sanità per 1.000 abitanti per Regione</w:t>
      </w:r>
      <w:r w:rsidRPr="00A80497">
        <w:rPr>
          <w:rFonts w:cstheme="minorHAnsi"/>
          <w:color w:val="00457D"/>
          <w:sz w:val="20"/>
          <w:szCs w:val="20"/>
        </w:rPr>
        <w:br/>
        <w:t>(dati CA-RGS, anno 2024)</w:t>
      </w:r>
      <w:r w:rsidRPr="00A80497">
        <w:rPr>
          <w:rFonts w:cstheme="minorHAnsi"/>
          <w:noProof/>
          <w:color w:val="00457D"/>
          <w:sz w:val="20"/>
          <w:szCs w:val="20"/>
          <w:lang w:eastAsia="it-IT"/>
        </w:rPr>
        <w:drawing>
          <wp:inline distT="0" distB="0" distL="0" distR="0" wp14:anchorId="56294CA2" wp14:editId="096DB906">
            <wp:extent cx="5040000" cy="4282815"/>
            <wp:effectExtent l="0" t="0" r="8255" b="3810"/>
            <wp:docPr id="985086951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28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ECAE19" w14:textId="4EDFDE81" w:rsidR="00626C0D" w:rsidRDefault="00626C0D" w:rsidP="00A80497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</w:p>
    <w:p w14:paraId="169F294D" w14:textId="06C99D52" w:rsidR="00626C0D" w:rsidRPr="00BC14E1" w:rsidRDefault="00626C0D" w:rsidP="00626C0D">
      <w:pPr>
        <w:pageBreakBefore/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>Figura 12. Stima del numero di MMG mancanti al 1° gennaio 2025</w:t>
      </w:r>
      <w:r>
        <w:rPr>
          <w:rFonts w:cstheme="minorHAnsi"/>
          <w:color w:val="00457D"/>
          <w:sz w:val="20"/>
          <w:szCs w:val="20"/>
        </w:rPr>
        <w:br/>
        <w:t>(elaborazione GIMBE su dati SISAC)</w:t>
      </w:r>
    </w:p>
    <w:p w14:paraId="6215C2F3" w14:textId="77777777" w:rsidR="00A00F56" w:rsidRDefault="00626C0D" w:rsidP="00A00F56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  <w:r w:rsidRPr="004D3422">
        <w:rPr>
          <w:rFonts w:cstheme="minorHAnsi"/>
          <w:b/>
          <w:noProof/>
          <w:color w:val="00457D"/>
          <w:lang w:eastAsia="it-IT"/>
        </w:rPr>
        <w:drawing>
          <wp:inline distT="0" distB="0" distL="0" distR="0" wp14:anchorId="6ACE3E10" wp14:editId="052FDD55">
            <wp:extent cx="5040000" cy="4380984"/>
            <wp:effectExtent l="0" t="0" r="8255" b="635"/>
            <wp:docPr id="67745917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380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269BDA" w14:textId="11617016" w:rsidR="00626C0D" w:rsidRPr="00FC6194" w:rsidRDefault="00626C0D" w:rsidP="00A00F56">
      <w:pPr>
        <w:spacing w:before="240" w:after="0"/>
        <w:jc w:val="center"/>
        <w:rPr>
          <w:rFonts w:ascii="Cambria" w:hAnsi="Cambria" w:cstheme="minorHAnsi"/>
          <w:b/>
          <w:color w:val="00457D"/>
          <w:sz w:val="18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 xml:space="preserve">Figura 13. Stima del numero di PLS mancanti </w:t>
      </w:r>
      <w:r>
        <w:rPr>
          <w:rFonts w:cstheme="minorHAnsi"/>
          <w:b/>
          <w:color w:val="00457D"/>
          <w:sz w:val="20"/>
          <w:szCs w:val="20"/>
        </w:rPr>
        <w:br/>
      </w:r>
      <w:r>
        <w:rPr>
          <w:rFonts w:cstheme="minorHAnsi"/>
          <w:color w:val="00457D"/>
          <w:sz w:val="20"/>
          <w:szCs w:val="20"/>
        </w:rPr>
        <w:t>(elaborazione GIMBE su dati SISAC al 1° gennaio 2025)</w:t>
      </w:r>
      <w:r w:rsidRPr="00BC14E1">
        <w:rPr>
          <w:rFonts w:ascii="Cambria" w:hAnsi="Cambria" w:cstheme="minorHAnsi"/>
          <w:noProof/>
          <w:color w:val="00457D"/>
          <w:sz w:val="18"/>
          <w:szCs w:val="20"/>
          <w:lang w:eastAsia="it-IT"/>
        </w:rPr>
        <w:drawing>
          <wp:inline distT="0" distB="0" distL="0" distR="0" wp14:anchorId="2135E472" wp14:editId="2B89B29F">
            <wp:extent cx="5040000" cy="3930797"/>
            <wp:effectExtent l="0" t="0" r="8255" b="0"/>
            <wp:docPr id="1302335599" name="Immagine 1302335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930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DF31A7" w14:textId="77777777" w:rsidR="00A00F56" w:rsidRDefault="00191B8C" w:rsidP="00191B8C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 w:rsidRPr="00191B8C">
        <w:rPr>
          <w:rFonts w:cstheme="minorHAnsi"/>
          <w:b/>
          <w:color w:val="00457D"/>
          <w:sz w:val="20"/>
          <w:szCs w:val="20"/>
        </w:rPr>
        <w:t xml:space="preserve">Figura </w:t>
      </w:r>
      <w:r>
        <w:rPr>
          <w:rFonts w:cstheme="minorHAnsi"/>
          <w:b/>
          <w:color w:val="00457D"/>
          <w:sz w:val="20"/>
          <w:szCs w:val="20"/>
        </w:rPr>
        <w:t>1</w:t>
      </w:r>
      <w:r w:rsidR="00626C0D">
        <w:rPr>
          <w:rFonts w:cstheme="minorHAnsi"/>
          <w:b/>
          <w:color w:val="00457D"/>
          <w:sz w:val="20"/>
          <w:szCs w:val="20"/>
        </w:rPr>
        <w:t>4</w:t>
      </w:r>
      <w:r w:rsidRPr="00191B8C">
        <w:rPr>
          <w:rFonts w:cstheme="minorHAnsi"/>
          <w:b/>
          <w:color w:val="00457D"/>
          <w:sz w:val="20"/>
          <w:szCs w:val="20"/>
        </w:rPr>
        <w:t>. Infermieri per 1.000 abitanti</w:t>
      </w:r>
      <w:r w:rsidRPr="00191B8C">
        <w:rPr>
          <w:rFonts w:cstheme="minorHAnsi"/>
          <w:color w:val="00457D"/>
          <w:sz w:val="20"/>
          <w:szCs w:val="20"/>
        </w:rPr>
        <w:t xml:space="preserve"> </w:t>
      </w:r>
      <w:r w:rsidRPr="00191B8C">
        <w:rPr>
          <w:rFonts w:cstheme="minorHAnsi"/>
          <w:color w:val="00457D"/>
          <w:sz w:val="20"/>
          <w:szCs w:val="20"/>
        </w:rPr>
        <w:br/>
        <w:t>(dati OCSE, anno 2024 o più recente disponibile)</w:t>
      </w:r>
    </w:p>
    <w:p w14:paraId="165D0EF2" w14:textId="5257803B" w:rsidR="00191B8C" w:rsidRPr="00191B8C" w:rsidRDefault="00191B8C" w:rsidP="00191B8C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 w:rsidRPr="00191B8C">
        <w:rPr>
          <w:rFonts w:cstheme="minorHAnsi"/>
          <w:noProof/>
          <w:color w:val="00457D"/>
          <w:sz w:val="20"/>
          <w:szCs w:val="20"/>
          <w:lang w:eastAsia="it-IT"/>
        </w:rPr>
        <w:drawing>
          <wp:inline distT="0" distB="0" distL="0" distR="0" wp14:anchorId="515FCA4F" wp14:editId="62E11C34">
            <wp:extent cx="5040000" cy="2562381"/>
            <wp:effectExtent l="0" t="0" r="8255" b="9525"/>
            <wp:docPr id="1552181953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562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1309CC" w14:textId="77777777" w:rsidR="00A80497" w:rsidRDefault="00A80497" w:rsidP="00A80497">
      <w:pPr>
        <w:spacing w:before="120" w:after="300"/>
        <w:jc w:val="center"/>
        <w:rPr>
          <w:rFonts w:ascii="Cambria" w:hAnsi="Cambria"/>
          <w:b/>
          <w:color w:val="00457D"/>
          <w:sz w:val="18"/>
        </w:rPr>
      </w:pPr>
    </w:p>
    <w:p w14:paraId="746B8D34" w14:textId="772D59CB" w:rsidR="00191B8C" w:rsidRPr="00A80497" w:rsidRDefault="00A80497" w:rsidP="00A80497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 w:rsidRPr="00A80497">
        <w:rPr>
          <w:rFonts w:cstheme="minorHAnsi"/>
          <w:b/>
          <w:color w:val="00457D"/>
          <w:sz w:val="20"/>
          <w:szCs w:val="20"/>
        </w:rPr>
        <w:t xml:space="preserve">Figura </w:t>
      </w:r>
      <w:r>
        <w:rPr>
          <w:rFonts w:cstheme="minorHAnsi"/>
          <w:b/>
          <w:color w:val="00457D"/>
          <w:sz w:val="20"/>
          <w:szCs w:val="20"/>
        </w:rPr>
        <w:t>1</w:t>
      </w:r>
      <w:r w:rsidR="00626C0D">
        <w:rPr>
          <w:rFonts w:cstheme="minorHAnsi"/>
          <w:b/>
          <w:color w:val="00457D"/>
          <w:sz w:val="20"/>
          <w:szCs w:val="20"/>
        </w:rPr>
        <w:t>5</w:t>
      </w:r>
      <w:r w:rsidRPr="00A80497">
        <w:rPr>
          <w:rFonts w:cstheme="minorHAnsi"/>
          <w:b/>
          <w:color w:val="00457D"/>
          <w:sz w:val="20"/>
          <w:szCs w:val="20"/>
        </w:rPr>
        <w:t>. Infermieri dipendenti CCNL sanità per 1.000 abitanti per Regione</w:t>
      </w:r>
      <w:r w:rsidRPr="00A80497">
        <w:rPr>
          <w:rFonts w:cstheme="minorHAnsi"/>
          <w:color w:val="00457D"/>
          <w:sz w:val="20"/>
          <w:szCs w:val="20"/>
        </w:rPr>
        <w:br/>
        <w:t>(dati CA-RGS, anno 2024)</w:t>
      </w:r>
    </w:p>
    <w:p w14:paraId="5D1509A3" w14:textId="77777777" w:rsidR="00A80497" w:rsidRPr="00FC6194" w:rsidRDefault="00A80497" w:rsidP="00A80497">
      <w:pPr>
        <w:spacing w:after="0"/>
        <w:jc w:val="center"/>
        <w:rPr>
          <w:rFonts w:ascii="Cambria" w:hAnsi="Cambria"/>
        </w:rPr>
      </w:pPr>
      <w:r>
        <w:rPr>
          <w:rFonts w:ascii="Cambria" w:hAnsi="Cambria"/>
          <w:noProof/>
          <w:lang w:eastAsia="it-IT"/>
        </w:rPr>
        <w:drawing>
          <wp:inline distT="0" distB="0" distL="0" distR="0" wp14:anchorId="7103D91E" wp14:editId="3BAD591F">
            <wp:extent cx="5040000" cy="4370871"/>
            <wp:effectExtent l="0" t="0" r="8255" b="0"/>
            <wp:docPr id="564785314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370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1F94E6" w14:textId="77777777" w:rsidR="00A80497" w:rsidRDefault="00A80497" w:rsidP="00C11C59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</w:p>
    <w:p w14:paraId="5E0CFC4A" w14:textId="77777777" w:rsidR="00A00F56" w:rsidRDefault="00A00F56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559FF77F" w14:textId="6A807B74" w:rsidR="00A80497" w:rsidRDefault="00C11C59" w:rsidP="00C11C59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>Figura 1</w:t>
      </w:r>
      <w:r w:rsidR="00626C0D">
        <w:rPr>
          <w:rFonts w:cstheme="minorHAnsi"/>
          <w:b/>
          <w:color w:val="00457D"/>
          <w:sz w:val="20"/>
          <w:szCs w:val="20"/>
        </w:rPr>
        <w:t>6</w:t>
      </w:r>
      <w:r>
        <w:rPr>
          <w:rFonts w:cstheme="minorHAnsi"/>
          <w:b/>
          <w:color w:val="00457D"/>
          <w:sz w:val="20"/>
          <w:szCs w:val="20"/>
        </w:rPr>
        <w:t xml:space="preserve">. Laureati in Scienze Infermieristiche per 100.000 abitanti </w:t>
      </w:r>
      <w:r>
        <w:rPr>
          <w:rFonts w:cstheme="minorHAnsi"/>
          <w:b/>
          <w:color w:val="00457D"/>
          <w:sz w:val="20"/>
          <w:szCs w:val="20"/>
        </w:rPr>
        <w:br/>
      </w:r>
      <w:r>
        <w:rPr>
          <w:rFonts w:cstheme="minorHAnsi"/>
          <w:color w:val="00457D"/>
          <w:sz w:val="20"/>
          <w:szCs w:val="20"/>
        </w:rPr>
        <w:t>(dati OCSE, anno 2024 o più recente disponibile)</w:t>
      </w:r>
    </w:p>
    <w:p w14:paraId="74E6A8F6" w14:textId="77777777" w:rsidR="00C11C59" w:rsidRPr="003D708E" w:rsidRDefault="00C11C59" w:rsidP="00C11C59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  <w:r w:rsidRPr="003D708E">
        <w:rPr>
          <w:rFonts w:cstheme="minorHAnsi"/>
          <w:b/>
          <w:noProof/>
          <w:color w:val="00457D"/>
          <w:sz w:val="20"/>
          <w:szCs w:val="20"/>
          <w:lang w:eastAsia="it-IT"/>
        </w:rPr>
        <w:drawing>
          <wp:inline distT="0" distB="0" distL="0" distR="0" wp14:anchorId="0440D29B" wp14:editId="45DC3DB4">
            <wp:extent cx="5040000" cy="2674756"/>
            <wp:effectExtent l="0" t="0" r="8255" b="0"/>
            <wp:docPr id="93679519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6747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ECDFCD" w14:textId="77777777" w:rsidR="003D708E" w:rsidRDefault="003D708E" w:rsidP="003D708E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</w:p>
    <w:p w14:paraId="4D528DD2" w14:textId="77777777" w:rsidR="003D708E" w:rsidRDefault="003D708E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</w:p>
    <w:p w14:paraId="73177CAA" w14:textId="60A62D1C" w:rsidR="00FC7C6C" w:rsidRPr="00FC7C6C" w:rsidRDefault="00FC7C6C" w:rsidP="0068591D">
      <w:pPr>
        <w:keepNext/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>Figura 1</w:t>
      </w:r>
      <w:r w:rsidR="00626C0D">
        <w:rPr>
          <w:rFonts w:cstheme="minorHAnsi"/>
          <w:b/>
          <w:color w:val="00457D"/>
          <w:sz w:val="20"/>
          <w:szCs w:val="20"/>
        </w:rPr>
        <w:t>7</w:t>
      </w:r>
      <w:r>
        <w:rPr>
          <w:rFonts w:cstheme="minorHAnsi"/>
          <w:b/>
          <w:color w:val="00457D"/>
          <w:sz w:val="20"/>
          <w:szCs w:val="20"/>
        </w:rPr>
        <w:t>. Retribuzione degli infermieri dipendenti ospedalieri in $ PPP per consumi privati</w:t>
      </w:r>
      <w:r>
        <w:rPr>
          <w:rFonts w:cstheme="minorHAnsi"/>
          <w:color w:val="00457D"/>
          <w:sz w:val="20"/>
          <w:szCs w:val="20"/>
        </w:rPr>
        <w:br/>
        <w:t>(dati OCSE, anno 2024 o più recente disponibile)</w:t>
      </w:r>
    </w:p>
    <w:p w14:paraId="67167B9E" w14:textId="77777777" w:rsidR="00FC7C6C" w:rsidRPr="00FC7C6C" w:rsidRDefault="00FC7C6C" w:rsidP="00FC7C6C">
      <w:pPr>
        <w:spacing w:after="120"/>
        <w:jc w:val="center"/>
        <w:rPr>
          <w:rFonts w:ascii="Cambria" w:eastAsia="SimSun" w:hAnsi="Cambria" w:cs="Arial"/>
          <w:lang w:eastAsia="zh-CN"/>
        </w:rPr>
      </w:pPr>
      <w:r w:rsidRPr="00FC7C6C">
        <w:rPr>
          <w:rFonts w:ascii="Cambria" w:eastAsia="SimSun" w:hAnsi="Cambria" w:cs="Arial"/>
          <w:noProof/>
          <w:lang w:eastAsia="it-IT"/>
        </w:rPr>
        <w:drawing>
          <wp:inline distT="0" distB="0" distL="0" distR="0" wp14:anchorId="2D38017A" wp14:editId="589D6C0D">
            <wp:extent cx="5040000" cy="2865074"/>
            <wp:effectExtent l="0" t="0" r="8255" b="0"/>
            <wp:docPr id="1511192350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650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9151F6" w14:textId="77777777" w:rsidR="00FC7C6C" w:rsidRPr="00FC7C6C" w:rsidRDefault="00FC7C6C" w:rsidP="008202D2">
      <w:pPr>
        <w:rPr>
          <w:rFonts w:ascii="Cambria" w:eastAsia="SimSun" w:hAnsi="Cambria" w:cs="Arial"/>
          <w:bCs/>
          <w:lang w:eastAsia="it-IT"/>
        </w:rPr>
      </w:pPr>
    </w:p>
    <w:p w14:paraId="360223FB" w14:textId="77777777" w:rsidR="00163141" w:rsidRDefault="00163141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0B2B3751" w14:textId="20B567DA" w:rsidR="00FC7C6C" w:rsidRPr="00FC7C6C" w:rsidRDefault="00FC7C6C" w:rsidP="00FC7C6C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>Figura 1</w:t>
      </w:r>
      <w:r w:rsidR="00626C0D">
        <w:rPr>
          <w:rFonts w:cstheme="minorHAnsi"/>
          <w:b/>
          <w:color w:val="00457D"/>
          <w:sz w:val="20"/>
          <w:szCs w:val="20"/>
        </w:rPr>
        <w:t>8</w:t>
      </w:r>
      <w:r>
        <w:rPr>
          <w:rFonts w:cstheme="minorHAnsi"/>
          <w:b/>
          <w:color w:val="00457D"/>
          <w:sz w:val="20"/>
          <w:szCs w:val="20"/>
        </w:rPr>
        <w:t>. Rapporto infermieri/medici anno 2024</w:t>
      </w:r>
      <w:r>
        <w:rPr>
          <w:rFonts w:cstheme="minorHAnsi"/>
          <w:b/>
          <w:color w:val="00457D"/>
          <w:sz w:val="20"/>
          <w:szCs w:val="20"/>
        </w:rPr>
        <w:br/>
      </w:r>
      <w:r>
        <w:rPr>
          <w:rFonts w:cstheme="minorHAnsi"/>
          <w:color w:val="00457D"/>
          <w:sz w:val="20"/>
          <w:szCs w:val="20"/>
        </w:rPr>
        <w:t>(dati OCSE, anno 2024 o più recente disponibile)</w:t>
      </w:r>
    </w:p>
    <w:p w14:paraId="13F5DDD1" w14:textId="77777777" w:rsidR="00FC7C6C" w:rsidRDefault="00FC7C6C" w:rsidP="00FC7C6C">
      <w:pPr>
        <w:spacing w:after="120" w:line="240" w:lineRule="auto"/>
        <w:jc w:val="center"/>
        <w:rPr>
          <w:rFonts w:ascii="Cambria" w:hAnsi="Cambria"/>
        </w:rPr>
      </w:pPr>
      <w:r>
        <w:rPr>
          <w:rFonts w:ascii="Cambria" w:hAnsi="Cambria"/>
          <w:noProof/>
          <w:lang w:eastAsia="it-IT"/>
        </w:rPr>
        <w:drawing>
          <wp:inline distT="0" distB="0" distL="0" distR="0" wp14:anchorId="2A471A8C" wp14:editId="04D22EF3">
            <wp:extent cx="5040000" cy="2694982"/>
            <wp:effectExtent l="0" t="0" r="8255" b="0"/>
            <wp:docPr id="594039207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6949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4B6807" w14:textId="77777777" w:rsidR="00FC7C6C" w:rsidRPr="00FC6194" w:rsidRDefault="00FC7C6C" w:rsidP="00FC7C6C">
      <w:pPr>
        <w:spacing w:after="120" w:line="240" w:lineRule="auto"/>
        <w:jc w:val="center"/>
        <w:rPr>
          <w:rFonts w:ascii="Cambria" w:hAnsi="Cambria"/>
        </w:rPr>
      </w:pPr>
    </w:p>
    <w:p w14:paraId="19E2AADD" w14:textId="77777777" w:rsidR="00FC7C6C" w:rsidRDefault="00FC7C6C" w:rsidP="00FC7C6C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 xml:space="preserve">Tabella </w:t>
      </w:r>
      <w:r w:rsidR="00107CCF">
        <w:rPr>
          <w:rFonts w:cstheme="minorHAnsi"/>
          <w:b/>
          <w:color w:val="00457D"/>
          <w:sz w:val="20"/>
          <w:szCs w:val="20"/>
        </w:rPr>
        <w:t>6</w:t>
      </w:r>
      <w:r w:rsidRPr="003D708E">
        <w:rPr>
          <w:rFonts w:cstheme="minorHAnsi"/>
          <w:b/>
          <w:color w:val="00457D"/>
          <w:sz w:val="20"/>
          <w:szCs w:val="20"/>
        </w:rPr>
        <w:t>. Medici e infermieri: confronto tra Italia e Paesi OCSE</w:t>
      </w:r>
    </w:p>
    <w:tbl>
      <w:tblPr>
        <w:tblW w:w="8075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3544"/>
        <w:gridCol w:w="1134"/>
        <w:gridCol w:w="1134"/>
        <w:gridCol w:w="1134"/>
      </w:tblGrid>
      <w:tr w:rsidR="00FC7C6C" w:rsidRPr="0073161B" w14:paraId="6A1D1520" w14:textId="77777777" w:rsidTr="000F3F9A">
        <w:trPr>
          <w:trHeight w:val="340"/>
          <w:jc w:val="center"/>
        </w:trPr>
        <w:tc>
          <w:tcPr>
            <w:tcW w:w="467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457D"/>
              <w:right w:val="single" w:sz="4" w:space="0" w:color="00457D"/>
            </w:tcBorders>
            <w:vAlign w:val="center"/>
          </w:tcPr>
          <w:p w14:paraId="27C19D5B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left w:val="single" w:sz="4" w:space="0" w:color="00457D"/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49BE60F5" w14:textId="77777777" w:rsidR="00FC7C6C" w:rsidRPr="0073161B" w:rsidRDefault="00FC7C6C" w:rsidP="000F3F9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3161B">
              <w:rPr>
                <w:rFonts w:ascii="Cambria" w:hAnsi="Cambria"/>
                <w:b/>
                <w:bCs/>
                <w:sz w:val="20"/>
                <w:szCs w:val="20"/>
              </w:rPr>
              <w:t>Italia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vAlign w:val="center"/>
          </w:tcPr>
          <w:p w14:paraId="279A79FC" w14:textId="77777777" w:rsidR="00FC7C6C" w:rsidRPr="0073161B" w:rsidRDefault="00FC7C6C" w:rsidP="000F3F9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3161B">
              <w:rPr>
                <w:rFonts w:ascii="Cambria" w:hAnsi="Cambria"/>
                <w:b/>
                <w:bCs/>
                <w:sz w:val="20"/>
                <w:szCs w:val="20"/>
              </w:rPr>
              <w:t xml:space="preserve">Media </w:t>
            </w:r>
            <w:r w:rsidRPr="0073161B">
              <w:rPr>
                <w:rFonts w:ascii="Cambria" w:hAnsi="Cambria"/>
                <w:b/>
                <w:bCs/>
                <w:sz w:val="20"/>
                <w:szCs w:val="20"/>
              </w:rPr>
              <w:br/>
              <w:t>OCSE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00457D"/>
            </w:tcBorders>
            <w:shd w:val="clear" w:color="auto" w:fill="00457D"/>
            <w:vAlign w:val="center"/>
          </w:tcPr>
          <w:p w14:paraId="6C46905C" w14:textId="77777777" w:rsidR="00FC7C6C" w:rsidRPr="0073161B" w:rsidRDefault="00FC7C6C" w:rsidP="000F3F9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3161B">
              <w:rPr>
                <w:rFonts w:ascii="Cambria" w:hAnsi="Cambria"/>
                <w:b/>
                <w:bCs/>
                <w:sz w:val="20"/>
                <w:szCs w:val="20"/>
              </w:rPr>
              <w:t xml:space="preserve">Rank </w:t>
            </w:r>
            <w:r w:rsidRPr="0073161B">
              <w:rPr>
                <w:rFonts w:ascii="Cambria" w:hAnsi="Cambria"/>
                <w:b/>
                <w:bCs/>
                <w:sz w:val="20"/>
                <w:szCs w:val="20"/>
              </w:rPr>
              <w:br/>
              <w:t>Italia</w:t>
            </w:r>
          </w:p>
        </w:tc>
      </w:tr>
      <w:tr w:rsidR="00FC7C6C" w:rsidRPr="0073161B" w14:paraId="73C422BB" w14:textId="77777777" w:rsidTr="000F3F9A">
        <w:trPr>
          <w:trHeight w:val="340"/>
          <w:jc w:val="center"/>
        </w:trPr>
        <w:tc>
          <w:tcPr>
            <w:tcW w:w="1129" w:type="dxa"/>
            <w:vMerge w:val="restart"/>
            <w:tcBorders>
              <w:top w:val="single" w:sz="4" w:space="0" w:color="00457D"/>
            </w:tcBorders>
            <w:vAlign w:val="center"/>
          </w:tcPr>
          <w:p w14:paraId="78C068A1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</w:pPr>
            <w:r w:rsidRPr="0073161B"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  <w:t>Medici</w:t>
            </w:r>
          </w:p>
        </w:tc>
        <w:tc>
          <w:tcPr>
            <w:tcW w:w="3544" w:type="dxa"/>
            <w:tcBorders>
              <w:top w:val="single" w:sz="4" w:space="0" w:color="00457D"/>
            </w:tcBorders>
            <w:vAlign w:val="center"/>
          </w:tcPr>
          <w:p w14:paraId="087AD9EF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N° per 1.000 abitanti</w:t>
            </w:r>
          </w:p>
        </w:tc>
        <w:tc>
          <w:tcPr>
            <w:tcW w:w="1134" w:type="dxa"/>
            <w:noWrap/>
            <w:vAlign w:val="center"/>
          </w:tcPr>
          <w:p w14:paraId="6C075999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5,8</w:t>
            </w:r>
          </w:p>
        </w:tc>
        <w:tc>
          <w:tcPr>
            <w:tcW w:w="1134" w:type="dxa"/>
            <w:vAlign w:val="center"/>
          </w:tcPr>
          <w:p w14:paraId="71053020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4,0</w:t>
            </w:r>
          </w:p>
        </w:tc>
        <w:tc>
          <w:tcPr>
            <w:tcW w:w="1134" w:type="dxa"/>
            <w:vAlign w:val="center"/>
          </w:tcPr>
          <w:p w14:paraId="6F142B0A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2/34</w:t>
            </w:r>
          </w:p>
        </w:tc>
      </w:tr>
      <w:tr w:rsidR="00FC7C6C" w:rsidRPr="0073161B" w14:paraId="2F740D74" w14:textId="77777777" w:rsidTr="000F3F9A">
        <w:trPr>
          <w:trHeight w:val="340"/>
          <w:jc w:val="center"/>
        </w:trPr>
        <w:tc>
          <w:tcPr>
            <w:tcW w:w="1129" w:type="dxa"/>
            <w:vMerge/>
            <w:vAlign w:val="center"/>
          </w:tcPr>
          <w:p w14:paraId="467542C4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544" w:type="dxa"/>
            <w:vAlign w:val="center"/>
          </w:tcPr>
          <w:p w14:paraId="1B8F2329" w14:textId="77777777" w:rsidR="00FC7C6C" w:rsidRPr="0073161B" w:rsidRDefault="00FC7C6C" w:rsidP="000F3F9A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Retribuzione specialisti ($)</w:t>
            </w:r>
          </w:p>
        </w:tc>
        <w:tc>
          <w:tcPr>
            <w:tcW w:w="1134" w:type="dxa"/>
            <w:noWrap/>
            <w:vAlign w:val="center"/>
          </w:tcPr>
          <w:p w14:paraId="5D449A15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bCs/>
                <w:sz w:val="20"/>
                <w:szCs w:val="20"/>
              </w:rPr>
              <w:t>147.782</w:t>
            </w:r>
          </w:p>
        </w:tc>
        <w:tc>
          <w:tcPr>
            <w:tcW w:w="1134" w:type="dxa"/>
            <w:vAlign w:val="center"/>
          </w:tcPr>
          <w:p w14:paraId="2BD80EB1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  <w:lang w:eastAsia="it-IT"/>
              </w:rPr>
              <w:t>145.795</w:t>
            </w:r>
          </w:p>
        </w:tc>
        <w:tc>
          <w:tcPr>
            <w:tcW w:w="1134" w:type="dxa"/>
            <w:vAlign w:val="center"/>
          </w:tcPr>
          <w:p w14:paraId="1AB867D5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17/32</w:t>
            </w:r>
          </w:p>
        </w:tc>
      </w:tr>
      <w:tr w:rsidR="00FC7C6C" w:rsidRPr="0073161B" w14:paraId="4CD7D5FE" w14:textId="77777777" w:rsidTr="000F3F9A">
        <w:trPr>
          <w:trHeight w:val="340"/>
          <w:jc w:val="center"/>
        </w:trPr>
        <w:tc>
          <w:tcPr>
            <w:tcW w:w="1129" w:type="dxa"/>
            <w:vMerge/>
            <w:vAlign w:val="center"/>
          </w:tcPr>
          <w:p w14:paraId="1234E207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544" w:type="dxa"/>
            <w:vAlign w:val="center"/>
          </w:tcPr>
          <w:p w14:paraId="11CFD394" w14:textId="77777777" w:rsidR="00FC7C6C" w:rsidRPr="0073161B" w:rsidRDefault="00FC7C6C" w:rsidP="000F3F9A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Laureati per 100.000 abitanti</w:t>
            </w:r>
          </w:p>
        </w:tc>
        <w:tc>
          <w:tcPr>
            <w:tcW w:w="1134" w:type="dxa"/>
            <w:noWrap/>
            <w:vAlign w:val="center"/>
          </w:tcPr>
          <w:p w14:paraId="6CF48E9C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bCs/>
                <w:sz w:val="20"/>
                <w:szCs w:val="20"/>
              </w:rPr>
              <w:t>17,0</w:t>
            </w:r>
          </w:p>
        </w:tc>
        <w:tc>
          <w:tcPr>
            <w:tcW w:w="1134" w:type="dxa"/>
            <w:vAlign w:val="center"/>
          </w:tcPr>
          <w:p w14:paraId="7D0FD933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 w:cs="Calibri"/>
                <w:sz w:val="20"/>
                <w:szCs w:val="20"/>
              </w:rPr>
              <w:t>15,6</w:t>
            </w:r>
          </w:p>
        </w:tc>
        <w:tc>
          <w:tcPr>
            <w:tcW w:w="1134" w:type="dxa"/>
            <w:vAlign w:val="center"/>
          </w:tcPr>
          <w:p w14:paraId="640C7455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12/31</w:t>
            </w:r>
          </w:p>
        </w:tc>
      </w:tr>
      <w:tr w:rsidR="00FC7C6C" w:rsidRPr="0073161B" w14:paraId="17B2FC71" w14:textId="77777777" w:rsidTr="000F3F9A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0F394772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</w:pPr>
            <w:r w:rsidRPr="0073161B"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  <w:t>Infermieri</w:t>
            </w:r>
          </w:p>
        </w:tc>
        <w:tc>
          <w:tcPr>
            <w:tcW w:w="3544" w:type="dxa"/>
            <w:vAlign w:val="center"/>
          </w:tcPr>
          <w:p w14:paraId="23768F8C" w14:textId="77777777" w:rsidR="00FC7C6C" w:rsidRPr="0073161B" w:rsidRDefault="00FC7C6C" w:rsidP="000F3F9A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N° per 1.000 abitanti</w:t>
            </w:r>
          </w:p>
        </w:tc>
        <w:tc>
          <w:tcPr>
            <w:tcW w:w="1134" w:type="dxa"/>
            <w:noWrap/>
            <w:vAlign w:val="center"/>
          </w:tcPr>
          <w:p w14:paraId="166DAB01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bCs/>
                <w:sz w:val="20"/>
                <w:szCs w:val="20"/>
              </w:rPr>
              <w:t>6,9</w:t>
            </w:r>
          </w:p>
        </w:tc>
        <w:tc>
          <w:tcPr>
            <w:tcW w:w="1134" w:type="dxa"/>
            <w:vAlign w:val="center"/>
          </w:tcPr>
          <w:p w14:paraId="0846013C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 w:cs="Calibri"/>
                <w:sz w:val="20"/>
                <w:szCs w:val="20"/>
              </w:rPr>
              <w:t>9,7</w:t>
            </w:r>
          </w:p>
        </w:tc>
        <w:tc>
          <w:tcPr>
            <w:tcW w:w="1134" w:type="dxa"/>
            <w:vAlign w:val="center"/>
          </w:tcPr>
          <w:p w14:paraId="00AA134C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24/33</w:t>
            </w:r>
          </w:p>
        </w:tc>
      </w:tr>
      <w:tr w:rsidR="00FC7C6C" w:rsidRPr="0073161B" w14:paraId="1B7C803E" w14:textId="77777777" w:rsidTr="000F3F9A">
        <w:trPr>
          <w:trHeight w:val="340"/>
          <w:jc w:val="center"/>
        </w:trPr>
        <w:tc>
          <w:tcPr>
            <w:tcW w:w="1129" w:type="dxa"/>
            <w:vMerge/>
            <w:vAlign w:val="center"/>
          </w:tcPr>
          <w:p w14:paraId="488B2683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544" w:type="dxa"/>
            <w:vAlign w:val="center"/>
          </w:tcPr>
          <w:p w14:paraId="1D513C0E" w14:textId="77777777" w:rsidR="00FC7C6C" w:rsidRPr="0073161B" w:rsidRDefault="00FC7C6C" w:rsidP="000F3F9A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Retribuzione infermieri ospedalieri ($)</w:t>
            </w:r>
          </w:p>
        </w:tc>
        <w:tc>
          <w:tcPr>
            <w:tcW w:w="1134" w:type="dxa"/>
            <w:noWrap/>
            <w:vAlign w:val="center"/>
          </w:tcPr>
          <w:p w14:paraId="5079B9C1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bCs/>
                <w:sz w:val="20"/>
                <w:szCs w:val="20"/>
              </w:rPr>
              <w:t>49.730</w:t>
            </w:r>
          </w:p>
        </w:tc>
        <w:tc>
          <w:tcPr>
            <w:tcW w:w="1134" w:type="dxa"/>
            <w:vAlign w:val="center"/>
          </w:tcPr>
          <w:p w14:paraId="68D804B1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  <w:lang w:eastAsia="it-IT"/>
              </w:rPr>
              <w:t>67.773</w:t>
            </w:r>
          </w:p>
        </w:tc>
        <w:tc>
          <w:tcPr>
            <w:tcW w:w="1134" w:type="dxa"/>
            <w:vAlign w:val="center"/>
          </w:tcPr>
          <w:p w14:paraId="4238E380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30/36</w:t>
            </w:r>
          </w:p>
        </w:tc>
      </w:tr>
      <w:tr w:rsidR="00FC7C6C" w:rsidRPr="0073161B" w14:paraId="439E2998" w14:textId="77777777" w:rsidTr="000F3F9A">
        <w:trPr>
          <w:trHeight w:val="340"/>
          <w:jc w:val="center"/>
        </w:trPr>
        <w:tc>
          <w:tcPr>
            <w:tcW w:w="1129" w:type="dxa"/>
            <w:vMerge/>
            <w:vAlign w:val="center"/>
          </w:tcPr>
          <w:p w14:paraId="12507CBA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544" w:type="dxa"/>
            <w:vAlign w:val="center"/>
          </w:tcPr>
          <w:p w14:paraId="34CDB9DF" w14:textId="77777777" w:rsidR="00FC7C6C" w:rsidRPr="0073161B" w:rsidRDefault="00FC7C6C" w:rsidP="000F3F9A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Laureati per 100.000 abitanti</w:t>
            </w:r>
          </w:p>
        </w:tc>
        <w:tc>
          <w:tcPr>
            <w:tcW w:w="1134" w:type="dxa"/>
            <w:noWrap/>
            <w:vAlign w:val="center"/>
          </w:tcPr>
          <w:p w14:paraId="536072BB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bCs/>
                <w:sz w:val="20"/>
                <w:szCs w:val="20"/>
              </w:rPr>
              <w:t>19,5</w:t>
            </w:r>
          </w:p>
        </w:tc>
        <w:tc>
          <w:tcPr>
            <w:tcW w:w="1134" w:type="dxa"/>
            <w:vAlign w:val="center"/>
          </w:tcPr>
          <w:p w14:paraId="361E5E27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 w:cs="Calibri"/>
                <w:sz w:val="20"/>
                <w:szCs w:val="20"/>
              </w:rPr>
              <w:t>43,6</w:t>
            </w:r>
          </w:p>
        </w:tc>
        <w:tc>
          <w:tcPr>
            <w:tcW w:w="1134" w:type="dxa"/>
            <w:vAlign w:val="center"/>
          </w:tcPr>
          <w:p w14:paraId="460EDF6D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34/38</w:t>
            </w:r>
          </w:p>
        </w:tc>
      </w:tr>
      <w:tr w:rsidR="00FC7C6C" w:rsidRPr="0073161B" w14:paraId="7CD80FBB" w14:textId="77777777" w:rsidTr="000F3F9A">
        <w:trPr>
          <w:trHeight w:val="340"/>
          <w:jc w:val="center"/>
        </w:trPr>
        <w:tc>
          <w:tcPr>
            <w:tcW w:w="4673" w:type="dxa"/>
            <w:gridSpan w:val="2"/>
            <w:vAlign w:val="center"/>
          </w:tcPr>
          <w:p w14:paraId="25AE939F" w14:textId="77777777" w:rsidR="00FC7C6C" w:rsidRPr="0073161B" w:rsidRDefault="00FC7C6C" w:rsidP="000F3F9A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Rapporto infermieri/medici</w:t>
            </w:r>
          </w:p>
        </w:tc>
        <w:tc>
          <w:tcPr>
            <w:tcW w:w="1134" w:type="dxa"/>
            <w:noWrap/>
            <w:vAlign w:val="center"/>
          </w:tcPr>
          <w:p w14:paraId="356207B7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bCs/>
                <w:sz w:val="20"/>
                <w:szCs w:val="20"/>
              </w:rPr>
              <w:t>1,2</w:t>
            </w:r>
          </w:p>
        </w:tc>
        <w:tc>
          <w:tcPr>
            <w:tcW w:w="1134" w:type="dxa"/>
            <w:vAlign w:val="center"/>
          </w:tcPr>
          <w:p w14:paraId="0CCEBFDD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 w:cs="Calibri"/>
                <w:sz w:val="20"/>
                <w:szCs w:val="20"/>
              </w:rPr>
              <w:t>2,4</w:t>
            </w:r>
          </w:p>
        </w:tc>
        <w:tc>
          <w:tcPr>
            <w:tcW w:w="1134" w:type="dxa"/>
            <w:vAlign w:val="center"/>
          </w:tcPr>
          <w:p w14:paraId="72A34697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30/33</w:t>
            </w:r>
          </w:p>
        </w:tc>
      </w:tr>
    </w:tbl>
    <w:p w14:paraId="20934FBF" w14:textId="77777777" w:rsidR="008C3E9C" w:rsidRDefault="008C3E9C" w:rsidP="00BC14E1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</w:p>
    <w:p w14:paraId="76159F27" w14:textId="2F9920FD" w:rsidR="00BC14E1" w:rsidRPr="00BC14E1" w:rsidRDefault="00BC14E1" w:rsidP="00BC14E1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 w:rsidRPr="00BC14E1">
        <w:rPr>
          <w:rFonts w:cstheme="minorHAnsi"/>
          <w:b/>
          <w:color w:val="00457D"/>
          <w:sz w:val="20"/>
          <w:szCs w:val="20"/>
        </w:rPr>
        <w:t xml:space="preserve">Tabella </w:t>
      </w:r>
      <w:r w:rsidR="00107CCF">
        <w:rPr>
          <w:rFonts w:cstheme="minorHAnsi"/>
          <w:b/>
          <w:color w:val="00457D"/>
          <w:sz w:val="20"/>
          <w:szCs w:val="20"/>
        </w:rPr>
        <w:t>7</w:t>
      </w:r>
      <w:r w:rsidRPr="00BC14E1">
        <w:rPr>
          <w:rFonts w:cstheme="minorHAnsi"/>
          <w:b/>
          <w:color w:val="00457D"/>
          <w:sz w:val="20"/>
          <w:szCs w:val="20"/>
        </w:rPr>
        <w:t>. Importo dei contratti di servizi di fornitura di personale per CPV</w:t>
      </w:r>
      <w:r>
        <w:rPr>
          <w:rFonts w:cstheme="minorHAnsi"/>
          <w:b/>
          <w:color w:val="00457D"/>
          <w:sz w:val="20"/>
          <w:szCs w:val="20"/>
        </w:rPr>
        <w:br/>
      </w:r>
      <w:r w:rsidRPr="00BC14E1">
        <w:rPr>
          <w:rFonts w:cstheme="minorHAnsi"/>
          <w:color w:val="00457D"/>
          <w:sz w:val="20"/>
          <w:szCs w:val="20"/>
        </w:rPr>
        <w:t>(dati ANAC)</w:t>
      </w:r>
    </w:p>
    <w:tbl>
      <w:tblPr>
        <w:tblW w:w="8294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1348"/>
        <w:gridCol w:w="1349"/>
        <w:gridCol w:w="1349"/>
      </w:tblGrid>
      <w:tr w:rsidR="00BC14E1" w:rsidRPr="00F72AFA" w14:paraId="423D7434" w14:textId="77777777" w:rsidTr="000F3F9A">
        <w:trPr>
          <w:trHeight w:val="329"/>
          <w:jc w:val="center"/>
        </w:trPr>
        <w:tc>
          <w:tcPr>
            <w:tcW w:w="4248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vAlign w:val="center"/>
            <w:hideMark/>
          </w:tcPr>
          <w:p w14:paraId="36879441" w14:textId="77777777" w:rsidR="00BC14E1" w:rsidRPr="00F72AFA" w:rsidRDefault="00BC14E1" w:rsidP="000F3F9A">
            <w:pPr>
              <w:spacing w:after="0" w:line="240" w:lineRule="auto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Servizi di fornitura di personale</w:t>
            </w:r>
          </w:p>
        </w:tc>
        <w:tc>
          <w:tcPr>
            <w:tcW w:w="134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  <w:hideMark/>
          </w:tcPr>
          <w:p w14:paraId="0A4F4979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2024</w:t>
            </w:r>
          </w:p>
        </w:tc>
        <w:tc>
          <w:tcPr>
            <w:tcW w:w="134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vAlign w:val="center"/>
          </w:tcPr>
          <w:p w14:paraId="1EC261DA" w14:textId="77777777" w:rsidR="00BC14E1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2025</w:t>
            </w:r>
          </w:p>
        </w:tc>
        <w:tc>
          <w:tcPr>
            <w:tcW w:w="1349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00457D"/>
            <w:noWrap/>
            <w:vAlign w:val="center"/>
            <w:hideMark/>
          </w:tcPr>
          <w:p w14:paraId="2230B932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Variazione (%)</w:t>
            </w:r>
          </w:p>
        </w:tc>
      </w:tr>
      <w:tr w:rsidR="00BC14E1" w:rsidRPr="00F72AFA" w14:paraId="5F5C98C5" w14:textId="77777777" w:rsidTr="000F3F9A">
        <w:trPr>
          <w:trHeight w:val="329"/>
          <w:jc w:val="center"/>
        </w:trPr>
        <w:tc>
          <w:tcPr>
            <w:tcW w:w="4248" w:type="dxa"/>
            <w:noWrap/>
            <w:vAlign w:val="center"/>
          </w:tcPr>
          <w:p w14:paraId="4A9FBBD7" w14:textId="77777777" w:rsidR="00BC14E1" w:rsidRPr="00F72AFA" w:rsidRDefault="00BC14E1" w:rsidP="000F3F9A">
            <w:pPr>
              <w:spacing w:after="0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Medico</w:t>
            </w:r>
          </w:p>
        </w:tc>
        <w:tc>
          <w:tcPr>
            <w:tcW w:w="1348" w:type="dxa"/>
            <w:noWrap/>
            <w:vAlign w:val="center"/>
          </w:tcPr>
          <w:p w14:paraId="6CF615D9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1349" w:type="dxa"/>
            <w:vAlign w:val="center"/>
          </w:tcPr>
          <w:p w14:paraId="37B11181" w14:textId="77777777" w:rsidR="00BC14E1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50</w:t>
            </w:r>
          </w:p>
        </w:tc>
        <w:tc>
          <w:tcPr>
            <w:tcW w:w="1349" w:type="dxa"/>
            <w:noWrap/>
            <w:vAlign w:val="center"/>
          </w:tcPr>
          <w:p w14:paraId="1EF95C74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+62%</w:t>
            </w:r>
          </w:p>
        </w:tc>
      </w:tr>
      <w:tr w:rsidR="00BC14E1" w:rsidRPr="00F72AFA" w14:paraId="0C8F9227" w14:textId="77777777" w:rsidTr="000F3F9A">
        <w:trPr>
          <w:trHeight w:val="312"/>
          <w:jc w:val="center"/>
        </w:trPr>
        <w:tc>
          <w:tcPr>
            <w:tcW w:w="4248" w:type="dxa"/>
            <w:noWrap/>
            <w:vAlign w:val="center"/>
          </w:tcPr>
          <w:p w14:paraId="7E5D941B" w14:textId="77777777" w:rsidR="00BC14E1" w:rsidRPr="00F72AFA" w:rsidRDefault="00BC14E1" w:rsidP="000F3F9A">
            <w:pPr>
              <w:spacing w:after="0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Infermieristico</w:t>
            </w:r>
          </w:p>
        </w:tc>
        <w:tc>
          <w:tcPr>
            <w:tcW w:w="1348" w:type="dxa"/>
            <w:noWrap/>
            <w:vAlign w:val="center"/>
          </w:tcPr>
          <w:p w14:paraId="6707C824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1349" w:type="dxa"/>
            <w:vAlign w:val="center"/>
          </w:tcPr>
          <w:p w14:paraId="3096027E" w14:textId="77777777" w:rsidR="00BC14E1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1349" w:type="dxa"/>
            <w:noWrap/>
            <w:vAlign w:val="center"/>
          </w:tcPr>
          <w:p w14:paraId="05EA6774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-48%</w:t>
            </w:r>
          </w:p>
        </w:tc>
      </w:tr>
      <w:tr w:rsidR="00BC14E1" w:rsidRPr="00F72AFA" w14:paraId="05D08127" w14:textId="77777777" w:rsidTr="000F3F9A">
        <w:trPr>
          <w:trHeight w:val="312"/>
          <w:jc w:val="center"/>
        </w:trPr>
        <w:tc>
          <w:tcPr>
            <w:tcW w:w="4248" w:type="dxa"/>
            <w:noWrap/>
            <w:vAlign w:val="center"/>
          </w:tcPr>
          <w:p w14:paraId="7AE6A0CE" w14:textId="77777777" w:rsidR="00BC14E1" w:rsidRPr="00F72AFA" w:rsidRDefault="00BC14E1" w:rsidP="000F3F9A">
            <w:pPr>
              <w:spacing w:after="0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Personale (generico)</w:t>
            </w:r>
          </w:p>
        </w:tc>
        <w:tc>
          <w:tcPr>
            <w:tcW w:w="1348" w:type="dxa"/>
            <w:noWrap/>
            <w:vAlign w:val="center"/>
          </w:tcPr>
          <w:p w14:paraId="7CB3F957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441</w:t>
            </w:r>
          </w:p>
        </w:tc>
        <w:tc>
          <w:tcPr>
            <w:tcW w:w="1349" w:type="dxa"/>
            <w:vAlign w:val="center"/>
          </w:tcPr>
          <w:p w14:paraId="1F717E36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506</w:t>
            </w:r>
          </w:p>
        </w:tc>
        <w:tc>
          <w:tcPr>
            <w:tcW w:w="1349" w:type="dxa"/>
            <w:noWrap/>
            <w:vAlign w:val="center"/>
          </w:tcPr>
          <w:p w14:paraId="60039DFB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+15%</w:t>
            </w:r>
          </w:p>
        </w:tc>
      </w:tr>
      <w:tr w:rsidR="00BC14E1" w:rsidRPr="00F72AFA" w14:paraId="257BAE07" w14:textId="77777777" w:rsidTr="000F3F9A">
        <w:trPr>
          <w:trHeight w:val="312"/>
          <w:jc w:val="center"/>
        </w:trPr>
        <w:tc>
          <w:tcPr>
            <w:tcW w:w="4248" w:type="dxa"/>
            <w:tcBorders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2AF755EA" w14:textId="77777777" w:rsidR="00BC14E1" w:rsidRPr="00F72AFA" w:rsidRDefault="00BC14E1" w:rsidP="000F3F9A">
            <w:pPr>
              <w:spacing w:after="0" w:line="240" w:lineRule="auto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134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6DA7B3F1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496</w:t>
            </w:r>
          </w:p>
        </w:tc>
        <w:tc>
          <w:tcPr>
            <w:tcW w:w="134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vAlign w:val="center"/>
          </w:tcPr>
          <w:p w14:paraId="55AF1EC2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568</w:t>
            </w:r>
          </w:p>
        </w:tc>
        <w:tc>
          <w:tcPr>
            <w:tcW w:w="1349" w:type="dxa"/>
            <w:tcBorders>
              <w:lef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3A3BDC35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+15%</w:t>
            </w:r>
          </w:p>
        </w:tc>
      </w:tr>
      <w:tr w:rsidR="00BC14E1" w:rsidRPr="00F72AFA" w14:paraId="0DC3F9F3" w14:textId="77777777" w:rsidTr="000F3F9A">
        <w:trPr>
          <w:trHeight w:val="312"/>
          <w:jc w:val="center"/>
        </w:trPr>
        <w:tc>
          <w:tcPr>
            <w:tcW w:w="8294" w:type="dxa"/>
            <w:gridSpan w:val="4"/>
            <w:noWrap/>
            <w:vAlign w:val="center"/>
          </w:tcPr>
          <w:p w14:paraId="14D0150B" w14:textId="77777777" w:rsidR="00BC14E1" w:rsidRPr="00E16C34" w:rsidRDefault="00BC14E1" w:rsidP="000F3F9A">
            <w:pPr>
              <w:spacing w:after="0" w:line="240" w:lineRule="auto"/>
              <w:rPr>
                <w:rFonts w:ascii="Cambria" w:eastAsia="Times New Roman" w:hAnsi="Cambria" w:cstheme="minorHAnsi"/>
                <w:sz w:val="18"/>
                <w:szCs w:val="18"/>
                <w:lang w:eastAsia="it-IT"/>
              </w:rPr>
            </w:pPr>
            <w:r>
              <w:rPr>
                <w:rFonts w:ascii="Cambria" w:eastAsia="Times New Roman" w:hAnsi="Cambria" w:cstheme="minorHAnsi"/>
                <w:sz w:val="18"/>
                <w:szCs w:val="18"/>
                <w:lang w:eastAsia="it-IT"/>
              </w:rPr>
              <w:t>Dati in milioni di €</w:t>
            </w:r>
          </w:p>
        </w:tc>
      </w:tr>
    </w:tbl>
    <w:p w14:paraId="3258A689" w14:textId="77777777" w:rsidR="00BC14E1" w:rsidRDefault="00BC14E1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</w:p>
    <w:p w14:paraId="74B55FFC" w14:textId="77777777" w:rsidR="00A00F56" w:rsidRDefault="00A00F56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0DF9A5A5" w14:textId="333789FC" w:rsidR="00BC14E1" w:rsidRPr="00BC14E1" w:rsidRDefault="00BC14E1" w:rsidP="00BC14E1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 w:rsidRPr="00BC14E1">
        <w:rPr>
          <w:rFonts w:cstheme="minorHAnsi"/>
          <w:b/>
          <w:color w:val="00457D"/>
          <w:sz w:val="20"/>
          <w:szCs w:val="20"/>
        </w:rPr>
        <w:t xml:space="preserve">Tabella </w:t>
      </w:r>
      <w:r w:rsidR="00107CCF">
        <w:rPr>
          <w:rFonts w:cstheme="minorHAnsi"/>
          <w:b/>
          <w:color w:val="00457D"/>
          <w:sz w:val="20"/>
          <w:szCs w:val="20"/>
        </w:rPr>
        <w:t>8</w:t>
      </w:r>
      <w:r w:rsidRPr="00BC14E1">
        <w:rPr>
          <w:rFonts w:cstheme="minorHAnsi"/>
          <w:b/>
          <w:color w:val="00457D"/>
          <w:sz w:val="20"/>
          <w:szCs w:val="20"/>
        </w:rPr>
        <w:t>. Numero di strutture per tipologia di assistenza erogata anno 2023</w:t>
      </w:r>
      <w:r w:rsidRPr="00BC14E1">
        <w:rPr>
          <w:rFonts w:cstheme="minorHAnsi"/>
          <w:color w:val="00457D"/>
          <w:sz w:val="20"/>
          <w:szCs w:val="20"/>
        </w:rPr>
        <w:br/>
        <w:t>(dati Ministero della Salute)</w:t>
      </w:r>
    </w:p>
    <w:tbl>
      <w:tblPr>
        <w:tblW w:w="7090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1559"/>
        <w:gridCol w:w="1418"/>
        <w:gridCol w:w="1275"/>
        <w:gridCol w:w="8"/>
      </w:tblGrid>
      <w:tr w:rsidR="00BC14E1" w:rsidRPr="00BF7B62" w14:paraId="056435BF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tcBorders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3D54768B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Tipologia di assistenza</w:t>
            </w: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6C5496E6" w14:textId="77777777" w:rsidR="00BC14E1" w:rsidRPr="00BF7B62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Pubbliche</w:t>
            </w:r>
          </w:p>
        </w:tc>
        <w:tc>
          <w:tcPr>
            <w:tcW w:w="14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042DDEAF" w14:textId="77777777" w:rsidR="00BC14E1" w:rsidRPr="00BF7B62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Private accreditate</w:t>
            </w:r>
          </w:p>
        </w:tc>
        <w:tc>
          <w:tcPr>
            <w:tcW w:w="1275" w:type="dxa"/>
            <w:tcBorders>
              <w:lef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6EC48D0E" w14:textId="77777777" w:rsidR="00BC14E1" w:rsidRPr="00BF7B62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Totale</w:t>
            </w:r>
          </w:p>
        </w:tc>
      </w:tr>
      <w:tr w:rsidR="00BC14E1" w:rsidRPr="00BF7B62" w14:paraId="69936AAD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noWrap/>
            <w:vAlign w:val="center"/>
            <w:hideMark/>
          </w:tcPr>
          <w:p w14:paraId="706E83FA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Ospedaliera</w:t>
            </w:r>
          </w:p>
        </w:tc>
        <w:tc>
          <w:tcPr>
            <w:tcW w:w="1559" w:type="dxa"/>
            <w:noWrap/>
            <w:vAlign w:val="center"/>
            <w:hideMark/>
          </w:tcPr>
          <w:p w14:paraId="5AC9F25F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511</w:t>
            </w:r>
          </w:p>
        </w:tc>
        <w:tc>
          <w:tcPr>
            <w:tcW w:w="1418" w:type="dxa"/>
            <w:noWrap/>
            <w:vAlign w:val="center"/>
            <w:hideMark/>
          </w:tcPr>
          <w:p w14:paraId="10641DBA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485</w:t>
            </w:r>
          </w:p>
        </w:tc>
        <w:tc>
          <w:tcPr>
            <w:tcW w:w="1275" w:type="dxa"/>
            <w:noWrap/>
            <w:vAlign w:val="center"/>
            <w:hideMark/>
          </w:tcPr>
          <w:p w14:paraId="6BD51BAB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996</w:t>
            </w:r>
          </w:p>
        </w:tc>
      </w:tr>
      <w:tr w:rsidR="00BC14E1" w:rsidRPr="00BF7B62" w14:paraId="1BE19C04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noWrap/>
            <w:vAlign w:val="center"/>
            <w:hideMark/>
          </w:tcPr>
          <w:p w14:paraId="57705CEB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Specialistica ambulatoriale</w:t>
            </w:r>
          </w:p>
        </w:tc>
        <w:tc>
          <w:tcPr>
            <w:tcW w:w="1559" w:type="dxa"/>
            <w:noWrap/>
            <w:vAlign w:val="center"/>
            <w:hideMark/>
          </w:tcPr>
          <w:p w14:paraId="0CA976B2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3.675</w:t>
            </w:r>
          </w:p>
        </w:tc>
        <w:tc>
          <w:tcPr>
            <w:tcW w:w="1418" w:type="dxa"/>
            <w:noWrap/>
            <w:vAlign w:val="center"/>
            <w:hideMark/>
          </w:tcPr>
          <w:p w14:paraId="5C3B3D8A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5.446</w:t>
            </w:r>
          </w:p>
        </w:tc>
        <w:tc>
          <w:tcPr>
            <w:tcW w:w="1275" w:type="dxa"/>
            <w:noWrap/>
            <w:vAlign w:val="center"/>
            <w:hideMark/>
          </w:tcPr>
          <w:p w14:paraId="67B4BDC8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9.121</w:t>
            </w:r>
          </w:p>
        </w:tc>
      </w:tr>
      <w:tr w:rsidR="00BC14E1" w:rsidRPr="00BF7B62" w14:paraId="307BFAFA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noWrap/>
            <w:vAlign w:val="center"/>
            <w:hideMark/>
          </w:tcPr>
          <w:p w14:paraId="392B10AF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Residenziale</w:t>
            </w:r>
          </w:p>
        </w:tc>
        <w:tc>
          <w:tcPr>
            <w:tcW w:w="1559" w:type="dxa"/>
            <w:noWrap/>
            <w:vAlign w:val="center"/>
            <w:hideMark/>
          </w:tcPr>
          <w:p w14:paraId="442BCB23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1.213</w:t>
            </w:r>
          </w:p>
        </w:tc>
        <w:tc>
          <w:tcPr>
            <w:tcW w:w="1418" w:type="dxa"/>
            <w:noWrap/>
            <w:vAlign w:val="center"/>
            <w:hideMark/>
          </w:tcPr>
          <w:p w14:paraId="5F1CD514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6.901</w:t>
            </w:r>
          </w:p>
        </w:tc>
        <w:tc>
          <w:tcPr>
            <w:tcW w:w="1275" w:type="dxa"/>
            <w:noWrap/>
            <w:vAlign w:val="center"/>
            <w:hideMark/>
          </w:tcPr>
          <w:p w14:paraId="70275886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8.114</w:t>
            </w:r>
          </w:p>
        </w:tc>
      </w:tr>
      <w:tr w:rsidR="00BC14E1" w:rsidRPr="00BF7B62" w14:paraId="65CD6397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noWrap/>
            <w:vAlign w:val="center"/>
            <w:hideMark/>
          </w:tcPr>
          <w:p w14:paraId="1F580AAF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Semi-residenziale</w:t>
            </w:r>
          </w:p>
        </w:tc>
        <w:tc>
          <w:tcPr>
            <w:tcW w:w="1559" w:type="dxa"/>
            <w:noWrap/>
            <w:vAlign w:val="center"/>
            <w:hideMark/>
          </w:tcPr>
          <w:p w14:paraId="0F9EA874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867</w:t>
            </w:r>
          </w:p>
        </w:tc>
        <w:tc>
          <w:tcPr>
            <w:tcW w:w="1418" w:type="dxa"/>
            <w:noWrap/>
            <w:vAlign w:val="center"/>
            <w:hideMark/>
          </w:tcPr>
          <w:p w14:paraId="54B12B8D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2.325</w:t>
            </w:r>
          </w:p>
        </w:tc>
        <w:tc>
          <w:tcPr>
            <w:tcW w:w="1275" w:type="dxa"/>
            <w:noWrap/>
            <w:vAlign w:val="center"/>
            <w:hideMark/>
          </w:tcPr>
          <w:p w14:paraId="2BE0B004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3.192</w:t>
            </w:r>
          </w:p>
        </w:tc>
      </w:tr>
      <w:tr w:rsidR="00BC14E1" w:rsidRPr="00BF7B62" w14:paraId="1AFF0111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noWrap/>
            <w:vAlign w:val="center"/>
            <w:hideMark/>
          </w:tcPr>
          <w:p w14:paraId="13728567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Riabilitativa</w:t>
            </w:r>
          </w:p>
        </w:tc>
        <w:tc>
          <w:tcPr>
            <w:tcW w:w="1559" w:type="dxa"/>
            <w:noWrap/>
            <w:vAlign w:val="center"/>
            <w:hideMark/>
          </w:tcPr>
          <w:p w14:paraId="2B748953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260</w:t>
            </w:r>
          </w:p>
        </w:tc>
        <w:tc>
          <w:tcPr>
            <w:tcW w:w="1418" w:type="dxa"/>
            <w:noWrap/>
            <w:vAlign w:val="center"/>
            <w:hideMark/>
          </w:tcPr>
          <w:p w14:paraId="30C504E1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943</w:t>
            </w:r>
          </w:p>
        </w:tc>
        <w:tc>
          <w:tcPr>
            <w:tcW w:w="1275" w:type="dxa"/>
            <w:noWrap/>
            <w:vAlign w:val="center"/>
            <w:hideMark/>
          </w:tcPr>
          <w:p w14:paraId="1158E968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1.203</w:t>
            </w:r>
          </w:p>
        </w:tc>
      </w:tr>
      <w:tr w:rsidR="00BC14E1" w:rsidRPr="00BF7B62" w14:paraId="417699A0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noWrap/>
            <w:vAlign w:val="center"/>
            <w:hideMark/>
          </w:tcPr>
          <w:p w14:paraId="43D8AB30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Altra assistenza territoriale</w:t>
            </w: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vertAlign w:val="superscript"/>
                <w:lang w:eastAsia="it-IT"/>
              </w:rPr>
              <w:t>*</w:t>
            </w:r>
          </w:p>
        </w:tc>
        <w:tc>
          <w:tcPr>
            <w:tcW w:w="1559" w:type="dxa"/>
            <w:noWrap/>
            <w:vAlign w:val="center"/>
            <w:hideMark/>
          </w:tcPr>
          <w:p w14:paraId="6A2C2B40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5.818</w:t>
            </w:r>
          </w:p>
        </w:tc>
        <w:tc>
          <w:tcPr>
            <w:tcW w:w="1418" w:type="dxa"/>
            <w:noWrap/>
            <w:vAlign w:val="center"/>
            <w:hideMark/>
          </w:tcPr>
          <w:p w14:paraId="3B8415C9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942</w:t>
            </w:r>
          </w:p>
        </w:tc>
        <w:tc>
          <w:tcPr>
            <w:tcW w:w="1275" w:type="dxa"/>
            <w:noWrap/>
            <w:vAlign w:val="center"/>
            <w:hideMark/>
          </w:tcPr>
          <w:p w14:paraId="55448A33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6.760</w:t>
            </w:r>
          </w:p>
        </w:tc>
      </w:tr>
      <w:tr w:rsidR="00BC14E1" w:rsidRPr="00BF7B62" w14:paraId="6E2A5856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tcBorders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7DF05375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Totale </w:t>
            </w: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07BEA286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12.344</w:t>
            </w:r>
          </w:p>
        </w:tc>
        <w:tc>
          <w:tcPr>
            <w:tcW w:w="14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376D9B43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17.042</w:t>
            </w:r>
          </w:p>
        </w:tc>
        <w:tc>
          <w:tcPr>
            <w:tcW w:w="1275" w:type="dxa"/>
            <w:tcBorders>
              <w:lef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02EA361B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29.386</w:t>
            </w:r>
          </w:p>
        </w:tc>
      </w:tr>
      <w:tr w:rsidR="00BC14E1" w:rsidRPr="00BF7B62" w14:paraId="34467A7C" w14:textId="77777777" w:rsidTr="000F3F9A">
        <w:trPr>
          <w:trHeight w:val="510"/>
          <w:jc w:val="center"/>
        </w:trPr>
        <w:tc>
          <w:tcPr>
            <w:tcW w:w="7090" w:type="dxa"/>
            <w:gridSpan w:val="5"/>
            <w:noWrap/>
            <w:vAlign w:val="center"/>
          </w:tcPr>
          <w:p w14:paraId="698BD3BA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sz w:val="18"/>
                <w:szCs w:val="18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sz w:val="18"/>
                <w:szCs w:val="18"/>
                <w:vertAlign w:val="superscript"/>
                <w:lang w:eastAsia="it-IT"/>
              </w:rPr>
              <w:t>*</w:t>
            </w:r>
            <w:r w:rsidRPr="00BF7B62">
              <w:rPr>
                <w:rFonts w:ascii="Cambria" w:eastAsia="Times New Roman" w:hAnsi="Cambria" w:cs="Calibri"/>
                <w:sz w:val="18"/>
                <w:szCs w:val="18"/>
                <w:lang w:eastAsia="it-IT"/>
              </w:rPr>
              <w:t>Centri dialisi ad assistenza limitata, stabilimenti idrotermali, centri di salute mentale, consultori familiari e centri distrettuali.</w:t>
            </w:r>
          </w:p>
        </w:tc>
      </w:tr>
    </w:tbl>
    <w:p w14:paraId="0ED5C0D0" w14:textId="77777777" w:rsidR="004D7A76" w:rsidRDefault="004D7A76" w:rsidP="004D7A76">
      <w:pPr>
        <w:spacing w:before="120" w:after="300"/>
        <w:jc w:val="center"/>
        <w:rPr>
          <w:rFonts w:ascii="Cambria" w:hAnsi="Cambria" w:cstheme="minorHAnsi"/>
          <w:b/>
          <w:bCs/>
          <w:color w:val="00457D"/>
          <w:sz w:val="18"/>
          <w:szCs w:val="18"/>
        </w:rPr>
      </w:pPr>
    </w:p>
    <w:p w14:paraId="3952B644" w14:textId="70475875" w:rsidR="00BC14E1" w:rsidRPr="004D7A76" w:rsidRDefault="004D7A76" w:rsidP="004D7A76">
      <w:pPr>
        <w:spacing w:before="120" w:after="300"/>
        <w:jc w:val="center"/>
        <w:rPr>
          <w:rFonts w:ascii="Cambria" w:hAnsi="Cambria" w:cstheme="minorHAnsi"/>
          <w:b/>
          <w:bCs/>
          <w:color w:val="00457D"/>
          <w:sz w:val="18"/>
          <w:szCs w:val="18"/>
        </w:rPr>
      </w:pPr>
      <w:r w:rsidRPr="007D68E4">
        <w:rPr>
          <w:rFonts w:cstheme="minorHAnsi"/>
          <w:b/>
          <w:color w:val="00457D"/>
          <w:sz w:val="20"/>
          <w:szCs w:val="20"/>
        </w:rPr>
        <w:t xml:space="preserve">Figura </w:t>
      </w:r>
      <w:r w:rsidR="007D68E4" w:rsidRPr="007D68E4">
        <w:rPr>
          <w:rFonts w:cstheme="minorHAnsi"/>
          <w:b/>
          <w:color w:val="00457D"/>
          <w:sz w:val="20"/>
          <w:szCs w:val="20"/>
        </w:rPr>
        <w:t>19</w:t>
      </w:r>
      <w:r>
        <w:rPr>
          <w:rFonts w:cstheme="minorHAnsi"/>
          <w:b/>
          <w:color w:val="00457D"/>
          <w:sz w:val="20"/>
          <w:szCs w:val="20"/>
        </w:rPr>
        <w:t xml:space="preserve">. </w:t>
      </w:r>
      <w:r w:rsidRPr="004D7A76">
        <w:rPr>
          <w:rFonts w:cstheme="minorHAnsi"/>
          <w:b/>
          <w:color w:val="00457D"/>
          <w:sz w:val="20"/>
          <w:szCs w:val="20"/>
        </w:rPr>
        <w:t>Distribuzione percentuale delle strutture pubbliche e private accreditate</w:t>
      </w:r>
      <w:r w:rsidRPr="004D7A76">
        <w:rPr>
          <w:rFonts w:cstheme="minorHAnsi"/>
          <w:b/>
          <w:color w:val="00457D"/>
          <w:sz w:val="20"/>
          <w:szCs w:val="20"/>
        </w:rPr>
        <w:br/>
        <w:t>per tipologia di assistenza</w:t>
      </w:r>
      <w:r w:rsidRPr="004D7A76">
        <w:rPr>
          <w:rFonts w:cstheme="minorHAnsi"/>
          <w:b/>
          <w:color w:val="00457D"/>
          <w:sz w:val="20"/>
          <w:szCs w:val="20"/>
        </w:rPr>
        <w:br/>
      </w:r>
      <w:r w:rsidRPr="004D7A76">
        <w:rPr>
          <w:rFonts w:eastAsia="Times New Roman" w:cstheme="minorHAnsi"/>
          <w:color w:val="00457D"/>
          <w:sz w:val="18"/>
          <w:szCs w:val="18"/>
          <w:lang w:eastAsia="it-IT"/>
        </w:rPr>
        <w:t>(elaborazione GIMBE su dati Ministero della Salute)</w:t>
      </w:r>
    </w:p>
    <w:p w14:paraId="35272C37" w14:textId="77777777" w:rsidR="004C0B48" w:rsidRPr="00BF7B62" w:rsidRDefault="004C0B48" w:rsidP="004C0B48">
      <w:pPr>
        <w:spacing w:after="0" w:line="240" w:lineRule="auto"/>
        <w:jc w:val="center"/>
        <w:rPr>
          <w:rFonts w:ascii="Cambria" w:hAnsi="Cambria" w:cstheme="minorHAnsi"/>
        </w:rPr>
      </w:pPr>
      <w:r w:rsidRPr="00BF7B62">
        <w:rPr>
          <w:rFonts w:ascii="Cambria" w:hAnsi="Cambria" w:cstheme="minorHAnsi"/>
          <w:noProof/>
          <w:lang w:eastAsia="it-IT"/>
        </w:rPr>
        <w:drawing>
          <wp:inline distT="0" distB="0" distL="0" distR="0" wp14:anchorId="19FC0361" wp14:editId="741A6ED6">
            <wp:extent cx="5040000" cy="2856351"/>
            <wp:effectExtent l="0" t="0" r="8255" b="1270"/>
            <wp:docPr id="51054904" name="Immagine 7" descr="Immagine che contiene testo, schermata, numero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54904" name="Immagine 7" descr="Immagine che contiene testo, schermata, numero, Caratter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563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D807D5" w14:textId="77777777" w:rsidR="00787878" w:rsidRDefault="00787878" w:rsidP="00787878">
      <w:pPr>
        <w:rPr>
          <w:rFonts w:ascii="Cambria" w:hAnsi="Cambria" w:cstheme="minorHAnsi"/>
        </w:rPr>
      </w:pPr>
    </w:p>
    <w:p w14:paraId="6FF1A740" w14:textId="77777777" w:rsidR="00A00F56" w:rsidRDefault="00A00F56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096F601C" w14:textId="717872BF" w:rsidR="00BC14E1" w:rsidRPr="00333ECC" w:rsidRDefault="00787878" w:rsidP="00333ECC">
      <w:pPr>
        <w:jc w:val="center"/>
        <w:rPr>
          <w:rFonts w:ascii="Cambria" w:hAnsi="Cambria" w:cstheme="minorHAnsi"/>
        </w:rPr>
      </w:pPr>
      <w:r>
        <w:rPr>
          <w:rFonts w:cstheme="minorHAnsi"/>
          <w:b/>
          <w:color w:val="00457D"/>
          <w:sz w:val="20"/>
          <w:szCs w:val="20"/>
        </w:rPr>
        <w:t>F</w:t>
      </w:r>
      <w:r w:rsidR="00BC14E1">
        <w:rPr>
          <w:rFonts w:cstheme="minorHAnsi"/>
          <w:b/>
          <w:color w:val="00457D"/>
          <w:sz w:val="20"/>
          <w:szCs w:val="20"/>
        </w:rPr>
        <w:t xml:space="preserve">igura </w:t>
      </w:r>
      <w:r w:rsidR="007D68E4">
        <w:rPr>
          <w:rFonts w:cstheme="minorHAnsi"/>
          <w:b/>
          <w:color w:val="00457D"/>
          <w:sz w:val="20"/>
          <w:szCs w:val="20"/>
        </w:rPr>
        <w:t>20</w:t>
      </w:r>
      <w:r w:rsidR="00BC14E1">
        <w:rPr>
          <w:rFonts w:cstheme="minorHAnsi"/>
          <w:b/>
          <w:color w:val="00457D"/>
          <w:sz w:val="20"/>
          <w:szCs w:val="20"/>
        </w:rPr>
        <w:t>. Spesa sanitaria pubblica destinata al privato accreditato e convenzionato 2012-2025</w:t>
      </w:r>
      <w:r w:rsidR="00333ECC">
        <w:rPr>
          <w:rFonts w:ascii="Cambria" w:hAnsi="Cambria" w:cstheme="minorHAnsi"/>
        </w:rPr>
        <w:br/>
      </w:r>
      <w:r w:rsidR="00BC14E1" w:rsidRPr="00BC14E1">
        <w:rPr>
          <w:rFonts w:cstheme="minorHAnsi"/>
          <w:color w:val="00457D"/>
          <w:sz w:val="20"/>
          <w:szCs w:val="20"/>
        </w:rPr>
        <w:t>(elaborazione GIMBE su dati ISTAT)</w:t>
      </w:r>
    </w:p>
    <w:p w14:paraId="10C6B564" w14:textId="77777777" w:rsidR="00BC14E1" w:rsidRPr="00BF7B62" w:rsidRDefault="00BC14E1" w:rsidP="00BC14E1">
      <w:pPr>
        <w:spacing w:after="0"/>
        <w:jc w:val="center"/>
        <w:rPr>
          <w:rFonts w:ascii="Cambria" w:hAnsi="Cambria" w:cstheme="minorHAnsi"/>
        </w:rPr>
      </w:pPr>
      <w:r>
        <w:rPr>
          <w:rFonts w:ascii="Cambria" w:hAnsi="Cambria" w:cstheme="minorHAnsi"/>
          <w:noProof/>
          <w:lang w:eastAsia="it-IT"/>
        </w:rPr>
        <w:drawing>
          <wp:inline distT="0" distB="0" distL="0" distR="0" wp14:anchorId="351AF656" wp14:editId="66691EFA">
            <wp:extent cx="5040000" cy="3031164"/>
            <wp:effectExtent l="0" t="0" r="8255" b="0"/>
            <wp:docPr id="122693216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031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297F0B" w14:textId="77777777" w:rsidR="002F1280" w:rsidRDefault="002F1280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ascii="Cambria" w:hAnsi="Cambria"/>
          <w:b/>
          <w:bCs/>
          <w:color w:val="00377D"/>
          <w:sz w:val="18"/>
          <w:szCs w:val="18"/>
        </w:rPr>
      </w:pPr>
    </w:p>
    <w:p w14:paraId="7CFB87EF" w14:textId="77777777" w:rsidR="009E62A2" w:rsidRDefault="009E62A2">
      <w:pPr>
        <w:rPr>
          <w:rFonts w:cstheme="minorHAnsi"/>
          <w:b/>
          <w:bCs/>
          <w:color w:val="00377D"/>
          <w:sz w:val="20"/>
          <w:szCs w:val="20"/>
        </w:rPr>
      </w:pPr>
      <w:r>
        <w:rPr>
          <w:rFonts w:cstheme="minorHAnsi"/>
          <w:b/>
          <w:bCs/>
          <w:color w:val="00377D"/>
          <w:sz w:val="20"/>
          <w:szCs w:val="20"/>
        </w:rPr>
        <w:br w:type="page"/>
      </w:r>
    </w:p>
    <w:p w14:paraId="589ACBD7" w14:textId="39A30B80" w:rsidR="003D302B" w:rsidRPr="003D302B" w:rsidRDefault="003D302B" w:rsidP="003D302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bCs/>
          <w:color w:val="00377D"/>
          <w:sz w:val="20"/>
          <w:szCs w:val="20"/>
        </w:rPr>
      </w:pPr>
      <w:r w:rsidRPr="003D302B">
        <w:rPr>
          <w:rFonts w:cstheme="minorHAnsi"/>
          <w:b/>
          <w:bCs/>
          <w:color w:val="00377D"/>
          <w:sz w:val="20"/>
          <w:szCs w:val="20"/>
        </w:rPr>
        <w:t>Tabell</w:t>
      </w:r>
      <w:r>
        <w:rPr>
          <w:rFonts w:cstheme="minorHAnsi"/>
          <w:b/>
          <w:bCs/>
          <w:color w:val="00377D"/>
          <w:sz w:val="20"/>
          <w:szCs w:val="20"/>
        </w:rPr>
        <w:t xml:space="preserve">a </w:t>
      </w:r>
      <w:r w:rsidR="007D68E4">
        <w:rPr>
          <w:rFonts w:cstheme="minorHAnsi"/>
          <w:b/>
          <w:bCs/>
          <w:color w:val="00377D"/>
          <w:sz w:val="20"/>
          <w:szCs w:val="20"/>
        </w:rPr>
        <w:t>9</w:t>
      </w:r>
      <w:r>
        <w:rPr>
          <w:rFonts w:cstheme="minorHAnsi"/>
          <w:b/>
          <w:bCs/>
          <w:color w:val="00377D"/>
          <w:sz w:val="20"/>
          <w:szCs w:val="20"/>
        </w:rPr>
        <w:t xml:space="preserve">. </w:t>
      </w:r>
      <w:r w:rsidRPr="003D302B">
        <w:rPr>
          <w:rFonts w:cstheme="minorHAnsi"/>
          <w:b/>
          <w:bCs/>
          <w:color w:val="00377D"/>
          <w:sz w:val="20"/>
          <w:szCs w:val="20"/>
        </w:rPr>
        <w:t>Missione 6</w:t>
      </w:r>
      <w:r>
        <w:rPr>
          <w:rFonts w:cstheme="minorHAnsi"/>
          <w:b/>
          <w:bCs/>
          <w:color w:val="00377D"/>
          <w:sz w:val="20"/>
          <w:szCs w:val="20"/>
        </w:rPr>
        <w:t xml:space="preserve"> Salute</w:t>
      </w:r>
      <w:r w:rsidRPr="003D302B">
        <w:rPr>
          <w:rFonts w:cstheme="minorHAnsi"/>
          <w:b/>
          <w:bCs/>
          <w:color w:val="00377D"/>
          <w:sz w:val="20"/>
          <w:szCs w:val="20"/>
        </w:rPr>
        <w:t xml:space="preserve">: </w:t>
      </w:r>
      <w:r>
        <w:rPr>
          <w:rFonts w:cstheme="minorHAnsi"/>
          <w:b/>
          <w:bCs/>
          <w:color w:val="00377D"/>
          <w:sz w:val="20"/>
          <w:szCs w:val="20"/>
        </w:rPr>
        <w:t xml:space="preserve">9 </w:t>
      </w:r>
      <w:r w:rsidRPr="003D302B">
        <w:rPr>
          <w:rFonts w:cstheme="minorHAnsi"/>
          <w:b/>
          <w:bCs/>
          <w:color w:val="00377D"/>
          <w:sz w:val="20"/>
          <w:szCs w:val="20"/>
        </w:rPr>
        <w:t xml:space="preserve">target e </w:t>
      </w:r>
      <w:r>
        <w:rPr>
          <w:rFonts w:cstheme="minorHAnsi"/>
          <w:b/>
          <w:bCs/>
          <w:color w:val="00377D"/>
          <w:sz w:val="20"/>
          <w:szCs w:val="20"/>
        </w:rPr>
        <w:t xml:space="preserve">1 </w:t>
      </w:r>
      <w:r w:rsidRPr="003D302B">
        <w:rPr>
          <w:rFonts w:cstheme="minorHAnsi"/>
          <w:b/>
          <w:bCs/>
          <w:color w:val="00377D"/>
          <w:sz w:val="20"/>
          <w:szCs w:val="20"/>
        </w:rPr>
        <w:t xml:space="preserve">milestone della decima </w:t>
      </w:r>
      <w:r>
        <w:rPr>
          <w:rFonts w:cstheme="minorHAnsi"/>
          <w:b/>
          <w:bCs/>
          <w:color w:val="00377D"/>
          <w:sz w:val="20"/>
          <w:szCs w:val="20"/>
        </w:rPr>
        <w:t xml:space="preserve">e ultima </w:t>
      </w:r>
      <w:r w:rsidRPr="003D302B">
        <w:rPr>
          <w:rFonts w:cstheme="minorHAnsi"/>
          <w:b/>
          <w:bCs/>
          <w:color w:val="00377D"/>
          <w:sz w:val="20"/>
          <w:szCs w:val="20"/>
        </w:rPr>
        <w:t xml:space="preserve">rata. </w:t>
      </w:r>
      <w:r>
        <w:rPr>
          <w:rFonts w:cstheme="minorHAnsi"/>
          <w:b/>
          <w:bCs/>
          <w:color w:val="00377D"/>
          <w:sz w:val="20"/>
          <w:szCs w:val="20"/>
        </w:rPr>
        <w:br/>
      </w:r>
      <w:r w:rsidRPr="003D302B">
        <w:rPr>
          <w:rFonts w:cstheme="minorHAnsi"/>
          <w:b/>
          <w:bCs/>
          <w:color w:val="00377D"/>
          <w:sz w:val="20"/>
          <w:szCs w:val="20"/>
        </w:rPr>
        <w:t>Requisiti e verifica indipendente delle evidenze pubbliche al 30 settembre 2026.</w:t>
      </w:r>
      <w:bookmarkStart w:id="1" w:name="_Hlk241855031"/>
      <w:bookmarkStart w:id="2" w:name="_Hlk241863125"/>
    </w:p>
    <w:tbl>
      <w:tblPr>
        <w:tblStyle w:val="Grigliatabella3"/>
        <w:tblW w:w="9721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80"/>
        <w:gridCol w:w="2626"/>
        <w:gridCol w:w="1559"/>
        <w:gridCol w:w="4056"/>
      </w:tblGrid>
      <w:tr w:rsidR="003D302B" w:rsidRPr="003D302B" w14:paraId="626C0EEF" w14:textId="77777777" w:rsidTr="003D302B">
        <w:trPr>
          <w:cantSplit/>
          <w:tblHeader/>
          <w:jc w:val="center"/>
        </w:trPr>
        <w:tc>
          <w:tcPr>
            <w:tcW w:w="1480" w:type="dxa"/>
            <w:tcBorders>
              <w:right w:val="single" w:sz="4" w:space="0" w:color="FFFFFF" w:themeColor="background1"/>
            </w:tcBorders>
            <w:shd w:val="clear" w:color="auto" w:fill="00377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58AE639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FFFFFF"/>
                <w:sz w:val="20"/>
                <w:szCs w:val="20"/>
                <w:lang w:val="it-IT"/>
              </w:rPr>
              <w:t>Obiettivo</w:t>
            </w:r>
          </w:p>
        </w:tc>
        <w:tc>
          <w:tcPr>
            <w:tcW w:w="26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377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AF00DB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FFFFFF"/>
                <w:sz w:val="20"/>
                <w:szCs w:val="20"/>
                <w:lang w:val="it-IT"/>
              </w:rPr>
              <w:t xml:space="preserve">Requisiti </w:t>
            </w:r>
            <w:r w:rsidRPr="00F81673">
              <w:rPr>
                <w:rFonts w:cstheme="minorHAnsi"/>
                <w:b/>
                <w:color w:val="FFFFFF"/>
                <w:sz w:val="20"/>
                <w:szCs w:val="20"/>
                <w:lang w:val="it-IT"/>
              </w:rPr>
              <w:br/>
              <w:t>europei</w:t>
            </w: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377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C0BDD4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FFFFFF"/>
                <w:sz w:val="20"/>
                <w:szCs w:val="20"/>
                <w:lang w:val="it-IT"/>
              </w:rPr>
              <w:t>Verifica indipendente</w:t>
            </w:r>
          </w:p>
        </w:tc>
        <w:tc>
          <w:tcPr>
            <w:tcW w:w="4056" w:type="dxa"/>
            <w:tcBorders>
              <w:left w:val="single" w:sz="4" w:space="0" w:color="FFFFFF" w:themeColor="background1"/>
            </w:tcBorders>
            <w:shd w:val="clear" w:color="auto" w:fill="00377D"/>
          </w:tcPr>
          <w:p w14:paraId="5D3F59FC" w14:textId="77777777" w:rsidR="003D302B" w:rsidRPr="00F81673" w:rsidRDefault="003D302B" w:rsidP="0096012C">
            <w:pPr>
              <w:rPr>
                <w:rFonts w:cstheme="minorHAnsi"/>
                <w:b/>
                <w:color w:val="FFFFFF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FFFFFF"/>
                <w:sz w:val="20"/>
                <w:szCs w:val="20"/>
                <w:lang w:val="it-IT"/>
              </w:rPr>
              <w:t xml:space="preserve">Evidenze pubbliche </w:t>
            </w:r>
            <w:r w:rsidRPr="00F81673">
              <w:rPr>
                <w:rFonts w:cstheme="minorHAnsi"/>
                <w:b/>
                <w:color w:val="FFFFFF"/>
                <w:sz w:val="20"/>
                <w:szCs w:val="20"/>
                <w:lang w:val="it-IT"/>
              </w:rPr>
              <w:br/>
              <w:t>e dati non reperiti</w:t>
            </w:r>
          </w:p>
        </w:tc>
      </w:tr>
      <w:tr w:rsidR="003D302B" w:rsidRPr="003D302B" w14:paraId="63C7A202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85C05D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M6C1-3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  <w:t>Case della Comunità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318BF3" w14:textId="0C0C8669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≥1.038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 xml:space="preserve"> Case della Comunità 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t>con servizi obbligatori DM 77 attestati da periti indipendenti; ≥40% del sostegno RRF per nuovi edifici o efficientamento energetico certificato dai periti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2ACC9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Non verificabile integralmente</w:t>
            </w:r>
          </w:p>
        </w:tc>
        <w:tc>
          <w:tcPr>
            <w:tcW w:w="4056" w:type="dxa"/>
          </w:tcPr>
          <w:p w14:paraId="0C3B8E1D" w14:textId="77777777" w:rsidR="003D302B" w:rsidRPr="00F81673" w:rsidRDefault="003D302B" w:rsidP="0096012C">
            <w:pPr>
              <w:rPr>
                <w:rFonts w:cstheme="minorHAnsi"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Governo: 1.270 Case della Comunità rendicontate (26/8/2026).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Dati non reperiti: elenco delle Case della Comunità con CUP, sede, data di attivazione, servizi obbligatori DM 77, checklist e relazioni dei periti; prospetto e attestazioni sulla quota minima del 40% delle risorse.</w:t>
            </w:r>
          </w:p>
        </w:tc>
      </w:tr>
      <w:tr w:rsidR="003D302B" w:rsidRPr="003D302B" w14:paraId="277A6F9F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9F1EC2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M6C1-9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  <w:t>Telemedicina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6BF83A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Indicatore Piattaforma Nazionale Telemedicina/Agenas: ≥300.000 assistiti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EBDBB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 xml:space="preserve">Verificato </w:t>
            </w:r>
          </w:p>
        </w:tc>
        <w:tc>
          <w:tcPr>
            <w:tcW w:w="4056" w:type="dxa"/>
          </w:tcPr>
          <w:p w14:paraId="7261A817" w14:textId="77777777" w:rsidR="003D302B" w:rsidRPr="00F81673" w:rsidRDefault="003D302B" w:rsidP="0096012C">
            <w:pPr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  <w:t>Dashboard Agenas: 566.321 assistiti (dicembre 2025).</w:t>
            </w:r>
            <w:r w:rsidRPr="00F81673"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  <w:br/>
              <w:t>Per la riproducibilità: export con numerosità, periodo, regole di deduplicazione e dettaglio regionale per tipologia di servizio.</w:t>
            </w:r>
          </w:p>
        </w:tc>
      </w:tr>
      <w:tr w:rsidR="003D302B" w:rsidRPr="003D302B" w14:paraId="34411E6C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18E494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M6C1-11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  <w:t>Ospedali di Comunità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5D5FD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≥307 Ospedali di Comunità con servizi e standard DM 77 attestati da periti indipendenti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EF04AF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Non verificabile integralmente</w:t>
            </w:r>
          </w:p>
        </w:tc>
        <w:tc>
          <w:tcPr>
            <w:tcW w:w="4056" w:type="dxa"/>
          </w:tcPr>
          <w:p w14:paraId="5F9362C6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  <w:t xml:space="preserve">Governo: 327 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t>Ospedali di Comunità</w:t>
            </w:r>
            <w:r w:rsidRPr="00F81673" w:rsidDel="00C64D24"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F81673"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  <w:t>rendicontati (26/8/2026).</w:t>
            </w:r>
            <w:r w:rsidRPr="00F81673"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  <w:br/>
              <w:t>Dati non reperiti: matrice con CUP, sede, data di attivazione, servizi, conformità al DM 77 e relazioni dei periti.</w:t>
            </w:r>
          </w:p>
        </w:tc>
      </w:tr>
      <w:tr w:rsidR="003D302B" w:rsidRPr="003D302B" w14:paraId="16B05625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8DC91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M6C2-6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t xml:space="preserve"> Attrezzature diagnostiche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727D85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Prove di consegna o test per ≥3.100 apparecchiature, di cui ≥290 RM da 1,5 T o superiori, acceleratori lineari o PET/CT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461ECC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Non verificabile integralmente</w:t>
            </w:r>
          </w:p>
        </w:tc>
        <w:tc>
          <w:tcPr>
            <w:tcW w:w="4056" w:type="dxa"/>
          </w:tcPr>
          <w:p w14:paraId="59185CE3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Governo: 3.173 collaudate, di cui 291 ad alta complessità (30/6/2026).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Dati non reperiti: elenco con tipologia, struttura, CUP, data e prove di consegna o test per verificare entrambe le soglie.</w:t>
            </w:r>
          </w:p>
        </w:tc>
      </w:tr>
      <w:tr w:rsidR="003D302B" w:rsidRPr="003D302B" w14:paraId="53435282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E58F94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M6C2-9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  <w:t>Terapie intensive e semi-intensive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C1D4D7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Certificati amministrativi di completamento degli interventi per ≥5.922 posti, di cui ≥2.368 di terapia intensiva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0F1F28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Non verificabile integralmente</w:t>
            </w:r>
          </w:p>
        </w:tc>
        <w:tc>
          <w:tcPr>
            <w:tcW w:w="4056" w:type="dxa"/>
          </w:tcPr>
          <w:p w14:paraId="6C2B46AD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Governo: 6.034 posti, di cui 2.597 intensivi (26/8/2026).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Dati non reperiti: elenco degli interventi con CUP, ospedale, numero di posti per tipologia, data di completamento e certificati amministrativi.</w:t>
            </w:r>
          </w:p>
        </w:tc>
      </w:tr>
      <w:tr w:rsidR="003D302B" w:rsidRPr="003D302B" w14:paraId="6281D813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C12236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M6C2-10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  <w:t>Interventi di antisismica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4A5B6B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Pubblicazione della relazione che certifica il collaudo strutturale o statico di ≥84 interventi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A1DDA1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Non verificabile integralmente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</w:r>
          </w:p>
        </w:tc>
        <w:tc>
          <w:tcPr>
            <w:tcW w:w="4056" w:type="dxa"/>
          </w:tcPr>
          <w:p w14:paraId="63C04772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Governo: 85 interventi con collaudo statico.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Dati non reperiti: relazione prevista dal target; elenco con CUP, struttura e data; certificati di collaudo statico e relazioni degli ingegneri indipendenti con convalida regionale.</w:t>
            </w:r>
          </w:p>
        </w:tc>
      </w:tr>
      <w:tr w:rsidR="003D302B" w:rsidRPr="003D302B" w14:paraId="7C6723F1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4B2DD1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M6C2-10 bis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  <w:t>Interventi ex art. 20 L. 67/1988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96765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Prova di pagamenti ≥ € 225 milioni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05792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Verificato</w:t>
            </w:r>
          </w:p>
        </w:tc>
        <w:tc>
          <w:tcPr>
            <w:tcW w:w="4056" w:type="dxa"/>
          </w:tcPr>
          <w:p w14:paraId="0CDC59A1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Open data: € 227.386.411,22 (13/6/2026); Governo: oltre € 228 milioni.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Per la riconciliazione: elenco definitivo dei CUP e dei pagamenti inclusi nel dossier nazionale.</w:t>
            </w:r>
          </w:p>
        </w:tc>
      </w:tr>
      <w:tr w:rsidR="003D302B" w:rsidRPr="003D302B" w14:paraId="11D6C3BB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AC612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M6C2-12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t xml:space="preserve"> </w:t>
            </w:r>
          </w:p>
          <w:p w14:paraId="32ED5B36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Sistema Tessera Sanitaria, INI-FSE ed EDS</w:t>
            </w:r>
          </w:p>
          <w:p w14:paraId="56D0E2B5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(</w:t>
            </w:r>
            <w:r w:rsidRPr="00F81673">
              <w:rPr>
                <w:rFonts w:cstheme="minorHAnsi"/>
                <w:i/>
                <w:iCs/>
                <w:sz w:val="20"/>
                <w:szCs w:val="20"/>
                <w:lang w:val="it-IT"/>
              </w:rPr>
              <w:t>milestone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t>)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62D85" w14:textId="54261E81" w:rsidR="003D302B" w:rsidRPr="00F81673" w:rsidRDefault="003D302B" w:rsidP="0096012C">
            <w:pPr>
              <w:rPr>
                <w:rFonts w:cstheme="minorHAnsi"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Certificati amministrativi di collaudo del Sistema Tessera Sanitaria (revisione della prescrizione elettronica), INI-FSE ed EDS (modulo dati, broker e Gateway)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D1324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Non verificabile integralmente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</w:r>
          </w:p>
        </w:tc>
        <w:tc>
          <w:tcPr>
            <w:tcW w:w="4056" w:type="dxa"/>
          </w:tcPr>
          <w:p w14:paraId="0FB44564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Governo: test superati al 30/6/2026.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Dati non reperiti: documento riepilogativo, certificati amministrativi e verbali dei test per Tessera Sanitaria, INI-FSE ed EDS; matrice tra componenti ed evidenze, anche per chiarire il perimetro dei collaudi EDS.</w:t>
            </w:r>
          </w:p>
        </w:tc>
      </w:tr>
      <w:tr w:rsidR="003D302B" w:rsidRPr="003D302B" w14:paraId="785BED10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1F8B76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M6C2-13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  <w:t>Fascicolo Sanitario Elettronico (FSE)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36265B" w14:textId="77777777" w:rsidR="003D302B" w:rsidRPr="00F81673" w:rsidRDefault="003D302B" w:rsidP="0096012C">
            <w:pPr>
              <w:rPr>
                <w:rFonts w:cstheme="minorHAnsi"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≥90% nell’indicatore nazionale 1 del FSE per lettere di dimissione, verbali di pronto soccorso e referti di laboratorio, radiologia e anatomia patologica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A2789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 xml:space="preserve">Verificato </w:t>
            </w:r>
          </w:p>
        </w:tc>
        <w:tc>
          <w:tcPr>
            <w:tcW w:w="4056" w:type="dxa"/>
          </w:tcPr>
          <w:p w14:paraId="6B7B6844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 xml:space="preserve">Cruscotto FSE: 98,9% (marzo 2026); 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Governo: 98,9% rendicontato a giugno 2026.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Per la riproducibilità: numeratore e denominatore esatti, export per tipologia e Regione e metodologia di controllo dei flussi.</w:t>
            </w:r>
          </w:p>
        </w:tc>
      </w:tr>
      <w:tr w:rsidR="003D302B" w:rsidRPr="003D302B" w14:paraId="34120A08" w14:textId="77777777" w:rsidTr="003D302B">
        <w:trPr>
          <w:cantSplit/>
          <w:jc w:val="center"/>
        </w:trPr>
        <w:tc>
          <w:tcPr>
            <w:tcW w:w="148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28275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M6C2-16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t xml:space="preserve"> Formazione del personale del SSN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73C840" w14:textId="77777777" w:rsidR="003D302B" w:rsidRPr="00F81673" w:rsidRDefault="003D302B" w:rsidP="0096012C">
            <w:pPr>
              <w:rPr>
                <w:rFonts w:cstheme="minorHAnsi"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Certificati di frequenza per competenze manageriali e digitali a 4.500 dipendenti del SSN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621ED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Verificato</w:t>
            </w:r>
          </w:p>
        </w:tc>
        <w:tc>
          <w:tcPr>
            <w:tcW w:w="4056" w:type="dxa"/>
          </w:tcPr>
          <w:p w14:paraId="0FE089C5" w14:textId="77777777" w:rsidR="003D302B" w:rsidRPr="00F81673" w:rsidRDefault="003D302B" w:rsidP="0096012C">
            <w:pPr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  <w:t>Elenco pubblico anonimizzato con gli estremi dei 4.500 certificati (delibera Agenas n. 196/2026).</w:t>
            </w:r>
          </w:p>
        </w:tc>
      </w:tr>
      <w:tr w:rsidR="003D302B" w:rsidRPr="003D302B" w14:paraId="7EF80A37" w14:textId="77777777" w:rsidTr="003D302B">
        <w:trPr>
          <w:cantSplit/>
          <w:jc w:val="center"/>
        </w:trPr>
        <w:tc>
          <w:tcPr>
            <w:tcW w:w="148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7A8FA" w14:textId="77777777" w:rsidR="003D302B" w:rsidRPr="00F81673" w:rsidRDefault="003D302B" w:rsidP="0096012C">
            <w:pPr>
              <w:rPr>
                <w:rFonts w:cstheme="minorHAns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A5105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Pubblicazione dell’elenco di ≥290.000 dipendenti del SSN iscritti ai corsi sulle infezioni ospedaliere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2EA42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Non verificabile integralmente</w:t>
            </w:r>
          </w:p>
        </w:tc>
        <w:tc>
          <w:tcPr>
            <w:tcW w:w="4056" w:type="dxa"/>
          </w:tcPr>
          <w:p w14:paraId="53A1BDB7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Governo: conseguimento del target attestato; portale ministeriale: 293.386 “formati”.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Dati non reperiti: elenco pubblico di almeno 290.000 iscritti. Da chiarire il rapporto tra iscritti e “formati”.</w:t>
            </w:r>
          </w:p>
        </w:tc>
      </w:tr>
      <w:tr w:rsidR="003D302B" w:rsidRPr="003D302B" w14:paraId="0314DF8A" w14:textId="77777777" w:rsidTr="003D302B">
        <w:trPr>
          <w:cantSplit/>
          <w:jc w:val="center"/>
        </w:trPr>
        <w:tc>
          <w:tcPr>
            <w:tcW w:w="9721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ACE009" w14:textId="77777777" w:rsidR="003D302B" w:rsidRPr="00F81673" w:rsidRDefault="003D302B" w:rsidP="0096012C">
            <w:pPr>
              <w:spacing w:after="40"/>
              <w:rPr>
                <w:rFonts w:cstheme="minorHAnsi"/>
                <w:spacing w:val="-2"/>
                <w:sz w:val="18"/>
                <w:szCs w:val="18"/>
                <w:lang w:val="it-IT"/>
              </w:rPr>
            </w:pPr>
            <w:r w:rsidRPr="00F81673">
              <w:rPr>
                <w:rFonts w:cstheme="minorHAnsi"/>
                <w:spacing w:val="-2"/>
                <w:sz w:val="18"/>
                <w:szCs w:val="18"/>
                <w:lang w:val="it-IT"/>
              </w:rPr>
              <w:t xml:space="preserve">Tutti i nove target e la milestone risultano dichiarati raggiunti e rendicontati; la validazione europea è in corso. “Verificato”: requisito o soglia riscontrati nelle fonti pubbliche, alle date indicate e con i limiti di riproducibilità o riconciliazione riportati. </w:t>
            </w:r>
            <w:r w:rsidRPr="00F81673">
              <w:rPr>
                <w:rFonts w:cstheme="minorHAnsi"/>
                <w:spacing w:val="-2"/>
                <w:sz w:val="18"/>
                <w:szCs w:val="18"/>
                <w:lang w:val="it-IT"/>
              </w:rPr>
              <w:br/>
              <w:t xml:space="preserve">“Non verificabile integralmente”: evidenze pubbliche insufficienti per accertare tutti i requisiti; non equivale a mancato raggiungimento. Le due righe relative alla formazione riguardano un solo target con due requisiti ed esiti distinti. </w:t>
            </w:r>
            <w:r w:rsidRPr="00F81673">
              <w:rPr>
                <w:rFonts w:cstheme="minorHAnsi"/>
                <w:spacing w:val="-2"/>
                <w:sz w:val="18"/>
                <w:szCs w:val="18"/>
                <w:lang w:val="it-IT"/>
              </w:rPr>
              <w:br/>
            </w:r>
            <w:r w:rsidRPr="00F81673">
              <w:rPr>
                <w:rFonts w:cstheme="minorHAnsi"/>
                <w:spacing w:val="-2"/>
                <w:sz w:val="10"/>
                <w:szCs w:val="10"/>
                <w:lang w:val="it-IT"/>
              </w:rPr>
              <w:br/>
            </w:r>
            <w:r w:rsidRPr="00F81673">
              <w:rPr>
                <w:rFonts w:cstheme="minorHAnsi"/>
                <w:spacing w:val="-2"/>
                <w:sz w:val="18"/>
                <w:szCs w:val="18"/>
                <w:lang w:val="it-IT"/>
              </w:rPr>
              <w:t>“Governo”: Ottava Relazione al Parlamento, pp. 113–118.</w:t>
            </w:r>
          </w:p>
          <w:p w14:paraId="5F1B7D14" w14:textId="77777777" w:rsidR="003D302B" w:rsidRPr="00F81673" w:rsidRDefault="003D302B" w:rsidP="0096012C">
            <w:pPr>
              <w:spacing w:after="40"/>
              <w:rPr>
                <w:rFonts w:cstheme="minorHAnsi"/>
                <w:sz w:val="18"/>
                <w:szCs w:val="18"/>
                <w:lang w:val="it-IT"/>
              </w:rPr>
            </w:pPr>
            <w:r w:rsidRPr="00F81673">
              <w:rPr>
                <w:rFonts w:cstheme="minorHAnsi"/>
                <w:spacing w:val="-2"/>
                <w:sz w:val="18"/>
                <w:szCs w:val="18"/>
                <w:lang w:val="it-IT"/>
              </w:rPr>
              <w:t xml:space="preserve">RRF: </w:t>
            </w:r>
            <w:r w:rsidRPr="00F81673">
              <w:rPr>
                <w:rFonts w:cstheme="minorHAnsi"/>
                <w:i/>
                <w:iCs/>
                <w:sz w:val="18"/>
                <w:szCs w:val="18"/>
                <w:lang w:val="it-IT"/>
              </w:rPr>
              <w:t>Recovery and Resilience Facility</w:t>
            </w:r>
            <w:r w:rsidRPr="00F81673">
              <w:rPr>
                <w:rFonts w:cstheme="minorHAnsi"/>
                <w:sz w:val="18"/>
                <w:szCs w:val="18"/>
                <w:lang w:val="it-IT"/>
              </w:rPr>
              <w:t xml:space="preserve"> </w:t>
            </w:r>
          </w:p>
          <w:p w14:paraId="3C9A50DE" w14:textId="77777777" w:rsidR="003D302B" w:rsidRPr="00F81673" w:rsidRDefault="003D302B" w:rsidP="0096012C">
            <w:pPr>
              <w:spacing w:after="40"/>
              <w:rPr>
                <w:rFonts w:cstheme="minorHAnsi"/>
                <w:sz w:val="18"/>
                <w:szCs w:val="18"/>
                <w:lang w:val="it-IT"/>
              </w:rPr>
            </w:pPr>
            <w:r w:rsidRPr="00F81673">
              <w:rPr>
                <w:rFonts w:cstheme="minorHAnsi"/>
                <w:sz w:val="18"/>
                <w:szCs w:val="18"/>
                <w:lang w:val="it-IT"/>
              </w:rPr>
              <w:t xml:space="preserve">INI-FSE: Infrastruttura Nazionale per l’Interoperabilità del Fascicolo Sanitario Elettronico </w:t>
            </w:r>
            <w:r w:rsidRPr="00F81673">
              <w:rPr>
                <w:rFonts w:cstheme="minorHAnsi"/>
                <w:sz w:val="18"/>
                <w:szCs w:val="18"/>
                <w:lang w:val="it-IT"/>
              </w:rPr>
              <w:br/>
              <w:t>EDS: Ecosistema Dati Sanitari</w:t>
            </w:r>
          </w:p>
          <w:p w14:paraId="071D1E02" w14:textId="77777777" w:rsidR="003D302B" w:rsidRPr="00F81673" w:rsidRDefault="003D302B" w:rsidP="0096012C">
            <w:pPr>
              <w:spacing w:after="40"/>
              <w:rPr>
                <w:rFonts w:cstheme="minorHAnsi"/>
                <w:spacing w:val="-2"/>
                <w:sz w:val="18"/>
                <w:szCs w:val="18"/>
                <w:lang w:val="it-IT"/>
              </w:rPr>
            </w:pPr>
            <w:r w:rsidRPr="00F81673">
              <w:rPr>
                <w:rFonts w:cstheme="minorHAnsi"/>
                <w:spacing w:val="-2"/>
                <w:sz w:val="18"/>
                <w:szCs w:val="18"/>
                <w:lang w:val="it-IT"/>
              </w:rPr>
              <w:t>CUP: Codice Unico di Progetto.</w:t>
            </w:r>
          </w:p>
        </w:tc>
      </w:tr>
      <w:bookmarkEnd w:id="1"/>
      <w:bookmarkEnd w:id="2"/>
    </w:tbl>
    <w:p w14:paraId="52D05612" w14:textId="77777777" w:rsidR="005B629F" w:rsidRDefault="005B629F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ascii="Cambria" w:hAnsi="Cambria"/>
          <w:b/>
          <w:bCs/>
          <w:color w:val="00377D"/>
          <w:sz w:val="18"/>
          <w:szCs w:val="18"/>
        </w:rPr>
      </w:pPr>
    </w:p>
    <w:sectPr w:rsidR="005B629F" w:rsidSect="004511BB">
      <w:headerReference w:type="default" r:id="rId31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4857A" w14:textId="77777777" w:rsidR="00573404" w:rsidRDefault="00573404" w:rsidP="00ED0CFD">
      <w:pPr>
        <w:spacing w:after="0" w:line="240" w:lineRule="auto"/>
      </w:pPr>
      <w:r>
        <w:separator/>
      </w:r>
    </w:p>
  </w:endnote>
  <w:endnote w:type="continuationSeparator" w:id="0">
    <w:p w14:paraId="69D4E3F5" w14:textId="77777777" w:rsidR="00573404" w:rsidRDefault="00573404" w:rsidP="00ED0CFD">
      <w:pPr>
        <w:spacing w:after="0" w:line="240" w:lineRule="auto"/>
      </w:pPr>
      <w:r>
        <w:continuationSeparator/>
      </w:r>
    </w:p>
  </w:endnote>
  <w:endnote w:type="continuationNotice" w:id="1">
    <w:p w14:paraId="7C6D8B8C" w14:textId="77777777" w:rsidR="00573404" w:rsidRDefault="005734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3A617" w14:textId="77777777" w:rsidR="00573404" w:rsidRDefault="00573404" w:rsidP="00ED0CFD">
      <w:pPr>
        <w:spacing w:after="0" w:line="240" w:lineRule="auto"/>
      </w:pPr>
      <w:r>
        <w:separator/>
      </w:r>
    </w:p>
  </w:footnote>
  <w:footnote w:type="continuationSeparator" w:id="0">
    <w:p w14:paraId="11966E54" w14:textId="77777777" w:rsidR="00573404" w:rsidRDefault="00573404" w:rsidP="00ED0CFD">
      <w:pPr>
        <w:spacing w:after="0" w:line="240" w:lineRule="auto"/>
      </w:pPr>
      <w:r>
        <w:continuationSeparator/>
      </w:r>
    </w:p>
  </w:footnote>
  <w:footnote w:type="continuationNotice" w:id="1">
    <w:p w14:paraId="243488D4" w14:textId="77777777" w:rsidR="00573404" w:rsidRDefault="005734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8F195" w14:textId="77777777" w:rsidR="004244B5" w:rsidRPr="00E52691" w:rsidRDefault="004244B5" w:rsidP="00C25628">
    <w:pPr>
      <w:pStyle w:val="Intestazione"/>
      <w:jc w:val="center"/>
      <w:rPr>
        <w:b/>
        <w:bCs/>
        <w:color w:val="FF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1694"/>
    <w:multiLevelType w:val="hybridMultilevel"/>
    <w:tmpl w:val="78F034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E138A"/>
    <w:multiLevelType w:val="multilevel"/>
    <w:tmpl w:val="A0405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DA3F0B"/>
    <w:multiLevelType w:val="multilevel"/>
    <w:tmpl w:val="A46426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457D"/>
        <w:sz w:val="20"/>
      </w:rPr>
    </w:lvl>
    <w:lvl w:ilvl="1">
      <w:numFmt w:val="bullet"/>
      <w:lvlText w:val="•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03867"/>
    <w:multiLevelType w:val="hybridMultilevel"/>
    <w:tmpl w:val="017AE88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DB3606"/>
    <w:multiLevelType w:val="hybridMultilevel"/>
    <w:tmpl w:val="6AF47F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A073A8"/>
    <w:multiLevelType w:val="hybridMultilevel"/>
    <w:tmpl w:val="72908F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C64119"/>
    <w:multiLevelType w:val="hybridMultilevel"/>
    <w:tmpl w:val="64D6E2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B0603F"/>
    <w:multiLevelType w:val="hybridMultilevel"/>
    <w:tmpl w:val="518CF2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EC557F"/>
    <w:multiLevelType w:val="hybridMultilevel"/>
    <w:tmpl w:val="426C76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C3516F"/>
    <w:multiLevelType w:val="multilevel"/>
    <w:tmpl w:val="96EEB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E31A9A"/>
    <w:multiLevelType w:val="hybridMultilevel"/>
    <w:tmpl w:val="7AC435C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8259EF"/>
    <w:multiLevelType w:val="hybridMultilevel"/>
    <w:tmpl w:val="D61ED18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3A6233"/>
    <w:multiLevelType w:val="multilevel"/>
    <w:tmpl w:val="FF1E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D829D7"/>
    <w:multiLevelType w:val="hybridMultilevel"/>
    <w:tmpl w:val="8C3C60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1B37F2"/>
    <w:multiLevelType w:val="hybridMultilevel"/>
    <w:tmpl w:val="ED0C6784"/>
    <w:lvl w:ilvl="0" w:tplc="B0AA17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457D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492829"/>
    <w:multiLevelType w:val="hybridMultilevel"/>
    <w:tmpl w:val="A9CA43B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D84521"/>
    <w:multiLevelType w:val="hybridMultilevel"/>
    <w:tmpl w:val="ACC6C2E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A686EFC"/>
    <w:multiLevelType w:val="multilevel"/>
    <w:tmpl w:val="0B08B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46490B"/>
    <w:multiLevelType w:val="hybridMultilevel"/>
    <w:tmpl w:val="889C551A"/>
    <w:lvl w:ilvl="0" w:tplc="307C4A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E34CBC"/>
    <w:multiLevelType w:val="hybridMultilevel"/>
    <w:tmpl w:val="F7168F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5028A0"/>
    <w:multiLevelType w:val="hybridMultilevel"/>
    <w:tmpl w:val="C9FEBD5A"/>
    <w:lvl w:ilvl="0" w:tplc="A914E83C">
      <w:start w:val="16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2628E5"/>
    <w:multiLevelType w:val="hybridMultilevel"/>
    <w:tmpl w:val="2ABA6530"/>
    <w:lvl w:ilvl="0" w:tplc="FC6C4C0E">
      <w:start w:val="28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CD1426"/>
    <w:multiLevelType w:val="hybridMultilevel"/>
    <w:tmpl w:val="4CA0E6EA"/>
    <w:lvl w:ilvl="0" w:tplc="516634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99E43A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A1502A9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4994264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3E40A37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7F26466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DDF46EF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8698ED2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C78AA42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4FF1232A"/>
    <w:multiLevelType w:val="multilevel"/>
    <w:tmpl w:val="5AA4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164247"/>
    <w:multiLevelType w:val="hybridMultilevel"/>
    <w:tmpl w:val="A0A2ED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5229DE"/>
    <w:multiLevelType w:val="hybridMultilevel"/>
    <w:tmpl w:val="E9003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C659F4"/>
    <w:multiLevelType w:val="hybridMultilevel"/>
    <w:tmpl w:val="3A8A0F8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4F6FED"/>
    <w:multiLevelType w:val="hybridMultilevel"/>
    <w:tmpl w:val="3CEEFA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6E2BA6"/>
    <w:multiLevelType w:val="hybridMultilevel"/>
    <w:tmpl w:val="9B20C5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1303CF9"/>
    <w:multiLevelType w:val="hybridMultilevel"/>
    <w:tmpl w:val="76B8F694"/>
    <w:lvl w:ilvl="0" w:tplc="49F6B3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20C3AF4"/>
    <w:multiLevelType w:val="hybridMultilevel"/>
    <w:tmpl w:val="E8D49A7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498684C"/>
    <w:multiLevelType w:val="hybridMultilevel"/>
    <w:tmpl w:val="E14CD5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D05463"/>
    <w:multiLevelType w:val="hybridMultilevel"/>
    <w:tmpl w:val="60E00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807BF5"/>
    <w:multiLevelType w:val="hybridMultilevel"/>
    <w:tmpl w:val="52C23A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D132C9"/>
    <w:multiLevelType w:val="hybridMultilevel"/>
    <w:tmpl w:val="31CE2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0600FA"/>
    <w:multiLevelType w:val="hybridMultilevel"/>
    <w:tmpl w:val="8DEC3E5A"/>
    <w:lvl w:ilvl="0" w:tplc="4EF8FB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F81BD" w:themeColor="accent1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B46163"/>
    <w:multiLevelType w:val="hybridMultilevel"/>
    <w:tmpl w:val="B51EB52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FA854BC"/>
    <w:multiLevelType w:val="multilevel"/>
    <w:tmpl w:val="E098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A4102E"/>
    <w:multiLevelType w:val="hybridMultilevel"/>
    <w:tmpl w:val="BA2E0D1E"/>
    <w:lvl w:ilvl="0" w:tplc="96549F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457D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591BA8"/>
    <w:multiLevelType w:val="hybridMultilevel"/>
    <w:tmpl w:val="BFA0D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523CF"/>
    <w:multiLevelType w:val="hybridMultilevel"/>
    <w:tmpl w:val="F2787F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2879B0"/>
    <w:multiLevelType w:val="hybridMultilevel"/>
    <w:tmpl w:val="41CA39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6"/>
  </w:num>
  <w:num w:numId="3">
    <w:abstractNumId w:val="21"/>
  </w:num>
  <w:num w:numId="4">
    <w:abstractNumId w:val="37"/>
  </w:num>
  <w:num w:numId="5">
    <w:abstractNumId w:val="23"/>
  </w:num>
  <w:num w:numId="6">
    <w:abstractNumId w:val="20"/>
  </w:num>
  <w:num w:numId="7">
    <w:abstractNumId w:val="30"/>
  </w:num>
  <w:num w:numId="8">
    <w:abstractNumId w:val="28"/>
  </w:num>
  <w:num w:numId="9">
    <w:abstractNumId w:val="4"/>
  </w:num>
  <w:num w:numId="10">
    <w:abstractNumId w:val="5"/>
  </w:num>
  <w:num w:numId="11">
    <w:abstractNumId w:val="11"/>
  </w:num>
  <w:num w:numId="12">
    <w:abstractNumId w:val="13"/>
  </w:num>
  <w:num w:numId="13">
    <w:abstractNumId w:val="25"/>
  </w:num>
  <w:num w:numId="14">
    <w:abstractNumId w:val="7"/>
  </w:num>
  <w:num w:numId="15">
    <w:abstractNumId w:val="24"/>
  </w:num>
  <w:num w:numId="16">
    <w:abstractNumId w:val="39"/>
  </w:num>
  <w:num w:numId="17">
    <w:abstractNumId w:val="22"/>
  </w:num>
  <w:num w:numId="18">
    <w:abstractNumId w:val="18"/>
  </w:num>
  <w:num w:numId="19">
    <w:abstractNumId w:val="35"/>
  </w:num>
  <w:num w:numId="20">
    <w:abstractNumId w:val="29"/>
  </w:num>
  <w:num w:numId="21">
    <w:abstractNumId w:val="6"/>
  </w:num>
  <w:num w:numId="22">
    <w:abstractNumId w:val="26"/>
  </w:num>
  <w:num w:numId="23">
    <w:abstractNumId w:val="19"/>
  </w:num>
  <w:num w:numId="24">
    <w:abstractNumId w:val="10"/>
  </w:num>
  <w:num w:numId="25">
    <w:abstractNumId w:val="3"/>
  </w:num>
  <w:num w:numId="26">
    <w:abstractNumId w:val="14"/>
  </w:num>
  <w:num w:numId="27">
    <w:abstractNumId w:val="38"/>
  </w:num>
  <w:num w:numId="28">
    <w:abstractNumId w:val="27"/>
  </w:num>
  <w:num w:numId="29">
    <w:abstractNumId w:val="0"/>
  </w:num>
  <w:num w:numId="30">
    <w:abstractNumId w:val="8"/>
  </w:num>
  <w:num w:numId="31">
    <w:abstractNumId w:val="40"/>
  </w:num>
  <w:num w:numId="32">
    <w:abstractNumId w:val="16"/>
  </w:num>
  <w:num w:numId="33">
    <w:abstractNumId w:val="2"/>
  </w:num>
  <w:num w:numId="34">
    <w:abstractNumId w:val="34"/>
  </w:num>
  <w:num w:numId="35">
    <w:abstractNumId w:val="32"/>
  </w:num>
  <w:num w:numId="36">
    <w:abstractNumId w:val="15"/>
  </w:num>
  <w:num w:numId="37">
    <w:abstractNumId w:val="31"/>
  </w:num>
  <w:num w:numId="38">
    <w:abstractNumId w:val="9"/>
  </w:num>
  <w:num w:numId="39">
    <w:abstractNumId w:val="12"/>
  </w:num>
  <w:num w:numId="40">
    <w:abstractNumId w:val="1"/>
  </w:num>
  <w:num w:numId="41">
    <w:abstractNumId w:val="17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B91"/>
    <w:rsid w:val="000007FC"/>
    <w:rsid w:val="0000149C"/>
    <w:rsid w:val="000017A8"/>
    <w:rsid w:val="00002AAC"/>
    <w:rsid w:val="00002C1B"/>
    <w:rsid w:val="00003744"/>
    <w:rsid w:val="00003EAF"/>
    <w:rsid w:val="00003F78"/>
    <w:rsid w:val="0000441A"/>
    <w:rsid w:val="00004B0A"/>
    <w:rsid w:val="00005B25"/>
    <w:rsid w:val="000064FE"/>
    <w:rsid w:val="00006555"/>
    <w:rsid w:val="0000695A"/>
    <w:rsid w:val="00007A59"/>
    <w:rsid w:val="00010498"/>
    <w:rsid w:val="0001114E"/>
    <w:rsid w:val="00011EC5"/>
    <w:rsid w:val="000123C4"/>
    <w:rsid w:val="000124B8"/>
    <w:rsid w:val="00012FDF"/>
    <w:rsid w:val="00013005"/>
    <w:rsid w:val="0001384A"/>
    <w:rsid w:val="00013DFA"/>
    <w:rsid w:val="0001439D"/>
    <w:rsid w:val="00015D8E"/>
    <w:rsid w:val="00016F94"/>
    <w:rsid w:val="00017968"/>
    <w:rsid w:val="00017FB4"/>
    <w:rsid w:val="0002141B"/>
    <w:rsid w:val="00021D6E"/>
    <w:rsid w:val="00021D7F"/>
    <w:rsid w:val="00023A72"/>
    <w:rsid w:val="00023D8A"/>
    <w:rsid w:val="000252D2"/>
    <w:rsid w:val="000319B3"/>
    <w:rsid w:val="00032FB7"/>
    <w:rsid w:val="00034188"/>
    <w:rsid w:val="000346D7"/>
    <w:rsid w:val="00035404"/>
    <w:rsid w:val="00035C47"/>
    <w:rsid w:val="00036089"/>
    <w:rsid w:val="00037224"/>
    <w:rsid w:val="0004091F"/>
    <w:rsid w:val="000439FA"/>
    <w:rsid w:val="0004410A"/>
    <w:rsid w:val="000449C3"/>
    <w:rsid w:val="00045B9C"/>
    <w:rsid w:val="00047697"/>
    <w:rsid w:val="00050C01"/>
    <w:rsid w:val="00051F7A"/>
    <w:rsid w:val="000523E0"/>
    <w:rsid w:val="0005402C"/>
    <w:rsid w:val="000540BC"/>
    <w:rsid w:val="00054250"/>
    <w:rsid w:val="00055180"/>
    <w:rsid w:val="00055AE9"/>
    <w:rsid w:val="00055D27"/>
    <w:rsid w:val="000577BC"/>
    <w:rsid w:val="000602AA"/>
    <w:rsid w:val="000615B8"/>
    <w:rsid w:val="000617E9"/>
    <w:rsid w:val="00061CFC"/>
    <w:rsid w:val="0006387B"/>
    <w:rsid w:val="0006440E"/>
    <w:rsid w:val="00064A04"/>
    <w:rsid w:val="000657A8"/>
    <w:rsid w:val="000662E3"/>
    <w:rsid w:val="00066FC5"/>
    <w:rsid w:val="000673AF"/>
    <w:rsid w:val="00067ACA"/>
    <w:rsid w:val="00067B8F"/>
    <w:rsid w:val="000707B3"/>
    <w:rsid w:val="00070C28"/>
    <w:rsid w:val="000715A9"/>
    <w:rsid w:val="00071F0A"/>
    <w:rsid w:val="00073870"/>
    <w:rsid w:val="000746EA"/>
    <w:rsid w:val="00074788"/>
    <w:rsid w:val="000751C3"/>
    <w:rsid w:val="000754CA"/>
    <w:rsid w:val="00075BA4"/>
    <w:rsid w:val="00076A48"/>
    <w:rsid w:val="000771A4"/>
    <w:rsid w:val="000815B7"/>
    <w:rsid w:val="00081D0A"/>
    <w:rsid w:val="000830EF"/>
    <w:rsid w:val="00083213"/>
    <w:rsid w:val="00085590"/>
    <w:rsid w:val="000863FA"/>
    <w:rsid w:val="0008748D"/>
    <w:rsid w:val="00090856"/>
    <w:rsid w:val="00090A39"/>
    <w:rsid w:val="00090B7E"/>
    <w:rsid w:val="00090C02"/>
    <w:rsid w:val="00090CF8"/>
    <w:rsid w:val="00092600"/>
    <w:rsid w:val="000927C7"/>
    <w:rsid w:val="000935F1"/>
    <w:rsid w:val="00093756"/>
    <w:rsid w:val="000941D8"/>
    <w:rsid w:val="00095589"/>
    <w:rsid w:val="00096A0B"/>
    <w:rsid w:val="000A0FC3"/>
    <w:rsid w:val="000A1353"/>
    <w:rsid w:val="000A1367"/>
    <w:rsid w:val="000A145D"/>
    <w:rsid w:val="000A15DB"/>
    <w:rsid w:val="000A2084"/>
    <w:rsid w:val="000A226B"/>
    <w:rsid w:val="000A58EB"/>
    <w:rsid w:val="000A62A9"/>
    <w:rsid w:val="000A7B66"/>
    <w:rsid w:val="000A7EA1"/>
    <w:rsid w:val="000B07B0"/>
    <w:rsid w:val="000B098E"/>
    <w:rsid w:val="000B10CE"/>
    <w:rsid w:val="000B185F"/>
    <w:rsid w:val="000B1C52"/>
    <w:rsid w:val="000B2168"/>
    <w:rsid w:val="000B50CD"/>
    <w:rsid w:val="000B6596"/>
    <w:rsid w:val="000B7985"/>
    <w:rsid w:val="000C098C"/>
    <w:rsid w:val="000C0B04"/>
    <w:rsid w:val="000C1B8A"/>
    <w:rsid w:val="000C344B"/>
    <w:rsid w:val="000C39CB"/>
    <w:rsid w:val="000C544C"/>
    <w:rsid w:val="000C6130"/>
    <w:rsid w:val="000C6D51"/>
    <w:rsid w:val="000D02E4"/>
    <w:rsid w:val="000D1377"/>
    <w:rsid w:val="000D17FB"/>
    <w:rsid w:val="000D25AC"/>
    <w:rsid w:val="000D3C58"/>
    <w:rsid w:val="000D44D4"/>
    <w:rsid w:val="000D53CF"/>
    <w:rsid w:val="000D5771"/>
    <w:rsid w:val="000D5893"/>
    <w:rsid w:val="000D7252"/>
    <w:rsid w:val="000D7A72"/>
    <w:rsid w:val="000D7D59"/>
    <w:rsid w:val="000E27C9"/>
    <w:rsid w:val="000E2E4F"/>
    <w:rsid w:val="000E2F00"/>
    <w:rsid w:val="000E3E10"/>
    <w:rsid w:val="000E5ABF"/>
    <w:rsid w:val="000E6B01"/>
    <w:rsid w:val="000E7CC2"/>
    <w:rsid w:val="000F0BBD"/>
    <w:rsid w:val="000F10F8"/>
    <w:rsid w:val="000F1DE1"/>
    <w:rsid w:val="000F2AE1"/>
    <w:rsid w:val="000F39EF"/>
    <w:rsid w:val="000F3F9A"/>
    <w:rsid w:val="000F435B"/>
    <w:rsid w:val="000F5C0F"/>
    <w:rsid w:val="00100355"/>
    <w:rsid w:val="0010059E"/>
    <w:rsid w:val="001020FC"/>
    <w:rsid w:val="001035E4"/>
    <w:rsid w:val="001043DB"/>
    <w:rsid w:val="00104A66"/>
    <w:rsid w:val="001056AE"/>
    <w:rsid w:val="0010685E"/>
    <w:rsid w:val="00106AA7"/>
    <w:rsid w:val="00107096"/>
    <w:rsid w:val="00107293"/>
    <w:rsid w:val="00107560"/>
    <w:rsid w:val="00107984"/>
    <w:rsid w:val="00107CCF"/>
    <w:rsid w:val="001106B1"/>
    <w:rsid w:val="00111166"/>
    <w:rsid w:val="0011205F"/>
    <w:rsid w:val="00112B52"/>
    <w:rsid w:val="001139A6"/>
    <w:rsid w:val="00113D4A"/>
    <w:rsid w:val="00113F3C"/>
    <w:rsid w:val="0011433D"/>
    <w:rsid w:val="00114F21"/>
    <w:rsid w:val="001167D9"/>
    <w:rsid w:val="0011796A"/>
    <w:rsid w:val="00117F68"/>
    <w:rsid w:val="00120156"/>
    <w:rsid w:val="001218BC"/>
    <w:rsid w:val="00122425"/>
    <w:rsid w:val="001240B4"/>
    <w:rsid w:val="0012499A"/>
    <w:rsid w:val="00125838"/>
    <w:rsid w:val="00125C6A"/>
    <w:rsid w:val="001262A5"/>
    <w:rsid w:val="00126C71"/>
    <w:rsid w:val="00126E63"/>
    <w:rsid w:val="00127A78"/>
    <w:rsid w:val="00127F42"/>
    <w:rsid w:val="001317CF"/>
    <w:rsid w:val="00132082"/>
    <w:rsid w:val="00134C8C"/>
    <w:rsid w:val="00136F1C"/>
    <w:rsid w:val="001374E5"/>
    <w:rsid w:val="001412DC"/>
    <w:rsid w:val="001422E3"/>
    <w:rsid w:val="0014334C"/>
    <w:rsid w:val="00143689"/>
    <w:rsid w:val="00144F94"/>
    <w:rsid w:val="001453D6"/>
    <w:rsid w:val="001458FE"/>
    <w:rsid w:val="001471AF"/>
    <w:rsid w:val="001504F4"/>
    <w:rsid w:val="00150EF3"/>
    <w:rsid w:val="00151D12"/>
    <w:rsid w:val="0015229D"/>
    <w:rsid w:val="001560D3"/>
    <w:rsid w:val="00156B6C"/>
    <w:rsid w:val="0016117C"/>
    <w:rsid w:val="00162FBC"/>
    <w:rsid w:val="001630A9"/>
    <w:rsid w:val="00163141"/>
    <w:rsid w:val="0016375C"/>
    <w:rsid w:val="00163D48"/>
    <w:rsid w:val="00163DB0"/>
    <w:rsid w:val="001644BA"/>
    <w:rsid w:val="00164C71"/>
    <w:rsid w:val="001654A5"/>
    <w:rsid w:val="00170760"/>
    <w:rsid w:val="00170B46"/>
    <w:rsid w:val="00171767"/>
    <w:rsid w:val="00173764"/>
    <w:rsid w:val="0017405D"/>
    <w:rsid w:val="001748BA"/>
    <w:rsid w:val="00174C4A"/>
    <w:rsid w:val="00177135"/>
    <w:rsid w:val="00181DF1"/>
    <w:rsid w:val="001834EB"/>
    <w:rsid w:val="001850EC"/>
    <w:rsid w:val="00185966"/>
    <w:rsid w:val="00191B8C"/>
    <w:rsid w:val="00192B35"/>
    <w:rsid w:val="00192C77"/>
    <w:rsid w:val="00192DAD"/>
    <w:rsid w:val="00192F75"/>
    <w:rsid w:val="00193C55"/>
    <w:rsid w:val="00193F19"/>
    <w:rsid w:val="00194C03"/>
    <w:rsid w:val="00195C55"/>
    <w:rsid w:val="00196B8F"/>
    <w:rsid w:val="001A2449"/>
    <w:rsid w:val="001A3E0D"/>
    <w:rsid w:val="001A3E96"/>
    <w:rsid w:val="001A52DF"/>
    <w:rsid w:val="001A6181"/>
    <w:rsid w:val="001A7017"/>
    <w:rsid w:val="001A73CD"/>
    <w:rsid w:val="001A76F9"/>
    <w:rsid w:val="001A7837"/>
    <w:rsid w:val="001B0CB7"/>
    <w:rsid w:val="001B46A1"/>
    <w:rsid w:val="001B59E3"/>
    <w:rsid w:val="001C0685"/>
    <w:rsid w:val="001C0EFC"/>
    <w:rsid w:val="001C303E"/>
    <w:rsid w:val="001C51E2"/>
    <w:rsid w:val="001C5A39"/>
    <w:rsid w:val="001C672E"/>
    <w:rsid w:val="001C673E"/>
    <w:rsid w:val="001C7324"/>
    <w:rsid w:val="001D0114"/>
    <w:rsid w:val="001D0E41"/>
    <w:rsid w:val="001D153D"/>
    <w:rsid w:val="001D19F1"/>
    <w:rsid w:val="001D240E"/>
    <w:rsid w:val="001D38B9"/>
    <w:rsid w:val="001D3F96"/>
    <w:rsid w:val="001D49FA"/>
    <w:rsid w:val="001D4CE8"/>
    <w:rsid w:val="001D7259"/>
    <w:rsid w:val="001E0D38"/>
    <w:rsid w:val="001E2A2E"/>
    <w:rsid w:val="001E42B9"/>
    <w:rsid w:val="001E53AB"/>
    <w:rsid w:val="001E5654"/>
    <w:rsid w:val="001E67B3"/>
    <w:rsid w:val="001E6902"/>
    <w:rsid w:val="001F1C35"/>
    <w:rsid w:val="001F20B8"/>
    <w:rsid w:val="001F334A"/>
    <w:rsid w:val="001F7B8B"/>
    <w:rsid w:val="0020092D"/>
    <w:rsid w:val="002020DB"/>
    <w:rsid w:val="00202A01"/>
    <w:rsid w:val="0020435A"/>
    <w:rsid w:val="0020529D"/>
    <w:rsid w:val="00206047"/>
    <w:rsid w:val="0020636A"/>
    <w:rsid w:val="002073BD"/>
    <w:rsid w:val="00207B90"/>
    <w:rsid w:val="00210158"/>
    <w:rsid w:val="00210584"/>
    <w:rsid w:val="0021155E"/>
    <w:rsid w:val="0021170C"/>
    <w:rsid w:val="00211860"/>
    <w:rsid w:val="00216562"/>
    <w:rsid w:val="00217149"/>
    <w:rsid w:val="00222147"/>
    <w:rsid w:val="0022389A"/>
    <w:rsid w:val="00223F01"/>
    <w:rsid w:val="00224B28"/>
    <w:rsid w:val="00224E88"/>
    <w:rsid w:val="00230DD3"/>
    <w:rsid w:val="00231196"/>
    <w:rsid w:val="00232AF2"/>
    <w:rsid w:val="00233A2C"/>
    <w:rsid w:val="00233EF5"/>
    <w:rsid w:val="0023474C"/>
    <w:rsid w:val="002349C3"/>
    <w:rsid w:val="00234FBF"/>
    <w:rsid w:val="002357E8"/>
    <w:rsid w:val="00235FC2"/>
    <w:rsid w:val="00236BEA"/>
    <w:rsid w:val="0023771D"/>
    <w:rsid w:val="00241C8C"/>
    <w:rsid w:val="00241E9C"/>
    <w:rsid w:val="00242077"/>
    <w:rsid w:val="00243B76"/>
    <w:rsid w:val="00243F05"/>
    <w:rsid w:val="00244C21"/>
    <w:rsid w:val="002453AA"/>
    <w:rsid w:val="0024623B"/>
    <w:rsid w:val="00247D33"/>
    <w:rsid w:val="0025100A"/>
    <w:rsid w:val="00251386"/>
    <w:rsid w:val="00251A17"/>
    <w:rsid w:val="00251AC2"/>
    <w:rsid w:val="00251D02"/>
    <w:rsid w:val="00252E47"/>
    <w:rsid w:val="002534BD"/>
    <w:rsid w:val="00254416"/>
    <w:rsid w:val="002551A1"/>
    <w:rsid w:val="002576D2"/>
    <w:rsid w:val="00260A01"/>
    <w:rsid w:val="00261479"/>
    <w:rsid w:val="00261EC6"/>
    <w:rsid w:val="00262274"/>
    <w:rsid w:val="002622F8"/>
    <w:rsid w:val="00264F8C"/>
    <w:rsid w:val="00265B05"/>
    <w:rsid w:val="00266561"/>
    <w:rsid w:val="00266E0C"/>
    <w:rsid w:val="00266E1A"/>
    <w:rsid w:val="00267876"/>
    <w:rsid w:val="00270DED"/>
    <w:rsid w:val="00271D3A"/>
    <w:rsid w:val="002723DD"/>
    <w:rsid w:val="002723FC"/>
    <w:rsid w:val="00272C11"/>
    <w:rsid w:val="00273F6C"/>
    <w:rsid w:val="0027468B"/>
    <w:rsid w:val="002753D5"/>
    <w:rsid w:val="00275C56"/>
    <w:rsid w:val="00276756"/>
    <w:rsid w:val="00276D2A"/>
    <w:rsid w:val="00281907"/>
    <w:rsid w:val="00282655"/>
    <w:rsid w:val="00282DAE"/>
    <w:rsid w:val="00284792"/>
    <w:rsid w:val="00284CA6"/>
    <w:rsid w:val="002854AD"/>
    <w:rsid w:val="00285A74"/>
    <w:rsid w:val="00287105"/>
    <w:rsid w:val="00287452"/>
    <w:rsid w:val="002903A7"/>
    <w:rsid w:val="00290C36"/>
    <w:rsid w:val="00290CC2"/>
    <w:rsid w:val="00291602"/>
    <w:rsid w:val="00293847"/>
    <w:rsid w:val="00293854"/>
    <w:rsid w:val="0029392F"/>
    <w:rsid w:val="00293D0A"/>
    <w:rsid w:val="00293E06"/>
    <w:rsid w:val="0029425C"/>
    <w:rsid w:val="002953B0"/>
    <w:rsid w:val="00296F33"/>
    <w:rsid w:val="00297583"/>
    <w:rsid w:val="002A2034"/>
    <w:rsid w:val="002A2DD7"/>
    <w:rsid w:val="002A3232"/>
    <w:rsid w:val="002A3622"/>
    <w:rsid w:val="002A41A8"/>
    <w:rsid w:val="002A4D4A"/>
    <w:rsid w:val="002A5A93"/>
    <w:rsid w:val="002B0FB4"/>
    <w:rsid w:val="002B12E6"/>
    <w:rsid w:val="002B1329"/>
    <w:rsid w:val="002B3CE6"/>
    <w:rsid w:val="002B63E5"/>
    <w:rsid w:val="002B698C"/>
    <w:rsid w:val="002B7295"/>
    <w:rsid w:val="002B7C26"/>
    <w:rsid w:val="002B7F03"/>
    <w:rsid w:val="002C0B56"/>
    <w:rsid w:val="002C0B93"/>
    <w:rsid w:val="002C0F1B"/>
    <w:rsid w:val="002C11E2"/>
    <w:rsid w:val="002C22CC"/>
    <w:rsid w:val="002C2FB0"/>
    <w:rsid w:val="002C304F"/>
    <w:rsid w:val="002C4190"/>
    <w:rsid w:val="002C433C"/>
    <w:rsid w:val="002C4460"/>
    <w:rsid w:val="002C4A5C"/>
    <w:rsid w:val="002C5187"/>
    <w:rsid w:val="002C5517"/>
    <w:rsid w:val="002C6CDA"/>
    <w:rsid w:val="002D0078"/>
    <w:rsid w:val="002D1354"/>
    <w:rsid w:val="002D1A9D"/>
    <w:rsid w:val="002D1CBC"/>
    <w:rsid w:val="002D27F7"/>
    <w:rsid w:val="002D2C39"/>
    <w:rsid w:val="002D390F"/>
    <w:rsid w:val="002D4CBE"/>
    <w:rsid w:val="002D4D2D"/>
    <w:rsid w:val="002D513D"/>
    <w:rsid w:val="002D61E1"/>
    <w:rsid w:val="002D6D85"/>
    <w:rsid w:val="002D6E96"/>
    <w:rsid w:val="002D7409"/>
    <w:rsid w:val="002E047D"/>
    <w:rsid w:val="002E1F61"/>
    <w:rsid w:val="002E2D66"/>
    <w:rsid w:val="002E33A2"/>
    <w:rsid w:val="002E3609"/>
    <w:rsid w:val="002E384A"/>
    <w:rsid w:val="002E5382"/>
    <w:rsid w:val="002E5A2E"/>
    <w:rsid w:val="002E5E3C"/>
    <w:rsid w:val="002E7B7C"/>
    <w:rsid w:val="002F07F4"/>
    <w:rsid w:val="002F0A86"/>
    <w:rsid w:val="002F1280"/>
    <w:rsid w:val="002F1902"/>
    <w:rsid w:val="002F2E6A"/>
    <w:rsid w:val="002F323D"/>
    <w:rsid w:val="002F605D"/>
    <w:rsid w:val="002F68CC"/>
    <w:rsid w:val="002F79D0"/>
    <w:rsid w:val="00300EF7"/>
    <w:rsid w:val="0030187D"/>
    <w:rsid w:val="00301A08"/>
    <w:rsid w:val="00301E6B"/>
    <w:rsid w:val="003029E5"/>
    <w:rsid w:val="003033B4"/>
    <w:rsid w:val="0030437B"/>
    <w:rsid w:val="00305113"/>
    <w:rsid w:val="00305A57"/>
    <w:rsid w:val="00306303"/>
    <w:rsid w:val="003073CC"/>
    <w:rsid w:val="00310511"/>
    <w:rsid w:val="00310654"/>
    <w:rsid w:val="00310AE1"/>
    <w:rsid w:val="00311E5C"/>
    <w:rsid w:val="003121F3"/>
    <w:rsid w:val="00313AD1"/>
    <w:rsid w:val="00315407"/>
    <w:rsid w:val="00315734"/>
    <w:rsid w:val="003163AE"/>
    <w:rsid w:val="00316406"/>
    <w:rsid w:val="0031648A"/>
    <w:rsid w:val="0031755E"/>
    <w:rsid w:val="00317666"/>
    <w:rsid w:val="003210E2"/>
    <w:rsid w:val="0032186D"/>
    <w:rsid w:val="00321C3D"/>
    <w:rsid w:val="00322481"/>
    <w:rsid w:val="00322567"/>
    <w:rsid w:val="00323798"/>
    <w:rsid w:val="00323A55"/>
    <w:rsid w:val="003244C3"/>
    <w:rsid w:val="00324DE2"/>
    <w:rsid w:val="00325249"/>
    <w:rsid w:val="00325E98"/>
    <w:rsid w:val="003268D1"/>
    <w:rsid w:val="00326A3B"/>
    <w:rsid w:val="00326ABC"/>
    <w:rsid w:val="00326DCF"/>
    <w:rsid w:val="00327AF0"/>
    <w:rsid w:val="00327D9D"/>
    <w:rsid w:val="00330694"/>
    <w:rsid w:val="00330A9B"/>
    <w:rsid w:val="00331594"/>
    <w:rsid w:val="00331B49"/>
    <w:rsid w:val="00331F29"/>
    <w:rsid w:val="003331B5"/>
    <w:rsid w:val="00333A1D"/>
    <w:rsid w:val="00333ECC"/>
    <w:rsid w:val="0033460B"/>
    <w:rsid w:val="00334F92"/>
    <w:rsid w:val="0033574F"/>
    <w:rsid w:val="0033752D"/>
    <w:rsid w:val="00341267"/>
    <w:rsid w:val="00341E23"/>
    <w:rsid w:val="0034210D"/>
    <w:rsid w:val="0034234D"/>
    <w:rsid w:val="003424DD"/>
    <w:rsid w:val="0034291E"/>
    <w:rsid w:val="003456F8"/>
    <w:rsid w:val="003460A3"/>
    <w:rsid w:val="00346324"/>
    <w:rsid w:val="00347675"/>
    <w:rsid w:val="00347BD4"/>
    <w:rsid w:val="00347CD5"/>
    <w:rsid w:val="00350B80"/>
    <w:rsid w:val="00351462"/>
    <w:rsid w:val="00352352"/>
    <w:rsid w:val="00353E36"/>
    <w:rsid w:val="00354809"/>
    <w:rsid w:val="00354ACD"/>
    <w:rsid w:val="003554E0"/>
    <w:rsid w:val="00355DBF"/>
    <w:rsid w:val="003576FF"/>
    <w:rsid w:val="00357F80"/>
    <w:rsid w:val="003609A5"/>
    <w:rsid w:val="00361112"/>
    <w:rsid w:val="00361890"/>
    <w:rsid w:val="00361A34"/>
    <w:rsid w:val="00362818"/>
    <w:rsid w:val="00362B19"/>
    <w:rsid w:val="0036304D"/>
    <w:rsid w:val="003631B2"/>
    <w:rsid w:val="00363764"/>
    <w:rsid w:val="00363A22"/>
    <w:rsid w:val="00363BEB"/>
    <w:rsid w:val="0036462F"/>
    <w:rsid w:val="00364A2E"/>
    <w:rsid w:val="00367A4B"/>
    <w:rsid w:val="00372887"/>
    <w:rsid w:val="00373EDC"/>
    <w:rsid w:val="00374152"/>
    <w:rsid w:val="003743BC"/>
    <w:rsid w:val="00374404"/>
    <w:rsid w:val="00375297"/>
    <w:rsid w:val="00375A29"/>
    <w:rsid w:val="00375C4D"/>
    <w:rsid w:val="00377841"/>
    <w:rsid w:val="00380A73"/>
    <w:rsid w:val="00380FC4"/>
    <w:rsid w:val="00382F29"/>
    <w:rsid w:val="00384AF1"/>
    <w:rsid w:val="00385A79"/>
    <w:rsid w:val="00386385"/>
    <w:rsid w:val="00387555"/>
    <w:rsid w:val="0039006E"/>
    <w:rsid w:val="003914F4"/>
    <w:rsid w:val="00391AD2"/>
    <w:rsid w:val="003920DB"/>
    <w:rsid w:val="003930FC"/>
    <w:rsid w:val="00393B9D"/>
    <w:rsid w:val="00394823"/>
    <w:rsid w:val="003955A0"/>
    <w:rsid w:val="003978DA"/>
    <w:rsid w:val="003A13B4"/>
    <w:rsid w:val="003A47A3"/>
    <w:rsid w:val="003A508C"/>
    <w:rsid w:val="003A725B"/>
    <w:rsid w:val="003A72AE"/>
    <w:rsid w:val="003A7751"/>
    <w:rsid w:val="003B0AE9"/>
    <w:rsid w:val="003B1262"/>
    <w:rsid w:val="003B4A8D"/>
    <w:rsid w:val="003B5ADF"/>
    <w:rsid w:val="003B5D7A"/>
    <w:rsid w:val="003B72C4"/>
    <w:rsid w:val="003B78B5"/>
    <w:rsid w:val="003C1D40"/>
    <w:rsid w:val="003C271C"/>
    <w:rsid w:val="003C276B"/>
    <w:rsid w:val="003C2AA4"/>
    <w:rsid w:val="003C3908"/>
    <w:rsid w:val="003C3A13"/>
    <w:rsid w:val="003C48B6"/>
    <w:rsid w:val="003C4E53"/>
    <w:rsid w:val="003C7C89"/>
    <w:rsid w:val="003D1E35"/>
    <w:rsid w:val="003D302B"/>
    <w:rsid w:val="003D3BEE"/>
    <w:rsid w:val="003D4318"/>
    <w:rsid w:val="003D4515"/>
    <w:rsid w:val="003D4D70"/>
    <w:rsid w:val="003D5018"/>
    <w:rsid w:val="003D542E"/>
    <w:rsid w:val="003D5665"/>
    <w:rsid w:val="003D5832"/>
    <w:rsid w:val="003D6200"/>
    <w:rsid w:val="003D66C8"/>
    <w:rsid w:val="003D6724"/>
    <w:rsid w:val="003D6B2B"/>
    <w:rsid w:val="003D708E"/>
    <w:rsid w:val="003D79C2"/>
    <w:rsid w:val="003D79DD"/>
    <w:rsid w:val="003D7D5D"/>
    <w:rsid w:val="003E0358"/>
    <w:rsid w:val="003E0375"/>
    <w:rsid w:val="003E2B21"/>
    <w:rsid w:val="003E3539"/>
    <w:rsid w:val="003E4422"/>
    <w:rsid w:val="003E45B5"/>
    <w:rsid w:val="003E4FF7"/>
    <w:rsid w:val="003E75D7"/>
    <w:rsid w:val="003F1AAC"/>
    <w:rsid w:val="003F35EF"/>
    <w:rsid w:val="003F3B35"/>
    <w:rsid w:val="003F449B"/>
    <w:rsid w:val="003F4530"/>
    <w:rsid w:val="003F470F"/>
    <w:rsid w:val="003F6562"/>
    <w:rsid w:val="0040121C"/>
    <w:rsid w:val="00401805"/>
    <w:rsid w:val="004032D5"/>
    <w:rsid w:val="004052B2"/>
    <w:rsid w:val="00405C0C"/>
    <w:rsid w:val="00405E87"/>
    <w:rsid w:val="00405FC1"/>
    <w:rsid w:val="00406F3A"/>
    <w:rsid w:val="00410B6F"/>
    <w:rsid w:val="00410D6A"/>
    <w:rsid w:val="00412253"/>
    <w:rsid w:val="00413ABB"/>
    <w:rsid w:val="00415770"/>
    <w:rsid w:val="00415FC6"/>
    <w:rsid w:val="00416528"/>
    <w:rsid w:val="00416830"/>
    <w:rsid w:val="00416E97"/>
    <w:rsid w:val="004179EB"/>
    <w:rsid w:val="00417D4C"/>
    <w:rsid w:val="00420BFB"/>
    <w:rsid w:val="00420C3A"/>
    <w:rsid w:val="00421292"/>
    <w:rsid w:val="004223D5"/>
    <w:rsid w:val="00423B38"/>
    <w:rsid w:val="004244B5"/>
    <w:rsid w:val="00425E56"/>
    <w:rsid w:val="00426711"/>
    <w:rsid w:val="0042742E"/>
    <w:rsid w:val="00430270"/>
    <w:rsid w:val="004303BA"/>
    <w:rsid w:val="00430CE7"/>
    <w:rsid w:val="004310BA"/>
    <w:rsid w:val="00432270"/>
    <w:rsid w:val="00434060"/>
    <w:rsid w:val="00434D32"/>
    <w:rsid w:val="00436E44"/>
    <w:rsid w:val="00437173"/>
    <w:rsid w:val="0044012A"/>
    <w:rsid w:val="00441D52"/>
    <w:rsid w:val="00442312"/>
    <w:rsid w:val="004424DA"/>
    <w:rsid w:val="0044259B"/>
    <w:rsid w:val="004432F6"/>
    <w:rsid w:val="00443AFE"/>
    <w:rsid w:val="004446C5"/>
    <w:rsid w:val="0044512A"/>
    <w:rsid w:val="004452B6"/>
    <w:rsid w:val="004469F9"/>
    <w:rsid w:val="00446F85"/>
    <w:rsid w:val="00447D5D"/>
    <w:rsid w:val="0045039C"/>
    <w:rsid w:val="004511BB"/>
    <w:rsid w:val="00451586"/>
    <w:rsid w:val="004522B4"/>
    <w:rsid w:val="00452891"/>
    <w:rsid w:val="00452900"/>
    <w:rsid w:val="00452A5B"/>
    <w:rsid w:val="00452CED"/>
    <w:rsid w:val="00453189"/>
    <w:rsid w:val="00454813"/>
    <w:rsid w:val="00456AC9"/>
    <w:rsid w:val="00461895"/>
    <w:rsid w:val="004619D4"/>
    <w:rsid w:val="00461BFF"/>
    <w:rsid w:val="00461DF8"/>
    <w:rsid w:val="0046257E"/>
    <w:rsid w:val="004642C0"/>
    <w:rsid w:val="00464CAC"/>
    <w:rsid w:val="00465E23"/>
    <w:rsid w:val="00466689"/>
    <w:rsid w:val="00466852"/>
    <w:rsid w:val="0046775E"/>
    <w:rsid w:val="004677F7"/>
    <w:rsid w:val="00470D92"/>
    <w:rsid w:val="00472492"/>
    <w:rsid w:val="004746D8"/>
    <w:rsid w:val="00475510"/>
    <w:rsid w:val="0047586E"/>
    <w:rsid w:val="00475D67"/>
    <w:rsid w:val="00477A2F"/>
    <w:rsid w:val="0048025F"/>
    <w:rsid w:val="00480ACE"/>
    <w:rsid w:val="00480E9D"/>
    <w:rsid w:val="00485168"/>
    <w:rsid w:val="004851ED"/>
    <w:rsid w:val="0048588A"/>
    <w:rsid w:val="004859D0"/>
    <w:rsid w:val="00490397"/>
    <w:rsid w:val="00490692"/>
    <w:rsid w:val="00492663"/>
    <w:rsid w:val="0049315C"/>
    <w:rsid w:val="0049399E"/>
    <w:rsid w:val="00494894"/>
    <w:rsid w:val="004952D7"/>
    <w:rsid w:val="00495F6A"/>
    <w:rsid w:val="00496108"/>
    <w:rsid w:val="00496192"/>
    <w:rsid w:val="004963D4"/>
    <w:rsid w:val="00496EAF"/>
    <w:rsid w:val="00497373"/>
    <w:rsid w:val="004A0830"/>
    <w:rsid w:val="004A0E05"/>
    <w:rsid w:val="004A11C7"/>
    <w:rsid w:val="004A18D7"/>
    <w:rsid w:val="004A1B26"/>
    <w:rsid w:val="004A4A80"/>
    <w:rsid w:val="004A5489"/>
    <w:rsid w:val="004B0697"/>
    <w:rsid w:val="004B0720"/>
    <w:rsid w:val="004B6616"/>
    <w:rsid w:val="004B7AD5"/>
    <w:rsid w:val="004B7BFA"/>
    <w:rsid w:val="004B7FBA"/>
    <w:rsid w:val="004C0B48"/>
    <w:rsid w:val="004C0F3F"/>
    <w:rsid w:val="004C1191"/>
    <w:rsid w:val="004C17CB"/>
    <w:rsid w:val="004C420E"/>
    <w:rsid w:val="004C445E"/>
    <w:rsid w:val="004C4829"/>
    <w:rsid w:val="004C50C1"/>
    <w:rsid w:val="004C5608"/>
    <w:rsid w:val="004C6562"/>
    <w:rsid w:val="004C73A9"/>
    <w:rsid w:val="004C7929"/>
    <w:rsid w:val="004D0248"/>
    <w:rsid w:val="004D07F7"/>
    <w:rsid w:val="004D0B47"/>
    <w:rsid w:val="004D0BDF"/>
    <w:rsid w:val="004D1140"/>
    <w:rsid w:val="004D2098"/>
    <w:rsid w:val="004D2424"/>
    <w:rsid w:val="004D296A"/>
    <w:rsid w:val="004D3A0B"/>
    <w:rsid w:val="004D4684"/>
    <w:rsid w:val="004D469E"/>
    <w:rsid w:val="004D4B67"/>
    <w:rsid w:val="004D5182"/>
    <w:rsid w:val="004D5B84"/>
    <w:rsid w:val="004D6C44"/>
    <w:rsid w:val="004D7A76"/>
    <w:rsid w:val="004E1297"/>
    <w:rsid w:val="004E2264"/>
    <w:rsid w:val="004E2A6E"/>
    <w:rsid w:val="004E3405"/>
    <w:rsid w:val="004E3A57"/>
    <w:rsid w:val="004E422D"/>
    <w:rsid w:val="004E4BA5"/>
    <w:rsid w:val="004E4BBD"/>
    <w:rsid w:val="004E5018"/>
    <w:rsid w:val="004E5200"/>
    <w:rsid w:val="004E5EFE"/>
    <w:rsid w:val="004E6B64"/>
    <w:rsid w:val="004E77D1"/>
    <w:rsid w:val="004F064A"/>
    <w:rsid w:val="004F0FD3"/>
    <w:rsid w:val="004F24C5"/>
    <w:rsid w:val="004F2D3B"/>
    <w:rsid w:val="004F333B"/>
    <w:rsid w:val="004F33C5"/>
    <w:rsid w:val="004F3FEB"/>
    <w:rsid w:val="004F4181"/>
    <w:rsid w:val="004F4805"/>
    <w:rsid w:val="004F4AED"/>
    <w:rsid w:val="004F5BB4"/>
    <w:rsid w:val="004F6AEC"/>
    <w:rsid w:val="004F7374"/>
    <w:rsid w:val="004F7F6E"/>
    <w:rsid w:val="005014CD"/>
    <w:rsid w:val="00501793"/>
    <w:rsid w:val="005028C8"/>
    <w:rsid w:val="00505BFD"/>
    <w:rsid w:val="005069E5"/>
    <w:rsid w:val="00506FA5"/>
    <w:rsid w:val="005074D5"/>
    <w:rsid w:val="00510AA1"/>
    <w:rsid w:val="00511E6F"/>
    <w:rsid w:val="005127CE"/>
    <w:rsid w:val="00512879"/>
    <w:rsid w:val="00513282"/>
    <w:rsid w:val="00514287"/>
    <w:rsid w:val="0051492A"/>
    <w:rsid w:val="005158CD"/>
    <w:rsid w:val="00516625"/>
    <w:rsid w:val="00516B46"/>
    <w:rsid w:val="005204CB"/>
    <w:rsid w:val="0052145D"/>
    <w:rsid w:val="0052211A"/>
    <w:rsid w:val="00522208"/>
    <w:rsid w:val="005240BD"/>
    <w:rsid w:val="00524BCF"/>
    <w:rsid w:val="00524F37"/>
    <w:rsid w:val="00525AEA"/>
    <w:rsid w:val="00525FA8"/>
    <w:rsid w:val="00526E28"/>
    <w:rsid w:val="005272D8"/>
    <w:rsid w:val="00530B7D"/>
    <w:rsid w:val="005310EC"/>
    <w:rsid w:val="00531EA2"/>
    <w:rsid w:val="00532C46"/>
    <w:rsid w:val="00532D90"/>
    <w:rsid w:val="0053346C"/>
    <w:rsid w:val="00533D48"/>
    <w:rsid w:val="00534130"/>
    <w:rsid w:val="00534CEA"/>
    <w:rsid w:val="00535A6B"/>
    <w:rsid w:val="005374C5"/>
    <w:rsid w:val="00537A5A"/>
    <w:rsid w:val="005412F8"/>
    <w:rsid w:val="0054139F"/>
    <w:rsid w:val="005418F5"/>
    <w:rsid w:val="005419E9"/>
    <w:rsid w:val="00541DC9"/>
    <w:rsid w:val="00541FC3"/>
    <w:rsid w:val="00542475"/>
    <w:rsid w:val="005440CF"/>
    <w:rsid w:val="0054475D"/>
    <w:rsid w:val="00546397"/>
    <w:rsid w:val="00550C9C"/>
    <w:rsid w:val="00551444"/>
    <w:rsid w:val="005516A8"/>
    <w:rsid w:val="005533C4"/>
    <w:rsid w:val="00553AFF"/>
    <w:rsid w:val="00554FE5"/>
    <w:rsid w:val="00555AA1"/>
    <w:rsid w:val="00555F0A"/>
    <w:rsid w:val="005569B7"/>
    <w:rsid w:val="00557C14"/>
    <w:rsid w:val="0056055F"/>
    <w:rsid w:val="00560786"/>
    <w:rsid w:val="00562598"/>
    <w:rsid w:val="0056268F"/>
    <w:rsid w:val="00565AC5"/>
    <w:rsid w:val="00565B45"/>
    <w:rsid w:val="00565C3C"/>
    <w:rsid w:val="00566974"/>
    <w:rsid w:val="005673CC"/>
    <w:rsid w:val="00567623"/>
    <w:rsid w:val="00570155"/>
    <w:rsid w:val="0057085B"/>
    <w:rsid w:val="00570C6B"/>
    <w:rsid w:val="005718F6"/>
    <w:rsid w:val="0057243E"/>
    <w:rsid w:val="00572DF6"/>
    <w:rsid w:val="00573388"/>
    <w:rsid w:val="00573404"/>
    <w:rsid w:val="00573AB6"/>
    <w:rsid w:val="0057487E"/>
    <w:rsid w:val="00577D77"/>
    <w:rsid w:val="00580725"/>
    <w:rsid w:val="005807CD"/>
    <w:rsid w:val="00581465"/>
    <w:rsid w:val="00581F34"/>
    <w:rsid w:val="00583E56"/>
    <w:rsid w:val="00584471"/>
    <w:rsid w:val="00586657"/>
    <w:rsid w:val="00586FDE"/>
    <w:rsid w:val="00587B6A"/>
    <w:rsid w:val="00587C9B"/>
    <w:rsid w:val="00587F5D"/>
    <w:rsid w:val="0059019F"/>
    <w:rsid w:val="00590E5A"/>
    <w:rsid w:val="00591B7B"/>
    <w:rsid w:val="00592FD0"/>
    <w:rsid w:val="005933BB"/>
    <w:rsid w:val="005937F4"/>
    <w:rsid w:val="00593EE6"/>
    <w:rsid w:val="005940D1"/>
    <w:rsid w:val="0059481F"/>
    <w:rsid w:val="00594E34"/>
    <w:rsid w:val="00596B3D"/>
    <w:rsid w:val="005A00F1"/>
    <w:rsid w:val="005A0BE2"/>
    <w:rsid w:val="005A2279"/>
    <w:rsid w:val="005A2BB7"/>
    <w:rsid w:val="005A3A8D"/>
    <w:rsid w:val="005A4ADA"/>
    <w:rsid w:val="005A6F2F"/>
    <w:rsid w:val="005B0C18"/>
    <w:rsid w:val="005B283E"/>
    <w:rsid w:val="005B3A18"/>
    <w:rsid w:val="005B41AA"/>
    <w:rsid w:val="005B4F61"/>
    <w:rsid w:val="005B57EF"/>
    <w:rsid w:val="005B5A57"/>
    <w:rsid w:val="005B629F"/>
    <w:rsid w:val="005B6DF8"/>
    <w:rsid w:val="005B7915"/>
    <w:rsid w:val="005C0524"/>
    <w:rsid w:val="005C087B"/>
    <w:rsid w:val="005C0C5C"/>
    <w:rsid w:val="005C1710"/>
    <w:rsid w:val="005C2305"/>
    <w:rsid w:val="005C2A99"/>
    <w:rsid w:val="005C3C98"/>
    <w:rsid w:val="005C5968"/>
    <w:rsid w:val="005C7707"/>
    <w:rsid w:val="005D06A8"/>
    <w:rsid w:val="005D0BFE"/>
    <w:rsid w:val="005D133C"/>
    <w:rsid w:val="005D14A0"/>
    <w:rsid w:val="005D2426"/>
    <w:rsid w:val="005D2F33"/>
    <w:rsid w:val="005D33D4"/>
    <w:rsid w:val="005D5CF2"/>
    <w:rsid w:val="005D7FCA"/>
    <w:rsid w:val="005E1232"/>
    <w:rsid w:val="005E3287"/>
    <w:rsid w:val="005E37DA"/>
    <w:rsid w:val="005E40BB"/>
    <w:rsid w:val="005E485F"/>
    <w:rsid w:val="005F0D5F"/>
    <w:rsid w:val="005F0FD7"/>
    <w:rsid w:val="005F2A61"/>
    <w:rsid w:val="005F2D68"/>
    <w:rsid w:val="005F3758"/>
    <w:rsid w:val="005F71F9"/>
    <w:rsid w:val="006002AA"/>
    <w:rsid w:val="00600541"/>
    <w:rsid w:val="00602418"/>
    <w:rsid w:val="0060413C"/>
    <w:rsid w:val="006051D7"/>
    <w:rsid w:val="0060704A"/>
    <w:rsid w:val="00611C67"/>
    <w:rsid w:val="0061308C"/>
    <w:rsid w:val="00614076"/>
    <w:rsid w:val="00614368"/>
    <w:rsid w:val="00614E5A"/>
    <w:rsid w:val="00616235"/>
    <w:rsid w:val="0061690D"/>
    <w:rsid w:val="00620244"/>
    <w:rsid w:val="00620B39"/>
    <w:rsid w:val="00620B3D"/>
    <w:rsid w:val="00620B8A"/>
    <w:rsid w:val="006226EB"/>
    <w:rsid w:val="0062275E"/>
    <w:rsid w:val="0062395A"/>
    <w:rsid w:val="00623F97"/>
    <w:rsid w:val="0062499E"/>
    <w:rsid w:val="0062554E"/>
    <w:rsid w:val="00626C0D"/>
    <w:rsid w:val="00630057"/>
    <w:rsid w:val="00630230"/>
    <w:rsid w:val="0063057C"/>
    <w:rsid w:val="00631233"/>
    <w:rsid w:val="0063197E"/>
    <w:rsid w:val="00632DC1"/>
    <w:rsid w:val="00635809"/>
    <w:rsid w:val="00636716"/>
    <w:rsid w:val="00636EB6"/>
    <w:rsid w:val="00637A6B"/>
    <w:rsid w:val="00640287"/>
    <w:rsid w:val="00640B8B"/>
    <w:rsid w:val="00640FE7"/>
    <w:rsid w:val="00642D94"/>
    <w:rsid w:val="00643AB4"/>
    <w:rsid w:val="00643E28"/>
    <w:rsid w:val="00643E5C"/>
    <w:rsid w:val="00645153"/>
    <w:rsid w:val="006455B8"/>
    <w:rsid w:val="00645F79"/>
    <w:rsid w:val="00646223"/>
    <w:rsid w:val="00646A3D"/>
    <w:rsid w:val="006470A6"/>
    <w:rsid w:val="00647993"/>
    <w:rsid w:val="00650191"/>
    <w:rsid w:val="00650304"/>
    <w:rsid w:val="0065103C"/>
    <w:rsid w:val="006529FA"/>
    <w:rsid w:val="00653000"/>
    <w:rsid w:val="006535F8"/>
    <w:rsid w:val="00653B45"/>
    <w:rsid w:val="00654C7A"/>
    <w:rsid w:val="00657376"/>
    <w:rsid w:val="00657BD5"/>
    <w:rsid w:val="0066093C"/>
    <w:rsid w:val="00663B7B"/>
    <w:rsid w:val="006640FF"/>
    <w:rsid w:val="00667000"/>
    <w:rsid w:val="00667145"/>
    <w:rsid w:val="006673BB"/>
    <w:rsid w:val="006674A4"/>
    <w:rsid w:val="006707F5"/>
    <w:rsid w:val="00670AD9"/>
    <w:rsid w:val="006713C2"/>
    <w:rsid w:val="00671713"/>
    <w:rsid w:val="00672EDC"/>
    <w:rsid w:val="006735A6"/>
    <w:rsid w:val="00673AE4"/>
    <w:rsid w:val="0067402D"/>
    <w:rsid w:val="00674AA3"/>
    <w:rsid w:val="006750E2"/>
    <w:rsid w:val="00675E56"/>
    <w:rsid w:val="0067632C"/>
    <w:rsid w:val="006768B0"/>
    <w:rsid w:val="00676F66"/>
    <w:rsid w:val="00677934"/>
    <w:rsid w:val="00677A85"/>
    <w:rsid w:val="006805A5"/>
    <w:rsid w:val="00680B51"/>
    <w:rsid w:val="00680D2B"/>
    <w:rsid w:val="00680E3F"/>
    <w:rsid w:val="006810B2"/>
    <w:rsid w:val="00682087"/>
    <w:rsid w:val="006821E3"/>
    <w:rsid w:val="00682E8F"/>
    <w:rsid w:val="00684E36"/>
    <w:rsid w:val="0068591D"/>
    <w:rsid w:val="00685DB6"/>
    <w:rsid w:val="00691F6C"/>
    <w:rsid w:val="0069299B"/>
    <w:rsid w:val="00693137"/>
    <w:rsid w:val="00693518"/>
    <w:rsid w:val="00694C51"/>
    <w:rsid w:val="006955E7"/>
    <w:rsid w:val="0069580F"/>
    <w:rsid w:val="00695FCF"/>
    <w:rsid w:val="00696965"/>
    <w:rsid w:val="00696DDA"/>
    <w:rsid w:val="006970D5"/>
    <w:rsid w:val="006A013E"/>
    <w:rsid w:val="006A135C"/>
    <w:rsid w:val="006A1639"/>
    <w:rsid w:val="006A3CCC"/>
    <w:rsid w:val="006A4B2A"/>
    <w:rsid w:val="006A4CFB"/>
    <w:rsid w:val="006A6390"/>
    <w:rsid w:val="006A6DFF"/>
    <w:rsid w:val="006A71A2"/>
    <w:rsid w:val="006A7AE1"/>
    <w:rsid w:val="006B0AC3"/>
    <w:rsid w:val="006B0DD2"/>
    <w:rsid w:val="006B2505"/>
    <w:rsid w:val="006B4075"/>
    <w:rsid w:val="006B4205"/>
    <w:rsid w:val="006B5E7A"/>
    <w:rsid w:val="006B6956"/>
    <w:rsid w:val="006C07DD"/>
    <w:rsid w:val="006C09E3"/>
    <w:rsid w:val="006C0A34"/>
    <w:rsid w:val="006C0DA3"/>
    <w:rsid w:val="006C2F15"/>
    <w:rsid w:val="006C3B4B"/>
    <w:rsid w:val="006C41FF"/>
    <w:rsid w:val="006C4E28"/>
    <w:rsid w:val="006C4E62"/>
    <w:rsid w:val="006C5B37"/>
    <w:rsid w:val="006D1496"/>
    <w:rsid w:val="006D30E8"/>
    <w:rsid w:val="006D3622"/>
    <w:rsid w:val="006D502F"/>
    <w:rsid w:val="006D5067"/>
    <w:rsid w:val="006D5713"/>
    <w:rsid w:val="006E14EC"/>
    <w:rsid w:val="006E1EA3"/>
    <w:rsid w:val="006E265E"/>
    <w:rsid w:val="006E27FD"/>
    <w:rsid w:val="006E2EEA"/>
    <w:rsid w:val="006E4DAD"/>
    <w:rsid w:val="006E5398"/>
    <w:rsid w:val="006E5B7E"/>
    <w:rsid w:val="006E6CC2"/>
    <w:rsid w:val="006E77BB"/>
    <w:rsid w:val="006F5C05"/>
    <w:rsid w:val="006F5E1D"/>
    <w:rsid w:val="006F5E65"/>
    <w:rsid w:val="006F6ADA"/>
    <w:rsid w:val="006F707F"/>
    <w:rsid w:val="006F7479"/>
    <w:rsid w:val="00700A44"/>
    <w:rsid w:val="00701D48"/>
    <w:rsid w:val="0070382E"/>
    <w:rsid w:val="00703A2E"/>
    <w:rsid w:val="00704B2A"/>
    <w:rsid w:val="007050A0"/>
    <w:rsid w:val="0070621C"/>
    <w:rsid w:val="00706682"/>
    <w:rsid w:val="007068AA"/>
    <w:rsid w:val="00707993"/>
    <w:rsid w:val="00707E4B"/>
    <w:rsid w:val="0071123A"/>
    <w:rsid w:val="00711E25"/>
    <w:rsid w:val="00711FB5"/>
    <w:rsid w:val="0071285C"/>
    <w:rsid w:val="00712AC4"/>
    <w:rsid w:val="00712FB7"/>
    <w:rsid w:val="007138CC"/>
    <w:rsid w:val="00713CA3"/>
    <w:rsid w:val="0071439B"/>
    <w:rsid w:val="007149B5"/>
    <w:rsid w:val="007151CB"/>
    <w:rsid w:val="00717281"/>
    <w:rsid w:val="00717928"/>
    <w:rsid w:val="00720CB2"/>
    <w:rsid w:val="0072122E"/>
    <w:rsid w:val="00722894"/>
    <w:rsid w:val="00723B85"/>
    <w:rsid w:val="00725232"/>
    <w:rsid w:val="007254CF"/>
    <w:rsid w:val="007257B8"/>
    <w:rsid w:val="007265A4"/>
    <w:rsid w:val="00727597"/>
    <w:rsid w:val="00727A83"/>
    <w:rsid w:val="00730A03"/>
    <w:rsid w:val="0073174A"/>
    <w:rsid w:val="00731D2D"/>
    <w:rsid w:val="00731F0C"/>
    <w:rsid w:val="0073237B"/>
    <w:rsid w:val="007333BE"/>
    <w:rsid w:val="007335A8"/>
    <w:rsid w:val="00734EC9"/>
    <w:rsid w:val="00735079"/>
    <w:rsid w:val="0073593C"/>
    <w:rsid w:val="00735F5B"/>
    <w:rsid w:val="00736A14"/>
    <w:rsid w:val="00737013"/>
    <w:rsid w:val="0073764E"/>
    <w:rsid w:val="00737DDD"/>
    <w:rsid w:val="0074126B"/>
    <w:rsid w:val="00747908"/>
    <w:rsid w:val="0075099D"/>
    <w:rsid w:val="00751089"/>
    <w:rsid w:val="00752052"/>
    <w:rsid w:val="00753C3F"/>
    <w:rsid w:val="00754324"/>
    <w:rsid w:val="00754655"/>
    <w:rsid w:val="00754EA3"/>
    <w:rsid w:val="00756B84"/>
    <w:rsid w:val="00757A75"/>
    <w:rsid w:val="00760136"/>
    <w:rsid w:val="00760496"/>
    <w:rsid w:val="0076053B"/>
    <w:rsid w:val="00761553"/>
    <w:rsid w:val="0076189A"/>
    <w:rsid w:val="00761BFD"/>
    <w:rsid w:val="00763FB0"/>
    <w:rsid w:val="007644E5"/>
    <w:rsid w:val="00765150"/>
    <w:rsid w:val="00765EB4"/>
    <w:rsid w:val="00766121"/>
    <w:rsid w:val="007677C6"/>
    <w:rsid w:val="00770D2D"/>
    <w:rsid w:val="00770D5D"/>
    <w:rsid w:val="00772C0B"/>
    <w:rsid w:val="00772E01"/>
    <w:rsid w:val="007735D7"/>
    <w:rsid w:val="007738D0"/>
    <w:rsid w:val="00773EC0"/>
    <w:rsid w:val="00774D2D"/>
    <w:rsid w:val="00774DA4"/>
    <w:rsid w:val="00774E33"/>
    <w:rsid w:val="0077567A"/>
    <w:rsid w:val="00775B12"/>
    <w:rsid w:val="00775DA1"/>
    <w:rsid w:val="00777045"/>
    <w:rsid w:val="00777690"/>
    <w:rsid w:val="007777BD"/>
    <w:rsid w:val="00777FA9"/>
    <w:rsid w:val="00780533"/>
    <w:rsid w:val="007809B9"/>
    <w:rsid w:val="00782023"/>
    <w:rsid w:val="00782061"/>
    <w:rsid w:val="00783059"/>
    <w:rsid w:val="00783973"/>
    <w:rsid w:val="00783A0B"/>
    <w:rsid w:val="00783E8C"/>
    <w:rsid w:val="00784DD0"/>
    <w:rsid w:val="00785290"/>
    <w:rsid w:val="007862F7"/>
    <w:rsid w:val="0078720D"/>
    <w:rsid w:val="0078737D"/>
    <w:rsid w:val="00787878"/>
    <w:rsid w:val="00790464"/>
    <w:rsid w:val="00790D36"/>
    <w:rsid w:val="007912F9"/>
    <w:rsid w:val="00791D81"/>
    <w:rsid w:val="007923B0"/>
    <w:rsid w:val="007928E3"/>
    <w:rsid w:val="007939B6"/>
    <w:rsid w:val="00793D62"/>
    <w:rsid w:val="0079427C"/>
    <w:rsid w:val="00794F09"/>
    <w:rsid w:val="00795C3B"/>
    <w:rsid w:val="00795D57"/>
    <w:rsid w:val="007964C7"/>
    <w:rsid w:val="007A33D6"/>
    <w:rsid w:val="007A35B4"/>
    <w:rsid w:val="007A4846"/>
    <w:rsid w:val="007A4969"/>
    <w:rsid w:val="007A603F"/>
    <w:rsid w:val="007A66DF"/>
    <w:rsid w:val="007A6D9A"/>
    <w:rsid w:val="007A6FD9"/>
    <w:rsid w:val="007A7409"/>
    <w:rsid w:val="007A7711"/>
    <w:rsid w:val="007A7C15"/>
    <w:rsid w:val="007B01D2"/>
    <w:rsid w:val="007B05F7"/>
    <w:rsid w:val="007B1924"/>
    <w:rsid w:val="007B199A"/>
    <w:rsid w:val="007B1BA6"/>
    <w:rsid w:val="007B2F80"/>
    <w:rsid w:val="007B48F8"/>
    <w:rsid w:val="007B51E6"/>
    <w:rsid w:val="007B55B5"/>
    <w:rsid w:val="007B5624"/>
    <w:rsid w:val="007C0319"/>
    <w:rsid w:val="007C0BBA"/>
    <w:rsid w:val="007C28B7"/>
    <w:rsid w:val="007C3D92"/>
    <w:rsid w:val="007C5420"/>
    <w:rsid w:val="007C582F"/>
    <w:rsid w:val="007C5B6E"/>
    <w:rsid w:val="007C6E19"/>
    <w:rsid w:val="007D1008"/>
    <w:rsid w:val="007D1B67"/>
    <w:rsid w:val="007D2672"/>
    <w:rsid w:val="007D394D"/>
    <w:rsid w:val="007D4418"/>
    <w:rsid w:val="007D4B6B"/>
    <w:rsid w:val="007D62DC"/>
    <w:rsid w:val="007D68E4"/>
    <w:rsid w:val="007D7930"/>
    <w:rsid w:val="007D7CCF"/>
    <w:rsid w:val="007E0965"/>
    <w:rsid w:val="007E2425"/>
    <w:rsid w:val="007E3221"/>
    <w:rsid w:val="007E32C2"/>
    <w:rsid w:val="007E58BF"/>
    <w:rsid w:val="007E728E"/>
    <w:rsid w:val="007E784C"/>
    <w:rsid w:val="007E79F5"/>
    <w:rsid w:val="007F130A"/>
    <w:rsid w:val="007F3D4F"/>
    <w:rsid w:val="007F46C8"/>
    <w:rsid w:val="007F5D18"/>
    <w:rsid w:val="00801420"/>
    <w:rsid w:val="008019EA"/>
    <w:rsid w:val="00802069"/>
    <w:rsid w:val="0080248C"/>
    <w:rsid w:val="008025DC"/>
    <w:rsid w:val="00802652"/>
    <w:rsid w:val="008027A4"/>
    <w:rsid w:val="00803C62"/>
    <w:rsid w:val="008049AB"/>
    <w:rsid w:val="00804D45"/>
    <w:rsid w:val="00806EC8"/>
    <w:rsid w:val="008104AA"/>
    <w:rsid w:val="00813E19"/>
    <w:rsid w:val="00814CE9"/>
    <w:rsid w:val="00815161"/>
    <w:rsid w:val="00815D21"/>
    <w:rsid w:val="00815D37"/>
    <w:rsid w:val="00815D73"/>
    <w:rsid w:val="00816F1F"/>
    <w:rsid w:val="00816FBF"/>
    <w:rsid w:val="008176D9"/>
    <w:rsid w:val="008202D2"/>
    <w:rsid w:val="00820382"/>
    <w:rsid w:val="00820BE1"/>
    <w:rsid w:val="00822919"/>
    <w:rsid w:val="00822D6D"/>
    <w:rsid w:val="00825BCB"/>
    <w:rsid w:val="00825CE6"/>
    <w:rsid w:val="0082609D"/>
    <w:rsid w:val="008270A6"/>
    <w:rsid w:val="00827BB7"/>
    <w:rsid w:val="008307CF"/>
    <w:rsid w:val="0083086B"/>
    <w:rsid w:val="00830AFC"/>
    <w:rsid w:val="008310C2"/>
    <w:rsid w:val="00831585"/>
    <w:rsid w:val="00831988"/>
    <w:rsid w:val="008319E1"/>
    <w:rsid w:val="00832233"/>
    <w:rsid w:val="00832428"/>
    <w:rsid w:val="00832858"/>
    <w:rsid w:val="00832BDC"/>
    <w:rsid w:val="00832D6E"/>
    <w:rsid w:val="008335D7"/>
    <w:rsid w:val="0083364D"/>
    <w:rsid w:val="008340F1"/>
    <w:rsid w:val="00834280"/>
    <w:rsid w:val="00834A4A"/>
    <w:rsid w:val="0083539A"/>
    <w:rsid w:val="0083564F"/>
    <w:rsid w:val="008356C6"/>
    <w:rsid w:val="0083673F"/>
    <w:rsid w:val="00837B9C"/>
    <w:rsid w:val="008409F8"/>
    <w:rsid w:val="00840B84"/>
    <w:rsid w:val="00844028"/>
    <w:rsid w:val="0084493B"/>
    <w:rsid w:val="00844B59"/>
    <w:rsid w:val="00844F82"/>
    <w:rsid w:val="00845D51"/>
    <w:rsid w:val="008462E6"/>
    <w:rsid w:val="0084688E"/>
    <w:rsid w:val="008469EE"/>
    <w:rsid w:val="00847824"/>
    <w:rsid w:val="008513F9"/>
    <w:rsid w:val="008521CA"/>
    <w:rsid w:val="00852876"/>
    <w:rsid w:val="008566B3"/>
    <w:rsid w:val="00856765"/>
    <w:rsid w:val="0085760A"/>
    <w:rsid w:val="008610D3"/>
    <w:rsid w:val="00861853"/>
    <w:rsid w:val="00862746"/>
    <w:rsid w:val="00862D53"/>
    <w:rsid w:val="008638C5"/>
    <w:rsid w:val="00864335"/>
    <w:rsid w:val="00864351"/>
    <w:rsid w:val="00867AEB"/>
    <w:rsid w:val="00870444"/>
    <w:rsid w:val="0087103F"/>
    <w:rsid w:val="008714ED"/>
    <w:rsid w:val="00871C4F"/>
    <w:rsid w:val="00871FE1"/>
    <w:rsid w:val="008738FA"/>
    <w:rsid w:val="0087524D"/>
    <w:rsid w:val="0087570C"/>
    <w:rsid w:val="00876A11"/>
    <w:rsid w:val="00876C2C"/>
    <w:rsid w:val="00876D26"/>
    <w:rsid w:val="0087714B"/>
    <w:rsid w:val="008775A4"/>
    <w:rsid w:val="008809B6"/>
    <w:rsid w:val="00881122"/>
    <w:rsid w:val="00881AF4"/>
    <w:rsid w:val="00882B98"/>
    <w:rsid w:val="00882EAE"/>
    <w:rsid w:val="008834FE"/>
    <w:rsid w:val="008837CD"/>
    <w:rsid w:val="00883BC1"/>
    <w:rsid w:val="00884AE7"/>
    <w:rsid w:val="00884CBF"/>
    <w:rsid w:val="00884F48"/>
    <w:rsid w:val="00886263"/>
    <w:rsid w:val="00886A4D"/>
    <w:rsid w:val="00890070"/>
    <w:rsid w:val="00890405"/>
    <w:rsid w:val="008907F0"/>
    <w:rsid w:val="008920DC"/>
    <w:rsid w:val="008927EE"/>
    <w:rsid w:val="00892826"/>
    <w:rsid w:val="008956D1"/>
    <w:rsid w:val="008957EF"/>
    <w:rsid w:val="00895BB6"/>
    <w:rsid w:val="0089700B"/>
    <w:rsid w:val="008972B2"/>
    <w:rsid w:val="0089739E"/>
    <w:rsid w:val="008976A1"/>
    <w:rsid w:val="00897CA1"/>
    <w:rsid w:val="008A0E25"/>
    <w:rsid w:val="008A115B"/>
    <w:rsid w:val="008A1766"/>
    <w:rsid w:val="008A1D53"/>
    <w:rsid w:val="008A4FAC"/>
    <w:rsid w:val="008A7A9B"/>
    <w:rsid w:val="008A7CDD"/>
    <w:rsid w:val="008B1750"/>
    <w:rsid w:val="008B2273"/>
    <w:rsid w:val="008B2BA7"/>
    <w:rsid w:val="008B3494"/>
    <w:rsid w:val="008B3C0B"/>
    <w:rsid w:val="008B4A35"/>
    <w:rsid w:val="008B5926"/>
    <w:rsid w:val="008B5FC3"/>
    <w:rsid w:val="008B60AF"/>
    <w:rsid w:val="008B7022"/>
    <w:rsid w:val="008B7380"/>
    <w:rsid w:val="008B73B4"/>
    <w:rsid w:val="008B761C"/>
    <w:rsid w:val="008C0A82"/>
    <w:rsid w:val="008C3E9C"/>
    <w:rsid w:val="008C4980"/>
    <w:rsid w:val="008C5370"/>
    <w:rsid w:val="008C5798"/>
    <w:rsid w:val="008C6715"/>
    <w:rsid w:val="008C6BBF"/>
    <w:rsid w:val="008D2BDD"/>
    <w:rsid w:val="008D33F8"/>
    <w:rsid w:val="008D4BC6"/>
    <w:rsid w:val="008D7DCD"/>
    <w:rsid w:val="008E190A"/>
    <w:rsid w:val="008E1FC7"/>
    <w:rsid w:val="008E2DB0"/>
    <w:rsid w:val="008E30DE"/>
    <w:rsid w:val="008E4AD4"/>
    <w:rsid w:val="008E70BF"/>
    <w:rsid w:val="008F1906"/>
    <w:rsid w:val="008F1F12"/>
    <w:rsid w:val="008F2550"/>
    <w:rsid w:val="008F2E54"/>
    <w:rsid w:val="008F34E9"/>
    <w:rsid w:val="008F43E5"/>
    <w:rsid w:val="008F5A3B"/>
    <w:rsid w:val="008F6975"/>
    <w:rsid w:val="008F72C4"/>
    <w:rsid w:val="008F7B65"/>
    <w:rsid w:val="008F7F39"/>
    <w:rsid w:val="00900A5F"/>
    <w:rsid w:val="00902108"/>
    <w:rsid w:val="00902556"/>
    <w:rsid w:val="00902865"/>
    <w:rsid w:val="009030D3"/>
    <w:rsid w:val="00906DD1"/>
    <w:rsid w:val="00911902"/>
    <w:rsid w:val="00912E52"/>
    <w:rsid w:val="00915387"/>
    <w:rsid w:val="00916D38"/>
    <w:rsid w:val="009171F5"/>
    <w:rsid w:val="00917BA0"/>
    <w:rsid w:val="00917D94"/>
    <w:rsid w:val="00920E58"/>
    <w:rsid w:val="00921057"/>
    <w:rsid w:val="00921E42"/>
    <w:rsid w:val="009221E2"/>
    <w:rsid w:val="00922ACE"/>
    <w:rsid w:val="00924122"/>
    <w:rsid w:val="009241E0"/>
    <w:rsid w:val="0092475B"/>
    <w:rsid w:val="00924D7D"/>
    <w:rsid w:val="00927747"/>
    <w:rsid w:val="00927D6F"/>
    <w:rsid w:val="009307FB"/>
    <w:rsid w:val="00930CCE"/>
    <w:rsid w:val="00931A17"/>
    <w:rsid w:val="009330BF"/>
    <w:rsid w:val="00934178"/>
    <w:rsid w:val="009353AC"/>
    <w:rsid w:val="009360C0"/>
    <w:rsid w:val="0093639F"/>
    <w:rsid w:val="0093653B"/>
    <w:rsid w:val="00936FF7"/>
    <w:rsid w:val="00937550"/>
    <w:rsid w:val="0094028A"/>
    <w:rsid w:val="0094183B"/>
    <w:rsid w:val="0094398C"/>
    <w:rsid w:val="00944C8D"/>
    <w:rsid w:val="00944E22"/>
    <w:rsid w:val="00947084"/>
    <w:rsid w:val="00947FBD"/>
    <w:rsid w:val="00950F90"/>
    <w:rsid w:val="00953E98"/>
    <w:rsid w:val="00954739"/>
    <w:rsid w:val="00954A08"/>
    <w:rsid w:val="00955403"/>
    <w:rsid w:val="00957526"/>
    <w:rsid w:val="00957C85"/>
    <w:rsid w:val="00957D24"/>
    <w:rsid w:val="0096012C"/>
    <w:rsid w:val="00962079"/>
    <w:rsid w:val="009630B4"/>
    <w:rsid w:val="00963433"/>
    <w:rsid w:val="00963735"/>
    <w:rsid w:val="009650B3"/>
    <w:rsid w:val="00965964"/>
    <w:rsid w:val="00967B7A"/>
    <w:rsid w:val="009701EE"/>
    <w:rsid w:val="009710A8"/>
    <w:rsid w:val="0097162D"/>
    <w:rsid w:val="009721C4"/>
    <w:rsid w:val="009722DB"/>
    <w:rsid w:val="0097272E"/>
    <w:rsid w:val="00973B94"/>
    <w:rsid w:val="00976F80"/>
    <w:rsid w:val="0097799B"/>
    <w:rsid w:val="00977B89"/>
    <w:rsid w:val="009805F2"/>
    <w:rsid w:val="009815C1"/>
    <w:rsid w:val="0098409D"/>
    <w:rsid w:val="00984C33"/>
    <w:rsid w:val="00984E46"/>
    <w:rsid w:val="00986052"/>
    <w:rsid w:val="00987C74"/>
    <w:rsid w:val="0099030D"/>
    <w:rsid w:val="00991B11"/>
    <w:rsid w:val="00991E56"/>
    <w:rsid w:val="00991EDB"/>
    <w:rsid w:val="00994D71"/>
    <w:rsid w:val="00995B10"/>
    <w:rsid w:val="00996C28"/>
    <w:rsid w:val="00996FA7"/>
    <w:rsid w:val="009977C9"/>
    <w:rsid w:val="009A2117"/>
    <w:rsid w:val="009A2DA3"/>
    <w:rsid w:val="009A37EB"/>
    <w:rsid w:val="009A3ADF"/>
    <w:rsid w:val="009A4477"/>
    <w:rsid w:val="009A5282"/>
    <w:rsid w:val="009A5D3B"/>
    <w:rsid w:val="009A662A"/>
    <w:rsid w:val="009A6C03"/>
    <w:rsid w:val="009A797A"/>
    <w:rsid w:val="009A7DAE"/>
    <w:rsid w:val="009A7F06"/>
    <w:rsid w:val="009A7F2E"/>
    <w:rsid w:val="009B0C1D"/>
    <w:rsid w:val="009B2417"/>
    <w:rsid w:val="009B2E68"/>
    <w:rsid w:val="009B3995"/>
    <w:rsid w:val="009B4B22"/>
    <w:rsid w:val="009C1621"/>
    <w:rsid w:val="009C17E6"/>
    <w:rsid w:val="009C1A22"/>
    <w:rsid w:val="009C2C3C"/>
    <w:rsid w:val="009C4156"/>
    <w:rsid w:val="009C5EA6"/>
    <w:rsid w:val="009C60D3"/>
    <w:rsid w:val="009C656C"/>
    <w:rsid w:val="009C6AFA"/>
    <w:rsid w:val="009C6F8C"/>
    <w:rsid w:val="009C7037"/>
    <w:rsid w:val="009C7943"/>
    <w:rsid w:val="009C79F1"/>
    <w:rsid w:val="009C7C62"/>
    <w:rsid w:val="009D0BA2"/>
    <w:rsid w:val="009D0D30"/>
    <w:rsid w:val="009D1A5C"/>
    <w:rsid w:val="009D2EAC"/>
    <w:rsid w:val="009D3894"/>
    <w:rsid w:val="009D3E7A"/>
    <w:rsid w:val="009D4F4F"/>
    <w:rsid w:val="009D662C"/>
    <w:rsid w:val="009D6E1C"/>
    <w:rsid w:val="009D746D"/>
    <w:rsid w:val="009D75DE"/>
    <w:rsid w:val="009D7945"/>
    <w:rsid w:val="009E30A5"/>
    <w:rsid w:val="009E3CEE"/>
    <w:rsid w:val="009E3EAC"/>
    <w:rsid w:val="009E3F63"/>
    <w:rsid w:val="009E4342"/>
    <w:rsid w:val="009E62A2"/>
    <w:rsid w:val="009E72EF"/>
    <w:rsid w:val="009F03B6"/>
    <w:rsid w:val="009F0432"/>
    <w:rsid w:val="009F0ADE"/>
    <w:rsid w:val="009F1FB2"/>
    <w:rsid w:val="009F2842"/>
    <w:rsid w:val="009F2CAA"/>
    <w:rsid w:val="009F691A"/>
    <w:rsid w:val="009F69EB"/>
    <w:rsid w:val="00A004B0"/>
    <w:rsid w:val="00A00F56"/>
    <w:rsid w:val="00A034C8"/>
    <w:rsid w:val="00A03989"/>
    <w:rsid w:val="00A03C51"/>
    <w:rsid w:val="00A04007"/>
    <w:rsid w:val="00A04E54"/>
    <w:rsid w:val="00A04F74"/>
    <w:rsid w:val="00A061EB"/>
    <w:rsid w:val="00A0698F"/>
    <w:rsid w:val="00A07F59"/>
    <w:rsid w:val="00A113DF"/>
    <w:rsid w:val="00A12410"/>
    <w:rsid w:val="00A12E53"/>
    <w:rsid w:val="00A13DFC"/>
    <w:rsid w:val="00A16B16"/>
    <w:rsid w:val="00A17979"/>
    <w:rsid w:val="00A223B1"/>
    <w:rsid w:val="00A23E03"/>
    <w:rsid w:val="00A25176"/>
    <w:rsid w:val="00A269CF"/>
    <w:rsid w:val="00A31C2C"/>
    <w:rsid w:val="00A33D31"/>
    <w:rsid w:val="00A356B3"/>
    <w:rsid w:val="00A35813"/>
    <w:rsid w:val="00A364A1"/>
    <w:rsid w:val="00A36649"/>
    <w:rsid w:val="00A36D32"/>
    <w:rsid w:val="00A36E5F"/>
    <w:rsid w:val="00A36F86"/>
    <w:rsid w:val="00A40120"/>
    <w:rsid w:val="00A401BC"/>
    <w:rsid w:val="00A40F25"/>
    <w:rsid w:val="00A4160E"/>
    <w:rsid w:val="00A423A7"/>
    <w:rsid w:val="00A430EB"/>
    <w:rsid w:val="00A445F6"/>
    <w:rsid w:val="00A446E1"/>
    <w:rsid w:val="00A44F7D"/>
    <w:rsid w:val="00A51417"/>
    <w:rsid w:val="00A53625"/>
    <w:rsid w:val="00A54C2F"/>
    <w:rsid w:val="00A54DD3"/>
    <w:rsid w:val="00A60FC8"/>
    <w:rsid w:val="00A61A79"/>
    <w:rsid w:val="00A63606"/>
    <w:rsid w:val="00A64AD2"/>
    <w:rsid w:val="00A64D76"/>
    <w:rsid w:val="00A650B3"/>
    <w:rsid w:val="00A65B9D"/>
    <w:rsid w:val="00A66062"/>
    <w:rsid w:val="00A66317"/>
    <w:rsid w:val="00A66328"/>
    <w:rsid w:val="00A66D52"/>
    <w:rsid w:val="00A66E9E"/>
    <w:rsid w:val="00A67746"/>
    <w:rsid w:val="00A710F1"/>
    <w:rsid w:val="00A71D3F"/>
    <w:rsid w:val="00A71FF1"/>
    <w:rsid w:val="00A7213D"/>
    <w:rsid w:val="00A73868"/>
    <w:rsid w:val="00A7610A"/>
    <w:rsid w:val="00A76386"/>
    <w:rsid w:val="00A764B0"/>
    <w:rsid w:val="00A7781C"/>
    <w:rsid w:val="00A80497"/>
    <w:rsid w:val="00A84F3D"/>
    <w:rsid w:val="00A85835"/>
    <w:rsid w:val="00A86DA7"/>
    <w:rsid w:val="00A8793B"/>
    <w:rsid w:val="00A90AD0"/>
    <w:rsid w:val="00A9166D"/>
    <w:rsid w:val="00A91DC0"/>
    <w:rsid w:val="00A91E49"/>
    <w:rsid w:val="00A9205A"/>
    <w:rsid w:val="00A92FA7"/>
    <w:rsid w:val="00A93331"/>
    <w:rsid w:val="00A93EBE"/>
    <w:rsid w:val="00A953B4"/>
    <w:rsid w:val="00A97C82"/>
    <w:rsid w:val="00AA0FE4"/>
    <w:rsid w:val="00AA10CE"/>
    <w:rsid w:val="00AA13A4"/>
    <w:rsid w:val="00AA151D"/>
    <w:rsid w:val="00AA2A57"/>
    <w:rsid w:val="00AA2C9B"/>
    <w:rsid w:val="00AA5738"/>
    <w:rsid w:val="00AA5BF7"/>
    <w:rsid w:val="00AA5FE0"/>
    <w:rsid w:val="00AA6191"/>
    <w:rsid w:val="00AA65EF"/>
    <w:rsid w:val="00AA6817"/>
    <w:rsid w:val="00AA6FA3"/>
    <w:rsid w:val="00AA787F"/>
    <w:rsid w:val="00AA7EC2"/>
    <w:rsid w:val="00AB06F1"/>
    <w:rsid w:val="00AB0FBF"/>
    <w:rsid w:val="00AB3272"/>
    <w:rsid w:val="00AB59FA"/>
    <w:rsid w:val="00AB5A9E"/>
    <w:rsid w:val="00AB5BA1"/>
    <w:rsid w:val="00AB6902"/>
    <w:rsid w:val="00AB6942"/>
    <w:rsid w:val="00AB6E32"/>
    <w:rsid w:val="00AB7331"/>
    <w:rsid w:val="00AB7D4A"/>
    <w:rsid w:val="00AC056B"/>
    <w:rsid w:val="00AC0C82"/>
    <w:rsid w:val="00AC13E7"/>
    <w:rsid w:val="00AC18D7"/>
    <w:rsid w:val="00AC2611"/>
    <w:rsid w:val="00AC2E6A"/>
    <w:rsid w:val="00AC3E12"/>
    <w:rsid w:val="00AC44EB"/>
    <w:rsid w:val="00AC6D48"/>
    <w:rsid w:val="00AD02EC"/>
    <w:rsid w:val="00AD05A6"/>
    <w:rsid w:val="00AD3292"/>
    <w:rsid w:val="00AD35DB"/>
    <w:rsid w:val="00AD388F"/>
    <w:rsid w:val="00AD436F"/>
    <w:rsid w:val="00AD5849"/>
    <w:rsid w:val="00AD7473"/>
    <w:rsid w:val="00AE09E8"/>
    <w:rsid w:val="00AE0A19"/>
    <w:rsid w:val="00AE0F77"/>
    <w:rsid w:val="00AE1209"/>
    <w:rsid w:val="00AE1EFF"/>
    <w:rsid w:val="00AE262E"/>
    <w:rsid w:val="00AE2657"/>
    <w:rsid w:val="00AE2936"/>
    <w:rsid w:val="00AE4C5E"/>
    <w:rsid w:val="00AE52B8"/>
    <w:rsid w:val="00AE7805"/>
    <w:rsid w:val="00AE7BCB"/>
    <w:rsid w:val="00AE7C72"/>
    <w:rsid w:val="00AF0726"/>
    <w:rsid w:val="00AF1125"/>
    <w:rsid w:val="00AF14E2"/>
    <w:rsid w:val="00AF214C"/>
    <w:rsid w:val="00AF24B2"/>
    <w:rsid w:val="00AF353D"/>
    <w:rsid w:val="00AF529C"/>
    <w:rsid w:val="00AF5345"/>
    <w:rsid w:val="00AF5B03"/>
    <w:rsid w:val="00AF5EB2"/>
    <w:rsid w:val="00AF60B7"/>
    <w:rsid w:val="00AF7136"/>
    <w:rsid w:val="00AF751E"/>
    <w:rsid w:val="00AF7F4A"/>
    <w:rsid w:val="00B00632"/>
    <w:rsid w:val="00B01528"/>
    <w:rsid w:val="00B01A0B"/>
    <w:rsid w:val="00B02173"/>
    <w:rsid w:val="00B030A2"/>
    <w:rsid w:val="00B03791"/>
    <w:rsid w:val="00B03F2D"/>
    <w:rsid w:val="00B047F1"/>
    <w:rsid w:val="00B051CC"/>
    <w:rsid w:val="00B05237"/>
    <w:rsid w:val="00B0532A"/>
    <w:rsid w:val="00B06502"/>
    <w:rsid w:val="00B10BE6"/>
    <w:rsid w:val="00B115C3"/>
    <w:rsid w:val="00B11BB5"/>
    <w:rsid w:val="00B15F4C"/>
    <w:rsid w:val="00B17CC3"/>
    <w:rsid w:val="00B17FF8"/>
    <w:rsid w:val="00B20DA5"/>
    <w:rsid w:val="00B229C6"/>
    <w:rsid w:val="00B22D3D"/>
    <w:rsid w:val="00B235F7"/>
    <w:rsid w:val="00B242B8"/>
    <w:rsid w:val="00B24732"/>
    <w:rsid w:val="00B24831"/>
    <w:rsid w:val="00B254D8"/>
    <w:rsid w:val="00B256A7"/>
    <w:rsid w:val="00B265A5"/>
    <w:rsid w:val="00B26735"/>
    <w:rsid w:val="00B30840"/>
    <w:rsid w:val="00B30A72"/>
    <w:rsid w:val="00B30CF7"/>
    <w:rsid w:val="00B30F3E"/>
    <w:rsid w:val="00B3280B"/>
    <w:rsid w:val="00B34570"/>
    <w:rsid w:val="00B34F7E"/>
    <w:rsid w:val="00B35085"/>
    <w:rsid w:val="00B365C9"/>
    <w:rsid w:val="00B3783E"/>
    <w:rsid w:val="00B40303"/>
    <w:rsid w:val="00B41961"/>
    <w:rsid w:val="00B43227"/>
    <w:rsid w:val="00B43BAA"/>
    <w:rsid w:val="00B44A32"/>
    <w:rsid w:val="00B46F5D"/>
    <w:rsid w:val="00B50665"/>
    <w:rsid w:val="00B510D1"/>
    <w:rsid w:val="00B516F4"/>
    <w:rsid w:val="00B53695"/>
    <w:rsid w:val="00B552F4"/>
    <w:rsid w:val="00B56122"/>
    <w:rsid w:val="00B57430"/>
    <w:rsid w:val="00B6021A"/>
    <w:rsid w:val="00B618FA"/>
    <w:rsid w:val="00B61CD8"/>
    <w:rsid w:val="00B61DDE"/>
    <w:rsid w:val="00B622BA"/>
    <w:rsid w:val="00B62739"/>
    <w:rsid w:val="00B63F07"/>
    <w:rsid w:val="00B64FD7"/>
    <w:rsid w:val="00B65FD9"/>
    <w:rsid w:val="00B6605D"/>
    <w:rsid w:val="00B6634F"/>
    <w:rsid w:val="00B66646"/>
    <w:rsid w:val="00B67FDC"/>
    <w:rsid w:val="00B708CF"/>
    <w:rsid w:val="00B71697"/>
    <w:rsid w:val="00B71781"/>
    <w:rsid w:val="00B7222E"/>
    <w:rsid w:val="00B7336C"/>
    <w:rsid w:val="00B742EB"/>
    <w:rsid w:val="00B7548C"/>
    <w:rsid w:val="00B76C6A"/>
    <w:rsid w:val="00B77794"/>
    <w:rsid w:val="00B80677"/>
    <w:rsid w:val="00B81FBF"/>
    <w:rsid w:val="00B8239E"/>
    <w:rsid w:val="00B82437"/>
    <w:rsid w:val="00B8266D"/>
    <w:rsid w:val="00B829A8"/>
    <w:rsid w:val="00B829B3"/>
    <w:rsid w:val="00B82D1E"/>
    <w:rsid w:val="00B831BC"/>
    <w:rsid w:val="00B83749"/>
    <w:rsid w:val="00B84AD1"/>
    <w:rsid w:val="00B860BD"/>
    <w:rsid w:val="00B860F7"/>
    <w:rsid w:val="00B86579"/>
    <w:rsid w:val="00B86FD4"/>
    <w:rsid w:val="00B87617"/>
    <w:rsid w:val="00B90250"/>
    <w:rsid w:val="00B912EC"/>
    <w:rsid w:val="00B9144E"/>
    <w:rsid w:val="00B9203C"/>
    <w:rsid w:val="00B92684"/>
    <w:rsid w:val="00B93167"/>
    <w:rsid w:val="00B93435"/>
    <w:rsid w:val="00B945EB"/>
    <w:rsid w:val="00B95065"/>
    <w:rsid w:val="00B957B7"/>
    <w:rsid w:val="00B96704"/>
    <w:rsid w:val="00B96E93"/>
    <w:rsid w:val="00B971AE"/>
    <w:rsid w:val="00B97AE8"/>
    <w:rsid w:val="00BA1A25"/>
    <w:rsid w:val="00BA2289"/>
    <w:rsid w:val="00BA2527"/>
    <w:rsid w:val="00BA3745"/>
    <w:rsid w:val="00BA50CE"/>
    <w:rsid w:val="00BA55E2"/>
    <w:rsid w:val="00BA5B6B"/>
    <w:rsid w:val="00BA5EE2"/>
    <w:rsid w:val="00BA7DE7"/>
    <w:rsid w:val="00BB01C4"/>
    <w:rsid w:val="00BB1DDF"/>
    <w:rsid w:val="00BB1F05"/>
    <w:rsid w:val="00BB211A"/>
    <w:rsid w:val="00BB4665"/>
    <w:rsid w:val="00BB4A4E"/>
    <w:rsid w:val="00BC14E1"/>
    <w:rsid w:val="00BC1AA5"/>
    <w:rsid w:val="00BC1CC8"/>
    <w:rsid w:val="00BC2D7C"/>
    <w:rsid w:val="00BC5B5E"/>
    <w:rsid w:val="00BC6124"/>
    <w:rsid w:val="00BC76D0"/>
    <w:rsid w:val="00BD0432"/>
    <w:rsid w:val="00BD0C36"/>
    <w:rsid w:val="00BD2897"/>
    <w:rsid w:val="00BD2C2E"/>
    <w:rsid w:val="00BD3529"/>
    <w:rsid w:val="00BE134F"/>
    <w:rsid w:val="00BE1E0F"/>
    <w:rsid w:val="00BE2B04"/>
    <w:rsid w:val="00BE3538"/>
    <w:rsid w:val="00BE4EA8"/>
    <w:rsid w:val="00BE56ED"/>
    <w:rsid w:val="00BE67E4"/>
    <w:rsid w:val="00BE77A5"/>
    <w:rsid w:val="00BF158F"/>
    <w:rsid w:val="00BF1A77"/>
    <w:rsid w:val="00BF1A98"/>
    <w:rsid w:val="00BF2576"/>
    <w:rsid w:val="00BF28F7"/>
    <w:rsid w:val="00BF388F"/>
    <w:rsid w:val="00BF3F2C"/>
    <w:rsid w:val="00BF5106"/>
    <w:rsid w:val="00BF583E"/>
    <w:rsid w:val="00BF5D19"/>
    <w:rsid w:val="00BF5DF9"/>
    <w:rsid w:val="00C00153"/>
    <w:rsid w:val="00C00321"/>
    <w:rsid w:val="00C0043D"/>
    <w:rsid w:val="00C009E0"/>
    <w:rsid w:val="00C013C1"/>
    <w:rsid w:val="00C023AC"/>
    <w:rsid w:val="00C024B1"/>
    <w:rsid w:val="00C0294B"/>
    <w:rsid w:val="00C032E9"/>
    <w:rsid w:val="00C03950"/>
    <w:rsid w:val="00C04E50"/>
    <w:rsid w:val="00C053AA"/>
    <w:rsid w:val="00C05572"/>
    <w:rsid w:val="00C055DB"/>
    <w:rsid w:val="00C06CFA"/>
    <w:rsid w:val="00C10CA2"/>
    <w:rsid w:val="00C10E6A"/>
    <w:rsid w:val="00C1100E"/>
    <w:rsid w:val="00C1154C"/>
    <w:rsid w:val="00C11C59"/>
    <w:rsid w:val="00C11CA8"/>
    <w:rsid w:val="00C1279D"/>
    <w:rsid w:val="00C12815"/>
    <w:rsid w:val="00C1473F"/>
    <w:rsid w:val="00C14D1B"/>
    <w:rsid w:val="00C16581"/>
    <w:rsid w:val="00C17377"/>
    <w:rsid w:val="00C17B97"/>
    <w:rsid w:val="00C20338"/>
    <w:rsid w:val="00C2114D"/>
    <w:rsid w:val="00C21F39"/>
    <w:rsid w:val="00C24B34"/>
    <w:rsid w:val="00C24F8E"/>
    <w:rsid w:val="00C25628"/>
    <w:rsid w:val="00C276B1"/>
    <w:rsid w:val="00C31091"/>
    <w:rsid w:val="00C315CF"/>
    <w:rsid w:val="00C316D2"/>
    <w:rsid w:val="00C32280"/>
    <w:rsid w:val="00C33673"/>
    <w:rsid w:val="00C342E0"/>
    <w:rsid w:val="00C343BD"/>
    <w:rsid w:val="00C3561A"/>
    <w:rsid w:val="00C36730"/>
    <w:rsid w:val="00C3716E"/>
    <w:rsid w:val="00C37310"/>
    <w:rsid w:val="00C374D4"/>
    <w:rsid w:val="00C40AEB"/>
    <w:rsid w:val="00C4141D"/>
    <w:rsid w:val="00C42F24"/>
    <w:rsid w:val="00C45AAA"/>
    <w:rsid w:val="00C46256"/>
    <w:rsid w:val="00C46721"/>
    <w:rsid w:val="00C46EC8"/>
    <w:rsid w:val="00C470B7"/>
    <w:rsid w:val="00C47E65"/>
    <w:rsid w:val="00C50096"/>
    <w:rsid w:val="00C52DA3"/>
    <w:rsid w:val="00C52FF7"/>
    <w:rsid w:val="00C532E2"/>
    <w:rsid w:val="00C536FD"/>
    <w:rsid w:val="00C546FF"/>
    <w:rsid w:val="00C54A1E"/>
    <w:rsid w:val="00C54B84"/>
    <w:rsid w:val="00C54C86"/>
    <w:rsid w:val="00C56178"/>
    <w:rsid w:val="00C56687"/>
    <w:rsid w:val="00C56F97"/>
    <w:rsid w:val="00C577A9"/>
    <w:rsid w:val="00C606C0"/>
    <w:rsid w:val="00C60D99"/>
    <w:rsid w:val="00C627EB"/>
    <w:rsid w:val="00C650B9"/>
    <w:rsid w:val="00C65488"/>
    <w:rsid w:val="00C674B4"/>
    <w:rsid w:val="00C6787B"/>
    <w:rsid w:val="00C71101"/>
    <w:rsid w:val="00C717FC"/>
    <w:rsid w:val="00C72455"/>
    <w:rsid w:val="00C73546"/>
    <w:rsid w:val="00C73720"/>
    <w:rsid w:val="00C74392"/>
    <w:rsid w:val="00C74422"/>
    <w:rsid w:val="00C7510B"/>
    <w:rsid w:val="00C75948"/>
    <w:rsid w:val="00C76D3F"/>
    <w:rsid w:val="00C77FF0"/>
    <w:rsid w:val="00C80BD3"/>
    <w:rsid w:val="00C8337E"/>
    <w:rsid w:val="00C83CDE"/>
    <w:rsid w:val="00C85EEF"/>
    <w:rsid w:val="00C85FD8"/>
    <w:rsid w:val="00C8624C"/>
    <w:rsid w:val="00C86ECE"/>
    <w:rsid w:val="00C918EF"/>
    <w:rsid w:val="00C9239C"/>
    <w:rsid w:val="00C92B2B"/>
    <w:rsid w:val="00C9397F"/>
    <w:rsid w:val="00C93F32"/>
    <w:rsid w:val="00C94775"/>
    <w:rsid w:val="00C947A9"/>
    <w:rsid w:val="00C94D3F"/>
    <w:rsid w:val="00C95D73"/>
    <w:rsid w:val="00C96A92"/>
    <w:rsid w:val="00C972C8"/>
    <w:rsid w:val="00C97A89"/>
    <w:rsid w:val="00CA06C7"/>
    <w:rsid w:val="00CA10BB"/>
    <w:rsid w:val="00CA492E"/>
    <w:rsid w:val="00CA4C09"/>
    <w:rsid w:val="00CA4FA9"/>
    <w:rsid w:val="00CA6716"/>
    <w:rsid w:val="00CA6DEF"/>
    <w:rsid w:val="00CA74CA"/>
    <w:rsid w:val="00CA7DE2"/>
    <w:rsid w:val="00CB067A"/>
    <w:rsid w:val="00CB09A1"/>
    <w:rsid w:val="00CB0C96"/>
    <w:rsid w:val="00CB146D"/>
    <w:rsid w:val="00CB1998"/>
    <w:rsid w:val="00CB3EBB"/>
    <w:rsid w:val="00CB3F35"/>
    <w:rsid w:val="00CB4D1B"/>
    <w:rsid w:val="00CB4DE0"/>
    <w:rsid w:val="00CB72EA"/>
    <w:rsid w:val="00CB79A7"/>
    <w:rsid w:val="00CC1780"/>
    <w:rsid w:val="00CC3536"/>
    <w:rsid w:val="00CC4744"/>
    <w:rsid w:val="00CC4A07"/>
    <w:rsid w:val="00CC4E9E"/>
    <w:rsid w:val="00CC4F1D"/>
    <w:rsid w:val="00CC6E1E"/>
    <w:rsid w:val="00CC7338"/>
    <w:rsid w:val="00CC7BDF"/>
    <w:rsid w:val="00CD1D37"/>
    <w:rsid w:val="00CD2317"/>
    <w:rsid w:val="00CD2B0E"/>
    <w:rsid w:val="00CD2FE6"/>
    <w:rsid w:val="00CD3D6F"/>
    <w:rsid w:val="00CD4895"/>
    <w:rsid w:val="00CD6639"/>
    <w:rsid w:val="00CD671E"/>
    <w:rsid w:val="00CD683F"/>
    <w:rsid w:val="00CD6B90"/>
    <w:rsid w:val="00CD6DF6"/>
    <w:rsid w:val="00CD6DFA"/>
    <w:rsid w:val="00CD704A"/>
    <w:rsid w:val="00CD7ACC"/>
    <w:rsid w:val="00CE1E5E"/>
    <w:rsid w:val="00CE202C"/>
    <w:rsid w:val="00CE35C1"/>
    <w:rsid w:val="00CE5CEA"/>
    <w:rsid w:val="00CE6691"/>
    <w:rsid w:val="00CE688C"/>
    <w:rsid w:val="00CE6911"/>
    <w:rsid w:val="00CE71E5"/>
    <w:rsid w:val="00CF1C62"/>
    <w:rsid w:val="00CF2659"/>
    <w:rsid w:val="00CF540D"/>
    <w:rsid w:val="00CF661C"/>
    <w:rsid w:val="00CF6E6C"/>
    <w:rsid w:val="00CF77DC"/>
    <w:rsid w:val="00CF7D0F"/>
    <w:rsid w:val="00D0086F"/>
    <w:rsid w:val="00D01349"/>
    <w:rsid w:val="00D01B22"/>
    <w:rsid w:val="00D02682"/>
    <w:rsid w:val="00D03E15"/>
    <w:rsid w:val="00D04C48"/>
    <w:rsid w:val="00D05C60"/>
    <w:rsid w:val="00D069EF"/>
    <w:rsid w:val="00D06F63"/>
    <w:rsid w:val="00D07DF0"/>
    <w:rsid w:val="00D11ED8"/>
    <w:rsid w:val="00D13147"/>
    <w:rsid w:val="00D14180"/>
    <w:rsid w:val="00D14818"/>
    <w:rsid w:val="00D15111"/>
    <w:rsid w:val="00D167ED"/>
    <w:rsid w:val="00D20341"/>
    <w:rsid w:val="00D204CD"/>
    <w:rsid w:val="00D2134B"/>
    <w:rsid w:val="00D21751"/>
    <w:rsid w:val="00D21F6E"/>
    <w:rsid w:val="00D22CFE"/>
    <w:rsid w:val="00D22E89"/>
    <w:rsid w:val="00D23A72"/>
    <w:rsid w:val="00D23AB2"/>
    <w:rsid w:val="00D25135"/>
    <w:rsid w:val="00D258D8"/>
    <w:rsid w:val="00D26331"/>
    <w:rsid w:val="00D2652D"/>
    <w:rsid w:val="00D27104"/>
    <w:rsid w:val="00D301D2"/>
    <w:rsid w:val="00D30CEF"/>
    <w:rsid w:val="00D31BB8"/>
    <w:rsid w:val="00D31C1B"/>
    <w:rsid w:val="00D33A1A"/>
    <w:rsid w:val="00D3477A"/>
    <w:rsid w:val="00D353A8"/>
    <w:rsid w:val="00D3665D"/>
    <w:rsid w:val="00D37BBE"/>
    <w:rsid w:val="00D40E17"/>
    <w:rsid w:val="00D42242"/>
    <w:rsid w:val="00D43662"/>
    <w:rsid w:val="00D45208"/>
    <w:rsid w:val="00D45568"/>
    <w:rsid w:val="00D510A7"/>
    <w:rsid w:val="00D51C6E"/>
    <w:rsid w:val="00D51D87"/>
    <w:rsid w:val="00D52DAF"/>
    <w:rsid w:val="00D53CE2"/>
    <w:rsid w:val="00D543F3"/>
    <w:rsid w:val="00D554F8"/>
    <w:rsid w:val="00D57535"/>
    <w:rsid w:val="00D604C6"/>
    <w:rsid w:val="00D6096C"/>
    <w:rsid w:val="00D609E5"/>
    <w:rsid w:val="00D63433"/>
    <w:rsid w:val="00D636FC"/>
    <w:rsid w:val="00D63E0D"/>
    <w:rsid w:val="00D651BC"/>
    <w:rsid w:val="00D66971"/>
    <w:rsid w:val="00D67E3A"/>
    <w:rsid w:val="00D67E83"/>
    <w:rsid w:val="00D708B7"/>
    <w:rsid w:val="00D716D0"/>
    <w:rsid w:val="00D71896"/>
    <w:rsid w:val="00D755A7"/>
    <w:rsid w:val="00D75ECC"/>
    <w:rsid w:val="00D75F5A"/>
    <w:rsid w:val="00D76EDE"/>
    <w:rsid w:val="00D77B37"/>
    <w:rsid w:val="00D80173"/>
    <w:rsid w:val="00D80B32"/>
    <w:rsid w:val="00D81357"/>
    <w:rsid w:val="00D81D4D"/>
    <w:rsid w:val="00D823A9"/>
    <w:rsid w:val="00D83FB6"/>
    <w:rsid w:val="00D8418F"/>
    <w:rsid w:val="00D856B5"/>
    <w:rsid w:val="00D90217"/>
    <w:rsid w:val="00D9048E"/>
    <w:rsid w:val="00D91F7D"/>
    <w:rsid w:val="00D92A5F"/>
    <w:rsid w:val="00D95224"/>
    <w:rsid w:val="00D95989"/>
    <w:rsid w:val="00D96112"/>
    <w:rsid w:val="00D96184"/>
    <w:rsid w:val="00D96C89"/>
    <w:rsid w:val="00D97320"/>
    <w:rsid w:val="00D9732C"/>
    <w:rsid w:val="00DA09FB"/>
    <w:rsid w:val="00DA1D51"/>
    <w:rsid w:val="00DA4F87"/>
    <w:rsid w:val="00DA52E8"/>
    <w:rsid w:val="00DA6836"/>
    <w:rsid w:val="00DA6C57"/>
    <w:rsid w:val="00DB14C1"/>
    <w:rsid w:val="00DB20DE"/>
    <w:rsid w:val="00DB3460"/>
    <w:rsid w:val="00DB4817"/>
    <w:rsid w:val="00DB4CF9"/>
    <w:rsid w:val="00DB79A6"/>
    <w:rsid w:val="00DC13A0"/>
    <w:rsid w:val="00DC2A0C"/>
    <w:rsid w:val="00DC36B5"/>
    <w:rsid w:val="00DC54A4"/>
    <w:rsid w:val="00DD02AE"/>
    <w:rsid w:val="00DD2C65"/>
    <w:rsid w:val="00DD38E1"/>
    <w:rsid w:val="00DD491D"/>
    <w:rsid w:val="00DD49F4"/>
    <w:rsid w:val="00DD503B"/>
    <w:rsid w:val="00DD593A"/>
    <w:rsid w:val="00DD599F"/>
    <w:rsid w:val="00DD6A04"/>
    <w:rsid w:val="00DD6E3A"/>
    <w:rsid w:val="00DD710A"/>
    <w:rsid w:val="00DD7BB6"/>
    <w:rsid w:val="00DD7D1A"/>
    <w:rsid w:val="00DE1FE9"/>
    <w:rsid w:val="00DE23F2"/>
    <w:rsid w:val="00DE27BE"/>
    <w:rsid w:val="00DE27DD"/>
    <w:rsid w:val="00DE3558"/>
    <w:rsid w:val="00DE4B32"/>
    <w:rsid w:val="00DE5012"/>
    <w:rsid w:val="00DE591C"/>
    <w:rsid w:val="00DE68E0"/>
    <w:rsid w:val="00DE6AEA"/>
    <w:rsid w:val="00DF20F8"/>
    <w:rsid w:val="00DF262D"/>
    <w:rsid w:val="00DF274C"/>
    <w:rsid w:val="00DF2811"/>
    <w:rsid w:val="00DF2AF5"/>
    <w:rsid w:val="00DF3C21"/>
    <w:rsid w:val="00DF42DB"/>
    <w:rsid w:val="00DF44A6"/>
    <w:rsid w:val="00DF6487"/>
    <w:rsid w:val="00DF6901"/>
    <w:rsid w:val="00DF6BC5"/>
    <w:rsid w:val="00E0010B"/>
    <w:rsid w:val="00E00E5A"/>
    <w:rsid w:val="00E0144B"/>
    <w:rsid w:val="00E01976"/>
    <w:rsid w:val="00E0203D"/>
    <w:rsid w:val="00E02051"/>
    <w:rsid w:val="00E0244B"/>
    <w:rsid w:val="00E02997"/>
    <w:rsid w:val="00E03AF1"/>
    <w:rsid w:val="00E03BD6"/>
    <w:rsid w:val="00E03F63"/>
    <w:rsid w:val="00E04BEC"/>
    <w:rsid w:val="00E04CD9"/>
    <w:rsid w:val="00E06001"/>
    <w:rsid w:val="00E064C4"/>
    <w:rsid w:val="00E07B5C"/>
    <w:rsid w:val="00E102BB"/>
    <w:rsid w:val="00E118ED"/>
    <w:rsid w:val="00E126E0"/>
    <w:rsid w:val="00E1351B"/>
    <w:rsid w:val="00E13656"/>
    <w:rsid w:val="00E1642A"/>
    <w:rsid w:val="00E1655E"/>
    <w:rsid w:val="00E17D68"/>
    <w:rsid w:val="00E21DED"/>
    <w:rsid w:val="00E22F11"/>
    <w:rsid w:val="00E2554C"/>
    <w:rsid w:val="00E25D31"/>
    <w:rsid w:val="00E25FA6"/>
    <w:rsid w:val="00E263F2"/>
    <w:rsid w:val="00E27305"/>
    <w:rsid w:val="00E27E4C"/>
    <w:rsid w:val="00E301EE"/>
    <w:rsid w:val="00E30818"/>
    <w:rsid w:val="00E31850"/>
    <w:rsid w:val="00E318B5"/>
    <w:rsid w:val="00E328EE"/>
    <w:rsid w:val="00E32E47"/>
    <w:rsid w:val="00E337AA"/>
    <w:rsid w:val="00E33DBD"/>
    <w:rsid w:val="00E34AAD"/>
    <w:rsid w:val="00E34C91"/>
    <w:rsid w:val="00E356CB"/>
    <w:rsid w:val="00E364D8"/>
    <w:rsid w:val="00E36BE2"/>
    <w:rsid w:val="00E3755B"/>
    <w:rsid w:val="00E37C4E"/>
    <w:rsid w:val="00E37CC9"/>
    <w:rsid w:val="00E40B47"/>
    <w:rsid w:val="00E42270"/>
    <w:rsid w:val="00E43930"/>
    <w:rsid w:val="00E44E3C"/>
    <w:rsid w:val="00E45831"/>
    <w:rsid w:val="00E45CD7"/>
    <w:rsid w:val="00E46888"/>
    <w:rsid w:val="00E46D8C"/>
    <w:rsid w:val="00E46DBD"/>
    <w:rsid w:val="00E4759B"/>
    <w:rsid w:val="00E50B8E"/>
    <w:rsid w:val="00E50FBC"/>
    <w:rsid w:val="00E51FB1"/>
    <w:rsid w:val="00E52691"/>
    <w:rsid w:val="00E52BE0"/>
    <w:rsid w:val="00E544CF"/>
    <w:rsid w:val="00E5485A"/>
    <w:rsid w:val="00E562B4"/>
    <w:rsid w:val="00E568E1"/>
    <w:rsid w:val="00E56CE6"/>
    <w:rsid w:val="00E574FC"/>
    <w:rsid w:val="00E60629"/>
    <w:rsid w:val="00E60695"/>
    <w:rsid w:val="00E61043"/>
    <w:rsid w:val="00E61CF3"/>
    <w:rsid w:val="00E61E4D"/>
    <w:rsid w:val="00E63E75"/>
    <w:rsid w:val="00E6515F"/>
    <w:rsid w:val="00E65AAE"/>
    <w:rsid w:val="00E65BF2"/>
    <w:rsid w:val="00E672C7"/>
    <w:rsid w:val="00E674FB"/>
    <w:rsid w:val="00E70586"/>
    <w:rsid w:val="00E70F5F"/>
    <w:rsid w:val="00E722D5"/>
    <w:rsid w:val="00E72B5B"/>
    <w:rsid w:val="00E73406"/>
    <w:rsid w:val="00E73FD3"/>
    <w:rsid w:val="00E75B91"/>
    <w:rsid w:val="00E7625C"/>
    <w:rsid w:val="00E76BC5"/>
    <w:rsid w:val="00E77686"/>
    <w:rsid w:val="00E7781F"/>
    <w:rsid w:val="00E810FE"/>
    <w:rsid w:val="00E824FD"/>
    <w:rsid w:val="00E83879"/>
    <w:rsid w:val="00E850B2"/>
    <w:rsid w:val="00E8596C"/>
    <w:rsid w:val="00E8644B"/>
    <w:rsid w:val="00E864A9"/>
    <w:rsid w:val="00E865C0"/>
    <w:rsid w:val="00E87B01"/>
    <w:rsid w:val="00E900AF"/>
    <w:rsid w:val="00E91CC1"/>
    <w:rsid w:val="00E92C27"/>
    <w:rsid w:val="00E93FCD"/>
    <w:rsid w:val="00E94FC2"/>
    <w:rsid w:val="00E95223"/>
    <w:rsid w:val="00E95C92"/>
    <w:rsid w:val="00E96C0A"/>
    <w:rsid w:val="00E97CC8"/>
    <w:rsid w:val="00EA01C9"/>
    <w:rsid w:val="00EA3C71"/>
    <w:rsid w:val="00EA3F81"/>
    <w:rsid w:val="00EA4C2F"/>
    <w:rsid w:val="00EA50DE"/>
    <w:rsid w:val="00EA5232"/>
    <w:rsid w:val="00EA5DD7"/>
    <w:rsid w:val="00EA61A2"/>
    <w:rsid w:val="00EB0134"/>
    <w:rsid w:val="00EB116F"/>
    <w:rsid w:val="00EB1316"/>
    <w:rsid w:val="00EB14C9"/>
    <w:rsid w:val="00EB154D"/>
    <w:rsid w:val="00EB1CAB"/>
    <w:rsid w:val="00EB1D29"/>
    <w:rsid w:val="00EB20D1"/>
    <w:rsid w:val="00EB2C5F"/>
    <w:rsid w:val="00EB2CB1"/>
    <w:rsid w:val="00EB33E2"/>
    <w:rsid w:val="00EB403E"/>
    <w:rsid w:val="00EB5AFB"/>
    <w:rsid w:val="00EB7589"/>
    <w:rsid w:val="00EC12DF"/>
    <w:rsid w:val="00EC1E91"/>
    <w:rsid w:val="00EC2A94"/>
    <w:rsid w:val="00EC3A18"/>
    <w:rsid w:val="00EC5217"/>
    <w:rsid w:val="00EC55CB"/>
    <w:rsid w:val="00EC5C09"/>
    <w:rsid w:val="00EC7294"/>
    <w:rsid w:val="00ED073D"/>
    <w:rsid w:val="00ED0CFD"/>
    <w:rsid w:val="00ED0ED7"/>
    <w:rsid w:val="00ED26C2"/>
    <w:rsid w:val="00ED28E0"/>
    <w:rsid w:val="00ED35DC"/>
    <w:rsid w:val="00ED3DBE"/>
    <w:rsid w:val="00ED7EDF"/>
    <w:rsid w:val="00EE0AA6"/>
    <w:rsid w:val="00EE0DDE"/>
    <w:rsid w:val="00EE298B"/>
    <w:rsid w:val="00EE2F52"/>
    <w:rsid w:val="00EE47A2"/>
    <w:rsid w:val="00EE5086"/>
    <w:rsid w:val="00EE5612"/>
    <w:rsid w:val="00EE5F31"/>
    <w:rsid w:val="00EE622A"/>
    <w:rsid w:val="00EE6DB9"/>
    <w:rsid w:val="00EF21E1"/>
    <w:rsid w:val="00EF414A"/>
    <w:rsid w:val="00EF462D"/>
    <w:rsid w:val="00EF4908"/>
    <w:rsid w:val="00EF5B96"/>
    <w:rsid w:val="00EF67C4"/>
    <w:rsid w:val="00EF6C78"/>
    <w:rsid w:val="00F00618"/>
    <w:rsid w:val="00F00669"/>
    <w:rsid w:val="00F018B7"/>
    <w:rsid w:val="00F01ED5"/>
    <w:rsid w:val="00F06C54"/>
    <w:rsid w:val="00F1028E"/>
    <w:rsid w:val="00F11047"/>
    <w:rsid w:val="00F11576"/>
    <w:rsid w:val="00F115AA"/>
    <w:rsid w:val="00F117D2"/>
    <w:rsid w:val="00F12A34"/>
    <w:rsid w:val="00F12BB1"/>
    <w:rsid w:val="00F12BCE"/>
    <w:rsid w:val="00F13D85"/>
    <w:rsid w:val="00F1671F"/>
    <w:rsid w:val="00F16B41"/>
    <w:rsid w:val="00F171ED"/>
    <w:rsid w:val="00F17700"/>
    <w:rsid w:val="00F214DB"/>
    <w:rsid w:val="00F218C6"/>
    <w:rsid w:val="00F22502"/>
    <w:rsid w:val="00F23466"/>
    <w:rsid w:val="00F2429D"/>
    <w:rsid w:val="00F24571"/>
    <w:rsid w:val="00F245C8"/>
    <w:rsid w:val="00F275D7"/>
    <w:rsid w:val="00F27B66"/>
    <w:rsid w:val="00F306A2"/>
    <w:rsid w:val="00F320EE"/>
    <w:rsid w:val="00F32966"/>
    <w:rsid w:val="00F32CFE"/>
    <w:rsid w:val="00F33B5B"/>
    <w:rsid w:val="00F35EFE"/>
    <w:rsid w:val="00F36DEA"/>
    <w:rsid w:val="00F400FA"/>
    <w:rsid w:val="00F4050E"/>
    <w:rsid w:val="00F4071A"/>
    <w:rsid w:val="00F416C6"/>
    <w:rsid w:val="00F417FC"/>
    <w:rsid w:val="00F4217C"/>
    <w:rsid w:val="00F42224"/>
    <w:rsid w:val="00F43645"/>
    <w:rsid w:val="00F4406F"/>
    <w:rsid w:val="00F4618B"/>
    <w:rsid w:val="00F46D61"/>
    <w:rsid w:val="00F47905"/>
    <w:rsid w:val="00F5033A"/>
    <w:rsid w:val="00F5105D"/>
    <w:rsid w:val="00F520A4"/>
    <w:rsid w:val="00F557E9"/>
    <w:rsid w:val="00F57E33"/>
    <w:rsid w:val="00F61E47"/>
    <w:rsid w:val="00F61E7A"/>
    <w:rsid w:val="00F6287A"/>
    <w:rsid w:val="00F63B4D"/>
    <w:rsid w:val="00F63CF9"/>
    <w:rsid w:val="00F6436F"/>
    <w:rsid w:val="00F64790"/>
    <w:rsid w:val="00F6596E"/>
    <w:rsid w:val="00F66613"/>
    <w:rsid w:val="00F6679F"/>
    <w:rsid w:val="00F66E8E"/>
    <w:rsid w:val="00F67B38"/>
    <w:rsid w:val="00F67CAA"/>
    <w:rsid w:val="00F71101"/>
    <w:rsid w:val="00F71183"/>
    <w:rsid w:val="00F7166B"/>
    <w:rsid w:val="00F716FB"/>
    <w:rsid w:val="00F71E30"/>
    <w:rsid w:val="00F71EC0"/>
    <w:rsid w:val="00F72F47"/>
    <w:rsid w:val="00F7439A"/>
    <w:rsid w:val="00F7574A"/>
    <w:rsid w:val="00F81673"/>
    <w:rsid w:val="00F81CAF"/>
    <w:rsid w:val="00F81CCF"/>
    <w:rsid w:val="00F82346"/>
    <w:rsid w:val="00F82796"/>
    <w:rsid w:val="00F83A61"/>
    <w:rsid w:val="00F84587"/>
    <w:rsid w:val="00F86243"/>
    <w:rsid w:val="00F8782A"/>
    <w:rsid w:val="00F87942"/>
    <w:rsid w:val="00F90CCE"/>
    <w:rsid w:val="00F9162E"/>
    <w:rsid w:val="00F929D1"/>
    <w:rsid w:val="00F948AD"/>
    <w:rsid w:val="00F96707"/>
    <w:rsid w:val="00F96822"/>
    <w:rsid w:val="00F9748F"/>
    <w:rsid w:val="00F979A8"/>
    <w:rsid w:val="00F97E31"/>
    <w:rsid w:val="00FA028D"/>
    <w:rsid w:val="00FA078D"/>
    <w:rsid w:val="00FA135B"/>
    <w:rsid w:val="00FA1442"/>
    <w:rsid w:val="00FA1696"/>
    <w:rsid w:val="00FA1D06"/>
    <w:rsid w:val="00FA2FBF"/>
    <w:rsid w:val="00FA3BF2"/>
    <w:rsid w:val="00FA4086"/>
    <w:rsid w:val="00FA5C6D"/>
    <w:rsid w:val="00FA6143"/>
    <w:rsid w:val="00FA68F1"/>
    <w:rsid w:val="00FA6B98"/>
    <w:rsid w:val="00FA6CD2"/>
    <w:rsid w:val="00FB028A"/>
    <w:rsid w:val="00FB1226"/>
    <w:rsid w:val="00FB18B5"/>
    <w:rsid w:val="00FB1C7E"/>
    <w:rsid w:val="00FB21A7"/>
    <w:rsid w:val="00FB2855"/>
    <w:rsid w:val="00FB3E12"/>
    <w:rsid w:val="00FB3E48"/>
    <w:rsid w:val="00FB41F7"/>
    <w:rsid w:val="00FB4811"/>
    <w:rsid w:val="00FB5DB8"/>
    <w:rsid w:val="00FB5FD1"/>
    <w:rsid w:val="00FB6ADE"/>
    <w:rsid w:val="00FB6E64"/>
    <w:rsid w:val="00FB7FDA"/>
    <w:rsid w:val="00FC01D2"/>
    <w:rsid w:val="00FC094C"/>
    <w:rsid w:val="00FC1338"/>
    <w:rsid w:val="00FC183E"/>
    <w:rsid w:val="00FC2429"/>
    <w:rsid w:val="00FC283A"/>
    <w:rsid w:val="00FC3BAE"/>
    <w:rsid w:val="00FC4419"/>
    <w:rsid w:val="00FC4B06"/>
    <w:rsid w:val="00FC4E8E"/>
    <w:rsid w:val="00FC6102"/>
    <w:rsid w:val="00FC7004"/>
    <w:rsid w:val="00FC7166"/>
    <w:rsid w:val="00FC7C6C"/>
    <w:rsid w:val="00FC7D26"/>
    <w:rsid w:val="00FD06B6"/>
    <w:rsid w:val="00FD1399"/>
    <w:rsid w:val="00FD146A"/>
    <w:rsid w:val="00FD1594"/>
    <w:rsid w:val="00FD1B57"/>
    <w:rsid w:val="00FD1DDA"/>
    <w:rsid w:val="00FD45BD"/>
    <w:rsid w:val="00FD47E8"/>
    <w:rsid w:val="00FD4B4C"/>
    <w:rsid w:val="00FD63E4"/>
    <w:rsid w:val="00FD6E99"/>
    <w:rsid w:val="00FD710E"/>
    <w:rsid w:val="00FE00CB"/>
    <w:rsid w:val="00FE09E6"/>
    <w:rsid w:val="00FE24BA"/>
    <w:rsid w:val="00FE277E"/>
    <w:rsid w:val="00FE38BE"/>
    <w:rsid w:val="00FE3FD5"/>
    <w:rsid w:val="00FE5B99"/>
    <w:rsid w:val="00FE63F6"/>
    <w:rsid w:val="00FE731A"/>
    <w:rsid w:val="00FE7354"/>
    <w:rsid w:val="00FE7C89"/>
    <w:rsid w:val="00FF19A5"/>
    <w:rsid w:val="00FF4296"/>
    <w:rsid w:val="00FF4DD0"/>
    <w:rsid w:val="00FF5229"/>
    <w:rsid w:val="00FF59C8"/>
    <w:rsid w:val="00FF6705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2D6840"/>
  <w15:docId w15:val="{0F37ABE2-4DF4-4957-BAA1-B8125A82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3D85"/>
  </w:style>
  <w:style w:type="paragraph" w:styleId="Titolo1">
    <w:name w:val="heading 1"/>
    <w:basedOn w:val="Normale"/>
    <w:next w:val="Normale"/>
    <w:link w:val="Titolo1Carattere"/>
    <w:uiPriority w:val="9"/>
    <w:qFormat/>
    <w:rsid w:val="00492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zh-CN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30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43AF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2312"/>
    <w:pPr>
      <w:spacing w:after="0" w:line="240" w:lineRule="auto"/>
      <w:ind w:left="720"/>
      <w:contextualSpacing/>
    </w:pPr>
    <w:rPr>
      <w:rFonts w:ascii="Calibri" w:hAnsi="Calibri" w:cs="Calibri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B97AE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97AE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97AE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7AE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7AE8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7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7AE8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501793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E544CF"/>
    <w:rPr>
      <w:color w:val="0000FF" w:themeColor="hyperlink"/>
      <w:u w:val="single"/>
    </w:rPr>
  </w:style>
  <w:style w:type="paragraph" w:customStyle="1" w:styleId="Paragrafobase">
    <w:name w:val="[Paragrafo base]"/>
    <w:basedOn w:val="Normale"/>
    <w:uiPriority w:val="99"/>
    <w:rsid w:val="001C51E2"/>
    <w:pPr>
      <w:autoSpaceDE w:val="0"/>
      <w:autoSpaceDN w:val="0"/>
      <w:adjustRightInd w:val="0"/>
      <w:spacing w:after="0" w:line="240" w:lineRule="atLeast"/>
      <w:textAlignment w:val="center"/>
    </w:pPr>
    <w:rPr>
      <w:rFonts w:ascii="Calibri" w:hAnsi="Calibri" w:cs="Calibri"/>
      <w:color w:val="000000"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6805A5"/>
    <w:rPr>
      <w:i/>
      <w:iCs/>
    </w:rPr>
  </w:style>
  <w:style w:type="table" w:styleId="Grigliatabella">
    <w:name w:val="Table Grid"/>
    <w:basedOn w:val="Tabellanormale"/>
    <w:uiPriority w:val="59"/>
    <w:rsid w:val="00620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rsid w:val="0083539A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4303BA"/>
    <w:rPr>
      <w:color w:val="800080" w:themeColor="followedHyperlink"/>
      <w:u w:val="single"/>
    </w:rPr>
  </w:style>
  <w:style w:type="character" w:styleId="Rimandonotaapidipagina">
    <w:name w:val="footnote reference"/>
    <w:uiPriority w:val="99"/>
    <w:rsid w:val="008F43E5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rsid w:val="008F43E5"/>
    <w:rPr>
      <w:rFonts w:eastAsiaTheme="minorEastAsia"/>
      <w:lang w:val="en-US"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F43E5"/>
    <w:rPr>
      <w:rFonts w:eastAsiaTheme="minorEastAsia"/>
      <w:lang w:val="en-US" w:eastAsia="zh-CN"/>
    </w:rPr>
  </w:style>
  <w:style w:type="paragraph" w:styleId="Testonormale">
    <w:name w:val="Plain Text"/>
    <w:basedOn w:val="Normale"/>
    <w:link w:val="TestonormaleCarattere"/>
    <w:uiPriority w:val="99"/>
    <w:unhideWhenUsed/>
    <w:rsid w:val="00151D12"/>
    <w:pPr>
      <w:spacing w:after="0" w:line="240" w:lineRule="auto"/>
    </w:pPr>
    <w:rPr>
      <w:rFonts w:ascii="Calibri" w:hAnsi="Calibri"/>
      <w:color w:val="1F497D" w:themeColor="text2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51D12"/>
    <w:rPr>
      <w:rFonts w:ascii="Calibri" w:hAnsi="Calibri"/>
      <w:color w:val="1F497D" w:themeColor="text2"/>
      <w:szCs w:val="2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92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0F2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2AE1"/>
  </w:style>
  <w:style w:type="paragraph" w:styleId="Pidipagina">
    <w:name w:val="footer"/>
    <w:basedOn w:val="Normale"/>
    <w:link w:val="PidipaginaCarattere"/>
    <w:uiPriority w:val="99"/>
    <w:unhideWhenUsed/>
    <w:rsid w:val="000F2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2AE1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D75DE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C470B7"/>
    <w:rPr>
      <w:b/>
      <w:bCs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750E2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892826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1300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gkelc">
    <w:name w:val="hgkelc"/>
    <w:basedOn w:val="Carpredefinitoparagrafo"/>
    <w:rsid w:val="00553AFF"/>
  </w:style>
  <w:style w:type="paragraph" w:styleId="NormaleWeb">
    <w:name w:val="Normal (Web)"/>
    <w:basedOn w:val="Normale"/>
    <w:uiPriority w:val="99"/>
    <w:unhideWhenUsed/>
    <w:rsid w:val="00CC4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2E1F61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uiPriority w:val="35"/>
    <w:unhideWhenUsed/>
    <w:qFormat/>
    <w:rsid w:val="00A53625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eastAsia="zh-CN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F71183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43AF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idascaliaGIMBE">
    <w:name w:val="Didascalia GIMBE"/>
    <w:rsid w:val="004511BB"/>
    <w:pPr>
      <w:keepNext/>
      <w:spacing w:before="60" w:after="0"/>
      <w:jc w:val="center"/>
    </w:pPr>
    <w:rPr>
      <w:rFonts w:ascii="Cambria" w:eastAsia="Cambria" w:hAnsi="Cambria"/>
      <w:b/>
      <w:color w:val="1F4E79"/>
      <w:sz w:val="18"/>
      <w:lang w:val="en-US"/>
    </w:rPr>
  </w:style>
  <w:style w:type="table" w:customStyle="1" w:styleId="Grigliatabella3">
    <w:name w:val="Griglia tabella3"/>
    <w:basedOn w:val="Tabellanormale"/>
    <w:next w:val="Grigliatabella"/>
    <w:uiPriority w:val="59"/>
    <w:rsid w:val="005B629F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6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4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46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663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123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665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542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979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592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0744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123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7168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5259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038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1650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4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1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36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2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19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15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861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961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47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4429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4455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1551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4971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354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8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0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6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6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2019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77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166738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676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79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343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3747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02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1433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9389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6234189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7002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154409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074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5008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38399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53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8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05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831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88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96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15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1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416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04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052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196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6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223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534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098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1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13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7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07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hyperlink" Target="mailto:ufficio.stampa@gimbe.org" TargetMode="External"/><Relationship Id="rId19" Type="http://schemas.openxmlformats.org/officeDocument/2006/relationships/image" Target="media/image9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alviamo-ssn.it/salviamo-ssn/piano-di-rilancio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8" Type="http://schemas.openxmlformats.org/officeDocument/2006/relationships/hyperlink" Target="http://www.salviamo-ssn.it/9-rapport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25398-9D13-4632-A553-6690AF687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4600</Words>
  <Characters>26220</Characters>
  <Application>Microsoft Office Word</Application>
  <DocSecurity>0</DocSecurity>
  <Lines>218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Nino</dc:creator>
  <cp:lastModifiedBy>Roberto Luceri</cp:lastModifiedBy>
  <cp:revision>5</cp:revision>
  <cp:lastPrinted>2026-10-01T14:13:00Z</cp:lastPrinted>
  <dcterms:created xsi:type="dcterms:W3CDTF">2026-10-06T08:03:00Z</dcterms:created>
  <dcterms:modified xsi:type="dcterms:W3CDTF">2026-10-06T09:33:00Z</dcterms:modified>
</cp:coreProperties>
</file>