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A22C" w14:textId="77777777" w:rsidR="0017089E" w:rsidRDefault="0017089E" w:rsidP="00282D8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COMUNICATO STAMPA</w:t>
      </w:r>
    </w:p>
    <w:p w14:paraId="59164EF8" w14:textId="77777777" w:rsidR="00CC2972" w:rsidRPr="00A228CA" w:rsidRDefault="00CC2972" w:rsidP="00A228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CURE AI CITTADINI: 10 ANNI DI</w:t>
      </w:r>
      <w:r w:rsidRPr="00CC2972">
        <w:rPr>
          <w:b/>
          <w:bCs/>
          <w:sz w:val="32"/>
          <w:szCs w:val="32"/>
        </w:rPr>
        <w:t xml:space="preserve"> DISEGUAGLIANZE REGIONALI.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  <w:r w:rsidR="003A660F">
        <w:rPr>
          <w:b/>
          <w:bCs/>
          <w:sz w:val="32"/>
          <w:szCs w:val="32"/>
        </w:rPr>
        <w:t xml:space="preserve">ECCO LE REGIONI CHE </w:t>
      </w:r>
      <w:r w:rsidR="00765503">
        <w:rPr>
          <w:b/>
          <w:bCs/>
          <w:sz w:val="32"/>
          <w:szCs w:val="32"/>
        </w:rPr>
        <w:t xml:space="preserve">HANNO GARANTITO </w:t>
      </w:r>
      <w:r w:rsidR="003A660F">
        <w:rPr>
          <w:b/>
          <w:bCs/>
          <w:sz w:val="32"/>
          <w:szCs w:val="32"/>
        </w:rPr>
        <w:t xml:space="preserve">L’EROGAZIONE DELLE PRESTAZIONI </w:t>
      </w:r>
      <w:r>
        <w:rPr>
          <w:b/>
          <w:bCs/>
          <w:sz w:val="32"/>
          <w:szCs w:val="32"/>
        </w:rPr>
        <w:t>SANITARIE</w:t>
      </w:r>
      <w:r w:rsidR="003A660F">
        <w:rPr>
          <w:b/>
          <w:bCs/>
          <w:sz w:val="32"/>
          <w:szCs w:val="32"/>
        </w:rPr>
        <w:t>: EMILIA-ROMAGNA IN TESTA</w:t>
      </w:r>
      <w:r w:rsidR="00A228CA">
        <w:rPr>
          <w:b/>
          <w:bCs/>
          <w:sz w:val="32"/>
          <w:szCs w:val="32"/>
        </w:rPr>
        <w:t xml:space="preserve">. </w:t>
      </w:r>
      <w:r w:rsidR="00A228CA">
        <w:rPr>
          <w:b/>
          <w:bCs/>
          <w:sz w:val="32"/>
          <w:szCs w:val="32"/>
        </w:rPr>
        <w:br/>
        <w:t>TRA LE PRIME 10</w:t>
      </w:r>
      <w:r w:rsidR="00D36F2C">
        <w:rPr>
          <w:b/>
          <w:bCs/>
          <w:sz w:val="32"/>
          <w:szCs w:val="32"/>
        </w:rPr>
        <w:t xml:space="preserve"> </w:t>
      </w:r>
      <w:r w:rsidR="005C5FCB">
        <w:rPr>
          <w:b/>
          <w:bCs/>
          <w:sz w:val="32"/>
          <w:szCs w:val="32"/>
        </w:rPr>
        <w:t xml:space="preserve">REGIONI </w:t>
      </w:r>
      <w:r w:rsidR="00A228CA" w:rsidRPr="006D3D1C">
        <w:rPr>
          <w:b/>
          <w:bCs/>
          <w:sz w:val="32"/>
          <w:szCs w:val="32"/>
        </w:rPr>
        <w:t>NESSUNA DEL SUD</w:t>
      </w:r>
      <w:r w:rsidR="005C5FCB">
        <w:rPr>
          <w:b/>
          <w:bCs/>
          <w:sz w:val="32"/>
          <w:szCs w:val="32"/>
        </w:rPr>
        <w:t>,</w:t>
      </w:r>
      <w:r w:rsidR="00A228CA">
        <w:rPr>
          <w:b/>
          <w:bCs/>
          <w:sz w:val="32"/>
          <w:szCs w:val="32"/>
        </w:rPr>
        <w:t xml:space="preserve"> DEL CENTRO SOLO </w:t>
      </w:r>
      <w:r w:rsidR="00765503" w:rsidRPr="006D3D1C">
        <w:rPr>
          <w:b/>
          <w:bCs/>
          <w:sz w:val="32"/>
          <w:szCs w:val="32"/>
        </w:rPr>
        <w:t>MARCHE E UMBRIA</w:t>
      </w:r>
      <w:r w:rsidR="00A228CA">
        <w:rPr>
          <w:b/>
          <w:bCs/>
          <w:sz w:val="32"/>
          <w:szCs w:val="32"/>
        </w:rPr>
        <w:t>.</w:t>
      </w:r>
      <w:r w:rsidR="00E679AC">
        <w:rPr>
          <w:b/>
          <w:bCs/>
          <w:color w:val="FF0000"/>
          <w:sz w:val="32"/>
          <w:szCs w:val="32"/>
        </w:rPr>
        <w:br/>
      </w:r>
      <w:r w:rsidR="002C017E">
        <w:rPr>
          <w:b/>
          <w:bCs/>
          <w:sz w:val="32"/>
          <w:szCs w:val="32"/>
        </w:rPr>
        <w:t>IL 24,3%</w:t>
      </w:r>
      <w:r w:rsidR="009B3A19" w:rsidRPr="00E679AC">
        <w:rPr>
          <w:b/>
          <w:bCs/>
          <w:sz w:val="32"/>
          <w:szCs w:val="32"/>
        </w:rPr>
        <w:t xml:space="preserve"> </w:t>
      </w:r>
      <w:r w:rsidRPr="00E679AC">
        <w:rPr>
          <w:b/>
          <w:bCs/>
          <w:sz w:val="32"/>
          <w:szCs w:val="32"/>
        </w:rPr>
        <w:t>DE</w:t>
      </w:r>
      <w:r w:rsidR="009B3A19">
        <w:rPr>
          <w:b/>
          <w:bCs/>
          <w:sz w:val="32"/>
          <w:szCs w:val="32"/>
        </w:rPr>
        <w:t xml:space="preserve">LLE RISORSE ASSEGNATE </w:t>
      </w:r>
      <w:r w:rsidR="00E679AC" w:rsidRPr="00E679AC">
        <w:rPr>
          <w:b/>
          <w:bCs/>
          <w:sz w:val="32"/>
          <w:szCs w:val="32"/>
        </w:rPr>
        <w:t>ALLE REGIONI</w:t>
      </w:r>
      <w:r w:rsidR="00A228CA">
        <w:rPr>
          <w:b/>
          <w:bCs/>
          <w:sz w:val="32"/>
          <w:szCs w:val="32"/>
        </w:rPr>
        <w:t xml:space="preserve"> </w:t>
      </w:r>
      <w:r w:rsidR="00A228CA" w:rsidRPr="00E679AC">
        <w:rPr>
          <w:b/>
          <w:bCs/>
          <w:sz w:val="32"/>
          <w:szCs w:val="32"/>
        </w:rPr>
        <w:t xml:space="preserve">TRA </w:t>
      </w:r>
      <w:r w:rsidR="00A228CA">
        <w:rPr>
          <w:b/>
          <w:bCs/>
          <w:sz w:val="32"/>
          <w:szCs w:val="32"/>
        </w:rPr>
        <w:t xml:space="preserve">IL </w:t>
      </w:r>
      <w:r w:rsidR="00A228CA" w:rsidRPr="00E679AC">
        <w:rPr>
          <w:b/>
          <w:bCs/>
          <w:sz w:val="32"/>
          <w:szCs w:val="32"/>
        </w:rPr>
        <w:t xml:space="preserve">2010 E </w:t>
      </w:r>
      <w:r w:rsidR="00A228CA">
        <w:rPr>
          <w:b/>
          <w:bCs/>
          <w:sz w:val="32"/>
          <w:szCs w:val="32"/>
        </w:rPr>
        <w:t xml:space="preserve">IL </w:t>
      </w:r>
      <w:r w:rsidR="00A228CA" w:rsidRPr="00E679AC">
        <w:rPr>
          <w:b/>
          <w:bCs/>
          <w:sz w:val="32"/>
          <w:szCs w:val="32"/>
        </w:rPr>
        <w:t xml:space="preserve">2019 </w:t>
      </w:r>
      <w:r w:rsidR="00A228CA">
        <w:rPr>
          <w:b/>
          <w:bCs/>
          <w:sz w:val="32"/>
          <w:szCs w:val="32"/>
        </w:rPr>
        <w:t>NON HA PRODOTTO SERVIZI PER I CITTADINI</w:t>
      </w:r>
      <w:r w:rsidR="00904779">
        <w:rPr>
          <w:b/>
          <w:bCs/>
          <w:sz w:val="32"/>
          <w:szCs w:val="32"/>
        </w:rPr>
        <w:t>.</w:t>
      </w:r>
    </w:p>
    <w:p w14:paraId="47E069E4" w14:textId="77777777" w:rsidR="00B1087E" w:rsidRPr="009B3A19" w:rsidRDefault="00015EB0" w:rsidP="00944534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21</w:t>
      </w:r>
      <w:r w:rsidR="00CC2972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dicembre 2022</w:t>
      </w:r>
      <w:r w:rsidR="00AE52E4" w:rsidRPr="009B3A19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5B4F61" w:rsidRPr="009B3A19">
        <w:rPr>
          <w:rFonts w:ascii="Calibri" w:eastAsia="Calibri" w:hAnsi="Calibri" w:cs="Times New Roman"/>
          <w:b/>
          <w:bCs/>
          <w:sz w:val="24"/>
          <w:szCs w:val="24"/>
        </w:rPr>
        <w:t>- Fondazione GIMBE, Bologna</w:t>
      </w:r>
    </w:p>
    <w:p w14:paraId="074B3BF4" w14:textId="0C63E2D8" w:rsidR="006C167D" w:rsidRDefault="006655DA" w:rsidP="00C0727B">
      <w:pPr>
        <w:spacing w:after="80"/>
        <w:jc w:val="both"/>
      </w:pPr>
      <w:r w:rsidRPr="00B411A7">
        <w:rPr>
          <w:rFonts w:eastAsia="Times New Roman" w:cstheme="minorHAnsi"/>
        </w:rPr>
        <w:t>Ogni anno i</w:t>
      </w:r>
      <w:r w:rsidR="007E5588" w:rsidRPr="00B411A7">
        <w:rPr>
          <w:rFonts w:eastAsia="Times New Roman" w:cstheme="minorHAnsi"/>
        </w:rPr>
        <w:t xml:space="preserve">l Ministero della Salute </w:t>
      </w:r>
      <w:r w:rsidR="0089467A">
        <w:rPr>
          <w:rFonts w:eastAsia="Times New Roman" w:cstheme="minorHAnsi"/>
        </w:rPr>
        <w:t xml:space="preserve">pubblica </w:t>
      </w:r>
      <w:r w:rsidR="00C5703C" w:rsidRPr="00B411A7">
        <w:rPr>
          <w:rFonts w:eastAsia="Times New Roman" w:cstheme="minorHAnsi"/>
        </w:rPr>
        <w:t>il</w:t>
      </w:r>
      <w:r w:rsidR="00D232FA" w:rsidRPr="00B411A7">
        <w:rPr>
          <w:rFonts w:eastAsia="Times New Roman" w:cstheme="minorHAnsi"/>
        </w:rPr>
        <w:t xml:space="preserve"> </w:t>
      </w:r>
      <w:r w:rsidR="00B538CA" w:rsidRPr="00B411A7">
        <w:rPr>
          <w:rFonts w:eastAsia="Times New Roman" w:cstheme="minorHAnsi"/>
        </w:rPr>
        <w:t>report</w:t>
      </w:r>
      <w:r w:rsidR="00D232FA" w:rsidRPr="00B411A7">
        <w:rPr>
          <w:rFonts w:eastAsia="Times New Roman" w:cstheme="minorHAnsi"/>
        </w:rPr>
        <w:t xml:space="preserve"> </w:t>
      </w:r>
      <w:r w:rsidR="00C5703C" w:rsidRPr="00B411A7">
        <w:rPr>
          <w:rFonts w:eastAsia="Times New Roman" w:cstheme="minorHAnsi"/>
        </w:rPr>
        <w:t>“</w:t>
      </w:r>
      <w:hyperlink r:id="rId8" w:history="1">
        <w:r w:rsidR="00C5703C" w:rsidRPr="00B411A7">
          <w:rPr>
            <w:rStyle w:val="Collegamentoipertestuale"/>
            <w:rFonts w:eastAsia="Times New Roman" w:cstheme="minorHAnsi"/>
            <w:color w:val="auto"/>
          </w:rPr>
          <w:t>Monitoraggio dei LEA attraverso la cd. Griglia LEA</w:t>
        </w:r>
      </w:hyperlink>
      <w:r w:rsidR="00C5703C" w:rsidRPr="00B411A7">
        <w:rPr>
          <w:rFonts w:eastAsia="Times New Roman" w:cstheme="minorHAnsi"/>
        </w:rPr>
        <w:t>”</w:t>
      </w:r>
      <w:r w:rsidR="00A5036B" w:rsidRPr="00B411A7">
        <w:rPr>
          <w:rFonts w:eastAsia="Times New Roman" w:cstheme="minorHAnsi"/>
        </w:rPr>
        <w:t xml:space="preserve"> </w:t>
      </w:r>
      <w:r w:rsidR="00B538CA" w:rsidRPr="00B411A7">
        <w:rPr>
          <w:rFonts w:eastAsia="Times New Roman" w:cstheme="minorHAnsi"/>
        </w:rPr>
        <w:t>che</w:t>
      </w:r>
      <w:r w:rsidR="00B91BF7" w:rsidRPr="00B411A7">
        <w:rPr>
          <w:rFonts w:eastAsia="Times New Roman" w:cstheme="minorHAnsi"/>
        </w:rPr>
        <w:t xml:space="preserve">, attraverso l’assegnazione di un punteggio, </w:t>
      </w:r>
      <w:r w:rsidR="00D65442">
        <w:rPr>
          <w:rFonts w:eastAsia="Times New Roman" w:cstheme="minorHAnsi"/>
        </w:rPr>
        <w:t>attesta</w:t>
      </w:r>
      <w:r w:rsidR="00D232FA" w:rsidRPr="00B411A7">
        <w:rPr>
          <w:rFonts w:eastAsia="Times New Roman" w:cstheme="minorHAnsi"/>
        </w:rPr>
        <w:t xml:space="preserve"> </w:t>
      </w:r>
      <w:r w:rsidR="00CC61FC" w:rsidRPr="00B411A7">
        <w:rPr>
          <w:rFonts w:eastAsia="Times New Roman" w:cstheme="minorHAnsi"/>
        </w:rPr>
        <w:t>l’</w:t>
      </w:r>
      <w:r w:rsidR="007E5588" w:rsidRPr="00B411A7">
        <w:rPr>
          <w:rFonts w:eastAsia="Times New Roman" w:cstheme="minorHAnsi"/>
        </w:rPr>
        <w:t>erogazione</w:t>
      </w:r>
      <w:r w:rsidR="00B91BF7">
        <w:rPr>
          <w:rFonts w:eastAsia="Times New Roman" w:cstheme="minorHAnsi"/>
        </w:rPr>
        <w:t xml:space="preserve"> </w:t>
      </w:r>
      <w:r w:rsidR="007E5588" w:rsidRPr="00B411A7">
        <w:rPr>
          <w:rFonts w:eastAsia="Times New Roman" w:cstheme="minorHAnsi"/>
        </w:rPr>
        <w:t>delle prestazioni</w:t>
      </w:r>
      <w:r w:rsidR="00A5036B" w:rsidRPr="00B411A7">
        <w:rPr>
          <w:rFonts w:eastAsia="Times New Roman" w:cstheme="minorHAnsi"/>
        </w:rPr>
        <w:t xml:space="preserve"> sanitarie che le Regioni devono garantire ai cittadini</w:t>
      </w:r>
      <w:r w:rsidR="006B04A0" w:rsidRPr="00B411A7">
        <w:rPr>
          <w:rFonts w:eastAsia="Times New Roman" w:cstheme="minorHAnsi"/>
        </w:rPr>
        <w:t xml:space="preserve"> gratuitamente o attraverso il pagamento di un ticket</w:t>
      </w:r>
      <w:r w:rsidR="00845114" w:rsidRPr="00AD7806">
        <w:rPr>
          <w:rFonts w:eastAsia="Times New Roman" w:cstheme="minorHAnsi"/>
        </w:rPr>
        <w:t xml:space="preserve">. </w:t>
      </w:r>
      <w:r w:rsidR="00845114" w:rsidRPr="00AD7806">
        <w:t>«</w:t>
      </w:r>
      <w:r w:rsidR="00B1087E" w:rsidRPr="00AD7806">
        <w:t xml:space="preserve">Si tratta </w:t>
      </w:r>
      <w:r w:rsidR="001C0262" w:rsidRPr="00AD7806">
        <w:t xml:space="preserve">di </w:t>
      </w:r>
      <w:r w:rsidR="00B1087E" w:rsidRPr="00AD7806">
        <w:t xml:space="preserve">una vera e propria </w:t>
      </w:r>
      <w:r w:rsidR="00B1087E" w:rsidRPr="00AD7806">
        <w:rPr>
          <w:rFonts w:eastAsia="Times New Roman" w:cstheme="minorHAnsi"/>
        </w:rPr>
        <w:t xml:space="preserve">“pagella” </w:t>
      </w:r>
      <w:r w:rsidR="00A21739">
        <w:t xml:space="preserve">per la </w:t>
      </w:r>
      <w:r w:rsidR="00845114" w:rsidRPr="00AD7806">
        <w:t xml:space="preserve">sanità </w:t>
      </w:r>
      <w:r w:rsidR="001C0262" w:rsidRPr="00AD7806">
        <w:t>– afferma Nino Cartabellotta, Presidente della Fondazione GIMBE –</w:t>
      </w:r>
      <w:r w:rsidR="00A21680" w:rsidRPr="00AD7806">
        <w:t xml:space="preserve"> </w:t>
      </w:r>
      <w:r w:rsidR="00226EA6" w:rsidRPr="00AD7806">
        <w:t xml:space="preserve">che </w:t>
      </w:r>
      <w:r w:rsidR="00B538CA" w:rsidRPr="00AD7806">
        <w:t xml:space="preserve">permette di </w:t>
      </w:r>
      <w:r w:rsidR="00B1087E" w:rsidRPr="00AD7806">
        <w:t>identifica</w:t>
      </w:r>
      <w:r w:rsidR="00B538CA" w:rsidRPr="00AD7806">
        <w:t xml:space="preserve">re </w:t>
      </w:r>
      <w:r w:rsidR="00062481" w:rsidRPr="00AD7806">
        <w:t>Regioni promosse</w:t>
      </w:r>
      <w:r w:rsidR="0089467A">
        <w:t xml:space="preserve"> (adempienti)</w:t>
      </w:r>
      <w:r w:rsidR="000977E5">
        <w:t>, pertanto</w:t>
      </w:r>
      <w:r w:rsidR="002C017E">
        <w:t xml:space="preserve"> </w:t>
      </w:r>
      <w:r w:rsidR="002C017E" w:rsidRPr="002C017E">
        <w:t xml:space="preserve">meritevoli </w:t>
      </w:r>
      <w:r w:rsidR="002C017E">
        <w:t xml:space="preserve">di accedere </w:t>
      </w:r>
      <w:r w:rsidR="002C017E" w:rsidRPr="002C017E">
        <w:t>alla quota di finanziamento premiale</w:t>
      </w:r>
      <w:r w:rsidR="000977E5">
        <w:t>,</w:t>
      </w:r>
      <w:r w:rsidR="00062481" w:rsidRPr="00AD7806">
        <w:t xml:space="preserve"> </w:t>
      </w:r>
      <w:r w:rsidR="004363E1" w:rsidRPr="00AD7806">
        <w:t>e</w:t>
      </w:r>
      <w:r w:rsidR="00D34BB2" w:rsidRPr="00AD7806">
        <w:t xml:space="preserve"> </w:t>
      </w:r>
      <w:r w:rsidR="00062481" w:rsidRPr="00AD7806">
        <w:t>bocciate</w:t>
      </w:r>
      <w:r w:rsidR="0089467A">
        <w:t xml:space="preserve"> (inadempienti)</w:t>
      </w:r>
      <w:r w:rsidR="00845114" w:rsidRPr="00AD7806">
        <w:t>»</w:t>
      </w:r>
      <w:r w:rsidR="00A5036B" w:rsidRPr="00AD7806">
        <w:rPr>
          <w:rFonts w:eastAsia="Times New Roman" w:cstheme="minorHAnsi"/>
        </w:rPr>
        <w:t>.</w:t>
      </w:r>
      <w:r w:rsidR="00226EA6" w:rsidRPr="00AD7806">
        <w:rPr>
          <w:rFonts w:eastAsia="Times New Roman" w:cstheme="minorHAnsi"/>
        </w:rPr>
        <w:t xml:space="preserve"> </w:t>
      </w:r>
      <w:r w:rsidR="00B411A7" w:rsidRPr="00AD7806">
        <w:rPr>
          <w:rFonts w:eastAsia="Times New Roman" w:cstheme="minorHAnsi"/>
        </w:rPr>
        <w:t>Le</w:t>
      </w:r>
      <w:r w:rsidR="0075698F" w:rsidRPr="00AD7806">
        <w:rPr>
          <w:rFonts w:eastAsia="Times New Roman" w:cstheme="minorHAnsi"/>
        </w:rPr>
        <w:t xml:space="preserve"> </w:t>
      </w:r>
      <w:r w:rsidR="004363E1" w:rsidRPr="00AD7806">
        <w:rPr>
          <w:rFonts w:eastAsia="Times New Roman" w:cstheme="minorHAnsi"/>
        </w:rPr>
        <w:t xml:space="preserve">Regioni </w:t>
      </w:r>
      <w:r w:rsidR="00B411A7" w:rsidRPr="00286979">
        <w:rPr>
          <w:rFonts w:eastAsia="Times New Roman" w:cstheme="minorHAnsi"/>
        </w:rPr>
        <w:t>inadempienti sono</w:t>
      </w:r>
      <w:r w:rsidR="0075698F" w:rsidRPr="00286979">
        <w:rPr>
          <w:rFonts w:eastAsia="Times New Roman" w:cstheme="minorHAnsi"/>
        </w:rPr>
        <w:t xml:space="preserve"> so</w:t>
      </w:r>
      <w:r w:rsidR="00EB5FE5" w:rsidRPr="00286979">
        <w:rPr>
          <w:rFonts w:eastAsia="Times New Roman" w:cstheme="minorHAnsi"/>
        </w:rPr>
        <w:t>ttoposte a</w:t>
      </w:r>
      <w:r w:rsidR="00286979" w:rsidRPr="00286979">
        <w:rPr>
          <w:rFonts w:eastAsia="Times New Roman" w:cstheme="minorHAnsi"/>
        </w:rPr>
        <w:t xml:space="preserve">i </w:t>
      </w:r>
      <w:r w:rsidR="00EB5FE5" w:rsidRPr="00286979">
        <w:rPr>
          <w:rFonts w:eastAsia="Times New Roman" w:cstheme="minorHAnsi"/>
        </w:rPr>
        <w:t>Pian</w:t>
      </w:r>
      <w:r w:rsidR="00286979" w:rsidRPr="00286979">
        <w:rPr>
          <w:rFonts w:eastAsia="Times New Roman" w:cstheme="minorHAnsi"/>
        </w:rPr>
        <w:t>i</w:t>
      </w:r>
      <w:r w:rsidR="00EB5FE5" w:rsidRPr="00286979">
        <w:rPr>
          <w:rFonts w:eastAsia="Times New Roman" w:cstheme="minorHAnsi"/>
        </w:rPr>
        <w:t xml:space="preserve"> di rientro</w:t>
      </w:r>
      <w:r w:rsidR="00D232FA" w:rsidRPr="00286979">
        <w:rPr>
          <w:rFonts w:eastAsia="Times New Roman" w:cstheme="minorHAnsi"/>
        </w:rPr>
        <w:t>,</w:t>
      </w:r>
      <w:r w:rsidR="00B411A7" w:rsidRPr="00286979">
        <w:rPr>
          <w:rFonts w:eastAsia="Times New Roman" w:cstheme="minorHAnsi"/>
        </w:rPr>
        <w:t xml:space="preserve"> </w:t>
      </w:r>
      <w:r w:rsidR="00B91BF7">
        <w:rPr>
          <w:rFonts w:eastAsia="Times New Roman" w:cstheme="minorHAnsi"/>
        </w:rPr>
        <w:t xml:space="preserve">strumento </w:t>
      </w:r>
      <w:r w:rsidR="00AD7806">
        <w:rPr>
          <w:rFonts w:eastAsia="Times New Roman" w:cstheme="minorHAnsi"/>
        </w:rPr>
        <w:t xml:space="preserve">che prevede </w:t>
      </w:r>
      <w:r w:rsidR="00286979" w:rsidRPr="00286979">
        <w:rPr>
          <w:rFonts w:eastAsia="Times New Roman" w:cstheme="minorHAnsi"/>
        </w:rPr>
        <w:t>uno</w:t>
      </w:r>
      <w:r w:rsidR="00B411A7" w:rsidRPr="00286979">
        <w:rPr>
          <w:rFonts w:eastAsia="Times New Roman" w:cstheme="minorHAnsi"/>
        </w:rPr>
        <w:t xml:space="preserve"> specifico affiancamento da parte del</w:t>
      </w:r>
      <w:r w:rsidR="0075698F" w:rsidRPr="00286979">
        <w:rPr>
          <w:rFonts w:eastAsia="Times New Roman" w:cstheme="minorHAnsi"/>
        </w:rPr>
        <w:t xml:space="preserve"> Ministero della Salute</w:t>
      </w:r>
      <w:r w:rsidR="00B411A7" w:rsidRPr="00286979">
        <w:rPr>
          <w:rFonts w:eastAsia="Times New Roman" w:cstheme="minorHAnsi"/>
        </w:rPr>
        <w:t xml:space="preserve"> che può sfociare si</w:t>
      </w:r>
      <w:r w:rsidR="00226EA6" w:rsidRPr="00286979">
        <w:rPr>
          <w:rFonts w:eastAsia="Times New Roman" w:cstheme="minorHAnsi"/>
        </w:rPr>
        <w:t>no al commissariamento</w:t>
      </w:r>
      <w:r w:rsidR="00D31AF6">
        <w:rPr>
          <w:rFonts w:eastAsia="Times New Roman" w:cstheme="minorHAnsi"/>
        </w:rPr>
        <w:t xml:space="preserve"> dell</w:t>
      </w:r>
      <w:r w:rsidR="00D31AF6" w:rsidRPr="002D405C">
        <w:rPr>
          <w:rFonts w:eastAsia="Times New Roman" w:cstheme="minorHAnsi"/>
        </w:rPr>
        <w:t>a Regione</w:t>
      </w:r>
      <w:r w:rsidR="00325E81" w:rsidRPr="002D405C">
        <w:rPr>
          <w:rFonts w:eastAsia="Times New Roman" w:cstheme="minorHAnsi"/>
        </w:rPr>
        <w:t xml:space="preserve">. Non </w:t>
      </w:r>
      <w:r w:rsidR="002D405C" w:rsidRPr="002D405C">
        <w:rPr>
          <w:rFonts w:eastAsia="Times New Roman" w:cstheme="minorHAnsi"/>
        </w:rPr>
        <w:t>sono sottoposte alla verifica degli adempimenti</w:t>
      </w:r>
      <w:r w:rsidR="000977E5" w:rsidRPr="002D405C">
        <w:t>:</w:t>
      </w:r>
      <w:r w:rsidR="00325E81" w:rsidRPr="002D405C">
        <w:t xml:space="preserve"> </w:t>
      </w:r>
      <w:r w:rsidR="00827207" w:rsidRPr="002D405C">
        <w:t>Friuli</w:t>
      </w:r>
      <w:r w:rsidR="00B91BF7" w:rsidRPr="002D405C">
        <w:t xml:space="preserve"> Venezia-</w:t>
      </w:r>
      <w:r w:rsidR="00827207" w:rsidRPr="002D405C">
        <w:t xml:space="preserve">Giulia, Sardegna, Valle D’Aosta e </w:t>
      </w:r>
      <w:r w:rsidR="00325E81" w:rsidRPr="002D405C">
        <w:t xml:space="preserve">le </w:t>
      </w:r>
      <w:r w:rsidR="00827207" w:rsidRPr="002D405C">
        <w:t>Province autonome di Trento e di Bolzano.</w:t>
      </w:r>
    </w:p>
    <w:p w14:paraId="6C47B73C" w14:textId="77777777" w:rsidR="00D65442" w:rsidRDefault="00D65442" w:rsidP="00C0727B">
      <w:pPr>
        <w:spacing w:after="80"/>
        <w:jc w:val="both"/>
        <w:rPr>
          <w:b/>
          <w:bCs/>
        </w:rPr>
      </w:pPr>
    </w:p>
    <w:p w14:paraId="164D7076" w14:textId="77777777" w:rsidR="00D65442" w:rsidRPr="00D65442" w:rsidRDefault="00D65442" w:rsidP="00C0727B">
      <w:pPr>
        <w:spacing w:after="80"/>
        <w:jc w:val="both"/>
        <w:rPr>
          <w:b/>
          <w:bCs/>
        </w:rPr>
      </w:pPr>
      <w:r w:rsidRPr="00D65442">
        <w:rPr>
          <w:b/>
          <w:bCs/>
        </w:rPr>
        <w:t>Adempimenti LEA 2010-2019 tramite Griglia LEA</w:t>
      </w:r>
    </w:p>
    <w:p w14:paraId="33E0157E" w14:textId="253CEB71" w:rsidR="00C564AF" w:rsidRPr="006B04A0" w:rsidRDefault="00B91BF7" w:rsidP="00C0727B">
      <w:pPr>
        <w:spacing w:after="80"/>
        <w:jc w:val="both"/>
      </w:pPr>
      <w:r>
        <w:t>Nel</w:t>
      </w:r>
      <w:r w:rsidR="001B5257">
        <w:t xml:space="preserve"> report </w:t>
      </w:r>
      <w:hyperlink r:id="rId9" w:history="1">
        <w:r w:rsidR="001B5257" w:rsidRPr="002D405C">
          <w:rPr>
            <w:rStyle w:val="Collegamentoipertestuale"/>
          </w:rPr>
          <w:t>Livelli Essenziali di Assistenza: le diseguaglianze regionali in sanità</w:t>
        </w:r>
      </w:hyperlink>
      <w:r w:rsidR="001B5257">
        <w:t>, l</w:t>
      </w:r>
      <w:r w:rsidR="00D01845" w:rsidRPr="006B04A0">
        <w:t>a</w:t>
      </w:r>
      <w:r w:rsidR="0000535F" w:rsidRPr="006B04A0">
        <w:t xml:space="preserve"> Fondazione GIMBE</w:t>
      </w:r>
      <w:r w:rsidR="00C0727B" w:rsidRPr="006B04A0">
        <w:t xml:space="preserve"> ha analizzato</w:t>
      </w:r>
      <w:r w:rsidR="00FD7DE1" w:rsidRPr="006B04A0">
        <w:t xml:space="preserve"> i risultati dei</w:t>
      </w:r>
      <w:r w:rsidR="00886D7B" w:rsidRPr="006B04A0">
        <w:t xml:space="preserve"> </w:t>
      </w:r>
      <w:r w:rsidR="00725B95" w:rsidRPr="006B04A0">
        <w:t xml:space="preserve">monitoraggi </w:t>
      </w:r>
      <w:r w:rsidR="00D01845" w:rsidRPr="006B04A0">
        <w:t>annuali de</w:t>
      </w:r>
      <w:r w:rsidR="00C564AF" w:rsidRPr="006B04A0">
        <w:t xml:space="preserve">l Ministero della </w:t>
      </w:r>
      <w:r w:rsidR="00A5036B" w:rsidRPr="006B04A0">
        <w:t>S</w:t>
      </w:r>
      <w:r w:rsidR="00C564AF" w:rsidRPr="006B04A0">
        <w:t xml:space="preserve">alute </w:t>
      </w:r>
      <w:r w:rsidR="00667850" w:rsidRPr="006B04A0">
        <w:t>relativi a</w:t>
      </w:r>
      <w:r w:rsidR="0089467A">
        <w:t xml:space="preserve">l decennio </w:t>
      </w:r>
      <w:r w:rsidR="00667850" w:rsidRPr="006B04A0">
        <w:t>20</w:t>
      </w:r>
      <w:r w:rsidR="006C167D" w:rsidRPr="006B04A0">
        <w:t>10</w:t>
      </w:r>
      <w:r w:rsidR="00667850" w:rsidRPr="006B04A0">
        <w:t>-</w:t>
      </w:r>
      <w:r w:rsidR="006B04A0" w:rsidRPr="006B04A0">
        <w:t>2019</w:t>
      </w:r>
      <w:r w:rsidR="00C564AF" w:rsidRPr="006B04A0">
        <w:t>.</w:t>
      </w:r>
      <w:r w:rsidR="00C0727B" w:rsidRPr="006B04A0">
        <w:t xml:space="preserve"> In </w:t>
      </w:r>
      <w:r w:rsidR="00A21680" w:rsidRPr="006B04A0">
        <w:t>dettaglio</w:t>
      </w:r>
      <w:r w:rsidR="00C0727B" w:rsidRPr="006B04A0">
        <w:t>:</w:t>
      </w:r>
    </w:p>
    <w:p w14:paraId="36A54636" w14:textId="77777777" w:rsidR="00C564AF" w:rsidRPr="00B153B8" w:rsidRDefault="00827207" w:rsidP="00827207">
      <w:pPr>
        <w:pStyle w:val="Paragrafoelenco"/>
        <w:numPr>
          <w:ilvl w:val="0"/>
          <w:numId w:val="24"/>
        </w:numPr>
        <w:spacing w:after="80" w:line="276" w:lineRule="auto"/>
        <w:jc w:val="both"/>
      </w:pPr>
      <w:r w:rsidRPr="00B153B8">
        <w:t>A partire dai singoli indicatori s</w:t>
      </w:r>
      <w:r w:rsidR="00C564AF" w:rsidRPr="00B153B8">
        <w:t xml:space="preserve">ono stati </w:t>
      </w:r>
      <w:r w:rsidR="00B91BF7" w:rsidRPr="00E701C8">
        <w:t xml:space="preserve">computati </w:t>
      </w:r>
      <w:r w:rsidR="00C564AF" w:rsidRPr="00B153B8">
        <w:t>i punteggi</w:t>
      </w:r>
      <w:r w:rsidR="0050509C" w:rsidRPr="00B153B8">
        <w:t xml:space="preserve"> totali</w:t>
      </w:r>
      <w:r w:rsidRPr="00B153B8">
        <w:t xml:space="preserve">, </w:t>
      </w:r>
      <w:r w:rsidR="006E19A1" w:rsidRPr="00E701C8">
        <w:t xml:space="preserve">calcolando </w:t>
      </w:r>
      <w:r w:rsidRPr="00B153B8">
        <w:t xml:space="preserve">quelli non disponibili: quelli delle </w:t>
      </w:r>
      <w:r w:rsidR="00C564AF" w:rsidRPr="00B153B8">
        <w:t xml:space="preserve">Regioni non sottoposte a verifica </w:t>
      </w:r>
      <w:r w:rsidR="00D01845" w:rsidRPr="00B153B8">
        <w:t xml:space="preserve">degli adempimenti </w:t>
      </w:r>
      <w:r w:rsidRPr="00B153B8">
        <w:t xml:space="preserve">per gli anni 2010-2016 e </w:t>
      </w:r>
      <w:r w:rsidR="0076023B" w:rsidRPr="00B153B8">
        <w:t xml:space="preserve">quelli relativi a </w:t>
      </w:r>
      <w:r w:rsidRPr="00B153B8">
        <w:t xml:space="preserve">tutte le Regioni per </w:t>
      </w:r>
      <w:r w:rsidR="00CF70DB" w:rsidRPr="00B153B8">
        <w:t>gli anni 2010-</w:t>
      </w:r>
      <w:r w:rsidR="00C564AF" w:rsidRPr="00B153B8">
        <w:t>2011</w:t>
      </w:r>
      <w:r w:rsidR="00A5036B" w:rsidRPr="00B153B8">
        <w:t>.</w:t>
      </w:r>
    </w:p>
    <w:p w14:paraId="7D834B5F" w14:textId="77777777" w:rsidR="00C564AF" w:rsidRPr="00B153B8" w:rsidRDefault="00ED4F2F" w:rsidP="0090298A">
      <w:pPr>
        <w:pStyle w:val="Paragrafoelenco"/>
        <w:numPr>
          <w:ilvl w:val="0"/>
          <w:numId w:val="24"/>
        </w:numPr>
        <w:spacing w:after="80" w:line="276" w:lineRule="auto"/>
        <w:jc w:val="both"/>
      </w:pPr>
      <w:r w:rsidRPr="00B153B8">
        <w:t xml:space="preserve">Le </w:t>
      </w:r>
      <w:r w:rsidR="009860D5" w:rsidRPr="00B153B8">
        <w:t>“</w:t>
      </w:r>
      <w:r w:rsidR="00C564AF" w:rsidRPr="00B153B8">
        <w:t>percentuali di adempimento</w:t>
      </w:r>
      <w:r w:rsidR="009860D5" w:rsidRPr="00B153B8">
        <w:t>”</w:t>
      </w:r>
      <w:r w:rsidR="00C564AF" w:rsidRPr="00B153B8">
        <w:t xml:space="preserve"> </w:t>
      </w:r>
      <w:r w:rsidRPr="00B153B8">
        <w:t xml:space="preserve">sono state calcolate </w:t>
      </w:r>
      <w:r w:rsidR="009860D5" w:rsidRPr="00B153B8">
        <w:t xml:space="preserve">come rapporto tra </w:t>
      </w:r>
      <w:r w:rsidR="00A21739">
        <w:t xml:space="preserve">il </w:t>
      </w:r>
      <w:r w:rsidR="009860D5" w:rsidRPr="00B153B8">
        <w:t>punteggio</w:t>
      </w:r>
      <w:r w:rsidR="00AF2BAE">
        <w:t xml:space="preserve"> totale</w:t>
      </w:r>
      <w:r w:rsidR="009860D5" w:rsidRPr="00B153B8">
        <w:t xml:space="preserve"> ottenuto </w:t>
      </w:r>
      <w:r w:rsidR="005A14D6" w:rsidRPr="00B153B8">
        <w:t>nel periodo 2010-201</w:t>
      </w:r>
      <w:r w:rsidR="00AD7806">
        <w:t>9</w:t>
      </w:r>
      <w:r w:rsidR="005A14D6" w:rsidRPr="00B153B8">
        <w:t xml:space="preserve"> </w:t>
      </w:r>
      <w:r w:rsidR="009860D5" w:rsidRPr="00B153B8">
        <w:t xml:space="preserve">e </w:t>
      </w:r>
      <w:r w:rsidR="00445883" w:rsidRPr="00B153B8">
        <w:t xml:space="preserve">il </w:t>
      </w:r>
      <w:r w:rsidR="005A14D6" w:rsidRPr="00B153B8">
        <w:t xml:space="preserve">punteggio massimo </w:t>
      </w:r>
      <w:r w:rsidR="00445883" w:rsidRPr="00B153B8">
        <w:t>di 2.</w:t>
      </w:r>
      <w:r w:rsidR="00AF2BAE">
        <w:t>2</w:t>
      </w:r>
      <w:r w:rsidR="00445883" w:rsidRPr="00B153B8">
        <w:t>5</w:t>
      </w:r>
      <w:r w:rsidR="00AF2BAE">
        <w:t>0</w:t>
      </w:r>
      <w:r w:rsidR="00445883" w:rsidRPr="00B153B8">
        <w:t xml:space="preserve"> raggiungibile ne</w:t>
      </w:r>
      <w:r w:rsidR="0089467A">
        <w:t xml:space="preserve">l decennio </w:t>
      </w:r>
      <w:r w:rsidR="00445883" w:rsidRPr="00B153B8">
        <w:t>analizzat</w:t>
      </w:r>
      <w:r w:rsidR="0089467A">
        <w:t>o</w:t>
      </w:r>
      <w:r w:rsidR="00445883" w:rsidRPr="00B153B8">
        <w:t xml:space="preserve">. </w:t>
      </w:r>
    </w:p>
    <w:p w14:paraId="30EF7FD6" w14:textId="77777777" w:rsidR="002268C3" w:rsidRDefault="00A356F3" w:rsidP="00B153B8">
      <w:pPr>
        <w:pStyle w:val="Paragrafoelenco"/>
        <w:numPr>
          <w:ilvl w:val="0"/>
          <w:numId w:val="24"/>
        </w:numPr>
        <w:spacing w:after="80" w:line="276" w:lineRule="auto"/>
        <w:jc w:val="both"/>
      </w:pPr>
      <w:r w:rsidRPr="00B153B8">
        <w:t>La classifica finale è stata elaborata secondo le percentuali cumulative di adempimento 2010-201</w:t>
      </w:r>
      <w:r w:rsidR="00AD7806">
        <w:t>9</w:t>
      </w:r>
      <w:r w:rsidRPr="00B153B8">
        <w:t xml:space="preserve"> e suddivisa</w:t>
      </w:r>
      <w:r w:rsidR="00445883" w:rsidRPr="00B153B8">
        <w:t xml:space="preserve"> in </w:t>
      </w:r>
      <w:r w:rsidRPr="00B153B8">
        <w:t>quartili</w:t>
      </w:r>
      <w:r w:rsidR="00134187" w:rsidRPr="00B153B8">
        <w:t>.</w:t>
      </w:r>
    </w:p>
    <w:p w14:paraId="6F080630" w14:textId="77777777" w:rsidR="00EB5FE5" w:rsidRPr="00CC2972" w:rsidRDefault="00977346" w:rsidP="00B153B8">
      <w:pPr>
        <w:spacing w:after="80"/>
        <w:jc w:val="both"/>
        <w:rPr>
          <w:color w:val="FF0000"/>
        </w:rPr>
      </w:pPr>
      <w:r w:rsidRPr="009B3A19">
        <w:t>L</w:t>
      </w:r>
      <w:r w:rsidR="00134187" w:rsidRPr="009B3A19">
        <w:t>’</w:t>
      </w:r>
      <w:r w:rsidR="00595A0C" w:rsidRPr="009B3A19">
        <w:t>analisi degli adempimenti LEA 2010-201</w:t>
      </w:r>
      <w:r w:rsidR="009B3A19" w:rsidRPr="009B3A19">
        <w:t>9</w:t>
      </w:r>
      <w:r w:rsidRPr="009B3A19">
        <w:t xml:space="preserve"> (</w:t>
      </w:r>
      <w:r w:rsidRPr="004A38C6">
        <w:rPr>
          <w:highlight w:val="yellow"/>
        </w:rPr>
        <w:t>tabella</w:t>
      </w:r>
      <w:r w:rsidR="000977E5" w:rsidRPr="004A38C6">
        <w:rPr>
          <w:highlight w:val="yellow"/>
        </w:rPr>
        <w:t xml:space="preserve"> 1</w:t>
      </w:r>
      <w:r w:rsidR="006D3D1C" w:rsidRPr="00A228CA">
        <w:t xml:space="preserve"> e </w:t>
      </w:r>
      <w:r w:rsidR="00AF2BAE" w:rsidRPr="004A38C6">
        <w:rPr>
          <w:highlight w:val="yellow"/>
        </w:rPr>
        <w:t>figura</w:t>
      </w:r>
      <w:r w:rsidRPr="009B3A19">
        <w:t xml:space="preserve">) dimostra </w:t>
      </w:r>
      <w:r w:rsidR="00C0727B" w:rsidRPr="009B3A19">
        <w:t>che</w:t>
      </w:r>
      <w:r w:rsidR="00595A0C" w:rsidRPr="009B3A19">
        <w:t>:</w:t>
      </w:r>
    </w:p>
    <w:p w14:paraId="21E24A4A" w14:textId="74ECCC7E" w:rsidR="001D28F3" w:rsidRPr="00F57EBF" w:rsidRDefault="001D28F3" w:rsidP="00B153B8">
      <w:pPr>
        <w:pStyle w:val="Paragrafoelenco"/>
        <w:numPr>
          <w:ilvl w:val="0"/>
          <w:numId w:val="25"/>
        </w:numPr>
        <w:spacing w:after="80" w:line="276" w:lineRule="auto"/>
        <w:jc w:val="both"/>
      </w:pPr>
      <w:r w:rsidRPr="00F57EBF">
        <w:t xml:space="preserve">In testa </w:t>
      </w:r>
      <w:r w:rsidR="00803AB1">
        <w:t xml:space="preserve">alla classifica </w:t>
      </w:r>
      <w:r w:rsidRPr="00F57EBF">
        <w:t xml:space="preserve">per l’erogazione delle prestazioni </w:t>
      </w:r>
      <w:r w:rsidR="00803AB1">
        <w:t xml:space="preserve">si posiziona </w:t>
      </w:r>
      <w:r w:rsidR="00803AB1" w:rsidRPr="00F57EBF">
        <w:t>l’Emilia</w:t>
      </w:r>
      <w:r w:rsidR="00803AB1">
        <w:t>-</w:t>
      </w:r>
      <w:r w:rsidRPr="00F57EBF">
        <w:t>Romagna con il 93,4% di adempimento, in coda la Sardegna con il 56,3</w:t>
      </w:r>
      <w:r w:rsidR="00A21739" w:rsidRPr="00F57EBF">
        <w:t>%</w:t>
      </w:r>
      <w:r w:rsidR="00A21739">
        <w:t xml:space="preserve"> (</w:t>
      </w:r>
      <w:r w:rsidR="0089467A">
        <w:t>R</w:t>
      </w:r>
      <w:r w:rsidRPr="00F57EBF">
        <w:t xml:space="preserve">egione </w:t>
      </w:r>
      <w:r w:rsidR="00BB3C26" w:rsidRPr="00F57EBF">
        <w:t>esclusa dal monitoraggio LEA</w:t>
      </w:r>
      <w:r w:rsidR="00A21739">
        <w:t>)</w:t>
      </w:r>
      <w:r w:rsidRPr="00F57EBF">
        <w:t xml:space="preserve">. Tra le prime </w:t>
      </w:r>
      <w:r w:rsidR="001C6C9D" w:rsidRPr="00F57EBF">
        <w:t>1</w:t>
      </w:r>
      <w:r w:rsidR="006D3D1C" w:rsidRPr="00F57EBF">
        <w:t>0</w:t>
      </w:r>
      <w:r w:rsidRPr="00F57EBF">
        <w:t xml:space="preserve"> Regioni anche Toscana (91,3%), Ve</w:t>
      </w:r>
      <w:r w:rsidR="006D3D1C" w:rsidRPr="00F57EBF">
        <w:t>neto (89,1%), Piemonte (87,6%), Lombardia (87,4%),</w:t>
      </w:r>
      <w:r w:rsidRPr="00F57EBF">
        <w:t xml:space="preserve"> Umbria (85,9%), </w:t>
      </w:r>
      <w:r w:rsidR="001C6C9D" w:rsidRPr="00F57EBF">
        <w:t>Marche (84,1%), Liguria (82,8%)</w:t>
      </w:r>
      <w:r w:rsidR="003E3601" w:rsidRPr="00F57EBF">
        <w:t>, Friuli</w:t>
      </w:r>
      <w:r w:rsidR="00803AB1">
        <w:t xml:space="preserve"> </w:t>
      </w:r>
      <w:r w:rsidR="00803AB1" w:rsidRPr="00F57EBF">
        <w:t>Venezia</w:t>
      </w:r>
      <w:r w:rsidR="00803AB1">
        <w:t>-</w:t>
      </w:r>
      <w:r w:rsidR="003E3601" w:rsidRPr="00F57EBF">
        <w:t>Giulia (81,5%) e</w:t>
      </w:r>
      <w:r w:rsidR="001C6C9D" w:rsidRPr="00F57EBF">
        <w:t xml:space="preserve"> Prov</w:t>
      </w:r>
      <w:r w:rsidR="00803AB1">
        <w:t>incia</w:t>
      </w:r>
      <w:r w:rsidR="00803AB1" w:rsidRPr="00F57EBF">
        <w:t xml:space="preserve"> </w:t>
      </w:r>
      <w:r w:rsidR="00803AB1">
        <w:t>a</w:t>
      </w:r>
      <w:r w:rsidR="00803AB1" w:rsidRPr="00F57EBF">
        <w:t>ut</w:t>
      </w:r>
      <w:r w:rsidR="00803AB1">
        <w:t>onoma</w:t>
      </w:r>
      <w:r w:rsidR="00803AB1" w:rsidRPr="00F57EBF">
        <w:t xml:space="preserve"> </w:t>
      </w:r>
      <w:r w:rsidR="001C6C9D" w:rsidRPr="00F57EBF">
        <w:t>di Trento (78,8%).</w:t>
      </w:r>
      <w:r w:rsidR="00BB3C26" w:rsidRPr="00F57EBF">
        <w:t xml:space="preserve"> </w:t>
      </w:r>
      <w:r w:rsidR="00D65442">
        <w:t>Agli ultimi 6 posti</w:t>
      </w:r>
      <w:r w:rsidR="00BB3C26" w:rsidRPr="00F57EBF">
        <w:t>, oltre alla Sardegna, Prov</w:t>
      </w:r>
      <w:r w:rsidR="00803AB1">
        <w:t>incia a</w:t>
      </w:r>
      <w:r w:rsidR="00BB3C26" w:rsidRPr="00F57EBF">
        <w:t>ut</w:t>
      </w:r>
      <w:r w:rsidR="00803AB1">
        <w:t>onoma</w:t>
      </w:r>
      <w:r w:rsidR="00BB3C26" w:rsidRPr="00F57EBF">
        <w:t xml:space="preserve"> di Bolzano (57,6%), Campania </w:t>
      </w:r>
      <w:r w:rsidR="006D3D1C" w:rsidRPr="00F57EBF">
        <w:t>(</w:t>
      </w:r>
      <w:r w:rsidR="00D31AF6">
        <w:t>58,2</w:t>
      </w:r>
      <w:r w:rsidR="006D3D1C" w:rsidRPr="00F57EBF">
        <w:t>%), Calabria (59,9%),</w:t>
      </w:r>
      <w:r w:rsidR="00BB3C26" w:rsidRPr="00F57EBF">
        <w:t xml:space="preserve"> Valle d’Aosta (63,8%)</w:t>
      </w:r>
      <w:r w:rsidR="006D3D1C" w:rsidRPr="00F57EBF">
        <w:t xml:space="preserve"> e Puglia (67,5%)</w:t>
      </w:r>
      <w:r w:rsidR="00BB3C26" w:rsidRPr="00F57EBF">
        <w:t>.</w:t>
      </w:r>
      <w:r w:rsidR="001C6C9D" w:rsidRPr="00F57EBF">
        <w:t xml:space="preserve"> </w:t>
      </w:r>
      <w:r w:rsidR="00803AB1">
        <w:t>N</w:t>
      </w:r>
      <w:r w:rsidR="003E3601" w:rsidRPr="00F57EBF">
        <w:t>ella prima metà della classifica</w:t>
      </w:r>
      <w:r w:rsidR="002268C3" w:rsidRPr="00F57EBF">
        <w:t xml:space="preserve"> </w:t>
      </w:r>
      <w:r w:rsidR="00325E81" w:rsidRPr="00F57EBF">
        <w:t xml:space="preserve">si </w:t>
      </w:r>
      <w:r w:rsidR="00803AB1">
        <w:t>posizionano dunque</w:t>
      </w:r>
      <w:r w:rsidR="00803AB1" w:rsidRPr="00F57EBF">
        <w:t xml:space="preserve"> </w:t>
      </w:r>
      <w:r w:rsidR="00325E81" w:rsidRPr="00F57EBF">
        <w:t xml:space="preserve">solo </w:t>
      </w:r>
      <w:r w:rsidR="00803AB1">
        <w:t>due</w:t>
      </w:r>
      <w:r w:rsidR="00803AB1" w:rsidRPr="00F57EBF">
        <w:t xml:space="preserve"> </w:t>
      </w:r>
      <w:r w:rsidR="00803AB1">
        <w:t>R</w:t>
      </w:r>
      <w:r w:rsidR="00325E81" w:rsidRPr="00F57EBF">
        <w:t>egioni del centro (Umbria e Marche) e nessuna Regione del sud</w:t>
      </w:r>
      <w:r w:rsidR="001C6C9D" w:rsidRPr="00F57EBF">
        <w:t xml:space="preserve">, </w:t>
      </w:r>
      <w:r w:rsidR="00803AB1">
        <w:t>a riprova dell’esistenza di una</w:t>
      </w:r>
      <w:r w:rsidR="001C6C9D" w:rsidRPr="00F57EBF">
        <w:t xml:space="preserve"> “questione meridionale” in sanità. </w:t>
      </w:r>
    </w:p>
    <w:p w14:paraId="0148AD43" w14:textId="77777777" w:rsidR="009B3A19" w:rsidRPr="00F57EBF" w:rsidRDefault="009B3A19" w:rsidP="00B153B8">
      <w:pPr>
        <w:pStyle w:val="Paragrafoelenco"/>
        <w:numPr>
          <w:ilvl w:val="0"/>
          <w:numId w:val="25"/>
        </w:numPr>
        <w:spacing w:after="80" w:line="276" w:lineRule="auto"/>
        <w:jc w:val="both"/>
      </w:pPr>
      <w:r w:rsidRPr="00F57EBF">
        <w:lastRenderedPageBreak/>
        <w:t xml:space="preserve">Nel decennio 2010-2019 la percentuale cumulativa totale di adempimento delle Regioni è del 75,7% (range tra Regioni 56,3%-93,4%). In altri termini, se a fronte delle risorse ripartite alle Regioni la Griglia LEA è lo strumento utilizzato dal Governo per monitorare l’erogazione delle prestazioni essenziali, il 24,3% delle risorse assegnate nel periodo 2010-2019 non ha prodotto servizi per i cittadini, con un range tra le Regioni che varia dal 6,6% dell’Emilia-Romagna al 43,7% della Sardegna. </w:t>
      </w:r>
    </w:p>
    <w:p w14:paraId="5C2B958A" w14:textId="4C5AC2C9" w:rsidR="00BB3C26" w:rsidRPr="00F57EBF" w:rsidRDefault="00BB3C26" w:rsidP="00B153B8">
      <w:pPr>
        <w:pStyle w:val="Paragrafoelenco"/>
        <w:numPr>
          <w:ilvl w:val="0"/>
          <w:numId w:val="25"/>
        </w:numPr>
        <w:spacing w:after="80" w:line="276" w:lineRule="auto"/>
        <w:jc w:val="both"/>
      </w:pPr>
      <w:r w:rsidRPr="00F57EBF">
        <w:t xml:space="preserve">Le Regioni non sottoposte alla verifica degli adempimenti hanno performance molto variegate. Da un lato Friuli Venezia-Giulia e Provincia autonoma di Trento raggiungono percentuali di adempimento </w:t>
      </w:r>
      <w:r w:rsidR="00D65442">
        <w:t>da metà classifica</w:t>
      </w:r>
      <w:r w:rsidRPr="00F57EBF">
        <w:t xml:space="preserve">; dall’altro Valle D’Aosta, Provincia autonoma di Bolzano e Sardegna registrano le performance peggiori. </w:t>
      </w:r>
    </w:p>
    <w:p w14:paraId="0F14C3CD" w14:textId="77777777" w:rsidR="00AF2BAE" w:rsidRDefault="009B3A19" w:rsidP="00AF2BAE">
      <w:pPr>
        <w:pStyle w:val="Paragrafoelenco"/>
        <w:numPr>
          <w:ilvl w:val="0"/>
          <w:numId w:val="25"/>
        </w:numPr>
        <w:spacing w:after="80" w:line="276" w:lineRule="auto"/>
        <w:jc w:val="both"/>
      </w:pPr>
      <w:r w:rsidRPr="00F57EBF">
        <w:t xml:space="preserve">La percentuale cumulativa di adempimento </w:t>
      </w:r>
      <w:r w:rsidR="002268C3" w:rsidRPr="00F57EBF">
        <w:t xml:space="preserve">LEA </w:t>
      </w:r>
      <w:r w:rsidRPr="00F57EBF">
        <w:t xml:space="preserve">annuale è </w:t>
      </w:r>
      <w:r w:rsidR="00DA2740">
        <w:t>salita</w:t>
      </w:r>
      <w:r w:rsidR="00DA2740" w:rsidRPr="00F57EBF">
        <w:t xml:space="preserve"> </w:t>
      </w:r>
      <w:r w:rsidRPr="00F57EBF">
        <w:t>dal 64,1%</w:t>
      </w:r>
      <w:bookmarkStart w:id="0" w:name="_GoBack"/>
      <w:bookmarkEnd w:id="0"/>
      <w:r w:rsidRPr="00F57EBF">
        <w:t xml:space="preserve"> del 2010 all’8</w:t>
      </w:r>
      <w:r w:rsidR="00305F2F" w:rsidRPr="00F57EBF">
        <w:t>2,6% del 2019</w:t>
      </w:r>
      <w:r w:rsidRPr="00F57EBF">
        <w:t xml:space="preserve">, un miglioramento in parte reale, in parte sovrastimato per </w:t>
      </w:r>
      <w:r w:rsidR="00F57EBF" w:rsidRPr="00F57EBF">
        <w:t>il</w:t>
      </w:r>
      <w:r w:rsidR="00305F2F" w:rsidRPr="00F57EBF">
        <w:t xml:space="preserve"> </w:t>
      </w:r>
      <w:r w:rsidRPr="00F57EBF">
        <w:t xml:space="preserve">fenomeno di “appiattimento” </w:t>
      </w:r>
      <w:r w:rsidR="00DA2740">
        <w:t>dovuto alla cristallizzazione dello strumento di valutazione</w:t>
      </w:r>
      <w:r w:rsidR="00DA2740" w:rsidRPr="00F57EBF">
        <w:t xml:space="preserve"> </w:t>
      </w:r>
      <w:r w:rsidRPr="00F57EBF">
        <w:t>della Griglia LEA</w:t>
      </w:r>
      <w:r w:rsidR="00D65442">
        <w:t xml:space="preserve"> che, negli anni, ha mantenuto gli stessi indicatori.</w:t>
      </w:r>
    </w:p>
    <w:p w14:paraId="2AA8474C" w14:textId="77777777" w:rsidR="00D65442" w:rsidRDefault="00D65442" w:rsidP="008D7F06">
      <w:pPr>
        <w:spacing w:after="80"/>
        <w:jc w:val="both"/>
        <w:rPr>
          <w:b/>
          <w:bCs/>
        </w:rPr>
      </w:pPr>
    </w:p>
    <w:p w14:paraId="14C3EE74" w14:textId="77777777" w:rsidR="00496EF2" w:rsidRPr="00496EF2" w:rsidRDefault="00496EF2" w:rsidP="008D7F06">
      <w:pPr>
        <w:spacing w:after="80"/>
        <w:jc w:val="both"/>
        <w:rPr>
          <w:b/>
          <w:bCs/>
        </w:rPr>
      </w:pPr>
      <w:r w:rsidRPr="00496EF2">
        <w:rPr>
          <w:b/>
          <w:bCs/>
        </w:rPr>
        <w:t>Nuovo Sistema di Garanzia: sperimentazione 2019</w:t>
      </w:r>
    </w:p>
    <w:p w14:paraId="3B9F8253" w14:textId="77777777" w:rsidR="00341D2C" w:rsidRDefault="00AF2BAE" w:rsidP="0090298A">
      <w:pPr>
        <w:spacing w:after="80"/>
        <w:jc w:val="both"/>
      </w:pPr>
      <w:r>
        <w:t>Dal 1</w:t>
      </w:r>
      <w:r w:rsidR="0089467A">
        <w:t>°</w:t>
      </w:r>
      <w:r>
        <w:t xml:space="preserve"> gennaio</w:t>
      </w:r>
      <w:r w:rsidR="0089467A">
        <w:t xml:space="preserve"> </w:t>
      </w:r>
      <w:r>
        <w:t>2020 la Griglia LEA è stata sostituita dal Nuovo Sistema di Garanzia</w:t>
      </w:r>
      <w:r w:rsidR="00DA6662">
        <w:t xml:space="preserve"> (NSG)</w:t>
      </w:r>
      <w:r>
        <w:t>, in particolare da un subset di 22 indicatori definiti CORE. Considerato che alla data di pubblicazione del report GIMBE non è ancora disponibile il report adempimenti LEA 2020</w:t>
      </w:r>
      <w:r w:rsidR="00DA6662">
        <w:t>,</w:t>
      </w:r>
      <w:r>
        <w:t xml:space="preserve"> sono stati analizzati i risultati della sperimentazione 2019. </w:t>
      </w:r>
      <w:r w:rsidR="004E5636">
        <w:t>I</w:t>
      </w:r>
      <w:r w:rsidR="008D7F06">
        <w:t>l</w:t>
      </w:r>
      <w:r w:rsidR="004E5636">
        <w:t xml:space="preserve"> </w:t>
      </w:r>
      <w:r w:rsidR="00DA6662">
        <w:t>NSG</w:t>
      </w:r>
      <w:r w:rsidR="004E5636">
        <w:t xml:space="preserve"> considera adempienti</w:t>
      </w:r>
      <w:r w:rsidR="008D7F06">
        <w:t xml:space="preserve"> le Regioni che raggiungono la sufficienza su </w:t>
      </w:r>
      <w:r w:rsidR="004E5636">
        <w:t xml:space="preserve">tutte </w:t>
      </w:r>
      <w:r w:rsidR="00251C5A">
        <w:t xml:space="preserve">e tre </w:t>
      </w:r>
      <w:r w:rsidR="004E5636">
        <w:t>le aree di assistenza</w:t>
      </w:r>
      <w:r w:rsidR="00496EF2">
        <w:t xml:space="preserve">: </w:t>
      </w:r>
      <w:r w:rsidR="008D7F06">
        <w:t>prevenzione,</w:t>
      </w:r>
      <w:r w:rsidR="004A38C6">
        <w:t xml:space="preserve"> distrettuale</w:t>
      </w:r>
      <w:r w:rsidR="004E5636">
        <w:t xml:space="preserve"> e </w:t>
      </w:r>
      <w:r w:rsidR="008D7F06">
        <w:t>ospedaliera.</w:t>
      </w:r>
      <w:r w:rsidR="004E5636" w:rsidRPr="004E5636">
        <w:t xml:space="preserve"> </w:t>
      </w:r>
      <w:r w:rsidR="00251C5A">
        <w:t xml:space="preserve">Dalla sperimentazione ben </w:t>
      </w:r>
      <w:r w:rsidR="00DA6662">
        <w:t xml:space="preserve">6 </w:t>
      </w:r>
      <w:r w:rsidR="00251C5A">
        <w:t>Regioni risultano</w:t>
      </w:r>
      <w:r w:rsidR="00530D18">
        <w:t xml:space="preserve"> inadempienti: </w:t>
      </w:r>
      <w:r w:rsidR="00251C5A">
        <w:t xml:space="preserve">la </w:t>
      </w:r>
      <w:r w:rsidR="00251C5A" w:rsidRPr="00251C5A">
        <w:t xml:space="preserve">Calabria </w:t>
      </w:r>
      <w:r w:rsidR="00251C5A">
        <w:t>non raggiunge il punteggio minimo</w:t>
      </w:r>
      <w:r w:rsidR="00251C5A" w:rsidRPr="00251C5A">
        <w:t xml:space="preserve"> in</w:t>
      </w:r>
      <w:r w:rsidR="004A38C6">
        <w:t xml:space="preserve"> nessuna delle </w:t>
      </w:r>
      <w:r w:rsidR="00251C5A" w:rsidRPr="00251C5A">
        <w:t>tre aree; la Provincia autonoma di Bolzano in due aree e Valle d’Aosta, Molise, Basilicata e Sicilia in una sola area.</w:t>
      </w:r>
      <w:r w:rsidR="00341D2C">
        <w:t xml:space="preserve">  </w:t>
      </w:r>
    </w:p>
    <w:p w14:paraId="71578E1B" w14:textId="50EF76E7" w:rsidR="00B153B8" w:rsidRPr="00496EF2" w:rsidRDefault="00496EF2" w:rsidP="0090298A">
      <w:pPr>
        <w:spacing w:after="80"/>
        <w:jc w:val="both"/>
      </w:pPr>
      <w:r>
        <w:t>A</w:t>
      </w:r>
      <w:r w:rsidR="00251C5A" w:rsidRPr="00251C5A">
        <w:t xml:space="preserve">nche se il </w:t>
      </w:r>
      <w:r w:rsidR="00DA6662">
        <w:t>NSG</w:t>
      </w:r>
      <w:r w:rsidR="00251C5A" w:rsidRPr="00251C5A">
        <w:t xml:space="preserve"> non prevede il calcolo di un punteggio totale per valutare gli adempimenti, sommando i punteggi ottenut</w:t>
      </w:r>
      <w:r w:rsidR="00251C5A">
        <w:t xml:space="preserve">i nelle </w:t>
      </w:r>
      <w:r w:rsidR="00D32048">
        <w:t>tre</w:t>
      </w:r>
      <w:r w:rsidR="00251C5A">
        <w:t xml:space="preserve"> aree emerge </w:t>
      </w:r>
      <w:r>
        <w:t xml:space="preserve">una classifica </w:t>
      </w:r>
      <w:r w:rsidR="004A38C6">
        <w:t>simile</w:t>
      </w:r>
      <w:r w:rsidR="00DA6662">
        <w:t xml:space="preserve"> a quella </w:t>
      </w:r>
      <w:r w:rsidR="004A38C6">
        <w:t>ottenuta con la Griglia LEA</w:t>
      </w:r>
      <w:r>
        <w:t xml:space="preserve">, dove </w:t>
      </w:r>
      <w:r w:rsidR="00251C5A">
        <w:t xml:space="preserve">la </w:t>
      </w:r>
      <w:r>
        <w:t>R</w:t>
      </w:r>
      <w:r w:rsidR="00251C5A">
        <w:t xml:space="preserve">egione Emilia-Romagna </w:t>
      </w:r>
      <w:r w:rsidR="00A21739">
        <w:t>si conferma in</w:t>
      </w:r>
      <w:r>
        <w:t xml:space="preserve"> </w:t>
      </w:r>
      <w:r w:rsidR="00251C5A">
        <w:t>prima posizione (</w:t>
      </w:r>
      <w:r w:rsidR="00251C5A" w:rsidRPr="00D65442">
        <w:rPr>
          <w:highlight w:val="yellow"/>
        </w:rPr>
        <w:t>tabella 2</w:t>
      </w:r>
      <w:r w:rsidR="00251C5A">
        <w:t>).</w:t>
      </w:r>
      <w:r w:rsidR="00251C5A" w:rsidRPr="00251C5A">
        <w:t xml:space="preserve"> </w:t>
      </w:r>
    </w:p>
    <w:p w14:paraId="46F3877C" w14:textId="77777777" w:rsidR="00D65442" w:rsidRDefault="00D65442" w:rsidP="006D28BA">
      <w:pPr>
        <w:spacing w:after="80"/>
        <w:jc w:val="both"/>
      </w:pPr>
    </w:p>
    <w:p w14:paraId="07A18C9F" w14:textId="6154F74C" w:rsidR="0007114E" w:rsidRPr="00496EF2" w:rsidRDefault="00E31033" w:rsidP="006D28BA">
      <w:pPr>
        <w:spacing w:after="80"/>
        <w:jc w:val="both"/>
      </w:pPr>
      <w:r w:rsidRPr="00496EF2">
        <w:t>«</w:t>
      </w:r>
      <w:r w:rsidR="00496EF2" w:rsidRPr="00496EF2">
        <w:t xml:space="preserve">Senza una nuova stagione di collaborazione tra Governo e Regioni e un radicale cambio di rotta per monitorare l’erogazione dei LEA </w:t>
      </w:r>
      <w:r w:rsidR="007027C3" w:rsidRPr="00496EF2">
        <w:t>– conclude Cartabellotta –</w:t>
      </w:r>
      <w:r w:rsidR="00530D18">
        <w:t xml:space="preserve"> </w:t>
      </w:r>
      <w:r w:rsidR="00390FDF" w:rsidRPr="00496EF2">
        <w:t xml:space="preserve">diseguaglianze </w:t>
      </w:r>
      <w:r w:rsidR="00496EF2">
        <w:t xml:space="preserve">regionali </w:t>
      </w:r>
      <w:r w:rsidR="00390FDF" w:rsidRPr="00496EF2">
        <w:t>e mobilità sanitaria</w:t>
      </w:r>
      <w:r w:rsidR="001D3CD2" w:rsidRPr="00496EF2">
        <w:t xml:space="preserve"> </w:t>
      </w:r>
      <w:r w:rsidR="00DA6662">
        <w:t xml:space="preserve">continueranno a farla da padrone </w:t>
      </w:r>
      <w:r w:rsidR="001D3CD2" w:rsidRPr="00496EF2">
        <w:t xml:space="preserve">e </w:t>
      </w:r>
      <w:r w:rsidR="000608EB" w:rsidRPr="00496EF2">
        <w:t>il CAP di residenza delle persone</w:t>
      </w:r>
      <w:r w:rsidR="00A21739" w:rsidRPr="00A21739">
        <w:t xml:space="preserve"> </w:t>
      </w:r>
      <w:r w:rsidR="00A21739">
        <w:t xml:space="preserve">condizionerà il </w:t>
      </w:r>
      <w:r w:rsidR="00A21739" w:rsidRPr="00496EF2">
        <w:t>diritto alla tutela della salute</w:t>
      </w:r>
      <w:r w:rsidR="006C167D" w:rsidRPr="00496EF2">
        <w:t xml:space="preserve">. </w:t>
      </w:r>
      <w:r w:rsidR="00496EF2">
        <w:t>Una situazione che stride con i princ</w:t>
      </w:r>
      <w:r w:rsidR="00A21739">
        <w:t>ì</w:t>
      </w:r>
      <w:r w:rsidR="00496EF2">
        <w:t xml:space="preserve">pi di equità e universalismo del SSN, </w:t>
      </w:r>
      <w:r w:rsidR="00A21739">
        <w:t>recentemente ribaditi dal</w:t>
      </w:r>
      <w:r w:rsidR="00496EF2">
        <w:t xml:space="preserve"> Ministro Schillaci secondo cui è “</w:t>
      </w:r>
      <w:r w:rsidR="00496EF2" w:rsidRPr="00496EF2">
        <w:rPr>
          <w:i/>
          <w:iCs/>
        </w:rPr>
        <w:t>prioritario il superamento delle diseguaglianze territoriali nell’offerta sanitaria</w:t>
      </w:r>
      <w:r w:rsidR="00DA6662" w:rsidRPr="00530D18">
        <w:rPr>
          <w:iCs/>
        </w:rPr>
        <w:t xml:space="preserve">” </w:t>
      </w:r>
      <w:r w:rsidR="00DA6662" w:rsidRPr="00DA6662">
        <w:rPr>
          <w:iCs/>
        </w:rPr>
        <w:t>affinché</w:t>
      </w:r>
      <w:r w:rsidR="00DA6662" w:rsidRPr="00530D18">
        <w:rPr>
          <w:iCs/>
        </w:rPr>
        <w:t xml:space="preserve"> “</w:t>
      </w:r>
      <w:r w:rsidR="00496EF2" w:rsidRPr="00496EF2">
        <w:rPr>
          <w:i/>
          <w:iCs/>
        </w:rPr>
        <w:t>tutti i cittadini abbiano le stesse opportunità, indipendentemente da dove sono nati o risiedono e dal loro reddito</w:t>
      </w:r>
      <w:r w:rsidR="00496EF2">
        <w:rPr>
          <w:i/>
          <w:iCs/>
        </w:rPr>
        <w:t>”</w:t>
      </w:r>
      <w:r w:rsidRPr="00496EF2">
        <w:t>».</w:t>
      </w:r>
    </w:p>
    <w:p w14:paraId="5B9C6ACE" w14:textId="77777777" w:rsidR="00496EF2" w:rsidRDefault="00496EF2" w:rsidP="006D28BA">
      <w:pPr>
        <w:spacing w:after="80"/>
        <w:jc w:val="both"/>
        <w:rPr>
          <w:rFonts w:eastAsia="Times New Roman" w:cstheme="minorHAnsi"/>
          <w:i/>
        </w:rPr>
      </w:pPr>
    </w:p>
    <w:p w14:paraId="1ABA3FC6" w14:textId="77777777" w:rsidR="001B5257" w:rsidRPr="00F47363" w:rsidRDefault="001B5257" w:rsidP="006D28BA">
      <w:pPr>
        <w:spacing w:after="80"/>
        <w:jc w:val="both"/>
        <w:rPr>
          <w:rFonts w:eastAsia="Times New Roman" w:cstheme="minorHAnsi"/>
          <w:iCs/>
        </w:rPr>
      </w:pPr>
      <w:r w:rsidRPr="00F47363">
        <w:rPr>
          <w:rFonts w:eastAsia="Times New Roman" w:cstheme="minorHAnsi"/>
          <w:iCs/>
        </w:rPr>
        <w:t xml:space="preserve">Il Report dell’Osservatorio GIMBE “Livelli Essenziali di Assistenza: le diseguaglianze regionali in sanità” è disponibile a: www.gimbe.org/LEA_2010-2019 </w:t>
      </w:r>
    </w:p>
    <w:p w14:paraId="762D47B9" w14:textId="77777777" w:rsidR="001B5257" w:rsidRPr="00737924" w:rsidRDefault="001B5257" w:rsidP="0090298A">
      <w:pPr>
        <w:spacing w:after="80"/>
        <w:jc w:val="both"/>
        <w:rPr>
          <w:color w:val="FF0000"/>
        </w:rPr>
      </w:pPr>
    </w:p>
    <w:p w14:paraId="42257845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14:paraId="3283D6D8" w14:textId="77777777" w:rsidR="00DC2A0C" w:rsidRPr="00E3755B" w:rsidRDefault="00DC2A0C" w:rsidP="00DC2A0C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14:paraId="06D5E5E7" w14:textId="77777777" w:rsidR="000977E5" w:rsidRDefault="00DC2A0C" w:rsidP="00FA6580">
      <w:pPr>
        <w:spacing w:after="0"/>
        <w:rPr>
          <w:rStyle w:val="Collegamentoipertestuale"/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10" w:history="1">
        <w:r w:rsidR="005C387E" w:rsidRPr="001A0A87">
          <w:rPr>
            <w:rStyle w:val="Collegamentoipertestuale"/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14:paraId="56E182B1" w14:textId="77777777" w:rsidR="000977E5" w:rsidRDefault="000977E5">
      <w:pPr>
        <w:rPr>
          <w:rStyle w:val="Collegamentoipertestuale"/>
          <w:rFonts w:ascii="Calibri" w:eastAsia="Calibri" w:hAnsi="Calibri" w:cs="Times New Roman"/>
          <w:sz w:val="20"/>
          <w:szCs w:val="20"/>
        </w:rPr>
      </w:pPr>
      <w:r>
        <w:rPr>
          <w:rStyle w:val="Collegamentoipertestuale"/>
          <w:rFonts w:ascii="Calibri" w:eastAsia="Calibri" w:hAnsi="Calibri" w:cs="Times New Roman"/>
          <w:sz w:val="20"/>
          <w:szCs w:val="20"/>
        </w:rPr>
        <w:br w:type="page"/>
      </w:r>
    </w:p>
    <w:p w14:paraId="245FADD9" w14:textId="77777777" w:rsidR="007D6E58" w:rsidRDefault="007D6E58" w:rsidP="00FA6580">
      <w:pPr>
        <w:spacing w:after="0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2F86E04F" w14:textId="3D27BA66" w:rsidR="0027243A" w:rsidRDefault="00DC27BB" w:rsidP="000977E5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pict w14:anchorId="2E7E4B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555pt">
            <v:imagedata r:id="rId11" o:title="Tabella_1_20221221"/>
          </v:shape>
        </w:pict>
      </w:r>
    </w:p>
    <w:p w14:paraId="059D26BE" w14:textId="645814F5" w:rsidR="000977E5" w:rsidRDefault="000977E5" w:rsidP="000977E5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2228E82D" w14:textId="165FD2C7" w:rsidR="0027243A" w:rsidRDefault="0027243A" w:rsidP="000977E5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7525DA41" w14:textId="4832F822" w:rsidR="0027243A" w:rsidRDefault="0027243A" w:rsidP="000977E5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</w:p>
    <w:p w14:paraId="66660864" w14:textId="77777777" w:rsidR="0027243A" w:rsidRDefault="0027243A" w:rsidP="000977E5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sectPr w:rsidR="0027243A" w:rsidSect="00282D8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A6DCCF8" w14:textId="6A8150B5" w:rsidR="000977E5" w:rsidRDefault="00F9694E" w:rsidP="0027243A">
      <w:pP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sectPr w:rsidR="000977E5" w:rsidSect="007D6E5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lastRenderedPageBreak/>
        <w:pict w14:anchorId="64E12386">
          <v:shape id="_x0000_i1026" type="#_x0000_t75" style="width:713.25pt;height:481.5pt">
            <v:imagedata r:id="rId12" o:title="Figura_Adempimenti 2010-2019"/>
          </v:shape>
        </w:pict>
      </w:r>
    </w:p>
    <w:p w14:paraId="5B89C3A1" w14:textId="5E0D93BD" w:rsidR="007D6E58" w:rsidRPr="006E19A1" w:rsidRDefault="00F9694E" w:rsidP="0027243A">
      <w:pPr>
        <w:spacing w:after="0"/>
        <w:jc w:val="center"/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</w:pPr>
      <w:r>
        <w:rPr>
          <w:rFonts w:ascii="Calibri" w:eastAsia="Calibri" w:hAnsi="Calibri" w:cs="Times New Roman"/>
          <w:color w:val="0000FF" w:themeColor="hyperlink"/>
          <w:sz w:val="20"/>
          <w:szCs w:val="20"/>
          <w:u w:val="single"/>
        </w:rPr>
        <w:lastRenderedPageBreak/>
        <w:pict w14:anchorId="10F6240D">
          <v:shape id="_x0000_i1027" type="#_x0000_t75" style="width:423pt;height:603.75pt">
            <v:imagedata r:id="rId13" o:title="Tabella_2_20221221"/>
          </v:shape>
        </w:pict>
      </w:r>
    </w:p>
    <w:sectPr w:rsidR="007D6E58" w:rsidRPr="006E19A1" w:rsidSect="00097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E464" w14:textId="77777777" w:rsidR="00F9694E" w:rsidRDefault="00F9694E" w:rsidP="00ED0CFD">
      <w:pPr>
        <w:spacing w:after="0" w:line="240" w:lineRule="auto"/>
      </w:pPr>
      <w:r>
        <w:separator/>
      </w:r>
    </w:p>
  </w:endnote>
  <w:endnote w:type="continuationSeparator" w:id="0">
    <w:p w14:paraId="48EDA1B0" w14:textId="77777777" w:rsidR="00F9694E" w:rsidRDefault="00F9694E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2D42A" w14:textId="77777777" w:rsidR="00F9694E" w:rsidRDefault="00F9694E" w:rsidP="00ED0CFD">
      <w:pPr>
        <w:spacing w:after="0" w:line="240" w:lineRule="auto"/>
      </w:pPr>
      <w:r>
        <w:separator/>
      </w:r>
    </w:p>
  </w:footnote>
  <w:footnote w:type="continuationSeparator" w:id="0">
    <w:p w14:paraId="2317A54B" w14:textId="77777777" w:rsidR="00F9694E" w:rsidRDefault="00F9694E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845F36"/>
    <w:multiLevelType w:val="hybridMultilevel"/>
    <w:tmpl w:val="E2D466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D0B44"/>
    <w:multiLevelType w:val="hybridMultilevel"/>
    <w:tmpl w:val="C164CB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42962"/>
    <w:multiLevelType w:val="hybridMultilevel"/>
    <w:tmpl w:val="C890BD22"/>
    <w:lvl w:ilvl="0" w:tplc="A768A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8321E"/>
    <w:multiLevelType w:val="hybridMultilevel"/>
    <w:tmpl w:val="CBDEBA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47641A"/>
    <w:multiLevelType w:val="hybridMultilevel"/>
    <w:tmpl w:val="B914B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57D"/>
      </w:rPr>
    </w:lvl>
    <w:lvl w:ilvl="1" w:tplc="C3FE91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457D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94E2B"/>
    <w:multiLevelType w:val="hybridMultilevel"/>
    <w:tmpl w:val="2CCA8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34633F9"/>
    <w:multiLevelType w:val="hybridMultilevel"/>
    <w:tmpl w:val="275A20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22CEB"/>
    <w:multiLevelType w:val="hybridMultilevel"/>
    <w:tmpl w:val="CA444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AA3D3A"/>
    <w:multiLevelType w:val="hybridMultilevel"/>
    <w:tmpl w:val="4A8E9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7A5BB8"/>
    <w:multiLevelType w:val="hybridMultilevel"/>
    <w:tmpl w:val="C6787F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0"/>
  </w:num>
  <w:num w:numId="4">
    <w:abstractNumId w:val="22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  <w:num w:numId="16">
    <w:abstractNumId w:val="23"/>
  </w:num>
  <w:num w:numId="17">
    <w:abstractNumId w:val="19"/>
  </w:num>
  <w:num w:numId="18">
    <w:abstractNumId w:val="5"/>
  </w:num>
  <w:num w:numId="19">
    <w:abstractNumId w:val="18"/>
  </w:num>
  <w:num w:numId="20">
    <w:abstractNumId w:val="25"/>
  </w:num>
  <w:num w:numId="21">
    <w:abstractNumId w:val="6"/>
  </w:num>
  <w:num w:numId="22">
    <w:abstractNumId w:val="11"/>
  </w:num>
  <w:num w:numId="23">
    <w:abstractNumId w:val="9"/>
  </w:num>
  <w:num w:numId="24">
    <w:abstractNumId w:val="21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1"/>
    <w:rsid w:val="000007FC"/>
    <w:rsid w:val="00001697"/>
    <w:rsid w:val="00001ED8"/>
    <w:rsid w:val="00002C1B"/>
    <w:rsid w:val="00003744"/>
    <w:rsid w:val="00003F78"/>
    <w:rsid w:val="00004B0A"/>
    <w:rsid w:val="00005126"/>
    <w:rsid w:val="00005316"/>
    <w:rsid w:val="0000535F"/>
    <w:rsid w:val="00005B25"/>
    <w:rsid w:val="00006555"/>
    <w:rsid w:val="00010498"/>
    <w:rsid w:val="00010D71"/>
    <w:rsid w:val="0001111C"/>
    <w:rsid w:val="0001384A"/>
    <w:rsid w:val="00013DFA"/>
    <w:rsid w:val="0001439D"/>
    <w:rsid w:val="000151FC"/>
    <w:rsid w:val="00015D8E"/>
    <w:rsid w:val="00015EB0"/>
    <w:rsid w:val="00017968"/>
    <w:rsid w:val="00017FB4"/>
    <w:rsid w:val="000202BF"/>
    <w:rsid w:val="00020F55"/>
    <w:rsid w:val="00021D7F"/>
    <w:rsid w:val="00022079"/>
    <w:rsid w:val="00023462"/>
    <w:rsid w:val="00023D8A"/>
    <w:rsid w:val="00024DD4"/>
    <w:rsid w:val="00027E3B"/>
    <w:rsid w:val="000314E4"/>
    <w:rsid w:val="000340C1"/>
    <w:rsid w:val="00035404"/>
    <w:rsid w:val="00035633"/>
    <w:rsid w:val="00042141"/>
    <w:rsid w:val="0004410A"/>
    <w:rsid w:val="0004544D"/>
    <w:rsid w:val="00047851"/>
    <w:rsid w:val="00047ED7"/>
    <w:rsid w:val="0005080C"/>
    <w:rsid w:val="0005142F"/>
    <w:rsid w:val="000514FD"/>
    <w:rsid w:val="00051CA7"/>
    <w:rsid w:val="00051F7A"/>
    <w:rsid w:val="00052910"/>
    <w:rsid w:val="0005402C"/>
    <w:rsid w:val="00054250"/>
    <w:rsid w:val="00055180"/>
    <w:rsid w:val="00055AE9"/>
    <w:rsid w:val="00055D27"/>
    <w:rsid w:val="00056D34"/>
    <w:rsid w:val="000602AA"/>
    <w:rsid w:val="000608EB"/>
    <w:rsid w:val="00060A59"/>
    <w:rsid w:val="00062481"/>
    <w:rsid w:val="0006440E"/>
    <w:rsid w:val="000657A8"/>
    <w:rsid w:val="000662E3"/>
    <w:rsid w:val="00067B8F"/>
    <w:rsid w:val="000707B3"/>
    <w:rsid w:val="00070F64"/>
    <w:rsid w:val="0007114E"/>
    <w:rsid w:val="000715A9"/>
    <w:rsid w:val="000718E4"/>
    <w:rsid w:val="00071F0A"/>
    <w:rsid w:val="00071F88"/>
    <w:rsid w:val="00072570"/>
    <w:rsid w:val="000733A7"/>
    <w:rsid w:val="0007355C"/>
    <w:rsid w:val="00073870"/>
    <w:rsid w:val="00074788"/>
    <w:rsid w:val="000771A4"/>
    <w:rsid w:val="00077EF1"/>
    <w:rsid w:val="00080E0C"/>
    <w:rsid w:val="000825EA"/>
    <w:rsid w:val="00082EDA"/>
    <w:rsid w:val="000905D1"/>
    <w:rsid w:val="00090A39"/>
    <w:rsid w:val="00090B7E"/>
    <w:rsid w:val="000927C7"/>
    <w:rsid w:val="000935F1"/>
    <w:rsid w:val="00094560"/>
    <w:rsid w:val="000965BE"/>
    <w:rsid w:val="000977E5"/>
    <w:rsid w:val="000A05CF"/>
    <w:rsid w:val="000A0FC3"/>
    <w:rsid w:val="000A1367"/>
    <w:rsid w:val="000A2084"/>
    <w:rsid w:val="000A5E93"/>
    <w:rsid w:val="000A62A9"/>
    <w:rsid w:val="000A7B66"/>
    <w:rsid w:val="000A7ED4"/>
    <w:rsid w:val="000B07B0"/>
    <w:rsid w:val="000B185F"/>
    <w:rsid w:val="000B1C52"/>
    <w:rsid w:val="000B3126"/>
    <w:rsid w:val="000B7985"/>
    <w:rsid w:val="000C344B"/>
    <w:rsid w:val="000C544C"/>
    <w:rsid w:val="000C6130"/>
    <w:rsid w:val="000D02E4"/>
    <w:rsid w:val="000D17FB"/>
    <w:rsid w:val="000D18C7"/>
    <w:rsid w:val="000D1E30"/>
    <w:rsid w:val="000D25AC"/>
    <w:rsid w:val="000D44D4"/>
    <w:rsid w:val="000D5237"/>
    <w:rsid w:val="000D5771"/>
    <w:rsid w:val="000D5893"/>
    <w:rsid w:val="000D68E6"/>
    <w:rsid w:val="000D7252"/>
    <w:rsid w:val="000E109B"/>
    <w:rsid w:val="000E2E4F"/>
    <w:rsid w:val="000E4E47"/>
    <w:rsid w:val="000E7194"/>
    <w:rsid w:val="000E7CC2"/>
    <w:rsid w:val="000F0BBD"/>
    <w:rsid w:val="000F10F8"/>
    <w:rsid w:val="000F39EF"/>
    <w:rsid w:val="000F43FE"/>
    <w:rsid w:val="000F5C0F"/>
    <w:rsid w:val="000F7FF9"/>
    <w:rsid w:val="0010059E"/>
    <w:rsid w:val="0010173D"/>
    <w:rsid w:val="001033BE"/>
    <w:rsid w:val="00105181"/>
    <w:rsid w:val="00107096"/>
    <w:rsid w:val="00110237"/>
    <w:rsid w:val="00111D08"/>
    <w:rsid w:val="0011205F"/>
    <w:rsid w:val="001139A6"/>
    <w:rsid w:val="00113D4A"/>
    <w:rsid w:val="00113F3C"/>
    <w:rsid w:val="00115344"/>
    <w:rsid w:val="001167D9"/>
    <w:rsid w:val="00123196"/>
    <w:rsid w:val="00123378"/>
    <w:rsid w:val="001237F8"/>
    <w:rsid w:val="001246E0"/>
    <w:rsid w:val="00125C6A"/>
    <w:rsid w:val="00125E2B"/>
    <w:rsid w:val="001262A5"/>
    <w:rsid w:val="00130077"/>
    <w:rsid w:val="001317CF"/>
    <w:rsid w:val="001329EC"/>
    <w:rsid w:val="00134187"/>
    <w:rsid w:val="00134C8C"/>
    <w:rsid w:val="00143689"/>
    <w:rsid w:val="00143A68"/>
    <w:rsid w:val="00144408"/>
    <w:rsid w:val="001446A5"/>
    <w:rsid w:val="00144F94"/>
    <w:rsid w:val="001458FE"/>
    <w:rsid w:val="00145BA6"/>
    <w:rsid w:val="001471AF"/>
    <w:rsid w:val="00150EF3"/>
    <w:rsid w:val="0015229D"/>
    <w:rsid w:val="00153328"/>
    <w:rsid w:val="0015377E"/>
    <w:rsid w:val="00156B19"/>
    <w:rsid w:val="001608BE"/>
    <w:rsid w:val="00162FBC"/>
    <w:rsid w:val="00163426"/>
    <w:rsid w:val="0016375C"/>
    <w:rsid w:val="001654A5"/>
    <w:rsid w:val="00170760"/>
    <w:rsid w:val="0017089E"/>
    <w:rsid w:val="00170B46"/>
    <w:rsid w:val="00171767"/>
    <w:rsid w:val="00171A25"/>
    <w:rsid w:val="00173764"/>
    <w:rsid w:val="0017405D"/>
    <w:rsid w:val="00174060"/>
    <w:rsid w:val="001748BA"/>
    <w:rsid w:val="00183DFD"/>
    <w:rsid w:val="00185AEF"/>
    <w:rsid w:val="00191F59"/>
    <w:rsid w:val="00192DAD"/>
    <w:rsid w:val="00192F75"/>
    <w:rsid w:val="00193B5E"/>
    <w:rsid w:val="00193F19"/>
    <w:rsid w:val="001A356C"/>
    <w:rsid w:val="001A3E0D"/>
    <w:rsid w:val="001A3E96"/>
    <w:rsid w:val="001A6181"/>
    <w:rsid w:val="001B39C4"/>
    <w:rsid w:val="001B3B52"/>
    <w:rsid w:val="001B3C16"/>
    <w:rsid w:val="001B5257"/>
    <w:rsid w:val="001C00F9"/>
    <w:rsid w:val="001C0262"/>
    <w:rsid w:val="001C03A4"/>
    <w:rsid w:val="001C067C"/>
    <w:rsid w:val="001C48AA"/>
    <w:rsid w:val="001C51E2"/>
    <w:rsid w:val="001C60EA"/>
    <w:rsid w:val="001C611E"/>
    <w:rsid w:val="001C6C9D"/>
    <w:rsid w:val="001C6D0F"/>
    <w:rsid w:val="001C7F98"/>
    <w:rsid w:val="001D04DB"/>
    <w:rsid w:val="001D0E41"/>
    <w:rsid w:val="001D153D"/>
    <w:rsid w:val="001D19F1"/>
    <w:rsid w:val="001D28F3"/>
    <w:rsid w:val="001D3CD2"/>
    <w:rsid w:val="001D3E45"/>
    <w:rsid w:val="001D4CE8"/>
    <w:rsid w:val="001D5744"/>
    <w:rsid w:val="001D79A8"/>
    <w:rsid w:val="001E0E42"/>
    <w:rsid w:val="001E2726"/>
    <w:rsid w:val="001E2C19"/>
    <w:rsid w:val="001E35BC"/>
    <w:rsid w:val="001E3600"/>
    <w:rsid w:val="001E469E"/>
    <w:rsid w:val="001E5245"/>
    <w:rsid w:val="001E5539"/>
    <w:rsid w:val="001E6902"/>
    <w:rsid w:val="001E6CBA"/>
    <w:rsid w:val="001F1C35"/>
    <w:rsid w:val="001F20B8"/>
    <w:rsid w:val="001F3354"/>
    <w:rsid w:val="001F7833"/>
    <w:rsid w:val="00201481"/>
    <w:rsid w:val="002020DB"/>
    <w:rsid w:val="00202A01"/>
    <w:rsid w:val="0020435A"/>
    <w:rsid w:val="002056E1"/>
    <w:rsid w:val="00206047"/>
    <w:rsid w:val="002073BD"/>
    <w:rsid w:val="00207B90"/>
    <w:rsid w:val="00210158"/>
    <w:rsid w:val="00210291"/>
    <w:rsid w:val="0021155E"/>
    <w:rsid w:val="002137D4"/>
    <w:rsid w:val="00213F7C"/>
    <w:rsid w:val="0021535A"/>
    <w:rsid w:val="002158D6"/>
    <w:rsid w:val="002206B0"/>
    <w:rsid w:val="00220C3E"/>
    <w:rsid w:val="00220C89"/>
    <w:rsid w:val="00223C4D"/>
    <w:rsid w:val="00223F01"/>
    <w:rsid w:val="00224E88"/>
    <w:rsid w:val="00226406"/>
    <w:rsid w:val="002268C3"/>
    <w:rsid w:val="00226EA6"/>
    <w:rsid w:val="00227587"/>
    <w:rsid w:val="00230A6C"/>
    <w:rsid w:val="00230F09"/>
    <w:rsid w:val="00232C0A"/>
    <w:rsid w:val="00233EF5"/>
    <w:rsid w:val="002349C3"/>
    <w:rsid w:val="0023771D"/>
    <w:rsid w:val="00241AB7"/>
    <w:rsid w:val="00241CF7"/>
    <w:rsid w:val="00241E9C"/>
    <w:rsid w:val="00242077"/>
    <w:rsid w:val="00244FA4"/>
    <w:rsid w:val="0025050F"/>
    <w:rsid w:val="0025076D"/>
    <w:rsid w:val="0025100A"/>
    <w:rsid w:val="00251AC2"/>
    <w:rsid w:val="00251C5A"/>
    <w:rsid w:val="002551A1"/>
    <w:rsid w:val="002616ED"/>
    <w:rsid w:val="0026358E"/>
    <w:rsid w:val="00265B05"/>
    <w:rsid w:val="00266561"/>
    <w:rsid w:val="00266D0D"/>
    <w:rsid w:val="00266E0C"/>
    <w:rsid w:val="00266E1A"/>
    <w:rsid w:val="00271105"/>
    <w:rsid w:val="002723FC"/>
    <w:rsid w:val="0027243A"/>
    <w:rsid w:val="002726D7"/>
    <w:rsid w:val="00272C42"/>
    <w:rsid w:val="00272D7A"/>
    <w:rsid w:val="00272FAB"/>
    <w:rsid w:val="00273235"/>
    <w:rsid w:val="0027468B"/>
    <w:rsid w:val="00275042"/>
    <w:rsid w:val="00276B9E"/>
    <w:rsid w:val="00277114"/>
    <w:rsid w:val="0028259D"/>
    <w:rsid w:val="00282655"/>
    <w:rsid w:val="00282D8A"/>
    <w:rsid w:val="00282DAE"/>
    <w:rsid w:val="00286979"/>
    <w:rsid w:val="00287105"/>
    <w:rsid w:val="00291602"/>
    <w:rsid w:val="00292151"/>
    <w:rsid w:val="00292718"/>
    <w:rsid w:val="0029392F"/>
    <w:rsid w:val="00294338"/>
    <w:rsid w:val="00295B4C"/>
    <w:rsid w:val="002960D0"/>
    <w:rsid w:val="00297583"/>
    <w:rsid w:val="002A2034"/>
    <w:rsid w:val="002A3232"/>
    <w:rsid w:val="002A3B41"/>
    <w:rsid w:val="002A51D6"/>
    <w:rsid w:val="002B0785"/>
    <w:rsid w:val="002B12E6"/>
    <w:rsid w:val="002B1329"/>
    <w:rsid w:val="002B2D4D"/>
    <w:rsid w:val="002B5964"/>
    <w:rsid w:val="002B704E"/>
    <w:rsid w:val="002B7295"/>
    <w:rsid w:val="002B7C26"/>
    <w:rsid w:val="002B7F03"/>
    <w:rsid w:val="002B7F6A"/>
    <w:rsid w:val="002C017E"/>
    <w:rsid w:val="002C0B56"/>
    <w:rsid w:val="002C0B93"/>
    <w:rsid w:val="002C0F1B"/>
    <w:rsid w:val="002C2712"/>
    <w:rsid w:val="002C3123"/>
    <w:rsid w:val="002C4253"/>
    <w:rsid w:val="002C433C"/>
    <w:rsid w:val="002C4810"/>
    <w:rsid w:val="002C4FFE"/>
    <w:rsid w:val="002C5187"/>
    <w:rsid w:val="002C5517"/>
    <w:rsid w:val="002C58B9"/>
    <w:rsid w:val="002C59F7"/>
    <w:rsid w:val="002D1A9D"/>
    <w:rsid w:val="002D1D66"/>
    <w:rsid w:val="002D2C39"/>
    <w:rsid w:val="002D3092"/>
    <w:rsid w:val="002D3767"/>
    <w:rsid w:val="002D3943"/>
    <w:rsid w:val="002D3B2F"/>
    <w:rsid w:val="002D405C"/>
    <w:rsid w:val="002D4D2D"/>
    <w:rsid w:val="002D4E05"/>
    <w:rsid w:val="002D61E1"/>
    <w:rsid w:val="002D6E9B"/>
    <w:rsid w:val="002D7045"/>
    <w:rsid w:val="002D7409"/>
    <w:rsid w:val="002E0F88"/>
    <w:rsid w:val="002E2886"/>
    <w:rsid w:val="002E2D66"/>
    <w:rsid w:val="002E33A2"/>
    <w:rsid w:val="002E3609"/>
    <w:rsid w:val="002E5382"/>
    <w:rsid w:val="002E5E3C"/>
    <w:rsid w:val="002F07F4"/>
    <w:rsid w:val="002F2E6A"/>
    <w:rsid w:val="002F3045"/>
    <w:rsid w:val="002F323D"/>
    <w:rsid w:val="002F605D"/>
    <w:rsid w:val="00300EF7"/>
    <w:rsid w:val="00301C27"/>
    <w:rsid w:val="00301EA6"/>
    <w:rsid w:val="003045CF"/>
    <w:rsid w:val="00305113"/>
    <w:rsid w:val="003059C3"/>
    <w:rsid w:val="00305B3F"/>
    <w:rsid w:val="00305F2F"/>
    <w:rsid w:val="00310511"/>
    <w:rsid w:val="00310654"/>
    <w:rsid w:val="0031227A"/>
    <w:rsid w:val="00313AD1"/>
    <w:rsid w:val="00315407"/>
    <w:rsid w:val="00315734"/>
    <w:rsid w:val="00315E74"/>
    <w:rsid w:val="0031648A"/>
    <w:rsid w:val="00316F39"/>
    <w:rsid w:val="0031755E"/>
    <w:rsid w:val="003210AC"/>
    <w:rsid w:val="00321C3D"/>
    <w:rsid w:val="0032231F"/>
    <w:rsid w:val="00323A55"/>
    <w:rsid w:val="00323A6E"/>
    <w:rsid w:val="003257BC"/>
    <w:rsid w:val="00325A97"/>
    <w:rsid w:val="00325E81"/>
    <w:rsid w:val="00325E98"/>
    <w:rsid w:val="003268D1"/>
    <w:rsid w:val="00327AF0"/>
    <w:rsid w:val="00327DA7"/>
    <w:rsid w:val="00331B49"/>
    <w:rsid w:val="00331F29"/>
    <w:rsid w:val="00332812"/>
    <w:rsid w:val="00333A1D"/>
    <w:rsid w:val="00333B9B"/>
    <w:rsid w:val="0033460B"/>
    <w:rsid w:val="00334F92"/>
    <w:rsid w:val="0033752D"/>
    <w:rsid w:val="00341D2C"/>
    <w:rsid w:val="00341F1E"/>
    <w:rsid w:val="00341F7E"/>
    <w:rsid w:val="0034291E"/>
    <w:rsid w:val="00343639"/>
    <w:rsid w:val="00344C5E"/>
    <w:rsid w:val="003456F8"/>
    <w:rsid w:val="003466A8"/>
    <w:rsid w:val="00347675"/>
    <w:rsid w:val="00347BD4"/>
    <w:rsid w:val="00347CD5"/>
    <w:rsid w:val="00350B80"/>
    <w:rsid w:val="00351462"/>
    <w:rsid w:val="003522E6"/>
    <w:rsid w:val="00352BE2"/>
    <w:rsid w:val="00353E36"/>
    <w:rsid w:val="003554E0"/>
    <w:rsid w:val="00355DBF"/>
    <w:rsid w:val="003563F4"/>
    <w:rsid w:val="003576FF"/>
    <w:rsid w:val="00357F80"/>
    <w:rsid w:val="0036304D"/>
    <w:rsid w:val="003631B2"/>
    <w:rsid w:val="00363764"/>
    <w:rsid w:val="0036462F"/>
    <w:rsid w:val="00364E32"/>
    <w:rsid w:val="003653A3"/>
    <w:rsid w:val="00365753"/>
    <w:rsid w:val="00366061"/>
    <w:rsid w:val="00366C45"/>
    <w:rsid w:val="00367A4B"/>
    <w:rsid w:val="00370768"/>
    <w:rsid w:val="003764CF"/>
    <w:rsid w:val="00376DAD"/>
    <w:rsid w:val="00380A73"/>
    <w:rsid w:val="00382F29"/>
    <w:rsid w:val="00384929"/>
    <w:rsid w:val="00384AF1"/>
    <w:rsid w:val="00385A79"/>
    <w:rsid w:val="00386385"/>
    <w:rsid w:val="00386FD8"/>
    <w:rsid w:val="00387555"/>
    <w:rsid w:val="0039006E"/>
    <w:rsid w:val="00390FDF"/>
    <w:rsid w:val="003913D4"/>
    <w:rsid w:val="00391AD2"/>
    <w:rsid w:val="00392161"/>
    <w:rsid w:val="00393B9D"/>
    <w:rsid w:val="00394823"/>
    <w:rsid w:val="003955A0"/>
    <w:rsid w:val="003978DA"/>
    <w:rsid w:val="003A0A46"/>
    <w:rsid w:val="003A13B4"/>
    <w:rsid w:val="003A25F6"/>
    <w:rsid w:val="003A54E4"/>
    <w:rsid w:val="003A660F"/>
    <w:rsid w:val="003A72AE"/>
    <w:rsid w:val="003A7632"/>
    <w:rsid w:val="003A7E5F"/>
    <w:rsid w:val="003B2E03"/>
    <w:rsid w:val="003B2F64"/>
    <w:rsid w:val="003B3381"/>
    <w:rsid w:val="003B4A8D"/>
    <w:rsid w:val="003B5D17"/>
    <w:rsid w:val="003B5D7A"/>
    <w:rsid w:val="003B72C4"/>
    <w:rsid w:val="003C2417"/>
    <w:rsid w:val="003C276B"/>
    <w:rsid w:val="003C3404"/>
    <w:rsid w:val="003C48B6"/>
    <w:rsid w:val="003C75E1"/>
    <w:rsid w:val="003C7C53"/>
    <w:rsid w:val="003D4318"/>
    <w:rsid w:val="003D66C8"/>
    <w:rsid w:val="003E0375"/>
    <w:rsid w:val="003E2D1E"/>
    <w:rsid w:val="003E3601"/>
    <w:rsid w:val="003E4422"/>
    <w:rsid w:val="003E44CA"/>
    <w:rsid w:val="003E4FF7"/>
    <w:rsid w:val="003E6B2B"/>
    <w:rsid w:val="003F0292"/>
    <w:rsid w:val="003F1AAC"/>
    <w:rsid w:val="003F1E08"/>
    <w:rsid w:val="003F35EF"/>
    <w:rsid w:val="003F3B35"/>
    <w:rsid w:val="003F470F"/>
    <w:rsid w:val="003F52F6"/>
    <w:rsid w:val="00401B96"/>
    <w:rsid w:val="00401C52"/>
    <w:rsid w:val="004033C0"/>
    <w:rsid w:val="004052B2"/>
    <w:rsid w:val="00405C0C"/>
    <w:rsid w:val="00405FA5"/>
    <w:rsid w:val="00406018"/>
    <w:rsid w:val="004063A2"/>
    <w:rsid w:val="00406B12"/>
    <w:rsid w:val="00412253"/>
    <w:rsid w:val="00413B2C"/>
    <w:rsid w:val="00414C6F"/>
    <w:rsid w:val="00415770"/>
    <w:rsid w:val="00415FC6"/>
    <w:rsid w:val="0041646F"/>
    <w:rsid w:val="0041674A"/>
    <w:rsid w:val="0042296F"/>
    <w:rsid w:val="00423B3B"/>
    <w:rsid w:val="004247AF"/>
    <w:rsid w:val="00425913"/>
    <w:rsid w:val="00426A88"/>
    <w:rsid w:val="00430270"/>
    <w:rsid w:val="00434060"/>
    <w:rsid w:val="00434921"/>
    <w:rsid w:val="00434BBE"/>
    <w:rsid w:val="004350BB"/>
    <w:rsid w:val="004363E1"/>
    <w:rsid w:val="00436E44"/>
    <w:rsid w:val="00437372"/>
    <w:rsid w:val="00437569"/>
    <w:rsid w:val="00437A73"/>
    <w:rsid w:val="0044012A"/>
    <w:rsid w:val="00440D4A"/>
    <w:rsid w:val="00441D52"/>
    <w:rsid w:val="004420B7"/>
    <w:rsid w:val="00442312"/>
    <w:rsid w:val="00442E37"/>
    <w:rsid w:val="004432F6"/>
    <w:rsid w:val="00444A0A"/>
    <w:rsid w:val="00445883"/>
    <w:rsid w:val="00446F85"/>
    <w:rsid w:val="004522B4"/>
    <w:rsid w:val="00452338"/>
    <w:rsid w:val="00452891"/>
    <w:rsid w:val="00452900"/>
    <w:rsid w:val="00452A5B"/>
    <w:rsid w:val="00452CED"/>
    <w:rsid w:val="00453B39"/>
    <w:rsid w:val="00455F5E"/>
    <w:rsid w:val="00456AC9"/>
    <w:rsid w:val="00461BFF"/>
    <w:rsid w:val="00462A50"/>
    <w:rsid w:val="00462F9C"/>
    <w:rsid w:val="004636F5"/>
    <w:rsid w:val="0046775E"/>
    <w:rsid w:val="00467895"/>
    <w:rsid w:val="0047038B"/>
    <w:rsid w:val="00470740"/>
    <w:rsid w:val="00470D92"/>
    <w:rsid w:val="0047196C"/>
    <w:rsid w:val="0047354E"/>
    <w:rsid w:val="004752D9"/>
    <w:rsid w:val="00475510"/>
    <w:rsid w:val="0047586E"/>
    <w:rsid w:val="00477873"/>
    <w:rsid w:val="004778D0"/>
    <w:rsid w:val="00480E9D"/>
    <w:rsid w:val="00481D22"/>
    <w:rsid w:val="00483720"/>
    <w:rsid w:val="0048588A"/>
    <w:rsid w:val="0048762D"/>
    <w:rsid w:val="00490397"/>
    <w:rsid w:val="00490692"/>
    <w:rsid w:val="00490EB3"/>
    <w:rsid w:val="004952D7"/>
    <w:rsid w:val="004955F7"/>
    <w:rsid w:val="00495941"/>
    <w:rsid w:val="00496108"/>
    <w:rsid w:val="00496EF2"/>
    <w:rsid w:val="004971EA"/>
    <w:rsid w:val="004A07FF"/>
    <w:rsid w:val="004A0830"/>
    <w:rsid w:val="004A0E05"/>
    <w:rsid w:val="004A11C7"/>
    <w:rsid w:val="004A18D7"/>
    <w:rsid w:val="004A1B26"/>
    <w:rsid w:val="004A1BFD"/>
    <w:rsid w:val="004A31D4"/>
    <w:rsid w:val="004A38C6"/>
    <w:rsid w:val="004A5489"/>
    <w:rsid w:val="004A6690"/>
    <w:rsid w:val="004A7175"/>
    <w:rsid w:val="004B3935"/>
    <w:rsid w:val="004B447F"/>
    <w:rsid w:val="004B4909"/>
    <w:rsid w:val="004B7ACD"/>
    <w:rsid w:val="004C17CB"/>
    <w:rsid w:val="004C2236"/>
    <w:rsid w:val="004C285E"/>
    <w:rsid w:val="004C6784"/>
    <w:rsid w:val="004C679F"/>
    <w:rsid w:val="004C75C0"/>
    <w:rsid w:val="004D0248"/>
    <w:rsid w:val="004D0BDF"/>
    <w:rsid w:val="004D3A0B"/>
    <w:rsid w:val="004D469E"/>
    <w:rsid w:val="004D4B67"/>
    <w:rsid w:val="004D5883"/>
    <w:rsid w:val="004D7E74"/>
    <w:rsid w:val="004E003D"/>
    <w:rsid w:val="004E186A"/>
    <w:rsid w:val="004E4BBD"/>
    <w:rsid w:val="004E5018"/>
    <w:rsid w:val="004E5636"/>
    <w:rsid w:val="004E5EFE"/>
    <w:rsid w:val="004E625D"/>
    <w:rsid w:val="004E7CE9"/>
    <w:rsid w:val="004F0578"/>
    <w:rsid w:val="004F064A"/>
    <w:rsid w:val="004F0FD3"/>
    <w:rsid w:val="004F1480"/>
    <w:rsid w:val="004F1688"/>
    <w:rsid w:val="004F3FEB"/>
    <w:rsid w:val="004F58E5"/>
    <w:rsid w:val="004F60EA"/>
    <w:rsid w:val="004F69B2"/>
    <w:rsid w:val="004F751C"/>
    <w:rsid w:val="005014CD"/>
    <w:rsid w:val="00501793"/>
    <w:rsid w:val="0050509C"/>
    <w:rsid w:val="00505B7D"/>
    <w:rsid w:val="00505BFD"/>
    <w:rsid w:val="00510AA1"/>
    <w:rsid w:val="00511D86"/>
    <w:rsid w:val="00511E6F"/>
    <w:rsid w:val="00512868"/>
    <w:rsid w:val="00512879"/>
    <w:rsid w:val="00514990"/>
    <w:rsid w:val="00516CBE"/>
    <w:rsid w:val="00517170"/>
    <w:rsid w:val="00520362"/>
    <w:rsid w:val="005203E7"/>
    <w:rsid w:val="005204CB"/>
    <w:rsid w:val="00520DE3"/>
    <w:rsid w:val="00521D99"/>
    <w:rsid w:val="00521FE2"/>
    <w:rsid w:val="00522C6E"/>
    <w:rsid w:val="00522E26"/>
    <w:rsid w:val="00524F37"/>
    <w:rsid w:val="00525952"/>
    <w:rsid w:val="00525AEA"/>
    <w:rsid w:val="00525FA8"/>
    <w:rsid w:val="005272D8"/>
    <w:rsid w:val="00530B7D"/>
    <w:rsid w:val="00530BB4"/>
    <w:rsid w:val="00530D18"/>
    <w:rsid w:val="00530FB0"/>
    <w:rsid w:val="00531550"/>
    <w:rsid w:val="00531EA2"/>
    <w:rsid w:val="005320A9"/>
    <w:rsid w:val="00532D90"/>
    <w:rsid w:val="00533B76"/>
    <w:rsid w:val="00533D48"/>
    <w:rsid w:val="005341D8"/>
    <w:rsid w:val="0053493F"/>
    <w:rsid w:val="005419E9"/>
    <w:rsid w:val="00541AF9"/>
    <w:rsid w:val="00541DC9"/>
    <w:rsid w:val="00542475"/>
    <w:rsid w:val="005440CF"/>
    <w:rsid w:val="00550ABA"/>
    <w:rsid w:val="00550C9C"/>
    <w:rsid w:val="005516A8"/>
    <w:rsid w:val="00552A16"/>
    <w:rsid w:val="00553691"/>
    <w:rsid w:val="00560786"/>
    <w:rsid w:val="0056133B"/>
    <w:rsid w:val="005614F9"/>
    <w:rsid w:val="0056268F"/>
    <w:rsid w:val="00563BF8"/>
    <w:rsid w:val="0056476B"/>
    <w:rsid w:val="00565187"/>
    <w:rsid w:val="00565C3C"/>
    <w:rsid w:val="00570339"/>
    <w:rsid w:val="0057085B"/>
    <w:rsid w:val="00570C6B"/>
    <w:rsid w:val="00572C27"/>
    <w:rsid w:val="00572DF6"/>
    <w:rsid w:val="00573141"/>
    <w:rsid w:val="00573388"/>
    <w:rsid w:val="00573998"/>
    <w:rsid w:val="00573AB6"/>
    <w:rsid w:val="005751E5"/>
    <w:rsid w:val="00577D77"/>
    <w:rsid w:val="00580725"/>
    <w:rsid w:val="0058232D"/>
    <w:rsid w:val="00586657"/>
    <w:rsid w:val="005869A8"/>
    <w:rsid w:val="00586FDE"/>
    <w:rsid w:val="00587C1F"/>
    <w:rsid w:val="00587C9B"/>
    <w:rsid w:val="00590653"/>
    <w:rsid w:val="00590E5A"/>
    <w:rsid w:val="00591F4E"/>
    <w:rsid w:val="005932A0"/>
    <w:rsid w:val="00593F06"/>
    <w:rsid w:val="005940D1"/>
    <w:rsid w:val="005943C9"/>
    <w:rsid w:val="00594E34"/>
    <w:rsid w:val="00595A0C"/>
    <w:rsid w:val="005961FF"/>
    <w:rsid w:val="005A14D6"/>
    <w:rsid w:val="005A2BB7"/>
    <w:rsid w:val="005A3A8D"/>
    <w:rsid w:val="005A4ADA"/>
    <w:rsid w:val="005A6F2F"/>
    <w:rsid w:val="005B0CBF"/>
    <w:rsid w:val="005B0FDD"/>
    <w:rsid w:val="005B13AE"/>
    <w:rsid w:val="005B283E"/>
    <w:rsid w:val="005B2FB4"/>
    <w:rsid w:val="005B3A18"/>
    <w:rsid w:val="005B41AA"/>
    <w:rsid w:val="005B4E45"/>
    <w:rsid w:val="005B4F61"/>
    <w:rsid w:val="005B4FAC"/>
    <w:rsid w:val="005B57EF"/>
    <w:rsid w:val="005B5EC9"/>
    <w:rsid w:val="005B678F"/>
    <w:rsid w:val="005B7A0D"/>
    <w:rsid w:val="005C110E"/>
    <w:rsid w:val="005C387E"/>
    <w:rsid w:val="005C455A"/>
    <w:rsid w:val="005C5968"/>
    <w:rsid w:val="005C5FCB"/>
    <w:rsid w:val="005C726D"/>
    <w:rsid w:val="005C7593"/>
    <w:rsid w:val="005C7707"/>
    <w:rsid w:val="005D0B90"/>
    <w:rsid w:val="005D1239"/>
    <w:rsid w:val="005D133C"/>
    <w:rsid w:val="005D33D4"/>
    <w:rsid w:val="005D5CF2"/>
    <w:rsid w:val="005D7FCA"/>
    <w:rsid w:val="005E1232"/>
    <w:rsid w:val="005E2147"/>
    <w:rsid w:val="005E485F"/>
    <w:rsid w:val="005E548F"/>
    <w:rsid w:val="005F26F4"/>
    <w:rsid w:val="005F7B05"/>
    <w:rsid w:val="006002AA"/>
    <w:rsid w:val="006007E1"/>
    <w:rsid w:val="006032BF"/>
    <w:rsid w:val="00605C92"/>
    <w:rsid w:val="00606191"/>
    <w:rsid w:val="006068C6"/>
    <w:rsid w:val="00606B8C"/>
    <w:rsid w:val="00607FE7"/>
    <w:rsid w:val="00611C67"/>
    <w:rsid w:val="00614076"/>
    <w:rsid w:val="0061416D"/>
    <w:rsid w:val="00614E5A"/>
    <w:rsid w:val="00616235"/>
    <w:rsid w:val="00617A65"/>
    <w:rsid w:val="00617D4B"/>
    <w:rsid w:val="00620244"/>
    <w:rsid w:val="00620B8A"/>
    <w:rsid w:val="00621D5A"/>
    <w:rsid w:val="0062275E"/>
    <w:rsid w:val="00623B0D"/>
    <w:rsid w:val="00624F56"/>
    <w:rsid w:val="0062554E"/>
    <w:rsid w:val="006258B1"/>
    <w:rsid w:val="00630230"/>
    <w:rsid w:val="00630E03"/>
    <w:rsid w:val="00631233"/>
    <w:rsid w:val="0063197E"/>
    <w:rsid w:val="00633A2F"/>
    <w:rsid w:val="006342E2"/>
    <w:rsid w:val="00636EB6"/>
    <w:rsid w:val="00640B8B"/>
    <w:rsid w:val="006414FA"/>
    <w:rsid w:val="00643E28"/>
    <w:rsid w:val="0064462F"/>
    <w:rsid w:val="00645153"/>
    <w:rsid w:val="00646223"/>
    <w:rsid w:val="006465AE"/>
    <w:rsid w:val="00646F8C"/>
    <w:rsid w:val="00650304"/>
    <w:rsid w:val="00650FCC"/>
    <w:rsid w:val="0065129B"/>
    <w:rsid w:val="00652002"/>
    <w:rsid w:val="00652695"/>
    <w:rsid w:val="006529FA"/>
    <w:rsid w:val="00652E50"/>
    <w:rsid w:val="00653501"/>
    <w:rsid w:val="006535F8"/>
    <w:rsid w:val="00653635"/>
    <w:rsid w:val="00653B45"/>
    <w:rsid w:val="0065498E"/>
    <w:rsid w:val="00657085"/>
    <w:rsid w:val="00660671"/>
    <w:rsid w:val="00660E10"/>
    <w:rsid w:val="006638E0"/>
    <w:rsid w:val="00663B7B"/>
    <w:rsid w:val="00663CB0"/>
    <w:rsid w:val="00663DAE"/>
    <w:rsid w:val="006640FF"/>
    <w:rsid w:val="006655DA"/>
    <w:rsid w:val="00666C23"/>
    <w:rsid w:val="00666CF5"/>
    <w:rsid w:val="00667145"/>
    <w:rsid w:val="006673BB"/>
    <w:rsid w:val="00667850"/>
    <w:rsid w:val="00670AD9"/>
    <w:rsid w:val="00670C35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8386F"/>
    <w:rsid w:val="00683FFA"/>
    <w:rsid w:val="0068552E"/>
    <w:rsid w:val="00686037"/>
    <w:rsid w:val="00687427"/>
    <w:rsid w:val="00687C90"/>
    <w:rsid w:val="00693518"/>
    <w:rsid w:val="00694602"/>
    <w:rsid w:val="00694C51"/>
    <w:rsid w:val="006955E7"/>
    <w:rsid w:val="00695B31"/>
    <w:rsid w:val="00695FCF"/>
    <w:rsid w:val="006965ED"/>
    <w:rsid w:val="00696965"/>
    <w:rsid w:val="00696DDA"/>
    <w:rsid w:val="006A135C"/>
    <w:rsid w:val="006A46FB"/>
    <w:rsid w:val="006A4CFB"/>
    <w:rsid w:val="006A52B4"/>
    <w:rsid w:val="006A71A2"/>
    <w:rsid w:val="006A7D1E"/>
    <w:rsid w:val="006B04A0"/>
    <w:rsid w:val="006B2505"/>
    <w:rsid w:val="006B4075"/>
    <w:rsid w:val="006B5E7A"/>
    <w:rsid w:val="006B6817"/>
    <w:rsid w:val="006B6956"/>
    <w:rsid w:val="006C09E3"/>
    <w:rsid w:val="006C0EFE"/>
    <w:rsid w:val="006C1110"/>
    <w:rsid w:val="006C167D"/>
    <w:rsid w:val="006C2CFA"/>
    <w:rsid w:val="006C3D7A"/>
    <w:rsid w:val="006C41FF"/>
    <w:rsid w:val="006C4E62"/>
    <w:rsid w:val="006C514B"/>
    <w:rsid w:val="006D165F"/>
    <w:rsid w:val="006D28BA"/>
    <w:rsid w:val="006D30E8"/>
    <w:rsid w:val="006D3D1C"/>
    <w:rsid w:val="006D3E4C"/>
    <w:rsid w:val="006D502F"/>
    <w:rsid w:val="006D5067"/>
    <w:rsid w:val="006D549D"/>
    <w:rsid w:val="006D5AAC"/>
    <w:rsid w:val="006E00DA"/>
    <w:rsid w:val="006E031B"/>
    <w:rsid w:val="006E0710"/>
    <w:rsid w:val="006E0BE5"/>
    <w:rsid w:val="006E14D4"/>
    <w:rsid w:val="006E19A1"/>
    <w:rsid w:val="006E19A5"/>
    <w:rsid w:val="006E1E2F"/>
    <w:rsid w:val="006E1EA3"/>
    <w:rsid w:val="006E265E"/>
    <w:rsid w:val="006E27FD"/>
    <w:rsid w:val="006E3A2A"/>
    <w:rsid w:val="006E3EA3"/>
    <w:rsid w:val="006E4DAD"/>
    <w:rsid w:val="006E6CC2"/>
    <w:rsid w:val="006E7D1F"/>
    <w:rsid w:val="006F0C20"/>
    <w:rsid w:val="006F39C8"/>
    <w:rsid w:val="006F41BB"/>
    <w:rsid w:val="006F5C05"/>
    <w:rsid w:val="006F5E1D"/>
    <w:rsid w:val="006F5E63"/>
    <w:rsid w:val="006F6ADA"/>
    <w:rsid w:val="006F707F"/>
    <w:rsid w:val="00701CC2"/>
    <w:rsid w:val="007027C3"/>
    <w:rsid w:val="0070382E"/>
    <w:rsid w:val="00704AF2"/>
    <w:rsid w:val="00704F88"/>
    <w:rsid w:val="0070621C"/>
    <w:rsid w:val="00706682"/>
    <w:rsid w:val="00707993"/>
    <w:rsid w:val="0071123A"/>
    <w:rsid w:val="00711E25"/>
    <w:rsid w:val="0071252F"/>
    <w:rsid w:val="00712A2C"/>
    <w:rsid w:val="007138CC"/>
    <w:rsid w:val="0071439B"/>
    <w:rsid w:val="007204A2"/>
    <w:rsid w:val="00720BA2"/>
    <w:rsid w:val="0072122E"/>
    <w:rsid w:val="00723351"/>
    <w:rsid w:val="00723B85"/>
    <w:rsid w:val="00723E4C"/>
    <w:rsid w:val="007250A2"/>
    <w:rsid w:val="007257B8"/>
    <w:rsid w:val="00725B95"/>
    <w:rsid w:val="007260E1"/>
    <w:rsid w:val="00727341"/>
    <w:rsid w:val="00727A83"/>
    <w:rsid w:val="00727B49"/>
    <w:rsid w:val="00730E03"/>
    <w:rsid w:val="0073174A"/>
    <w:rsid w:val="007333BE"/>
    <w:rsid w:val="007335A8"/>
    <w:rsid w:val="00737013"/>
    <w:rsid w:val="0073764E"/>
    <w:rsid w:val="00737924"/>
    <w:rsid w:val="00737DDD"/>
    <w:rsid w:val="00741123"/>
    <w:rsid w:val="00743430"/>
    <w:rsid w:val="00744544"/>
    <w:rsid w:val="00744F05"/>
    <w:rsid w:val="00750239"/>
    <w:rsid w:val="0075099D"/>
    <w:rsid w:val="00751807"/>
    <w:rsid w:val="0075219A"/>
    <w:rsid w:val="007537ED"/>
    <w:rsid w:val="00754B1B"/>
    <w:rsid w:val="00754F30"/>
    <w:rsid w:val="0075698F"/>
    <w:rsid w:val="00756B84"/>
    <w:rsid w:val="00757A75"/>
    <w:rsid w:val="00757C93"/>
    <w:rsid w:val="00760136"/>
    <w:rsid w:val="0076023B"/>
    <w:rsid w:val="00760496"/>
    <w:rsid w:val="0076053B"/>
    <w:rsid w:val="0076327B"/>
    <w:rsid w:val="00763FB0"/>
    <w:rsid w:val="007646F0"/>
    <w:rsid w:val="00765503"/>
    <w:rsid w:val="0076674A"/>
    <w:rsid w:val="0077041A"/>
    <w:rsid w:val="00770D2D"/>
    <w:rsid w:val="00772C0B"/>
    <w:rsid w:val="007738D0"/>
    <w:rsid w:val="00773EC0"/>
    <w:rsid w:val="00774E33"/>
    <w:rsid w:val="0077567A"/>
    <w:rsid w:val="00775DA1"/>
    <w:rsid w:val="00780153"/>
    <w:rsid w:val="00780533"/>
    <w:rsid w:val="00780C2C"/>
    <w:rsid w:val="00782EE0"/>
    <w:rsid w:val="0078579B"/>
    <w:rsid w:val="007866FF"/>
    <w:rsid w:val="0078737D"/>
    <w:rsid w:val="007873CA"/>
    <w:rsid w:val="00787EA0"/>
    <w:rsid w:val="00790464"/>
    <w:rsid w:val="00792F39"/>
    <w:rsid w:val="007939B6"/>
    <w:rsid w:val="00793B2F"/>
    <w:rsid w:val="00794F61"/>
    <w:rsid w:val="007964C7"/>
    <w:rsid w:val="007A2CB8"/>
    <w:rsid w:val="007A4969"/>
    <w:rsid w:val="007A6D9A"/>
    <w:rsid w:val="007A7EF8"/>
    <w:rsid w:val="007B01D2"/>
    <w:rsid w:val="007B05F7"/>
    <w:rsid w:val="007B12F2"/>
    <w:rsid w:val="007B1924"/>
    <w:rsid w:val="007B199A"/>
    <w:rsid w:val="007B1BA6"/>
    <w:rsid w:val="007B48F8"/>
    <w:rsid w:val="007B4C9D"/>
    <w:rsid w:val="007B55B5"/>
    <w:rsid w:val="007B5624"/>
    <w:rsid w:val="007B6E73"/>
    <w:rsid w:val="007C0939"/>
    <w:rsid w:val="007C0C20"/>
    <w:rsid w:val="007C3D92"/>
    <w:rsid w:val="007C5420"/>
    <w:rsid w:val="007C7106"/>
    <w:rsid w:val="007D1008"/>
    <w:rsid w:val="007D1505"/>
    <w:rsid w:val="007D1B67"/>
    <w:rsid w:val="007D2672"/>
    <w:rsid w:val="007D29DD"/>
    <w:rsid w:val="007D315D"/>
    <w:rsid w:val="007D4B6B"/>
    <w:rsid w:val="007D62DC"/>
    <w:rsid w:val="007D6E58"/>
    <w:rsid w:val="007D714C"/>
    <w:rsid w:val="007D7930"/>
    <w:rsid w:val="007E0965"/>
    <w:rsid w:val="007E0BA2"/>
    <w:rsid w:val="007E312F"/>
    <w:rsid w:val="007E45BB"/>
    <w:rsid w:val="007E5588"/>
    <w:rsid w:val="007E5E04"/>
    <w:rsid w:val="007E728E"/>
    <w:rsid w:val="007E784C"/>
    <w:rsid w:val="007F130A"/>
    <w:rsid w:val="007F1864"/>
    <w:rsid w:val="007F2BD9"/>
    <w:rsid w:val="007F3912"/>
    <w:rsid w:val="007F3D4F"/>
    <w:rsid w:val="007F40E1"/>
    <w:rsid w:val="007F46C8"/>
    <w:rsid w:val="007F5895"/>
    <w:rsid w:val="007F5D18"/>
    <w:rsid w:val="007F7C88"/>
    <w:rsid w:val="00802069"/>
    <w:rsid w:val="008025DC"/>
    <w:rsid w:val="00802B47"/>
    <w:rsid w:val="00802D51"/>
    <w:rsid w:val="00803AB1"/>
    <w:rsid w:val="00803C62"/>
    <w:rsid w:val="00804056"/>
    <w:rsid w:val="00804BDB"/>
    <w:rsid w:val="00806EC8"/>
    <w:rsid w:val="00807D91"/>
    <w:rsid w:val="008105B4"/>
    <w:rsid w:val="00812D5B"/>
    <w:rsid w:val="00813C6C"/>
    <w:rsid w:val="00814CE9"/>
    <w:rsid w:val="00815D73"/>
    <w:rsid w:val="00815EBF"/>
    <w:rsid w:val="00816569"/>
    <w:rsid w:val="008176D9"/>
    <w:rsid w:val="00821168"/>
    <w:rsid w:val="00821721"/>
    <w:rsid w:val="008224AA"/>
    <w:rsid w:val="00823A3B"/>
    <w:rsid w:val="00823FD5"/>
    <w:rsid w:val="008246EF"/>
    <w:rsid w:val="00824CD0"/>
    <w:rsid w:val="00825BCB"/>
    <w:rsid w:val="0082609D"/>
    <w:rsid w:val="0082651A"/>
    <w:rsid w:val="008268DC"/>
    <w:rsid w:val="008270A6"/>
    <w:rsid w:val="00827207"/>
    <w:rsid w:val="00827BB7"/>
    <w:rsid w:val="0083089C"/>
    <w:rsid w:val="00830CA8"/>
    <w:rsid w:val="00831276"/>
    <w:rsid w:val="00831988"/>
    <w:rsid w:val="00832233"/>
    <w:rsid w:val="00832BDC"/>
    <w:rsid w:val="00833474"/>
    <w:rsid w:val="0083364D"/>
    <w:rsid w:val="008340F1"/>
    <w:rsid w:val="0083420C"/>
    <w:rsid w:val="00834A4A"/>
    <w:rsid w:val="0083539A"/>
    <w:rsid w:val="0083564F"/>
    <w:rsid w:val="008356C6"/>
    <w:rsid w:val="00835BAF"/>
    <w:rsid w:val="0083673F"/>
    <w:rsid w:val="008403E5"/>
    <w:rsid w:val="008409F8"/>
    <w:rsid w:val="008426A9"/>
    <w:rsid w:val="00844028"/>
    <w:rsid w:val="00844290"/>
    <w:rsid w:val="0084493B"/>
    <w:rsid w:val="00845114"/>
    <w:rsid w:val="00845D51"/>
    <w:rsid w:val="00845E94"/>
    <w:rsid w:val="00846222"/>
    <w:rsid w:val="008469EE"/>
    <w:rsid w:val="008513F9"/>
    <w:rsid w:val="00851BCE"/>
    <w:rsid w:val="008521CA"/>
    <w:rsid w:val="00852402"/>
    <w:rsid w:val="00854CE5"/>
    <w:rsid w:val="00856033"/>
    <w:rsid w:val="008566B3"/>
    <w:rsid w:val="008566D3"/>
    <w:rsid w:val="00856765"/>
    <w:rsid w:val="00857716"/>
    <w:rsid w:val="008624D0"/>
    <w:rsid w:val="00864979"/>
    <w:rsid w:val="00864FF7"/>
    <w:rsid w:val="00865069"/>
    <w:rsid w:val="00865888"/>
    <w:rsid w:val="00867101"/>
    <w:rsid w:val="00867113"/>
    <w:rsid w:val="00867AEB"/>
    <w:rsid w:val="00867F6C"/>
    <w:rsid w:val="00877037"/>
    <w:rsid w:val="008775A4"/>
    <w:rsid w:val="00881122"/>
    <w:rsid w:val="00881AF4"/>
    <w:rsid w:val="00882476"/>
    <w:rsid w:val="008834FE"/>
    <w:rsid w:val="00883BC1"/>
    <w:rsid w:val="00884AD1"/>
    <w:rsid w:val="00884AE7"/>
    <w:rsid w:val="00884E33"/>
    <w:rsid w:val="0088673B"/>
    <w:rsid w:val="00886D7B"/>
    <w:rsid w:val="008878B8"/>
    <w:rsid w:val="00890405"/>
    <w:rsid w:val="00890E3C"/>
    <w:rsid w:val="008920DC"/>
    <w:rsid w:val="0089467A"/>
    <w:rsid w:val="008956D1"/>
    <w:rsid w:val="008957EF"/>
    <w:rsid w:val="00895806"/>
    <w:rsid w:val="008972B2"/>
    <w:rsid w:val="008976A1"/>
    <w:rsid w:val="008A0E25"/>
    <w:rsid w:val="008A1766"/>
    <w:rsid w:val="008A36D7"/>
    <w:rsid w:val="008A592A"/>
    <w:rsid w:val="008A639D"/>
    <w:rsid w:val="008A7AFF"/>
    <w:rsid w:val="008B1070"/>
    <w:rsid w:val="008B1F09"/>
    <w:rsid w:val="008B28C8"/>
    <w:rsid w:val="008B2BA7"/>
    <w:rsid w:val="008B3494"/>
    <w:rsid w:val="008B505C"/>
    <w:rsid w:val="008B7022"/>
    <w:rsid w:val="008B7198"/>
    <w:rsid w:val="008C08BA"/>
    <w:rsid w:val="008C0A82"/>
    <w:rsid w:val="008C2356"/>
    <w:rsid w:val="008C29D7"/>
    <w:rsid w:val="008C4980"/>
    <w:rsid w:val="008C4A1C"/>
    <w:rsid w:val="008C5798"/>
    <w:rsid w:val="008C7601"/>
    <w:rsid w:val="008D06CB"/>
    <w:rsid w:val="008D2BDD"/>
    <w:rsid w:val="008D2CD5"/>
    <w:rsid w:val="008D2EE7"/>
    <w:rsid w:val="008D33F8"/>
    <w:rsid w:val="008D4BC6"/>
    <w:rsid w:val="008D4E8C"/>
    <w:rsid w:val="008D79B4"/>
    <w:rsid w:val="008D7F06"/>
    <w:rsid w:val="008E1615"/>
    <w:rsid w:val="008E4235"/>
    <w:rsid w:val="008E4AD4"/>
    <w:rsid w:val="008E5A69"/>
    <w:rsid w:val="008F0D6A"/>
    <w:rsid w:val="008F1906"/>
    <w:rsid w:val="008F1B08"/>
    <w:rsid w:val="008F2550"/>
    <w:rsid w:val="008F2E54"/>
    <w:rsid w:val="008F3B48"/>
    <w:rsid w:val="008F4A94"/>
    <w:rsid w:val="008F52F1"/>
    <w:rsid w:val="008F6563"/>
    <w:rsid w:val="008F6975"/>
    <w:rsid w:val="008F6B57"/>
    <w:rsid w:val="008F72C4"/>
    <w:rsid w:val="00900A5F"/>
    <w:rsid w:val="00902865"/>
    <w:rsid w:val="0090298A"/>
    <w:rsid w:val="00902D10"/>
    <w:rsid w:val="00904779"/>
    <w:rsid w:val="00904E80"/>
    <w:rsid w:val="0090623C"/>
    <w:rsid w:val="009064CB"/>
    <w:rsid w:val="00906DD1"/>
    <w:rsid w:val="00912AE4"/>
    <w:rsid w:val="00914310"/>
    <w:rsid w:val="00916F07"/>
    <w:rsid w:val="009171F5"/>
    <w:rsid w:val="00917BA0"/>
    <w:rsid w:val="00917D94"/>
    <w:rsid w:val="00920382"/>
    <w:rsid w:val="00920E58"/>
    <w:rsid w:val="00921057"/>
    <w:rsid w:val="00921E42"/>
    <w:rsid w:val="009221E2"/>
    <w:rsid w:val="009226F4"/>
    <w:rsid w:val="00923A38"/>
    <w:rsid w:val="00924122"/>
    <w:rsid w:val="009241E0"/>
    <w:rsid w:val="00924583"/>
    <w:rsid w:val="009265E3"/>
    <w:rsid w:val="009269CC"/>
    <w:rsid w:val="00930CCE"/>
    <w:rsid w:val="00931A17"/>
    <w:rsid w:val="00933206"/>
    <w:rsid w:val="00934C1A"/>
    <w:rsid w:val="009353AC"/>
    <w:rsid w:val="009360C0"/>
    <w:rsid w:val="00936208"/>
    <w:rsid w:val="0093653B"/>
    <w:rsid w:val="00936FF7"/>
    <w:rsid w:val="00937550"/>
    <w:rsid w:val="0094391B"/>
    <w:rsid w:val="00944534"/>
    <w:rsid w:val="00945596"/>
    <w:rsid w:val="00946D07"/>
    <w:rsid w:val="00947084"/>
    <w:rsid w:val="00947FBD"/>
    <w:rsid w:val="00952489"/>
    <w:rsid w:val="00954B63"/>
    <w:rsid w:val="00957526"/>
    <w:rsid w:val="00957D24"/>
    <w:rsid w:val="0096002A"/>
    <w:rsid w:val="0096003B"/>
    <w:rsid w:val="00960BB9"/>
    <w:rsid w:val="00961CE5"/>
    <w:rsid w:val="009630B4"/>
    <w:rsid w:val="009631A8"/>
    <w:rsid w:val="009650B3"/>
    <w:rsid w:val="00965432"/>
    <w:rsid w:val="00965964"/>
    <w:rsid w:val="0097162D"/>
    <w:rsid w:val="009722DB"/>
    <w:rsid w:val="00972A01"/>
    <w:rsid w:val="0097351D"/>
    <w:rsid w:val="00973B94"/>
    <w:rsid w:val="00975859"/>
    <w:rsid w:val="00976F80"/>
    <w:rsid w:val="00977346"/>
    <w:rsid w:val="009805F2"/>
    <w:rsid w:val="00981A5E"/>
    <w:rsid w:val="0098245B"/>
    <w:rsid w:val="00983340"/>
    <w:rsid w:val="0098563F"/>
    <w:rsid w:val="00986052"/>
    <w:rsid w:val="009860D5"/>
    <w:rsid w:val="00987C74"/>
    <w:rsid w:val="009905E7"/>
    <w:rsid w:val="00994850"/>
    <w:rsid w:val="00995C4A"/>
    <w:rsid w:val="00995DD9"/>
    <w:rsid w:val="00996FA7"/>
    <w:rsid w:val="009A14D2"/>
    <w:rsid w:val="009A1C97"/>
    <w:rsid w:val="009A2DA3"/>
    <w:rsid w:val="009A3ADF"/>
    <w:rsid w:val="009A662A"/>
    <w:rsid w:val="009A6C03"/>
    <w:rsid w:val="009A7BFF"/>
    <w:rsid w:val="009A7F2E"/>
    <w:rsid w:val="009B0C1D"/>
    <w:rsid w:val="009B2E68"/>
    <w:rsid w:val="009B32CB"/>
    <w:rsid w:val="009B3A19"/>
    <w:rsid w:val="009B5BF8"/>
    <w:rsid w:val="009C18B3"/>
    <w:rsid w:val="009C1A22"/>
    <w:rsid w:val="009C2C3C"/>
    <w:rsid w:val="009C453C"/>
    <w:rsid w:val="009C4BF1"/>
    <w:rsid w:val="009C60E4"/>
    <w:rsid w:val="009C6765"/>
    <w:rsid w:val="009C6870"/>
    <w:rsid w:val="009C7037"/>
    <w:rsid w:val="009C7943"/>
    <w:rsid w:val="009D1A5C"/>
    <w:rsid w:val="009D3180"/>
    <w:rsid w:val="009D35A0"/>
    <w:rsid w:val="009D4F4F"/>
    <w:rsid w:val="009D5F17"/>
    <w:rsid w:val="009D6E1C"/>
    <w:rsid w:val="009D7351"/>
    <w:rsid w:val="009D73B8"/>
    <w:rsid w:val="009D7945"/>
    <w:rsid w:val="009E090D"/>
    <w:rsid w:val="009E30A5"/>
    <w:rsid w:val="009E3CEE"/>
    <w:rsid w:val="009E3EAC"/>
    <w:rsid w:val="009E4342"/>
    <w:rsid w:val="009E6715"/>
    <w:rsid w:val="009E6BE3"/>
    <w:rsid w:val="009E6C4B"/>
    <w:rsid w:val="009E7ED3"/>
    <w:rsid w:val="009F03B6"/>
    <w:rsid w:val="009F0432"/>
    <w:rsid w:val="009F2842"/>
    <w:rsid w:val="009F2CAA"/>
    <w:rsid w:val="009F2F35"/>
    <w:rsid w:val="009F4B17"/>
    <w:rsid w:val="009F4C61"/>
    <w:rsid w:val="009F5340"/>
    <w:rsid w:val="009F5683"/>
    <w:rsid w:val="009F691A"/>
    <w:rsid w:val="009F6B11"/>
    <w:rsid w:val="009F7665"/>
    <w:rsid w:val="00A0163B"/>
    <w:rsid w:val="00A04DE3"/>
    <w:rsid w:val="00A04E54"/>
    <w:rsid w:val="00A061EB"/>
    <w:rsid w:val="00A0698F"/>
    <w:rsid w:val="00A12E53"/>
    <w:rsid w:val="00A13CA8"/>
    <w:rsid w:val="00A13DFC"/>
    <w:rsid w:val="00A1469A"/>
    <w:rsid w:val="00A16B16"/>
    <w:rsid w:val="00A21680"/>
    <w:rsid w:val="00A21739"/>
    <w:rsid w:val="00A21946"/>
    <w:rsid w:val="00A228CA"/>
    <w:rsid w:val="00A237FB"/>
    <w:rsid w:val="00A23E03"/>
    <w:rsid w:val="00A24B95"/>
    <w:rsid w:val="00A27978"/>
    <w:rsid w:val="00A27DA6"/>
    <w:rsid w:val="00A30449"/>
    <w:rsid w:val="00A31873"/>
    <w:rsid w:val="00A3297D"/>
    <w:rsid w:val="00A34CCF"/>
    <w:rsid w:val="00A356F3"/>
    <w:rsid w:val="00A35B4A"/>
    <w:rsid w:val="00A364A1"/>
    <w:rsid w:val="00A36649"/>
    <w:rsid w:val="00A36D32"/>
    <w:rsid w:val="00A370FE"/>
    <w:rsid w:val="00A401BC"/>
    <w:rsid w:val="00A40F25"/>
    <w:rsid w:val="00A44F7D"/>
    <w:rsid w:val="00A470BC"/>
    <w:rsid w:val="00A5036B"/>
    <w:rsid w:val="00A50C7C"/>
    <w:rsid w:val="00A527F6"/>
    <w:rsid w:val="00A545A7"/>
    <w:rsid w:val="00A561C1"/>
    <w:rsid w:val="00A570D9"/>
    <w:rsid w:val="00A579AC"/>
    <w:rsid w:val="00A61C42"/>
    <w:rsid w:val="00A62520"/>
    <w:rsid w:val="00A63606"/>
    <w:rsid w:val="00A6495C"/>
    <w:rsid w:val="00A650B3"/>
    <w:rsid w:val="00A65B9D"/>
    <w:rsid w:val="00A66062"/>
    <w:rsid w:val="00A66317"/>
    <w:rsid w:val="00A66E9E"/>
    <w:rsid w:val="00A670C0"/>
    <w:rsid w:val="00A710F1"/>
    <w:rsid w:val="00A71D3F"/>
    <w:rsid w:val="00A71FF1"/>
    <w:rsid w:val="00A7213D"/>
    <w:rsid w:val="00A76386"/>
    <w:rsid w:val="00A769C3"/>
    <w:rsid w:val="00A7781C"/>
    <w:rsid w:val="00A77CCA"/>
    <w:rsid w:val="00A8006F"/>
    <w:rsid w:val="00A82A30"/>
    <w:rsid w:val="00A85255"/>
    <w:rsid w:val="00A853FB"/>
    <w:rsid w:val="00A8572E"/>
    <w:rsid w:val="00A86DA7"/>
    <w:rsid w:val="00A86E6A"/>
    <w:rsid w:val="00A87DF7"/>
    <w:rsid w:val="00A9169E"/>
    <w:rsid w:val="00A919A4"/>
    <w:rsid w:val="00A91E49"/>
    <w:rsid w:val="00A9205A"/>
    <w:rsid w:val="00A925F6"/>
    <w:rsid w:val="00A93EF9"/>
    <w:rsid w:val="00A95BDC"/>
    <w:rsid w:val="00A96450"/>
    <w:rsid w:val="00A96809"/>
    <w:rsid w:val="00AA17D2"/>
    <w:rsid w:val="00AA2509"/>
    <w:rsid w:val="00AA2A57"/>
    <w:rsid w:val="00AA2AF4"/>
    <w:rsid w:val="00AA4D0B"/>
    <w:rsid w:val="00AA5738"/>
    <w:rsid w:val="00AA745F"/>
    <w:rsid w:val="00AB0720"/>
    <w:rsid w:val="00AB0DA6"/>
    <w:rsid w:val="00AB0FBF"/>
    <w:rsid w:val="00AB114B"/>
    <w:rsid w:val="00AB4190"/>
    <w:rsid w:val="00AB46CD"/>
    <w:rsid w:val="00AB51F3"/>
    <w:rsid w:val="00AB5A9E"/>
    <w:rsid w:val="00AC0E05"/>
    <w:rsid w:val="00AC18D7"/>
    <w:rsid w:val="00AC2611"/>
    <w:rsid w:val="00AC2E6A"/>
    <w:rsid w:val="00AC5221"/>
    <w:rsid w:val="00AD05A6"/>
    <w:rsid w:val="00AD2810"/>
    <w:rsid w:val="00AD3255"/>
    <w:rsid w:val="00AD3538"/>
    <w:rsid w:val="00AD436F"/>
    <w:rsid w:val="00AD48FB"/>
    <w:rsid w:val="00AD5FFC"/>
    <w:rsid w:val="00AD6DFC"/>
    <w:rsid w:val="00AD7806"/>
    <w:rsid w:val="00AE0F77"/>
    <w:rsid w:val="00AE4C5E"/>
    <w:rsid w:val="00AE52B8"/>
    <w:rsid w:val="00AE52E4"/>
    <w:rsid w:val="00AE60CE"/>
    <w:rsid w:val="00AE7BCB"/>
    <w:rsid w:val="00AE7C72"/>
    <w:rsid w:val="00AF0726"/>
    <w:rsid w:val="00AF1FBF"/>
    <w:rsid w:val="00AF24B2"/>
    <w:rsid w:val="00AF262F"/>
    <w:rsid w:val="00AF2BAE"/>
    <w:rsid w:val="00AF404A"/>
    <w:rsid w:val="00AF529C"/>
    <w:rsid w:val="00AF5345"/>
    <w:rsid w:val="00AF5B03"/>
    <w:rsid w:val="00AF60B7"/>
    <w:rsid w:val="00AF6AB3"/>
    <w:rsid w:val="00B00D21"/>
    <w:rsid w:val="00B01613"/>
    <w:rsid w:val="00B03791"/>
    <w:rsid w:val="00B047F1"/>
    <w:rsid w:val="00B051CC"/>
    <w:rsid w:val="00B05844"/>
    <w:rsid w:val="00B06745"/>
    <w:rsid w:val="00B07636"/>
    <w:rsid w:val="00B105BD"/>
    <w:rsid w:val="00B1087E"/>
    <w:rsid w:val="00B11C7D"/>
    <w:rsid w:val="00B11ED7"/>
    <w:rsid w:val="00B12B60"/>
    <w:rsid w:val="00B153B8"/>
    <w:rsid w:val="00B15995"/>
    <w:rsid w:val="00B16885"/>
    <w:rsid w:val="00B178CF"/>
    <w:rsid w:val="00B179E4"/>
    <w:rsid w:val="00B17FF8"/>
    <w:rsid w:val="00B20543"/>
    <w:rsid w:val="00B206D7"/>
    <w:rsid w:val="00B20B9D"/>
    <w:rsid w:val="00B20DA5"/>
    <w:rsid w:val="00B22FEF"/>
    <w:rsid w:val="00B235F7"/>
    <w:rsid w:val="00B2374C"/>
    <w:rsid w:val="00B242B8"/>
    <w:rsid w:val="00B24831"/>
    <w:rsid w:val="00B25A1C"/>
    <w:rsid w:val="00B265A5"/>
    <w:rsid w:val="00B30840"/>
    <w:rsid w:val="00B30A72"/>
    <w:rsid w:val="00B30CF7"/>
    <w:rsid w:val="00B30F3E"/>
    <w:rsid w:val="00B31341"/>
    <w:rsid w:val="00B3280B"/>
    <w:rsid w:val="00B34570"/>
    <w:rsid w:val="00B365C9"/>
    <w:rsid w:val="00B36A4E"/>
    <w:rsid w:val="00B375D7"/>
    <w:rsid w:val="00B400A5"/>
    <w:rsid w:val="00B40BD6"/>
    <w:rsid w:val="00B411A7"/>
    <w:rsid w:val="00B41F38"/>
    <w:rsid w:val="00B42671"/>
    <w:rsid w:val="00B42F3A"/>
    <w:rsid w:val="00B43AA7"/>
    <w:rsid w:val="00B43BAA"/>
    <w:rsid w:val="00B4496C"/>
    <w:rsid w:val="00B45014"/>
    <w:rsid w:val="00B46A15"/>
    <w:rsid w:val="00B46F5D"/>
    <w:rsid w:val="00B510D1"/>
    <w:rsid w:val="00B516F4"/>
    <w:rsid w:val="00B52090"/>
    <w:rsid w:val="00B52FBA"/>
    <w:rsid w:val="00B53695"/>
    <w:rsid w:val="00B538CA"/>
    <w:rsid w:val="00B5423B"/>
    <w:rsid w:val="00B549A7"/>
    <w:rsid w:val="00B558A9"/>
    <w:rsid w:val="00B6021A"/>
    <w:rsid w:val="00B61CD8"/>
    <w:rsid w:val="00B6245E"/>
    <w:rsid w:val="00B6352B"/>
    <w:rsid w:val="00B63F07"/>
    <w:rsid w:val="00B63F8B"/>
    <w:rsid w:val="00B64FD7"/>
    <w:rsid w:val="00B65FD9"/>
    <w:rsid w:val="00B6634F"/>
    <w:rsid w:val="00B675A1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097C"/>
    <w:rsid w:val="00B82437"/>
    <w:rsid w:val="00B829A8"/>
    <w:rsid w:val="00B829B3"/>
    <w:rsid w:val="00B82B47"/>
    <w:rsid w:val="00B83749"/>
    <w:rsid w:val="00B860F7"/>
    <w:rsid w:val="00B87617"/>
    <w:rsid w:val="00B91BF7"/>
    <w:rsid w:val="00B92522"/>
    <w:rsid w:val="00B92684"/>
    <w:rsid w:val="00B95065"/>
    <w:rsid w:val="00B96E93"/>
    <w:rsid w:val="00B96EBE"/>
    <w:rsid w:val="00B971AE"/>
    <w:rsid w:val="00B97AE8"/>
    <w:rsid w:val="00B97F40"/>
    <w:rsid w:val="00BA0ADF"/>
    <w:rsid w:val="00BA0B8A"/>
    <w:rsid w:val="00BA2289"/>
    <w:rsid w:val="00BA3745"/>
    <w:rsid w:val="00BA58A0"/>
    <w:rsid w:val="00BA7B24"/>
    <w:rsid w:val="00BA7C24"/>
    <w:rsid w:val="00BA7DD7"/>
    <w:rsid w:val="00BB01C4"/>
    <w:rsid w:val="00BB0E50"/>
    <w:rsid w:val="00BB1DDF"/>
    <w:rsid w:val="00BB1F05"/>
    <w:rsid w:val="00BB2C30"/>
    <w:rsid w:val="00BB3C26"/>
    <w:rsid w:val="00BB4665"/>
    <w:rsid w:val="00BB4A4E"/>
    <w:rsid w:val="00BB5D12"/>
    <w:rsid w:val="00BB6339"/>
    <w:rsid w:val="00BC0981"/>
    <w:rsid w:val="00BC1CC8"/>
    <w:rsid w:val="00BC2D7C"/>
    <w:rsid w:val="00BC48CD"/>
    <w:rsid w:val="00BC50B3"/>
    <w:rsid w:val="00BD1BA8"/>
    <w:rsid w:val="00BD3529"/>
    <w:rsid w:val="00BD5F19"/>
    <w:rsid w:val="00BD77CC"/>
    <w:rsid w:val="00BE0898"/>
    <w:rsid w:val="00BE0CE0"/>
    <w:rsid w:val="00BE1D03"/>
    <w:rsid w:val="00BE2B7B"/>
    <w:rsid w:val="00BE3538"/>
    <w:rsid w:val="00BE4166"/>
    <w:rsid w:val="00BE4EA8"/>
    <w:rsid w:val="00BE56ED"/>
    <w:rsid w:val="00BE684C"/>
    <w:rsid w:val="00BE6DA8"/>
    <w:rsid w:val="00BE77A5"/>
    <w:rsid w:val="00BE7A44"/>
    <w:rsid w:val="00BF06C7"/>
    <w:rsid w:val="00BF158F"/>
    <w:rsid w:val="00BF16AA"/>
    <w:rsid w:val="00BF4552"/>
    <w:rsid w:val="00BF4B71"/>
    <w:rsid w:val="00BF4D87"/>
    <w:rsid w:val="00BF5106"/>
    <w:rsid w:val="00BF5D19"/>
    <w:rsid w:val="00BF5DF9"/>
    <w:rsid w:val="00BF6428"/>
    <w:rsid w:val="00C032E9"/>
    <w:rsid w:val="00C04E50"/>
    <w:rsid w:val="00C053AA"/>
    <w:rsid w:val="00C05572"/>
    <w:rsid w:val="00C0576F"/>
    <w:rsid w:val="00C05841"/>
    <w:rsid w:val="00C0727B"/>
    <w:rsid w:val="00C07782"/>
    <w:rsid w:val="00C1019C"/>
    <w:rsid w:val="00C102A5"/>
    <w:rsid w:val="00C10CA2"/>
    <w:rsid w:val="00C1154C"/>
    <w:rsid w:val="00C11CA8"/>
    <w:rsid w:val="00C1395F"/>
    <w:rsid w:val="00C1502D"/>
    <w:rsid w:val="00C161E0"/>
    <w:rsid w:val="00C171EF"/>
    <w:rsid w:val="00C17B97"/>
    <w:rsid w:val="00C20338"/>
    <w:rsid w:val="00C2114D"/>
    <w:rsid w:val="00C239D5"/>
    <w:rsid w:val="00C24AEC"/>
    <w:rsid w:val="00C24B34"/>
    <w:rsid w:val="00C26CBC"/>
    <w:rsid w:val="00C33EEC"/>
    <w:rsid w:val="00C343BD"/>
    <w:rsid w:val="00C34966"/>
    <w:rsid w:val="00C35159"/>
    <w:rsid w:val="00C3561A"/>
    <w:rsid w:val="00C36730"/>
    <w:rsid w:val="00C374D4"/>
    <w:rsid w:val="00C37631"/>
    <w:rsid w:val="00C405D5"/>
    <w:rsid w:val="00C4141D"/>
    <w:rsid w:val="00C41825"/>
    <w:rsid w:val="00C41CB1"/>
    <w:rsid w:val="00C43A0C"/>
    <w:rsid w:val="00C43F45"/>
    <w:rsid w:val="00C459CE"/>
    <w:rsid w:val="00C46721"/>
    <w:rsid w:val="00C46EC8"/>
    <w:rsid w:val="00C47A88"/>
    <w:rsid w:val="00C511C6"/>
    <w:rsid w:val="00C52FF7"/>
    <w:rsid w:val="00C546FF"/>
    <w:rsid w:val="00C54A92"/>
    <w:rsid w:val="00C56178"/>
    <w:rsid w:val="00C564AF"/>
    <w:rsid w:val="00C56E4D"/>
    <w:rsid w:val="00C5703C"/>
    <w:rsid w:val="00C573F1"/>
    <w:rsid w:val="00C62B94"/>
    <w:rsid w:val="00C62EE7"/>
    <w:rsid w:val="00C63CEE"/>
    <w:rsid w:val="00C655E0"/>
    <w:rsid w:val="00C67028"/>
    <w:rsid w:val="00C674B4"/>
    <w:rsid w:val="00C70D8D"/>
    <w:rsid w:val="00C71920"/>
    <w:rsid w:val="00C72455"/>
    <w:rsid w:val="00C74392"/>
    <w:rsid w:val="00C74422"/>
    <w:rsid w:val="00C7502A"/>
    <w:rsid w:val="00C75948"/>
    <w:rsid w:val="00C767A4"/>
    <w:rsid w:val="00C76D3F"/>
    <w:rsid w:val="00C76EC6"/>
    <w:rsid w:val="00C777C6"/>
    <w:rsid w:val="00C8272C"/>
    <w:rsid w:val="00C8337E"/>
    <w:rsid w:val="00C83CDE"/>
    <w:rsid w:val="00C8437C"/>
    <w:rsid w:val="00C85A02"/>
    <w:rsid w:val="00C8624C"/>
    <w:rsid w:val="00C8765E"/>
    <w:rsid w:val="00C90E7B"/>
    <w:rsid w:val="00C913DC"/>
    <w:rsid w:val="00C92371"/>
    <w:rsid w:val="00C92B2B"/>
    <w:rsid w:val="00C93F32"/>
    <w:rsid w:val="00C94775"/>
    <w:rsid w:val="00C947A9"/>
    <w:rsid w:val="00C94D3F"/>
    <w:rsid w:val="00C95D73"/>
    <w:rsid w:val="00CA1292"/>
    <w:rsid w:val="00CA2177"/>
    <w:rsid w:val="00CA492E"/>
    <w:rsid w:val="00CA4C09"/>
    <w:rsid w:val="00CA4FA9"/>
    <w:rsid w:val="00CA6DEF"/>
    <w:rsid w:val="00CB09A1"/>
    <w:rsid w:val="00CB146D"/>
    <w:rsid w:val="00CB18E2"/>
    <w:rsid w:val="00CB4302"/>
    <w:rsid w:val="00CB4D1B"/>
    <w:rsid w:val="00CB6CD5"/>
    <w:rsid w:val="00CB7613"/>
    <w:rsid w:val="00CB79A7"/>
    <w:rsid w:val="00CC1780"/>
    <w:rsid w:val="00CC1CCA"/>
    <w:rsid w:val="00CC2972"/>
    <w:rsid w:val="00CC2DCE"/>
    <w:rsid w:val="00CC3FF8"/>
    <w:rsid w:val="00CC4A07"/>
    <w:rsid w:val="00CC4F69"/>
    <w:rsid w:val="00CC5D1F"/>
    <w:rsid w:val="00CC61FC"/>
    <w:rsid w:val="00CC64B0"/>
    <w:rsid w:val="00CC7BDF"/>
    <w:rsid w:val="00CD2571"/>
    <w:rsid w:val="00CD671E"/>
    <w:rsid w:val="00CD6AB8"/>
    <w:rsid w:val="00CD6C69"/>
    <w:rsid w:val="00CD770C"/>
    <w:rsid w:val="00CD7ACC"/>
    <w:rsid w:val="00CE13E0"/>
    <w:rsid w:val="00CE202C"/>
    <w:rsid w:val="00CE400E"/>
    <w:rsid w:val="00CE485B"/>
    <w:rsid w:val="00CE4A36"/>
    <w:rsid w:val="00CE5BC4"/>
    <w:rsid w:val="00CE5CEA"/>
    <w:rsid w:val="00CE6911"/>
    <w:rsid w:val="00CF1C62"/>
    <w:rsid w:val="00CF38D7"/>
    <w:rsid w:val="00CF4B38"/>
    <w:rsid w:val="00CF540D"/>
    <w:rsid w:val="00CF70DB"/>
    <w:rsid w:val="00CF7D0F"/>
    <w:rsid w:val="00D0086F"/>
    <w:rsid w:val="00D01053"/>
    <w:rsid w:val="00D01845"/>
    <w:rsid w:val="00D01B22"/>
    <w:rsid w:val="00D0205F"/>
    <w:rsid w:val="00D02682"/>
    <w:rsid w:val="00D03E15"/>
    <w:rsid w:val="00D05FE2"/>
    <w:rsid w:val="00D06ABF"/>
    <w:rsid w:val="00D07DF0"/>
    <w:rsid w:val="00D13147"/>
    <w:rsid w:val="00D13B9D"/>
    <w:rsid w:val="00D1424F"/>
    <w:rsid w:val="00D14818"/>
    <w:rsid w:val="00D15111"/>
    <w:rsid w:val="00D167ED"/>
    <w:rsid w:val="00D1740B"/>
    <w:rsid w:val="00D20341"/>
    <w:rsid w:val="00D214B2"/>
    <w:rsid w:val="00D21751"/>
    <w:rsid w:val="00D21F6E"/>
    <w:rsid w:val="00D22CFE"/>
    <w:rsid w:val="00D232FA"/>
    <w:rsid w:val="00D23A72"/>
    <w:rsid w:val="00D23AB2"/>
    <w:rsid w:val="00D245D6"/>
    <w:rsid w:val="00D27104"/>
    <w:rsid w:val="00D27D32"/>
    <w:rsid w:val="00D301D2"/>
    <w:rsid w:val="00D31AF6"/>
    <w:rsid w:val="00D31C1B"/>
    <w:rsid w:val="00D32048"/>
    <w:rsid w:val="00D33A1A"/>
    <w:rsid w:val="00D3467B"/>
    <w:rsid w:val="00D34A64"/>
    <w:rsid w:val="00D34BB2"/>
    <w:rsid w:val="00D353A8"/>
    <w:rsid w:val="00D36F2C"/>
    <w:rsid w:val="00D37174"/>
    <w:rsid w:val="00D37685"/>
    <w:rsid w:val="00D37882"/>
    <w:rsid w:val="00D40B5C"/>
    <w:rsid w:val="00D41C2B"/>
    <w:rsid w:val="00D42242"/>
    <w:rsid w:val="00D45208"/>
    <w:rsid w:val="00D45568"/>
    <w:rsid w:val="00D51C6E"/>
    <w:rsid w:val="00D531C9"/>
    <w:rsid w:val="00D609E5"/>
    <w:rsid w:val="00D61986"/>
    <w:rsid w:val="00D61DBD"/>
    <w:rsid w:val="00D636FC"/>
    <w:rsid w:val="00D637D4"/>
    <w:rsid w:val="00D651BC"/>
    <w:rsid w:val="00D65442"/>
    <w:rsid w:val="00D667E5"/>
    <w:rsid w:val="00D66971"/>
    <w:rsid w:val="00D67764"/>
    <w:rsid w:val="00D708B7"/>
    <w:rsid w:val="00D70E8C"/>
    <w:rsid w:val="00D71C4B"/>
    <w:rsid w:val="00D755A7"/>
    <w:rsid w:val="00D77B37"/>
    <w:rsid w:val="00D80173"/>
    <w:rsid w:val="00D823A9"/>
    <w:rsid w:val="00D82903"/>
    <w:rsid w:val="00D831BB"/>
    <w:rsid w:val="00D83FB6"/>
    <w:rsid w:val="00D85B1A"/>
    <w:rsid w:val="00D8687D"/>
    <w:rsid w:val="00D90217"/>
    <w:rsid w:val="00D91D2A"/>
    <w:rsid w:val="00D91F7D"/>
    <w:rsid w:val="00D95224"/>
    <w:rsid w:val="00D95989"/>
    <w:rsid w:val="00D96C89"/>
    <w:rsid w:val="00D96D8D"/>
    <w:rsid w:val="00D97320"/>
    <w:rsid w:val="00DA0BFE"/>
    <w:rsid w:val="00DA1FEC"/>
    <w:rsid w:val="00DA2740"/>
    <w:rsid w:val="00DA275A"/>
    <w:rsid w:val="00DA4A4F"/>
    <w:rsid w:val="00DA52E8"/>
    <w:rsid w:val="00DA6264"/>
    <w:rsid w:val="00DA6360"/>
    <w:rsid w:val="00DA6662"/>
    <w:rsid w:val="00DA6836"/>
    <w:rsid w:val="00DC27BB"/>
    <w:rsid w:val="00DC2A0C"/>
    <w:rsid w:val="00DC41F6"/>
    <w:rsid w:val="00DC54A4"/>
    <w:rsid w:val="00DC6552"/>
    <w:rsid w:val="00DC6619"/>
    <w:rsid w:val="00DC6D8B"/>
    <w:rsid w:val="00DC7D6A"/>
    <w:rsid w:val="00DD2C65"/>
    <w:rsid w:val="00DD3AF7"/>
    <w:rsid w:val="00DD491D"/>
    <w:rsid w:val="00DD7474"/>
    <w:rsid w:val="00DD7BB6"/>
    <w:rsid w:val="00DE1EFD"/>
    <w:rsid w:val="00DE1F70"/>
    <w:rsid w:val="00DE2308"/>
    <w:rsid w:val="00DE2473"/>
    <w:rsid w:val="00DE3150"/>
    <w:rsid w:val="00DE437C"/>
    <w:rsid w:val="00DE5012"/>
    <w:rsid w:val="00DE591C"/>
    <w:rsid w:val="00DE68E0"/>
    <w:rsid w:val="00DE6D16"/>
    <w:rsid w:val="00DF20F8"/>
    <w:rsid w:val="00DF274C"/>
    <w:rsid w:val="00DF2BB6"/>
    <w:rsid w:val="00DF2C50"/>
    <w:rsid w:val="00DF3C21"/>
    <w:rsid w:val="00DF3CD3"/>
    <w:rsid w:val="00DF50F1"/>
    <w:rsid w:val="00DF5824"/>
    <w:rsid w:val="00DF6010"/>
    <w:rsid w:val="00DF6487"/>
    <w:rsid w:val="00E00E5A"/>
    <w:rsid w:val="00E011B1"/>
    <w:rsid w:val="00E0203D"/>
    <w:rsid w:val="00E0255C"/>
    <w:rsid w:val="00E034C8"/>
    <w:rsid w:val="00E03634"/>
    <w:rsid w:val="00E04093"/>
    <w:rsid w:val="00E06474"/>
    <w:rsid w:val="00E102BB"/>
    <w:rsid w:val="00E102ED"/>
    <w:rsid w:val="00E126E0"/>
    <w:rsid w:val="00E129B1"/>
    <w:rsid w:val="00E13899"/>
    <w:rsid w:val="00E146FE"/>
    <w:rsid w:val="00E1501D"/>
    <w:rsid w:val="00E161D8"/>
    <w:rsid w:val="00E1655E"/>
    <w:rsid w:val="00E17567"/>
    <w:rsid w:val="00E17D68"/>
    <w:rsid w:val="00E21DED"/>
    <w:rsid w:val="00E22F11"/>
    <w:rsid w:val="00E233DF"/>
    <w:rsid w:val="00E24AD4"/>
    <w:rsid w:val="00E25FA6"/>
    <w:rsid w:val="00E260B2"/>
    <w:rsid w:val="00E26262"/>
    <w:rsid w:val="00E263F2"/>
    <w:rsid w:val="00E26467"/>
    <w:rsid w:val="00E27B21"/>
    <w:rsid w:val="00E27E4C"/>
    <w:rsid w:val="00E301EE"/>
    <w:rsid w:val="00E3042A"/>
    <w:rsid w:val="00E31033"/>
    <w:rsid w:val="00E3113D"/>
    <w:rsid w:val="00E33ACC"/>
    <w:rsid w:val="00E34BAD"/>
    <w:rsid w:val="00E36BE2"/>
    <w:rsid w:val="00E36EA7"/>
    <w:rsid w:val="00E36F73"/>
    <w:rsid w:val="00E3714F"/>
    <w:rsid w:val="00E3755B"/>
    <w:rsid w:val="00E37CC9"/>
    <w:rsid w:val="00E43930"/>
    <w:rsid w:val="00E43F7C"/>
    <w:rsid w:val="00E44DE1"/>
    <w:rsid w:val="00E44E3C"/>
    <w:rsid w:val="00E45CD7"/>
    <w:rsid w:val="00E4759B"/>
    <w:rsid w:val="00E500E9"/>
    <w:rsid w:val="00E50F15"/>
    <w:rsid w:val="00E51A3D"/>
    <w:rsid w:val="00E53229"/>
    <w:rsid w:val="00E53F46"/>
    <w:rsid w:val="00E544CF"/>
    <w:rsid w:val="00E5485A"/>
    <w:rsid w:val="00E559FB"/>
    <w:rsid w:val="00E5649C"/>
    <w:rsid w:val="00E5671C"/>
    <w:rsid w:val="00E568E1"/>
    <w:rsid w:val="00E56BB8"/>
    <w:rsid w:val="00E574FC"/>
    <w:rsid w:val="00E60695"/>
    <w:rsid w:val="00E6090C"/>
    <w:rsid w:val="00E60FC1"/>
    <w:rsid w:val="00E61043"/>
    <w:rsid w:val="00E61237"/>
    <w:rsid w:val="00E61A0E"/>
    <w:rsid w:val="00E61CF3"/>
    <w:rsid w:val="00E61E4D"/>
    <w:rsid w:val="00E63C04"/>
    <w:rsid w:val="00E6515F"/>
    <w:rsid w:val="00E65AAE"/>
    <w:rsid w:val="00E65BF2"/>
    <w:rsid w:val="00E65ECE"/>
    <w:rsid w:val="00E671D3"/>
    <w:rsid w:val="00E67592"/>
    <w:rsid w:val="00E679AC"/>
    <w:rsid w:val="00E67D85"/>
    <w:rsid w:val="00E701C8"/>
    <w:rsid w:val="00E72160"/>
    <w:rsid w:val="00E73406"/>
    <w:rsid w:val="00E75B91"/>
    <w:rsid w:val="00E76BC5"/>
    <w:rsid w:val="00E7781F"/>
    <w:rsid w:val="00E824FD"/>
    <w:rsid w:val="00E83879"/>
    <w:rsid w:val="00E83949"/>
    <w:rsid w:val="00E83DA8"/>
    <w:rsid w:val="00E8596C"/>
    <w:rsid w:val="00E865C0"/>
    <w:rsid w:val="00E87C2E"/>
    <w:rsid w:val="00E900AF"/>
    <w:rsid w:val="00E90ADB"/>
    <w:rsid w:val="00E93334"/>
    <w:rsid w:val="00E9460D"/>
    <w:rsid w:val="00E94789"/>
    <w:rsid w:val="00E94FC2"/>
    <w:rsid w:val="00E9505B"/>
    <w:rsid w:val="00E95C92"/>
    <w:rsid w:val="00E9631B"/>
    <w:rsid w:val="00E964EE"/>
    <w:rsid w:val="00E97CC8"/>
    <w:rsid w:val="00EA129E"/>
    <w:rsid w:val="00EA2570"/>
    <w:rsid w:val="00EA37A2"/>
    <w:rsid w:val="00EA39DF"/>
    <w:rsid w:val="00EA3C71"/>
    <w:rsid w:val="00EA43BE"/>
    <w:rsid w:val="00EA5DD7"/>
    <w:rsid w:val="00EA69D4"/>
    <w:rsid w:val="00EB0134"/>
    <w:rsid w:val="00EB14C9"/>
    <w:rsid w:val="00EB1723"/>
    <w:rsid w:val="00EB2C5F"/>
    <w:rsid w:val="00EB32CE"/>
    <w:rsid w:val="00EB33E2"/>
    <w:rsid w:val="00EB44A6"/>
    <w:rsid w:val="00EB5FE5"/>
    <w:rsid w:val="00EB7134"/>
    <w:rsid w:val="00EC1E91"/>
    <w:rsid w:val="00EC3A18"/>
    <w:rsid w:val="00EC55CB"/>
    <w:rsid w:val="00EC5C09"/>
    <w:rsid w:val="00ED073D"/>
    <w:rsid w:val="00ED07ED"/>
    <w:rsid w:val="00ED0CFD"/>
    <w:rsid w:val="00ED0FF8"/>
    <w:rsid w:val="00ED264A"/>
    <w:rsid w:val="00ED26C2"/>
    <w:rsid w:val="00ED4077"/>
    <w:rsid w:val="00ED4F2F"/>
    <w:rsid w:val="00ED748B"/>
    <w:rsid w:val="00EE155C"/>
    <w:rsid w:val="00EE1CAB"/>
    <w:rsid w:val="00EE4C7B"/>
    <w:rsid w:val="00EE6DB9"/>
    <w:rsid w:val="00EE7508"/>
    <w:rsid w:val="00EE7DFC"/>
    <w:rsid w:val="00EE7F9E"/>
    <w:rsid w:val="00EF00F9"/>
    <w:rsid w:val="00EF13E3"/>
    <w:rsid w:val="00EF2B2D"/>
    <w:rsid w:val="00EF462D"/>
    <w:rsid w:val="00EF4908"/>
    <w:rsid w:val="00EF5942"/>
    <w:rsid w:val="00EF5B96"/>
    <w:rsid w:val="00EF621D"/>
    <w:rsid w:val="00EF62C6"/>
    <w:rsid w:val="00EF67C4"/>
    <w:rsid w:val="00F00618"/>
    <w:rsid w:val="00F01ED5"/>
    <w:rsid w:val="00F030E1"/>
    <w:rsid w:val="00F078CD"/>
    <w:rsid w:val="00F1028E"/>
    <w:rsid w:val="00F10350"/>
    <w:rsid w:val="00F10D0E"/>
    <w:rsid w:val="00F11576"/>
    <w:rsid w:val="00F115AA"/>
    <w:rsid w:val="00F117D2"/>
    <w:rsid w:val="00F12784"/>
    <w:rsid w:val="00F12BB1"/>
    <w:rsid w:val="00F12BCE"/>
    <w:rsid w:val="00F167A4"/>
    <w:rsid w:val="00F16B41"/>
    <w:rsid w:val="00F17700"/>
    <w:rsid w:val="00F201D0"/>
    <w:rsid w:val="00F2429D"/>
    <w:rsid w:val="00F245C8"/>
    <w:rsid w:val="00F259C7"/>
    <w:rsid w:val="00F275D7"/>
    <w:rsid w:val="00F27A45"/>
    <w:rsid w:val="00F3173A"/>
    <w:rsid w:val="00F318E1"/>
    <w:rsid w:val="00F320EE"/>
    <w:rsid w:val="00F33B5B"/>
    <w:rsid w:val="00F34775"/>
    <w:rsid w:val="00F35090"/>
    <w:rsid w:val="00F36047"/>
    <w:rsid w:val="00F36DEA"/>
    <w:rsid w:val="00F374D0"/>
    <w:rsid w:val="00F4050E"/>
    <w:rsid w:val="00F4071A"/>
    <w:rsid w:val="00F41283"/>
    <w:rsid w:val="00F416C6"/>
    <w:rsid w:val="00F4406F"/>
    <w:rsid w:val="00F47363"/>
    <w:rsid w:val="00F474CB"/>
    <w:rsid w:val="00F52477"/>
    <w:rsid w:val="00F547BA"/>
    <w:rsid w:val="00F57EBF"/>
    <w:rsid w:val="00F61203"/>
    <w:rsid w:val="00F61E47"/>
    <w:rsid w:val="00F61E7A"/>
    <w:rsid w:val="00F622AA"/>
    <w:rsid w:val="00F633AD"/>
    <w:rsid w:val="00F6436F"/>
    <w:rsid w:val="00F6596E"/>
    <w:rsid w:val="00F6678B"/>
    <w:rsid w:val="00F6679F"/>
    <w:rsid w:val="00F67569"/>
    <w:rsid w:val="00F67CAA"/>
    <w:rsid w:val="00F71577"/>
    <w:rsid w:val="00F71EE1"/>
    <w:rsid w:val="00F71EF2"/>
    <w:rsid w:val="00F722DA"/>
    <w:rsid w:val="00F72CF5"/>
    <w:rsid w:val="00F72F47"/>
    <w:rsid w:val="00F748A7"/>
    <w:rsid w:val="00F74AA0"/>
    <w:rsid w:val="00F75017"/>
    <w:rsid w:val="00F76C82"/>
    <w:rsid w:val="00F80495"/>
    <w:rsid w:val="00F81A00"/>
    <w:rsid w:val="00F81A36"/>
    <w:rsid w:val="00F82796"/>
    <w:rsid w:val="00F83A61"/>
    <w:rsid w:val="00F84C6C"/>
    <w:rsid w:val="00F86243"/>
    <w:rsid w:val="00F87942"/>
    <w:rsid w:val="00F907E3"/>
    <w:rsid w:val="00F92B36"/>
    <w:rsid w:val="00F93802"/>
    <w:rsid w:val="00F93E53"/>
    <w:rsid w:val="00F948AD"/>
    <w:rsid w:val="00F95A25"/>
    <w:rsid w:val="00F962FB"/>
    <w:rsid w:val="00F9694E"/>
    <w:rsid w:val="00FA028D"/>
    <w:rsid w:val="00FA1D06"/>
    <w:rsid w:val="00FA2363"/>
    <w:rsid w:val="00FA2D7C"/>
    <w:rsid w:val="00FA320D"/>
    <w:rsid w:val="00FA4086"/>
    <w:rsid w:val="00FA40ED"/>
    <w:rsid w:val="00FA421E"/>
    <w:rsid w:val="00FA551E"/>
    <w:rsid w:val="00FA6580"/>
    <w:rsid w:val="00FA68F1"/>
    <w:rsid w:val="00FA6B98"/>
    <w:rsid w:val="00FA74F6"/>
    <w:rsid w:val="00FB028A"/>
    <w:rsid w:val="00FB114E"/>
    <w:rsid w:val="00FB1E23"/>
    <w:rsid w:val="00FB3557"/>
    <w:rsid w:val="00FB3E48"/>
    <w:rsid w:val="00FB41F7"/>
    <w:rsid w:val="00FB50EE"/>
    <w:rsid w:val="00FC01D2"/>
    <w:rsid w:val="00FC1144"/>
    <w:rsid w:val="00FC183E"/>
    <w:rsid w:val="00FC27C3"/>
    <w:rsid w:val="00FC3282"/>
    <w:rsid w:val="00FC4E8E"/>
    <w:rsid w:val="00FC7166"/>
    <w:rsid w:val="00FD1399"/>
    <w:rsid w:val="00FD146A"/>
    <w:rsid w:val="00FD1655"/>
    <w:rsid w:val="00FD1DDA"/>
    <w:rsid w:val="00FD2141"/>
    <w:rsid w:val="00FD22E1"/>
    <w:rsid w:val="00FD47E8"/>
    <w:rsid w:val="00FD4B4C"/>
    <w:rsid w:val="00FD6851"/>
    <w:rsid w:val="00FD7969"/>
    <w:rsid w:val="00FD796E"/>
    <w:rsid w:val="00FD7DE1"/>
    <w:rsid w:val="00FE09E6"/>
    <w:rsid w:val="00FE1C23"/>
    <w:rsid w:val="00FE277E"/>
    <w:rsid w:val="00FE3399"/>
    <w:rsid w:val="00FE38BE"/>
    <w:rsid w:val="00FE463C"/>
    <w:rsid w:val="00FE63F6"/>
    <w:rsid w:val="00FE678B"/>
    <w:rsid w:val="00FE7C89"/>
    <w:rsid w:val="00FF22A7"/>
    <w:rsid w:val="00FF4296"/>
    <w:rsid w:val="00FF4B89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93CE"/>
  <w15:docId w15:val="{308C41B1-4FDD-4115-9EE3-A171B526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4F"/>
  </w:style>
  <w:style w:type="paragraph" w:styleId="Pidipagina">
    <w:name w:val="footer"/>
    <w:basedOn w:val="Normale"/>
    <w:link w:val="PidipaginaCarattere"/>
    <w:uiPriority w:val="99"/>
    <w:unhideWhenUsed/>
    <w:rsid w:val="00DA4A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4F"/>
  </w:style>
  <w:style w:type="character" w:styleId="Collegamentovisitato">
    <w:name w:val="FollowedHyperlink"/>
    <w:basedOn w:val="Carpredefinitoparagrafo"/>
    <w:uiPriority w:val="99"/>
    <w:semiHidden/>
    <w:unhideWhenUsed/>
    <w:rsid w:val="0033281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AF4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B5257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D4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te.gov.it/portale/lea/dettaglioContenutiLea.jsp?lingua=italiano&amp;id=4747&amp;area=Lea&amp;menu=monitoraggioLea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fficio.stampa@gimb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mbe.org/LEA_2010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E844-8C98-4476-884F-52920B1D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Roberto Luceri</cp:lastModifiedBy>
  <cp:revision>7</cp:revision>
  <cp:lastPrinted>2022-12-20T13:40:00Z</cp:lastPrinted>
  <dcterms:created xsi:type="dcterms:W3CDTF">2022-12-20T14:31:00Z</dcterms:created>
  <dcterms:modified xsi:type="dcterms:W3CDTF">2022-12-20T14:58:00Z</dcterms:modified>
</cp:coreProperties>
</file>