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D68" w:rsidRDefault="00C8624C" w:rsidP="00E17D68">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4E472B" w:rsidRPr="00B13461" w:rsidRDefault="00B2109F" w:rsidP="004E472B">
      <w:pPr>
        <w:jc w:val="center"/>
        <w:rPr>
          <w:b/>
          <w:bCs/>
          <w:sz w:val="30"/>
          <w:szCs w:val="30"/>
        </w:rPr>
      </w:pPr>
      <w:r w:rsidRPr="00B13461">
        <w:rPr>
          <w:b/>
          <w:bCs/>
          <w:sz w:val="30"/>
          <w:szCs w:val="30"/>
        </w:rPr>
        <w:t xml:space="preserve">SANITÀ, GIMBE ANALIZZA LE PROMESSE DEL GOVERNO: INTENZIONI BUONE, </w:t>
      </w:r>
      <w:r>
        <w:rPr>
          <w:b/>
          <w:bCs/>
          <w:sz w:val="30"/>
          <w:szCs w:val="30"/>
        </w:rPr>
        <w:t xml:space="preserve">MA </w:t>
      </w:r>
      <w:r w:rsidRPr="00B13461">
        <w:rPr>
          <w:b/>
          <w:bCs/>
          <w:sz w:val="30"/>
          <w:szCs w:val="30"/>
        </w:rPr>
        <w:t>RILANCIO DEL SERVIZIO SANITARIO NAZIONALE ANCORA LONTANO</w:t>
      </w:r>
    </w:p>
    <w:p w:rsidR="006C6AAB" w:rsidRDefault="00306282" w:rsidP="004303BA">
      <w:pPr>
        <w:jc w:val="both"/>
        <w:rPr>
          <w:b/>
        </w:rPr>
      </w:pPr>
      <w:r w:rsidRPr="006C6AAB">
        <w:rPr>
          <w:b/>
        </w:rPr>
        <w:t>IL “CONTRATTO PER IL GOVERNO DEL CAMBIAMENTO”</w:t>
      </w:r>
      <w:r>
        <w:rPr>
          <w:b/>
        </w:rPr>
        <w:t xml:space="preserve"> DICHIARA ESPLICITAMENTE LA </w:t>
      </w:r>
      <w:r w:rsidRPr="006C6AAB">
        <w:rPr>
          <w:b/>
        </w:rPr>
        <w:t xml:space="preserve">VOLONTÀ DI </w:t>
      </w:r>
      <w:r>
        <w:rPr>
          <w:b/>
        </w:rPr>
        <w:t>TUTELARE</w:t>
      </w:r>
      <w:r w:rsidRPr="006C6AAB">
        <w:rPr>
          <w:b/>
        </w:rPr>
        <w:t xml:space="preserve"> IL SERVIZIO SA</w:t>
      </w:r>
      <w:r>
        <w:rPr>
          <w:b/>
        </w:rPr>
        <w:t xml:space="preserve">NITARIO NAZIONALE, ESCLUDENDO OGNI FORMA DI PRIVATIZZAZIONE. TUTTAVIA, </w:t>
      </w:r>
      <w:r w:rsidRPr="006C6AAB">
        <w:rPr>
          <w:b/>
        </w:rPr>
        <w:t xml:space="preserve">L’ANALISI INDIPENDENTE DELL’OSSERVATORIO GIMBE </w:t>
      </w:r>
      <w:r>
        <w:rPr>
          <w:b/>
        </w:rPr>
        <w:t xml:space="preserve">IDENTIFICA </w:t>
      </w:r>
      <w:r w:rsidRPr="006C6AAB">
        <w:rPr>
          <w:b/>
        </w:rPr>
        <w:t xml:space="preserve">TRE </w:t>
      </w:r>
      <w:r>
        <w:rPr>
          <w:b/>
        </w:rPr>
        <w:t>AZIONI</w:t>
      </w:r>
      <w:r w:rsidRPr="006C6AAB">
        <w:rPr>
          <w:b/>
        </w:rPr>
        <w:t xml:space="preserve"> CRUCIALI </w:t>
      </w:r>
      <w:r>
        <w:rPr>
          <w:b/>
        </w:rPr>
        <w:t xml:space="preserve">CHE </w:t>
      </w:r>
      <w:r w:rsidRPr="006C6AAB">
        <w:rPr>
          <w:b/>
        </w:rPr>
        <w:t>RESTANO FUORI</w:t>
      </w:r>
      <w:r>
        <w:rPr>
          <w:b/>
        </w:rPr>
        <w:t xml:space="preserve"> DAL CONTRATTO</w:t>
      </w:r>
      <w:r w:rsidRPr="006C6AAB">
        <w:rPr>
          <w:b/>
        </w:rPr>
        <w:t xml:space="preserve">: </w:t>
      </w:r>
      <w:r>
        <w:rPr>
          <w:b/>
        </w:rPr>
        <w:t xml:space="preserve">ESPLICITO </w:t>
      </w:r>
      <w:r w:rsidRPr="006C6AAB">
        <w:rPr>
          <w:b/>
        </w:rPr>
        <w:t xml:space="preserve">RILANCIO DEL FINANZIAMENTO PUBBLICO, RIDEFINIZIONE DEL PERIMETRO DEI LEA, RIORDINO DELLA SANITÀ INTEGRATIVA. </w:t>
      </w:r>
      <w:r>
        <w:rPr>
          <w:b/>
        </w:rPr>
        <w:t xml:space="preserve">LA </w:t>
      </w:r>
      <w:r w:rsidRPr="006C6AAB">
        <w:rPr>
          <w:b/>
        </w:rPr>
        <w:t xml:space="preserve">MANCATA STIMA ECONOMICA DELLE PROPOSTE E </w:t>
      </w:r>
      <w:r>
        <w:rPr>
          <w:b/>
        </w:rPr>
        <w:t xml:space="preserve">IL </w:t>
      </w:r>
      <w:r w:rsidRPr="006C6AAB">
        <w:rPr>
          <w:b/>
        </w:rPr>
        <w:t xml:space="preserve">VIA LIBERA AL REGIONALISMO DIFFERENZIATO RAPPRESENTANO </w:t>
      </w:r>
      <w:r>
        <w:rPr>
          <w:b/>
        </w:rPr>
        <w:t>ULTERIORI OSTACOLI AL TANTO ATTESO RILANCIO DELLA SANITÀ PUBBLICA.</w:t>
      </w:r>
    </w:p>
    <w:p w:rsidR="005B4F61" w:rsidRDefault="005D27B7" w:rsidP="00EA3C71">
      <w:pPr>
        <w:jc w:val="center"/>
        <w:rPr>
          <w:rFonts w:ascii="Calibri" w:eastAsia="Calibri" w:hAnsi="Calibri" w:cs="Times New Roman"/>
          <w:b/>
          <w:bCs/>
          <w:sz w:val="24"/>
          <w:szCs w:val="24"/>
        </w:rPr>
      </w:pPr>
      <w:r>
        <w:rPr>
          <w:rFonts w:ascii="Calibri" w:eastAsia="Calibri" w:hAnsi="Calibri" w:cs="Times New Roman"/>
          <w:b/>
          <w:bCs/>
          <w:sz w:val="24"/>
          <w:szCs w:val="24"/>
        </w:rPr>
        <w:t>1</w:t>
      </w:r>
      <w:r w:rsidR="00B57331">
        <w:rPr>
          <w:rFonts w:ascii="Calibri" w:eastAsia="Calibri" w:hAnsi="Calibri" w:cs="Times New Roman"/>
          <w:b/>
          <w:bCs/>
          <w:sz w:val="24"/>
          <w:szCs w:val="24"/>
        </w:rPr>
        <w:t>9</w:t>
      </w:r>
      <w:r w:rsidR="00DE6AEA">
        <w:rPr>
          <w:rFonts w:ascii="Calibri" w:eastAsia="Calibri" w:hAnsi="Calibri" w:cs="Times New Roman"/>
          <w:b/>
          <w:bCs/>
          <w:sz w:val="24"/>
          <w:szCs w:val="24"/>
        </w:rPr>
        <w:t xml:space="preserve"> </w:t>
      </w:r>
      <w:r w:rsidR="00815D4F">
        <w:rPr>
          <w:rFonts w:ascii="Calibri" w:eastAsia="Calibri" w:hAnsi="Calibri" w:cs="Times New Roman"/>
          <w:b/>
          <w:bCs/>
          <w:sz w:val="24"/>
          <w:szCs w:val="24"/>
        </w:rPr>
        <w:t xml:space="preserve">settembre </w:t>
      </w:r>
      <w:r w:rsidR="00AE0F77">
        <w:rPr>
          <w:rFonts w:ascii="Calibri" w:eastAsia="Calibri" w:hAnsi="Calibri" w:cs="Times New Roman"/>
          <w:b/>
          <w:bCs/>
          <w:sz w:val="24"/>
          <w:szCs w:val="24"/>
        </w:rPr>
        <w:t>201</w:t>
      </w:r>
      <w:r w:rsidR="00497373">
        <w:rPr>
          <w:rFonts w:ascii="Calibri" w:eastAsia="Calibri" w:hAnsi="Calibri" w:cs="Times New Roman"/>
          <w:b/>
          <w:bCs/>
          <w:sz w:val="24"/>
          <w:szCs w:val="24"/>
        </w:rPr>
        <w:t>8</w:t>
      </w:r>
      <w:r w:rsidR="005B4F61">
        <w:rPr>
          <w:rFonts w:ascii="Calibri" w:eastAsia="Calibri" w:hAnsi="Calibri" w:cs="Times New Roman"/>
          <w:b/>
          <w:bCs/>
          <w:sz w:val="24"/>
          <w:szCs w:val="24"/>
        </w:rPr>
        <w:t xml:space="preserve"> - </w:t>
      </w:r>
      <w:r w:rsidR="005B4F61" w:rsidRPr="00C8624C">
        <w:rPr>
          <w:rFonts w:ascii="Calibri" w:eastAsia="Calibri" w:hAnsi="Calibri" w:cs="Times New Roman"/>
          <w:b/>
          <w:bCs/>
          <w:sz w:val="24"/>
          <w:szCs w:val="24"/>
        </w:rPr>
        <w:t xml:space="preserve">Fondazione GIMBE, </w:t>
      </w:r>
      <w:r w:rsidR="00815D4F">
        <w:rPr>
          <w:rFonts w:ascii="Calibri" w:eastAsia="Calibri" w:hAnsi="Calibri" w:cs="Times New Roman"/>
          <w:b/>
          <w:bCs/>
          <w:sz w:val="24"/>
          <w:szCs w:val="24"/>
        </w:rPr>
        <w:t>Bologna</w:t>
      </w:r>
    </w:p>
    <w:p w:rsidR="00043D1A" w:rsidRPr="0046020B" w:rsidRDefault="00043D1A" w:rsidP="0046020B">
      <w:pPr>
        <w:jc w:val="both"/>
        <w:rPr>
          <w:rFonts w:cstheme="minorHAnsi"/>
        </w:rPr>
      </w:pPr>
      <w:r w:rsidRPr="0046020B">
        <w:rPr>
          <w:rFonts w:cstheme="minorHAnsi"/>
        </w:rPr>
        <w:t xml:space="preserve">Il capitolo Sanità del “Contratto per il Governo del Cambiamento” si apre con una rassicurante dichiarazione di intenti che esclude in maniera assoluta ogni forma di privatizzazione del </w:t>
      </w:r>
      <w:r w:rsidR="00617492" w:rsidRPr="0046020B">
        <w:rPr>
          <w:rFonts w:cstheme="minorHAnsi"/>
        </w:rPr>
        <w:t>SS</w:t>
      </w:r>
      <w:r w:rsidRPr="0046020B">
        <w:rPr>
          <w:rFonts w:cstheme="minorHAnsi"/>
        </w:rPr>
        <w:t xml:space="preserve">N e conferma la volontà di tutelare </w:t>
      </w:r>
      <w:r w:rsidR="00595908" w:rsidRPr="0046020B">
        <w:rPr>
          <w:rFonts w:cstheme="minorHAnsi"/>
        </w:rPr>
        <w:t xml:space="preserve">equità ed universalismo,  </w:t>
      </w:r>
      <w:r w:rsidRPr="0046020B">
        <w:rPr>
          <w:rFonts w:cstheme="minorHAnsi"/>
        </w:rPr>
        <w:t>princìpi fondanti della L. 833/78: “</w:t>
      </w:r>
      <w:r w:rsidRPr="0046020B">
        <w:rPr>
          <w:rFonts w:cstheme="minorHAnsi"/>
          <w:i/>
        </w:rPr>
        <w:t>È prioritario preservare l’attuale modello di gestione del servizio sanitario a finanziamento prevalentemente pubblico e tutelare il principio universalistico su cui si fonda la legge n. 833 del 1978 istitutiva del Servizio Sanitario Nazionale. Tutelare il SSN significa salvaguardare lo stato di salute del Paese, garantire equità nell’accesso alle cure e uniformità dei livelli essenziali di assistenz</w:t>
      </w:r>
      <w:r w:rsidRPr="0046020B">
        <w:rPr>
          <w:rFonts w:cstheme="minorHAnsi"/>
        </w:rPr>
        <w:t xml:space="preserve">a”. </w:t>
      </w:r>
    </w:p>
    <w:p w:rsidR="00815D4F" w:rsidRPr="0046020B" w:rsidRDefault="00712FB7" w:rsidP="0046020B">
      <w:pPr>
        <w:jc w:val="both"/>
        <w:rPr>
          <w:rFonts w:cstheme="minorHAnsi"/>
        </w:rPr>
      </w:pPr>
      <w:r w:rsidRPr="0046020B">
        <w:rPr>
          <w:rFonts w:cstheme="minorHAnsi"/>
        </w:rPr>
        <w:t>«</w:t>
      </w:r>
      <w:r w:rsidR="00043D1A" w:rsidRPr="0046020B">
        <w:rPr>
          <w:rFonts w:cstheme="minorHAnsi"/>
        </w:rPr>
        <w:t>Nell’ambito delle attività dell’Osservatorio GIMBE</w:t>
      </w:r>
      <w:r w:rsidR="00B62892" w:rsidRPr="0046020B">
        <w:rPr>
          <w:rFonts w:cstheme="minorHAnsi"/>
        </w:rPr>
        <w:t xml:space="preserve"> </w:t>
      </w:r>
      <w:r w:rsidR="00D96B0A" w:rsidRPr="0046020B">
        <w:rPr>
          <w:rFonts w:cstheme="minorHAnsi"/>
        </w:rPr>
        <w:t xml:space="preserve">– afferma Nino Cartabellotta, Presidente della Fondazione GIMBE </w:t>
      </w:r>
      <w:r w:rsidR="00241AD5" w:rsidRPr="0046020B">
        <w:rPr>
          <w:rFonts w:cstheme="minorHAnsi"/>
        </w:rPr>
        <w:t>–</w:t>
      </w:r>
      <w:r w:rsidR="00617492" w:rsidRPr="0046020B">
        <w:rPr>
          <w:rFonts w:cstheme="minorHAnsi"/>
        </w:rPr>
        <w:t xml:space="preserve"> abbiamo condotto un’analisi </w:t>
      </w:r>
      <w:r w:rsidR="00537869" w:rsidRPr="0046020B">
        <w:rPr>
          <w:rFonts w:cstheme="minorHAnsi"/>
        </w:rPr>
        <w:t>integrale</w:t>
      </w:r>
      <w:r w:rsidR="00617492" w:rsidRPr="0046020B">
        <w:rPr>
          <w:rFonts w:cstheme="minorHAnsi"/>
        </w:rPr>
        <w:t xml:space="preserve"> del “Contratto per il Governo del Cambiamento” per verificare la coerenza delle proposte relative a sanità e ricerca biomedica con i 12 punti del “piano di salvataggio” del S</w:t>
      </w:r>
      <w:r w:rsidR="00656745">
        <w:rPr>
          <w:rFonts w:cstheme="minorHAnsi"/>
        </w:rPr>
        <w:t xml:space="preserve">ervizio </w:t>
      </w:r>
      <w:r w:rsidR="00617492" w:rsidRPr="0046020B">
        <w:rPr>
          <w:rFonts w:cstheme="minorHAnsi"/>
        </w:rPr>
        <w:t>S</w:t>
      </w:r>
      <w:r w:rsidR="00656745">
        <w:rPr>
          <w:rFonts w:cstheme="minorHAnsi"/>
        </w:rPr>
        <w:t xml:space="preserve">anitario </w:t>
      </w:r>
      <w:r w:rsidR="00617492" w:rsidRPr="0046020B">
        <w:rPr>
          <w:rFonts w:cstheme="minorHAnsi"/>
        </w:rPr>
        <w:t>N</w:t>
      </w:r>
      <w:r w:rsidR="00656745">
        <w:rPr>
          <w:rFonts w:cstheme="minorHAnsi"/>
        </w:rPr>
        <w:t>azionale (SSN)</w:t>
      </w:r>
      <w:r w:rsidR="00617492" w:rsidRPr="0046020B">
        <w:rPr>
          <w:rFonts w:cstheme="minorHAnsi"/>
        </w:rPr>
        <w:t xml:space="preserve"> elaborato dalla Fondazione GIMBE</w:t>
      </w:r>
      <w:r w:rsidR="0046020B" w:rsidRPr="0046020B">
        <w:rPr>
          <w:rFonts w:cstheme="minorHAnsi"/>
        </w:rPr>
        <w:t xml:space="preserve"> e validato tramite </w:t>
      </w:r>
      <w:r w:rsidR="006D1D72" w:rsidRPr="0046020B">
        <w:rPr>
          <w:rFonts w:cstheme="minorHAnsi"/>
        </w:rPr>
        <w:t>consultazione pubblica</w:t>
      </w:r>
      <w:r w:rsidR="006548B7" w:rsidRPr="0046020B">
        <w:rPr>
          <w:rFonts w:cstheme="minorHAnsi"/>
        </w:rPr>
        <w:t>».</w:t>
      </w:r>
      <w:r w:rsidR="00AD5368" w:rsidRPr="0046020B">
        <w:rPr>
          <w:rFonts w:cstheme="minorHAnsi"/>
        </w:rPr>
        <w:t xml:space="preserve"> </w:t>
      </w:r>
    </w:p>
    <w:p w:rsidR="00097C59" w:rsidRPr="0046020B" w:rsidRDefault="00097C59" w:rsidP="0046020B">
      <w:pPr>
        <w:jc w:val="both"/>
        <w:rPr>
          <w:rFonts w:cstheme="minorHAnsi"/>
        </w:rPr>
      </w:pPr>
      <w:r w:rsidRPr="0046020B">
        <w:rPr>
          <w:rFonts w:cstheme="minorHAnsi"/>
        </w:rPr>
        <w:t xml:space="preserve">Nelle 12 tabelle analitiche, per ciascuna proposta identificata, è stato inserito ove opportuno un commento con eventuali note bibliografiche. Successivamente, previa verifica di coerenza e completezza delle proposte per attuare ciascuno dei 12 item del “piano di salvataggio” GIMBE, è stata realizzata una tabella sinottica </w:t>
      </w:r>
      <w:r w:rsidR="005B724E" w:rsidRPr="00D17072">
        <w:rPr>
          <w:rFonts w:cstheme="minorHAnsi"/>
        </w:rPr>
        <w:t>(allegato)</w:t>
      </w:r>
      <w:r w:rsidR="005B724E" w:rsidRPr="0046020B">
        <w:rPr>
          <w:rFonts w:cstheme="minorHAnsi"/>
        </w:rPr>
        <w:t xml:space="preserve"> </w:t>
      </w:r>
      <w:r w:rsidRPr="0046020B">
        <w:rPr>
          <w:rFonts w:cstheme="minorHAnsi"/>
        </w:rPr>
        <w:t xml:space="preserve">che riporta la valutazione complessiva del “Contratto per il Governo del Cambiamento”.  </w:t>
      </w:r>
    </w:p>
    <w:p w:rsidR="005B724E" w:rsidRPr="0046020B" w:rsidRDefault="00AD5368" w:rsidP="0046020B">
      <w:pPr>
        <w:jc w:val="both"/>
        <w:rPr>
          <w:rFonts w:cstheme="minorHAnsi"/>
        </w:rPr>
      </w:pPr>
      <w:r w:rsidRPr="0046020B">
        <w:rPr>
          <w:rFonts w:cstheme="minorHAnsi"/>
        </w:rPr>
        <w:t>«</w:t>
      </w:r>
      <w:r w:rsidR="005B724E" w:rsidRPr="0046020B">
        <w:rPr>
          <w:rFonts w:cstheme="minorHAnsi"/>
        </w:rPr>
        <w:t>La nostra analisi</w:t>
      </w:r>
      <w:r w:rsidR="00097C59" w:rsidRPr="0046020B">
        <w:rPr>
          <w:rFonts w:cstheme="minorHAnsi"/>
        </w:rPr>
        <w:t xml:space="preserve"> </w:t>
      </w:r>
      <w:r w:rsidR="004443BE" w:rsidRPr="0046020B">
        <w:rPr>
          <w:rFonts w:cstheme="minorHAnsi"/>
        </w:rPr>
        <w:t>–</w:t>
      </w:r>
      <w:r w:rsidR="005A7757" w:rsidRPr="0046020B">
        <w:rPr>
          <w:rFonts w:cstheme="minorHAnsi"/>
        </w:rPr>
        <w:t xml:space="preserve"> </w:t>
      </w:r>
      <w:r w:rsidR="00777C0A" w:rsidRPr="0046020B">
        <w:rPr>
          <w:rFonts w:cstheme="minorHAnsi"/>
        </w:rPr>
        <w:t xml:space="preserve">puntualizza </w:t>
      </w:r>
      <w:r w:rsidRPr="0046020B">
        <w:rPr>
          <w:rFonts w:cstheme="minorHAnsi"/>
        </w:rPr>
        <w:t>il Presidente –</w:t>
      </w:r>
      <w:r w:rsidR="005B724E" w:rsidRPr="0046020B">
        <w:rPr>
          <w:rFonts w:cstheme="minorHAnsi"/>
        </w:rPr>
        <w:t xml:space="preserve"> dimostra che il “Contratto per il Governo del Cambiamento” non </w:t>
      </w:r>
      <w:r w:rsidR="00216F04" w:rsidRPr="0046020B">
        <w:rPr>
          <w:rFonts w:cstheme="minorHAnsi"/>
        </w:rPr>
        <w:t xml:space="preserve">getta solide </w:t>
      </w:r>
      <w:r w:rsidR="005B724E" w:rsidRPr="0046020B">
        <w:rPr>
          <w:rFonts w:cstheme="minorHAnsi"/>
        </w:rPr>
        <w:t xml:space="preserve">basi per mettere in sicurezza la più grande conquista sociale dei cittadini italiani, </w:t>
      </w:r>
      <w:r w:rsidR="00777C0A" w:rsidRPr="0046020B">
        <w:rPr>
          <w:rFonts w:cstheme="minorHAnsi"/>
        </w:rPr>
        <w:t xml:space="preserve">già </w:t>
      </w:r>
      <w:r w:rsidR="005B724E" w:rsidRPr="0046020B">
        <w:rPr>
          <w:rFonts w:cstheme="minorHAnsi"/>
        </w:rPr>
        <w:t xml:space="preserve">ereditata in “condizioni di salute” non ottimali». </w:t>
      </w:r>
      <w:r w:rsidR="0046020B" w:rsidRPr="0046020B">
        <w:rPr>
          <w:rFonts w:cstheme="minorHAnsi"/>
        </w:rPr>
        <w:t xml:space="preserve"> </w:t>
      </w:r>
      <w:r w:rsidR="005B724E" w:rsidRPr="0046020B">
        <w:rPr>
          <w:rFonts w:cstheme="minorHAnsi"/>
        </w:rPr>
        <w:t xml:space="preserve">Rispetto alla 4 macro-determinanti della crisi di sostenibilità del SSN identificate dal 3° Rapporto GIMBE (definanziamento, “paniere LEA” troppo ampio, sprechi e inefficienze, espansione della sanità integrativa), il “Contratto per il Governo del Cambiamento” </w:t>
      </w:r>
      <w:r w:rsidR="00777C0A" w:rsidRPr="0046020B">
        <w:rPr>
          <w:rFonts w:cstheme="minorHAnsi"/>
        </w:rPr>
        <w:t>contiene sì</w:t>
      </w:r>
      <w:r w:rsidR="005B724E" w:rsidRPr="0046020B">
        <w:rPr>
          <w:rFonts w:cstheme="minorHAnsi"/>
        </w:rPr>
        <w:t xml:space="preserve"> un programma molto dettagliato e potenzialmente efficace per ridurre sprechi e inefficienze, ma:</w:t>
      </w:r>
    </w:p>
    <w:p w:rsidR="005B724E" w:rsidRPr="0046020B" w:rsidRDefault="005B724E" w:rsidP="0046020B">
      <w:pPr>
        <w:pStyle w:val="Paragrafoelenco"/>
        <w:numPr>
          <w:ilvl w:val="0"/>
          <w:numId w:val="27"/>
        </w:numPr>
        <w:spacing w:line="276" w:lineRule="auto"/>
        <w:jc w:val="both"/>
        <w:rPr>
          <w:rFonts w:asciiTheme="minorHAnsi" w:hAnsiTheme="minorHAnsi" w:cstheme="minorHAnsi"/>
        </w:rPr>
      </w:pPr>
      <w:r w:rsidRPr="0046020B">
        <w:rPr>
          <w:rFonts w:asciiTheme="minorHAnsi" w:hAnsiTheme="minorHAnsi" w:cstheme="minorHAnsi"/>
        </w:rPr>
        <w:t xml:space="preserve">non </w:t>
      </w:r>
      <w:r w:rsidR="00656745">
        <w:rPr>
          <w:rFonts w:asciiTheme="minorHAnsi" w:hAnsiTheme="minorHAnsi" w:cstheme="minorHAnsi"/>
        </w:rPr>
        <w:t>annuncia</w:t>
      </w:r>
      <w:r w:rsidR="00656745" w:rsidRPr="0046020B">
        <w:rPr>
          <w:rFonts w:asciiTheme="minorHAnsi" w:hAnsiTheme="minorHAnsi" w:cstheme="minorHAnsi"/>
        </w:rPr>
        <w:t xml:space="preserve"> </w:t>
      </w:r>
      <w:r w:rsidRPr="0046020B">
        <w:rPr>
          <w:rFonts w:asciiTheme="minorHAnsi" w:hAnsiTheme="minorHAnsi" w:cstheme="minorHAnsi"/>
        </w:rPr>
        <w:t>esplicitamente un aumento nominale del fondo sanitario nazionale, né un’inversione di tendenza del rapporto spesa sanitaria/PIL;</w:t>
      </w:r>
    </w:p>
    <w:p w:rsidR="005B724E" w:rsidRPr="0046020B" w:rsidRDefault="005B724E" w:rsidP="0046020B">
      <w:pPr>
        <w:pStyle w:val="Paragrafoelenco"/>
        <w:numPr>
          <w:ilvl w:val="0"/>
          <w:numId w:val="27"/>
        </w:numPr>
        <w:spacing w:line="276" w:lineRule="auto"/>
        <w:jc w:val="both"/>
        <w:rPr>
          <w:rFonts w:asciiTheme="minorHAnsi" w:hAnsiTheme="minorHAnsi" w:cstheme="minorHAnsi"/>
        </w:rPr>
      </w:pPr>
      <w:r w:rsidRPr="0046020B">
        <w:rPr>
          <w:rFonts w:asciiTheme="minorHAnsi" w:hAnsiTheme="minorHAnsi" w:cstheme="minorHAnsi"/>
        </w:rPr>
        <w:t>non prevede alcuna ridefinizione del perimetro dei LEA, oggi sproporzionati rispetto al finanziamento pubblico ed esigibili su tutto sul territorio nazionale solo sulla carta;</w:t>
      </w:r>
    </w:p>
    <w:p w:rsidR="005B724E" w:rsidRPr="0046020B" w:rsidRDefault="005B724E" w:rsidP="0046020B">
      <w:pPr>
        <w:pStyle w:val="Paragrafoelenco"/>
        <w:numPr>
          <w:ilvl w:val="0"/>
          <w:numId w:val="27"/>
        </w:numPr>
        <w:spacing w:line="276" w:lineRule="auto"/>
        <w:jc w:val="both"/>
        <w:rPr>
          <w:rFonts w:asciiTheme="minorHAnsi" w:hAnsiTheme="minorHAnsi" w:cstheme="minorHAnsi"/>
        </w:rPr>
      </w:pPr>
      <w:r w:rsidRPr="0046020B">
        <w:rPr>
          <w:rFonts w:asciiTheme="minorHAnsi" w:hAnsiTheme="minorHAnsi" w:cstheme="minorHAnsi"/>
        </w:rPr>
        <w:t>non fa alcun cenno all’inderogabile riordino legislativo della sanità integrativa che oggi, con le seducenti promesse del “secondo pilastro”, favorisce derive consumistiche e di privatizzazione.</w:t>
      </w:r>
    </w:p>
    <w:p w:rsidR="00777C0A" w:rsidRPr="0046020B" w:rsidRDefault="0046020B" w:rsidP="0046020B">
      <w:pPr>
        <w:jc w:val="both"/>
        <w:rPr>
          <w:rFonts w:cstheme="minorHAnsi"/>
        </w:rPr>
      </w:pPr>
      <w:r>
        <w:rPr>
          <w:rFonts w:cstheme="minorHAnsi"/>
        </w:rPr>
        <w:lastRenderedPageBreak/>
        <w:t>Inoltre, a</w:t>
      </w:r>
      <w:r w:rsidRPr="0046020B">
        <w:rPr>
          <w:rFonts w:cstheme="minorHAnsi"/>
        </w:rPr>
        <w:t xml:space="preserve">nche se </w:t>
      </w:r>
      <w:r w:rsidR="00777C0A" w:rsidRPr="0046020B">
        <w:rPr>
          <w:rFonts w:cstheme="minorHAnsi"/>
        </w:rPr>
        <w:t xml:space="preserve">numerose proposte </w:t>
      </w:r>
      <w:r w:rsidRPr="0046020B">
        <w:rPr>
          <w:rFonts w:cstheme="minorHAnsi"/>
        </w:rPr>
        <w:t xml:space="preserve">sono coerenti </w:t>
      </w:r>
      <w:r w:rsidR="00777C0A" w:rsidRPr="0046020B">
        <w:rPr>
          <w:rFonts w:cstheme="minorHAnsi"/>
        </w:rPr>
        <w:t>con gli item de</w:t>
      </w:r>
      <w:r w:rsidRPr="0046020B">
        <w:rPr>
          <w:rFonts w:cstheme="minorHAnsi"/>
        </w:rPr>
        <w:t>l “piano di salvataggio” GIMBE</w:t>
      </w:r>
      <w:r w:rsidR="00777C0A" w:rsidRPr="0046020B">
        <w:rPr>
          <w:rFonts w:cstheme="minorHAnsi"/>
        </w:rPr>
        <w:t>, il “Contratto per il Governo del Cambiamento” non definisce mai l’entità delle risorse necessarie per finanziar</w:t>
      </w:r>
      <w:r w:rsidRPr="0046020B">
        <w:rPr>
          <w:rFonts w:cstheme="minorHAnsi"/>
        </w:rPr>
        <w:t>l</w:t>
      </w:r>
      <w:r w:rsidR="00777C0A" w:rsidRPr="0046020B">
        <w:rPr>
          <w:rFonts w:cstheme="minorHAnsi"/>
        </w:rPr>
        <w:t xml:space="preserve">e. Infine, il “Contratto per il Governo del Cambiamento” dà il via libera al regionalismo differenziato che rappresenta una reale minaccia all’universalismo del SSN, visto che le autonomie previste in sanità non potranno che </w:t>
      </w:r>
      <w:r w:rsidRPr="0046020B">
        <w:rPr>
          <w:rFonts w:cstheme="minorHAnsi"/>
        </w:rPr>
        <w:t>amplificare le</w:t>
      </w:r>
      <w:r w:rsidR="00777C0A" w:rsidRPr="0046020B">
        <w:rPr>
          <w:rFonts w:cstheme="minorHAnsi"/>
        </w:rPr>
        <w:t xml:space="preserve"> diseguaglianze regionali.</w:t>
      </w:r>
    </w:p>
    <w:p w:rsidR="005B724E" w:rsidRPr="0046020B" w:rsidRDefault="005B724E" w:rsidP="0046020B">
      <w:pPr>
        <w:jc w:val="both"/>
        <w:rPr>
          <w:rFonts w:cstheme="minorHAnsi"/>
        </w:rPr>
      </w:pPr>
      <w:r w:rsidRPr="0046020B">
        <w:rPr>
          <w:rFonts w:cstheme="minorHAnsi"/>
        </w:rPr>
        <w:t>Nonostante le buone intenzioni del “Contratto per il Governo del Cambiamento” e l’impegno della Ministra</w:t>
      </w:r>
      <w:r w:rsidR="003928A8" w:rsidRPr="0046020B">
        <w:rPr>
          <w:rFonts w:cstheme="minorHAnsi"/>
        </w:rPr>
        <w:t xml:space="preserve"> Grillo</w:t>
      </w:r>
      <w:r w:rsidRPr="0046020B">
        <w:rPr>
          <w:rFonts w:cstheme="minorHAnsi"/>
        </w:rPr>
        <w:t xml:space="preserve"> nei primi 100 giorni</w:t>
      </w:r>
      <w:r w:rsidR="00656745">
        <w:rPr>
          <w:rFonts w:cstheme="minorHAnsi"/>
        </w:rPr>
        <w:t xml:space="preserve"> di mandato</w:t>
      </w:r>
      <w:r w:rsidR="0046020B">
        <w:rPr>
          <w:rFonts w:cstheme="minorHAnsi"/>
        </w:rPr>
        <w:t>,</w:t>
      </w:r>
      <w:r w:rsidRPr="0046020B">
        <w:rPr>
          <w:rFonts w:cstheme="minorHAnsi"/>
        </w:rPr>
        <w:t xml:space="preserve"> è</w:t>
      </w:r>
      <w:r w:rsidR="00777C0A" w:rsidRPr="0046020B">
        <w:rPr>
          <w:rFonts w:cstheme="minorHAnsi"/>
        </w:rPr>
        <w:t xml:space="preserve"> </w:t>
      </w:r>
      <w:r w:rsidRPr="0046020B">
        <w:rPr>
          <w:rFonts w:cstheme="minorHAnsi"/>
        </w:rPr>
        <w:t>certo che il rilancio del SSN non rientra al momento tra le priorità dell’Esecutivo, già in difficoltà a soddisfare tutte le promesse elettorali più popolari (flat tax, reddito di cittadinanza</w:t>
      </w:r>
      <w:r w:rsidR="0046020B">
        <w:rPr>
          <w:rFonts w:cstheme="minorHAnsi"/>
        </w:rPr>
        <w:t>, riforma della legge Fornero)</w:t>
      </w:r>
      <w:r w:rsidRPr="0046020B">
        <w:rPr>
          <w:rFonts w:cstheme="minorHAnsi"/>
        </w:rPr>
        <w:t xml:space="preserve"> </w:t>
      </w:r>
      <w:r w:rsidR="006C6AAB" w:rsidRPr="0046020B">
        <w:rPr>
          <w:rFonts w:cstheme="minorHAnsi"/>
        </w:rPr>
        <w:t>nel rispetto del tetto di deficit previsto dal Patto di Stabilità e Crescita europeo</w:t>
      </w:r>
      <w:r w:rsidRPr="0046020B">
        <w:rPr>
          <w:rFonts w:cstheme="minorHAnsi"/>
        </w:rPr>
        <w:t xml:space="preserve">. </w:t>
      </w:r>
      <w:r w:rsidR="003928A8" w:rsidRPr="0046020B">
        <w:rPr>
          <w:rFonts w:cstheme="minorHAnsi"/>
        </w:rPr>
        <w:t>«</w:t>
      </w:r>
      <w:r w:rsidR="0046020B">
        <w:rPr>
          <w:rFonts w:cstheme="minorHAnsi"/>
        </w:rPr>
        <w:t>C</w:t>
      </w:r>
      <w:r w:rsidR="0046020B" w:rsidRPr="0046020B">
        <w:rPr>
          <w:rFonts w:cstheme="minorHAnsi"/>
        </w:rPr>
        <w:t>onsiderato</w:t>
      </w:r>
      <w:r w:rsidR="0046020B">
        <w:rPr>
          <w:rFonts w:cstheme="minorHAnsi"/>
        </w:rPr>
        <w:t xml:space="preserve"> </w:t>
      </w:r>
      <w:r w:rsidRPr="0046020B">
        <w:rPr>
          <w:rFonts w:cstheme="minorHAnsi"/>
        </w:rPr>
        <w:t>che a breve termine mancano le risorse per rifinanziare in maniera consistente il SSN</w:t>
      </w:r>
      <w:r w:rsidR="0046020B">
        <w:rPr>
          <w:rFonts w:cstheme="minorHAnsi"/>
        </w:rPr>
        <w:t xml:space="preserve"> </w:t>
      </w:r>
      <w:r w:rsidR="00D640C7" w:rsidRPr="0046020B">
        <w:rPr>
          <w:rFonts w:cstheme="minorHAnsi"/>
        </w:rPr>
        <w:t>– commenta Cartab</w:t>
      </w:r>
      <w:r w:rsidR="00D640C7">
        <w:rPr>
          <w:rFonts w:cstheme="minorHAnsi"/>
        </w:rPr>
        <w:t xml:space="preserve">ellotta </w:t>
      </w:r>
      <w:r w:rsidR="00D640C7" w:rsidRPr="0046020B">
        <w:rPr>
          <w:rFonts w:cstheme="minorHAnsi"/>
        </w:rPr>
        <w:t>–</w:t>
      </w:r>
      <w:r w:rsidRPr="0046020B">
        <w:rPr>
          <w:rFonts w:cstheme="minorHAnsi"/>
        </w:rPr>
        <w:t xml:space="preserve"> il banco di prova per la sanità non può essere la Legge di Bilancio 2019</w:t>
      </w:r>
      <w:r w:rsidR="00675CCA">
        <w:rPr>
          <w:rFonts w:cstheme="minorHAnsi"/>
        </w:rPr>
        <w:t xml:space="preserve"> che nella migliore delle ipotesi potrà garantire </w:t>
      </w:r>
      <w:r w:rsidR="00D413C5" w:rsidRPr="0046020B">
        <w:rPr>
          <w:rFonts w:cstheme="minorHAnsi"/>
        </w:rPr>
        <w:t xml:space="preserve">il “consueto” miliardo di euro che negli ultimi anni ha </w:t>
      </w:r>
      <w:r w:rsidR="00675CCA">
        <w:rPr>
          <w:rFonts w:cstheme="minorHAnsi"/>
        </w:rPr>
        <w:t xml:space="preserve">coperto solo </w:t>
      </w:r>
      <w:r w:rsidR="00D413C5" w:rsidRPr="0046020B">
        <w:rPr>
          <w:rFonts w:cstheme="minorHAnsi"/>
        </w:rPr>
        <w:t>il costo dell’inflazione</w:t>
      </w:r>
      <w:r w:rsidRPr="0046020B">
        <w:rPr>
          <w:rFonts w:cstheme="minorHAnsi"/>
        </w:rPr>
        <w:t>».</w:t>
      </w:r>
    </w:p>
    <w:p w:rsidR="005B724E" w:rsidRPr="0046020B" w:rsidRDefault="003928A8" w:rsidP="0046020B">
      <w:pPr>
        <w:jc w:val="both"/>
        <w:rPr>
          <w:rFonts w:cstheme="minorHAnsi"/>
        </w:rPr>
      </w:pPr>
      <w:r w:rsidRPr="0046020B">
        <w:rPr>
          <w:rFonts w:cstheme="minorHAnsi"/>
        </w:rPr>
        <w:t>«Guardando</w:t>
      </w:r>
      <w:r w:rsidR="005B724E" w:rsidRPr="0046020B">
        <w:rPr>
          <w:rFonts w:cstheme="minorHAnsi"/>
        </w:rPr>
        <w:t xml:space="preserve"> avanti con un pizzico di ottimismo</w:t>
      </w:r>
      <w:r w:rsidRPr="0046020B">
        <w:rPr>
          <w:rFonts w:cstheme="minorHAnsi"/>
        </w:rPr>
        <w:t xml:space="preserve"> – </w:t>
      </w:r>
      <w:r w:rsidR="00D640C7">
        <w:rPr>
          <w:rFonts w:cstheme="minorHAnsi"/>
        </w:rPr>
        <w:t>conclude</w:t>
      </w:r>
      <w:r w:rsidRPr="0046020B">
        <w:rPr>
          <w:rFonts w:cstheme="minorHAnsi"/>
        </w:rPr>
        <w:t xml:space="preserve"> il Presidente – </w:t>
      </w:r>
      <w:r w:rsidR="005B724E" w:rsidRPr="0046020B">
        <w:rPr>
          <w:rFonts w:cstheme="minorHAnsi"/>
        </w:rPr>
        <w:t xml:space="preserve"> per confermare le buone intenzioni del “Contratto per il Governo del Cambiamento” sul destino della sanità pubblica, il primo segnale concreto </w:t>
      </w:r>
      <w:r w:rsidR="00D640C7">
        <w:rPr>
          <w:rFonts w:cstheme="minorHAnsi"/>
        </w:rPr>
        <w:t xml:space="preserve">dovrebbe arrivare </w:t>
      </w:r>
      <w:r w:rsidR="005B724E" w:rsidRPr="0046020B">
        <w:rPr>
          <w:rFonts w:cstheme="minorHAnsi"/>
        </w:rPr>
        <w:t xml:space="preserve">tra pochi giorni </w:t>
      </w:r>
      <w:r w:rsidR="00D640C7">
        <w:rPr>
          <w:rFonts w:cstheme="minorHAnsi"/>
        </w:rPr>
        <w:t xml:space="preserve">con la </w:t>
      </w:r>
      <w:r w:rsidR="005B724E" w:rsidRPr="0046020B">
        <w:rPr>
          <w:rFonts w:cstheme="minorHAnsi"/>
        </w:rPr>
        <w:t xml:space="preserve">nota di aggiornamento del DEF 2018. In particolare, si attende </w:t>
      </w:r>
      <w:r w:rsidRPr="0046020B">
        <w:rPr>
          <w:rFonts w:cstheme="minorHAnsi"/>
        </w:rPr>
        <w:t>quel</w:t>
      </w:r>
      <w:r w:rsidR="005B724E" w:rsidRPr="0046020B">
        <w:rPr>
          <w:rFonts w:cstheme="minorHAnsi"/>
        </w:rPr>
        <w:t>l’inversione di tendenza del rapporto spesa sanitaria/PIL annunciata anche dalle parole del Premier Conte nel discorso per la fiducia</w:t>
      </w:r>
      <w:r w:rsidR="00777C0A" w:rsidRPr="0046020B">
        <w:rPr>
          <w:rFonts w:cstheme="minorHAnsi"/>
        </w:rPr>
        <w:t>.</w:t>
      </w:r>
      <w:r w:rsidR="00777C0A" w:rsidRPr="0046020B" w:rsidDel="00777C0A">
        <w:rPr>
          <w:rFonts w:cstheme="minorHAnsi"/>
        </w:rPr>
        <w:t xml:space="preserve"> </w:t>
      </w:r>
      <w:r w:rsidR="00777C0A" w:rsidRPr="0046020B">
        <w:rPr>
          <w:rFonts w:cstheme="minorHAnsi"/>
        </w:rPr>
        <w:t xml:space="preserve">Se così non fosse, le rassicuranti dichiarazioni di intenti con cui si apre il capitolo Sanità nel “Contratto per il Governo del Cambiamento” rimarranno lettera morta, lasciando ancora una volta che sia il </w:t>
      </w:r>
      <w:r w:rsidR="004E6B7B" w:rsidRPr="0046020B">
        <w:rPr>
          <w:rFonts w:cstheme="minorHAnsi"/>
        </w:rPr>
        <w:t>futuro a prendersi cura del SSN</w:t>
      </w:r>
      <w:r w:rsidRPr="0046020B">
        <w:rPr>
          <w:rFonts w:cstheme="minorHAnsi"/>
        </w:rPr>
        <w:t>».</w:t>
      </w:r>
      <w:r w:rsidR="005B724E" w:rsidRPr="0046020B">
        <w:rPr>
          <w:rFonts w:cstheme="minorHAnsi"/>
        </w:rPr>
        <w:t xml:space="preserve">  </w:t>
      </w:r>
    </w:p>
    <w:p w:rsidR="00996C28" w:rsidRPr="0046020B" w:rsidRDefault="00815D4F" w:rsidP="0046020B">
      <w:pPr>
        <w:spacing w:after="0"/>
        <w:jc w:val="both"/>
        <w:rPr>
          <w:rFonts w:cstheme="minorHAnsi"/>
        </w:rPr>
      </w:pPr>
      <w:r w:rsidRPr="0046020B">
        <w:rPr>
          <w:rFonts w:cstheme="minorHAnsi"/>
        </w:rPr>
        <w:t>Il Report “</w:t>
      </w:r>
      <w:r w:rsidR="00314A83" w:rsidRPr="0046020B">
        <w:rPr>
          <w:rFonts w:cstheme="minorHAnsi"/>
        </w:rPr>
        <w:t>Analisi delle proposte su sanità e ricerca biomedica del “Contratto per il Governo del Cambiamento”</w:t>
      </w:r>
      <w:r w:rsidRPr="0046020B">
        <w:rPr>
          <w:rFonts w:cstheme="minorHAnsi"/>
        </w:rPr>
        <w:t xml:space="preserve">” </w:t>
      </w:r>
      <w:r w:rsidR="00754EA3" w:rsidRPr="0046020B">
        <w:rPr>
          <w:rFonts w:cstheme="minorHAnsi"/>
        </w:rPr>
        <w:t>è disponibile a</w:t>
      </w:r>
      <w:r w:rsidR="00677934" w:rsidRPr="0046020B">
        <w:rPr>
          <w:rFonts w:cstheme="minorHAnsi"/>
        </w:rPr>
        <w:t>ll’indirizzo web</w:t>
      </w:r>
      <w:r w:rsidR="00754EA3" w:rsidRPr="0046020B">
        <w:rPr>
          <w:rFonts w:cstheme="minorHAnsi"/>
        </w:rPr>
        <w:t xml:space="preserve">: </w:t>
      </w:r>
      <w:r w:rsidRPr="0046020B">
        <w:rPr>
          <w:rFonts w:cstheme="minorHAnsi"/>
        </w:rPr>
        <w:t>www.gimbe.org/</w:t>
      </w:r>
      <w:r w:rsidR="00656745">
        <w:rPr>
          <w:rFonts w:cstheme="minorHAnsi"/>
        </w:rPr>
        <w:t>contratto-governo</w:t>
      </w:r>
      <w:r w:rsidR="000924AD" w:rsidRPr="0046020B">
        <w:rPr>
          <w:rFonts w:cstheme="minorHAnsi"/>
        </w:rPr>
        <w:t>.</w:t>
      </w:r>
    </w:p>
    <w:p w:rsidR="000924AD" w:rsidRPr="005240BD" w:rsidRDefault="000924AD" w:rsidP="000924AD">
      <w:pPr>
        <w:spacing w:after="0"/>
        <w:rPr>
          <w:rFonts w:cstheme="minorHAnsi"/>
        </w:rPr>
      </w:pPr>
    </w:p>
    <w:p w:rsidR="00DC2A0C" w:rsidRPr="005240BD" w:rsidRDefault="00DC2A0C" w:rsidP="00DC2A0C">
      <w:pPr>
        <w:spacing w:after="0"/>
        <w:rPr>
          <w:rFonts w:eastAsia="Calibri" w:cstheme="minorHAnsi"/>
        </w:rPr>
      </w:pPr>
      <w:r w:rsidRPr="005240BD">
        <w:rPr>
          <w:rFonts w:eastAsia="Calibri" w:cstheme="minorHAnsi"/>
          <w:b/>
          <w:bCs/>
        </w:rPr>
        <w:t>Fondazione GIMBE</w:t>
      </w:r>
      <w:r w:rsidRPr="005240BD">
        <w:rPr>
          <w:rFonts w:eastAsia="Calibri" w:cstheme="minorHAnsi"/>
        </w:rPr>
        <w:br/>
        <w:t>Via Amendola 2 - 40121 Bologna</w:t>
      </w:r>
    </w:p>
    <w:p w:rsidR="00DC2A0C" w:rsidRPr="005240BD" w:rsidRDefault="00DC2A0C" w:rsidP="00DC2A0C">
      <w:pPr>
        <w:spacing w:after="0"/>
        <w:rPr>
          <w:rFonts w:eastAsia="Calibri" w:cstheme="minorHAnsi"/>
        </w:rPr>
      </w:pPr>
      <w:r w:rsidRPr="005240BD">
        <w:rPr>
          <w:rFonts w:eastAsia="Calibri" w:cstheme="minorHAnsi"/>
        </w:rPr>
        <w:t>Tel. 051 5883920 - Fax 051 4075774</w:t>
      </w:r>
    </w:p>
    <w:p w:rsidR="005240BD" w:rsidRDefault="00DC2A0C" w:rsidP="00815D4F">
      <w:pPr>
        <w:spacing w:after="0"/>
        <w:rPr>
          <w:rStyle w:val="Collegamentoipertestuale"/>
          <w:rFonts w:eastAsia="Calibri" w:cstheme="minorHAnsi"/>
        </w:rPr>
      </w:pPr>
      <w:r w:rsidRPr="005240BD">
        <w:rPr>
          <w:rFonts w:eastAsia="Calibri" w:cstheme="minorHAnsi"/>
        </w:rPr>
        <w:t xml:space="preserve">E-mail: </w:t>
      </w:r>
      <w:hyperlink r:id="rId8" w:history="1">
        <w:r w:rsidR="004E472B" w:rsidRPr="00066CA1">
          <w:rPr>
            <w:rStyle w:val="Collegamentoipertestuale"/>
            <w:rFonts w:eastAsia="Calibri" w:cstheme="minorHAnsi"/>
          </w:rPr>
          <w:t>ufficio.stampa@gimbe.org</w:t>
        </w:r>
      </w:hyperlink>
    </w:p>
    <w:p w:rsidR="00DB56F6" w:rsidRDefault="00DB56F6" w:rsidP="00815D4F">
      <w:pPr>
        <w:spacing w:after="0"/>
        <w:rPr>
          <w:rStyle w:val="Collegamentoipertestuale"/>
          <w:rFonts w:eastAsia="Calibri" w:cstheme="minorHAnsi"/>
        </w:rPr>
      </w:pPr>
    </w:p>
    <w:p w:rsidR="00DB56F6" w:rsidRDefault="00DB56F6">
      <w:pPr>
        <w:rPr>
          <w:rStyle w:val="Collegamentoipertestuale"/>
          <w:rFonts w:eastAsia="Calibri" w:cstheme="minorHAnsi"/>
        </w:rPr>
      </w:pPr>
      <w:r>
        <w:rPr>
          <w:rStyle w:val="Collegamentoipertestuale"/>
          <w:rFonts w:eastAsia="Calibri" w:cstheme="minorHAnsi"/>
        </w:rPr>
        <w:br w:type="page"/>
      </w:r>
      <w:bookmarkStart w:id="0" w:name="_GoBack"/>
      <w:bookmarkEnd w:id="0"/>
    </w:p>
    <w:p w:rsidR="00DB56F6" w:rsidRPr="00D17072" w:rsidRDefault="00DB56F6" w:rsidP="00661FE9">
      <w:pPr>
        <w:pStyle w:val="Titolo2"/>
        <w:spacing w:after="300"/>
        <w:jc w:val="center"/>
        <w:rPr>
          <w:rFonts w:ascii="Cambria" w:hAnsi="Cambria"/>
          <w:color w:val="1F497D" w:themeColor="text2"/>
          <w:lang w:val="it-IT"/>
        </w:rPr>
      </w:pPr>
      <w:bookmarkStart w:id="1" w:name="_Toc524962806"/>
      <w:r w:rsidRPr="00D17072">
        <w:rPr>
          <w:rFonts w:ascii="Cambria" w:hAnsi="Cambria"/>
          <w:color w:val="1F497D" w:themeColor="text2"/>
          <w:lang w:val="it-IT"/>
        </w:rPr>
        <w:lastRenderedPageBreak/>
        <w:t xml:space="preserve">ALLEGATO. </w:t>
      </w:r>
      <w:r w:rsidR="00D17072" w:rsidRPr="00D17072">
        <w:rPr>
          <w:rFonts w:ascii="Cambria" w:hAnsi="Cambria"/>
          <w:color w:val="1F497D" w:themeColor="text2"/>
          <w:lang w:val="it-IT"/>
        </w:rPr>
        <w:t xml:space="preserve">Fondazione GIMBE. Analisi delle proposte su sanità e ricerca biomedica del “Contratto per il Governo del Cambiamento”. </w:t>
      </w:r>
      <w:r w:rsidR="00D17072">
        <w:rPr>
          <w:rFonts w:ascii="Cambria" w:hAnsi="Cambria"/>
          <w:color w:val="1F497D" w:themeColor="text2"/>
          <w:lang w:val="it-IT"/>
        </w:rPr>
        <w:br/>
        <w:t>T</w:t>
      </w:r>
      <w:r w:rsidRPr="00D17072">
        <w:rPr>
          <w:rFonts w:ascii="Cambria" w:hAnsi="Cambria"/>
          <w:color w:val="1F497D" w:themeColor="text2"/>
          <w:lang w:val="it-IT"/>
        </w:rPr>
        <w:t>abella sinottica</w:t>
      </w:r>
      <w:bookmarkEnd w:id="1"/>
      <w:r w:rsidR="00D17072">
        <w:rPr>
          <w:rFonts w:ascii="Cambria" w:hAnsi="Cambria"/>
          <w:color w:val="1F497D" w:themeColor="text2"/>
          <w:lang w:val="it-IT"/>
        </w:rPr>
        <w:t xml:space="preserve"> dei risultati</w:t>
      </w:r>
    </w:p>
    <w:p w:rsidR="00DB56F6" w:rsidRPr="005F2701" w:rsidRDefault="00DB56F6" w:rsidP="00DB56F6">
      <w:pPr>
        <w:jc w:val="both"/>
        <w:rPr>
          <w:rFonts w:ascii="Cambria" w:hAnsi="Cambria"/>
        </w:rPr>
      </w:pPr>
      <w:r w:rsidRPr="005F2701">
        <w:rPr>
          <w:rFonts w:ascii="Cambria" w:hAnsi="Cambria"/>
        </w:rPr>
        <w:t xml:space="preserve">La valutazione </w:t>
      </w:r>
      <w:r>
        <w:rPr>
          <w:rFonts w:ascii="Cambria" w:hAnsi="Cambria"/>
        </w:rPr>
        <w:t>della coerenza e della completezza delle proposte ha utilizzato, per ciascun item d</w:t>
      </w:r>
      <w:r w:rsidR="00D17072">
        <w:rPr>
          <w:rFonts w:ascii="Cambria" w:hAnsi="Cambria"/>
        </w:rPr>
        <w:t xml:space="preserve">el “piano di salvataggio GIMBE”, </w:t>
      </w:r>
      <w:r>
        <w:rPr>
          <w:rFonts w:ascii="Cambria" w:hAnsi="Cambria"/>
        </w:rPr>
        <w:t>i seguenti emoticon</w:t>
      </w:r>
      <w:r w:rsidRPr="005F2701">
        <w:rPr>
          <w:rFonts w:ascii="Cambria" w:hAnsi="Cambria"/>
        </w:rPr>
        <w:t>:</w:t>
      </w:r>
    </w:p>
    <w:tbl>
      <w:tblPr>
        <w:tblW w:w="9889" w:type="dxa"/>
        <w:tblCellMar>
          <w:left w:w="0" w:type="dxa"/>
          <w:right w:w="0" w:type="dxa"/>
        </w:tblCellMar>
        <w:tblLook w:val="04A0" w:firstRow="1" w:lastRow="0" w:firstColumn="1" w:lastColumn="0" w:noHBand="0" w:noVBand="1"/>
      </w:tblPr>
      <w:tblGrid>
        <w:gridCol w:w="906"/>
        <w:gridCol w:w="2463"/>
        <w:gridCol w:w="863"/>
        <w:gridCol w:w="2478"/>
        <w:gridCol w:w="769"/>
        <w:gridCol w:w="2410"/>
      </w:tblGrid>
      <w:tr w:rsidR="00DB56F6" w:rsidRPr="003A37B6" w:rsidTr="00DB56F6">
        <w:trPr>
          <w:trHeight w:val="964"/>
        </w:trPr>
        <w:tc>
          <w:tcPr>
            <w:tcW w:w="906" w:type="dxa"/>
            <w:tcMar>
              <w:top w:w="0" w:type="dxa"/>
              <w:left w:w="108" w:type="dxa"/>
              <w:bottom w:w="0" w:type="dxa"/>
              <w:right w:w="108" w:type="dxa"/>
            </w:tcMar>
            <w:vAlign w:val="center"/>
            <w:hideMark/>
          </w:tcPr>
          <w:p w:rsidR="00DB56F6" w:rsidRPr="005F2701" w:rsidRDefault="00DB56F6" w:rsidP="00DB56F6">
            <w:pPr>
              <w:rPr>
                <w:rFonts w:ascii="Cambria" w:hAnsi="Cambria" w:cs="Calibri"/>
              </w:rPr>
            </w:pPr>
            <w:r w:rsidRPr="005F2701">
              <w:rPr>
                <w:rFonts w:ascii="Cambria" w:hAnsi="Cambria"/>
                <w:noProof/>
                <w:lang w:eastAsia="it-IT"/>
              </w:rPr>
              <w:drawing>
                <wp:inline distT="0" distB="0" distL="0" distR="0" wp14:anchorId="7B2FF751" wp14:editId="7A2FEA9D">
                  <wp:extent cx="433705" cy="433705"/>
                  <wp:effectExtent l="0" t="0" r="4445" b="4445"/>
                  <wp:docPr id="16" name="Immagine 16" descr="cid:image001.jpg@01D43EAC.1A4BF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3EAC.1A4BF6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3705" cy="433705"/>
                          </a:xfrm>
                          <a:prstGeom prst="rect">
                            <a:avLst/>
                          </a:prstGeom>
                          <a:noFill/>
                          <a:ln>
                            <a:noFill/>
                          </a:ln>
                        </pic:spPr>
                      </pic:pic>
                    </a:graphicData>
                  </a:graphic>
                </wp:inline>
              </w:drawing>
            </w:r>
          </w:p>
        </w:tc>
        <w:tc>
          <w:tcPr>
            <w:tcW w:w="2463" w:type="dxa"/>
            <w:tcMar>
              <w:top w:w="0" w:type="dxa"/>
              <w:left w:w="108" w:type="dxa"/>
              <w:bottom w:w="0" w:type="dxa"/>
              <w:right w:w="108" w:type="dxa"/>
            </w:tcMar>
            <w:vAlign w:val="center"/>
            <w:hideMark/>
          </w:tcPr>
          <w:p w:rsidR="00DB56F6" w:rsidRPr="005F2701" w:rsidRDefault="00DB56F6" w:rsidP="00DB56F6">
            <w:pPr>
              <w:rPr>
                <w:rFonts w:ascii="Cambria" w:hAnsi="Cambria" w:cs="Calibri"/>
              </w:rPr>
            </w:pPr>
            <w:r w:rsidRPr="005F2701">
              <w:rPr>
                <w:rFonts w:ascii="Cambria" w:hAnsi="Cambria"/>
              </w:rPr>
              <w:t xml:space="preserve">Le proposte soddisfano </w:t>
            </w:r>
            <w:r>
              <w:rPr>
                <w:rFonts w:ascii="Cambria" w:hAnsi="Cambria"/>
              </w:rPr>
              <w:br/>
            </w:r>
            <w:r w:rsidRPr="005F2701">
              <w:rPr>
                <w:rFonts w:ascii="Cambria" w:hAnsi="Cambria"/>
              </w:rPr>
              <w:t>pienamente l’item</w:t>
            </w:r>
          </w:p>
        </w:tc>
        <w:tc>
          <w:tcPr>
            <w:tcW w:w="863" w:type="dxa"/>
            <w:vAlign w:val="center"/>
          </w:tcPr>
          <w:p w:rsidR="00DB56F6" w:rsidRPr="005F2701" w:rsidRDefault="00DB56F6" w:rsidP="00DB56F6">
            <w:pPr>
              <w:rPr>
                <w:rFonts w:ascii="Cambria" w:hAnsi="Cambria"/>
              </w:rPr>
            </w:pPr>
            <w:r>
              <w:rPr>
                <w:rFonts w:ascii="Cambria" w:hAnsi="Cambria" w:cs="Calibri"/>
                <w:noProof/>
                <w:lang w:eastAsia="it-IT"/>
              </w:rPr>
              <w:drawing>
                <wp:inline distT="0" distB="0" distL="0" distR="0" wp14:anchorId="642B1689" wp14:editId="640C7B41">
                  <wp:extent cx="436880" cy="436880"/>
                  <wp:effectExtent l="0" t="0" r="1270" b="1270"/>
                  <wp:docPr id="3" name="Immagine 3" descr="C:\Users\Nino Cartabellotta\AppData\Local\Microsoft\Windows\INetCache\Content.Outlook\YQLWJSVP\emoticon_aran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o Cartabellotta\AppData\Local\Microsoft\Windows\INetCache\Content.Outlook\YQLWJSVP\emoticon_aranci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p>
        </w:tc>
        <w:tc>
          <w:tcPr>
            <w:tcW w:w="2478" w:type="dxa"/>
            <w:vAlign w:val="center"/>
          </w:tcPr>
          <w:p w:rsidR="00DB56F6" w:rsidRPr="005F2701" w:rsidRDefault="00DB56F6" w:rsidP="00DB56F6">
            <w:pPr>
              <w:rPr>
                <w:rFonts w:ascii="Cambria" w:hAnsi="Cambria"/>
              </w:rPr>
            </w:pPr>
            <w:r w:rsidRPr="005F2701">
              <w:rPr>
                <w:rFonts w:ascii="Cambria" w:hAnsi="Cambria"/>
              </w:rPr>
              <w:t>Le proposte soddisfano parzialmente l’item</w:t>
            </w:r>
          </w:p>
        </w:tc>
        <w:tc>
          <w:tcPr>
            <w:tcW w:w="769" w:type="dxa"/>
            <w:vAlign w:val="center"/>
          </w:tcPr>
          <w:p w:rsidR="00DB56F6" w:rsidRPr="005F2701" w:rsidRDefault="00DB56F6" w:rsidP="00DB56F6">
            <w:pPr>
              <w:rPr>
                <w:rFonts w:ascii="Cambria" w:hAnsi="Cambria"/>
              </w:rPr>
            </w:pPr>
            <w:r w:rsidRPr="005F2701">
              <w:rPr>
                <w:rFonts w:ascii="Cambria" w:hAnsi="Cambria"/>
                <w:noProof/>
                <w:lang w:eastAsia="it-IT"/>
              </w:rPr>
              <w:drawing>
                <wp:inline distT="0" distB="0" distL="0" distR="0" wp14:anchorId="463BC945" wp14:editId="7EA53C7F">
                  <wp:extent cx="433705" cy="433705"/>
                  <wp:effectExtent l="0" t="0" r="4445" b="4445"/>
                  <wp:docPr id="13" name="Immagine 13" descr="cid:image004.jpg@01D43EAC.1A4BF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43EAC.1A4BF6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33705" cy="433705"/>
                          </a:xfrm>
                          <a:prstGeom prst="rect">
                            <a:avLst/>
                          </a:prstGeom>
                          <a:noFill/>
                          <a:ln>
                            <a:noFill/>
                          </a:ln>
                        </pic:spPr>
                      </pic:pic>
                    </a:graphicData>
                  </a:graphic>
                </wp:inline>
              </w:drawing>
            </w:r>
          </w:p>
        </w:tc>
        <w:tc>
          <w:tcPr>
            <w:tcW w:w="2410" w:type="dxa"/>
            <w:vAlign w:val="center"/>
          </w:tcPr>
          <w:p w:rsidR="00DB56F6" w:rsidRPr="005F2701" w:rsidRDefault="00DB56F6" w:rsidP="00DB56F6">
            <w:pPr>
              <w:rPr>
                <w:rFonts w:ascii="Cambria" w:hAnsi="Cambria"/>
              </w:rPr>
            </w:pPr>
            <w:r>
              <w:rPr>
                <w:rFonts w:ascii="Cambria" w:hAnsi="Cambria"/>
              </w:rPr>
              <w:t xml:space="preserve">Non esiste </w:t>
            </w:r>
            <w:r w:rsidRPr="005F2701">
              <w:rPr>
                <w:rFonts w:ascii="Cambria" w:hAnsi="Cambria"/>
              </w:rPr>
              <w:t>alcuna proposta relativa all’item</w:t>
            </w:r>
          </w:p>
        </w:tc>
      </w:tr>
    </w:tbl>
    <w:p w:rsidR="00DB56F6" w:rsidRDefault="00DB56F6" w:rsidP="00DB56F6">
      <w:pPr>
        <w:spacing w:after="0"/>
        <w:rPr>
          <w:sz w:val="18"/>
          <w:lang w:eastAsia="zh-CN"/>
        </w:rPr>
      </w:pPr>
    </w:p>
    <w:p w:rsidR="00D17072" w:rsidRPr="00DB56F6" w:rsidRDefault="00D17072" w:rsidP="00DB56F6">
      <w:pPr>
        <w:spacing w:after="0"/>
        <w:rPr>
          <w:sz w:val="18"/>
          <w:lang w:eastAsia="zh-CN"/>
        </w:rPr>
      </w:pPr>
    </w:p>
    <w:tbl>
      <w:tblPr>
        <w:tblStyle w:val="Grigliatabella"/>
        <w:tblW w:w="5000" w:type="pct"/>
        <w:jc w:val="center"/>
        <w:tblCellMar>
          <w:top w:w="108" w:type="dxa"/>
          <w:bottom w:w="108" w:type="dxa"/>
        </w:tblCellMar>
        <w:tblLook w:val="04A0" w:firstRow="1" w:lastRow="0" w:firstColumn="1" w:lastColumn="0" w:noHBand="0" w:noVBand="1"/>
      </w:tblPr>
      <w:tblGrid>
        <w:gridCol w:w="8640"/>
        <w:gridCol w:w="988"/>
      </w:tblGrid>
      <w:tr w:rsidR="00DB56F6" w:rsidRPr="005F2701" w:rsidTr="00DB56F6">
        <w:trPr>
          <w:jc w:val="center"/>
        </w:trPr>
        <w:tc>
          <w:tcPr>
            <w:tcW w:w="4487" w:type="pct"/>
            <w:shd w:val="clear" w:color="auto" w:fill="00457D"/>
            <w:vAlign w:val="center"/>
          </w:tcPr>
          <w:p w:rsidR="00DB56F6" w:rsidRPr="004D0B13" w:rsidRDefault="00DB56F6" w:rsidP="00410E38">
            <w:pPr>
              <w:spacing w:line="240" w:lineRule="atLeast"/>
              <w:rPr>
                <w:rFonts w:ascii="Cambria" w:hAnsi="Cambria" w:cstheme="minorHAnsi"/>
                <w:b/>
                <w:color w:val="FFFFFF" w:themeColor="background1"/>
                <w:sz w:val="24"/>
                <w:szCs w:val="24"/>
              </w:rPr>
            </w:pPr>
            <w:r w:rsidRPr="004D0B13">
              <w:rPr>
                <w:rFonts w:ascii="Cambria" w:hAnsi="Cambria" w:cstheme="minorHAnsi"/>
                <w:b/>
                <w:color w:val="FFFFFF" w:themeColor="background1"/>
                <w:sz w:val="24"/>
                <w:szCs w:val="24"/>
              </w:rPr>
              <w:t>1. Salute al centro di tutte le decisioni politiche non solo sanitarie, ma anche industriali, ambientali, sociali, economiche e fiscali</w:t>
            </w:r>
          </w:p>
        </w:tc>
        <w:tc>
          <w:tcPr>
            <w:tcW w:w="513" w:type="pct"/>
            <w:shd w:val="clear" w:color="auto" w:fill="auto"/>
          </w:tcPr>
          <w:p w:rsidR="00DB56F6" w:rsidRPr="005F2701" w:rsidRDefault="00DB56F6" w:rsidP="00410E38">
            <w:pPr>
              <w:jc w:val="center"/>
              <w:rPr>
                <w:rFonts w:ascii="Cambria" w:hAnsi="Cambria" w:cstheme="minorHAnsi"/>
                <w:b/>
                <w:color w:val="FFFFFF" w:themeColor="background1"/>
                <w:sz w:val="24"/>
                <w:szCs w:val="24"/>
              </w:rPr>
            </w:pPr>
            <w:r w:rsidRPr="005F2701">
              <w:rPr>
                <w:rFonts w:ascii="Cambria" w:hAnsi="Cambria"/>
                <w:noProof/>
                <w:sz w:val="24"/>
                <w:szCs w:val="24"/>
                <w:lang w:eastAsia="it-IT"/>
              </w:rPr>
              <w:drawing>
                <wp:inline distT="0" distB="0" distL="0" distR="0" wp14:anchorId="108BB309" wp14:editId="5A6011B9">
                  <wp:extent cx="432000" cy="432000"/>
                  <wp:effectExtent l="0" t="0" r="6350" b="6350"/>
                  <wp:docPr id="2" name="Immagine 2" descr="smile_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mile_verde"/>
                          <pic:cNvPicPr>
                            <a:picLocks noChangeAspect="1" noChangeArrowheads="1"/>
                          </pic:cNvPicPr>
                        </pic:nvPicPr>
                        <pic:blipFill>
                          <a:blip r:embed="rId9" r:link="rId14">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1A51CC" w:rsidRDefault="00DB56F6" w:rsidP="00410E38">
            <w:pPr>
              <w:spacing w:line="276" w:lineRule="auto"/>
              <w:jc w:val="both"/>
              <w:rPr>
                <w:rFonts w:ascii="Cambria" w:hAnsi="Cambria" w:cstheme="minorHAnsi"/>
                <w:color w:val="FF0000"/>
                <w:szCs w:val="24"/>
              </w:rPr>
            </w:pPr>
            <w:r w:rsidRPr="003D6D6B">
              <w:rPr>
                <w:rFonts w:ascii="Cambria" w:hAnsi="Cambria" w:cstheme="minorHAnsi"/>
                <w:szCs w:val="24"/>
              </w:rPr>
              <w:t>Item pienamente soddisfatto da</w:t>
            </w:r>
            <w:r>
              <w:rPr>
                <w:rFonts w:ascii="Cambria" w:hAnsi="Cambria" w:cstheme="minorHAnsi"/>
                <w:szCs w:val="24"/>
              </w:rPr>
              <w:t xml:space="preserve"> molteplici</w:t>
            </w:r>
            <w:r w:rsidRPr="003D6D6B">
              <w:rPr>
                <w:rFonts w:ascii="Cambria" w:hAnsi="Cambria" w:cstheme="minorHAnsi"/>
                <w:szCs w:val="24"/>
              </w:rPr>
              <w:t xml:space="preserve"> </w:t>
            </w:r>
            <w:r>
              <w:rPr>
                <w:rFonts w:ascii="Cambria" w:hAnsi="Cambria" w:cstheme="minorHAnsi"/>
                <w:szCs w:val="24"/>
              </w:rPr>
              <w:t>proposte contenute in vari capitoli del Contratto: dall’acqua pubblica all’ambiente, green-economy e rifiuti zero; dall’</w:t>
            </w:r>
            <w:r w:rsidRPr="003D6D6B">
              <w:rPr>
                <w:rFonts w:ascii="Cambria" w:hAnsi="Cambria" w:cstheme="minorHAnsi"/>
                <w:szCs w:val="24"/>
              </w:rPr>
              <w:t xml:space="preserve">implementazione delle leggi </w:t>
            </w:r>
            <w:r>
              <w:rPr>
                <w:rFonts w:ascii="Cambria" w:hAnsi="Cambria" w:cstheme="minorHAnsi"/>
                <w:szCs w:val="24"/>
              </w:rPr>
              <w:t xml:space="preserve">sui </w:t>
            </w:r>
            <w:r w:rsidRPr="003D6D6B">
              <w:rPr>
                <w:rFonts w:ascii="Cambria" w:hAnsi="Cambria" w:cstheme="minorHAnsi"/>
                <w:szCs w:val="24"/>
              </w:rPr>
              <w:t>reati ambientali</w:t>
            </w:r>
            <w:r>
              <w:rPr>
                <w:rFonts w:ascii="Cambria" w:hAnsi="Cambria" w:cstheme="minorHAnsi"/>
                <w:szCs w:val="24"/>
              </w:rPr>
              <w:t xml:space="preserve"> alle politiche per la famiglia e la natalità; dalla c</w:t>
            </w:r>
            <w:r w:rsidRPr="003D6D6B">
              <w:rPr>
                <w:rFonts w:ascii="Cambria" w:hAnsi="Cambria" w:cstheme="minorHAnsi"/>
                <w:szCs w:val="24"/>
              </w:rPr>
              <w:t>yber security e contrasto al bullismo</w:t>
            </w:r>
            <w:r>
              <w:rPr>
                <w:rFonts w:ascii="Cambria" w:hAnsi="Cambria" w:cstheme="minorHAnsi"/>
                <w:szCs w:val="24"/>
              </w:rPr>
              <w:t xml:space="preserve"> e al gioco d’azzardo alla promozione dello sport; dalla sicurezza stradale, a </w:t>
            </w:r>
            <w:r w:rsidRPr="001A51CC">
              <w:rPr>
                <w:rFonts w:ascii="Cambria" w:hAnsi="Cambria" w:cstheme="minorHAnsi"/>
                <w:szCs w:val="24"/>
              </w:rPr>
              <w:t>trasporti, infrastrutture e telecomunicazioni</w:t>
            </w:r>
            <w:r>
              <w:rPr>
                <w:rFonts w:ascii="Cambria" w:hAnsi="Cambria" w:cstheme="minorHAnsi"/>
                <w:szCs w:val="24"/>
              </w:rPr>
              <w:t xml:space="preserve">. Nessuna considerazione sulle modalità con cui gestire ogni possibile riduzione della produzione economica conseguente all’implementazione di tali politiche. </w:t>
            </w:r>
          </w:p>
        </w:tc>
      </w:tr>
      <w:tr w:rsidR="00DB56F6" w:rsidRPr="005F2701" w:rsidTr="00DB56F6">
        <w:trPr>
          <w:jc w:val="center"/>
        </w:trPr>
        <w:tc>
          <w:tcPr>
            <w:tcW w:w="4487" w:type="pct"/>
            <w:shd w:val="clear" w:color="auto" w:fill="00457D"/>
            <w:vAlign w:val="center"/>
          </w:tcPr>
          <w:p w:rsidR="00DB56F6" w:rsidRPr="00296AA3" w:rsidRDefault="00DB56F6" w:rsidP="00410E38">
            <w:pPr>
              <w:spacing w:line="240" w:lineRule="atLeast"/>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t>2. Certezze sulle risorse per la sanità: stop alle periodiche revisioni al ribasso e rilancio del finanziamento pubblico</w:t>
            </w:r>
          </w:p>
        </w:tc>
        <w:tc>
          <w:tcPr>
            <w:tcW w:w="513" w:type="pct"/>
            <w:shd w:val="clear" w:color="auto" w:fill="auto"/>
          </w:tcPr>
          <w:p w:rsidR="00DB56F6" w:rsidRPr="005F2701" w:rsidRDefault="00DB56F6" w:rsidP="00410E38">
            <w:pPr>
              <w:jc w:val="center"/>
              <w:rPr>
                <w:rFonts w:ascii="Cambria" w:hAnsi="Cambria" w:cstheme="minorHAnsi"/>
                <w:b/>
                <w:color w:val="FFFFFF" w:themeColor="background1"/>
                <w:sz w:val="24"/>
                <w:szCs w:val="24"/>
              </w:rPr>
            </w:pPr>
            <w:r>
              <w:rPr>
                <w:rFonts w:ascii="Cambria" w:hAnsi="Cambria" w:cstheme="minorHAnsi"/>
                <w:b/>
                <w:noProof/>
                <w:color w:val="FFFFFF" w:themeColor="background1"/>
                <w:sz w:val="24"/>
                <w:szCs w:val="24"/>
                <w:lang w:eastAsia="it-IT"/>
              </w:rPr>
              <w:drawing>
                <wp:inline distT="0" distB="0" distL="0" distR="0" wp14:anchorId="3294BB8D" wp14:editId="0EEBE5CB">
                  <wp:extent cx="436880" cy="436880"/>
                  <wp:effectExtent l="0" t="0" r="1270" b="1270"/>
                  <wp:docPr id="5" name="Immagine 5" descr="C:\Users\Nino Cartabellotta\AppData\Local\Microsoft\Windows\INetCache\Content.Outlook\YQLWJSVP\emoticon_aran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o Cartabellotta\AppData\Local\Microsoft\Windows\INetCache\Content.Outlook\YQLWJSVP\emoticon_aranci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DB56F6" w:rsidRDefault="00DB56F6" w:rsidP="00410E38">
            <w:pPr>
              <w:spacing w:line="276" w:lineRule="auto"/>
              <w:jc w:val="both"/>
              <w:rPr>
                <w:rFonts w:ascii="Cambria" w:hAnsi="Cambria"/>
                <w:spacing w:val="-4"/>
              </w:rPr>
            </w:pPr>
            <w:r w:rsidRPr="00DB56F6">
              <w:rPr>
                <w:rFonts w:ascii="Cambria" w:hAnsi="Cambria"/>
                <w:spacing w:val="-4"/>
              </w:rPr>
              <w:t xml:space="preserve">Il Contratto da un lato propone il “rifinanziamento del fondo sanitario nazionale” per garantire la reale sostenibilità dei LEA su tutto il territorio nazionale, dall’altro afferma che “il recupero delle risorse avverrà grazie ad una efficace lotta agli sprechi e alle inefficienze” (cfr. § item 7). In altri termini, se il Contratto afferma esplicitamente l’intenzione di recuperare risorse da sprechi e inefficienze, non dichiara in maniera altrettanto esplicita l’aumento nominale del fondo sanitario nazionale né l’inversione di tendenza del rapporto spesa sanitaria/PIL. Peraltro, “recuperare integralmente tutte le risorse economiche sottratte in questi anni con le diverse misure di finanza pubblica”, seppur nell’arco dell’intera legislatura, è un obiettivo molto ambizioso se riferito al 2015-2018 (oltre € 12 miliardi) che diventa utopistico se attribuito al periodo 2010-2018, visto che tra tagli e definanziamenti la cifra è prossima ai € 40 miliardi. </w:t>
            </w:r>
          </w:p>
        </w:tc>
      </w:tr>
      <w:tr w:rsidR="00DB56F6" w:rsidRPr="005F2701" w:rsidTr="00DB56F6">
        <w:trPr>
          <w:jc w:val="center"/>
        </w:trPr>
        <w:tc>
          <w:tcPr>
            <w:tcW w:w="4487" w:type="pct"/>
            <w:shd w:val="clear" w:color="auto" w:fill="00457D"/>
            <w:vAlign w:val="center"/>
          </w:tcPr>
          <w:p w:rsidR="00DB56F6" w:rsidRPr="00296AA3" w:rsidRDefault="00DB56F6" w:rsidP="00410E38">
            <w:pPr>
              <w:spacing w:line="240" w:lineRule="atLeast"/>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t>3. Maggiori capacità di indirizzo e verifica dello Stato sulle Regioni nel pieno rispetto delle loro autonomie</w:t>
            </w:r>
          </w:p>
        </w:tc>
        <w:tc>
          <w:tcPr>
            <w:tcW w:w="513" w:type="pct"/>
            <w:shd w:val="clear" w:color="auto" w:fill="auto"/>
          </w:tcPr>
          <w:p w:rsidR="00DB56F6" w:rsidRPr="005F2701" w:rsidRDefault="00DB56F6" w:rsidP="00410E38">
            <w:pPr>
              <w:rPr>
                <w:rFonts w:ascii="Cambria" w:hAnsi="Cambria" w:cstheme="minorHAnsi"/>
                <w:b/>
                <w:color w:val="FFFFFF" w:themeColor="background1"/>
                <w:sz w:val="24"/>
                <w:szCs w:val="24"/>
              </w:rPr>
            </w:pPr>
            <w:r>
              <w:rPr>
                <w:rFonts w:ascii="Cambria" w:hAnsi="Cambria" w:cstheme="minorHAnsi"/>
                <w:b/>
                <w:noProof/>
                <w:color w:val="FFFFFF" w:themeColor="background1"/>
                <w:sz w:val="24"/>
                <w:szCs w:val="24"/>
                <w:lang w:eastAsia="it-IT"/>
              </w:rPr>
              <w:drawing>
                <wp:inline distT="0" distB="0" distL="0" distR="0" wp14:anchorId="0ADB60DC" wp14:editId="1D1F8FAC">
                  <wp:extent cx="436880" cy="436880"/>
                  <wp:effectExtent l="0" t="0" r="1270" b="1270"/>
                  <wp:docPr id="6" name="Immagine 6" descr="C:\Users\Nino Cartabellotta\AppData\Local\Microsoft\Windows\INetCache\Content.Outlook\YQLWJSVP\emoticon_aran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no Cartabellotta\AppData\Local\Microsoft\Windows\INetCache\Content.Outlook\YQLWJSVP\emoticon_aranci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4E3002" w:rsidRDefault="00DB56F6" w:rsidP="00410E38">
            <w:pPr>
              <w:spacing w:line="276" w:lineRule="auto"/>
              <w:jc w:val="both"/>
              <w:rPr>
                <w:rFonts w:ascii="Cambria" w:hAnsi="Cambria"/>
                <w:spacing w:val="-2"/>
              </w:rPr>
            </w:pPr>
            <w:r w:rsidRPr="004E3002">
              <w:rPr>
                <w:rFonts w:ascii="Cambria" w:hAnsi="Cambria"/>
                <w:spacing w:val="-2"/>
              </w:rPr>
              <w:t xml:space="preserve">Vengono confermati gli attuali ruoli ed equilibri tra Governo e Regioni, ma il Contratto non prevede azioni per assegnare allo Stato maggiori capacità di indirizzo e verifica, né specifica le modalità con cui il Governo potrà garantire ai cittadini una corretta ed adeguata erogazione dei servizi sanitari su tutto il territorio nazionale. Più in generale, le proposte relative a questo item sono fortemente condizionate dalla differente visione delle due forze politiche che hanno sottoscritto il “Contratto per il Governo del Cambiamento”. Da una parte la visione centralista del M5S propone alcune azioni per potenziare le capacità di indirizzo e verifica delle Stato sulle Regioni, in particolare intervenendo sulla formazione e sui criteri di nomina e valutazione dei direttori generali delle aziende sanitarie; dall’altra la Lega spiana la strada al regionalismo differenziato. Infatti, quanto già definito negli accordi preliminari con Emilia Romagna, Lombardia e Veneto, relativamente alle maggiori autonomie in materia di sanità, rischia di </w:t>
            </w:r>
            <w:r w:rsidRPr="004E3002">
              <w:rPr>
                <w:rFonts w:ascii="Cambria" w:hAnsi="Cambria"/>
                <w:spacing w:val="-2"/>
              </w:rPr>
              <w:lastRenderedPageBreak/>
              <w:t>enfatizzare le diseguaglianze regionali perché condiziona indirettamente anche la definizione dei LEA che la legislazione concorrente assegna allo Stato. Infine, l’obiettivo di “rescindere il rapporto dannoso e arcaico fra politica e sanità” rimane un’asserzione tanto perentoria quanto evanescente: le azioni proposte sono infatti del tutto insufficienti, sia perché riferite esclusivamente ai criteri di nomina dei direttori generali, sanitari e amministrativi, oltre che dei dirigenti di strutture complesse, sia perché lasciano in carico a organi politici (Giunte regionali) la scelta dei direttori generali. In tal senso, nessun riferimento all’abolizione della figura del Commissario-Presidente ripristinata dalla Legge di Bilancio 2017, una delle azioni più semplici e immediate per “allentare” il rapporto tra politica e sanità.</w:t>
            </w:r>
          </w:p>
        </w:tc>
      </w:tr>
      <w:tr w:rsidR="00DB56F6" w:rsidRPr="005F2701" w:rsidTr="00DB56F6">
        <w:trPr>
          <w:jc w:val="center"/>
        </w:trPr>
        <w:tc>
          <w:tcPr>
            <w:tcW w:w="4487" w:type="pct"/>
            <w:shd w:val="clear" w:color="auto" w:fill="00457D"/>
            <w:vAlign w:val="center"/>
          </w:tcPr>
          <w:p w:rsidR="00DB56F6" w:rsidRPr="00296AA3" w:rsidRDefault="00DB56F6" w:rsidP="00410E38">
            <w:pPr>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lastRenderedPageBreak/>
              <w:t>4. Costruire un servizio socio-sanitario nazionale, perché i bisogni sociali sono strettamente correlati a quelli sanitari</w:t>
            </w:r>
          </w:p>
        </w:tc>
        <w:tc>
          <w:tcPr>
            <w:tcW w:w="513" w:type="pct"/>
            <w:shd w:val="clear" w:color="auto" w:fill="auto"/>
          </w:tcPr>
          <w:p w:rsidR="00DB56F6" w:rsidRPr="005F2701" w:rsidRDefault="00DB56F6" w:rsidP="00410E38">
            <w:pPr>
              <w:rPr>
                <w:rFonts w:ascii="Cambria" w:hAnsi="Cambria" w:cstheme="minorHAnsi"/>
                <w:b/>
                <w:color w:val="FFFFFF" w:themeColor="background1"/>
                <w:sz w:val="24"/>
                <w:szCs w:val="24"/>
              </w:rPr>
            </w:pPr>
            <w:r>
              <w:rPr>
                <w:rFonts w:ascii="Cambria" w:hAnsi="Cambria" w:cstheme="minorHAnsi"/>
                <w:b/>
                <w:noProof/>
                <w:color w:val="FFFFFF" w:themeColor="background1"/>
                <w:sz w:val="24"/>
                <w:szCs w:val="24"/>
                <w:lang w:eastAsia="it-IT"/>
              </w:rPr>
              <w:drawing>
                <wp:inline distT="0" distB="0" distL="0" distR="0" wp14:anchorId="5ED7725A" wp14:editId="0A4AE1BB">
                  <wp:extent cx="436880" cy="436880"/>
                  <wp:effectExtent l="0" t="0" r="1270" b="1270"/>
                  <wp:docPr id="7" name="Immagine 7" descr="C:\Users\Nino Cartabellotta\AppData\Local\Microsoft\Windows\INetCache\Content.Outlook\YQLWJSVP\emoticon_aran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no Cartabellotta\AppData\Local\Microsoft\Windows\INetCache\Content.Outlook\YQLWJSVP\emoticon_aranci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4E3002" w:rsidRDefault="00DB56F6" w:rsidP="00410E38">
            <w:pPr>
              <w:spacing w:line="276" w:lineRule="auto"/>
              <w:jc w:val="both"/>
              <w:rPr>
                <w:rFonts w:ascii="Cambria" w:hAnsi="Cambria"/>
                <w:spacing w:val="-2"/>
              </w:rPr>
            </w:pPr>
            <w:r w:rsidRPr="004E3002">
              <w:rPr>
                <w:rFonts w:ascii="Cambria" w:hAnsi="Cambria"/>
                <w:spacing w:val="-2"/>
              </w:rPr>
              <w:t>In varie sezioni del Contratto si ritrovano ineccepibili dichiarazioni d’intenti sull’assistenza socio-sanitaria e proposte coerenti, seppur relative ad azioni puntuali: aumento dell’indennità di invalidità civile, agevolazioni fiscali per i disabili, integrazione socio-sanitaria, riduzione dei fenomeni di maltrattamento nelle strutture per anziani, etc. Purtroppo considerato che gli investimenti nel socio-sanitario, sia a livello nazionale che degli Enti locali, presentano una enorme variabilità e un andamento non costante nel tempo, in assenza di un finanziamento stabile, qualsiasi programmazione socio-sanitaria rischia di essere vanificata.</w:t>
            </w:r>
          </w:p>
        </w:tc>
      </w:tr>
      <w:tr w:rsidR="00DB56F6" w:rsidRPr="005F2701" w:rsidTr="00DB56F6">
        <w:trPr>
          <w:jc w:val="center"/>
        </w:trPr>
        <w:tc>
          <w:tcPr>
            <w:tcW w:w="4487" w:type="pct"/>
            <w:shd w:val="clear" w:color="auto" w:fill="00457D"/>
          </w:tcPr>
          <w:p w:rsidR="00DB56F6" w:rsidRPr="00296AA3" w:rsidRDefault="00DB56F6" w:rsidP="00410E38">
            <w:pPr>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t>5. Ridisegnare il perimetro dei LEA secondo evidenze scientifiche e princìpi di costo-efficacia e rivalutare la detraibilità delle spese mediche secondo gli stessi criteri</w:t>
            </w:r>
          </w:p>
        </w:tc>
        <w:tc>
          <w:tcPr>
            <w:tcW w:w="513" w:type="pct"/>
            <w:shd w:val="clear" w:color="auto" w:fill="auto"/>
          </w:tcPr>
          <w:p w:rsidR="00DB56F6" w:rsidRPr="005F2701" w:rsidRDefault="00DB56F6" w:rsidP="00410E38">
            <w:pPr>
              <w:rPr>
                <w:rFonts w:ascii="Cambria" w:hAnsi="Cambria" w:cstheme="minorHAnsi"/>
                <w:b/>
                <w:color w:val="FFFFFF" w:themeColor="background1"/>
                <w:sz w:val="24"/>
                <w:szCs w:val="24"/>
              </w:rPr>
            </w:pPr>
            <w:r w:rsidRPr="005F2701">
              <w:rPr>
                <w:rFonts w:ascii="Cambria" w:hAnsi="Cambria"/>
                <w:noProof/>
                <w:sz w:val="24"/>
                <w:szCs w:val="24"/>
                <w:lang w:eastAsia="it-IT"/>
              </w:rPr>
              <w:drawing>
                <wp:inline distT="0" distB="0" distL="0" distR="0" wp14:anchorId="75C28026" wp14:editId="41BB1B01">
                  <wp:extent cx="432000" cy="432000"/>
                  <wp:effectExtent l="0" t="0" r="6350" b="6350"/>
                  <wp:docPr id="22" name="Immagine 22" descr="smile_ro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mile_rosso"/>
                          <pic:cNvPicPr>
                            <a:picLocks noChangeAspect="1" noChangeArrowheads="1"/>
                          </pic:cNvPicPr>
                        </pic:nvPicPr>
                        <pic:blipFill>
                          <a:blip r:embed="rId12" r:link="rId15">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296AA3" w:rsidRDefault="00DB56F6" w:rsidP="00410E38">
            <w:pPr>
              <w:rPr>
                <w:rFonts w:ascii="Cambria" w:hAnsi="Cambria" w:cstheme="minorHAnsi"/>
                <w:szCs w:val="24"/>
              </w:rPr>
            </w:pPr>
            <w:r>
              <w:rPr>
                <w:rFonts w:ascii="Cambria" w:hAnsi="Cambria" w:cstheme="minorHAnsi"/>
                <w:szCs w:val="24"/>
              </w:rPr>
              <w:t xml:space="preserve">Il </w:t>
            </w:r>
            <w:r w:rsidRPr="00296AA3">
              <w:rPr>
                <w:rFonts w:ascii="Cambria" w:hAnsi="Cambria" w:cstheme="minorHAnsi"/>
                <w:szCs w:val="24"/>
              </w:rPr>
              <w:t>Contratto non contiene nessuna proposta in merito.</w:t>
            </w:r>
          </w:p>
        </w:tc>
      </w:tr>
      <w:tr w:rsidR="00DB56F6" w:rsidRPr="005F2701" w:rsidTr="00DB56F6">
        <w:trPr>
          <w:jc w:val="center"/>
        </w:trPr>
        <w:tc>
          <w:tcPr>
            <w:tcW w:w="4487" w:type="pct"/>
            <w:shd w:val="clear" w:color="auto" w:fill="00457D"/>
            <w:vAlign w:val="center"/>
          </w:tcPr>
          <w:p w:rsidR="00DB56F6" w:rsidRPr="00296AA3" w:rsidRDefault="00DB56F6" w:rsidP="00410E38">
            <w:pPr>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t>6. Eliminare il superticket e definire criteri nazionali di compartecipazione alla spesa sanitaria equi e omogenei</w:t>
            </w:r>
          </w:p>
        </w:tc>
        <w:tc>
          <w:tcPr>
            <w:tcW w:w="513" w:type="pct"/>
            <w:shd w:val="clear" w:color="auto" w:fill="auto"/>
          </w:tcPr>
          <w:p w:rsidR="00DB56F6" w:rsidRPr="005F2701" w:rsidRDefault="00DB56F6" w:rsidP="00410E38">
            <w:pPr>
              <w:rPr>
                <w:rFonts w:ascii="Cambria" w:hAnsi="Cambria" w:cstheme="minorHAnsi"/>
                <w:b/>
                <w:color w:val="FFFFFF" w:themeColor="background1"/>
                <w:sz w:val="24"/>
                <w:szCs w:val="24"/>
              </w:rPr>
            </w:pPr>
            <w:r>
              <w:rPr>
                <w:rFonts w:ascii="Cambria" w:hAnsi="Cambria" w:cstheme="minorHAnsi"/>
                <w:b/>
                <w:noProof/>
                <w:color w:val="FFFFFF" w:themeColor="background1"/>
                <w:sz w:val="24"/>
                <w:szCs w:val="24"/>
                <w:lang w:eastAsia="it-IT"/>
              </w:rPr>
              <w:drawing>
                <wp:inline distT="0" distB="0" distL="0" distR="0" wp14:anchorId="4207D01A" wp14:editId="40C74E03">
                  <wp:extent cx="436880" cy="436880"/>
                  <wp:effectExtent l="0" t="0" r="1270" b="1270"/>
                  <wp:docPr id="8" name="Immagine 8" descr="C:\Users\Nino Cartabellotta\AppData\Local\Microsoft\Windows\INetCache\Content.Outlook\YQLWJSVP\emoticon_aran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no Cartabellotta\AppData\Local\Microsoft\Windows\INetCache\Content.Outlook\YQLWJSVP\emoticon_aranci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4E3002" w:rsidRDefault="00DB56F6" w:rsidP="00410E38">
            <w:pPr>
              <w:spacing w:line="276" w:lineRule="auto"/>
              <w:jc w:val="both"/>
              <w:rPr>
                <w:rFonts w:ascii="Cambria" w:hAnsi="Cambria"/>
                <w:spacing w:val="-2"/>
              </w:rPr>
            </w:pPr>
            <w:r w:rsidRPr="004E3002">
              <w:rPr>
                <w:rFonts w:ascii="Cambria" w:hAnsi="Cambria"/>
                <w:spacing w:val="-2"/>
              </w:rPr>
              <w:t>Il Contratto riporta solo una generica dichiarazione sulla volontà di ridurre al minimo la compartecipazione alla spesa sanitaria dei singoli cittadini, senza alcun riferimento né all’eliminazione del superticket, né alla revisione dei criteri di compartecipazione attualmente definiti e gestiti a livello regionale, al fine di uniformare i ticket su tutto il territorio nazionale.</w:t>
            </w:r>
          </w:p>
        </w:tc>
      </w:tr>
      <w:tr w:rsidR="00DB56F6" w:rsidRPr="005F2701" w:rsidTr="00DB56F6">
        <w:trPr>
          <w:jc w:val="center"/>
        </w:trPr>
        <w:tc>
          <w:tcPr>
            <w:tcW w:w="4487" w:type="pct"/>
            <w:shd w:val="clear" w:color="auto" w:fill="00457D"/>
            <w:vAlign w:val="center"/>
          </w:tcPr>
          <w:p w:rsidR="00DB56F6" w:rsidRPr="00296AA3" w:rsidRDefault="00DB56F6" w:rsidP="00410E38">
            <w:pPr>
              <w:spacing w:line="240" w:lineRule="atLeast"/>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t>7. Piano nazionale contro gli sprechi in sanità per recuperare almeno 1 dei 2 euro sprecati ogni 10 spesi</w:t>
            </w:r>
          </w:p>
        </w:tc>
        <w:tc>
          <w:tcPr>
            <w:tcW w:w="513" w:type="pct"/>
            <w:shd w:val="clear" w:color="auto" w:fill="auto"/>
          </w:tcPr>
          <w:p w:rsidR="00DB56F6" w:rsidRPr="005F2701" w:rsidRDefault="00DB56F6" w:rsidP="00410E38">
            <w:pPr>
              <w:rPr>
                <w:rFonts w:ascii="Cambria" w:hAnsi="Cambria" w:cstheme="minorHAnsi"/>
                <w:b/>
                <w:color w:val="FFFFFF" w:themeColor="background1"/>
                <w:sz w:val="24"/>
                <w:szCs w:val="24"/>
              </w:rPr>
            </w:pPr>
            <w:r w:rsidRPr="005F2701">
              <w:rPr>
                <w:rFonts w:ascii="Cambria" w:hAnsi="Cambria"/>
                <w:noProof/>
                <w:sz w:val="24"/>
                <w:szCs w:val="24"/>
                <w:lang w:eastAsia="it-IT"/>
              </w:rPr>
              <w:drawing>
                <wp:inline distT="0" distB="0" distL="0" distR="0" wp14:anchorId="39089764" wp14:editId="19A4AA0D">
                  <wp:extent cx="432000" cy="432000"/>
                  <wp:effectExtent l="0" t="0" r="6350" b="6350"/>
                  <wp:docPr id="26" name="Immagine 26" descr="smile_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mile_verde"/>
                          <pic:cNvPicPr>
                            <a:picLocks noChangeAspect="1" noChangeArrowheads="1"/>
                          </pic:cNvPicPr>
                        </pic:nvPicPr>
                        <pic:blipFill>
                          <a:blip r:embed="rId9" r:link="rId14">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4E3002" w:rsidRDefault="00DB56F6" w:rsidP="00410E38">
            <w:pPr>
              <w:spacing w:line="276" w:lineRule="auto"/>
              <w:jc w:val="both"/>
              <w:rPr>
                <w:rFonts w:ascii="Cambria" w:hAnsi="Cambria"/>
                <w:spacing w:val="-2"/>
              </w:rPr>
            </w:pPr>
            <w:r w:rsidRPr="004E3002">
              <w:rPr>
                <w:rFonts w:ascii="Cambria" w:hAnsi="Cambria"/>
                <w:spacing w:val="-2"/>
              </w:rPr>
              <w:t>Il Contratto prevede obiettivi e azioni coerenti per ridurre sprechi e inefficienze: dalla lotta alla corruzione alla definizione di costi standard, dalla centralizzazione degli acquisti alla governance farmaceutica, dalla revisione delle procedure di accreditamento all’informatizzazione e digitalizzazione del SSN, dall’integrazione tra ospedale e territorio alla diffusione di strutture sanitarie a bassa intensità di cura. Mancano tuttavia azioni per ridurre gli sprechi da sovra-utilizzo di prestazioni sanitarie e inappropriate e da sotto-utilizzo di prestazioni sanitarie efficaci e appropriate. Nessun riferimento alle modalità con cui lo Stato potrà effettuare un’efficace governance sulle Regioni visto che un’elevata percentuale di sprechi e inefficienze si annida nella pianificazione, organizzazione ed erogazione dei servizi sanitari regionali.</w:t>
            </w:r>
          </w:p>
        </w:tc>
      </w:tr>
    </w:tbl>
    <w:p w:rsidR="00D17072" w:rsidRDefault="00D17072"/>
    <w:tbl>
      <w:tblPr>
        <w:tblStyle w:val="Grigliatabella"/>
        <w:tblW w:w="5000" w:type="pct"/>
        <w:jc w:val="center"/>
        <w:tblCellMar>
          <w:top w:w="108" w:type="dxa"/>
          <w:bottom w:w="108" w:type="dxa"/>
        </w:tblCellMar>
        <w:tblLook w:val="04A0" w:firstRow="1" w:lastRow="0" w:firstColumn="1" w:lastColumn="0" w:noHBand="0" w:noVBand="1"/>
      </w:tblPr>
      <w:tblGrid>
        <w:gridCol w:w="8640"/>
        <w:gridCol w:w="988"/>
      </w:tblGrid>
      <w:tr w:rsidR="00DB56F6" w:rsidRPr="00EC447B" w:rsidTr="00DB56F6">
        <w:trPr>
          <w:jc w:val="center"/>
        </w:trPr>
        <w:tc>
          <w:tcPr>
            <w:tcW w:w="4487" w:type="pct"/>
            <w:shd w:val="clear" w:color="auto" w:fill="00457D"/>
            <w:vAlign w:val="center"/>
          </w:tcPr>
          <w:p w:rsidR="00DB56F6" w:rsidRPr="00296AA3" w:rsidRDefault="00DB56F6" w:rsidP="00410E38">
            <w:pPr>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lastRenderedPageBreak/>
              <w:t>8. Riordino legislativo della sanità integrativa per evitare derive consumistiche e di privatizzazione</w:t>
            </w:r>
          </w:p>
        </w:tc>
        <w:tc>
          <w:tcPr>
            <w:tcW w:w="513" w:type="pct"/>
            <w:shd w:val="clear" w:color="auto" w:fill="auto"/>
          </w:tcPr>
          <w:p w:rsidR="00DB56F6" w:rsidRPr="00EC447B" w:rsidRDefault="00DB56F6" w:rsidP="00410E38">
            <w:pPr>
              <w:rPr>
                <w:rFonts w:ascii="Cambria" w:hAnsi="Cambria" w:cstheme="minorHAnsi"/>
                <w:b/>
                <w:color w:val="FFFFFF" w:themeColor="background1"/>
                <w:sz w:val="24"/>
                <w:szCs w:val="24"/>
              </w:rPr>
            </w:pPr>
            <w:r w:rsidRPr="005F2701">
              <w:rPr>
                <w:rFonts w:ascii="Cambria" w:hAnsi="Cambria"/>
                <w:noProof/>
                <w:sz w:val="24"/>
                <w:szCs w:val="24"/>
                <w:lang w:eastAsia="it-IT"/>
              </w:rPr>
              <w:drawing>
                <wp:inline distT="0" distB="0" distL="0" distR="0" wp14:anchorId="204153C0" wp14:editId="0536B9B5">
                  <wp:extent cx="432000" cy="432000"/>
                  <wp:effectExtent l="0" t="0" r="6350" b="6350"/>
                  <wp:docPr id="27" name="Immagine 27" descr="smile_ro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mile_rosso"/>
                          <pic:cNvPicPr>
                            <a:picLocks noChangeAspect="1" noChangeArrowheads="1"/>
                          </pic:cNvPicPr>
                        </pic:nvPicPr>
                        <pic:blipFill>
                          <a:blip r:embed="rId12" r:link="rId15">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296AA3" w:rsidRDefault="00DB56F6" w:rsidP="00410E38">
            <w:pPr>
              <w:rPr>
                <w:rFonts w:ascii="Cambria" w:hAnsi="Cambria" w:cstheme="minorHAnsi"/>
                <w:szCs w:val="24"/>
              </w:rPr>
            </w:pPr>
            <w:r>
              <w:rPr>
                <w:rFonts w:ascii="Cambria" w:hAnsi="Cambria" w:cstheme="minorHAnsi"/>
                <w:szCs w:val="24"/>
              </w:rPr>
              <w:t xml:space="preserve">Il </w:t>
            </w:r>
            <w:r w:rsidRPr="00296AA3">
              <w:rPr>
                <w:rFonts w:ascii="Cambria" w:hAnsi="Cambria" w:cstheme="minorHAnsi"/>
                <w:szCs w:val="24"/>
              </w:rPr>
              <w:t>Contratto non contiene nessuna proposta in merito.</w:t>
            </w:r>
          </w:p>
        </w:tc>
      </w:tr>
      <w:tr w:rsidR="00DB56F6" w:rsidRPr="005F2701" w:rsidTr="00DB56F6">
        <w:trPr>
          <w:jc w:val="center"/>
        </w:trPr>
        <w:tc>
          <w:tcPr>
            <w:tcW w:w="4487" w:type="pct"/>
            <w:shd w:val="clear" w:color="auto" w:fill="00457D"/>
            <w:vAlign w:val="center"/>
          </w:tcPr>
          <w:p w:rsidR="00DB56F6" w:rsidRPr="00296AA3" w:rsidRDefault="00DB56F6" w:rsidP="00410E38">
            <w:pPr>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t>9. Sana integrazione pubblico-privato e libera professione regolamentata secondo i reali bisogni di salute delle persone</w:t>
            </w:r>
          </w:p>
        </w:tc>
        <w:tc>
          <w:tcPr>
            <w:tcW w:w="513" w:type="pct"/>
            <w:shd w:val="clear" w:color="auto" w:fill="auto"/>
          </w:tcPr>
          <w:p w:rsidR="00DB56F6" w:rsidRPr="005F2701" w:rsidRDefault="00DB56F6" w:rsidP="00410E38">
            <w:pPr>
              <w:rPr>
                <w:rFonts w:ascii="Cambria" w:hAnsi="Cambria" w:cstheme="minorHAnsi"/>
                <w:b/>
                <w:color w:val="FFFFFF" w:themeColor="background1"/>
                <w:sz w:val="24"/>
                <w:szCs w:val="24"/>
              </w:rPr>
            </w:pPr>
            <w:r>
              <w:rPr>
                <w:rFonts w:ascii="Cambria" w:hAnsi="Cambria" w:cstheme="minorHAnsi"/>
                <w:b/>
                <w:noProof/>
                <w:color w:val="FFFFFF" w:themeColor="background1"/>
                <w:sz w:val="24"/>
                <w:szCs w:val="24"/>
                <w:lang w:eastAsia="it-IT"/>
              </w:rPr>
              <w:drawing>
                <wp:inline distT="0" distB="0" distL="0" distR="0" wp14:anchorId="7E09026C" wp14:editId="3AAEE205">
                  <wp:extent cx="436880" cy="436880"/>
                  <wp:effectExtent l="0" t="0" r="1270" b="1270"/>
                  <wp:docPr id="9" name="Immagine 9" descr="C:\Users\Nino Cartabellotta\AppData\Local\Microsoft\Windows\INetCache\Content.Outlook\YQLWJSVP\emoticon_aran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no Cartabellotta\AppData\Local\Microsoft\Windows\INetCache\Content.Outlook\YQLWJSVP\emoticon_aranci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245447" w:rsidRDefault="00DB56F6" w:rsidP="00410E38">
            <w:pPr>
              <w:spacing w:line="276" w:lineRule="auto"/>
              <w:jc w:val="both"/>
              <w:rPr>
                <w:rFonts w:ascii="Cambria" w:hAnsi="Cambria" w:cstheme="minorHAnsi"/>
                <w:spacing w:val="-2"/>
              </w:rPr>
            </w:pPr>
            <w:r w:rsidRPr="00245447">
              <w:rPr>
                <w:rFonts w:ascii="Cambria" w:hAnsi="Cambria" w:cstheme="minorHAnsi"/>
                <w:spacing w:val="-2"/>
              </w:rPr>
              <w:t>Il Contratto propone di garantire un equilibrio tra prestazioni istituzionali e quelle erogate in regime di libera professione, con particolare riguardo ai tempi di attesa: tuttavia, una regolamentazione dell’ALPI finalizzata esclusivamente al contenimento dei tempi di attesa non tiene conto dell’appropriatezza delle prestazioni erogate secondo i reali bisogni di salute delle persone. Nessun riferimento all’integrazione pubblico-privato, ad eccezione della dichiarata volontà di recuperare risorse grazie alla revisione delle procedure di convenzionamento e accreditamento”, che tuttavia attualmente restano definite dalle singole Regioni.</w:t>
            </w:r>
          </w:p>
        </w:tc>
      </w:tr>
      <w:tr w:rsidR="00DB56F6" w:rsidRPr="005F2701" w:rsidTr="00DB56F6">
        <w:trPr>
          <w:tblHeader/>
          <w:jc w:val="center"/>
        </w:trPr>
        <w:tc>
          <w:tcPr>
            <w:tcW w:w="4487" w:type="pct"/>
            <w:shd w:val="clear" w:color="auto" w:fill="00457D"/>
          </w:tcPr>
          <w:p w:rsidR="00DB56F6" w:rsidRPr="00296AA3" w:rsidRDefault="00DB56F6" w:rsidP="00410E38">
            <w:pPr>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t>10. Rilanciare le politiche per il personale e programmare adeguatamente il fabbisogno di medici, specialisti e altri professionisti sanitari</w:t>
            </w:r>
          </w:p>
        </w:tc>
        <w:tc>
          <w:tcPr>
            <w:tcW w:w="513" w:type="pct"/>
            <w:shd w:val="clear" w:color="auto" w:fill="auto"/>
          </w:tcPr>
          <w:p w:rsidR="00DB56F6" w:rsidRPr="005F2701" w:rsidRDefault="00DB56F6" w:rsidP="00410E38">
            <w:pPr>
              <w:rPr>
                <w:rFonts w:ascii="Cambria" w:hAnsi="Cambria" w:cstheme="minorHAnsi"/>
                <w:b/>
                <w:color w:val="FFFFFF" w:themeColor="background1"/>
                <w:sz w:val="24"/>
                <w:szCs w:val="24"/>
              </w:rPr>
            </w:pPr>
            <w:r>
              <w:rPr>
                <w:rFonts w:ascii="Cambria" w:hAnsi="Cambria" w:cstheme="minorHAnsi"/>
                <w:b/>
                <w:noProof/>
                <w:color w:val="FFFFFF" w:themeColor="background1"/>
                <w:sz w:val="24"/>
                <w:szCs w:val="24"/>
                <w:lang w:eastAsia="it-IT"/>
              </w:rPr>
              <w:drawing>
                <wp:inline distT="0" distB="0" distL="0" distR="0" wp14:anchorId="72BC9BE4" wp14:editId="48B57C81">
                  <wp:extent cx="436880" cy="436880"/>
                  <wp:effectExtent l="0" t="0" r="1270" b="1270"/>
                  <wp:docPr id="10" name="Immagine 10" descr="C:\Users\Nino Cartabellotta\AppData\Local\Microsoft\Windows\INetCache\Content.Outlook\YQLWJSVP\emoticon_aran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no Cartabellotta\AppData\Local\Microsoft\Windows\INetCache\Content.Outlook\YQLWJSVP\emoticon_aranci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E530BF" w:rsidRDefault="00DB56F6" w:rsidP="00410E38">
            <w:pPr>
              <w:spacing w:line="276" w:lineRule="auto"/>
              <w:jc w:val="both"/>
              <w:rPr>
                <w:rFonts w:ascii="Cambria" w:hAnsi="Cambria" w:cstheme="minorHAnsi"/>
                <w:szCs w:val="24"/>
              </w:rPr>
            </w:pPr>
            <w:r>
              <w:rPr>
                <w:rFonts w:ascii="Cambria" w:hAnsi="Cambria" w:cstheme="minorHAnsi"/>
                <w:szCs w:val="24"/>
              </w:rPr>
              <w:t>Il Contratto sottolinea la necessità di</w:t>
            </w:r>
            <w:r w:rsidRPr="00735064">
              <w:rPr>
                <w:rFonts w:ascii="Cambria" w:hAnsi="Cambria" w:cstheme="minorHAnsi"/>
                <w:szCs w:val="24"/>
              </w:rPr>
              <w:t xml:space="preserve"> assumere il personale medico e sanitario</w:t>
            </w:r>
            <w:r>
              <w:rPr>
                <w:rFonts w:ascii="Cambria" w:hAnsi="Cambria" w:cstheme="minorHAnsi"/>
                <w:szCs w:val="24"/>
              </w:rPr>
              <w:t xml:space="preserve">, ma per la stima del fabbisogno fa riferimento solo ai </w:t>
            </w:r>
            <w:r w:rsidRPr="00735064">
              <w:rPr>
                <w:rFonts w:ascii="Cambria" w:hAnsi="Cambria" w:cstheme="minorHAnsi"/>
                <w:szCs w:val="24"/>
              </w:rPr>
              <w:t xml:space="preserve">tempi di attesa e </w:t>
            </w:r>
            <w:r>
              <w:rPr>
                <w:rFonts w:ascii="Cambria" w:hAnsi="Cambria" w:cstheme="minorHAnsi"/>
                <w:szCs w:val="24"/>
              </w:rPr>
              <w:t>all’</w:t>
            </w:r>
            <w:r w:rsidRPr="00735064">
              <w:rPr>
                <w:rFonts w:ascii="Cambria" w:hAnsi="Cambria" w:cstheme="minorHAnsi"/>
                <w:szCs w:val="24"/>
              </w:rPr>
              <w:t>attuazione della normativa europea sugli orari di lavoro</w:t>
            </w:r>
            <w:r>
              <w:rPr>
                <w:rFonts w:ascii="Cambria" w:hAnsi="Cambria" w:cstheme="minorHAnsi"/>
                <w:szCs w:val="24"/>
              </w:rPr>
              <w:t xml:space="preserve">, senza considerare i nuovi modelli organizzativi e le differenze regionali. Nessun riferimento alla revisione di </w:t>
            </w:r>
            <w:r w:rsidRPr="00E379ED">
              <w:rPr>
                <w:rFonts w:ascii="Cambria" w:hAnsi="Cambria" w:cstheme="minorHAnsi"/>
                <w:szCs w:val="24"/>
              </w:rPr>
              <w:t xml:space="preserve">modalità e termini di assunzione e di progressione di carriera del personale dirigente e di comparto del SSN, né </w:t>
            </w:r>
            <w:r>
              <w:rPr>
                <w:rFonts w:ascii="Cambria" w:hAnsi="Cambria" w:cstheme="minorHAnsi"/>
                <w:szCs w:val="24"/>
              </w:rPr>
              <w:t>al</w:t>
            </w:r>
            <w:r w:rsidRPr="00E379ED">
              <w:rPr>
                <w:rFonts w:ascii="Cambria" w:hAnsi="Cambria" w:cstheme="minorHAnsi"/>
                <w:szCs w:val="24"/>
              </w:rPr>
              <w:t>la necessità di incrementi salariali.</w:t>
            </w:r>
            <w:r>
              <w:rPr>
                <w:rFonts w:ascii="Cambria" w:hAnsi="Cambria" w:cstheme="minorHAnsi"/>
                <w:szCs w:val="24"/>
              </w:rPr>
              <w:t xml:space="preserve"> Rispetto alla programmazione, le proposte</w:t>
            </w:r>
            <w:r w:rsidRPr="00E379ED">
              <w:rPr>
                <w:rFonts w:ascii="Cambria" w:hAnsi="Cambria" w:cstheme="minorHAnsi"/>
                <w:szCs w:val="24"/>
              </w:rPr>
              <w:t xml:space="preserve"> riguarda</w:t>
            </w:r>
            <w:r>
              <w:rPr>
                <w:rFonts w:ascii="Cambria" w:hAnsi="Cambria" w:cstheme="minorHAnsi"/>
                <w:szCs w:val="24"/>
              </w:rPr>
              <w:t xml:space="preserve">no solo i medici, senza nemmeno citare le </w:t>
            </w:r>
            <w:r w:rsidRPr="00E379ED">
              <w:rPr>
                <w:rFonts w:ascii="Cambria" w:hAnsi="Cambria" w:cstheme="minorHAnsi"/>
                <w:szCs w:val="24"/>
              </w:rPr>
              <w:t>professioni sanitarie</w:t>
            </w:r>
            <w:r>
              <w:rPr>
                <w:rFonts w:ascii="Cambria" w:hAnsi="Cambria" w:cstheme="minorHAnsi"/>
                <w:szCs w:val="24"/>
              </w:rPr>
              <w:t xml:space="preserve"> nonostante il basso </w:t>
            </w:r>
            <w:r w:rsidRPr="008661BA">
              <w:rPr>
                <w:rFonts w:ascii="Cambria" w:hAnsi="Cambria" w:cstheme="minorHAnsi"/>
                <w:szCs w:val="24"/>
              </w:rPr>
              <w:t>rapporto infermieri/medici</w:t>
            </w:r>
            <w:r>
              <w:rPr>
                <w:rFonts w:ascii="Cambria" w:hAnsi="Cambria" w:cstheme="minorHAnsi"/>
                <w:szCs w:val="24"/>
              </w:rPr>
              <w:t xml:space="preserve"> </w:t>
            </w:r>
            <w:r w:rsidRPr="008661BA">
              <w:rPr>
                <w:rFonts w:ascii="Cambria" w:hAnsi="Cambria" w:cstheme="minorHAnsi"/>
                <w:szCs w:val="24"/>
              </w:rPr>
              <w:t>(1,4 vs 2,8 media OCSE)</w:t>
            </w:r>
            <w:r>
              <w:rPr>
                <w:rFonts w:ascii="Cambria" w:hAnsi="Cambria" w:cstheme="minorHAnsi"/>
                <w:szCs w:val="24"/>
              </w:rPr>
              <w:t xml:space="preserve">. La proposta di </w:t>
            </w:r>
            <w:r w:rsidRPr="002F749C">
              <w:rPr>
                <w:rFonts w:ascii="Cambria" w:hAnsi="Cambria" w:cstheme="minorHAnsi"/>
                <w:szCs w:val="24"/>
              </w:rPr>
              <w:t>r</w:t>
            </w:r>
            <w:r>
              <w:rPr>
                <w:rFonts w:ascii="Cambria" w:hAnsi="Cambria" w:cstheme="minorHAnsi"/>
                <w:szCs w:val="24"/>
              </w:rPr>
              <w:t xml:space="preserve">ivedere il </w:t>
            </w:r>
            <w:r w:rsidRPr="002F749C">
              <w:rPr>
                <w:rFonts w:ascii="Cambria" w:hAnsi="Cambria" w:cstheme="minorHAnsi"/>
                <w:szCs w:val="24"/>
              </w:rPr>
              <w:t>numero chiuso per aumentare il numero dei medici</w:t>
            </w:r>
            <w:r>
              <w:rPr>
                <w:rFonts w:ascii="Cambria" w:hAnsi="Cambria" w:cstheme="minorHAnsi"/>
                <w:szCs w:val="24"/>
              </w:rPr>
              <w:t>,</w:t>
            </w:r>
            <w:r w:rsidRPr="002F749C">
              <w:rPr>
                <w:rFonts w:ascii="Cambria" w:hAnsi="Cambria" w:cstheme="minorHAnsi"/>
                <w:szCs w:val="24"/>
              </w:rPr>
              <w:t xml:space="preserve"> senza prima incrementare </w:t>
            </w:r>
            <w:r>
              <w:rPr>
                <w:rFonts w:ascii="Cambria" w:hAnsi="Cambria" w:cstheme="minorHAnsi"/>
                <w:szCs w:val="24"/>
              </w:rPr>
              <w:t xml:space="preserve">adeguatamente </w:t>
            </w:r>
            <w:r w:rsidRPr="002F749C">
              <w:rPr>
                <w:rFonts w:ascii="Cambria" w:hAnsi="Cambria" w:cstheme="minorHAnsi"/>
                <w:szCs w:val="24"/>
              </w:rPr>
              <w:t xml:space="preserve">le borse di studio per </w:t>
            </w:r>
            <w:r>
              <w:rPr>
                <w:rFonts w:ascii="Cambria" w:hAnsi="Cambria" w:cstheme="minorHAnsi"/>
                <w:szCs w:val="24"/>
              </w:rPr>
              <w:t>le scuole di specializzazione e per il corso di formazione in medicina generale,</w:t>
            </w:r>
            <w:r w:rsidRPr="002F749C">
              <w:rPr>
                <w:rFonts w:ascii="Cambria" w:hAnsi="Cambria" w:cstheme="minorHAnsi"/>
                <w:szCs w:val="24"/>
              </w:rPr>
              <w:t xml:space="preserve"> rischia di restringere ulteriormente l’attuale imbuto formativo</w:t>
            </w:r>
            <w:r>
              <w:rPr>
                <w:rFonts w:ascii="Cambria" w:hAnsi="Cambria" w:cstheme="minorHAnsi"/>
                <w:szCs w:val="24"/>
              </w:rPr>
              <w:t xml:space="preserve">. </w:t>
            </w:r>
          </w:p>
        </w:tc>
      </w:tr>
      <w:tr w:rsidR="00DB56F6" w:rsidRPr="005F2701" w:rsidTr="00DB56F6">
        <w:trPr>
          <w:tblHeader/>
          <w:jc w:val="center"/>
        </w:trPr>
        <w:tc>
          <w:tcPr>
            <w:tcW w:w="4487" w:type="pct"/>
            <w:shd w:val="clear" w:color="auto" w:fill="00457D"/>
            <w:vAlign w:val="center"/>
          </w:tcPr>
          <w:p w:rsidR="00DB56F6" w:rsidRPr="00296AA3" w:rsidRDefault="00DB56F6" w:rsidP="00410E38">
            <w:pPr>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t>11. Finanziare ricerca clinica e organizzativa: almeno l’1% del fondo sanitario nazionale per rispondere a quesiti rilevanti per il SSN</w:t>
            </w:r>
          </w:p>
        </w:tc>
        <w:tc>
          <w:tcPr>
            <w:tcW w:w="513" w:type="pct"/>
            <w:shd w:val="clear" w:color="auto" w:fill="auto"/>
          </w:tcPr>
          <w:p w:rsidR="00DB56F6" w:rsidRPr="005F2701" w:rsidRDefault="00DB56F6" w:rsidP="00410E38">
            <w:pPr>
              <w:rPr>
                <w:rFonts w:ascii="Cambria" w:hAnsi="Cambria" w:cstheme="minorHAnsi"/>
                <w:b/>
                <w:color w:val="FFFFFF" w:themeColor="background1"/>
                <w:sz w:val="24"/>
                <w:szCs w:val="24"/>
              </w:rPr>
            </w:pPr>
            <w:r>
              <w:rPr>
                <w:rFonts w:ascii="Cambria" w:hAnsi="Cambria" w:cstheme="minorHAnsi"/>
                <w:b/>
                <w:noProof/>
                <w:color w:val="FFFFFF" w:themeColor="background1"/>
                <w:sz w:val="24"/>
                <w:szCs w:val="24"/>
                <w:lang w:eastAsia="it-IT"/>
              </w:rPr>
              <w:drawing>
                <wp:inline distT="0" distB="0" distL="0" distR="0" wp14:anchorId="631FD887" wp14:editId="57C2A143">
                  <wp:extent cx="436880" cy="436880"/>
                  <wp:effectExtent l="0" t="0" r="1270" b="1270"/>
                  <wp:docPr id="11" name="Immagine 11" descr="C:\Users\Nino Cartabellotta\AppData\Local\Microsoft\Windows\INetCache\Content.Outlook\YQLWJSVP\emoticon_aran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no Cartabellotta\AppData\Local\Microsoft\Windows\INetCache\Content.Outlook\YQLWJSVP\emoticon_aranci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DB5666" w:rsidRDefault="00DB56F6" w:rsidP="00410E38">
            <w:pPr>
              <w:spacing w:line="276" w:lineRule="auto"/>
              <w:jc w:val="both"/>
              <w:rPr>
                <w:rFonts w:ascii="Cambria" w:hAnsi="Cambria" w:cstheme="minorHAnsi"/>
                <w:szCs w:val="24"/>
              </w:rPr>
            </w:pPr>
            <w:r w:rsidRPr="00AA55AA">
              <w:rPr>
                <w:rFonts w:ascii="Cambria" w:hAnsi="Cambria" w:cstheme="minorHAnsi"/>
                <w:szCs w:val="24"/>
              </w:rPr>
              <w:t xml:space="preserve">Il Contratto contiene solo una generica dichiarazione di intenti sulla volontà di potenziare la ricerca biomedica svolta all’interno del sistema sanitario e dalle </w:t>
            </w:r>
            <w:r>
              <w:rPr>
                <w:rFonts w:ascii="Cambria" w:hAnsi="Cambria" w:cstheme="minorHAnsi"/>
                <w:szCs w:val="24"/>
              </w:rPr>
              <w:t>U</w:t>
            </w:r>
            <w:r w:rsidRPr="00AA55AA">
              <w:rPr>
                <w:rFonts w:ascii="Cambria" w:hAnsi="Cambria" w:cstheme="minorHAnsi"/>
                <w:szCs w:val="24"/>
              </w:rPr>
              <w:t xml:space="preserve">niversità, senza alcun riferimento all’entità delle risorse necessarie a tale potenziamento, né soprattutto alle modalità di prioritizzazione della ricerca in </w:t>
            </w:r>
            <w:r>
              <w:rPr>
                <w:rFonts w:ascii="Cambria" w:hAnsi="Cambria" w:cstheme="minorHAnsi"/>
                <w:szCs w:val="24"/>
              </w:rPr>
              <w:t>relazione</w:t>
            </w:r>
            <w:r w:rsidRPr="00AA55AA">
              <w:rPr>
                <w:rFonts w:ascii="Cambria" w:hAnsi="Cambria" w:cstheme="minorHAnsi"/>
                <w:szCs w:val="24"/>
              </w:rPr>
              <w:t xml:space="preserve"> </w:t>
            </w:r>
            <w:r>
              <w:rPr>
                <w:rFonts w:ascii="Cambria" w:hAnsi="Cambria" w:cstheme="minorHAnsi"/>
                <w:szCs w:val="24"/>
              </w:rPr>
              <w:t xml:space="preserve">alle </w:t>
            </w:r>
            <w:r w:rsidRPr="00AA55AA">
              <w:rPr>
                <w:rFonts w:ascii="Cambria" w:hAnsi="Cambria" w:cstheme="minorHAnsi"/>
                <w:szCs w:val="24"/>
              </w:rPr>
              <w:t>necessità del SSN.</w:t>
            </w:r>
          </w:p>
        </w:tc>
      </w:tr>
      <w:tr w:rsidR="00DB56F6" w:rsidRPr="005F2701" w:rsidTr="00DB56F6">
        <w:trPr>
          <w:tblHeader/>
          <w:jc w:val="center"/>
        </w:trPr>
        <w:tc>
          <w:tcPr>
            <w:tcW w:w="4487" w:type="pct"/>
            <w:shd w:val="clear" w:color="auto" w:fill="00457D"/>
          </w:tcPr>
          <w:p w:rsidR="00DB56F6" w:rsidRPr="00296AA3" w:rsidRDefault="00DB56F6" w:rsidP="00410E38">
            <w:pPr>
              <w:rPr>
                <w:rFonts w:ascii="Cambria" w:hAnsi="Cambria" w:cstheme="minorHAnsi"/>
                <w:b/>
                <w:color w:val="FFFFFF" w:themeColor="background1"/>
                <w:sz w:val="24"/>
                <w:szCs w:val="24"/>
              </w:rPr>
            </w:pPr>
            <w:r w:rsidRPr="00296AA3">
              <w:rPr>
                <w:rFonts w:ascii="Cambria" w:hAnsi="Cambria" w:cstheme="minorHAnsi"/>
                <w:b/>
                <w:color w:val="FFFFFF" w:themeColor="background1"/>
                <w:sz w:val="24"/>
                <w:szCs w:val="24"/>
              </w:rPr>
              <w:t>12. Programma nazionale d’informazione scientifica a cittadini e pazienti per debellare le fake-news, ridurre il consumismo sanitario e promuovere decisioni realmente informate</w:t>
            </w:r>
          </w:p>
        </w:tc>
        <w:tc>
          <w:tcPr>
            <w:tcW w:w="513" w:type="pct"/>
            <w:shd w:val="clear" w:color="auto" w:fill="auto"/>
          </w:tcPr>
          <w:p w:rsidR="00DB56F6" w:rsidRPr="005F2701" w:rsidRDefault="00DB56F6" w:rsidP="00410E38">
            <w:pPr>
              <w:rPr>
                <w:rFonts w:ascii="Cambria" w:hAnsi="Cambria" w:cstheme="minorHAnsi"/>
                <w:b/>
                <w:color w:val="FFFFFF" w:themeColor="background1"/>
                <w:sz w:val="24"/>
                <w:szCs w:val="24"/>
              </w:rPr>
            </w:pPr>
            <w:r w:rsidRPr="005F2701">
              <w:rPr>
                <w:rFonts w:ascii="Cambria" w:hAnsi="Cambria"/>
                <w:noProof/>
                <w:sz w:val="24"/>
                <w:szCs w:val="24"/>
                <w:lang w:eastAsia="it-IT"/>
              </w:rPr>
              <w:drawing>
                <wp:inline distT="0" distB="0" distL="0" distR="0" wp14:anchorId="5FC09454" wp14:editId="7A073507">
                  <wp:extent cx="432000" cy="432000"/>
                  <wp:effectExtent l="0" t="0" r="6350" b="6350"/>
                  <wp:docPr id="31" name="Immagine 31" descr="smile_ro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mile_rosso"/>
                          <pic:cNvPicPr>
                            <a:picLocks noChangeAspect="1" noChangeArrowheads="1"/>
                          </pic:cNvPicPr>
                        </pic:nvPicPr>
                        <pic:blipFill>
                          <a:blip r:embed="rId12" r:link="rId15">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r>
      <w:tr w:rsidR="00DB56F6" w:rsidRPr="003A37B6" w:rsidTr="00DB56F6">
        <w:trPr>
          <w:jc w:val="center"/>
        </w:trPr>
        <w:tc>
          <w:tcPr>
            <w:tcW w:w="5000" w:type="pct"/>
            <w:gridSpan w:val="2"/>
          </w:tcPr>
          <w:p w:rsidR="00DB56F6" w:rsidRPr="00296AA3" w:rsidRDefault="00DB56F6" w:rsidP="00410E38">
            <w:pPr>
              <w:rPr>
                <w:rFonts w:ascii="Cambria" w:hAnsi="Cambria" w:cstheme="minorHAnsi"/>
                <w:szCs w:val="24"/>
              </w:rPr>
            </w:pPr>
            <w:r>
              <w:rPr>
                <w:rFonts w:ascii="Cambria" w:hAnsi="Cambria" w:cstheme="minorHAnsi"/>
                <w:szCs w:val="24"/>
              </w:rPr>
              <w:t xml:space="preserve">Il </w:t>
            </w:r>
            <w:r w:rsidRPr="00296AA3">
              <w:rPr>
                <w:rFonts w:ascii="Cambria" w:hAnsi="Cambria" w:cstheme="minorHAnsi"/>
                <w:szCs w:val="24"/>
              </w:rPr>
              <w:t>Contratto non contiene nessuna proposta in merito.</w:t>
            </w:r>
          </w:p>
        </w:tc>
      </w:tr>
    </w:tbl>
    <w:p w:rsidR="00DB56F6" w:rsidRPr="00815D4F" w:rsidRDefault="00DB56F6" w:rsidP="00815D4F">
      <w:pPr>
        <w:spacing w:after="0"/>
        <w:rPr>
          <w:rFonts w:eastAsia="Calibri" w:cstheme="minorHAnsi"/>
        </w:rPr>
      </w:pPr>
    </w:p>
    <w:sectPr w:rsidR="00DB56F6" w:rsidRPr="00815D4F" w:rsidSect="00E1365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19D" w:rsidRDefault="0005419D" w:rsidP="00ED0CFD">
      <w:pPr>
        <w:spacing w:after="0" w:line="240" w:lineRule="auto"/>
      </w:pPr>
      <w:r>
        <w:separator/>
      </w:r>
    </w:p>
  </w:endnote>
  <w:endnote w:type="continuationSeparator" w:id="0">
    <w:p w:rsidR="0005419D" w:rsidRDefault="0005419D" w:rsidP="00ED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19D" w:rsidRDefault="0005419D" w:rsidP="00ED0CFD">
      <w:pPr>
        <w:spacing w:after="0" w:line="240" w:lineRule="auto"/>
      </w:pPr>
      <w:r>
        <w:separator/>
      </w:r>
    </w:p>
  </w:footnote>
  <w:footnote w:type="continuationSeparator" w:id="0">
    <w:p w:rsidR="0005419D" w:rsidRDefault="0005419D" w:rsidP="00ED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EC64119"/>
    <w:multiLevelType w:val="hybridMultilevel"/>
    <w:tmpl w:val="64D6E2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B0603F"/>
    <w:multiLevelType w:val="hybridMultilevel"/>
    <w:tmpl w:val="518CF2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BD829D7"/>
    <w:multiLevelType w:val="hybridMultilevel"/>
    <w:tmpl w:val="8C3C60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55834C7"/>
    <w:multiLevelType w:val="hybridMultilevel"/>
    <w:tmpl w:val="C7FEF9F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E46490B"/>
    <w:multiLevelType w:val="hybridMultilevel"/>
    <w:tmpl w:val="889C551A"/>
    <w:lvl w:ilvl="0" w:tplc="307C4A34">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EE34CBC"/>
    <w:multiLevelType w:val="hybridMultilevel"/>
    <w:tmpl w:val="F7168F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8CD1426"/>
    <w:multiLevelType w:val="hybridMultilevel"/>
    <w:tmpl w:val="4CA0E6EA"/>
    <w:lvl w:ilvl="0" w:tplc="5166346A">
      <w:start w:val="1"/>
      <w:numFmt w:val="bullet"/>
      <w:lvlText w:val="•"/>
      <w:lvlJc w:val="left"/>
      <w:pPr>
        <w:tabs>
          <w:tab w:val="num" w:pos="720"/>
        </w:tabs>
        <w:ind w:left="720" w:hanging="360"/>
      </w:pPr>
      <w:rPr>
        <w:rFonts w:ascii="Times New Roman" w:hAnsi="Times New Roman" w:cs="Times New Roman" w:hint="default"/>
      </w:rPr>
    </w:lvl>
    <w:lvl w:ilvl="1" w:tplc="199E43A6">
      <w:start w:val="1"/>
      <w:numFmt w:val="bullet"/>
      <w:lvlText w:val="•"/>
      <w:lvlJc w:val="left"/>
      <w:pPr>
        <w:tabs>
          <w:tab w:val="num" w:pos="1440"/>
        </w:tabs>
        <w:ind w:left="1440" w:hanging="360"/>
      </w:pPr>
      <w:rPr>
        <w:rFonts w:ascii="Times New Roman" w:hAnsi="Times New Roman" w:cs="Times New Roman" w:hint="default"/>
      </w:rPr>
    </w:lvl>
    <w:lvl w:ilvl="2" w:tplc="A1502A9E">
      <w:start w:val="1"/>
      <w:numFmt w:val="bullet"/>
      <w:lvlText w:val="•"/>
      <w:lvlJc w:val="left"/>
      <w:pPr>
        <w:tabs>
          <w:tab w:val="num" w:pos="2160"/>
        </w:tabs>
        <w:ind w:left="2160" w:hanging="360"/>
      </w:pPr>
      <w:rPr>
        <w:rFonts w:ascii="Times New Roman" w:hAnsi="Times New Roman" w:cs="Times New Roman" w:hint="default"/>
      </w:rPr>
    </w:lvl>
    <w:lvl w:ilvl="3" w:tplc="4994264A">
      <w:start w:val="1"/>
      <w:numFmt w:val="bullet"/>
      <w:lvlText w:val="•"/>
      <w:lvlJc w:val="left"/>
      <w:pPr>
        <w:tabs>
          <w:tab w:val="num" w:pos="2880"/>
        </w:tabs>
        <w:ind w:left="2880" w:hanging="360"/>
      </w:pPr>
      <w:rPr>
        <w:rFonts w:ascii="Times New Roman" w:hAnsi="Times New Roman" w:cs="Times New Roman" w:hint="default"/>
      </w:rPr>
    </w:lvl>
    <w:lvl w:ilvl="4" w:tplc="3E40A376">
      <w:start w:val="1"/>
      <w:numFmt w:val="bullet"/>
      <w:lvlText w:val="•"/>
      <w:lvlJc w:val="left"/>
      <w:pPr>
        <w:tabs>
          <w:tab w:val="num" w:pos="3600"/>
        </w:tabs>
        <w:ind w:left="3600" w:hanging="360"/>
      </w:pPr>
      <w:rPr>
        <w:rFonts w:ascii="Times New Roman" w:hAnsi="Times New Roman" w:cs="Times New Roman" w:hint="default"/>
      </w:rPr>
    </w:lvl>
    <w:lvl w:ilvl="5" w:tplc="7F26466A">
      <w:start w:val="1"/>
      <w:numFmt w:val="bullet"/>
      <w:lvlText w:val="•"/>
      <w:lvlJc w:val="left"/>
      <w:pPr>
        <w:tabs>
          <w:tab w:val="num" w:pos="4320"/>
        </w:tabs>
        <w:ind w:left="4320" w:hanging="360"/>
      </w:pPr>
      <w:rPr>
        <w:rFonts w:ascii="Times New Roman" w:hAnsi="Times New Roman" w:cs="Times New Roman" w:hint="default"/>
      </w:rPr>
    </w:lvl>
    <w:lvl w:ilvl="6" w:tplc="DDF46EFE">
      <w:start w:val="1"/>
      <w:numFmt w:val="bullet"/>
      <w:lvlText w:val="•"/>
      <w:lvlJc w:val="left"/>
      <w:pPr>
        <w:tabs>
          <w:tab w:val="num" w:pos="5040"/>
        </w:tabs>
        <w:ind w:left="5040" w:hanging="360"/>
      </w:pPr>
      <w:rPr>
        <w:rFonts w:ascii="Times New Roman" w:hAnsi="Times New Roman" w:cs="Times New Roman" w:hint="default"/>
      </w:rPr>
    </w:lvl>
    <w:lvl w:ilvl="7" w:tplc="8698ED2E">
      <w:start w:val="1"/>
      <w:numFmt w:val="bullet"/>
      <w:lvlText w:val="•"/>
      <w:lvlJc w:val="left"/>
      <w:pPr>
        <w:tabs>
          <w:tab w:val="num" w:pos="5760"/>
        </w:tabs>
        <w:ind w:left="5760" w:hanging="360"/>
      </w:pPr>
      <w:rPr>
        <w:rFonts w:ascii="Times New Roman" w:hAnsi="Times New Roman" w:cs="Times New Roman" w:hint="default"/>
      </w:rPr>
    </w:lvl>
    <w:lvl w:ilvl="8" w:tplc="C78AA426">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4B7053B2"/>
    <w:multiLevelType w:val="multilevel"/>
    <w:tmpl w:val="41304EE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64247"/>
    <w:multiLevelType w:val="hybridMultilevel"/>
    <w:tmpl w:val="A0A2E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5229DE"/>
    <w:multiLevelType w:val="hybridMultilevel"/>
    <w:tmpl w:val="E9003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C659F4"/>
    <w:multiLevelType w:val="hybridMultilevel"/>
    <w:tmpl w:val="3A8A0F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1303CF9"/>
    <w:multiLevelType w:val="hybridMultilevel"/>
    <w:tmpl w:val="76B8F694"/>
    <w:lvl w:ilvl="0" w:tplc="49F6B3C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9C750FB"/>
    <w:multiLevelType w:val="hybridMultilevel"/>
    <w:tmpl w:val="D6FAC658"/>
    <w:lvl w:ilvl="0" w:tplc="841C8710">
      <w:start w:val="12"/>
      <w:numFmt w:val="bullet"/>
      <w:lvlText w:val="•"/>
      <w:lvlJc w:val="left"/>
      <w:pPr>
        <w:ind w:left="708" w:hanging="708"/>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C0600FA"/>
    <w:multiLevelType w:val="hybridMultilevel"/>
    <w:tmpl w:val="8DEC3E5A"/>
    <w:lvl w:ilvl="0" w:tplc="4EF8FB64">
      <w:start w:val="1"/>
      <w:numFmt w:val="bullet"/>
      <w:lvlText w:val=""/>
      <w:lvlJc w:val="left"/>
      <w:pPr>
        <w:ind w:left="360" w:hanging="360"/>
      </w:pPr>
      <w:rPr>
        <w:rFonts w:ascii="Symbol" w:hAnsi="Symbol" w:hint="default"/>
        <w:color w:val="4F81BD" w:themeColor="accent1"/>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91BA8"/>
    <w:multiLevelType w:val="hybridMultilevel"/>
    <w:tmpl w:val="BFA0D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AAB5662"/>
    <w:multiLevelType w:val="hybridMultilevel"/>
    <w:tmpl w:val="76D4F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7" w15:restartNumberingAfterBreak="0">
    <w:nsid w:val="7EFE2386"/>
    <w:multiLevelType w:val="hybridMultilevel"/>
    <w:tmpl w:val="FABA43D0"/>
    <w:lvl w:ilvl="0" w:tplc="841C8710">
      <w:start w:val="12"/>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0"/>
  </w:num>
  <w:num w:numId="4">
    <w:abstractNumId w:val="23"/>
  </w:num>
  <w:num w:numId="5">
    <w:abstractNumId w:val="13"/>
  </w:num>
  <w:num w:numId="6">
    <w:abstractNumId w:val="9"/>
  </w:num>
  <w:num w:numId="7">
    <w:abstractNumId w:val="19"/>
  </w:num>
  <w:num w:numId="8">
    <w:abstractNumId w:val="17"/>
  </w:num>
  <w:num w:numId="9">
    <w:abstractNumId w:val="0"/>
  </w:num>
  <w:num w:numId="10">
    <w:abstractNumId w:val="1"/>
  </w:num>
  <w:num w:numId="11">
    <w:abstractNumId w:val="4"/>
  </w:num>
  <w:num w:numId="12">
    <w:abstractNumId w:val="5"/>
  </w:num>
  <w:num w:numId="13">
    <w:abstractNumId w:val="15"/>
  </w:num>
  <w:num w:numId="14">
    <w:abstractNumId w:val="3"/>
  </w:num>
  <w:num w:numId="15">
    <w:abstractNumId w:val="14"/>
  </w:num>
  <w:num w:numId="16">
    <w:abstractNumId w:val="24"/>
  </w:num>
  <w:num w:numId="17">
    <w:abstractNumId w:val="11"/>
  </w:num>
  <w:num w:numId="18">
    <w:abstractNumId w:val="7"/>
  </w:num>
  <w:num w:numId="19">
    <w:abstractNumId w:val="21"/>
  </w:num>
  <w:num w:numId="20">
    <w:abstractNumId w:val="18"/>
  </w:num>
  <w:num w:numId="21">
    <w:abstractNumId w:val="2"/>
  </w:num>
  <w:num w:numId="22">
    <w:abstractNumId w:val="16"/>
  </w:num>
  <w:num w:numId="23">
    <w:abstractNumId w:val="8"/>
  </w:num>
  <w:num w:numId="24">
    <w:abstractNumId w:val="25"/>
  </w:num>
  <w:num w:numId="25">
    <w:abstractNumId w:val="27"/>
  </w:num>
  <w:num w:numId="26">
    <w:abstractNumId w:val="20"/>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91"/>
    <w:rsid w:val="000007FC"/>
    <w:rsid w:val="0000149C"/>
    <w:rsid w:val="00002AAC"/>
    <w:rsid w:val="00002C1B"/>
    <w:rsid w:val="00003744"/>
    <w:rsid w:val="00003F78"/>
    <w:rsid w:val="00004B0A"/>
    <w:rsid w:val="00005B25"/>
    <w:rsid w:val="000064FE"/>
    <w:rsid w:val="00006555"/>
    <w:rsid w:val="0000695A"/>
    <w:rsid w:val="00010498"/>
    <w:rsid w:val="000123C4"/>
    <w:rsid w:val="0001384A"/>
    <w:rsid w:val="00013DFA"/>
    <w:rsid w:val="0001439D"/>
    <w:rsid w:val="000146FF"/>
    <w:rsid w:val="00015D8E"/>
    <w:rsid w:val="00017968"/>
    <w:rsid w:val="00017FB4"/>
    <w:rsid w:val="00021D7F"/>
    <w:rsid w:val="00023D8A"/>
    <w:rsid w:val="000252D2"/>
    <w:rsid w:val="00034188"/>
    <w:rsid w:val="000346D7"/>
    <w:rsid w:val="00035404"/>
    <w:rsid w:val="00036089"/>
    <w:rsid w:val="00043D1A"/>
    <w:rsid w:val="0004410A"/>
    <w:rsid w:val="0004703D"/>
    <w:rsid w:val="00051F7A"/>
    <w:rsid w:val="00053EBE"/>
    <w:rsid w:val="0005402C"/>
    <w:rsid w:val="0005419D"/>
    <w:rsid w:val="00054250"/>
    <w:rsid w:val="00055180"/>
    <w:rsid w:val="00055AE9"/>
    <w:rsid w:val="00055D27"/>
    <w:rsid w:val="000602AA"/>
    <w:rsid w:val="0006440E"/>
    <w:rsid w:val="000657A8"/>
    <w:rsid w:val="000662E3"/>
    <w:rsid w:val="00067ACA"/>
    <w:rsid w:val="00067B8F"/>
    <w:rsid w:val="000707B3"/>
    <w:rsid w:val="000715A9"/>
    <w:rsid w:val="00071F0A"/>
    <w:rsid w:val="00073870"/>
    <w:rsid w:val="00074788"/>
    <w:rsid w:val="00076A48"/>
    <w:rsid w:val="000771A4"/>
    <w:rsid w:val="00077876"/>
    <w:rsid w:val="0008103B"/>
    <w:rsid w:val="000815B7"/>
    <w:rsid w:val="000863FA"/>
    <w:rsid w:val="00090A39"/>
    <w:rsid w:val="00090B7E"/>
    <w:rsid w:val="00090CF8"/>
    <w:rsid w:val="000924AD"/>
    <w:rsid w:val="000927C7"/>
    <w:rsid w:val="000935F1"/>
    <w:rsid w:val="00095589"/>
    <w:rsid w:val="00097C59"/>
    <w:rsid w:val="000A0FC3"/>
    <w:rsid w:val="000A1367"/>
    <w:rsid w:val="000A2084"/>
    <w:rsid w:val="000A226B"/>
    <w:rsid w:val="000A4C27"/>
    <w:rsid w:val="000A58EB"/>
    <w:rsid w:val="000A62A9"/>
    <w:rsid w:val="000A6EB6"/>
    <w:rsid w:val="000A7B66"/>
    <w:rsid w:val="000B07B0"/>
    <w:rsid w:val="000B185F"/>
    <w:rsid w:val="000B1C52"/>
    <w:rsid w:val="000B2168"/>
    <w:rsid w:val="000B50CD"/>
    <w:rsid w:val="000B710C"/>
    <w:rsid w:val="000B7985"/>
    <w:rsid w:val="000C098C"/>
    <w:rsid w:val="000C0B04"/>
    <w:rsid w:val="000C344B"/>
    <w:rsid w:val="000C544C"/>
    <w:rsid w:val="000C6130"/>
    <w:rsid w:val="000C72F9"/>
    <w:rsid w:val="000D02E4"/>
    <w:rsid w:val="000D1377"/>
    <w:rsid w:val="000D17FB"/>
    <w:rsid w:val="000D25AC"/>
    <w:rsid w:val="000D3C58"/>
    <w:rsid w:val="000D44D4"/>
    <w:rsid w:val="000D5771"/>
    <w:rsid w:val="000D5893"/>
    <w:rsid w:val="000D6150"/>
    <w:rsid w:val="000D7252"/>
    <w:rsid w:val="000D7A72"/>
    <w:rsid w:val="000E2E4F"/>
    <w:rsid w:val="000E6B01"/>
    <w:rsid w:val="000E7CC2"/>
    <w:rsid w:val="000F0BBD"/>
    <w:rsid w:val="000F10F8"/>
    <w:rsid w:val="000F39EF"/>
    <w:rsid w:val="000F5C0F"/>
    <w:rsid w:val="0010059E"/>
    <w:rsid w:val="001020FC"/>
    <w:rsid w:val="001043DB"/>
    <w:rsid w:val="0010685E"/>
    <w:rsid w:val="00107096"/>
    <w:rsid w:val="0010719F"/>
    <w:rsid w:val="00107984"/>
    <w:rsid w:val="0011205F"/>
    <w:rsid w:val="001139A6"/>
    <w:rsid w:val="00113D4A"/>
    <w:rsid w:val="00113F3C"/>
    <w:rsid w:val="001167D9"/>
    <w:rsid w:val="0011796A"/>
    <w:rsid w:val="00117F68"/>
    <w:rsid w:val="00125838"/>
    <w:rsid w:val="00125C6A"/>
    <w:rsid w:val="001262A5"/>
    <w:rsid w:val="00130907"/>
    <w:rsid w:val="001317CF"/>
    <w:rsid w:val="00132082"/>
    <w:rsid w:val="00134A6D"/>
    <w:rsid w:val="00134C8C"/>
    <w:rsid w:val="00143689"/>
    <w:rsid w:val="00144377"/>
    <w:rsid w:val="00144F94"/>
    <w:rsid w:val="001458FE"/>
    <w:rsid w:val="001471AF"/>
    <w:rsid w:val="001504F4"/>
    <w:rsid w:val="00150EF3"/>
    <w:rsid w:val="0015229D"/>
    <w:rsid w:val="001560D3"/>
    <w:rsid w:val="00162FBC"/>
    <w:rsid w:val="0016375C"/>
    <w:rsid w:val="00163D48"/>
    <w:rsid w:val="001654A5"/>
    <w:rsid w:val="00170760"/>
    <w:rsid w:val="00170B46"/>
    <w:rsid w:val="00171767"/>
    <w:rsid w:val="00173764"/>
    <w:rsid w:val="0017405D"/>
    <w:rsid w:val="001748BA"/>
    <w:rsid w:val="00185966"/>
    <w:rsid w:val="00186FCE"/>
    <w:rsid w:val="00192DAD"/>
    <w:rsid w:val="00192F75"/>
    <w:rsid w:val="00193F19"/>
    <w:rsid w:val="00194C03"/>
    <w:rsid w:val="001A038D"/>
    <w:rsid w:val="001A3E0D"/>
    <w:rsid w:val="001A3E96"/>
    <w:rsid w:val="001A6181"/>
    <w:rsid w:val="001B1CE6"/>
    <w:rsid w:val="001B59E3"/>
    <w:rsid w:val="001C367A"/>
    <w:rsid w:val="001C51E2"/>
    <w:rsid w:val="001C6B8F"/>
    <w:rsid w:val="001C7324"/>
    <w:rsid w:val="001D0E41"/>
    <w:rsid w:val="001D153D"/>
    <w:rsid w:val="001D19F1"/>
    <w:rsid w:val="001D240E"/>
    <w:rsid w:val="001D38B9"/>
    <w:rsid w:val="001D4CE8"/>
    <w:rsid w:val="001E42B9"/>
    <w:rsid w:val="001E53AB"/>
    <w:rsid w:val="001E6902"/>
    <w:rsid w:val="001F1C35"/>
    <w:rsid w:val="001F20B8"/>
    <w:rsid w:val="001F22DB"/>
    <w:rsid w:val="002020DB"/>
    <w:rsid w:val="00202A01"/>
    <w:rsid w:val="0020435A"/>
    <w:rsid w:val="00206047"/>
    <w:rsid w:val="00206A88"/>
    <w:rsid w:val="002073BD"/>
    <w:rsid w:val="00207B90"/>
    <w:rsid w:val="00210158"/>
    <w:rsid w:val="0021155E"/>
    <w:rsid w:val="00216F04"/>
    <w:rsid w:val="0022389A"/>
    <w:rsid w:val="00223F01"/>
    <w:rsid w:val="00224E88"/>
    <w:rsid w:val="002328C6"/>
    <w:rsid w:val="00233EF5"/>
    <w:rsid w:val="002349C3"/>
    <w:rsid w:val="00235FC2"/>
    <w:rsid w:val="0023771D"/>
    <w:rsid w:val="00241AD5"/>
    <w:rsid w:val="00241E9C"/>
    <w:rsid w:val="00242077"/>
    <w:rsid w:val="00243B76"/>
    <w:rsid w:val="00243F05"/>
    <w:rsid w:val="0025100A"/>
    <w:rsid w:val="00251386"/>
    <w:rsid w:val="00251AC2"/>
    <w:rsid w:val="00251D02"/>
    <w:rsid w:val="002534BD"/>
    <w:rsid w:val="002551A1"/>
    <w:rsid w:val="00260A01"/>
    <w:rsid w:val="00261479"/>
    <w:rsid w:val="00262274"/>
    <w:rsid w:val="00265450"/>
    <w:rsid w:val="00265B05"/>
    <w:rsid w:val="00266561"/>
    <w:rsid w:val="00266E0C"/>
    <w:rsid w:val="00266E1A"/>
    <w:rsid w:val="002723FC"/>
    <w:rsid w:val="0027468B"/>
    <w:rsid w:val="002762A4"/>
    <w:rsid w:val="00282655"/>
    <w:rsid w:val="00282DAE"/>
    <w:rsid w:val="00284792"/>
    <w:rsid w:val="00287105"/>
    <w:rsid w:val="00287452"/>
    <w:rsid w:val="00290375"/>
    <w:rsid w:val="00291602"/>
    <w:rsid w:val="00293854"/>
    <w:rsid w:val="0029392F"/>
    <w:rsid w:val="00297583"/>
    <w:rsid w:val="002A2034"/>
    <w:rsid w:val="002A3232"/>
    <w:rsid w:val="002A5A93"/>
    <w:rsid w:val="002B12E6"/>
    <w:rsid w:val="002B1329"/>
    <w:rsid w:val="002B7295"/>
    <w:rsid w:val="002B7C26"/>
    <w:rsid w:val="002B7F03"/>
    <w:rsid w:val="002C0B56"/>
    <w:rsid w:val="002C0B93"/>
    <w:rsid w:val="002C0F1B"/>
    <w:rsid w:val="002C4190"/>
    <w:rsid w:val="002C433C"/>
    <w:rsid w:val="002C4460"/>
    <w:rsid w:val="002C5187"/>
    <w:rsid w:val="002C5517"/>
    <w:rsid w:val="002C7967"/>
    <w:rsid w:val="002D1354"/>
    <w:rsid w:val="002D1A9D"/>
    <w:rsid w:val="002D1CBC"/>
    <w:rsid w:val="002D2C39"/>
    <w:rsid w:val="002D390F"/>
    <w:rsid w:val="002D4D2D"/>
    <w:rsid w:val="002D61E1"/>
    <w:rsid w:val="002D7409"/>
    <w:rsid w:val="002E2D66"/>
    <w:rsid w:val="002E33A2"/>
    <w:rsid w:val="002E3609"/>
    <w:rsid w:val="002E5382"/>
    <w:rsid w:val="002E5E3C"/>
    <w:rsid w:val="002F07F4"/>
    <w:rsid w:val="002F1433"/>
    <w:rsid w:val="002F2E6A"/>
    <w:rsid w:val="002F323D"/>
    <w:rsid w:val="002F605D"/>
    <w:rsid w:val="00300EF7"/>
    <w:rsid w:val="00305113"/>
    <w:rsid w:val="00306282"/>
    <w:rsid w:val="00310511"/>
    <w:rsid w:val="00310654"/>
    <w:rsid w:val="00311603"/>
    <w:rsid w:val="00311E5C"/>
    <w:rsid w:val="003121F3"/>
    <w:rsid w:val="00313AD1"/>
    <w:rsid w:val="00314A83"/>
    <w:rsid w:val="00315407"/>
    <w:rsid w:val="00315734"/>
    <w:rsid w:val="0031648A"/>
    <w:rsid w:val="0031755E"/>
    <w:rsid w:val="00321C3D"/>
    <w:rsid w:val="00323798"/>
    <w:rsid w:val="00323A55"/>
    <w:rsid w:val="00325E98"/>
    <w:rsid w:val="003268D1"/>
    <w:rsid w:val="00326DCF"/>
    <w:rsid w:val="00327AF0"/>
    <w:rsid w:val="00330694"/>
    <w:rsid w:val="00330A9B"/>
    <w:rsid w:val="00331B49"/>
    <w:rsid w:val="00331F29"/>
    <w:rsid w:val="00333A1D"/>
    <w:rsid w:val="0033460B"/>
    <w:rsid w:val="00334F92"/>
    <w:rsid w:val="0033752D"/>
    <w:rsid w:val="0034291E"/>
    <w:rsid w:val="003443B4"/>
    <w:rsid w:val="0034453E"/>
    <w:rsid w:val="003456F8"/>
    <w:rsid w:val="00347675"/>
    <w:rsid w:val="00347BD4"/>
    <w:rsid w:val="00347CD5"/>
    <w:rsid w:val="00350B80"/>
    <w:rsid w:val="00351462"/>
    <w:rsid w:val="00353E36"/>
    <w:rsid w:val="003554E0"/>
    <w:rsid w:val="00355DBF"/>
    <w:rsid w:val="003576FF"/>
    <w:rsid w:val="00357F80"/>
    <w:rsid w:val="0036304D"/>
    <w:rsid w:val="003631B2"/>
    <w:rsid w:val="00363764"/>
    <w:rsid w:val="0036462F"/>
    <w:rsid w:val="00367A4B"/>
    <w:rsid w:val="00372887"/>
    <w:rsid w:val="00373EDC"/>
    <w:rsid w:val="00374404"/>
    <w:rsid w:val="00375C4D"/>
    <w:rsid w:val="00380A73"/>
    <w:rsid w:val="00382F29"/>
    <w:rsid w:val="00384AF1"/>
    <w:rsid w:val="00385A79"/>
    <w:rsid w:val="00386385"/>
    <w:rsid w:val="00386798"/>
    <w:rsid w:val="00387555"/>
    <w:rsid w:val="0039006E"/>
    <w:rsid w:val="00391AD2"/>
    <w:rsid w:val="003928A8"/>
    <w:rsid w:val="0039343C"/>
    <w:rsid w:val="00393B9D"/>
    <w:rsid w:val="00394823"/>
    <w:rsid w:val="003955A0"/>
    <w:rsid w:val="00395CA3"/>
    <w:rsid w:val="0039786B"/>
    <w:rsid w:val="003978DA"/>
    <w:rsid w:val="003A13B4"/>
    <w:rsid w:val="003A47A3"/>
    <w:rsid w:val="003A72AE"/>
    <w:rsid w:val="003B1262"/>
    <w:rsid w:val="003B4A8D"/>
    <w:rsid w:val="003B5D7A"/>
    <w:rsid w:val="003B72C4"/>
    <w:rsid w:val="003C276B"/>
    <w:rsid w:val="003C3908"/>
    <w:rsid w:val="003C48B6"/>
    <w:rsid w:val="003C6B6D"/>
    <w:rsid w:val="003C7C89"/>
    <w:rsid w:val="003D4318"/>
    <w:rsid w:val="003D6200"/>
    <w:rsid w:val="003D66C8"/>
    <w:rsid w:val="003D6B2B"/>
    <w:rsid w:val="003E0375"/>
    <w:rsid w:val="003E2B21"/>
    <w:rsid w:val="003E4422"/>
    <w:rsid w:val="003E4FF7"/>
    <w:rsid w:val="003F1AAC"/>
    <w:rsid w:val="003F35EF"/>
    <w:rsid w:val="003F3B35"/>
    <w:rsid w:val="003F470F"/>
    <w:rsid w:val="00402689"/>
    <w:rsid w:val="00404BE7"/>
    <w:rsid w:val="004052B2"/>
    <w:rsid w:val="00405C0C"/>
    <w:rsid w:val="00405FC1"/>
    <w:rsid w:val="00405FFB"/>
    <w:rsid w:val="00410B6F"/>
    <w:rsid w:val="00412253"/>
    <w:rsid w:val="00415770"/>
    <w:rsid w:val="00415FC6"/>
    <w:rsid w:val="004179EB"/>
    <w:rsid w:val="00424784"/>
    <w:rsid w:val="00426711"/>
    <w:rsid w:val="00427102"/>
    <w:rsid w:val="00430270"/>
    <w:rsid w:val="004303BA"/>
    <w:rsid w:val="00434060"/>
    <w:rsid w:val="00436E44"/>
    <w:rsid w:val="00437173"/>
    <w:rsid w:val="0044012A"/>
    <w:rsid w:val="00441D52"/>
    <w:rsid w:val="00442312"/>
    <w:rsid w:val="004432F6"/>
    <w:rsid w:val="004443BE"/>
    <w:rsid w:val="004446C5"/>
    <w:rsid w:val="004469F9"/>
    <w:rsid w:val="00446F85"/>
    <w:rsid w:val="004522B4"/>
    <w:rsid w:val="00452714"/>
    <w:rsid w:val="00452891"/>
    <w:rsid w:val="00452900"/>
    <w:rsid w:val="00452A5B"/>
    <w:rsid w:val="00452CED"/>
    <w:rsid w:val="00453189"/>
    <w:rsid w:val="0045385A"/>
    <w:rsid w:val="00454813"/>
    <w:rsid w:val="00456AC9"/>
    <w:rsid w:val="0046020B"/>
    <w:rsid w:val="004619D4"/>
    <w:rsid w:val="00461BFF"/>
    <w:rsid w:val="0046257E"/>
    <w:rsid w:val="004642C0"/>
    <w:rsid w:val="0046775E"/>
    <w:rsid w:val="00470D92"/>
    <w:rsid w:val="00475510"/>
    <w:rsid w:val="0047586E"/>
    <w:rsid w:val="00475D67"/>
    <w:rsid w:val="00480E9D"/>
    <w:rsid w:val="00485168"/>
    <w:rsid w:val="004851ED"/>
    <w:rsid w:val="0048588A"/>
    <w:rsid w:val="00487D31"/>
    <w:rsid w:val="00490397"/>
    <w:rsid w:val="00490692"/>
    <w:rsid w:val="004952D7"/>
    <w:rsid w:val="00495C7D"/>
    <w:rsid w:val="00496108"/>
    <w:rsid w:val="00496192"/>
    <w:rsid w:val="00497373"/>
    <w:rsid w:val="004A0830"/>
    <w:rsid w:val="004A0E05"/>
    <w:rsid w:val="004A11C7"/>
    <w:rsid w:val="004A18D7"/>
    <w:rsid w:val="004A1B26"/>
    <w:rsid w:val="004A4A80"/>
    <w:rsid w:val="004A5489"/>
    <w:rsid w:val="004B7AD5"/>
    <w:rsid w:val="004C17CB"/>
    <w:rsid w:val="004C420E"/>
    <w:rsid w:val="004C7929"/>
    <w:rsid w:val="004D0248"/>
    <w:rsid w:val="004D0BDF"/>
    <w:rsid w:val="004D3A0B"/>
    <w:rsid w:val="004D469E"/>
    <w:rsid w:val="004D4B67"/>
    <w:rsid w:val="004E3A57"/>
    <w:rsid w:val="004E472B"/>
    <w:rsid w:val="004E4BBD"/>
    <w:rsid w:val="004E5018"/>
    <w:rsid w:val="004E5200"/>
    <w:rsid w:val="004E5EFE"/>
    <w:rsid w:val="004E6B7B"/>
    <w:rsid w:val="004F064A"/>
    <w:rsid w:val="004F0FD3"/>
    <w:rsid w:val="004F3FEB"/>
    <w:rsid w:val="004F6AEC"/>
    <w:rsid w:val="005014CD"/>
    <w:rsid w:val="00501793"/>
    <w:rsid w:val="00505BFD"/>
    <w:rsid w:val="005074D5"/>
    <w:rsid w:val="00510AA1"/>
    <w:rsid w:val="00511E6F"/>
    <w:rsid w:val="005127CE"/>
    <w:rsid w:val="00512879"/>
    <w:rsid w:val="00513265"/>
    <w:rsid w:val="00513282"/>
    <w:rsid w:val="005204CB"/>
    <w:rsid w:val="0052211A"/>
    <w:rsid w:val="00522208"/>
    <w:rsid w:val="005240BD"/>
    <w:rsid w:val="00524BCF"/>
    <w:rsid w:val="00524F37"/>
    <w:rsid w:val="00525AEA"/>
    <w:rsid w:val="00525FA8"/>
    <w:rsid w:val="005272D8"/>
    <w:rsid w:val="005300D5"/>
    <w:rsid w:val="00530B7D"/>
    <w:rsid w:val="005310E8"/>
    <w:rsid w:val="00531EA2"/>
    <w:rsid w:val="00532D90"/>
    <w:rsid w:val="00533D48"/>
    <w:rsid w:val="00535A6B"/>
    <w:rsid w:val="00537869"/>
    <w:rsid w:val="005419E9"/>
    <w:rsid w:val="00541DC9"/>
    <w:rsid w:val="00542475"/>
    <w:rsid w:val="005440CF"/>
    <w:rsid w:val="00545910"/>
    <w:rsid w:val="00546397"/>
    <w:rsid w:val="00550C9C"/>
    <w:rsid w:val="00551444"/>
    <w:rsid w:val="005516A8"/>
    <w:rsid w:val="005533C4"/>
    <w:rsid w:val="00560786"/>
    <w:rsid w:val="0056268F"/>
    <w:rsid w:val="00565C3C"/>
    <w:rsid w:val="00566974"/>
    <w:rsid w:val="00567623"/>
    <w:rsid w:val="0057085B"/>
    <w:rsid w:val="00570C6B"/>
    <w:rsid w:val="00572DF6"/>
    <w:rsid w:val="00573388"/>
    <w:rsid w:val="00573AB6"/>
    <w:rsid w:val="00577D77"/>
    <w:rsid w:val="00580725"/>
    <w:rsid w:val="005807CD"/>
    <w:rsid w:val="005811B9"/>
    <w:rsid w:val="0058245E"/>
    <w:rsid w:val="0058608A"/>
    <w:rsid w:val="00586657"/>
    <w:rsid w:val="00586FDE"/>
    <w:rsid w:val="00587B6A"/>
    <w:rsid w:val="00587C9B"/>
    <w:rsid w:val="00587F5D"/>
    <w:rsid w:val="00590E5A"/>
    <w:rsid w:val="005940D1"/>
    <w:rsid w:val="00594E34"/>
    <w:rsid w:val="00595908"/>
    <w:rsid w:val="00596B3D"/>
    <w:rsid w:val="005A2279"/>
    <w:rsid w:val="005A2BB7"/>
    <w:rsid w:val="005A3A8D"/>
    <w:rsid w:val="005A4ADA"/>
    <w:rsid w:val="005A6F2F"/>
    <w:rsid w:val="005A7757"/>
    <w:rsid w:val="005B283E"/>
    <w:rsid w:val="005B3A18"/>
    <w:rsid w:val="005B41AA"/>
    <w:rsid w:val="005B4F61"/>
    <w:rsid w:val="005B57EF"/>
    <w:rsid w:val="005B724E"/>
    <w:rsid w:val="005C5968"/>
    <w:rsid w:val="005C7707"/>
    <w:rsid w:val="005D133C"/>
    <w:rsid w:val="005D27B7"/>
    <w:rsid w:val="005D33D4"/>
    <w:rsid w:val="005D5CF2"/>
    <w:rsid w:val="005D72FB"/>
    <w:rsid w:val="005D7836"/>
    <w:rsid w:val="005D7FCA"/>
    <w:rsid w:val="005E1232"/>
    <w:rsid w:val="005E2F7A"/>
    <w:rsid w:val="005E37DA"/>
    <w:rsid w:val="005E485F"/>
    <w:rsid w:val="005F2729"/>
    <w:rsid w:val="005F3758"/>
    <w:rsid w:val="005F71F9"/>
    <w:rsid w:val="006002AA"/>
    <w:rsid w:val="00611C67"/>
    <w:rsid w:val="00614076"/>
    <w:rsid w:val="00614E5A"/>
    <w:rsid w:val="00616235"/>
    <w:rsid w:val="00617492"/>
    <w:rsid w:val="00620244"/>
    <w:rsid w:val="00620B8A"/>
    <w:rsid w:val="0062275E"/>
    <w:rsid w:val="0062554E"/>
    <w:rsid w:val="00630230"/>
    <w:rsid w:val="00631233"/>
    <w:rsid w:val="006316F4"/>
    <w:rsid w:val="0063197E"/>
    <w:rsid w:val="00633689"/>
    <w:rsid w:val="00636EB6"/>
    <w:rsid w:val="00640B8B"/>
    <w:rsid w:val="00640FE7"/>
    <w:rsid w:val="00643AB4"/>
    <w:rsid w:val="00643E28"/>
    <w:rsid w:val="00644CF4"/>
    <w:rsid w:val="00645153"/>
    <w:rsid w:val="006455B8"/>
    <w:rsid w:val="00646223"/>
    <w:rsid w:val="00647993"/>
    <w:rsid w:val="00650304"/>
    <w:rsid w:val="006511EF"/>
    <w:rsid w:val="006529FA"/>
    <w:rsid w:val="006535F8"/>
    <w:rsid w:val="00653B45"/>
    <w:rsid w:val="006548B7"/>
    <w:rsid w:val="00656745"/>
    <w:rsid w:val="00657376"/>
    <w:rsid w:val="00660EA6"/>
    <w:rsid w:val="00661FE9"/>
    <w:rsid w:val="00663B7B"/>
    <w:rsid w:val="006640FF"/>
    <w:rsid w:val="00667145"/>
    <w:rsid w:val="006673BB"/>
    <w:rsid w:val="006707F5"/>
    <w:rsid w:val="00670AD9"/>
    <w:rsid w:val="006713C2"/>
    <w:rsid w:val="00671713"/>
    <w:rsid w:val="00672EDC"/>
    <w:rsid w:val="00673AE4"/>
    <w:rsid w:val="0067402D"/>
    <w:rsid w:val="00675CCA"/>
    <w:rsid w:val="00675E56"/>
    <w:rsid w:val="0067632C"/>
    <w:rsid w:val="00677934"/>
    <w:rsid w:val="00677A85"/>
    <w:rsid w:val="006805A5"/>
    <w:rsid w:val="00680B51"/>
    <w:rsid w:val="006821E3"/>
    <w:rsid w:val="00685DB6"/>
    <w:rsid w:val="0069299B"/>
    <w:rsid w:val="00693518"/>
    <w:rsid w:val="00694C51"/>
    <w:rsid w:val="006955E7"/>
    <w:rsid w:val="00695FCF"/>
    <w:rsid w:val="00696965"/>
    <w:rsid w:val="00696DDA"/>
    <w:rsid w:val="006970D5"/>
    <w:rsid w:val="006A013E"/>
    <w:rsid w:val="006A135C"/>
    <w:rsid w:val="006A4CFB"/>
    <w:rsid w:val="006A65B1"/>
    <w:rsid w:val="006A71A2"/>
    <w:rsid w:val="006B0DD2"/>
    <w:rsid w:val="006B2505"/>
    <w:rsid w:val="006B4075"/>
    <w:rsid w:val="006B5E7A"/>
    <w:rsid w:val="006B6956"/>
    <w:rsid w:val="006C09E3"/>
    <w:rsid w:val="006C0A34"/>
    <w:rsid w:val="006C3647"/>
    <w:rsid w:val="006C3B4B"/>
    <w:rsid w:val="006C41FF"/>
    <w:rsid w:val="006C4E62"/>
    <w:rsid w:val="006C6AAB"/>
    <w:rsid w:val="006D1D72"/>
    <w:rsid w:val="006D30E8"/>
    <w:rsid w:val="006D502F"/>
    <w:rsid w:val="006D5067"/>
    <w:rsid w:val="006D5713"/>
    <w:rsid w:val="006E1EA3"/>
    <w:rsid w:val="006E265E"/>
    <w:rsid w:val="006E27FD"/>
    <w:rsid w:val="006E4DAD"/>
    <w:rsid w:val="006E6CC2"/>
    <w:rsid w:val="006F16C8"/>
    <w:rsid w:val="006F5C05"/>
    <w:rsid w:val="006F5E1D"/>
    <w:rsid w:val="006F6ADA"/>
    <w:rsid w:val="006F707F"/>
    <w:rsid w:val="0070382E"/>
    <w:rsid w:val="0070621C"/>
    <w:rsid w:val="00706682"/>
    <w:rsid w:val="00707993"/>
    <w:rsid w:val="0071123A"/>
    <w:rsid w:val="00711E25"/>
    <w:rsid w:val="00712AC4"/>
    <w:rsid w:val="00712FB7"/>
    <w:rsid w:val="007138CC"/>
    <w:rsid w:val="0071439B"/>
    <w:rsid w:val="00715755"/>
    <w:rsid w:val="0072122E"/>
    <w:rsid w:val="00723B85"/>
    <w:rsid w:val="007257B8"/>
    <w:rsid w:val="00727A83"/>
    <w:rsid w:val="00730A03"/>
    <w:rsid w:val="0073174A"/>
    <w:rsid w:val="007333BE"/>
    <w:rsid w:val="007335A8"/>
    <w:rsid w:val="00735079"/>
    <w:rsid w:val="0073593C"/>
    <w:rsid w:val="00736A14"/>
    <w:rsid w:val="00737013"/>
    <w:rsid w:val="0073764E"/>
    <w:rsid w:val="00737DDD"/>
    <w:rsid w:val="00743AC6"/>
    <w:rsid w:val="0075099D"/>
    <w:rsid w:val="00752052"/>
    <w:rsid w:val="00754EA3"/>
    <w:rsid w:val="00756B84"/>
    <w:rsid w:val="00757A75"/>
    <w:rsid w:val="00760136"/>
    <w:rsid w:val="00760496"/>
    <w:rsid w:val="0076053B"/>
    <w:rsid w:val="007622E3"/>
    <w:rsid w:val="00763FB0"/>
    <w:rsid w:val="007644E5"/>
    <w:rsid w:val="00765150"/>
    <w:rsid w:val="00770D2D"/>
    <w:rsid w:val="00770D5D"/>
    <w:rsid w:val="00772C0B"/>
    <w:rsid w:val="007738D0"/>
    <w:rsid w:val="00773EC0"/>
    <w:rsid w:val="00774DA4"/>
    <w:rsid w:val="00774E33"/>
    <w:rsid w:val="0077567A"/>
    <w:rsid w:val="00775DA1"/>
    <w:rsid w:val="00775F4F"/>
    <w:rsid w:val="00777690"/>
    <w:rsid w:val="00777C0A"/>
    <w:rsid w:val="00780533"/>
    <w:rsid w:val="00783A0B"/>
    <w:rsid w:val="00784DD0"/>
    <w:rsid w:val="0078737D"/>
    <w:rsid w:val="00790464"/>
    <w:rsid w:val="00791D81"/>
    <w:rsid w:val="007939B6"/>
    <w:rsid w:val="007964C7"/>
    <w:rsid w:val="007A35B4"/>
    <w:rsid w:val="007A4846"/>
    <w:rsid w:val="007A4969"/>
    <w:rsid w:val="007A66DF"/>
    <w:rsid w:val="007A6D9A"/>
    <w:rsid w:val="007A6FD9"/>
    <w:rsid w:val="007A7C15"/>
    <w:rsid w:val="007B01D2"/>
    <w:rsid w:val="007B05F7"/>
    <w:rsid w:val="007B1924"/>
    <w:rsid w:val="007B199A"/>
    <w:rsid w:val="007B1BA6"/>
    <w:rsid w:val="007B48F8"/>
    <w:rsid w:val="007B51E6"/>
    <w:rsid w:val="007B55B5"/>
    <w:rsid w:val="007B5624"/>
    <w:rsid w:val="007C3D92"/>
    <w:rsid w:val="007C5420"/>
    <w:rsid w:val="007D06C0"/>
    <w:rsid w:val="007D1008"/>
    <w:rsid w:val="007D1B67"/>
    <w:rsid w:val="007D2672"/>
    <w:rsid w:val="007D4B6B"/>
    <w:rsid w:val="007D62DC"/>
    <w:rsid w:val="007D7930"/>
    <w:rsid w:val="007D7CCF"/>
    <w:rsid w:val="007E0965"/>
    <w:rsid w:val="007E58BF"/>
    <w:rsid w:val="007E728E"/>
    <w:rsid w:val="007E784C"/>
    <w:rsid w:val="007F130A"/>
    <w:rsid w:val="007F1E22"/>
    <w:rsid w:val="007F3D4F"/>
    <w:rsid w:val="007F46C8"/>
    <w:rsid w:val="007F52BD"/>
    <w:rsid w:val="007F5D18"/>
    <w:rsid w:val="00801420"/>
    <w:rsid w:val="00802069"/>
    <w:rsid w:val="0080223D"/>
    <w:rsid w:val="008025DC"/>
    <w:rsid w:val="00802652"/>
    <w:rsid w:val="00802D8D"/>
    <w:rsid w:val="00803C62"/>
    <w:rsid w:val="00806EC8"/>
    <w:rsid w:val="00814CE9"/>
    <w:rsid w:val="00815D4F"/>
    <w:rsid w:val="00815D73"/>
    <w:rsid w:val="008176D9"/>
    <w:rsid w:val="00820BE1"/>
    <w:rsid w:val="00825BCB"/>
    <w:rsid w:val="0082609D"/>
    <w:rsid w:val="008270A6"/>
    <w:rsid w:val="00827BB7"/>
    <w:rsid w:val="00831988"/>
    <w:rsid w:val="00832233"/>
    <w:rsid w:val="00832428"/>
    <w:rsid w:val="00832BDC"/>
    <w:rsid w:val="008335D7"/>
    <w:rsid w:val="0083364D"/>
    <w:rsid w:val="008340F1"/>
    <w:rsid w:val="00834A4A"/>
    <w:rsid w:val="0083539A"/>
    <w:rsid w:val="0083564F"/>
    <w:rsid w:val="008356C6"/>
    <w:rsid w:val="0083673F"/>
    <w:rsid w:val="00837B9C"/>
    <w:rsid w:val="008409F8"/>
    <w:rsid w:val="00844028"/>
    <w:rsid w:val="0084493B"/>
    <w:rsid w:val="00844B59"/>
    <w:rsid w:val="00844F82"/>
    <w:rsid w:val="00845D51"/>
    <w:rsid w:val="008469EE"/>
    <w:rsid w:val="008513F9"/>
    <w:rsid w:val="008521CA"/>
    <w:rsid w:val="008566B3"/>
    <w:rsid w:val="00856765"/>
    <w:rsid w:val="0085760A"/>
    <w:rsid w:val="00862746"/>
    <w:rsid w:val="008638C5"/>
    <w:rsid w:val="00864335"/>
    <w:rsid w:val="00867AEB"/>
    <w:rsid w:val="008775A4"/>
    <w:rsid w:val="008809B6"/>
    <w:rsid w:val="00881122"/>
    <w:rsid w:val="00881AF4"/>
    <w:rsid w:val="008834FE"/>
    <w:rsid w:val="00883BC1"/>
    <w:rsid w:val="00884AE7"/>
    <w:rsid w:val="00886263"/>
    <w:rsid w:val="00890070"/>
    <w:rsid w:val="00890405"/>
    <w:rsid w:val="008920DC"/>
    <w:rsid w:val="008927EE"/>
    <w:rsid w:val="008956D1"/>
    <w:rsid w:val="008957EF"/>
    <w:rsid w:val="00895BB6"/>
    <w:rsid w:val="008972B2"/>
    <w:rsid w:val="008976A1"/>
    <w:rsid w:val="00897CA1"/>
    <w:rsid w:val="008A0E25"/>
    <w:rsid w:val="008A1766"/>
    <w:rsid w:val="008A1D53"/>
    <w:rsid w:val="008B2BA7"/>
    <w:rsid w:val="008B3494"/>
    <w:rsid w:val="008B5FC3"/>
    <w:rsid w:val="008B7022"/>
    <w:rsid w:val="008B743F"/>
    <w:rsid w:val="008C0A82"/>
    <w:rsid w:val="008C4980"/>
    <w:rsid w:val="008C5798"/>
    <w:rsid w:val="008D2BDD"/>
    <w:rsid w:val="008D33F8"/>
    <w:rsid w:val="008D4BC6"/>
    <w:rsid w:val="008E190A"/>
    <w:rsid w:val="008E2453"/>
    <w:rsid w:val="008E4AD4"/>
    <w:rsid w:val="008E78E9"/>
    <w:rsid w:val="008F1906"/>
    <w:rsid w:val="008F1F12"/>
    <w:rsid w:val="008F2550"/>
    <w:rsid w:val="008F2BFA"/>
    <w:rsid w:val="008F2E54"/>
    <w:rsid w:val="008F43E5"/>
    <w:rsid w:val="008F5A3B"/>
    <w:rsid w:val="008F6975"/>
    <w:rsid w:val="008F72C4"/>
    <w:rsid w:val="00900A5F"/>
    <w:rsid w:val="00902108"/>
    <w:rsid w:val="00902865"/>
    <w:rsid w:val="009030D3"/>
    <w:rsid w:val="00903342"/>
    <w:rsid w:val="00906DD1"/>
    <w:rsid w:val="009171F5"/>
    <w:rsid w:val="00917BA0"/>
    <w:rsid w:val="00917D94"/>
    <w:rsid w:val="00920E58"/>
    <w:rsid w:val="00921057"/>
    <w:rsid w:val="00921E42"/>
    <w:rsid w:val="009221E2"/>
    <w:rsid w:val="00924122"/>
    <w:rsid w:val="009241E0"/>
    <w:rsid w:val="00927505"/>
    <w:rsid w:val="00927D6F"/>
    <w:rsid w:val="00930CCE"/>
    <w:rsid w:val="00931A17"/>
    <w:rsid w:val="009353AC"/>
    <w:rsid w:val="009360C0"/>
    <w:rsid w:val="0093653B"/>
    <w:rsid w:val="00936FF7"/>
    <w:rsid w:val="00937550"/>
    <w:rsid w:val="0094028A"/>
    <w:rsid w:val="0094183B"/>
    <w:rsid w:val="00947084"/>
    <w:rsid w:val="00947FBD"/>
    <w:rsid w:val="00951A4B"/>
    <w:rsid w:val="0095482F"/>
    <w:rsid w:val="00955403"/>
    <w:rsid w:val="00957526"/>
    <w:rsid w:val="00957C85"/>
    <w:rsid w:val="00957D24"/>
    <w:rsid w:val="009630B4"/>
    <w:rsid w:val="00963735"/>
    <w:rsid w:val="009650B3"/>
    <w:rsid w:val="00965964"/>
    <w:rsid w:val="0097162D"/>
    <w:rsid w:val="009721C4"/>
    <w:rsid w:val="009722DB"/>
    <w:rsid w:val="0097272E"/>
    <w:rsid w:val="00973B94"/>
    <w:rsid w:val="00976F80"/>
    <w:rsid w:val="009805F2"/>
    <w:rsid w:val="00984C33"/>
    <w:rsid w:val="00986052"/>
    <w:rsid w:val="00987C74"/>
    <w:rsid w:val="00991B11"/>
    <w:rsid w:val="00994D71"/>
    <w:rsid w:val="00996C28"/>
    <w:rsid w:val="00996FA7"/>
    <w:rsid w:val="009A2DA3"/>
    <w:rsid w:val="009A37EB"/>
    <w:rsid w:val="009A388E"/>
    <w:rsid w:val="009A3ADF"/>
    <w:rsid w:val="009A662A"/>
    <w:rsid w:val="009A6C03"/>
    <w:rsid w:val="009A7F2E"/>
    <w:rsid w:val="009B0C1D"/>
    <w:rsid w:val="009B2E68"/>
    <w:rsid w:val="009B67E9"/>
    <w:rsid w:val="009C1A22"/>
    <w:rsid w:val="009C2C3C"/>
    <w:rsid w:val="009C60D3"/>
    <w:rsid w:val="009C6AFA"/>
    <w:rsid w:val="009C7037"/>
    <w:rsid w:val="009C7943"/>
    <w:rsid w:val="009D1A5C"/>
    <w:rsid w:val="009D2EAC"/>
    <w:rsid w:val="009D4F4F"/>
    <w:rsid w:val="009D6E1C"/>
    <w:rsid w:val="009D7945"/>
    <w:rsid w:val="009E30A5"/>
    <w:rsid w:val="009E3CEE"/>
    <w:rsid w:val="009E3EAC"/>
    <w:rsid w:val="009E3F63"/>
    <w:rsid w:val="009E4342"/>
    <w:rsid w:val="009F03B6"/>
    <w:rsid w:val="009F0432"/>
    <w:rsid w:val="009F2842"/>
    <w:rsid w:val="009F2CAA"/>
    <w:rsid w:val="009F3CB2"/>
    <w:rsid w:val="009F691A"/>
    <w:rsid w:val="00A004B0"/>
    <w:rsid w:val="00A0487E"/>
    <w:rsid w:val="00A04E54"/>
    <w:rsid w:val="00A061EB"/>
    <w:rsid w:val="00A0698F"/>
    <w:rsid w:val="00A12E53"/>
    <w:rsid w:val="00A13CF1"/>
    <w:rsid w:val="00A13DFC"/>
    <w:rsid w:val="00A16B16"/>
    <w:rsid w:val="00A203F4"/>
    <w:rsid w:val="00A23E03"/>
    <w:rsid w:val="00A25176"/>
    <w:rsid w:val="00A269CF"/>
    <w:rsid w:val="00A364A1"/>
    <w:rsid w:val="00A36649"/>
    <w:rsid w:val="00A36D32"/>
    <w:rsid w:val="00A36E5F"/>
    <w:rsid w:val="00A401BC"/>
    <w:rsid w:val="00A40F25"/>
    <w:rsid w:val="00A423A7"/>
    <w:rsid w:val="00A44F7D"/>
    <w:rsid w:val="00A60FC8"/>
    <w:rsid w:val="00A61A79"/>
    <w:rsid w:val="00A63606"/>
    <w:rsid w:val="00A64D76"/>
    <w:rsid w:val="00A650B3"/>
    <w:rsid w:val="00A65B9D"/>
    <w:rsid w:val="00A66062"/>
    <w:rsid w:val="00A66317"/>
    <w:rsid w:val="00A66E9E"/>
    <w:rsid w:val="00A710F1"/>
    <w:rsid w:val="00A71D3F"/>
    <w:rsid w:val="00A71FF1"/>
    <w:rsid w:val="00A7213D"/>
    <w:rsid w:val="00A7339D"/>
    <w:rsid w:val="00A74BBA"/>
    <w:rsid w:val="00A76386"/>
    <w:rsid w:val="00A7781C"/>
    <w:rsid w:val="00A84F3D"/>
    <w:rsid w:val="00A86DA7"/>
    <w:rsid w:val="00A91DC0"/>
    <w:rsid w:val="00A91E49"/>
    <w:rsid w:val="00A9205A"/>
    <w:rsid w:val="00AA0FE4"/>
    <w:rsid w:val="00AA10CE"/>
    <w:rsid w:val="00AA2A57"/>
    <w:rsid w:val="00AA5738"/>
    <w:rsid w:val="00AA6191"/>
    <w:rsid w:val="00AA65EF"/>
    <w:rsid w:val="00AB0EF6"/>
    <w:rsid w:val="00AB0FBF"/>
    <w:rsid w:val="00AB1853"/>
    <w:rsid w:val="00AB5A9E"/>
    <w:rsid w:val="00AC0C82"/>
    <w:rsid w:val="00AC18D7"/>
    <w:rsid w:val="00AC2611"/>
    <w:rsid w:val="00AC2BF4"/>
    <w:rsid w:val="00AC2E6A"/>
    <w:rsid w:val="00AC3E12"/>
    <w:rsid w:val="00AD01B1"/>
    <w:rsid w:val="00AD05A6"/>
    <w:rsid w:val="00AD436F"/>
    <w:rsid w:val="00AD5368"/>
    <w:rsid w:val="00AE0F77"/>
    <w:rsid w:val="00AE1EFF"/>
    <w:rsid w:val="00AE2657"/>
    <w:rsid w:val="00AE4385"/>
    <w:rsid w:val="00AE4C5E"/>
    <w:rsid w:val="00AE52B8"/>
    <w:rsid w:val="00AE7125"/>
    <w:rsid w:val="00AE7BCB"/>
    <w:rsid w:val="00AE7C72"/>
    <w:rsid w:val="00AF0726"/>
    <w:rsid w:val="00AF24B2"/>
    <w:rsid w:val="00AF529C"/>
    <w:rsid w:val="00AF5345"/>
    <w:rsid w:val="00AF5B03"/>
    <w:rsid w:val="00AF5EB2"/>
    <w:rsid w:val="00AF60B7"/>
    <w:rsid w:val="00B00F06"/>
    <w:rsid w:val="00B01528"/>
    <w:rsid w:val="00B01F41"/>
    <w:rsid w:val="00B03791"/>
    <w:rsid w:val="00B047F1"/>
    <w:rsid w:val="00B051CC"/>
    <w:rsid w:val="00B13461"/>
    <w:rsid w:val="00B17FF8"/>
    <w:rsid w:val="00B20DA5"/>
    <w:rsid w:val="00B2109F"/>
    <w:rsid w:val="00B22D3D"/>
    <w:rsid w:val="00B22D55"/>
    <w:rsid w:val="00B235F7"/>
    <w:rsid w:val="00B242B8"/>
    <w:rsid w:val="00B24831"/>
    <w:rsid w:val="00B254D8"/>
    <w:rsid w:val="00B265A5"/>
    <w:rsid w:val="00B30840"/>
    <w:rsid w:val="00B30A72"/>
    <w:rsid w:val="00B30CF7"/>
    <w:rsid w:val="00B30F3E"/>
    <w:rsid w:val="00B3280B"/>
    <w:rsid w:val="00B34570"/>
    <w:rsid w:val="00B365C9"/>
    <w:rsid w:val="00B40113"/>
    <w:rsid w:val="00B43BAA"/>
    <w:rsid w:val="00B444F7"/>
    <w:rsid w:val="00B46F5D"/>
    <w:rsid w:val="00B510D1"/>
    <w:rsid w:val="00B516F4"/>
    <w:rsid w:val="00B53695"/>
    <w:rsid w:val="00B56122"/>
    <w:rsid w:val="00B57331"/>
    <w:rsid w:val="00B6021A"/>
    <w:rsid w:val="00B61CD8"/>
    <w:rsid w:val="00B61DDE"/>
    <w:rsid w:val="00B62892"/>
    <w:rsid w:val="00B63F07"/>
    <w:rsid w:val="00B64FD7"/>
    <w:rsid w:val="00B650D8"/>
    <w:rsid w:val="00B65FD9"/>
    <w:rsid w:val="00B6634F"/>
    <w:rsid w:val="00B67FDC"/>
    <w:rsid w:val="00B708CF"/>
    <w:rsid w:val="00B71697"/>
    <w:rsid w:val="00B71781"/>
    <w:rsid w:val="00B7222E"/>
    <w:rsid w:val="00B7336C"/>
    <w:rsid w:val="00B734C2"/>
    <w:rsid w:val="00B7548C"/>
    <w:rsid w:val="00B76C6A"/>
    <w:rsid w:val="00B77794"/>
    <w:rsid w:val="00B80677"/>
    <w:rsid w:val="00B82437"/>
    <w:rsid w:val="00B829A8"/>
    <w:rsid w:val="00B829B3"/>
    <w:rsid w:val="00B83749"/>
    <w:rsid w:val="00B860F7"/>
    <w:rsid w:val="00B86579"/>
    <w:rsid w:val="00B87617"/>
    <w:rsid w:val="00B912EC"/>
    <w:rsid w:val="00B9203C"/>
    <w:rsid w:val="00B92684"/>
    <w:rsid w:val="00B93167"/>
    <w:rsid w:val="00B95065"/>
    <w:rsid w:val="00B96704"/>
    <w:rsid w:val="00B96E93"/>
    <w:rsid w:val="00B971AE"/>
    <w:rsid w:val="00B97AE8"/>
    <w:rsid w:val="00BA2289"/>
    <w:rsid w:val="00BA3745"/>
    <w:rsid w:val="00BA424D"/>
    <w:rsid w:val="00BB01C4"/>
    <w:rsid w:val="00BB1DDF"/>
    <w:rsid w:val="00BB1F05"/>
    <w:rsid w:val="00BB4665"/>
    <w:rsid w:val="00BB4A4E"/>
    <w:rsid w:val="00BC1CC8"/>
    <w:rsid w:val="00BC2D7C"/>
    <w:rsid w:val="00BC6124"/>
    <w:rsid w:val="00BC76D0"/>
    <w:rsid w:val="00BD3529"/>
    <w:rsid w:val="00BD5207"/>
    <w:rsid w:val="00BE134F"/>
    <w:rsid w:val="00BE3538"/>
    <w:rsid w:val="00BE4EA8"/>
    <w:rsid w:val="00BE56ED"/>
    <w:rsid w:val="00BE67E4"/>
    <w:rsid w:val="00BE77A5"/>
    <w:rsid w:val="00BF158F"/>
    <w:rsid w:val="00BF1A98"/>
    <w:rsid w:val="00BF2576"/>
    <w:rsid w:val="00BF279A"/>
    <w:rsid w:val="00BF5106"/>
    <w:rsid w:val="00BF583E"/>
    <w:rsid w:val="00BF5D19"/>
    <w:rsid w:val="00BF5DF9"/>
    <w:rsid w:val="00C0043D"/>
    <w:rsid w:val="00C032E9"/>
    <w:rsid w:val="00C03950"/>
    <w:rsid w:val="00C04AEB"/>
    <w:rsid w:val="00C04E50"/>
    <w:rsid w:val="00C053AA"/>
    <w:rsid w:val="00C05572"/>
    <w:rsid w:val="00C10CA2"/>
    <w:rsid w:val="00C1154C"/>
    <w:rsid w:val="00C11CA8"/>
    <w:rsid w:val="00C17B97"/>
    <w:rsid w:val="00C20338"/>
    <w:rsid w:val="00C2114D"/>
    <w:rsid w:val="00C21D67"/>
    <w:rsid w:val="00C24B34"/>
    <w:rsid w:val="00C26ABE"/>
    <w:rsid w:val="00C276B1"/>
    <w:rsid w:val="00C343BD"/>
    <w:rsid w:val="00C3561A"/>
    <w:rsid w:val="00C36730"/>
    <w:rsid w:val="00C374D4"/>
    <w:rsid w:val="00C4141D"/>
    <w:rsid w:val="00C437B1"/>
    <w:rsid w:val="00C45AAA"/>
    <w:rsid w:val="00C46721"/>
    <w:rsid w:val="00C46EC8"/>
    <w:rsid w:val="00C52FF7"/>
    <w:rsid w:val="00C536FD"/>
    <w:rsid w:val="00C54450"/>
    <w:rsid w:val="00C546FF"/>
    <w:rsid w:val="00C54B84"/>
    <w:rsid w:val="00C54C86"/>
    <w:rsid w:val="00C56178"/>
    <w:rsid w:val="00C56687"/>
    <w:rsid w:val="00C56F97"/>
    <w:rsid w:val="00C577A9"/>
    <w:rsid w:val="00C674B4"/>
    <w:rsid w:val="00C717FC"/>
    <w:rsid w:val="00C72455"/>
    <w:rsid w:val="00C74392"/>
    <w:rsid w:val="00C74422"/>
    <w:rsid w:val="00C75948"/>
    <w:rsid w:val="00C76D3F"/>
    <w:rsid w:val="00C8337E"/>
    <w:rsid w:val="00C83CDE"/>
    <w:rsid w:val="00C83E21"/>
    <w:rsid w:val="00C85EEF"/>
    <w:rsid w:val="00C8624C"/>
    <w:rsid w:val="00C92B2B"/>
    <w:rsid w:val="00C93F32"/>
    <w:rsid w:val="00C94775"/>
    <w:rsid w:val="00C947A9"/>
    <w:rsid w:val="00C94D3F"/>
    <w:rsid w:val="00C95D73"/>
    <w:rsid w:val="00C96A92"/>
    <w:rsid w:val="00C97A89"/>
    <w:rsid w:val="00CA2AB4"/>
    <w:rsid w:val="00CA45DC"/>
    <w:rsid w:val="00CA492E"/>
    <w:rsid w:val="00CA4C09"/>
    <w:rsid w:val="00CA4FA9"/>
    <w:rsid w:val="00CA633A"/>
    <w:rsid w:val="00CA6DEF"/>
    <w:rsid w:val="00CA74CA"/>
    <w:rsid w:val="00CB09A1"/>
    <w:rsid w:val="00CB146D"/>
    <w:rsid w:val="00CB3355"/>
    <w:rsid w:val="00CB3F35"/>
    <w:rsid w:val="00CB4D1B"/>
    <w:rsid w:val="00CB79A7"/>
    <w:rsid w:val="00CC1780"/>
    <w:rsid w:val="00CC4A07"/>
    <w:rsid w:val="00CC4E9E"/>
    <w:rsid w:val="00CC4F1D"/>
    <w:rsid w:val="00CC6C9E"/>
    <w:rsid w:val="00CC6E1E"/>
    <w:rsid w:val="00CC7338"/>
    <w:rsid w:val="00CC7BDF"/>
    <w:rsid w:val="00CD2317"/>
    <w:rsid w:val="00CD4895"/>
    <w:rsid w:val="00CD4BD8"/>
    <w:rsid w:val="00CD671E"/>
    <w:rsid w:val="00CD683F"/>
    <w:rsid w:val="00CD6B90"/>
    <w:rsid w:val="00CD6DFA"/>
    <w:rsid w:val="00CD7ACC"/>
    <w:rsid w:val="00CE1E5E"/>
    <w:rsid w:val="00CE202C"/>
    <w:rsid w:val="00CE5CEA"/>
    <w:rsid w:val="00CE688C"/>
    <w:rsid w:val="00CE6911"/>
    <w:rsid w:val="00CE71E5"/>
    <w:rsid w:val="00CF1C62"/>
    <w:rsid w:val="00CF540D"/>
    <w:rsid w:val="00CF6E6C"/>
    <w:rsid w:val="00CF77DC"/>
    <w:rsid w:val="00CF7D0F"/>
    <w:rsid w:val="00D0086F"/>
    <w:rsid w:val="00D01B22"/>
    <w:rsid w:val="00D02682"/>
    <w:rsid w:val="00D03E15"/>
    <w:rsid w:val="00D046E3"/>
    <w:rsid w:val="00D04C48"/>
    <w:rsid w:val="00D05C60"/>
    <w:rsid w:val="00D061F7"/>
    <w:rsid w:val="00D06F63"/>
    <w:rsid w:val="00D07DF0"/>
    <w:rsid w:val="00D13147"/>
    <w:rsid w:val="00D14818"/>
    <w:rsid w:val="00D15111"/>
    <w:rsid w:val="00D167ED"/>
    <w:rsid w:val="00D17072"/>
    <w:rsid w:val="00D20341"/>
    <w:rsid w:val="00D21751"/>
    <w:rsid w:val="00D21F6E"/>
    <w:rsid w:val="00D22CFE"/>
    <w:rsid w:val="00D23A72"/>
    <w:rsid w:val="00D23AB2"/>
    <w:rsid w:val="00D24C4C"/>
    <w:rsid w:val="00D258D8"/>
    <w:rsid w:val="00D26331"/>
    <w:rsid w:val="00D2652D"/>
    <w:rsid w:val="00D27104"/>
    <w:rsid w:val="00D301D2"/>
    <w:rsid w:val="00D309DD"/>
    <w:rsid w:val="00D30CEF"/>
    <w:rsid w:val="00D31C1B"/>
    <w:rsid w:val="00D33A1A"/>
    <w:rsid w:val="00D34424"/>
    <w:rsid w:val="00D353A8"/>
    <w:rsid w:val="00D40E17"/>
    <w:rsid w:val="00D413C5"/>
    <w:rsid w:val="00D42242"/>
    <w:rsid w:val="00D45208"/>
    <w:rsid w:val="00D45568"/>
    <w:rsid w:val="00D51C6E"/>
    <w:rsid w:val="00D51D87"/>
    <w:rsid w:val="00D53CE2"/>
    <w:rsid w:val="00D542CC"/>
    <w:rsid w:val="00D543F3"/>
    <w:rsid w:val="00D609E5"/>
    <w:rsid w:val="00D62905"/>
    <w:rsid w:val="00D636FC"/>
    <w:rsid w:val="00D640C7"/>
    <w:rsid w:val="00D651BC"/>
    <w:rsid w:val="00D66971"/>
    <w:rsid w:val="00D708B7"/>
    <w:rsid w:val="00D755A7"/>
    <w:rsid w:val="00D77B37"/>
    <w:rsid w:val="00D80173"/>
    <w:rsid w:val="00D81D4D"/>
    <w:rsid w:val="00D823A9"/>
    <w:rsid w:val="00D83FB6"/>
    <w:rsid w:val="00D90217"/>
    <w:rsid w:val="00D91F7D"/>
    <w:rsid w:val="00D95224"/>
    <w:rsid w:val="00D95989"/>
    <w:rsid w:val="00D96184"/>
    <w:rsid w:val="00D96B0A"/>
    <w:rsid w:val="00D96C89"/>
    <w:rsid w:val="00D97320"/>
    <w:rsid w:val="00DA52E8"/>
    <w:rsid w:val="00DA6836"/>
    <w:rsid w:val="00DB56F6"/>
    <w:rsid w:val="00DC2A0C"/>
    <w:rsid w:val="00DC54A4"/>
    <w:rsid w:val="00DD2C65"/>
    <w:rsid w:val="00DD491D"/>
    <w:rsid w:val="00DD4DEC"/>
    <w:rsid w:val="00DD593A"/>
    <w:rsid w:val="00DD7BB6"/>
    <w:rsid w:val="00DE1FE9"/>
    <w:rsid w:val="00DE2B1F"/>
    <w:rsid w:val="00DE5012"/>
    <w:rsid w:val="00DE591C"/>
    <w:rsid w:val="00DE68E0"/>
    <w:rsid w:val="00DE6AEA"/>
    <w:rsid w:val="00DF20F8"/>
    <w:rsid w:val="00DF274C"/>
    <w:rsid w:val="00DF2811"/>
    <w:rsid w:val="00DF3C21"/>
    <w:rsid w:val="00DF6487"/>
    <w:rsid w:val="00E00E5A"/>
    <w:rsid w:val="00E0144B"/>
    <w:rsid w:val="00E0203D"/>
    <w:rsid w:val="00E03F63"/>
    <w:rsid w:val="00E04BEC"/>
    <w:rsid w:val="00E0503D"/>
    <w:rsid w:val="00E06001"/>
    <w:rsid w:val="00E102BB"/>
    <w:rsid w:val="00E118ED"/>
    <w:rsid w:val="00E126E0"/>
    <w:rsid w:val="00E13656"/>
    <w:rsid w:val="00E1655E"/>
    <w:rsid w:val="00E17D68"/>
    <w:rsid w:val="00E21DED"/>
    <w:rsid w:val="00E22F11"/>
    <w:rsid w:val="00E25FA6"/>
    <w:rsid w:val="00E263F2"/>
    <w:rsid w:val="00E267F3"/>
    <w:rsid w:val="00E27E4C"/>
    <w:rsid w:val="00E301EE"/>
    <w:rsid w:val="00E30818"/>
    <w:rsid w:val="00E34AAD"/>
    <w:rsid w:val="00E36BE2"/>
    <w:rsid w:val="00E3755B"/>
    <w:rsid w:val="00E37CC9"/>
    <w:rsid w:val="00E42270"/>
    <w:rsid w:val="00E43930"/>
    <w:rsid w:val="00E44E3C"/>
    <w:rsid w:val="00E45CD7"/>
    <w:rsid w:val="00E46DBD"/>
    <w:rsid w:val="00E4759B"/>
    <w:rsid w:val="00E50B8E"/>
    <w:rsid w:val="00E5230C"/>
    <w:rsid w:val="00E52BE0"/>
    <w:rsid w:val="00E544CF"/>
    <w:rsid w:val="00E5485A"/>
    <w:rsid w:val="00E562B4"/>
    <w:rsid w:val="00E568E1"/>
    <w:rsid w:val="00E572F8"/>
    <w:rsid w:val="00E574FC"/>
    <w:rsid w:val="00E60629"/>
    <w:rsid w:val="00E60695"/>
    <w:rsid w:val="00E61043"/>
    <w:rsid w:val="00E61CF3"/>
    <w:rsid w:val="00E61E4D"/>
    <w:rsid w:val="00E63E75"/>
    <w:rsid w:val="00E6515F"/>
    <w:rsid w:val="00E65AAE"/>
    <w:rsid w:val="00E65BF2"/>
    <w:rsid w:val="00E672C7"/>
    <w:rsid w:val="00E678EA"/>
    <w:rsid w:val="00E73406"/>
    <w:rsid w:val="00E75B91"/>
    <w:rsid w:val="00E7625C"/>
    <w:rsid w:val="00E76BC5"/>
    <w:rsid w:val="00E7781F"/>
    <w:rsid w:val="00E81782"/>
    <w:rsid w:val="00E824FD"/>
    <w:rsid w:val="00E83879"/>
    <w:rsid w:val="00E8596C"/>
    <w:rsid w:val="00E865C0"/>
    <w:rsid w:val="00E900AF"/>
    <w:rsid w:val="00E91CC1"/>
    <w:rsid w:val="00E94FC2"/>
    <w:rsid w:val="00E95C92"/>
    <w:rsid w:val="00E97CC8"/>
    <w:rsid w:val="00EA3C71"/>
    <w:rsid w:val="00EA5DD7"/>
    <w:rsid w:val="00EB0134"/>
    <w:rsid w:val="00EB116F"/>
    <w:rsid w:val="00EB14C9"/>
    <w:rsid w:val="00EB1CAB"/>
    <w:rsid w:val="00EB1D29"/>
    <w:rsid w:val="00EB20D1"/>
    <w:rsid w:val="00EB2C5F"/>
    <w:rsid w:val="00EB2CB1"/>
    <w:rsid w:val="00EB33E2"/>
    <w:rsid w:val="00EB4FDD"/>
    <w:rsid w:val="00EB5AFB"/>
    <w:rsid w:val="00EB7589"/>
    <w:rsid w:val="00EB76A8"/>
    <w:rsid w:val="00EC1E91"/>
    <w:rsid w:val="00EC3A18"/>
    <w:rsid w:val="00EC5217"/>
    <w:rsid w:val="00EC55CB"/>
    <w:rsid w:val="00EC5C09"/>
    <w:rsid w:val="00EC7638"/>
    <w:rsid w:val="00ED073D"/>
    <w:rsid w:val="00ED0CFD"/>
    <w:rsid w:val="00ED0ED7"/>
    <w:rsid w:val="00ED26C2"/>
    <w:rsid w:val="00ED3457"/>
    <w:rsid w:val="00EE622A"/>
    <w:rsid w:val="00EE6DB9"/>
    <w:rsid w:val="00EF21E1"/>
    <w:rsid w:val="00EF462D"/>
    <w:rsid w:val="00EF4908"/>
    <w:rsid w:val="00EF5B96"/>
    <w:rsid w:val="00EF67C4"/>
    <w:rsid w:val="00F00618"/>
    <w:rsid w:val="00F01ED5"/>
    <w:rsid w:val="00F06C54"/>
    <w:rsid w:val="00F1028E"/>
    <w:rsid w:val="00F11576"/>
    <w:rsid w:val="00F115AA"/>
    <w:rsid w:val="00F117D2"/>
    <w:rsid w:val="00F12BB1"/>
    <w:rsid w:val="00F12BCE"/>
    <w:rsid w:val="00F15DF9"/>
    <w:rsid w:val="00F16B41"/>
    <w:rsid w:val="00F17700"/>
    <w:rsid w:val="00F214DB"/>
    <w:rsid w:val="00F22502"/>
    <w:rsid w:val="00F2429D"/>
    <w:rsid w:val="00F24571"/>
    <w:rsid w:val="00F245C8"/>
    <w:rsid w:val="00F275D7"/>
    <w:rsid w:val="00F320EE"/>
    <w:rsid w:val="00F33B5B"/>
    <w:rsid w:val="00F36DEA"/>
    <w:rsid w:val="00F400FA"/>
    <w:rsid w:val="00F4050E"/>
    <w:rsid w:val="00F4071A"/>
    <w:rsid w:val="00F416C6"/>
    <w:rsid w:val="00F4217C"/>
    <w:rsid w:val="00F4406F"/>
    <w:rsid w:val="00F46D61"/>
    <w:rsid w:val="00F5033A"/>
    <w:rsid w:val="00F61E47"/>
    <w:rsid w:val="00F61E7A"/>
    <w:rsid w:val="00F6436F"/>
    <w:rsid w:val="00F6596E"/>
    <w:rsid w:val="00F6679F"/>
    <w:rsid w:val="00F67CAA"/>
    <w:rsid w:val="00F71E30"/>
    <w:rsid w:val="00F72F47"/>
    <w:rsid w:val="00F82796"/>
    <w:rsid w:val="00F83A61"/>
    <w:rsid w:val="00F86243"/>
    <w:rsid w:val="00F87942"/>
    <w:rsid w:val="00F9162E"/>
    <w:rsid w:val="00F916E8"/>
    <w:rsid w:val="00F948AD"/>
    <w:rsid w:val="00F97E31"/>
    <w:rsid w:val="00FA028D"/>
    <w:rsid w:val="00FA1696"/>
    <w:rsid w:val="00FA1D06"/>
    <w:rsid w:val="00FA4086"/>
    <w:rsid w:val="00FA68F1"/>
    <w:rsid w:val="00FA6B98"/>
    <w:rsid w:val="00FA6CD2"/>
    <w:rsid w:val="00FB028A"/>
    <w:rsid w:val="00FB3E48"/>
    <w:rsid w:val="00FB41F7"/>
    <w:rsid w:val="00FB4811"/>
    <w:rsid w:val="00FB5FD1"/>
    <w:rsid w:val="00FC01D2"/>
    <w:rsid w:val="00FC094C"/>
    <w:rsid w:val="00FC183E"/>
    <w:rsid w:val="00FC3BAE"/>
    <w:rsid w:val="00FC4E8E"/>
    <w:rsid w:val="00FC6102"/>
    <w:rsid w:val="00FC7166"/>
    <w:rsid w:val="00FD06B6"/>
    <w:rsid w:val="00FD1399"/>
    <w:rsid w:val="00FD146A"/>
    <w:rsid w:val="00FD1DDA"/>
    <w:rsid w:val="00FD237E"/>
    <w:rsid w:val="00FD47E8"/>
    <w:rsid w:val="00FD4B4C"/>
    <w:rsid w:val="00FD710E"/>
    <w:rsid w:val="00FD728D"/>
    <w:rsid w:val="00FE03AB"/>
    <w:rsid w:val="00FE09E6"/>
    <w:rsid w:val="00FE277E"/>
    <w:rsid w:val="00FE38BE"/>
    <w:rsid w:val="00FE5B99"/>
    <w:rsid w:val="00FE63F6"/>
    <w:rsid w:val="00FE7C89"/>
    <w:rsid w:val="00FF052C"/>
    <w:rsid w:val="00FF3ABB"/>
    <w:rsid w:val="00FF4296"/>
    <w:rsid w:val="00FF4DD0"/>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0D5AE2-9F89-4225-810A-DD8A7D90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unhideWhenUsed/>
    <w:qFormat/>
    <w:rsid w:val="00DB56F6"/>
    <w:pPr>
      <w:keepNext/>
      <w:keepLines/>
      <w:spacing w:before="200" w:after="0"/>
      <w:outlineLvl w:val="1"/>
    </w:pPr>
    <w:rPr>
      <w:rFonts w:asciiTheme="majorHAnsi" w:eastAsiaTheme="majorEastAsia" w:hAnsiTheme="majorHAnsi" w:cstheme="majorBidi"/>
      <w:b/>
      <w:bCs/>
      <w:color w:val="4F81BD" w:themeColor="accent1"/>
      <w:sz w:val="26"/>
      <w:szCs w:val="26"/>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uiPriority w:val="59"/>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4303BA"/>
    <w:rPr>
      <w:color w:val="800080" w:themeColor="followedHyperlink"/>
      <w:u w:val="single"/>
    </w:rPr>
  </w:style>
  <w:style w:type="character" w:styleId="Rimandonotaapidipagina">
    <w:name w:val="footnote reference"/>
    <w:uiPriority w:val="99"/>
    <w:semiHidden/>
    <w:rsid w:val="008F43E5"/>
    <w:rPr>
      <w:vertAlign w:val="superscript"/>
    </w:rPr>
  </w:style>
  <w:style w:type="paragraph" w:styleId="Testonotaapidipagina">
    <w:name w:val="footnote text"/>
    <w:basedOn w:val="Normale"/>
    <w:link w:val="TestonotaapidipaginaCarattere"/>
    <w:uiPriority w:val="99"/>
    <w:rsid w:val="008F43E5"/>
    <w:rPr>
      <w:rFonts w:eastAsiaTheme="minorEastAsia"/>
      <w:lang w:val="en-US" w:eastAsia="zh-CN"/>
    </w:rPr>
  </w:style>
  <w:style w:type="character" w:customStyle="1" w:styleId="TestonotaapidipaginaCarattere">
    <w:name w:val="Testo nota a piè di pagina Carattere"/>
    <w:basedOn w:val="Carpredefinitoparagrafo"/>
    <w:link w:val="Testonotaapidipagina"/>
    <w:uiPriority w:val="99"/>
    <w:rsid w:val="008F43E5"/>
    <w:rPr>
      <w:rFonts w:eastAsiaTheme="minorEastAsia"/>
      <w:lang w:val="en-US" w:eastAsia="zh-CN"/>
    </w:rPr>
  </w:style>
  <w:style w:type="character" w:customStyle="1" w:styleId="Titolo2Carattere">
    <w:name w:val="Titolo 2 Carattere"/>
    <w:basedOn w:val="Carpredefinitoparagrafo"/>
    <w:link w:val="Titolo2"/>
    <w:uiPriority w:val="9"/>
    <w:rsid w:val="00DB56F6"/>
    <w:rPr>
      <w:rFonts w:asciiTheme="majorHAnsi" w:eastAsiaTheme="majorEastAsia" w:hAnsiTheme="majorHAnsi" w:cstheme="majorBidi"/>
      <w:b/>
      <w:bCs/>
      <w:color w:val="4F81BD" w:themeColor="accent1"/>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24277">
      <w:bodyDiv w:val="1"/>
      <w:marLeft w:val="0"/>
      <w:marRight w:val="0"/>
      <w:marTop w:val="0"/>
      <w:marBottom w:val="0"/>
      <w:divBdr>
        <w:top w:val="none" w:sz="0" w:space="0" w:color="auto"/>
        <w:left w:val="none" w:sz="0" w:space="0" w:color="auto"/>
        <w:bottom w:val="none" w:sz="0" w:space="0" w:color="auto"/>
        <w:right w:val="none" w:sz="0" w:space="0" w:color="auto"/>
      </w:divBdr>
    </w:div>
    <w:div w:id="886139636">
      <w:bodyDiv w:val="1"/>
      <w:marLeft w:val="0"/>
      <w:marRight w:val="0"/>
      <w:marTop w:val="0"/>
      <w:marBottom w:val="0"/>
      <w:divBdr>
        <w:top w:val="none" w:sz="0" w:space="0" w:color="auto"/>
        <w:left w:val="none" w:sz="0" w:space="0" w:color="auto"/>
        <w:bottom w:val="none" w:sz="0" w:space="0" w:color="auto"/>
        <w:right w:val="none" w:sz="0" w:space="0" w:color="auto"/>
      </w:divBdr>
    </w:div>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22504">
      <w:bodyDiv w:val="1"/>
      <w:marLeft w:val="0"/>
      <w:marRight w:val="0"/>
      <w:marTop w:val="0"/>
      <w:marBottom w:val="0"/>
      <w:divBdr>
        <w:top w:val="none" w:sz="0" w:space="0" w:color="auto"/>
        <w:left w:val="none" w:sz="0" w:space="0" w:color="auto"/>
        <w:bottom w:val="none" w:sz="0" w:space="0" w:color="auto"/>
        <w:right w:val="none" w:sz="0" w:space="0" w:color="auto"/>
      </w:divBdr>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gimbe.org" TargetMode="External"/><Relationship Id="rId13" Type="http://schemas.openxmlformats.org/officeDocument/2006/relationships/image" Target="cid:image004.jpg@01D43EAC.1A4BF6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cid:image003.jpg@01D3A979.70CE46A0" TargetMode="External"/><Relationship Id="rId10" Type="http://schemas.openxmlformats.org/officeDocument/2006/relationships/image" Target="cid:image001.jpg@01D43EAC.1A4BF6B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cid:image001.jpg@01D3A979.70CE46A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563C-4803-4E0A-8118-B7C2DA8A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2285</Words>
  <Characters>13029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roberto.luceri</cp:lastModifiedBy>
  <cp:revision>2</cp:revision>
  <cp:lastPrinted>2014-01-27T14:53:00Z</cp:lastPrinted>
  <dcterms:created xsi:type="dcterms:W3CDTF">2018-09-20T07:50:00Z</dcterms:created>
  <dcterms:modified xsi:type="dcterms:W3CDTF">2018-09-20T07:50:00Z</dcterms:modified>
</cp:coreProperties>
</file>