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D27E7" w14:textId="5A2C69D4" w:rsidR="00E17D68" w:rsidRDefault="00C8624C" w:rsidP="00E17D68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14:paraId="3FEA3A83" w14:textId="263C2884" w:rsidR="009715CE" w:rsidRDefault="001A2B0C" w:rsidP="0079362D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MANOVRA 2025: </w:t>
      </w:r>
      <w:r w:rsidRPr="00E36560">
        <w:rPr>
          <w:b/>
          <w:bCs/>
          <w:sz w:val="36"/>
          <w:szCs w:val="36"/>
        </w:rPr>
        <w:t>PER LA SANITÀ NUMERI FUORVIANTI</w:t>
      </w:r>
      <w:r>
        <w:rPr>
          <w:b/>
          <w:bCs/>
          <w:sz w:val="36"/>
          <w:szCs w:val="36"/>
        </w:rPr>
        <w:t xml:space="preserve">, </w:t>
      </w:r>
      <w:r>
        <w:rPr>
          <w:b/>
          <w:bCs/>
          <w:sz w:val="36"/>
          <w:szCs w:val="36"/>
        </w:rPr>
        <w:br/>
        <w:t>RISORSE</w:t>
      </w:r>
      <w:r w:rsidRPr="00E36560">
        <w:rPr>
          <w:b/>
          <w:bCs/>
          <w:sz w:val="36"/>
          <w:szCs w:val="36"/>
        </w:rPr>
        <w:t xml:space="preserve"> INSUFFICIENTI</w:t>
      </w:r>
      <w:r>
        <w:rPr>
          <w:b/>
          <w:bCs/>
          <w:sz w:val="36"/>
          <w:szCs w:val="36"/>
        </w:rPr>
        <w:t xml:space="preserve"> PER LE TROPPE MISURE.</w:t>
      </w:r>
      <w:r>
        <w:rPr>
          <w:b/>
          <w:bCs/>
          <w:sz w:val="36"/>
          <w:szCs w:val="36"/>
        </w:rPr>
        <w:br/>
        <w:t xml:space="preserve"> PER IL 2025 SOLO € 1,3 MILIARDI IN PIÙ E DOPO IL 2026 </w:t>
      </w:r>
      <w:r>
        <w:rPr>
          <w:b/>
          <w:bCs/>
          <w:sz w:val="36"/>
          <w:szCs w:val="36"/>
        </w:rPr>
        <w:br/>
        <w:t xml:space="preserve">SOLO BRICIOLE PER IL FONDO SANITARIO. </w:t>
      </w:r>
      <w:r>
        <w:rPr>
          <w:b/>
          <w:bCs/>
          <w:sz w:val="36"/>
          <w:szCs w:val="36"/>
        </w:rPr>
        <w:br/>
      </w:r>
      <w:r w:rsidRPr="008E1E5D">
        <w:rPr>
          <w:b/>
          <w:bCs/>
          <w:sz w:val="36"/>
          <w:szCs w:val="36"/>
        </w:rPr>
        <w:t>REGIONI</w:t>
      </w:r>
      <w:r>
        <w:rPr>
          <w:b/>
          <w:bCs/>
          <w:sz w:val="36"/>
          <w:szCs w:val="36"/>
        </w:rPr>
        <w:t xml:space="preserve"> AL BIVIO:</w:t>
      </w:r>
      <w:r w:rsidRPr="008E1E5D">
        <w:rPr>
          <w:b/>
          <w:bCs/>
          <w:sz w:val="36"/>
          <w:szCs w:val="36"/>
        </w:rPr>
        <w:t xml:space="preserve"> TAGLIARE </w:t>
      </w:r>
      <w:r>
        <w:rPr>
          <w:b/>
          <w:bCs/>
          <w:sz w:val="36"/>
          <w:szCs w:val="36"/>
        </w:rPr>
        <w:t>I SERVIZI O AUMENTARE LE TASSE.</w:t>
      </w:r>
    </w:p>
    <w:p w14:paraId="6C385C12" w14:textId="19075AD0" w:rsidR="00AA6486" w:rsidRDefault="001A2B0C" w:rsidP="0079362D">
      <w:pPr>
        <w:spacing w:after="0"/>
        <w:jc w:val="center"/>
        <w:rPr>
          <w:b/>
          <w:bCs/>
          <w:sz w:val="36"/>
          <w:szCs w:val="36"/>
        </w:rPr>
      </w:pPr>
      <w:r w:rsidRPr="00AA6486">
        <w:rPr>
          <w:b/>
          <w:bCs/>
          <w:sz w:val="36"/>
          <w:szCs w:val="36"/>
        </w:rPr>
        <w:t xml:space="preserve">PERSONALE SANITARIO E CITTADINI LASCIATI SENZA RISPOSTE, </w:t>
      </w:r>
      <w:r>
        <w:rPr>
          <w:b/>
          <w:bCs/>
          <w:sz w:val="36"/>
          <w:szCs w:val="36"/>
        </w:rPr>
        <w:t>CON LA SANITÀ PUBBLICA IN GRANDE AFFANNO</w:t>
      </w:r>
    </w:p>
    <w:p w14:paraId="46454112" w14:textId="38764992" w:rsidR="005B4F61" w:rsidRPr="008B3612" w:rsidRDefault="008B3612" w:rsidP="00EA3C71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8B3612">
        <w:rPr>
          <w:rFonts w:ascii="Calibri" w:eastAsia="Calibri" w:hAnsi="Calibri" w:cs="Times New Roman"/>
          <w:b/>
          <w:bCs/>
          <w:sz w:val="24"/>
          <w:szCs w:val="24"/>
        </w:rPr>
        <w:t>25</w:t>
      </w:r>
      <w:r w:rsidR="00664D3E" w:rsidRPr="008B3612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A02FC4" w:rsidRPr="008B3612">
        <w:rPr>
          <w:rFonts w:ascii="Calibri" w:eastAsia="Calibri" w:hAnsi="Calibri" w:cs="Times New Roman"/>
          <w:b/>
          <w:bCs/>
          <w:sz w:val="24"/>
          <w:szCs w:val="24"/>
        </w:rPr>
        <w:t>ottobre</w:t>
      </w:r>
      <w:r w:rsidR="00C62367" w:rsidRPr="008B3612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AE0F77" w:rsidRPr="008B3612">
        <w:rPr>
          <w:rFonts w:ascii="Calibri" w:eastAsia="Calibri" w:hAnsi="Calibri" w:cs="Times New Roman"/>
          <w:b/>
          <w:bCs/>
          <w:sz w:val="24"/>
          <w:szCs w:val="24"/>
        </w:rPr>
        <w:t>20</w:t>
      </w:r>
      <w:r w:rsidR="004F5B37" w:rsidRPr="008B3612">
        <w:rPr>
          <w:rFonts w:ascii="Calibri" w:eastAsia="Calibri" w:hAnsi="Calibri" w:cs="Times New Roman"/>
          <w:b/>
          <w:bCs/>
          <w:sz w:val="24"/>
          <w:szCs w:val="24"/>
        </w:rPr>
        <w:t>2</w:t>
      </w:r>
      <w:r w:rsidR="00852852">
        <w:rPr>
          <w:rFonts w:ascii="Calibri" w:eastAsia="Calibri" w:hAnsi="Calibri" w:cs="Times New Roman"/>
          <w:b/>
          <w:bCs/>
          <w:sz w:val="24"/>
          <w:szCs w:val="24"/>
        </w:rPr>
        <w:t>4</w:t>
      </w:r>
      <w:r w:rsidR="005B4F61" w:rsidRPr="008B3612">
        <w:rPr>
          <w:rFonts w:ascii="Calibri" w:eastAsia="Calibri" w:hAnsi="Calibri" w:cs="Times New Roman"/>
          <w:b/>
          <w:bCs/>
          <w:sz w:val="24"/>
          <w:szCs w:val="24"/>
        </w:rPr>
        <w:t xml:space="preserve"> - Fondazione GIMBE, </w:t>
      </w:r>
      <w:r w:rsidR="00815D4F" w:rsidRPr="008B3612">
        <w:rPr>
          <w:rFonts w:ascii="Calibri" w:eastAsia="Calibri" w:hAnsi="Calibri" w:cs="Times New Roman"/>
          <w:b/>
          <w:bCs/>
          <w:sz w:val="24"/>
          <w:szCs w:val="24"/>
        </w:rPr>
        <w:t>Bologna</w:t>
      </w:r>
    </w:p>
    <w:p w14:paraId="4303D199" w14:textId="00AA55C8" w:rsidR="007A763A" w:rsidRDefault="00EA5674" w:rsidP="00D870A5">
      <w:pPr>
        <w:spacing w:after="120"/>
        <w:jc w:val="both"/>
        <w:rPr>
          <w:rFonts w:cstheme="minorHAnsi"/>
        </w:rPr>
      </w:pPr>
      <w:r>
        <w:rPr>
          <w:rFonts w:cstheme="minorHAnsi"/>
        </w:rPr>
        <w:t xml:space="preserve">Secondo </w:t>
      </w:r>
      <w:r w:rsidR="00BD2737">
        <w:rPr>
          <w:rFonts w:cstheme="minorHAnsi"/>
        </w:rPr>
        <w:t xml:space="preserve">il DdL sulla </w:t>
      </w:r>
      <w:r>
        <w:rPr>
          <w:rFonts w:cstheme="minorHAnsi"/>
        </w:rPr>
        <w:t>Manovra 2025</w:t>
      </w:r>
      <w:r w:rsidR="007A763A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BD2737">
        <w:rPr>
          <w:rFonts w:cstheme="minorHAnsi"/>
        </w:rPr>
        <w:t>i</w:t>
      </w:r>
      <w:r w:rsidR="002C0BE4" w:rsidRPr="002C0BE4">
        <w:rPr>
          <w:rFonts w:cstheme="minorHAnsi"/>
        </w:rPr>
        <w:t xml:space="preserve">l </w:t>
      </w:r>
      <w:r>
        <w:rPr>
          <w:rFonts w:cstheme="minorHAnsi"/>
        </w:rPr>
        <w:t xml:space="preserve">Fondo Sanitario Nazionale </w:t>
      </w:r>
      <w:r w:rsidR="009B4C84">
        <w:rPr>
          <w:rFonts w:cstheme="minorHAnsi"/>
        </w:rPr>
        <w:t>(F</w:t>
      </w:r>
      <w:r w:rsidR="002C0BE4" w:rsidRPr="002C0BE4">
        <w:rPr>
          <w:rFonts w:cstheme="minorHAnsi"/>
        </w:rPr>
        <w:t>SN</w:t>
      </w:r>
      <w:r w:rsidR="009B4C84">
        <w:rPr>
          <w:rFonts w:cstheme="minorHAnsi"/>
        </w:rPr>
        <w:t>)</w:t>
      </w:r>
      <w:r w:rsidR="002C0BE4" w:rsidRPr="002C0BE4">
        <w:rPr>
          <w:rFonts w:cstheme="minorHAnsi"/>
        </w:rPr>
        <w:t xml:space="preserve"> raggiunge</w:t>
      </w:r>
      <w:r w:rsidR="007A763A">
        <w:rPr>
          <w:rFonts w:cstheme="minorHAnsi"/>
        </w:rPr>
        <w:t>rà</w:t>
      </w:r>
      <w:r w:rsidR="002C0BE4" w:rsidRPr="002C0BE4">
        <w:rPr>
          <w:rFonts w:cstheme="minorHAnsi"/>
        </w:rPr>
        <w:t xml:space="preserve"> € 136</w:t>
      </w:r>
      <w:r w:rsidR="0039730F">
        <w:rPr>
          <w:rFonts w:cstheme="minorHAnsi"/>
        </w:rPr>
        <w:t>.533</w:t>
      </w:r>
      <w:r w:rsidR="002C0BE4" w:rsidRPr="002C0BE4">
        <w:rPr>
          <w:rFonts w:cstheme="minorHAnsi"/>
        </w:rPr>
        <w:t xml:space="preserve"> </w:t>
      </w:r>
      <w:r w:rsidR="0039730F">
        <w:rPr>
          <w:rFonts w:cstheme="minorHAnsi"/>
        </w:rPr>
        <w:t>milioni</w:t>
      </w:r>
      <w:r w:rsidR="002C0BE4" w:rsidRPr="002C0BE4">
        <w:rPr>
          <w:rFonts w:cstheme="minorHAnsi"/>
        </w:rPr>
        <w:t xml:space="preserve"> nel 2025, € 140</w:t>
      </w:r>
      <w:r w:rsidR="0039730F">
        <w:rPr>
          <w:rFonts w:cstheme="minorHAnsi"/>
        </w:rPr>
        <w:t>.595</w:t>
      </w:r>
      <w:r w:rsidR="002C0BE4" w:rsidRPr="002C0BE4">
        <w:rPr>
          <w:rFonts w:cstheme="minorHAnsi"/>
        </w:rPr>
        <w:t xml:space="preserve"> </w:t>
      </w:r>
      <w:r w:rsidR="0039730F">
        <w:rPr>
          <w:rFonts w:cstheme="minorHAnsi"/>
        </w:rPr>
        <w:t>milioni</w:t>
      </w:r>
      <w:r w:rsidR="002C0BE4" w:rsidRPr="002C0BE4">
        <w:rPr>
          <w:rFonts w:cstheme="minorHAnsi"/>
        </w:rPr>
        <w:t xml:space="preserve"> nel 2026 e € 141</w:t>
      </w:r>
      <w:r w:rsidR="0039730F">
        <w:rPr>
          <w:rFonts w:cstheme="minorHAnsi"/>
        </w:rPr>
        <w:t>.131</w:t>
      </w:r>
      <w:r w:rsidR="002C0BE4" w:rsidRPr="002C0BE4">
        <w:rPr>
          <w:rFonts w:cstheme="minorHAnsi"/>
        </w:rPr>
        <w:t xml:space="preserve"> </w:t>
      </w:r>
      <w:r w:rsidR="00EE38DB">
        <w:rPr>
          <w:rFonts w:cstheme="minorHAnsi"/>
        </w:rPr>
        <w:t>milioni</w:t>
      </w:r>
      <w:r w:rsidR="002C0BE4" w:rsidRPr="002C0BE4">
        <w:rPr>
          <w:rFonts w:cstheme="minorHAnsi"/>
        </w:rPr>
        <w:t xml:space="preserve"> nel 2027</w:t>
      </w:r>
      <w:r w:rsidR="002C0BE4">
        <w:rPr>
          <w:rFonts w:cstheme="minorHAnsi"/>
        </w:rPr>
        <w:t xml:space="preserve"> (</w:t>
      </w:r>
      <w:r w:rsidR="002C0BE4" w:rsidRPr="002C0BE4">
        <w:rPr>
          <w:rFonts w:cstheme="minorHAnsi"/>
          <w:highlight w:val="yellow"/>
        </w:rPr>
        <w:t>figura 1</w:t>
      </w:r>
      <w:r w:rsidR="002C0BE4">
        <w:rPr>
          <w:rFonts w:cstheme="minorHAnsi"/>
        </w:rPr>
        <w:t>)</w:t>
      </w:r>
      <w:r w:rsidR="007A763A">
        <w:rPr>
          <w:rFonts w:cstheme="minorHAnsi"/>
        </w:rPr>
        <w:t xml:space="preserve">. </w:t>
      </w:r>
      <w:r w:rsidR="0039248C" w:rsidRPr="0046020B">
        <w:rPr>
          <w:rFonts w:cstheme="minorHAnsi"/>
        </w:rPr>
        <w:t>«</w:t>
      </w:r>
      <w:r w:rsidR="007A763A">
        <w:rPr>
          <w:rFonts w:cstheme="minorHAnsi"/>
        </w:rPr>
        <w:t>Tuttavia</w:t>
      </w:r>
      <w:r w:rsidR="0039248C">
        <w:rPr>
          <w:rFonts w:cstheme="minorHAnsi"/>
        </w:rPr>
        <w:t xml:space="preserve"> -</w:t>
      </w:r>
      <w:r w:rsidR="007A763A">
        <w:rPr>
          <w:rFonts w:cstheme="minorHAnsi"/>
        </w:rPr>
        <w:t xml:space="preserve"> </w:t>
      </w:r>
      <w:r w:rsidR="007A763A">
        <w:t>sottolinea Nino Cartabellotta, Presidente della Fondazione GIMBE</w:t>
      </w:r>
      <w:r w:rsidR="0039248C">
        <w:t xml:space="preserve"> - </w:t>
      </w:r>
      <w:r w:rsidR="002C0BE4" w:rsidRPr="002C0BE4">
        <w:rPr>
          <w:rFonts w:cstheme="minorHAnsi"/>
        </w:rPr>
        <w:t>le risorse, destinat</w:t>
      </w:r>
      <w:r w:rsidR="001C71B6">
        <w:rPr>
          <w:rFonts w:cstheme="minorHAnsi"/>
        </w:rPr>
        <w:t>e</w:t>
      </w:r>
      <w:r w:rsidR="002C0BE4" w:rsidRPr="002C0BE4">
        <w:rPr>
          <w:rFonts w:cstheme="minorHAnsi"/>
        </w:rPr>
        <w:t xml:space="preserve"> </w:t>
      </w:r>
      <w:r w:rsidR="007A763A">
        <w:rPr>
          <w:rFonts w:cstheme="minorHAnsi"/>
        </w:rPr>
        <w:t xml:space="preserve">principalmente </w:t>
      </w:r>
      <w:r w:rsidR="002C0BE4" w:rsidRPr="002C0BE4">
        <w:rPr>
          <w:rFonts w:cstheme="minorHAnsi"/>
        </w:rPr>
        <w:t>ai rinnovi contrattuali del personale</w:t>
      </w:r>
      <w:r w:rsidR="002C0BE4">
        <w:rPr>
          <w:rFonts w:cstheme="minorHAnsi"/>
        </w:rPr>
        <w:t xml:space="preserve"> </w:t>
      </w:r>
      <w:r w:rsidR="002C0BE4" w:rsidRPr="002C0BE4">
        <w:rPr>
          <w:rFonts w:cstheme="minorHAnsi"/>
        </w:rPr>
        <w:t xml:space="preserve">non </w:t>
      </w:r>
      <w:r w:rsidR="007A763A">
        <w:rPr>
          <w:rFonts w:cstheme="minorHAnsi"/>
        </w:rPr>
        <w:t>consentiranno</w:t>
      </w:r>
      <w:r w:rsidR="007A763A" w:rsidRPr="002C0BE4">
        <w:rPr>
          <w:rFonts w:cstheme="minorHAnsi"/>
        </w:rPr>
        <w:t xml:space="preserve"> </w:t>
      </w:r>
      <w:r w:rsidR="002C0BE4" w:rsidRPr="002C0BE4">
        <w:rPr>
          <w:rFonts w:cstheme="minorHAnsi"/>
        </w:rPr>
        <w:t xml:space="preserve">di </w:t>
      </w:r>
      <w:r w:rsidR="007A763A">
        <w:rPr>
          <w:rFonts w:cstheme="minorHAnsi"/>
        </w:rPr>
        <w:t>attuare</w:t>
      </w:r>
      <w:r w:rsidR="007A763A" w:rsidRPr="002C0BE4">
        <w:rPr>
          <w:rFonts w:cstheme="minorHAnsi"/>
        </w:rPr>
        <w:t xml:space="preserve"> </w:t>
      </w:r>
      <w:r w:rsidR="002C0BE4" w:rsidRPr="002C0BE4">
        <w:rPr>
          <w:rFonts w:cstheme="minorHAnsi"/>
        </w:rPr>
        <w:t>i</w:t>
      </w:r>
      <w:r w:rsidR="005E4206">
        <w:rPr>
          <w:rFonts w:cstheme="minorHAnsi"/>
        </w:rPr>
        <w:t>l</w:t>
      </w:r>
      <w:r w:rsidR="002C0BE4" w:rsidRPr="002C0BE4">
        <w:rPr>
          <w:rFonts w:cstheme="minorHAnsi"/>
        </w:rPr>
        <w:t xml:space="preserve"> pian</w:t>
      </w:r>
      <w:r w:rsidR="005E4206">
        <w:rPr>
          <w:rFonts w:cstheme="minorHAnsi"/>
        </w:rPr>
        <w:t>o</w:t>
      </w:r>
      <w:r w:rsidR="002C0BE4" w:rsidRPr="002C0BE4">
        <w:rPr>
          <w:rFonts w:cstheme="minorHAnsi"/>
        </w:rPr>
        <w:t xml:space="preserve"> straordinari</w:t>
      </w:r>
      <w:r w:rsidR="005E4206">
        <w:rPr>
          <w:rFonts w:cstheme="minorHAnsi"/>
        </w:rPr>
        <w:t>o</w:t>
      </w:r>
      <w:r w:rsidR="002C0BE4" w:rsidRPr="002C0BE4">
        <w:rPr>
          <w:rFonts w:cstheme="minorHAnsi"/>
        </w:rPr>
        <w:t xml:space="preserve"> di assunzion</w:t>
      </w:r>
      <w:r w:rsidR="005E4206">
        <w:rPr>
          <w:rFonts w:cstheme="minorHAnsi"/>
        </w:rPr>
        <w:t>i</w:t>
      </w:r>
      <w:r w:rsidR="002C0BE4" w:rsidRPr="002C0BE4">
        <w:rPr>
          <w:rFonts w:cstheme="minorHAnsi"/>
        </w:rPr>
        <w:t xml:space="preserve"> di medici e infermieri </w:t>
      </w:r>
      <w:r w:rsidR="005E4206">
        <w:rPr>
          <w:rFonts w:cstheme="minorHAnsi"/>
        </w:rPr>
        <w:t xml:space="preserve">fortemente voluti </w:t>
      </w:r>
      <w:r w:rsidR="002C0BE4" w:rsidRPr="002C0BE4">
        <w:rPr>
          <w:rFonts w:cstheme="minorHAnsi"/>
        </w:rPr>
        <w:t xml:space="preserve">dal Ministro Schillaci, né </w:t>
      </w:r>
      <w:r w:rsidR="005E4206">
        <w:rPr>
          <w:rFonts w:cstheme="minorHAnsi"/>
        </w:rPr>
        <w:t xml:space="preserve">tantomeno </w:t>
      </w:r>
      <w:r w:rsidR="002C0BE4" w:rsidRPr="002C0BE4">
        <w:rPr>
          <w:rFonts w:cstheme="minorHAnsi"/>
        </w:rPr>
        <w:t>di eliminare il tetto di spesa per il personale sanitario</w:t>
      </w:r>
      <w:r w:rsidR="005E4206">
        <w:rPr>
          <w:rFonts w:cstheme="minorHAnsi"/>
        </w:rPr>
        <w:t xml:space="preserve">, </w:t>
      </w:r>
      <w:r>
        <w:rPr>
          <w:rFonts w:cstheme="minorHAnsi"/>
        </w:rPr>
        <w:t xml:space="preserve">contrariamente a </w:t>
      </w:r>
      <w:r w:rsidR="005E4206">
        <w:rPr>
          <w:rFonts w:cstheme="minorHAnsi"/>
        </w:rPr>
        <w:t>quanto</w:t>
      </w:r>
      <w:r w:rsidR="00673B51">
        <w:rPr>
          <w:rFonts w:cstheme="minorHAnsi"/>
        </w:rPr>
        <w:t xml:space="preserve"> previsto</w:t>
      </w:r>
      <w:r w:rsidR="005E4206">
        <w:rPr>
          <w:rFonts w:cstheme="minorHAnsi"/>
        </w:rPr>
        <w:t xml:space="preserve"> dal DL Liste di attesa</w:t>
      </w:r>
      <w:r w:rsidR="001C71B6">
        <w:rPr>
          <w:rFonts w:cstheme="minorHAnsi"/>
        </w:rPr>
        <w:t xml:space="preserve">. </w:t>
      </w:r>
      <w:r w:rsidR="007A763A">
        <w:rPr>
          <w:rFonts w:cstheme="minorHAnsi"/>
        </w:rPr>
        <w:t xml:space="preserve">Positivo </w:t>
      </w:r>
      <w:r w:rsidR="001C71B6">
        <w:rPr>
          <w:rFonts w:cstheme="minorHAnsi"/>
        </w:rPr>
        <w:t>l’aggiornamento delle tariffe delle prestazioni per acuti e post-acuti, ma solo a partire dal 2026</w:t>
      </w:r>
      <w:r w:rsidR="005661CB">
        <w:rPr>
          <w:rFonts w:cstheme="minorHAnsi"/>
        </w:rPr>
        <w:t xml:space="preserve">, mentre le esigue risorse </w:t>
      </w:r>
      <w:r w:rsidR="007A763A">
        <w:rPr>
          <w:rFonts w:cstheme="minorHAnsi"/>
        </w:rPr>
        <w:t>destinate all</w:t>
      </w:r>
      <w:r w:rsidR="005661CB">
        <w:rPr>
          <w:rFonts w:cstheme="minorHAnsi"/>
        </w:rPr>
        <w:t xml:space="preserve">’aggiornamento dei LEA rischiano di </w:t>
      </w:r>
      <w:r w:rsidR="007A763A">
        <w:rPr>
          <w:rFonts w:cstheme="minorHAnsi"/>
        </w:rPr>
        <w:t xml:space="preserve">ritardare </w:t>
      </w:r>
      <w:r w:rsidR="005661CB">
        <w:rPr>
          <w:rFonts w:cstheme="minorHAnsi"/>
        </w:rPr>
        <w:t>ulteriormente l’esigibilità delle prestazioni di specialistica ambulatoriale e di protesica</w:t>
      </w:r>
      <w:r w:rsidR="002C0BE4" w:rsidRPr="0046020B">
        <w:rPr>
          <w:rFonts w:cstheme="minorHAnsi"/>
        </w:rPr>
        <w:t>»</w:t>
      </w:r>
      <w:r w:rsidR="00090941">
        <w:rPr>
          <w:rFonts w:cstheme="minorHAnsi"/>
        </w:rPr>
        <w:t xml:space="preserve">. </w:t>
      </w:r>
    </w:p>
    <w:p w14:paraId="590B155B" w14:textId="64BB8688" w:rsidR="007A763A" w:rsidRDefault="00EA5674" w:rsidP="00D870A5">
      <w:pPr>
        <w:spacing w:after="120"/>
        <w:jc w:val="both"/>
        <w:rPr>
          <w:rFonts w:cstheme="minorHAnsi"/>
        </w:rPr>
      </w:pPr>
      <w:r>
        <w:rPr>
          <w:rFonts w:cstheme="minorHAnsi"/>
        </w:rPr>
        <w:t>Di fronte al</w:t>
      </w:r>
      <w:r w:rsidR="005E4206">
        <w:rPr>
          <w:rFonts w:cstheme="minorHAnsi"/>
        </w:rPr>
        <w:t xml:space="preserve">la girandola di numeri, </w:t>
      </w:r>
      <w:r>
        <w:rPr>
          <w:rFonts w:cstheme="minorHAnsi"/>
        </w:rPr>
        <w:t xml:space="preserve">spesso </w:t>
      </w:r>
      <w:r w:rsidR="005E4206">
        <w:rPr>
          <w:rFonts w:cstheme="minorHAnsi"/>
        </w:rPr>
        <w:t xml:space="preserve">presentati ed interpretati in </w:t>
      </w:r>
      <w:r>
        <w:rPr>
          <w:rFonts w:cstheme="minorHAnsi"/>
        </w:rPr>
        <w:t>modo soggettivo</w:t>
      </w:r>
      <w:r w:rsidR="00BD2737">
        <w:rPr>
          <w:rFonts w:cstheme="minorHAnsi"/>
        </w:rPr>
        <w:t xml:space="preserve"> o addirittura strumentalizzati</w:t>
      </w:r>
      <w:r w:rsidR="005E4206">
        <w:rPr>
          <w:rFonts w:cstheme="minorHAnsi"/>
        </w:rPr>
        <w:t>, l</w:t>
      </w:r>
      <w:r w:rsidR="004173A2">
        <w:rPr>
          <w:rFonts w:cstheme="minorHAnsi"/>
        </w:rPr>
        <w:t xml:space="preserve">a Fondazione GIMBE ha </w:t>
      </w:r>
      <w:r>
        <w:rPr>
          <w:rFonts w:cstheme="minorHAnsi"/>
        </w:rPr>
        <w:t xml:space="preserve">condotto </w:t>
      </w:r>
      <w:r w:rsidR="004173A2">
        <w:rPr>
          <w:rFonts w:cstheme="minorHAnsi"/>
        </w:rPr>
        <w:t xml:space="preserve">un’analisi indipendente sui finanziamenti </w:t>
      </w:r>
      <w:r>
        <w:rPr>
          <w:rFonts w:cstheme="minorHAnsi"/>
        </w:rPr>
        <w:t xml:space="preserve">destinati </w:t>
      </w:r>
      <w:r w:rsidR="008A6231">
        <w:rPr>
          <w:rFonts w:cstheme="minorHAnsi"/>
        </w:rPr>
        <w:t xml:space="preserve">dalla Manovra </w:t>
      </w:r>
      <w:r>
        <w:rPr>
          <w:rFonts w:cstheme="minorHAnsi"/>
        </w:rPr>
        <w:t>al</w:t>
      </w:r>
      <w:r w:rsidR="004173A2">
        <w:rPr>
          <w:rFonts w:cstheme="minorHAnsi"/>
        </w:rPr>
        <w:t>la sanità</w:t>
      </w:r>
      <w:r w:rsidR="007A763A">
        <w:rPr>
          <w:rFonts w:cstheme="minorHAnsi"/>
        </w:rPr>
        <w:t>,</w:t>
      </w:r>
      <w:r w:rsidR="004173A2">
        <w:rPr>
          <w:rFonts w:cstheme="minorHAnsi"/>
        </w:rPr>
        <w:t xml:space="preserve"> </w:t>
      </w:r>
      <w:r w:rsidR="005E4206">
        <w:rPr>
          <w:rFonts w:cstheme="minorHAnsi"/>
        </w:rPr>
        <w:t xml:space="preserve">al fine di </w:t>
      </w:r>
      <w:r>
        <w:t>fornire informazioni obiettive</w:t>
      </w:r>
      <w:r w:rsidR="008A6231">
        <w:t xml:space="preserve">, </w:t>
      </w:r>
      <w:r>
        <w:t>trasparenti</w:t>
      </w:r>
      <w:r w:rsidR="008A6231">
        <w:t xml:space="preserve"> ed</w:t>
      </w:r>
      <w:r w:rsidRPr="008E5A77" w:rsidDel="00EA5674">
        <w:rPr>
          <w:rFonts w:cstheme="minorHAnsi"/>
        </w:rPr>
        <w:t xml:space="preserve"> </w:t>
      </w:r>
      <w:r w:rsidR="007A763A">
        <w:t xml:space="preserve">utili ad </w:t>
      </w:r>
      <w:r w:rsidR="008A6231">
        <w:t>informare</w:t>
      </w:r>
      <w:r>
        <w:t xml:space="preserve"> </w:t>
      </w:r>
      <w:r w:rsidR="009B4C84">
        <w:rPr>
          <w:rFonts w:cstheme="minorHAnsi"/>
        </w:rPr>
        <w:t xml:space="preserve">il </w:t>
      </w:r>
      <w:r w:rsidR="00DB32CD" w:rsidRPr="008E5A77">
        <w:rPr>
          <w:rFonts w:cstheme="minorHAnsi"/>
        </w:rPr>
        <w:t>confronto</w:t>
      </w:r>
      <w:r w:rsidR="00DC6DC9" w:rsidRPr="008E5A77">
        <w:rPr>
          <w:rFonts w:cstheme="minorHAnsi"/>
        </w:rPr>
        <w:t xml:space="preserve"> politico </w:t>
      </w:r>
      <w:r w:rsidR="00DB32CD" w:rsidRPr="008E5A77">
        <w:rPr>
          <w:rFonts w:cstheme="minorHAnsi"/>
        </w:rPr>
        <w:t xml:space="preserve">e </w:t>
      </w:r>
      <w:r w:rsidR="009B4C84">
        <w:rPr>
          <w:rFonts w:cstheme="minorHAnsi"/>
        </w:rPr>
        <w:t xml:space="preserve">il </w:t>
      </w:r>
      <w:r w:rsidR="00DB32CD" w:rsidRPr="008E5A77">
        <w:rPr>
          <w:rFonts w:cstheme="minorHAnsi"/>
        </w:rPr>
        <w:t xml:space="preserve">dibattito pubblico </w:t>
      </w:r>
      <w:r w:rsidR="00DC6DC9" w:rsidRPr="008E5A77">
        <w:rPr>
          <w:rFonts w:cstheme="minorHAnsi"/>
        </w:rPr>
        <w:t xml:space="preserve">in vista della discussione </w:t>
      </w:r>
      <w:r w:rsidR="00ED1C0B">
        <w:rPr>
          <w:rFonts w:cstheme="minorHAnsi"/>
        </w:rPr>
        <w:t xml:space="preserve">parlamentare </w:t>
      </w:r>
      <w:r w:rsidR="00A55D49">
        <w:rPr>
          <w:rFonts w:cstheme="minorHAnsi"/>
        </w:rPr>
        <w:t>su</w:t>
      </w:r>
      <w:r w:rsidR="00DC6DC9" w:rsidRPr="008E5A77">
        <w:rPr>
          <w:rFonts w:cstheme="minorHAnsi"/>
        </w:rPr>
        <w:t>lla Manovra</w:t>
      </w:r>
      <w:r w:rsidR="002C0BE4">
        <w:rPr>
          <w:rFonts w:cstheme="minorHAnsi"/>
        </w:rPr>
        <w:t>.</w:t>
      </w:r>
      <w:r w:rsidR="00CA4575" w:rsidRPr="008E5A77">
        <w:rPr>
          <w:rFonts w:cstheme="minorHAnsi"/>
        </w:rPr>
        <w:t xml:space="preserve"> </w:t>
      </w:r>
    </w:p>
    <w:p w14:paraId="008E6AFE" w14:textId="6096E225" w:rsidR="007A763A" w:rsidRDefault="00D22310" w:rsidP="007A763A">
      <w:pPr>
        <w:jc w:val="both"/>
        <w:rPr>
          <w:rFonts w:cstheme="minorHAnsi"/>
        </w:rPr>
      </w:pPr>
      <w:r>
        <w:rPr>
          <w:rFonts w:cstheme="minorHAnsi"/>
          <w:b/>
          <w:bCs/>
        </w:rPr>
        <w:t>FONDO</w:t>
      </w:r>
      <w:r w:rsidR="001B6AC9">
        <w:rPr>
          <w:rFonts w:cstheme="minorHAnsi"/>
          <w:b/>
          <w:bCs/>
        </w:rPr>
        <w:t xml:space="preserve"> SANITARIO NAZIONALE</w:t>
      </w:r>
      <w:r w:rsidR="001B6AC9">
        <w:rPr>
          <w:rFonts w:cstheme="minorHAnsi"/>
        </w:rPr>
        <w:t xml:space="preserve">. </w:t>
      </w:r>
      <w:r w:rsidR="00852852" w:rsidRPr="00852852">
        <w:rPr>
          <w:rFonts w:cstheme="minorHAnsi"/>
        </w:rPr>
        <w:t xml:space="preserve">Secondo </w:t>
      </w:r>
      <w:r w:rsidR="005E4206">
        <w:rPr>
          <w:rFonts w:cstheme="minorHAnsi"/>
        </w:rPr>
        <w:t>la Legge di Bilancio 2025</w:t>
      </w:r>
      <w:r w:rsidR="00852852" w:rsidRPr="00852852">
        <w:rPr>
          <w:rFonts w:cstheme="minorHAnsi"/>
        </w:rPr>
        <w:t xml:space="preserve">, il FSN </w:t>
      </w:r>
      <w:r w:rsidR="005E4206" w:rsidRPr="00852852">
        <w:rPr>
          <w:rFonts w:cstheme="minorHAnsi"/>
        </w:rPr>
        <w:t>nel 2025</w:t>
      </w:r>
      <w:r w:rsidR="005E4206">
        <w:rPr>
          <w:rFonts w:cstheme="minorHAnsi"/>
        </w:rPr>
        <w:t xml:space="preserve"> </w:t>
      </w:r>
      <w:r w:rsidR="00852852" w:rsidRPr="00852852">
        <w:rPr>
          <w:rFonts w:cstheme="minorHAnsi"/>
        </w:rPr>
        <w:t xml:space="preserve">crescerà di </w:t>
      </w:r>
      <w:r w:rsidR="0039730F">
        <w:rPr>
          <w:rFonts w:cstheme="minorHAnsi"/>
        </w:rPr>
        <w:t>€ 2.520 milioni</w:t>
      </w:r>
      <w:r w:rsidR="00852852" w:rsidRPr="00852852">
        <w:rPr>
          <w:rFonts w:cstheme="minorHAnsi"/>
        </w:rPr>
        <w:t xml:space="preserve"> (+1,9%), di cui </w:t>
      </w:r>
      <w:r w:rsidR="0039730F">
        <w:rPr>
          <w:rFonts w:cstheme="minorHAnsi"/>
        </w:rPr>
        <w:t xml:space="preserve">€ </w:t>
      </w:r>
      <w:r w:rsidR="00852852" w:rsidRPr="00852852">
        <w:rPr>
          <w:rFonts w:cstheme="minorHAnsi"/>
        </w:rPr>
        <w:t>1</w:t>
      </w:r>
      <w:r w:rsidR="0039730F">
        <w:rPr>
          <w:rFonts w:cstheme="minorHAnsi"/>
        </w:rPr>
        <w:t>.302</w:t>
      </w:r>
      <w:r w:rsidR="00852852" w:rsidRPr="00852852">
        <w:rPr>
          <w:rFonts w:cstheme="minorHAnsi"/>
        </w:rPr>
        <w:t xml:space="preserve"> </w:t>
      </w:r>
      <w:r w:rsidR="0039730F">
        <w:rPr>
          <w:rFonts w:cstheme="minorHAnsi"/>
        </w:rPr>
        <w:t>milioni</w:t>
      </w:r>
      <w:r w:rsidR="00852852" w:rsidRPr="00852852">
        <w:rPr>
          <w:rFonts w:cstheme="minorHAnsi"/>
        </w:rPr>
        <w:t xml:space="preserve"> sono nuovi stanziamenti e </w:t>
      </w:r>
      <w:r w:rsidR="0039730F">
        <w:rPr>
          <w:rFonts w:cstheme="minorHAnsi"/>
        </w:rPr>
        <w:t>€ 1.218 milioni</w:t>
      </w:r>
      <w:r w:rsidR="00852852" w:rsidRPr="00852852">
        <w:rPr>
          <w:rFonts w:cstheme="minorHAnsi"/>
        </w:rPr>
        <w:t xml:space="preserve"> </w:t>
      </w:r>
      <w:r w:rsidR="00425CC1">
        <w:rPr>
          <w:rFonts w:cstheme="minorHAnsi"/>
        </w:rPr>
        <w:t>già assegnati dalla</w:t>
      </w:r>
      <w:r w:rsidR="005E4206">
        <w:rPr>
          <w:rFonts w:cstheme="minorHAnsi"/>
        </w:rPr>
        <w:t xml:space="preserve"> </w:t>
      </w:r>
      <w:r w:rsidR="00852852" w:rsidRPr="00852852">
        <w:rPr>
          <w:rFonts w:cstheme="minorHAnsi"/>
        </w:rPr>
        <w:t>Manovra</w:t>
      </w:r>
      <w:r w:rsidR="005E4206">
        <w:rPr>
          <w:rFonts w:cstheme="minorHAnsi"/>
        </w:rPr>
        <w:t xml:space="preserve"> precedente</w:t>
      </w:r>
      <w:r w:rsidR="00852852" w:rsidRPr="00852852">
        <w:rPr>
          <w:rFonts w:cstheme="minorHAnsi"/>
        </w:rPr>
        <w:t xml:space="preserve">. </w:t>
      </w:r>
      <w:r w:rsidR="005E4206" w:rsidRPr="0046020B">
        <w:rPr>
          <w:rFonts w:cstheme="minorHAnsi"/>
        </w:rPr>
        <w:t>«</w:t>
      </w:r>
      <w:r w:rsidR="00852852" w:rsidRPr="00852852">
        <w:rPr>
          <w:rFonts w:cstheme="minorHAnsi"/>
        </w:rPr>
        <w:t>Tuttavia</w:t>
      </w:r>
      <w:r w:rsidR="005E4206">
        <w:rPr>
          <w:rFonts w:cstheme="minorHAnsi"/>
        </w:rPr>
        <w:t xml:space="preserve"> le modalità con cui vengono </w:t>
      </w:r>
      <w:r w:rsidR="00425CC1">
        <w:rPr>
          <w:rFonts w:cstheme="minorHAnsi"/>
        </w:rPr>
        <w:t xml:space="preserve">presentati </w:t>
      </w:r>
      <w:r w:rsidR="00673B51">
        <w:rPr>
          <w:rFonts w:cstheme="minorHAnsi"/>
        </w:rPr>
        <w:t xml:space="preserve">nell’art. 47 </w:t>
      </w:r>
      <w:r w:rsidR="005E4206">
        <w:rPr>
          <w:rFonts w:cstheme="minorHAnsi"/>
        </w:rPr>
        <w:t xml:space="preserve">gli importi </w:t>
      </w:r>
      <w:r w:rsidR="00852852" w:rsidRPr="00852852">
        <w:rPr>
          <w:rFonts w:cstheme="minorHAnsi"/>
        </w:rPr>
        <w:t xml:space="preserve">per gli anni successivi </w:t>
      </w:r>
      <w:r w:rsidR="00425CC1">
        <w:rPr>
          <w:rFonts w:cstheme="minorHAnsi"/>
        </w:rPr>
        <w:t xml:space="preserve">– spiega </w:t>
      </w:r>
      <w:r w:rsidR="00425CC1" w:rsidRPr="0046020B">
        <w:rPr>
          <w:rFonts w:cstheme="minorHAnsi"/>
        </w:rPr>
        <w:t>Cartabellotta</w:t>
      </w:r>
      <w:r w:rsidR="00425CC1">
        <w:rPr>
          <w:rFonts w:cstheme="minorHAnsi"/>
        </w:rPr>
        <w:t xml:space="preserve"> </w:t>
      </w:r>
      <w:r w:rsidR="00425CC1" w:rsidRPr="0046020B">
        <w:rPr>
          <w:rFonts w:cstheme="minorHAnsi"/>
        </w:rPr>
        <w:t>–</w:t>
      </w:r>
      <w:r w:rsidR="00425CC1" w:rsidRPr="00852852">
        <w:rPr>
          <w:rFonts w:cstheme="minorHAnsi"/>
        </w:rPr>
        <w:t xml:space="preserve"> </w:t>
      </w:r>
      <w:r w:rsidR="00852852" w:rsidRPr="00852852">
        <w:rPr>
          <w:rFonts w:cstheme="minorHAnsi"/>
        </w:rPr>
        <w:t xml:space="preserve">risultano </w:t>
      </w:r>
      <w:r w:rsidR="00852852">
        <w:rPr>
          <w:rFonts w:cstheme="minorHAnsi"/>
        </w:rPr>
        <w:t>fuorvianti</w:t>
      </w:r>
      <w:r w:rsidR="00852852" w:rsidRPr="00852852">
        <w:rPr>
          <w:rFonts w:cstheme="minorHAnsi"/>
        </w:rPr>
        <w:t xml:space="preserve">: </w:t>
      </w:r>
      <w:r w:rsidR="00852852" w:rsidRPr="00D8099A">
        <w:rPr>
          <w:rFonts w:cstheme="minorHAnsi"/>
        </w:rPr>
        <w:t xml:space="preserve">i </w:t>
      </w:r>
      <w:r w:rsidR="00D8099A" w:rsidRPr="00D8099A">
        <w:rPr>
          <w:rFonts w:cstheme="minorHAnsi"/>
        </w:rPr>
        <w:t xml:space="preserve">€ </w:t>
      </w:r>
      <w:r w:rsidR="00852852" w:rsidRPr="00D8099A">
        <w:rPr>
          <w:rFonts w:cstheme="minorHAnsi"/>
        </w:rPr>
        <w:t>5</w:t>
      </w:r>
      <w:r w:rsidR="00D8099A" w:rsidRPr="00D8099A">
        <w:rPr>
          <w:rFonts w:cstheme="minorHAnsi"/>
        </w:rPr>
        <w:t>.078</w:t>
      </w:r>
      <w:r w:rsidR="00852852" w:rsidRPr="00D8099A">
        <w:rPr>
          <w:rFonts w:cstheme="minorHAnsi"/>
        </w:rPr>
        <w:t xml:space="preserve"> </w:t>
      </w:r>
      <w:r w:rsidR="00D8099A" w:rsidRPr="00D8099A">
        <w:rPr>
          <w:rFonts w:cstheme="minorHAnsi"/>
        </w:rPr>
        <w:t>milioni</w:t>
      </w:r>
      <w:r w:rsidR="00852852" w:rsidRPr="00D8099A">
        <w:rPr>
          <w:rFonts w:cstheme="minorHAnsi"/>
        </w:rPr>
        <w:t xml:space="preserve"> per il 2026, </w:t>
      </w:r>
      <w:r w:rsidR="00D8099A" w:rsidRPr="00D8099A">
        <w:rPr>
          <w:rFonts w:cstheme="minorHAnsi"/>
        </w:rPr>
        <w:t>€ 5.780</w:t>
      </w:r>
      <w:r w:rsidR="00852852" w:rsidRPr="00D8099A">
        <w:rPr>
          <w:rFonts w:cstheme="minorHAnsi"/>
        </w:rPr>
        <w:t xml:space="preserve"> </w:t>
      </w:r>
      <w:r w:rsidR="00D8099A" w:rsidRPr="00D8099A">
        <w:rPr>
          <w:rFonts w:cstheme="minorHAnsi"/>
        </w:rPr>
        <w:t>milioni</w:t>
      </w:r>
      <w:r w:rsidR="00852852" w:rsidRPr="00D8099A">
        <w:rPr>
          <w:rFonts w:cstheme="minorHAnsi"/>
        </w:rPr>
        <w:t xml:space="preserve"> per il 2027</w:t>
      </w:r>
      <w:r w:rsidR="00852852" w:rsidRPr="00852852">
        <w:rPr>
          <w:rFonts w:cstheme="minorHAnsi"/>
        </w:rPr>
        <w:t xml:space="preserve"> e </w:t>
      </w:r>
      <w:r w:rsidR="005E4206">
        <w:rPr>
          <w:rFonts w:cstheme="minorHAnsi"/>
        </w:rPr>
        <w:t>le cifre s</w:t>
      </w:r>
      <w:r w:rsidR="00852852" w:rsidRPr="00852852">
        <w:rPr>
          <w:rFonts w:cstheme="minorHAnsi"/>
        </w:rPr>
        <w:t xml:space="preserve">ino al 2030 </w:t>
      </w:r>
      <w:r w:rsidR="00BD2737">
        <w:rPr>
          <w:rFonts w:cstheme="minorHAnsi"/>
        </w:rPr>
        <w:t xml:space="preserve">indicano </w:t>
      </w:r>
      <w:r w:rsidR="007A763A">
        <w:rPr>
          <w:rFonts w:cstheme="minorHAnsi"/>
        </w:rPr>
        <w:t xml:space="preserve">infatti </w:t>
      </w:r>
      <w:r w:rsidR="00852852" w:rsidRPr="00852852">
        <w:rPr>
          <w:rFonts w:cstheme="minorHAnsi"/>
        </w:rPr>
        <w:t xml:space="preserve">l’incremento </w:t>
      </w:r>
      <w:r w:rsidR="00425CC1" w:rsidRPr="00852852">
        <w:rPr>
          <w:rFonts w:cstheme="minorHAnsi"/>
        </w:rPr>
        <w:t>cumulat</w:t>
      </w:r>
      <w:r w:rsidR="00425CC1">
        <w:rPr>
          <w:rFonts w:cstheme="minorHAnsi"/>
        </w:rPr>
        <w:t xml:space="preserve">ivo </w:t>
      </w:r>
      <w:r w:rsidR="005E4206">
        <w:rPr>
          <w:rFonts w:cstheme="minorHAnsi"/>
        </w:rPr>
        <w:t>del FSN e</w:t>
      </w:r>
      <w:r w:rsidR="00852852" w:rsidRPr="00852852">
        <w:rPr>
          <w:rFonts w:cstheme="minorHAnsi"/>
        </w:rPr>
        <w:t xml:space="preserve"> non</w:t>
      </w:r>
      <w:r w:rsidR="005E4206">
        <w:rPr>
          <w:rFonts w:cstheme="minorHAnsi"/>
        </w:rPr>
        <w:t xml:space="preserve"> gli</w:t>
      </w:r>
      <w:r w:rsidR="00852852" w:rsidRPr="00852852">
        <w:rPr>
          <w:rFonts w:cstheme="minorHAnsi"/>
        </w:rPr>
        <w:t xml:space="preserve"> stanziamenti </w:t>
      </w:r>
      <w:r w:rsidR="00425CC1">
        <w:rPr>
          <w:rFonts w:cstheme="minorHAnsi"/>
        </w:rPr>
        <w:t xml:space="preserve">specifici per </w:t>
      </w:r>
      <w:r w:rsidR="005E4206">
        <w:rPr>
          <w:rFonts w:cstheme="minorHAnsi"/>
        </w:rPr>
        <w:t>ciascun anno</w:t>
      </w:r>
      <w:r w:rsidR="005E4206" w:rsidRPr="0046020B">
        <w:rPr>
          <w:rFonts w:cstheme="minorHAnsi"/>
        </w:rPr>
        <w:t>»</w:t>
      </w:r>
      <w:r w:rsidR="00852852" w:rsidRPr="00852852">
        <w:rPr>
          <w:rFonts w:cstheme="minorHAnsi"/>
        </w:rPr>
        <w:t xml:space="preserve">. </w:t>
      </w:r>
      <w:r w:rsidR="008532B7">
        <w:rPr>
          <w:rFonts w:cstheme="minorHAnsi"/>
        </w:rPr>
        <w:t>G</w:t>
      </w:r>
      <w:r w:rsidR="00852852" w:rsidRPr="00852852">
        <w:rPr>
          <w:rFonts w:cstheme="minorHAnsi"/>
        </w:rPr>
        <w:t xml:space="preserve">li aumenti </w:t>
      </w:r>
      <w:r w:rsidR="008532B7">
        <w:rPr>
          <w:rFonts w:cstheme="minorHAnsi"/>
        </w:rPr>
        <w:t xml:space="preserve">effettivi previsti dalla Manovra sono: </w:t>
      </w:r>
      <w:r w:rsidR="0039730F">
        <w:rPr>
          <w:rFonts w:cstheme="minorHAnsi"/>
        </w:rPr>
        <w:t>€ 4.062 milioni</w:t>
      </w:r>
      <w:r w:rsidR="00852852" w:rsidRPr="00852852">
        <w:rPr>
          <w:rFonts w:cstheme="minorHAnsi"/>
        </w:rPr>
        <w:t xml:space="preserve"> </w:t>
      </w:r>
      <w:r w:rsidR="008532B7" w:rsidRPr="00852852">
        <w:rPr>
          <w:rFonts w:cstheme="minorHAnsi"/>
        </w:rPr>
        <w:t>nel 2026 (+3%)</w:t>
      </w:r>
      <w:r w:rsidR="00852852" w:rsidRPr="00852852">
        <w:rPr>
          <w:rFonts w:cstheme="minorHAnsi"/>
        </w:rPr>
        <w:t xml:space="preserve">, </w:t>
      </w:r>
      <w:r w:rsidR="0039730F">
        <w:rPr>
          <w:rFonts w:cstheme="minorHAnsi"/>
        </w:rPr>
        <w:t>€</w:t>
      </w:r>
      <w:r w:rsidR="00852852" w:rsidRPr="00852852">
        <w:rPr>
          <w:rFonts w:cstheme="minorHAnsi"/>
        </w:rPr>
        <w:t xml:space="preserve"> 536 milioni </w:t>
      </w:r>
      <w:r w:rsidR="008532B7">
        <w:rPr>
          <w:rFonts w:cstheme="minorHAnsi"/>
        </w:rPr>
        <w:t>nel 202</w:t>
      </w:r>
      <w:r w:rsidR="002F33C2">
        <w:rPr>
          <w:rFonts w:cstheme="minorHAnsi"/>
        </w:rPr>
        <w:t>7</w:t>
      </w:r>
      <w:r w:rsidR="008532B7">
        <w:rPr>
          <w:rFonts w:cstheme="minorHAnsi"/>
        </w:rPr>
        <w:t xml:space="preserve"> </w:t>
      </w:r>
      <w:r w:rsidR="008532B7" w:rsidRPr="00852852">
        <w:rPr>
          <w:rFonts w:cstheme="minorHAnsi"/>
        </w:rPr>
        <w:t>(+0,4%)</w:t>
      </w:r>
      <w:r w:rsidR="00852852" w:rsidRPr="00852852">
        <w:rPr>
          <w:rFonts w:cstheme="minorHAnsi"/>
        </w:rPr>
        <w:t xml:space="preserve">, </w:t>
      </w:r>
      <w:r w:rsidR="0039730F">
        <w:rPr>
          <w:rFonts w:cstheme="minorHAnsi"/>
        </w:rPr>
        <w:t xml:space="preserve">€ </w:t>
      </w:r>
      <w:r w:rsidR="00852852" w:rsidRPr="00852852">
        <w:rPr>
          <w:rFonts w:cstheme="minorHAnsi"/>
        </w:rPr>
        <w:t xml:space="preserve">883 milioni nel 2028 (+0,6%), </w:t>
      </w:r>
      <w:r w:rsidR="0039730F">
        <w:rPr>
          <w:rFonts w:cstheme="minorHAnsi"/>
        </w:rPr>
        <w:t xml:space="preserve">€ </w:t>
      </w:r>
      <w:r w:rsidR="00852852" w:rsidRPr="00852852">
        <w:rPr>
          <w:rFonts w:cstheme="minorHAnsi"/>
        </w:rPr>
        <w:t>1</w:t>
      </w:r>
      <w:r w:rsidR="0039730F">
        <w:rPr>
          <w:rFonts w:cstheme="minorHAnsi"/>
        </w:rPr>
        <w:t>.062 milioni</w:t>
      </w:r>
      <w:r w:rsidR="00852852" w:rsidRPr="00852852">
        <w:rPr>
          <w:rFonts w:cstheme="minorHAnsi"/>
        </w:rPr>
        <w:t xml:space="preserve"> nel 2029 (+0,7%) e </w:t>
      </w:r>
      <w:r w:rsidR="0039730F">
        <w:rPr>
          <w:rFonts w:cstheme="minorHAnsi"/>
        </w:rPr>
        <w:t>€ 1.173 milioni</w:t>
      </w:r>
      <w:r w:rsidR="00852852" w:rsidRPr="00852852">
        <w:rPr>
          <w:rFonts w:cstheme="minorHAnsi"/>
        </w:rPr>
        <w:t xml:space="preserve"> dal 2030 (+0,8%)</w:t>
      </w:r>
      <w:r w:rsidR="00852852">
        <w:rPr>
          <w:rFonts w:cstheme="minorHAnsi"/>
        </w:rPr>
        <w:t xml:space="preserve"> </w:t>
      </w:r>
      <w:r w:rsidR="00741006">
        <w:rPr>
          <w:rFonts w:cstheme="minorHAnsi"/>
        </w:rPr>
        <w:t>(</w:t>
      </w:r>
      <w:r w:rsidR="00741006" w:rsidRPr="00741006">
        <w:rPr>
          <w:rFonts w:cstheme="minorHAnsi"/>
          <w:highlight w:val="yellow"/>
        </w:rPr>
        <w:t>tabella 1</w:t>
      </w:r>
      <w:r w:rsidR="00741006">
        <w:rPr>
          <w:rFonts w:cstheme="minorHAnsi"/>
        </w:rPr>
        <w:t>)</w:t>
      </w:r>
      <w:r w:rsidR="00425CC1">
        <w:rPr>
          <w:rFonts w:cstheme="minorHAnsi"/>
        </w:rPr>
        <w:t>.</w:t>
      </w:r>
      <w:r w:rsidR="00741006">
        <w:rPr>
          <w:rFonts w:cstheme="minorHAnsi"/>
        </w:rPr>
        <w:t xml:space="preserve"> </w:t>
      </w:r>
      <w:r w:rsidR="002C0BE4" w:rsidRPr="0046020B">
        <w:rPr>
          <w:rFonts w:cstheme="minorHAnsi"/>
        </w:rPr>
        <w:t>«</w:t>
      </w:r>
      <w:r w:rsidR="00430387">
        <w:rPr>
          <w:rFonts w:cstheme="minorHAnsi"/>
        </w:rPr>
        <w:t xml:space="preserve">Di conseguenza </w:t>
      </w:r>
      <w:r w:rsidR="002C0BE4" w:rsidRPr="0046020B">
        <w:rPr>
          <w:rFonts w:cstheme="minorHAnsi"/>
        </w:rPr>
        <w:t xml:space="preserve">– </w:t>
      </w:r>
      <w:r w:rsidR="002C0BE4">
        <w:rPr>
          <w:rFonts w:cstheme="minorHAnsi"/>
        </w:rPr>
        <w:t>commenta</w:t>
      </w:r>
      <w:r w:rsidR="002C0BE4" w:rsidRPr="0046020B">
        <w:rPr>
          <w:rFonts w:cstheme="minorHAnsi"/>
        </w:rPr>
        <w:t xml:space="preserve"> </w:t>
      </w:r>
      <w:r w:rsidR="005E4206">
        <w:rPr>
          <w:rFonts w:cstheme="minorHAnsi"/>
        </w:rPr>
        <w:t>il Presidente</w:t>
      </w:r>
      <w:r w:rsidR="002C0BE4">
        <w:rPr>
          <w:rFonts w:cstheme="minorHAnsi"/>
        </w:rPr>
        <w:t xml:space="preserve"> </w:t>
      </w:r>
      <w:r w:rsidR="002C0BE4" w:rsidRPr="0046020B">
        <w:rPr>
          <w:rFonts w:cstheme="minorHAnsi"/>
        </w:rPr>
        <w:t>–</w:t>
      </w:r>
      <w:r w:rsidR="00673B51">
        <w:rPr>
          <w:rFonts w:cstheme="minorHAnsi"/>
        </w:rPr>
        <w:t xml:space="preserve"> </w:t>
      </w:r>
      <w:r w:rsidR="005E4206">
        <w:rPr>
          <w:rFonts w:cstheme="minorHAnsi"/>
        </w:rPr>
        <w:t>la Manovra</w:t>
      </w:r>
      <w:r w:rsidR="00673B51">
        <w:rPr>
          <w:rFonts w:cstheme="minorHAnsi"/>
        </w:rPr>
        <w:t xml:space="preserve">, </w:t>
      </w:r>
      <w:r w:rsidR="00673B51" w:rsidRPr="00852852">
        <w:rPr>
          <w:rFonts w:cstheme="minorHAnsi"/>
        </w:rPr>
        <w:t>nonostante gli annunci</w:t>
      </w:r>
      <w:r w:rsidR="00673B51">
        <w:rPr>
          <w:rFonts w:cstheme="minorHAnsi"/>
        </w:rPr>
        <w:t xml:space="preserve">, </w:t>
      </w:r>
      <w:r w:rsidR="00852852" w:rsidRPr="00852852">
        <w:rPr>
          <w:rFonts w:cstheme="minorHAnsi"/>
        </w:rPr>
        <w:t xml:space="preserve">non </w:t>
      </w:r>
      <w:r w:rsidR="007A763A">
        <w:rPr>
          <w:rFonts w:cstheme="minorHAnsi"/>
        </w:rPr>
        <w:t>prospetta</w:t>
      </w:r>
      <w:r w:rsidR="005E4206">
        <w:rPr>
          <w:rFonts w:cstheme="minorHAnsi"/>
        </w:rPr>
        <w:t xml:space="preserve"> </w:t>
      </w:r>
      <w:r w:rsidR="00852852" w:rsidRPr="00852852">
        <w:rPr>
          <w:rFonts w:cstheme="minorHAnsi"/>
        </w:rPr>
        <w:t xml:space="preserve">alcun rilancio </w:t>
      </w:r>
      <w:r w:rsidR="005E4206">
        <w:rPr>
          <w:rFonts w:cstheme="minorHAnsi"/>
        </w:rPr>
        <w:t xml:space="preserve">progressivo del FSN, </w:t>
      </w:r>
      <w:r w:rsidR="00852852" w:rsidRPr="00852852">
        <w:rPr>
          <w:rFonts w:cstheme="minorHAnsi"/>
        </w:rPr>
        <w:t>lasciando il Servizio Sanitario Nazionale</w:t>
      </w:r>
      <w:r w:rsidR="00237CAD">
        <w:rPr>
          <w:rFonts w:cstheme="minorHAnsi"/>
        </w:rPr>
        <w:t xml:space="preserve"> (SSN)</w:t>
      </w:r>
      <w:r w:rsidR="00852852" w:rsidRPr="00852852">
        <w:rPr>
          <w:rFonts w:cstheme="minorHAnsi"/>
        </w:rPr>
        <w:t xml:space="preserve"> con risorse insufficienti per </w:t>
      </w:r>
      <w:r w:rsidR="00430387">
        <w:rPr>
          <w:rFonts w:cstheme="minorHAnsi"/>
        </w:rPr>
        <w:t>affrontare</w:t>
      </w:r>
      <w:r w:rsidR="00430387" w:rsidRPr="00852852">
        <w:rPr>
          <w:rFonts w:cstheme="minorHAnsi"/>
        </w:rPr>
        <w:t xml:space="preserve"> </w:t>
      </w:r>
      <w:r w:rsidR="00430387">
        <w:rPr>
          <w:rFonts w:cstheme="minorHAnsi"/>
        </w:rPr>
        <w:t>le</w:t>
      </w:r>
      <w:r w:rsidR="00430387" w:rsidRPr="00852852">
        <w:rPr>
          <w:rFonts w:cstheme="minorHAnsi"/>
        </w:rPr>
        <w:t xml:space="preserve"> </w:t>
      </w:r>
      <w:r w:rsidR="00852852" w:rsidRPr="00852852">
        <w:rPr>
          <w:rFonts w:cstheme="minorHAnsi"/>
        </w:rPr>
        <w:t>crescenti necessità di cittadini e professionisti</w:t>
      </w:r>
      <w:r w:rsidR="002C0BE4" w:rsidRPr="0046020B">
        <w:rPr>
          <w:rFonts w:cstheme="minorHAnsi"/>
        </w:rPr>
        <w:t>»</w:t>
      </w:r>
      <w:r w:rsidR="002C0BE4">
        <w:rPr>
          <w:rFonts w:cstheme="minorHAnsi"/>
        </w:rPr>
        <w:t>.</w:t>
      </w:r>
      <w:r w:rsidR="00741006">
        <w:rPr>
          <w:rFonts w:cstheme="minorHAnsi"/>
        </w:rPr>
        <w:t xml:space="preserve"> </w:t>
      </w:r>
      <w:r w:rsidR="007A763A">
        <w:rPr>
          <w:rFonts w:cstheme="minorHAnsi"/>
        </w:rPr>
        <w:t>IL</w:t>
      </w:r>
      <w:r w:rsidR="00741006">
        <w:rPr>
          <w:rFonts w:cstheme="minorHAnsi"/>
        </w:rPr>
        <w:t xml:space="preserve"> trend del FSN </w:t>
      </w:r>
      <w:r w:rsidR="00673B51">
        <w:rPr>
          <w:rFonts w:cstheme="minorHAnsi"/>
        </w:rPr>
        <w:t>mantiene</w:t>
      </w:r>
      <w:r w:rsidR="007A763A">
        <w:rPr>
          <w:rFonts w:cstheme="minorHAnsi"/>
        </w:rPr>
        <w:t xml:space="preserve"> infatti</w:t>
      </w:r>
      <w:r w:rsidR="00673B51">
        <w:rPr>
          <w:rFonts w:cstheme="minorHAnsi"/>
        </w:rPr>
        <w:t xml:space="preserve"> </w:t>
      </w:r>
      <w:r w:rsidR="00741006">
        <w:rPr>
          <w:rFonts w:cstheme="minorHAnsi"/>
        </w:rPr>
        <w:t>l’andamento consolidato sino al 202</w:t>
      </w:r>
      <w:r w:rsidR="00673B51">
        <w:rPr>
          <w:rFonts w:cstheme="minorHAnsi"/>
        </w:rPr>
        <w:t>6</w:t>
      </w:r>
      <w:r w:rsidR="007A763A">
        <w:rPr>
          <w:rFonts w:cstheme="minorHAnsi"/>
        </w:rPr>
        <w:t>,</w:t>
      </w:r>
      <w:r w:rsidR="00673B51">
        <w:rPr>
          <w:rFonts w:cstheme="minorHAnsi"/>
        </w:rPr>
        <w:t xml:space="preserve"> per poi tornare a livelli del periodo pre-pandemia</w:t>
      </w:r>
      <w:r w:rsidR="00741006">
        <w:rPr>
          <w:rFonts w:cstheme="minorHAnsi"/>
        </w:rPr>
        <w:t xml:space="preserve"> (</w:t>
      </w:r>
      <w:r w:rsidR="00741006" w:rsidRPr="00741006">
        <w:rPr>
          <w:rFonts w:cstheme="minorHAnsi"/>
          <w:highlight w:val="yellow"/>
        </w:rPr>
        <w:t>figura 1</w:t>
      </w:r>
      <w:r w:rsidR="00741006">
        <w:rPr>
          <w:rFonts w:cstheme="minorHAnsi"/>
        </w:rPr>
        <w:t>)</w:t>
      </w:r>
      <w:r w:rsidR="00430387">
        <w:rPr>
          <w:rFonts w:cstheme="minorHAnsi"/>
        </w:rPr>
        <w:t>.</w:t>
      </w:r>
    </w:p>
    <w:p w14:paraId="1D53DE10" w14:textId="0A3035A4" w:rsidR="007A763A" w:rsidRDefault="007B0717" w:rsidP="00624351">
      <w:pPr>
        <w:jc w:val="both"/>
        <w:rPr>
          <w:rFonts w:cstheme="minorHAnsi"/>
        </w:rPr>
      </w:pPr>
      <w:r>
        <w:rPr>
          <w:rFonts w:cstheme="minorHAnsi"/>
        </w:rPr>
        <w:t xml:space="preserve">Peraltro, </w:t>
      </w:r>
      <w:r w:rsidR="00624351">
        <w:rPr>
          <w:rFonts w:cstheme="minorHAnsi"/>
        </w:rPr>
        <w:t>u</w:t>
      </w:r>
      <w:r w:rsidR="00624351" w:rsidRPr="00624351">
        <w:rPr>
          <w:rFonts w:cstheme="minorHAnsi"/>
        </w:rPr>
        <w:t xml:space="preserve">na quota delle risorse incrementali, pari a </w:t>
      </w:r>
      <w:r w:rsidR="00624351">
        <w:rPr>
          <w:rFonts w:cstheme="minorHAnsi"/>
        </w:rPr>
        <w:t xml:space="preserve">€ </w:t>
      </w:r>
      <w:r w:rsidR="00624351" w:rsidRPr="00624351">
        <w:rPr>
          <w:rFonts w:cstheme="minorHAnsi"/>
        </w:rPr>
        <w:t xml:space="preserve">883 milioni per </w:t>
      </w:r>
      <w:r w:rsidR="00624351">
        <w:rPr>
          <w:rFonts w:cstheme="minorHAnsi"/>
        </w:rPr>
        <w:t>il</w:t>
      </w:r>
      <w:r w:rsidR="00624351" w:rsidRPr="00624351">
        <w:rPr>
          <w:rFonts w:cstheme="minorHAnsi"/>
        </w:rPr>
        <w:t xml:space="preserve"> 2028, </w:t>
      </w:r>
      <w:r w:rsidR="00624351">
        <w:rPr>
          <w:rFonts w:cstheme="minorHAnsi"/>
        </w:rPr>
        <w:t xml:space="preserve">€ </w:t>
      </w:r>
      <w:r w:rsidR="00624351" w:rsidRPr="00624351">
        <w:rPr>
          <w:rFonts w:cstheme="minorHAnsi"/>
        </w:rPr>
        <w:t xml:space="preserve">1.945 milioni per </w:t>
      </w:r>
      <w:r w:rsidR="00624351">
        <w:rPr>
          <w:rFonts w:cstheme="minorHAnsi"/>
        </w:rPr>
        <w:t>il</w:t>
      </w:r>
      <w:r w:rsidR="00624351" w:rsidRPr="00624351">
        <w:rPr>
          <w:rFonts w:cstheme="minorHAnsi"/>
        </w:rPr>
        <w:t xml:space="preserve"> 2029 e </w:t>
      </w:r>
      <w:r w:rsidR="00624351">
        <w:rPr>
          <w:rFonts w:cstheme="minorHAnsi"/>
        </w:rPr>
        <w:t xml:space="preserve">€ </w:t>
      </w:r>
      <w:r w:rsidR="00624351" w:rsidRPr="00624351">
        <w:rPr>
          <w:rFonts w:cstheme="minorHAnsi"/>
        </w:rPr>
        <w:t>3.117 milioni a decorrere dall</w:t>
      </w:r>
      <w:r w:rsidR="00430387">
        <w:rPr>
          <w:rFonts w:cstheme="minorHAnsi"/>
        </w:rPr>
        <w:t>’</w:t>
      </w:r>
      <w:r w:rsidR="00624351" w:rsidRPr="00624351">
        <w:rPr>
          <w:rFonts w:cstheme="minorHAnsi"/>
        </w:rPr>
        <w:t>anno 2030</w:t>
      </w:r>
      <w:r w:rsidR="007A763A">
        <w:rPr>
          <w:rFonts w:cstheme="minorHAnsi"/>
        </w:rPr>
        <w:t>,</w:t>
      </w:r>
      <w:r w:rsidR="00624351" w:rsidRPr="00624351">
        <w:rPr>
          <w:rFonts w:cstheme="minorHAnsi"/>
        </w:rPr>
        <w:t xml:space="preserve"> </w:t>
      </w:r>
      <w:r>
        <w:rPr>
          <w:rFonts w:cstheme="minorHAnsi"/>
        </w:rPr>
        <w:t xml:space="preserve">dovrà essere </w:t>
      </w:r>
      <w:r w:rsidR="00624351" w:rsidRPr="00624351">
        <w:rPr>
          <w:rFonts w:cstheme="minorHAnsi"/>
        </w:rPr>
        <w:t xml:space="preserve">accantonata </w:t>
      </w:r>
      <w:r>
        <w:rPr>
          <w:rFonts w:cstheme="minorHAnsi"/>
        </w:rPr>
        <w:t xml:space="preserve">per </w:t>
      </w:r>
      <w:r w:rsidR="00624351" w:rsidRPr="00624351">
        <w:rPr>
          <w:rFonts w:cstheme="minorHAnsi"/>
        </w:rPr>
        <w:t>i rinnovi contrattual</w:t>
      </w:r>
      <w:r w:rsidR="00624351">
        <w:rPr>
          <w:rFonts w:cstheme="minorHAnsi"/>
        </w:rPr>
        <w:t>i relativi al periodo 2028-2030</w:t>
      </w:r>
      <w:r w:rsidR="00624351" w:rsidRPr="00624351">
        <w:rPr>
          <w:rFonts w:cstheme="minorHAnsi"/>
        </w:rPr>
        <w:t>.</w:t>
      </w:r>
      <w:r w:rsidR="00624351">
        <w:rPr>
          <w:rFonts w:cstheme="minorHAnsi"/>
        </w:rPr>
        <w:t xml:space="preserve"> </w:t>
      </w:r>
      <w:r w:rsidR="007A763A">
        <w:rPr>
          <w:rFonts w:cstheme="minorHAnsi"/>
        </w:rPr>
        <w:t>Allo stesso modo</w:t>
      </w:r>
      <w:r w:rsidR="00624351">
        <w:rPr>
          <w:rFonts w:cstheme="minorHAnsi"/>
        </w:rPr>
        <w:t>, €</w:t>
      </w:r>
      <w:r w:rsidR="00624351" w:rsidRPr="00624351">
        <w:rPr>
          <w:rFonts w:cstheme="minorHAnsi"/>
        </w:rPr>
        <w:t xml:space="preserve"> 928 milioni </w:t>
      </w:r>
      <w:r w:rsidR="00624351">
        <w:rPr>
          <w:rFonts w:cstheme="minorHAnsi"/>
        </w:rPr>
        <w:t>per il</w:t>
      </w:r>
      <w:r w:rsidR="00624351" w:rsidRPr="00624351">
        <w:rPr>
          <w:rFonts w:cstheme="minorHAnsi"/>
        </w:rPr>
        <w:t xml:space="preserve"> </w:t>
      </w:r>
      <w:bookmarkStart w:id="0" w:name="_GoBack"/>
      <w:r w:rsidR="00624351" w:rsidRPr="00624351">
        <w:rPr>
          <w:rFonts w:cstheme="minorHAnsi"/>
        </w:rPr>
        <w:t>2026</w:t>
      </w:r>
      <w:bookmarkEnd w:id="0"/>
      <w:r w:rsidR="00624351" w:rsidRPr="00624351">
        <w:rPr>
          <w:rFonts w:cstheme="minorHAnsi"/>
        </w:rPr>
        <w:t xml:space="preserve">, </w:t>
      </w:r>
      <w:r w:rsidR="00624351">
        <w:rPr>
          <w:rFonts w:cstheme="minorHAnsi"/>
        </w:rPr>
        <w:t xml:space="preserve">€ </w:t>
      </w:r>
      <w:r w:rsidR="00624351" w:rsidRPr="00624351">
        <w:rPr>
          <w:rFonts w:cstheme="minorHAnsi"/>
        </w:rPr>
        <w:t xml:space="preserve">478 milioni </w:t>
      </w:r>
      <w:r w:rsidR="00624351">
        <w:rPr>
          <w:rFonts w:cstheme="minorHAnsi"/>
        </w:rPr>
        <w:t>per il</w:t>
      </w:r>
      <w:r w:rsidR="00624351" w:rsidRPr="00624351">
        <w:rPr>
          <w:rFonts w:cstheme="minorHAnsi"/>
        </w:rPr>
        <w:t xml:space="preserve"> 2027 e </w:t>
      </w:r>
      <w:r w:rsidR="00624351">
        <w:rPr>
          <w:rFonts w:cstheme="minorHAnsi"/>
        </w:rPr>
        <w:t xml:space="preserve">€ </w:t>
      </w:r>
      <w:r w:rsidR="00624351" w:rsidRPr="00624351">
        <w:rPr>
          <w:rFonts w:cstheme="minorHAnsi"/>
        </w:rPr>
        <w:t>528 milioni a decorrere dal</w:t>
      </w:r>
      <w:r w:rsidR="00624351">
        <w:rPr>
          <w:rFonts w:cstheme="minorHAnsi"/>
        </w:rPr>
        <w:t xml:space="preserve"> 2028 sono</w:t>
      </w:r>
      <w:r w:rsidR="00624351" w:rsidRPr="00624351">
        <w:rPr>
          <w:rFonts w:cstheme="minorHAnsi"/>
        </w:rPr>
        <w:t xml:space="preserve"> destinat</w:t>
      </w:r>
      <w:r w:rsidR="00624351">
        <w:rPr>
          <w:rFonts w:cstheme="minorHAnsi"/>
        </w:rPr>
        <w:t>i</w:t>
      </w:r>
      <w:r w:rsidR="00624351" w:rsidRPr="00624351">
        <w:rPr>
          <w:rFonts w:cstheme="minorHAnsi"/>
        </w:rPr>
        <w:t xml:space="preserve"> all</w:t>
      </w:r>
      <w:r w:rsidR="00430387">
        <w:rPr>
          <w:rFonts w:cstheme="minorHAnsi"/>
        </w:rPr>
        <w:t>’</w:t>
      </w:r>
      <w:r w:rsidR="00624351" w:rsidRPr="00624351">
        <w:rPr>
          <w:rFonts w:cstheme="minorHAnsi"/>
        </w:rPr>
        <w:t xml:space="preserve">incremento delle </w:t>
      </w:r>
      <w:r w:rsidR="00CC5D86">
        <w:rPr>
          <w:rFonts w:cstheme="minorHAnsi"/>
        </w:rPr>
        <w:t>risorse destinate al raggiungimento</w:t>
      </w:r>
      <w:r w:rsidR="00624351" w:rsidRPr="00624351">
        <w:rPr>
          <w:rFonts w:cstheme="minorHAnsi"/>
        </w:rPr>
        <w:t xml:space="preserve"> degli obiettivi sanitari di carattere prioritario e di rilevo nazionale.</w:t>
      </w:r>
      <w:r>
        <w:rPr>
          <w:rFonts w:cstheme="minorHAnsi"/>
        </w:rPr>
        <w:t xml:space="preserve"> </w:t>
      </w:r>
    </w:p>
    <w:p w14:paraId="237B5FCF" w14:textId="3F8EFFDA" w:rsidR="00CC5D86" w:rsidRDefault="001B6AC9" w:rsidP="00CC5D86">
      <w:pPr>
        <w:jc w:val="both"/>
        <w:rPr>
          <w:rFonts w:cstheme="minorHAnsi"/>
        </w:rPr>
      </w:pPr>
      <w:r w:rsidRPr="00766DD2">
        <w:rPr>
          <w:rFonts w:cstheme="minorHAnsi"/>
          <w:b/>
          <w:bCs/>
        </w:rPr>
        <w:lastRenderedPageBreak/>
        <w:t>MISURE PREVISTE</w:t>
      </w:r>
      <w:r w:rsidR="00564802">
        <w:rPr>
          <w:rFonts w:cstheme="minorHAnsi"/>
          <w:b/>
          <w:bCs/>
        </w:rPr>
        <w:t xml:space="preserve"> </w:t>
      </w:r>
      <w:r w:rsidR="00564802">
        <w:rPr>
          <w:rFonts w:cstheme="minorHAnsi"/>
        </w:rPr>
        <w:t>(</w:t>
      </w:r>
      <w:r w:rsidR="00564802">
        <w:rPr>
          <w:rFonts w:cstheme="minorHAnsi"/>
          <w:highlight w:val="yellow"/>
        </w:rPr>
        <w:t>tabella</w:t>
      </w:r>
      <w:r w:rsidR="00564802" w:rsidRPr="002C0BE4">
        <w:rPr>
          <w:rFonts w:cstheme="minorHAnsi"/>
          <w:highlight w:val="yellow"/>
        </w:rPr>
        <w:t xml:space="preserve"> </w:t>
      </w:r>
      <w:r w:rsidR="008F1521">
        <w:rPr>
          <w:rFonts w:cstheme="minorHAnsi"/>
          <w:highlight w:val="yellow"/>
        </w:rPr>
        <w:t>2</w:t>
      </w:r>
      <w:r w:rsidR="00564802">
        <w:rPr>
          <w:rFonts w:cstheme="minorHAnsi"/>
        </w:rPr>
        <w:t>)</w:t>
      </w:r>
      <w:r w:rsidR="007B2669">
        <w:rPr>
          <w:rFonts w:cstheme="minorHAnsi"/>
        </w:rPr>
        <w:t>.</w:t>
      </w:r>
      <w:r w:rsidR="00E72DD0">
        <w:rPr>
          <w:rFonts w:cstheme="minorHAnsi"/>
        </w:rPr>
        <w:t xml:space="preserve"> </w:t>
      </w:r>
      <w:r w:rsidR="004813BB">
        <w:rPr>
          <w:rFonts w:cstheme="minorHAnsi"/>
        </w:rPr>
        <w:t xml:space="preserve"> L’art. 47 sul “Rifinanziamento del Servizio Sanitario Nazionale” individua </w:t>
      </w:r>
      <w:r w:rsidR="00CC5D86">
        <w:rPr>
          <w:rFonts w:cstheme="minorHAnsi"/>
        </w:rPr>
        <w:t xml:space="preserve">15 articoli </w:t>
      </w:r>
      <w:r w:rsidR="000B6DD0">
        <w:rPr>
          <w:rFonts w:cstheme="minorHAnsi"/>
        </w:rPr>
        <w:t xml:space="preserve">con </w:t>
      </w:r>
      <w:r w:rsidR="004813BB">
        <w:rPr>
          <w:rFonts w:cstheme="minorHAnsi"/>
        </w:rPr>
        <w:t xml:space="preserve">le misure </w:t>
      </w:r>
      <w:r w:rsidR="00CC5D86">
        <w:rPr>
          <w:rFonts w:cstheme="minorHAnsi"/>
        </w:rPr>
        <w:t>da finanziare</w:t>
      </w:r>
      <w:r w:rsidR="004813BB">
        <w:rPr>
          <w:rFonts w:cstheme="minorHAnsi"/>
        </w:rPr>
        <w:t xml:space="preserve">. </w:t>
      </w:r>
      <w:r w:rsidR="004813BB" w:rsidRPr="0046020B">
        <w:rPr>
          <w:rFonts w:cstheme="minorHAnsi"/>
        </w:rPr>
        <w:t>«</w:t>
      </w:r>
      <w:r w:rsidR="004813BB">
        <w:rPr>
          <w:rFonts w:cstheme="minorHAnsi"/>
        </w:rPr>
        <w:t>Tuttavia</w:t>
      </w:r>
      <w:r w:rsidR="00CC5D86">
        <w:rPr>
          <w:rFonts w:cstheme="minorHAnsi"/>
        </w:rPr>
        <w:t>,</w:t>
      </w:r>
      <w:r w:rsidR="004813BB">
        <w:rPr>
          <w:rFonts w:cstheme="minorHAnsi"/>
        </w:rPr>
        <w:t xml:space="preserve"> se da un lato </w:t>
      </w:r>
      <w:r w:rsidR="00D22310">
        <w:rPr>
          <w:rFonts w:cstheme="minorHAnsi"/>
        </w:rPr>
        <w:t xml:space="preserve">quasi </w:t>
      </w:r>
      <w:r w:rsidR="00E72DD0" w:rsidRPr="00624351">
        <w:rPr>
          <w:rFonts w:cstheme="minorHAnsi"/>
        </w:rPr>
        <w:t xml:space="preserve">tutte le misure </w:t>
      </w:r>
      <w:r w:rsidR="00D22310">
        <w:rPr>
          <w:rFonts w:cstheme="minorHAnsi"/>
        </w:rPr>
        <w:t xml:space="preserve">previste dalla Manovra </w:t>
      </w:r>
      <w:r w:rsidR="007B2669" w:rsidRPr="00624351">
        <w:rPr>
          <w:rFonts w:cstheme="minorHAnsi"/>
        </w:rPr>
        <w:t xml:space="preserve">sono a valere sul </w:t>
      </w:r>
      <w:r w:rsidR="00D22310">
        <w:rPr>
          <w:rFonts w:cstheme="minorHAnsi"/>
        </w:rPr>
        <w:t>FSN</w:t>
      </w:r>
      <w:r w:rsidR="00430387" w:rsidRPr="00430387">
        <w:rPr>
          <w:rFonts w:cstheme="minorHAnsi"/>
        </w:rPr>
        <w:t xml:space="preserve"> </w:t>
      </w:r>
      <w:r w:rsidR="00430387" w:rsidRPr="00624351">
        <w:rPr>
          <w:rFonts w:cstheme="minorHAnsi"/>
        </w:rPr>
        <w:t xml:space="preserve">– spiega Cartabellotta – </w:t>
      </w:r>
      <w:r w:rsidR="00673B51">
        <w:rPr>
          <w:rFonts w:cstheme="minorHAnsi"/>
        </w:rPr>
        <w:t xml:space="preserve">lascia molto perplessi il fatto che </w:t>
      </w:r>
      <w:r w:rsidR="00D22310">
        <w:rPr>
          <w:rFonts w:cstheme="minorHAnsi"/>
        </w:rPr>
        <w:t xml:space="preserve">gli incrementi annuali </w:t>
      </w:r>
      <w:r w:rsidR="00C14AED">
        <w:rPr>
          <w:rFonts w:cstheme="minorHAnsi"/>
        </w:rPr>
        <w:t xml:space="preserve">del FSN </w:t>
      </w:r>
      <w:r w:rsidR="00D22310">
        <w:rPr>
          <w:rFonts w:cstheme="minorHAnsi"/>
        </w:rPr>
        <w:t xml:space="preserve">non </w:t>
      </w:r>
      <w:r w:rsidR="00CC5D86">
        <w:rPr>
          <w:rFonts w:cstheme="minorHAnsi"/>
        </w:rPr>
        <w:t xml:space="preserve">siano </w:t>
      </w:r>
      <w:r w:rsidR="00430387">
        <w:rPr>
          <w:rFonts w:cstheme="minorHAnsi"/>
        </w:rPr>
        <w:t>sufficienti a</w:t>
      </w:r>
      <w:r w:rsidR="00D22310">
        <w:rPr>
          <w:rFonts w:cstheme="minorHAnsi"/>
        </w:rPr>
        <w:t xml:space="preserve"> coprire tutte le misure previste. </w:t>
      </w:r>
      <w:r w:rsidR="00AF0CAF">
        <w:rPr>
          <w:rFonts w:cstheme="minorHAnsi"/>
        </w:rPr>
        <w:t xml:space="preserve">Di conseguenza </w:t>
      </w:r>
      <w:r w:rsidR="00D22310">
        <w:rPr>
          <w:rFonts w:cstheme="minorHAnsi"/>
        </w:rPr>
        <w:t xml:space="preserve">le Regioni, per </w:t>
      </w:r>
      <w:r w:rsidR="00CC5D86">
        <w:rPr>
          <w:rFonts w:cstheme="minorHAnsi"/>
        </w:rPr>
        <w:t>riuscire a realizzare</w:t>
      </w:r>
      <w:r w:rsidR="00D22310">
        <w:rPr>
          <w:rFonts w:cstheme="minorHAnsi"/>
        </w:rPr>
        <w:t xml:space="preserve"> tutti gli obiettivi previsti dalla Legge di Bilancio 2025 per la sanità</w:t>
      </w:r>
      <w:r w:rsidR="00430387">
        <w:rPr>
          <w:rFonts w:cstheme="minorHAnsi"/>
        </w:rPr>
        <w:t>,</w:t>
      </w:r>
      <w:r w:rsidR="00D22310">
        <w:rPr>
          <w:rFonts w:cstheme="minorHAnsi"/>
        </w:rPr>
        <w:t xml:space="preserve"> dovranno </w:t>
      </w:r>
      <w:r w:rsidR="00AF0CAF">
        <w:rPr>
          <w:rFonts w:cstheme="minorHAnsi"/>
        </w:rPr>
        <w:t xml:space="preserve">operare </w:t>
      </w:r>
      <w:r w:rsidR="00D22310">
        <w:rPr>
          <w:rFonts w:cstheme="minorHAnsi"/>
        </w:rPr>
        <w:t xml:space="preserve">scelte drastiche: </w:t>
      </w:r>
      <w:r w:rsidR="008F1521">
        <w:rPr>
          <w:rFonts w:cstheme="minorHAnsi"/>
        </w:rPr>
        <w:t xml:space="preserve">razionalizzare la spesa, </w:t>
      </w:r>
      <w:r w:rsidR="00D22310">
        <w:rPr>
          <w:rFonts w:cstheme="minorHAnsi"/>
        </w:rPr>
        <w:t xml:space="preserve">tagliare </w:t>
      </w:r>
      <w:r w:rsidR="008F1521">
        <w:rPr>
          <w:rFonts w:cstheme="minorHAnsi"/>
        </w:rPr>
        <w:t xml:space="preserve">altri servizi </w:t>
      </w:r>
      <w:r w:rsidR="00D22310">
        <w:rPr>
          <w:rFonts w:cstheme="minorHAnsi"/>
        </w:rPr>
        <w:t>o aumentare l’addizionale IRPEF</w:t>
      </w:r>
      <w:r w:rsidR="005F2A98" w:rsidRPr="0046020B">
        <w:rPr>
          <w:rFonts w:cstheme="minorHAnsi"/>
        </w:rPr>
        <w:t>»</w:t>
      </w:r>
      <w:r w:rsidR="007B2669">
        <w:rPr>
          <w:rFonts w:cstheme="minorHAnsi"/>
        </w:rPr>
        <w:t>.</w:t>
      </w:r>
      <w:r w:rsidR="005D1B9A">
        <w:rPr>
          <w:rFonts w:cstheme="minorHAnsi"/>
        </w:rPr>
        <w:t xml:space="preserve"> </w:t>
      </w:r>
      <w:r w:rsidR="00AE4758">
        <w:rPr>
          <w:rFonts w:cstheme="minorHAnsi"/>
        </w:rPr>
        <w:t>Ad esempio nel 2026</w:t>
      </w:r>
      <w:r w:rsidR="00CC5D86">
        <w:rPr>
          <w:rFonts w:cstheme="minorHAnsi"/>
        </w:rPr>
        <w:t>,</w:t>
      </w:r>
      <w:r w:rsidR="00144B49">
        <w:rPr>
          <w:rFonts w:cstheme="minorHAnsi"/>
        </w:rPr>
        <w:t xml:space="preserve"> a fronte di un aumento del FSN di € 4.062 milioni</w:t>
      </w:r>
      <w:r w:rsidR="00CC5D86">
        <w:rPr>
          <w:rFonts w:cstheme="minorHAnsi"/>
        </w:rPr>
        <w:t>,</w:t>
      </w:r>
      <w:r w:rsidR="00144B49">
        <w:rPr>
          <w:rFonts w:cstheme="minorHAnsi"/>
        </w:rPr>
        <w:t xml:space="preserve"> sono previste misure per </w:t>
      </w:r>
      <w:r w:rsidR="00CC5D86">
        <w:rPr>
          <w:rFonts w:cstheme="minorHAnsi"/>
        </w:rPr>
        <w:t xml:space="preserve">un totale di </w:t>
      </w:r>
      <w:r w:rsidR="00144B49">
        <w:rPr>
          <w:rFonts w:cstheme="minorHAnsi"/>
        </w:rPr>
        <w:t xml:space="preserve">€ </w:t>
      </w:r>
      <w:r w:rsidR="00144B49" w:rsidRPr="00144B49">
        <w:rPr>
          <w:rFonts w:cstheme="minorHAnsi"/>
        </w:rPr>
        <w:t>2.372,5</w:t>
      </w:r>
      <w:r w:rsidR="00144B49">
        <w:rPr>
          <w:rFonts w:cstheme="minorHAnsi"/>
        </w:rPr>
        <w:t xml:space="preserve"> milioni, </w:t>
      </w:r>
      <w:r w:rsidR="00CC5D86">
        <w:rPr>
          <w:rFonts w:cstheme="minorHAnsi"/>
        </w:rPr>
        <w:t xml:space="preserve">senza considerare </w:t>
      </w:r>
      <w:r w:rsidR="00144B49">
        <w:rPr>
          <w:rFonts w:cstheme="minorHAnsi"/>
        </w:rPr>
        <w:t>il</w:t>
      </w:r>
      <w:r w:rsidR="00144B49" w:rsidRPr="00144B49">
        <w:rPr>
          <w:rFonts w:cstheme="minorHAnsi"/>
        </w:rPr>
        <w:t xml:space="preserve"> trattamento accessorio (art. 18)</w:t>
      </w:r>
      <w:r w:rsidR="00144B49">
        <w:rPr>
          <w:rFonts w:cstheme="minorHAnsi"/>
        </w:rPr>
        <w:t xml:space="preserve"> e il r</w:t>
      </w:r>
      <w:r w:rsidR="00144B49" w:rsidRPr="00144B49">
        <w:rPr>
          <w:rFonts w:cstheme="minorHAnsi"/>
        </w:rPr>
        <w:t>ifinanziamento del fondo per la contrattazione collettiva nazionale per il personale pubblico (art. 19)</w:t>
      </w:r>
      <w:r w:rsidR="00144B49">
        <w:rPr>
          <w:rFonts w:cstheme="minorHAnsi"/>
        </w:rPr>
        <w:t>.</w:t>
      </w:r>
    </w:p>
    <w:p w14:paraId="4932F1B7" w14:textId="26DB9A3B" w:rsidR="00CC5D86" w:rsidRDefault="00673B51" w:rsidP="008F1521">
      <w:pPr>
        <w:jc w:val="both"/>
        <w:rPr>
          <w:rFonts w:cstheme="minorHAnsi"/>
        </w:rPr>
      </w:pPr>
      <w:r>
        <w:rPr>
          <w:rFonts w:cstheme="minorHAnsi"/>
        </w:rPr>
        <w:t xml:space="preserve">La Manovra </w:t>
      </w:r>
      <w:r w:rsidR="00CC5D86">
        <w:rPr>
          <w:rFonts w:cstheme="minorHAnsi"/>
        </w:rPr>
        <w:t xml:space="preserve">include </w:t>
      </w:r>
      <w:r>
        <w:rPr>
          <w:rFonts w:cstheme="minorHAnsi"/>
        </w:rPr>
        <w:t xml:space="preserve">anche </w:t>
      </w:r>
      <w:r w:rsidR="004813BB">
        <w:rPr>
          <w:rFonts w:cstheme="minorHAnsi"/>
        </w:rPr>
        <w:t xml:space="preserve">altre misure che </w:t>
      </w:r>
      <w:r w:rsidR="00AF0CAF">
        <w:rPr>
          <w:rFonts w:cstheme="minorHAnsi"/>
        </w:rPr>
        <w:t xml:space="preserve">avranno </w:t>
      </w:r>
      <w:r w:rsidR="004813BB">
        <w:rPr>
          <w:rFonts w:cstheme="minorHAnsi"/>
        </w:rPr>
        <w:t xml:space="preserve">un impatto </w:t>
      </w:r>
      <w:r w:rsidR="008F1521">
        <w:rPr>
          <w:rFonts w:cstheme="minorHAnsi"/>
        </w:rPr>
        <w:t>economico sulle Regioni, ma</w:t>
      </w:r>
      <w:r w:rsidR="00CC5D86">
        <w:rPr>
          <w:rFonts w:cstheme="minorHAnsi"/>
        </w:rPr>
        <w:t xml:space="preserve"> che</w:t>
      </w:r>
      <w:r w:rsidR="008F1521">
        <w:rPr>
          <w:rFonts w:cstheme="minorHAnsi"/>
        </w:rPr>
        <w:t xml:space="preserve"> </w:t>
      </w:r>
      <w:r w:rsidR="004813BB">
        <w:rPr>
          <w:rFonts w:cstheme="minorHAnsi"/>
        </w:rPr>
        <w:t xml:space="preserve">non sono </w:t>
      </w:r>
      <w:r w:rsidR="00CC5D86">
        <w:rPr>
          <w:rFonts w:cstheme="minorHAnsi"/>
        </w:rPr>
        <w:t xml:space="preserve">contemplate </w:t>
      </w:r>
      <w:r w:rsidR="004813BB">
        <w:rPr>
          <w:rFonts w:cstheme="minorHAnsi"/>
        </w:rPr>
        <w:t>nell’art. 47</w:t>
      </w:r>
      <w:r>
        <w:rPr>
          <w:rFonts w:cstheme="minorHAnsi"/>
        </w:rPr>
        <w:t>:</w:t>
      </w:r>
      <w:r w:rsidR="00AF0CAF">
        <w:rPr>
          <w:rFonts w:cstheme="minorHAnsi"/>
        </w:rPr>
        <w:t xml:space="preserve"> la </w:t>
      </w:r>
      <w:r w:rsidR="008F1521" w:rsidRPr="008F1521">
        <w:rPr>
          <w:rFonts w:cstheme="minorHAnsi"/>
        </w:rPr>
        <w:t>sperimentazione della riforma sulla disabilità (art. 38)</w:t>
      </w:r>
      <w:r w:rsidR="008F1521">
        <w:rPr>
          <w:rFonts w:cstheme="minorHAnsi"/>
        </w:rPr>
        <w:t>,</w:t>
      </w:r>
      <w:r w:rsidR="00AF0CAF">
        <w:rPr>
          <w:rFonts w:cstheme="minorHAnsi"/>
        </w:rPr>
        <w:t xml:space="preserve"> il </w:t>
      </w:r>
      <w:r w:rsidR="008F1521">
        <w:rPr>
          <w:rFonts w:cstheme="minorHAnsi"/>
        </w:rPr>
        <w:t>f</w:t>
      </w:r>
      <w:r w:rsidR="008F1521" w:rsidRPr="008F1521">
        <w:rPr>
          <w:rFonts w:cstheme="minorHAnsi"/>
        </w:rPr>
        <w:t xml:space="preserve">ondo nazionale per il contrasto </w:t>
      </w:r>
      <w:r w:rsidR="008F1521">
        <w:rPr>
          <w:rFonts w:cstheme="minorHAnsi"/>
        </w:rPr>
        <w:t xml:space="preserve">alle </w:t>
      </w:r>
      <w:r w:rsidR="008F1521" w:rsidRPr="008F1521">
        <w:rPr>
          <w:rFonts w:cstheme="minorHAnsi"/>
        </w:rPr>
        <w:t xml:space="preserve">dipendenze comportamentali </w:t>
      </w:r>
      <w:r w:rsidR="008F1521">
        <w:rPr>
          <w:rFonts w:cstheme="minorHAnsi"/>
        </w:rPr>
        <w:t xml:space="preserve">dei giovani </w:t>
      </w:r>
      <w:r w:rsidR="008F1521" w:rsidRPr="008F1521">
        <w:rPr>
          <w:rFonts w:cstheme="minorHAnsi"/>
        </w:rPr>
        <w:t>(art. 40)</w:t>
      </w:r>
      <w:r w:rsidR="008F1521">
        <w:rPr>
          <w:rFonts w:cstheme="minorHAnsi"/>
        </w:rPr>
        <w:t>,</w:t>
      </w:r>
      <w:r w:rsidR="008F1521" w:rsidRPr="008F1521">
        <w:rPr>
          <w:rFonts w:cstheme="minorHAnsi"/>
        </w:rPr>
        <w:t xml:space="preserve"> </w:t>
      </w:r>
      <w:r w:rsidR="008F1521">
        <w:rPr>
          <w:rFonts w:cstheme="minorHAnsi"/>
        </w:rPr>
        <w:t>il f</w:t>
      </w:r>
      <w:r w:rsidR="008F1521" w:rsidRPr="008F1521">
        <w:rPr>
          <w:rFonts w:cstheme="minorHAnsi"/>
        </w:rPr>
        <w:t>ondo per gli accertamenti medico-legali e tossicologico-forensi (art. 41)</w:t>
      </w:r>
      <w:r w:rsidR="008F1521">
        <w:rPr>
          <w:rFonts w:cstheme="minorHAnsi"/>
        </w:rPr>
        <w:t>.</w:t>
      </w:r>
    </w:p>
    <w:p w14:paraId="7B1A9365" w14:textId="4975558B" w:rsidR="00A6235C" w:rsidRPr="00C723B7" w:rsidRDefault="00AD3252" w:rsidP="00CC5D86">
      <w:pPr>
        <w:jc w:val="both"/>
        <w:rPr>
          <w:rFonts w:cstheme="minorHAnsi"/>
        </w:rPr>
      </w:pPr>
      <w:r w:rsidRPr="00336873">
        <w:rPr>
          <w:rFonts w:cstheme="minorHAnsi"/>
          <w:b/>
          <w:bCs/>
        </w:rPr>
        <w:t>Misure per il personale sanitario</w:t>
      </w:r>
      <w:r w:rsidRPr="00336873">
        <w:rPr>
          <w:rFonts w:cstheme="minorHAnsi"/>
        </w:rPr>
        <w:t>. Dagli articoli sulle “Disposizioni in materia di trattamento accessorio” (art. 18) e su</w:t>
      </w:r>
      <w:r>
        <w:rPr>
          <w:rFonts w:cstheme="minorHAnsi"/>
        </w:rPr>
        <w:t>l</w:t>
      </w:r>
      <w:r w:rsidRPr="00336873">
        <w:rPr>
          <w:rFonts w:cstheme="minorHAnsi"/>
        </w:rPr>
        <w:t xml:space="preserve"> “Rifinanziamento del fondo per la contrattazione collettiva nazionale per il personale pubblico</w:t>
      </w:r>
      <w:r>
        <w:rPr>
          <w:rFonts w:cstheme="minorHAnsi"/>
        </w:rPr>
        <w:t>”</w:t>
      </w:r>
      <w:r w:rsidRPr="00336873">
        <w:rPr>
          <w:rFonts w:cstheme="minorHAnsi"/>
        </w:rPr>
        <w:t xml:space="preserve"> (art. 19) non </w:t>
      </w:r>
      <w:r>
        <w:rPr>
          <w:rFonts w:cstheme="minorHAnsi"/>
        </w:rPr>
        <w:t xml:space="preserve">è possibile stimare </w:t>
      </w:r>
      <w:r w:rsidRPr="00336873">
        <w:rPr>
          <w:rFonts w:cstheme="minorHAnsi"/>
        </w:rPr>
        <w:t>l’impatto economico, nemmeno a</w:t>
      </w:r>
      <w:r w:rsidR="00BA54BC">
        <w:rPr>
          <w:rFonts w:cstheme="minorHAnsi"/>
        </w:rPr>
        <w:t>nali</w:t>
      </w:r>
      <w:r w:rsidR="008B0CEC">
        <w:rPr>
          <w:rFonts w:cstheme="minorHAnsi"/>
        </w:rPr>
        <w:t>zzando</w:t>
      </w:r>
      <w:r w:rsidRPr="00336873">
        <w:rPr>
          <w:rFonts w:cstheme="minorHAnsi"/>
        </w:rPr>
        <w:t xml:space="preserve"> </w:t>
      </w:r>
      <w:r w:rsidR="00BA54BC">
        <w:rPr>
          <w:rFonts w:cstheme="minorHAnsi"/>
        </w:rPr>
        <w:t xml:space="preserve">la </w:t>
      </w:r>
      <w:r w:rsidRPr="00336873">
        <w:rPr>
          <w:rFonts w:cstheme="minorHAnsi"/>
        </w:rPr>
        <w:t xml:space="preserve">relazione tecnica. </w:t>
      </w:r>
      <w:r w:rsidR="00C723B7">
        <w:rPr>
          <w:rFonts w:cstheme="minorHAnsi"/>
        </w:rPr>
        <w:t>«</w:t>
      </w:r>
      <w:r w:rsidR="00CC5D86">
        <w:rPr>
          <w:rFonts w:cstheme="minorHAnsi"/>
        </w:rPr>
        <w:t>Considerando solo i</w:t>
      </w:r>
      <w:r w:rsidR="00C723B7">
        <w:rPr>
          <w:rFonts w:cstheme="minorHAnsi"/>
        </w:rPr>
        <w:t xml:space="preserve"> rinnovi contrattuali per il personale dipendente (dirigenza e comparto) e </w:t>
      </w:r>
      <w:r w:rsidR="00CC5D86">
        <w:rPr>
          <w:rFonts w:cstheme="minorHAnsi"/>
        </w:rPr>
        <w:t xml:space="preserve">per i </w:t>
      </w:r>
      <w:r w:rsidR="00C723B7">
        <w:rPr>
          <w:rFonts w:cstheme="minorHAnsi"/>
        </w:rPr>
        <w:t xml:space="preserve">medici convenzionati – rileva Cartabellotta – e </w:t>
      </w:r>
      <w:r w:rsidR="008B0CEC">
        <w:rPr>
          <w:rFonts w:cstheme="minorHAnsi"/>
        </w:rPr>
        <w:t xml:space="preserve">prendendo a </w:t>
      </w:r>
      <w:r w:rsidR="00C723B7">
        <w:rPr>
          <w:rFonts w:cstheme="minorHAnsi"/>
        </w:rPr>
        <w:t>riferimento gli oltre € 2.400 milioni stanziati dalla Legge di Bilancio 2024 per i</w:t>
      </w:r>
      <w:r w:rsidR="008A6231">
        <w:rPr>
          <w:rFonts w:cstheme="minorHAnsi"/>
        </w:rPr>
        <w:t xml:space="preserve">l triennio </w:t>
      </w:r>
      <w:r w:rsidR="00C723B7">
        <w:rPr>
          <w:rFonts w:cstheme="minorHAnsi"/>
        </w:rPr>
        <w:t xml:space="preserve">2019-2021, </w:t>
      </w:r>
      <w:r w:rsidR="008B0CEC">
        <w:t xml:space="preserve">le risorse dovrebbero </w:t>
      </w:r>
      <w:r w:rsidR="00CC5D86">
        <w:t xml:space="preserve">coprire </w:t>
      </w:r>
      <w:r w:rsidR="008B0CEC">
        <w:t xml:space="preserve">il contratto 2022-2024, già scaduto, </w:t>
      </w:r>
      <w:r w:rsidR="00CC5D86">
        <w:t xml:space="preserve">e quelli relativi </w:t>
      </w:r>
      <w:r w:rsidR="008B0CEC">
        <w:t>a</w:t>
      </w:r>
      <w:r w:rsidR="008A6231">
        <w:t>i</w:t>
      </w:r>
      <w:r w:rsidR="008B0CEC">
        <w:t xml:space="preserve"> trienni 2025-2027</w:t>
      </w:r>
      <w:r w:rsidR="00CC5D86">
        <w:t xml:space="preserve"> e</w:t>
      </w:r>
      <w:r w:rsidR="008B0CEC">
        <w:t xml:space="preserve"> 2028-2030</w:t>
      </w:r>
      <w:r w:rsidR="00CC5D86">
        <w:t>, per un totale</w:t>
      </w:r>
      <w:r w:rsidR="008B0CEC">
        <w:t xml:space="preserve"> di oltre € 7 miliardi entro il 2030</w:t>
      </w:r>
      <w:r w:rsidR="00C723B7">
        <w:rPr>
          <w:rFonts w:cstheme="minorHAnsi"/>
        </w:rPr>
        <w:t>».</w:t>
      </w:r>
      <w:r w:rsidR="008B0CEC">
        <w:rPr>
          <w:rFonts w:cstheme="minorHAnsi"/>
        </w:rPr>
        <w:t xml:space="preserve"> </w:t>
      </w:r>
      <w:r w:rsidR="008A6231">
        <w:rPr>
          <w:rFonts w:cstheme="minorHAnsi"/>
        </w:rPr>
        <w:t>Vengono incrementate l</w:t>
      </w:r>
      <w:r w:rsidR="00CC5D86">
        <w:rPr>
          <w:rFonts w:cstheme="minorHAnsi"/>
        </w:rPr>
        <w:t>e</w:t>
      </w:r>
      <w:r w:rsidRPr="00336873">
        <w:rPr>
          <w:rFonts w:cstheme="minorHAnsi"/>
        </w:rPr>
        <w:t xml:space="preserve"> </w:t>
      </w:r>
      <w:r w:rsidRPr="00336873">
        <w:rPr>
          <w:rFonts w:cstheme="minorHAnsi"/>
          <w:b/>
          <w:bCs/>
        </w:rPr>
        <w:t>indennità di specificità</w:t>
      </w:r>
      <w:r w:rsidR="008A6231">
        <w:rPr>
          <w:rFonts w:cstheme="minorHAnsi"/>
          <w:b/>
          <w:bCs/>
        </w:rPr>
        <w:t xml:space="preserve">: </w:t>
      </w:r>
      <w:r w:rsidRPr="00336873">
        <w:rPr>
          <w:rFonts w:cstheme="minorHAnsi"/>
        </w:rPr>
        <w:t xml:space="preserve">per la </w:t>
      </w:r>
      <w:r w:rsidRPr="00336873">
        <w:rPr>
          <w:rFonts w:cstheme="minorHAnsi"/>
          <w:b/>
        </w:rPr>
        <w:t xml:space="preserve">dirigenza medica e veterinaria (art. 61) </w:t>
      </w:r>
      <w:r w:rsidRPr="00CC5D86">
        <w:rPr>
          <w:rFonts w:cstheme="minorHAnsi"/>
        </w:rPr>
        <w:t>di</w:t>
      </w:r>
      <w:r w:rsidRPr="00336873">
        <w:rPr>
          <w:rFonts w:cstheme="minorHAnsi"/>
        </w:rPr>
        <w:t xml:space="preserve"> € 50 milioni per il 2025 e € 327 milioni a decorrere dal 2026; per la </w:t>
      </w:r>
      <w:r w:rsidRPr="00336873">
        <w:rPr>
          <w:rFonts w:cstheme="minorHAnsi"/>
          <w:b/>
        </w:rPr>
        <w:t xml:space="preserve">dirigenza sanitaria non medica (art. 62) </w:t>
      </w:r>
      <w:r w:rsidRPr="00CC5D86">
        <w:rPr>
          <w:rFonts w:cstheme="minorHAnsi"/>
        </w:rPr>
        <w:t>di €</w:t>
      </w:r>
      <w:r w:rsidRPr="00336873">
        <w:rPr>
          <w:rFonts w:cstheme="minorHAnsi"/>
        </w:rPr>
        <w:t xml:space="preserve"> 5,5 milioni a decorrere dal 2025</w:t>
      </w:r>
      <w:r w:rsidR="008B0CEC">
        <w:rPr>
          <w:rFonts w:cstheme="minorHAnsi"/>
        </w:rPr>
        <w:t>;</w:t>
      </w:r>
      <w:r w:rsidR="00CC5D86">
        <w:rPr>
          <w:rFonts w:cstheme="minorHAnsi"/>
        </w:rPr>
        <w:t xml:space="preserve"> l’indennità</w:t>
      </w:r>
      <w:r w:rsidRPr="00336873">
        <w:rPr>
          <w:rFonts w:cstheme="minorHAnsi"/>
        </w:rPr>
        <w:t xml:space="preserve"> </w:t>
      </w:r>
      <w:r w:rsidRPr="00336873">
        <w:rPr>
          <w:rFonts w:cstheme="minorHAnsi"/>
          <w:b/>
        </w:rPr>
        <w:t xml:space="preserve">di specificità infermieristica e </w:t>
      </w:r>
      <w:r w:rsidR="00CC5D86">
        <w:rPr>
          <w:rFonts w:cstheme="minorHAnsi"/>
          <w:b/>
        </w:rPr>
        <w:t>quella per la</w:t>
      </w:r>
      <w:r w:rsidRPr="00336873">
        <w:rPr>
          <w:rFonts w:cstheme="minorHAnsi"/>
          <w:b/>
        </w:rPr>
        <w:t xml:space="preserve"> tutela del malato e la promozione della salute (art. 63) </w:t>
      </w:r>
      <w:r w:rsidR="00CC5D86">
        <w:rPr>
          <w:rFonts w:cstheme="minorHAnsi"/>
        </w:rPr>
        <w:t>riceveranno</w:t>
      </w:r>
      <w:r w:rsidR="00CC5D86" w:rsidRPr="00336873">
        <w:rPr>
          <w:rFonts w:cstheme="minorHAnsi"/>
        </w:rPr>
        <w:t xml:space="preserve"> </w:t>
      </w:r>
      <w:r w:rsidRPr="00336873">
        <w:rPr>
          <w:rFonts w:cstheme="minorHAnsi"/>
        </w:rPr>
        <w:t xml:space="preserve">€ 35 milioni nel 2025 e € 285 milioni dal 2026, </w:t>
      </w:r>
      <w:r w:rsidR="00CC5D86">
        <w:rPr>
          <w:rFonts w:cstheme="minorHAnsi"/>
        </w:rPr>
        <w:t>a cui si aggiungeranno</w:t>
      </w:r>
      <w:r w:rsidRPr="00336873">
        <w:rPr>
          <w:rFonts w:cstheme="minorHAnsi"/>
        </w:rPr>
        <w:t xml:space="preserve"> € 15 milioni nel 2025 e € 150 milioni dal 2026 per altre figure sanitarie. </w:t>
      </w:r>
      <w:r w:rsidR="008B0CEC">
        <w:rPr>
          <w:rFonts w:cstheme="minorHAnsi"/>
        </w:rPr>
        <w:t xml:space="preserve">«È evidente – commenta il Presidente – che tutte </w:t>
      </w:r>
      <w:r w:rsidR="00A6235C">
        <w:rPr>
          <w:rFonts w:cstheme="minorHAnsi"/>
        </w:rPr>
        <w:t xml:space="preserve">queste </w:t>
      </w:r>
      <w:r w:rsidR="008B0CEC">
        <w:rPr>
          <w:rFonts w:cstheme="minorHAnsi"/>
        </w:rPr>
        <w:t xml:space="preserve">indennità, </w:t>
      </w:r>
      <w:r w:rsidR="00A6235C">
        <w:rPr>
          <w:rFonts w:cstheme="minorHAnsi"/>
        </w:rPr>
        <w:t xml:space="preserve">salvo </w:t>
      </w:r>
      <w:r w:rsidR="008B0CEC">
        <w:rPr>
          <w:rFonts w:cstheme="minorHAnsi"/>
        </w:rPr>
        <w:t>briciole,</w:t>
      </w:r>
      <w:r w:rsidR="00A6235C">
        <w:rPr>
          <w:rFonts w:cstheme="minorHAnsi"/>
        </w:rPr>
        <w:t xml:space="preserve"> saranno concretamente</w:t>
      </w:r>
      <w:r w:rsidR="008B0CEC">
        <w:rPr>
          <w:rFonts w:cstheme="minorHAnsi"/>
        </w:rPr>
        <w:t xml:space="preserve"> esigibili dal personale solo </w:t>
      </w:r>
      <w:r w:rsidR="00A6235C">
        <w:rPr>
          <w:rFonts w:cstheme="minorHAnsi"/>
        </w:rPr>
        <w:t xml:space="preserve">a partire </w:t>
      </w:r>
      <w:r w:rsidR="008B0CEC">
        <w:rPr>
          <w:rFonts w:cstheme="minorHAnsi"/>
        </w:rPr>
        <w:t xml:space="preserve">dal 2026». </w:t>
      </w:r>
      <w:r>
        <w:rPr>
          <w:rFonts w:cstheme="minorHAnsi"/>
        </w:rPr>
        <w:t>V</w:t>
      </w:r>
      <w:r w:rsidRPr="00336873">
        <w:rPr>
          <w:rFonts w:cstheme="minorHAnsi"/>
        </w:rPr>
        <w:t xml:space="preserve">iene </w:t>
      </w:r>
      <w:r w:rsidR="008B0CEC">
        <w:rPr>
          <w:rFonts w:cstheme="minorHAnsi"/>
        </w:rPr>
        <w:t>infine</w:t>
      </w:r>
      <w:r w:rsidRPr="00336873">
        <w:rPr>
          <w:rFonts w:cstheme="minorHAnsi"/>
        </w:rPr>
        <w:t xml:space="preserve"> aumentata </w:t>
      </w:r>
      <w:r w:rsidRPr="00336873">
        <w:rPr>
          <w:rFonts w:cstheme="minorHAnsi"/>
          <w:bCs/>
        </w:rPr>
        <w:t>l</w:t>
      </w:r>
      <w:r w:rsidRPr="00336873">
        <w:rPr>
          <w:rFonts w:cstheme="minorHAnsi"/>
          <w:b/>
        </w:rPr>
        <w:t>’indennità di pronto soccorso (art. 56)</w:t>
      </w:r>
      <w:r w:rsidRPr="00336873">
        <w:rPr>
          <w:rFonts w:cstheme="minorHAnsi"/>
        </w:rPr>
        <w:t xml:space="preserve"> </w:t>
      </w:r>
      <w:r w:rsidR="008B0CEC">
        <w:rPr>
          <w:rFonts w:cstheme="minorHAnsi"/>
        </w:rPr>
        <w:t xml:space="preserve">con </w:t>
      </w:r>
      <w:r w:rsidRPr="00336873">
        <w:rPr>
          <w:rFonts w:cstheme="minorHAnsi"/>
        </w:rPr>
        <w:t>€ 50 milioni per il 2025 e € 100 milioni dal 2026 e</w:t>
      </w:r>
      <w:r>
        <w:rPr>
          <w:rFonts w:cstheme="minorHAnsi"/>
        </w:rPr>
        <w:t xml:space="preserve"> migliorato il trattamento economico</w:t>
      </w:r>
      <w:r w:rsidRPr="00336873">
        <w:rPr>
          <w:rFonts w:cstheme="minorHAnsi"/>
          <w:b/>
        </w:rPr>
        <w:t xml:space="preserve"> per i medici in formazione specialistica (art. 59)</w:t>
      </w:r>
      <w:r w:rsidRPr="00336873">
        <w:rPr>
          <w:rFonts w:cstheme="minorHAnsi"/>
          <w:bCs/>
        </w:rPr>
        <w:t>, in particolare per le specializzazioni meno ambite</w:t>
      </w:r>
      <w:r>
        <w:rPr>
          <w:rFonts w:cstheme="minorHAnsi"/>
        </w:rPr>
        <w:t xml:space="preserve">. </w:t>
      </w:r>
      <w:r w:rsidR="00D07635">
        <w:rPr>
          <w:rFonts w:cstheme="minorHAnsi"/>
        </w:rPr>
        <w:t xml:space="preserve">«In termini assoluti – chiosa Cartabellotta – si tratta di un aumento </w:t>
      </w:r>
      <w:r w:rsidR="00D07635" w:rsidRPr="00D07635">
        <w:rPr>
          <w:rFonts w:cstheme="minorHAnsi"/>
        </w:rPr>
        <w:t xml:space="preserve">da </w:t>
      </w:r>
      <w:r w:rsidR="00D07635">
        <w:rPr>
          <w:rFonts w:cstheme="minorHAnsi"/>
        </w:rPr>
        <w:t xml:space="preserve">€ </w:t>
      </w:r>
      <w:r w:rsidR="00D07635" w:rsidRPr="00D07635">
        <w:rPr>
          <w:rFonts w:cstheme="minorHAnsi"/>
        </w:rPr>
        <w:t xml:space="preserve">26.000 euro annui a </w:t>
      </w:r>
      <w:r w:rsidR="00D07635">
        <w:rPr>
          <w:rFonts w:cstheme="minorHAnsi"/>
        </w:rPr>
        <w:t xml:space="preserve">€ </w:t>
      </w:r>
      <w:r w:rsidR="00D07635" w:rsidRPr="00D07635">
        <w:rPr>
          <w:rFonts w:cstheme="minorHAnsi"/>
        </w:rPr>
        <w:t xml:space="preserve">27.135 </w:t>
      </w:r>
      <w:r w:rsidR="00D07635">
        <w:rPr>
          <w:rFonts w:cstheme="minorHAnsi"/>
        </w:rPr>
        <w:t xml:space="preserve">per tutte le specialità e a € </w:t>
      </w:r>
      <w:r w:rsidR="00D07635" w:rsidRPr="00D07635">
        <w:rPr>
          <w:rFonts w:cstheme="minorHAnsi"/>
        </w:rPr>
        <w:t xml:space="preserve">28.785 per </w:t>
      </w:r>
      <w:r w:rsidR="00A6235C">
        <w:rPr>
          <w:rFonts w:cstheme="minorHAnsi"/>
        </w:rPr>
        <w:t>quelle</w:t>
      </w:r>
      <w:r w:rsidR="00D07635" w:rsidRPr="00D07635">
        <w:rPr>
          <w:rFonts w:cstheme="minorHAnsi"/>
        </w:rPr>
        <w:t xml:space="preserve"> </w:t>
      </w:r>
      <w:r w:rsidR="00D07635">
        <w:rPr>
          <w:rFonts w:cstheme="minorHAnsi"/>
        </w:rPr>
        <w:t xml:space="preserve">meno ambite: cifre irrisorie per convincere i giovani medici a scegliere </w:t>
      </w:r>
      <w:r w:rsidR="00D10C37">
        <w:rPr>
          <w:rFonts w:cstheme="minorHAnsi"/>
        </w:rPr>
        <w:t xml:space="preserve">specialità </w:t>
      </w:r>
      <w:r w:rsidR="00A6235C">
        <w:rPr>
          <w:rFonts w:cstheme="minorHAnsi"/>
        </w:rPr>
        <w:t xml:space="preserve">che </w:t>
      </w:r>
      <w:r w:rsidR="00D10C37">
        <w:rPr>
          <w:rFonts w:cstheme="minorHAnsi"/>
        </w:rPr>
        <w:t>oggi non</w:t>
      </w:r>
      <w:r w:rsidR="00A6235C">
        <w:rPr>
          <w:rFonts w:cstheme="minorHAnsi"/>
        </w:rPr>
        <w:t xml:space="preserve"> risultano</w:t>
      </w:r>
      <w:r w:rsidR="00D10C37">
        <w:rPr>
          <w:rFonts w:cstheme="minorHAnsi"/>
        </w:rPr>
        <w:t xml:space="preserve"> più attrattive</w:t>
      </w:r>
      <w:r w:rsidR="00D07635">
        <w:rPr>
          <w:rFonts w:cstheme="minorHAnsi"/>
        </w:rPr>
        <w:t>».</w:t>
      </w:r>
    </w:p>
    <w:p w14:paraId="714EBB84" w14:textId="3EC80713" w:rsidR="00A6235C" w:rsidRDefault="00AD3252" w:rsidP="00A6235C">
      <w:pPr>
        <w:jc w:val="both"/>
        <w:rPr>
          <w:rFonts w:cstheme="minorHAnsi"/>
        </w:rPr>
      </w:pPr>
      <w:r w:rsidRPr="00BD2737">
        <w:rPr>
          <w:rFonts w:cstheme="minorHAnsi"/>
        </w:rPr>
        <w:t>Per l’</w:t>
      </w:r>
      <w:r>
        <w:rPr>
          <w:rFonts w:cstheme="minorHAnsi"/>
          <w:b/>
        </w:rPr>
        <w:t>a</w:t>
      </w:r>
      <w:r w:rsidRPr="00803553">
        <w:rPr>
          <w:rFonts w:cstheme="minorHAnsi"/>
          <w:b/>
        </w:rPr>
        <w:t xml:space="preserve">ggiornamento dei Livelli Essenziali di Assistenza e </w:t>
      </w:r>
      <w:r>
        <w:rPr>
          <w:rFonts w:cstheme="minorHAnsi"/>
          <w:b/>
        </w:rPr>
        <w:t xml:space="preserve">degli </w:t>
      </w:r>
      <w:r w:rsidRPr="00803553">
        <w:rPr>
          <w:rFonts w:cstheme="minorHAnsi"/>
          <w:b/>
        </w:rPr>
        <w:t>importi tariffari (art. 51 c. 1)</w:t>
      </w:r>
      <w:r w:rsidR="00A6235C" w:rsidRPr="008A6231">
        <w:rPr>
          <w:rFonts w:cstheme="minorHAnsi"/>
        </w:rPr>
        <w:t xml:space="preserve">, </w:t>
      </w:r>
      <w:r w:rsidRPr="00B31FF7">
        <w:rPr>
          <w:rFonts w:cstheme="minorHAnsi"/>
        </w:rPr>
        <w:t xml:space="preserve">i </w:t>
      </w:r>
      <w:r w:rsidRPr="00803553">
        <w:rPr>
          <w:rFonts w:cstheme="minorHAnsi"/>
        </w:rPr>
        <w:t xml:space="preserve">€ 50 milioni annui </w:t>
      </w:r>
      <w:r>
        <w:rPr>
          <w:rFonts w:cstheme="minorHAnsi"/>
        </w:rPr>
        <w:t xml:space="preserve">stanziati </w:t>
      </w:r>
      <w:r w:rsidRPr="00803553">
        <w:rPr>
          <w:rFonts w:cstheme="minorHAnsi"/>
        </w:rPr>
        <w:t>a partire dal 2025</w:t>
      </w:r>
      <w:r>
        <w:rPr>
          <w:rFonts w:cstheme="minorHAnsi"/>
        </w:rPr>
        <w:t xml:space="preserve">, </w:t>
      </w:r>
      <w:r w:rsidR="00A6235C">
        <w:rPr>
          <w:rFonts w:cstheme="minorHAnsi"/>
        </w:rPr>
        <w:t xml:space="preserve">sono secondo </w:t>
      </w:r>
      <w:r>
        <w:rPr>
          <w:rFonts w:cstheme="minorHAnsi"/>
        </w:rPr>
        <w:t>Cartabellotta «assolutamente insufficienti</w:t>
      </w:r>
      <w:r w:rsidR="00A6235C">
        <w:rPr>
          <w:rFonts w:cstheme="minorHAnsi"/>
        </w:rPr>
        <w:t>, aumentando</w:t>
      </w:r>
      <w:r>
        <w:rPr>
          <w:rFonts w:cstheme="minorHAnsi"/>
        </w:rPr>
        <w:t xml:space="preserve"> il rischio </w:t>
      </w:r>
      <w:r w:rsidR="00A6235C">
        <w:rPr>
          <w:rFonts w:cstheme="minorHAnsi"/>
        </w:rPr>
        <w:t xml:space="preserve">concreto </w:t>
      </w:r>
      <w:r>
        <w:rPr>
          <w:rFonts w:cstheme="minorHAnsi"/>
        </w:rPr>
        <w:t xml:space="preserve">di </w:t>
      </w:r>
      <w:r w:rsidR="00A6235C">
        <w:rPr>
          <w:rFonts w:cstheme="minorHAnsi"/>
        </w:rPr>
        <w:t>ulteriori ritardi nel</w:t>
      </w:r>
      <w:r>
        <w:rPr>
          <w:rFonts w:cstheme="minorHAnsi"/>
        </w:rPr>
        <w:t xml:space="preserve">l’esigibilità delle prestazioni di specialistica ambulatoriale e di protesica, ormai al palo da 8 anni». </w:t>
      </w:r>
      <w:r w:rsidR="00A6235C">
        <w:rPr>
          <w:rFonts w:cstheme="minorHAnsi"/>
        </w:rPr>
        <w:t>Al contrario</w:t>
      </w:r>
      <w:r w:rsidR="008277E5">
        <w:rPr>
          <w:rFonts w:cstheme="minorHAnsi"/>
        </w:rPr>
        <w:t>, u</w:t>
      </w:r>
      <w:r>
        <w:rPr>
          <w:rFonts w:cstheme="minorHAnsi"/>
        </w:rPr>
        <w:t xml:space="preserve">na quota </w:t>
      </w:r>
      <w:r w:rsidR="00A6235C">
        <w:rPr>
          <w:rFonts w:cstheme="minorHAnsi"/>
        </w:rPr>
        <w:t xml:space="preserve">significativa </w:t>
      </w:r>
      <w:r>
        <w:rPr>
          <w:rFonts w:cstheme="minorHAnsi"/>
        </w:rPr>
        <w:t xml:space="preserve">di risorse viene destinata </w:t>
      </w:r>
      <w:r w:rsidRPr="00BD2737">
        <w:rPr>
          <w:rFonts w:cstheme="minorHAnsi"/>
        </w:rPr>
        <w:t>all’</w:t>
      </w:r>
      <w:r w:rsidRPr="007232BF">
        <w:rPr>
          <w:rFonts w:cstheme="minorHAnsi"/>
          <w:b/>
        </w:rPr>
        <w:t>aggiornamento delle tariffe per remunerazione delle prestazioni per acuti e post acuzie (art. 50)</w:t>
      </w:r>
      <w:r w:rsidR="0023633F" w:rsidRPr="0023633F">
        <w:rPr>
          <w:rFonts w:cstheme="minorHAnsi"/>
          <w:bCs/>
        </w:rPr>
        <w:t>.</w:t>
      </w:r>
      <w:r w:rsidRPr="0023633F">
        <w:rPr>
          <w:rFonts w:cstheme="minorHAnsi"/>
          <w:bCs/>
        </w:rPr>
        <w:t xml:space="preserve"> </w:t>
      </w:r>
      <w:r w:rsidR="00A6235C">
        <w:rPr>
          <w:rFonts w:cstheme="minorHAnsi"/>
          <w:bCs/>
        </w:rPr>
        <w:t>Nello specifico</w:t>
      </w:r>
      <w:r w:rsidR="0023633F">
        <w:rPr>
          <w:rFonts w:cstheme="minorHAnsi"/>
        </w:rPr>
        <w:t>, spiega il Presidente</w:t>
      </w:r>
      <w:r w:rsidR="00A6235C">
        <w:rPr>
          <w:rFonts w:cstheme="minorHAnsi"/>
        </w:rPr>
        <w:t>,</w:t>
      </w:r>
      <w:r w:rsidR="0023633F">
        <w:rPr>
          <w:rFonts w:cstheme="minorHAnsi"/>
        </w:rPr>
        <w:t xml:space="preserve"> «nel 2025 sono </w:t>
      </w:r>
      <w:r w:rsidR="00A6235C">
        <w:rPr>
          <w:rFonts w:cstheme="minorHAnsi"/>
        </w:rPr>
        <w:t xml:space="preserve">previsti </w:t>
      </w:r>
      <w:r w:rsidRPr="00487C49">
        <w:rPr>
          <w:rFonts w:cstheme="minorHAnsi"/>
        </w:rPr>
        <w:t xml:space="preserve">€ 77 milioni </w:t>
      </w:r>
      <w:r w:rsidR="00A6235C">
        <w:rPr>
          <w:rFonts w:cstheme="minorHAnsi"/>
        </w:rPr>
        <w:t xml:space="preserve">per le </w:t>
      </w:r>
      <w:r w:rsidR="0023633F">
        <w:rPr>
          <w:rFonts w:cstheme="minorHAnsi"/>
        </w:rPr>
        <w:t>prestazioni post-acuzie</w:t>
      </w:r>
      <w:r w:rsidR="00A6235C">
        <w:rPr>
          <w:rFonts w:cstheme="minorHAnsi"/>
        </w:rPr>
        <w:t xml:space="preserve">, mentre dal </w:t>
      </w:r>
      <w:r w:rsidR="0023633F">
        <w:rPr>
          <w:rFonts w:cstheme="minorHAnsi"/>
        </w:rPr>
        <w:t xml:space="preserve">2026 </w:t>
      </w:r>
      <w:r w:rsidR="00A6235C">
        <w:rPr>
          <w:rFonts w:cstheme="minorHAnsi"/>
        </w:rPr>
        <w:t>si stanzieranno</w:t>
      </w:r>
      <w:r w:rsidR="0023633F">
        <w:rPr>
          <w:rFonts w:cstheme="minorHAnsi"/>
        </w:rPr>
        <w:t xml:space="preserve">€ 350 milioni per le prestazioni post-acuzie e € 650 milioni per </w:t>
      </w:r>
      <w:r w:rsidR="00A6235C">
        <w:rPr>
          <w:rFonts w:cstheme="minorHAnsi"/>
        </w:rPr>
        <w:t>quelle</w:t>
      </w:r>
      <w:r w:rsidR="0023633F">
        <w:rPr>
          <w:rFonts w:cstheme="minorHAnsi"/>
        </w:rPr>
        <w:t xml:space="preserve"> per acuti, per un totale di </w:t>
      </w:r>
      <w:r w:rsidRPr="00487C49">
        <w:rPr>
          <w:rFonts w:cstheme="minorHAnsi"/>
        </w:rPr>
        <w:t xml:space="preserve">€ 1 miliardo </w:t>
      </w:r>
      <w:r w:rsidR="0023633F">
        <w:rPr>
          <w:rFonts w:cstheme="minorHAnsi"/>
        </w:rPr>
        <w:t>annuo</w:t>
      </w:r>
      <w:r w:rsidR="00685B14">
        <w:rPr>
          <w:rFonts w:cstheme="minorHAnsi"/>
        </w:rPr>
        <w:t>»</w:t>
      </w:r>
      <w:r>
        <w:rPr>
          <w:rFonts w:cstheme="minorHAnsi"/>
        </w:rPr>
        <w:t xml:space="preserve">. </w:t>
      </w:r>
    </w:p>
    <w:p w14:paraId="4F541407" w14:textId="608C1A9F" w:rsidR="00A6235C" w:rsidRDefault="00AD3252" w:rsidP="00AD3252">
      <w:pPr>
        <w:jc w:val="both"/>
        <w:rPr>
          <w:rFonts w:cstheme="minorHAnsi"/>
        </w:rPr>
      </w:pPr>
      <w:r w:rsidRPr="00FB3F77">
        <w:rPr>
          <w:rFonts w:cstheme="minorHAnsi"/>
        </w:rPr>
        <w:t xml:space="preserve">Relativamente alle misure per </w:t>
      </w:r>
      <w:r>
        <w:rPr>
          <w:rFonts w:cstheme="minorHAnsi"/>
        </w:rPr>
        <w:t xml:space="preserve">abbattere </w:t>
      </w:r>
      <w:r w:rsidRPr="00FB3F77">
        <w:rPr>
          <w:rFonts w:cstheme="minorHAnsi"/>
        </w:rPr>
        <w:t xml:space="preserve">le </w:t>
      </w:r>
      <w:r w:rsidRPr="00FB3F77">
        <w:rPr>
          <w:rFonts w:cstheme="minorHAnsi"/>
          <w:b/>
          <w:bCs/>
        </w:rPr>
        <w:t>liste di attesa</w:t>
      </w:r>
      <w:r w:rsidRPr="00FB3F77">
        <w:rPr>
          <w:rFonts w:cstheme="minorHAnsi"/>
        </w:rPr>
        <w:t xml:space="preserve">, </w:t>
      </w:r>
      <w:r w:rsidR="00A6235C">
        <w:rPr>
          <w:rFonts w:cstheme="minorHAnsi"/>
        </w:rPr>
        <w:t>è previsto un ulteriore aumento del</w:t>
      </w:r>
      <w:r w:rsidRPr="00FB3F77">
        <w:rPr>
          <w:rFonts w:cstheme="minorHAnsi"/>
        </w:rPr>
        <w:t xml:space="preserve"> </w:t>
      </w:r>
      <w:r w:rsidRPr="00FB3F77">
        <w:rPr>
          <w:rFonts w:cstheme="minorHAnsi"/>
          <w:b/>
          <w:bCs/>
        </w:rPr>
        <w:t xml:space="preserve">tetto </w:t>
      </w:r>
      <w:r w:rsidRPr="00FB3F77">
        <w:rPr>
          <w:rFonts w:cstheme="minorHAnsi"/>
          <w:b/>
        </w:rPr>
        <w:t>di spesa per l’acquisto di prestazioni sanitarie da soggetti privati accreditati (art. 48)</w:t>
      </w:r>
      <w:r w:rsidR="00A6235C">
        <w:rPr>
          <w:rFonts w:cstheme="minorHAnsi"/>
        </w:rPr>
        <w:t>, c</w:t>
      </w:r>
      <w:r w:rsidRPr="00FB3F77">
        <w:rPr>
          <w:rFonts w:cstheme="minorHAnsi"/>
        </w:rPr>
        <w:t>he</w:t>
      </w:r>
      <w:r w:rsidRPr="00FB3F77">
        <w:rPr>
          <w:rFonts w:cstheme="minorHAnsi"/>
          <w:b/>
        </w:rPr>
        <w:t xml:space="preserve"> </w:t>
      </w:r>
      <w:r w:rsidR="00A6235C">
        <w:rPr>
          <w:rFonts w:cstheme="minorHAnsi"/>
        </w:rPr>
        <w:t>crescerà</w:t>
      </w:r>
      <w:r w:rsidR="00A6235C" w:rsidRPr="00FB3F77">
        <w:rPr>
          <w:rFonts w:cstheme="minorHAnsi"/>
        </w:rPr>
        <w:t xml:space="preserve"> </w:t>
      </w:r>
      <w:r w:rsidRPr="00FB3F77">
        <w:rPr>
          <w:rFonts w:cstheme="minorHAnsi"/>
        </w:rPr>
        <w:t xml:space="preserve">dello 0,5% per il 2025 </w:t>
      </w:r>
      <w:r>
        <w:rPr>
          <w:rFonts w:cstheme="minorHAnsi"/>
        </w:rPr>
        <w:t>(</w:t>
      </w:r>
      <w:r w:rsidRPr="00FB3F77">
        <w:rPr>
          <w:rFonts w:cstheme="minorHAnsi"/>
        </w:rPr>
        <w:t>€ 61,5 milioni</w:t>
      </w:r>
      <w:r>
        <w:rPr>
          <w:rFonts w:cstheme="minorHAnsi"/>
        </w:rPr>
        <w:t xml:space="preserve">) </w:t>
      </w:r>
      <w:r w:rsidRPr="00FB3F77">
        <w:rPr>
          <w:rFonts w:cstheme="minorHAnsi"/>
        </w:rPr>
        <w:t>e dell’1% dal 2026</w:t>
      </w:r>
      <w:r>
        <w:rPr>
          <w:rFonts w:cstheme="minorHAnsi"/>
        </w:rPr>
        <w:t xml:space="preserve"> (</w:t>
      </w:r>
      <w:r w:rsidRPr="00FB3F77">
        <w:rPr>
          <w:rFonts w:cstheme="minorHAnsi"/>
        </w:rPr>
        <w:t>€ 123 milioni</w:t>
      </w:r>
      <w:r>
        <w:rPr>
          <w:rFonts w:cstheme="minorHAnsi"/>
        </w:rPr>
        <w:t>)</w:t>
      </w:r>
      <w:r w:rsidRPr="00FB3F77">
        <w:rPr>
          <w:rFonts w:cstheme="minorHAnsi"/>
        </w:rPr>
        <w:t xml:space="preserve">. Inoltre sono </w:t>
      </w:r>
      <w:r w:rsidR="00A6235C">
        <w:rPr>
          <w:rFonts w:cstheme="minorHAnsi"/>
        </w:rPr>
        <w:t>introdotte</w:t>
      </w:r>
      <w:r w:rsidR="00A6235C" w:rsidRPr="00FB3F77">
        <w:rPr>
          <w:rFonts w:cstheme="minorHAnsi"/>
          <w:b/>
          <w:bCs/>
        </w:rPr>
        <w:t xml:space="preserve"> </w:t>
      </w:r>
      <w:r w:rsidRPr="00FB3F77">
        <w:rPr>
          <w:rFonts w:cstheme="minorHAnsi"/>
          <w:b/>
          <w:bCs/>
        </w:rPr>
        <w:t xml:space="preserve">premialità per le Regioni </w:t>
      </w:r>
      <w:r w:rsidRPr="00FB3F77">
        <w:rPr>
          <w:rFonts w:cstheme="minorHAnsi"/>
          <w:b/>
        </w:rPr>
        <w:t>(art. 64)</w:t>
      </w:r>
      <w:r>
        <w:rPr>
          <w:rFonts w:cstheme="minorHAnsi"/>
          <w:b/>
        </w:rPr>
        <w:t xml:space="preserve"> </w:t>
      </w:r>
      <w:r w:rsidRPr="00FB3F77">
        <w:rPr>
          <w:rFonts w:cstheme="minorHAnsi"/>
        </w:rPr>
        <w:t>che rispettano i criteri sui Livelli Essenziali di Assistenza sulle liste d’attesa</w:t>
      </w:r>
      <w:r w:rsidR="00A6235C">
        <w:rPr>
          <w:rFonts w:cstheme="minorHAnsi"/>
        </w:rPr>
        <w:t xml:space="preserve">, con uno stanziamento di </w:t>
      </w:r>
      <w:r w:rsidRPr="00FB3F77">
        <w:rPr>
          <w:rFonts w:cstheme="minorHAnsi"/>
        </w:rPr>
        <w:t>€ 50 milioni nel 2025 e € 100 milioni dal 2026</w:t>
      </w:r>
      <w:r>
        <w:rPr>
          <w:rFonts w:cstheme="minorHAnsi"/>
        </w:rPr>
        <w:t xml:space="preserve">. </w:t>
      </w:r>
    </w:p>
    <w:p w14:paraId="3A5F73C1" w14:textId="2A42C823" w:rsidR="00A6235C" w:rsidRPr="00AD3252" w:rsidRDefault="00AD3252" w:rsidP="00AD3252">
      <w:pPr>
        <w:jc w:val="both"/>
        <w:rPr>
          <w:rFonts w:cstheme="minorHAnsi"/>
        </w:rPr>
      </w:pPr>
      <w:r w:rsidRPr="00FB3F77">
        <w:rPr>
          <w:rFonts w:cstheme="minorHAnsi"/>
          <w:bCs/>
        </w:rPr>
        <w:lastRenderedPageBreak/>
        <w:t xml:space="preserve">Altre disposizioni di spesa riguardano l’attuazione del </w:t>
      </w:r>
      <w:r w:rsidRPr="00FB3F77">
        <w:rPr>
          <w:rFonts w:cstheme="minorHAnsi"/>
          <w:b/>
        </w:rPr>
        <w:t>Piano pandemico 2025-2029 (art. 52)</w:t>
      </w:r>
      <w:r w:rsidR="00A6235C" w:rsidRPr="008A6231">
        <w:rPr>
          <w:rFonts w:cstheme="minorHAnsi"/>
        </w:rPr>
        <w:t>, che prevede</w:t>
      </w:r>
      <w:r w:rsidR="00A6235C">
        <w:rPr>
          <w:rFonts w:cstheme="minorHAnsi"/>
        </w:rPr>
        <w:t xml:space="preserve"> </w:t>
      </w:r>
      <w:r w:rsidRPr="00FB3F77">
        <w:rPr>
          <w:rFonts w:cstheme="minorHAnsi"/>
        </w:rPr>
        <w:t>€ 50 milioni per il 2025, € 150 milioni per il 2026 e € 300 milioni annui dal 2027</w:t>
      </w:r>
      <w:r w:rsidR="00A6235C">
        <w:rPr>
          <w:rFonts w:cstheme="minorHAnsi"/>
        </w:rPr>
        <w:t>. Per le</w:t>
      </w:r>
      <w:r w:rsidRPr="00FB3F77">
        <w:rPr>
          <w:rFonts w:cstheme="minorHAnsi"/>
          <w:b/>
        </w:rPr>
        <w:t xml:space="preserve"> cure palliative (art. 58)</w:t>
      </w:r>
      <w:r w:rsidR="00A6235C">
        <w:rPr>
          <w:rFonts w:cstheme="minorHAnsi"/>
          <w:b/>
        </w:rPr>
        <w:t xml:space="preserve"> </w:t>
      </w:r>
      <w:r w:rsidR="00A6235C" w:rsidRPr="008A6231">
        <w:rPr>
          <w:rFonts w:cstheme="minorHAnsi"/>
        </w:rPr>
        <w:t xml:space="preserve">è previsto un aumento </w:t>
      </w:r>
      <w:r w:rsidRPr="00FB3F77">
        <w:rPr>
          <w:rFonts w:cstheme="minorHAnsi"/>
        </w:rPr>
        <w:t xml:space="preserve">di € 10 milioni annui a partire dal 2025, che si somma </w:t>
      </w:r>
      <w:r w:rsidR="00A6235C">
        <w:rPr>
          <w:rFonts w:cstheme="minorHAnsi"/>
        </w:rPr>
        <w:t>ai</w:t>
      </w:r>
      <w:r w:rsidRPr="00FB3F77">
        <w:rPr>
          <w:rFonts w:cstheme="minorHAnsi"/>
        </w:rPr>
        <w:t xml:space="preserve"> € 100 milioni </w:t>
      </w:r>
      <w:r w:rsidR="00A6235C">
        <w:rPr>
          <w:rFonts w:cstheme="minorHAnsi"/>
        </w:rPr>
        <w:t>del</w:t>
      </w:r>
      <w:r w:rsidR="00A6235C" w:rsidRPr="00FB3F77">
        <w:rPr>
          <w:rFonts w:cstheme="minorHAnsi"/>
        </w:rPr>
        <w:t xml:space="preserve"> </w:t>
      </w:r>
      <w:r w:rsidRPr="00FB3F77">
        <w:rPr>
          <w:rFonts w:cstheme="minorHAnsi"/>
        </w:rPr>
        <w:t>FSN</w:t>
      </w:r>
      <w:r w:rsidR="00A6235C">
        <w:rPr>
          <w:rFonts w:cstheme="minorHAnsi"/>
        </w:rPr>
        <w:t>. Le</w:t>
      </w:r>
      <w:r>
        <w:rPr>
          <w:rFonts w:cstheme="minorHAnsi"/>
        </w:rPr>
        <w:t xml:space="preserve"> </w:t>
      </w:r>
      <w:r w:rsidRPr="00FB3F77">
        <w:rPr>
          <w:rFonts w:cstheme="minorHAnsi"/>
          <w:b/>
          <w:bCs/>
        </w:rPr>
        <w:t>prestazioni sanitarie offerte da comunità terapeutiche in regime di mobilità interregionale (art. 65)</w:t>
      </w:r>
      <w:r w:rsidR="00A6235C">
        <w:rPr>
          <w:rFonts w:cstheme="minorHAnsi"/>
        </w:rPr>
        <w:t xml:space="preserve"> riceveranno </w:t>
      </w:r>
      <w:r w:rsidRPr="00FB3F77">
        <w:rPr>
          <w:rFonts w:cstheme="minorHAnsi"/>
        </w:rPr>
        <w:t xml:space="preserve">€ 15 milioni annui </w:t>
      </w:r>
      <w:r w:rsidR="00A6235C">
        <w:rPr>
          <w:rFonts w:cstheme="minorHAnsi"/>
        </w:rPr>
        <w:t xml:space="preserve">a partire </w:t>
      </w:r>
      <w:r w:rsidRPr="00FB3F77">
        <w:rPr>
          <w:rFonts w:cstheme="minorHAnsi"/>
        </w:rPr>
        <w:t xml:space="preserve">dal 2025 per sostenere le prestazioni a favore di cittadini </w:t>
      </w:r>
      <w:r w:rsidR="00A6235C">
        <w:rPr>
          <w:rFonts w:cstheme="minorHAnsi"/>
        </w:rPr>
        <w:t>con dipendenza</w:t>
      </w:r>
      <w:r w:rsidR="00A6235C" w:rsidRPr="00FB3F77">
        <w:rPr>
          <w:rFonts w:cstheme="minorHAnsi"/>
        </w:rPr>
        <w:t xml:space="preserve"> </w:t>
      </w:r>
      <w:r w:rsidRPr="00FB3F77">
        <w:rPr>
          <w:rFonts w:cstheme="minorHAnsi"/>
        </w:rPr>
        <w:t>da sostanze</w:t>
      </w:r>
      <w:r w:rsidR="00A6235C">
        <w:rPr>
          <w:rFonts w:cstheme="minorHAnsi"/>
        </w:rPr>
        <w:t xml:space="preserve">. Infine per </w:t>
      </w:r>
      <w:r w:rsidRPr="008A6231">
        <w:rPr>
          <w:rFonts w:cstheme="minorHAnsi"/>
          <w:bCs/>
        </w:rPr>
        <w:t>le</w:t>
      </w:r>
      <w:r w:rsidRPr="00FB3F77">
        <w:rPr>
          <w:rFonts w:cstheme="minorHAnsi"/>
          <w:b/>
          <w:bCs/>
        </w:rPr>
        <w:t xml:space="preserve"> patologie da dipendenze (art. 66)</w:t>
      </w:r>
      <w:r w:rsidR="00A6235C">
        <w:rPr>
          <w:rFonts w:cstheme="minorHAnsi"/>
        </w:rPr>
        <w:t xml:space="preserve"> sono previsti </w:t>
      </w:r>
      <w:r>
        <w:rPr>
          <w:rFonts w:cstheme="minorHAnsi"/>
        </w:rPr>
        <w:t xml:space="preserve">€ </w:t>
      </w:r>
      <w:r w:rsidRPr="00FB3F77">
        <w:rPr>
          <w:rFonts w:cstheme="minorHAnsi"/>
        </w:rPr>
        <w:t>50 milioni annui dal 2025</w:t>
      </w:r>
      <w:r>
        <w:rPr>
          <w:rFonts w:cstheme="minorHAnsi"/>
        </w:rPr>
        <w:t>.</w:t>
      </w:r>
    </w:p>
    <w:p w14:paraId="481C2F00" w14:textId="32B5EC80" w:rsidR="00F30A0D" w:rsidRDefault="00CC5D86" w:rsidP="00F30A0D">
      <w:pPr>
        <w:suppressAutoHyphens/>
        <w:spacing w:after="120"/>
        <w:jc w:val="both"/>
        <w:rPr>
          <w:rFonts w:cstheme="minorHAnsi"/>
        </w:rPr>
      </w:pPr>
      <w:bookmarkStart w:id="1" w:name="_Hlk148764366"/>
      <w:r w:rsidRPr="00154086">
        <w:rPr>
          <w:rFonts w:cstheme="minorHAnsi"/>
        </w:rPr>
        <w:t>«</w:t>
      </w:r>
      <w:r>
        <w:rPr>
          <w:rFonts w:cstheme="minorHAnsi"/>
        </w:rPr>
        <w:t xml:space="preserve">Ancora una volta </w:t>
      </w:r>
      <w:r w:rsidRPr="00154086">
        <w:rPr>
          <w:rFonts w:cstheme="minorHAnsi"/>
        </w:rPr>
        <w:t>– conclude Cartabellotta –</w:t>
      </w:r>
      <w:r>
        <w:rPr>
          <w:rFonts w:cstheme="minorHAnsi"/>
        </w:rPr>
        <w:t xml:space="preserve"> la Legge di Bilancio tradisce le legittime aspettative di professionisti sanitari e cittadini, oggi alle prese con un SSN in grande affanno </w:t>
      </w:r>
      <w:r w:rsidR="00A6235C">
        <w:rPr>
          <w:rFonts w:cstheme="minorHAnsi"/>
        </w:rPr>
        <w:t xml:space="preserve">nel </w:t>
      </w:r>
      <w:r>
        <w:rPr>
          <w:rFonts w:cstheme="minorHAnsi"/>
        </w:rPr>
        <w:t>rispondere ai bisogni di sa</w:t>
      </w:r>
      <w:r w:rsidR="006E5584">
        <w:rPr>
          <w:rFonts w:cstheme="minorHAnsi"/>
        </w:rPr>
        <w:t>l</w:t>
      </w:r>
      <w:r>
        <w:rPr>
          <w:rFonts w:cstheme="minorHAnsi"/>
        </w:rPr>
        <w:t xml:space="preserve">ute </w:t>
      </w:r>
      <w:r w:rsidR="00A6235C">
        <w:rPr>
          <w:rFonts w:cstheme="minorHAnsi"/>
        </w:rPr>
        <w:t>della popolazione</w:t>
      </w:r>
      <w:r>
        <w:rPr>
          <w:rFonts w:cstheme="minorHAnsi"/>
        </w:rPr>
        <w:t>. Soprattutto per la progressiva carenza di personale, in particolare infermieristico, che vive una stagione di demotivazione e disaffezione per la sanità pubblica</w:t>
      </w:r>
      <w:r w:rsidR="001A5B33">
        <w:rPr>
          <w:rFonts w:cstheme="minorHAnsi"/>
        </w:rPr>
        <w:t xml:space="preserve"> senza precedenti</w:t>
      </w:r>
      <w:r>
        <w:rPr>
          <w:rFonts w:cstheme="minorHAnsi"/>
        </w:rPr>
        <w:t>. Dall</w:t>
      </w:r>
      <w:r w:rsidR="00F30A0D">
        <w:rPr>
          <w:rFonts w:cstheme="minorHAnsi"/>
        </w:rPr>
        <w:t>’analisi dell</w:t>
      </w:r>
      <w:r>
        <w:rPr>
          <w:rFonts w:cstheme="minorHAnsi"/>
        </w:rPr>
        <w:t xml:space="preserve">e risorse assegnate </w:t>
      </w:r>
      <w:r w:rsidRPr="00F30A0D">
        <w:rPr>
          <w:rFonts w:cstheme="minorHAnsi"/>
        </w:rPr>
        <w:t xml:space="preserve">alla sanità </w:t>
      </w:r>
      <w:r w:rsidR="00F30A0D" w:rsidRPr="00F30A0D">
        <w:rPr>
          <w:rFonts w:cstheme="minorHAnsi"/>
        </w:rPr>
        <w:t xml:space="preserve">emergono </w:t>
      </w:r>
      <w:r w:rsidR="001A5B33">
        <w:rPr>
          <w:rFonts w:cstheme="minorHAnsi"/>
        </w:rPr>
        <w:t>quattro</w:t>
      </w:r>
      <w:r w:rsidR="001A5B33" w:rsidRPr="00F30A0D">
        <w:rPr>
          <w:rFonts w:cstheme="minorHAnsi"/>
        </w:rPr>
        <w:t xml:space="preserve"> </w:t>
      </w:r>
      <w:r w:rsidR="00F30A0D" w:rsidRPr="00F30A0D">
        <w:rPr>
          <w:rFonts w:cstheme="minorHAnsi"/>
        </w:rPr>
        <w:t>punti estremamente critici</w:t>
      </w:r>
      <w:r w:rsidR="00F30A0D" w:rsidRPr="008A6231">
        <w:rPr>
          <w:rFonts w:cstheme="minorHAnsi"/>
        </w:rPr>
        <w:t xml:space="preserve">. </w:t>
      </w:r>
      <w:r>
        <w:rPr>
          <w:rFonts w:cstheme="minorHAnsi"/>
        </w:rPr>
        <w:t>I</w:t>
      </w:r>
      <w:r w:rsidRPr="00154086">
        <w:rPr>
          <w:rFonts w:cstheme="minorHAnsi"/>
        </w:rPr>
        <w:t>nna</w:t>
      </w:r>
      <w:r>
        <w:rPr>
          <w:rFonts w:cstheme="minorHAnsi"/>
        </w:rPr>
        <w:t xml:space="preserve">nzitutto la </w:t>
      </w:r>
      <w:r w:rsidR="00F30A0D">
        <w:rPr>
          <w:rFonts w:cstheme="minorHAnsi"/>
        </w:rPr>
        <w:t>“</w:t>
      </w:r>
      <w:r>
        <w:rPr>
          <w:rFonts w:cstheme="minorHAnsi"/>
        </w:rPr>
        <w:t>cosmesi</w:t>
      </w:r>
      <w:r w:rsidR="00F30A0D">
        <w:rPr>
          <w:rFonts w:cstheme="minorHAnsi"/>
        </w:rPr>
        <w:t>”</w:t>
      </w:r>
      <w:r>
        <w:rPr>
          <w:rFonts w:cstheme="minorHAnsi"/>
        </w:rPr>
        <w:t xml:space="preserve"> sul FSN </w:t>
      </w:r>
      <w:r w:rsidR="00F30A0D">
        <w:rPr>
          <w:rFonts w:cstheme="minorHAnsi"/>
        </w:rPr>
        <w:t xml:space="preserve">per il </w:t>
      </w:r>
      <w:r>
        <w:rPr>
          <w:rFonts w:cstheme="minorHAnsi"/>
        </w:rPr>
        <w:t>2025</w:t>
      </w:r>
      <w:r w:rsidR="00F30A0D">
        <w:rPr>
          <w:rFonts w:cstheme="minorHAnsi"/>
        </w:rPr>
        <w:t>,</w:t>
      </w:r>
      <w:r>
        <w:rPr>
          <w:rFonts w:cstheme="minorHAnsi"/>
        </w:rPr>
        <w:t xml:space="preserve"> che </w:t>
      </w:r>
      <w:r w:rsidR="00F30A0D">
        <w:rPr>
          <w:rFonts w:cstheme="minorHAnsi"/>
        </w:rPr>
        <w:t xml:space="preserve">tradisce </w:t>
      </w:r>
      <w:r>
        <w:rPr>
          <w:rFonts w:cstheme="minorHAnsi"/>
        </w:rPr>
        <w:t>ampiamente i proclami</w:t>
      </w:r>
      <w:r w:rsidR="001A5B33">
        <w:rPr>
          <w:rFonts w:cstheme="minorHAnsi"/>
        </w:rPr>
        <w:t xml:space="preserve"> dell’Esecutivo</w:t>
      </w:r>
      <w:r>
        <w:rPr>
          <w:rFonts w:cstheme="minorHAnsi"/>
        </w:rPr>
        <w:t xml:space="preserve">: </w:t>
      </w:r>
      <w:r w:rsidR="00F30A0D">
        <w:rPr>
          <w:rFonts w:cstheme="minorHAnsi"/>
        </w:rPr>
        <w:t>l’</w:t>
      </w:r>
      <w:r>
        <w:rPr>
          <w:rFonts w:cstheme="minorHAnsi"/>
        </w:rPr>
        <w:t xml:space="preserve">incremento </w:t>
      </w:r>
      <w:r w:rsidR="00F30A0D">
        <w:rPr>
          <w:rFonts w:cstheme="minorHAnsi"/>
        </w:rPr>
        <w:t xml:space="preserve">reale è di soli </w:t>
      </w:r>
      <w:r>
        <w:rPr>
          <w:rFonts w:cstheme="minorHAnsi"/>
        </w:rPr>
        <w:t xml:space="preserve">€ 1,3 miliardi, rispetto ai € 3,5 </w:t>
      </w:r>
      <w:r w:rsidR="001A5B33">
        <w:rPr>
          <w:rFonts w:cstheme="minorHAnsi"/>
        </w:rPr>
        <w:t xml:space="preserve">miliardi </w:t>
      </w:r>
      <w:r>
        <w:rPr>
          <w:rFonts w:cstheme="minorHAnsi"/>
        </w:rPr>
        <w:t>annunciati</w:t>
      </w:r>
      <w:r w:rsidR="00F30A0D">
        <w:rPr>
          <w:rFonts w:cstheme="minorHAnsi"/>
        </w:rPr>
        <w:t>,</w:t>
      </w:r>
      <w:r>
        <w:rPr>
          <w:rFonts w:cstheme="minorHAnsi"/>
        </w:rPr>
        <w:t xml:space="preserve"> rende</w:t>
      </w:r>
      <w:r w:rsidR="00F30A0D">
        <w:rPr>
          <w:rFonts w:cstheme="minorHAnsi"/>
        </w:rPr>
        <w:t>ndo</w:t>
      </w:r>
      <w:r>
        <w:rPr>
          <w:rFonts w:cstheme="minorHAnsi"/>
        </w:rPr>
        <w:t xml:space="preserve"> impossibile soddisfare le richieste dei professionisti sanitari</w:t>
      </w:r>
      <w:r w:rsidR="00F30A0D">
        <w:rPr>
          <w:rFonts w:cstheme="minorHAnsi"/>
        </w:rPr>
        <w:t xml:space="preserve">, </w:t>
      </w:r>
      <w:r>
        <w:rPr>
          <w:rFonts w:cstheme="minorHAnsi"/>
        </w:rPr>
        <w:t xml:space="preserve">che </w:t>
      </w:r>
      <w:r w:rsidR="001A5B33">
        <w:rPr>
          <w:rFonts w:cstheme="minorHAnsi"/>
        </w:rPr>
        <w:t xml:space="preserve">infatti </w:t>
      </w:r>
      <w:r>
        <w:rPr>
          <w:rFonts w:cstheme="minorHAnsi"/>
        </w:rPr>
        <w:t xml:space="preserve">hanno già annunciato uno sciopero per il 20 novembre. In secondo luogo, l’unico </w:t>
      </w:r>
      <w:r w:rsidR="001A5B33">
        <w:rPr>
          <w:rFonts w:cstheme="minorHAnsi"/>
        </w:rPr>
        <w:t xml:space="preserve">reale </w:t>
      </w:r>
      <w:r>
        <w:rPr>
          <w:rFonts w:cstheme="minorHAnsi"/>
        </w:rPr>
        <w:t xml:space="preserve">incremento di risorse è previsto solo nel 2026, quando </w:t>
      </w:r>
      <w:r w:rsidR="00F30A0D">
        <w:rPr>
          <w:rFonts w:cstheme="minorHAnsi"/>
        </w:rPr>
        <w:t>lo</w:t>
      </w:r>
      <w:r>
        <w:rPr>
          <w:rFonts w:cstheme="minorHAnsi"/>
        </w:rPr>
        <w:t xml:space="preserve"> Stato </w:t>
      </w:r>
      <w:r w:rsidR="008A6231">
        <w:rPr>
          <w:rFonts w:cstheme="minorHAnsi"/>
        </w:rPr>
        <w:t xml:space="preserve">potrà disporre delle </w:t>
      </w:r>
      <w:r>
        <w:rPr>
          <w:rFonts w:cstheme="minorHAnsi"/>
        </w:rPr>
        <w:t xml:space="preserve">liquidità </w:t>
      </w:r>
      <w:r w:rsidR="00F30A0D">
        <w:rPr>
          <w:rFonts w:cstheme="minorHAnsi"/>
        </w:rPr>
        <w:t>derivanti</w:t>
      </w:r>
      <w:r>
        <w:rPr>
          <w:rFonts w:cstheme="minorHAnsi"/>
        </w:rPr>
        <w:t xml:space="preserve"> dalla sospensione del credito di imposta delle banche</w:t>
      </w:r>
      <w:r w:rsidR="00F30A0D">
        <w:rPr>
          <w:rFonts w:cstheme="minorHAnsi"/>
        </w:rPr>
        <w:t xml:space="preserve">. </w:t>
      </w:r>
      <w:r w:rsidR="00F30A0D" w:rsidRPr="00BC2CE3">
        <w:rPr>
          <w:rFonts w:cstheme="minorHAnsi"/>
        </w:rPr>
        <w:t xml:space="preserve">Terzo, </w:t>
      </w:r>
      <w:r w:rsidRPr="00BC2CE3">
        <w:rPr>
          <w:rFonts w:cstheme="minorHAnsi"/>
        </w:rPr>
        <w:t xml:space="preserve">le risorse </w:t>
      </w:r>
      <w:r w:rsidR="001A5B33">
        <w:rPr>
          <w:rFonts w:cstheme="minorHAnsi"/>
        </w:rPr>
        <w:t>si disperdono</w:t>
      </w:r>
      <w:r w:rsidR="00F30A0D" w:rsidRPr="00BC2CE3">
        <w:rPr>
          <w:rFonts w:cstheme="minorHAnsi"/>
        </w:rPr>
        <w:t xml:space="preserve"> </w:t>
      </w:r>
      <w:r w:rsidRPr="00BC2CE3">
        <w:rPr>
          <w:rFonts w:cstheme="minorHAnsi"/>
        </w:rPr>
        <w:t>in troppi rivoli, senza una chiara visione di rilancio del SSN</w:t>
      </w:r>
      <w:r w:rsidR="00F30A0D" w:rsidRPr="00BC2CE3">
        <w:rPr>
          <w:rFonts w:cstheme="minorHAnsi"/>
        </w:rPr>
        <w:t>,</w:t>
      </w:r>
      <w:r w:rsidRPr="00BC2CE3">
        <w:rPr>
          <w:rFonts w:cstheme="minorHAnsi"/>
        </w:rPr>
        <w:t xml:space="preserve"> con un numero eccessivo di misure rispetto alle risorse assegnate, a valere sul FSN</w:t>
      </w:r>
      <w:r w:rsidR="008A6231" w:rsidRPr="00BC2CE3">
        <w:rPr>
          <w:rFonts w:cstheme="minorHAnsi"/>
        </w:rPr>
        <w:t xml:space="preserve">: una (non) strategia che finirà per mettere </w:t>
      </w:r>
      <w:r w:rsidRPr="00BC2CE3">
        <w:rPr>
          <w:rFonts w:cstheme="minorHAnsi"/>
        </w:rPr>
        <w:t>le Regioni</w:t>
      </w:r>
      <w:r w:rsidR="001A5B33">
        <w:rPr>
          <w:rFonts w:cstheme="minorHAnsi"/>
        </w:rPr>
        <w:t xml:space="preserve"> davanti a un bivio</w:t>
      </w:r>
      <w:r w:rsidR="008A6231" w:rsidRPr="00BC2CE3">
        <w:rPr>
          <w:rFonts w:cstheme="minorHAnsi"/>
        </w:rPr>
        <w:t>, costrette a scegliere da quale lato “tirare” una coperta troppo corta</w:t>
      </w:r>
      <w:r w:rsidR="00F30A0D" w:rsidRPr="00BC2CE3">
        <w:rPr>
          <w:rFonts w:cstheme="minorHAnsi"/>
        </w:rPr>
        <w:t>. I</w:t>
      </w:r>
      <w:r w:rsidRPr="00BC2CE3">
        <w:rPr>
          <w:rFonts w:cstheme="minorHAnsi"/>
        </w:rPr>
        <w:t>nfine, non si intravede alcun rilancio</w:t>
      </w:r>
      <w:r>
        <w:rPr>
          <w:rFonts w:cstheme="minorHAnsi"/>
        </w:rPr>
        <w:t xml:space="preserve"> progressivo del finanziamento pubblico che, dopo la “fiammata” del 2026</w:t>
      </w:r>
      <w:r w:rsidR="00F30A0D">
        <w:rPr>
          <w:rFonts w:cstheme="minorHAnsi"/>
        </w:rPr>
        <w:t>,</w:t>
      </w:r>
      <w:r>
        <w:rPr>
          <w:rFonts w:cstheme="minorHAnsi"/>
        </w:rPr>
        <w:t xml:space="preserve"> torna a cifre da manutenzione ordinaria dell’era pre-pandemica</w:t>
      </w:r>
      <w:r w:rsidR="00F30A0D">
        <w:rPr>
          <w:rFonts w:cstheme="minorHAnsi"/>
        </w:rPr>
        <w:t xml:space="preserve">. </w:t>
      </w:r>
      <w:r>
        <w:rPr>
          <w:rFonts w:cstheme="minorHAnsi"/>
        </w:rPr>
        <w:t xml:space="preserve">Nonostante la sanità pubblica sia </w:t>
      </w:r>
      <w:r w:rsidR="00C455E2">
        <w:rPr>
          <w:rFonts w:cstheme="minorHAnsi"/>
        </w:rPr>
        <w:t xml:space="preserve">oggi </w:t>
      </w:r>
      <w:r>
        <w:rPr>
          <w:rFonts w:cstheme="minorHAnsi"/>
        </w:rPr>
        <w:t xml:space="preserve">la vera emergenza del Paese, le scelte politiche </w:t>
      </w:r>
      <w:r w:rsidR="00C455E2">
        <w:rPr>
          <w:rFonts w:cstheme="minorHAnsi"/>
        </w:rPr>
        <w:t xml:space="preserve">rimangono </w:t>
      </w:r>
      <w:r w:rsidR="001A5B33">
        <w:rPr>
          <w:rFonts w:cstheme="minorHAnsi"/>
        </w:rPr>
        <w:t xml:space="preserve">inesorabilmente </w:t>
      </w:r>
      <w:r>
        <w:rPr>
          <w:rFonts w:cstheme="minorHAnsi"/>
        </w:rPr>
        <w:t xml:space="preserve">in linea con quelle </w:t>
      </w:r>
      <w:r w:rsidR="00C455E2">
        <w:rPr>
          <w:rFonts w:cstheme="minorHAnsi"/>
        </w:rPr>
        <w:t xml:space="preserve">degli </w:t>
      </w:r>
      <w:r>
        <w:rPr>
          <w:rFonts w:cstheme="minorHAnsi"/>
        </w:rPr>
        <w:t>ultimi 15 anni: tutti</w:t>
      </w:r>
      <w:r w:rsidR="00C455E2">
        <w:rPr>
          <w:rFonts w:cstheme="minorHAnsi"/>
        </w:rPr>
        <w:t xml:space="preserve"> i Governi</w:t>
      </w:r>
      <w:r>
        <w:rPr>
          <w:rFonts w:cstheme="minorHAnsi"/>
        </w:rPr>
        <w:t xml:space="preserve"> hanno definanziato il SSN e nessuno è stato in grado di elaborare un piano di rilancio del finanziamento pubblico, </w:t>
      </w:r>
      <w:r w:rsidR="00C455E2">
        <w:rPr>
          <w:rFonts w:cstheme="minorHAnsi"/>
        </w:rPr>
        <w:t>accompagnato da</w:t>
      </w:r>
      <w:r>
        <w:rPr>
          <w:rFonts w:cstheme="minorHAnsi"/>
        </w:rPr>
        <w:t xml:space="preserve"> una coraggiosa stagione di riforme per ammodernare e riorganizzare la più grande opera pubblica del Paese</w:t>
      </w:r>
      <w:r w:rsidR="001A5B33">
        <w:rPr>
          <w:rFonts w:cstheme="minorHAnsi"/>
        </w:rPr>
        <w:t>,</w:t>
      </w:r>
      <w:r>
        <w:rPr>
          <w:rFonts w:cstheme="minorHAnsi"/>
        </w:rPr>
        <w:t xml:space="preserve"> quel SSN istituito per tutelare la salute di tutte le persone</w:t>
      </w:r>
      <w:r w:rsidR="008A6231">
        <w:rPr>
          <w:rFonts w:cstheme="minorHAnsi"/>
        </w:rPr>
        <w:t xml:space="preserve">. </w:t>
      </w:r>
      <w:r w:rsidR="00BC2CE3">
        <w:rPr>
          <w:rFonts w:cstheme="minorHAnsi"/>
        </w:rPr>
        <w:t xml:space="preserve">Un tradimento </w:t>
      </w:r>
      <w:r w:rsidR="008A6231">
        <w:rPr>
          <w:rFonts w:cstheme="minorHAnsi"/>
        </w:rPr>
        <w:t xml:space="preserve">dell’art. 32 </w:t>
      </w:r>
      <w:r w:rsidR="001A5B33">
        <w:rPr>
          <w:rFonts w:cstheme="minorHAnsi"/>
        </w:rPr>
        <w:t xml:space="preserve">della Costituzione </w:t>
      </w:r>
      <w:r w:rsidR="008A6231">
        <w:rPr>
          <w:rFonts w:cstheme="minorHAnsi"/>
        </w:rPr>
        <w:t xml:space="preserve">e </w:t>
      </w:r>
      <w:r w:rsidR="00BC2CE3">
        <w:rPr>
          <w:rFonts w:cstheme="minorHAnsi"/>
        </w:rPr>
        <w:t xml:space="preserve">dell’universalismo, dell’uguaglianza e dell’equità, </w:t>
      </w:r>
      <w:r w:rsidR="008A6231">
        <w:rPr>
          <w:rFonts w:cstheme="minorHAnsi"/>
        </w:rPr>
        <w:t xml:space="preserve">princìpi fondamentali del </w:t>
      </w:r>
      <w:r w:rsidR="00BC2CE3">
        <w:rPr>
          <w:rFonts w:cstheme="minorHAnsi"/>
        </w:rPr>
        <w:t xml:space="preserve">nostro insostituibile </w:t>
      </w:r>
      <w:r w:rsidR="008A6231">
        <w:rPr>
          <w:rFonts w:cstheme="minorHAnsi"/>
        </w:rPr>
        <w:t>SSN</w:t>
      </w:r>
      <w:r w:rsidRPr="00154086">
        <w:rPr>
          <w:rFonts w:cstheme="minorHAnsi"/>
        </w:rPr>
        <w:t>».</w:t>
      </w:r>
      <w:r>
        <w:rPr>
          <w:rFonts w:cstheme="minorHAnsi"/>
        </w:rPr>
        <w:t xml:space="preserve"> </w:t>
      </w:r>
    </w:p>
    <w:bookmarkEnd w:id="1"/>
    <w:p w14:paraId="16B43D3A" w14:textId="77777777" w:rsidR="005D18F5" w:rsidRDefault="005D18F5" w:rsidP="005D18F5">
      <w:pPr>
        <w:spacing w:after="0"/>
        <w:rPr>
          <w:rStyle w:val="Collegamentoipertestuale"/>
          <w:rFonts w:eastAsia="Calibri" w:cstheme="minorHAnsi"/>
        </w:rPr>
      </w:pPr>
    </w:p>
    <w:p w14:paraId="1B9D85AE" w14:textId="77777777" w:rsidR="00DC2A0C" w:rsidRPr="005240BD" w:rsidRDefault="00DC2A0C" w:rsidP="003C4D0F">
      <w:pPr>
        <w:spacing w:after="0"/>
        <w:rPr>
          <w:rFonts w:eastAsia="Calibri" w:cstheme="minorHAnsi"/>
        </w:rPr>
      </w:pPr>
      <w:r w:rsidRPr="005240BD">
        <w:rPr>
          <w:rFonts w:eastAsia="Calibri" w:cstheme="minorHAnsi"/>
          <w:b/>
          <w:bCs/>
        </w:rPr>
        <w:t>Fondazione GIMBE</w:t>
      </w:r>
      <w:r w:rsidRPr="005240BD">
        <w:rPr>
          <w:rFonts w:eastAsia="Calibri" w:cstheme="minorHAnsi"/>
        </w:rPr>
        <w:br/>
        <w:t>Via Amendola 2 - 40121 Bologna</w:t>
      </w:r>
    </w:p>
    <w:p w14:paraId="051E331D" w14:textId="77777777" w:rsidR="00DC2A0C" w:rsidRPr="005240BD" w:rsidRDefault="00DC2A0C" w:rsidP="003C4D0F">
      <w:pPr>
        <w:spacing w:after="0"/>
        <w:rPr>
          <w:rFonts w:eastAsia="Calibri" w:cstheme="minorHAnsi"/>
        </w:rPr>
      </w:pPr>
      <w:r w:rsidRPr="005240BD">
        <w:rPr>
          <w:rFonts w:eastAsia="Calibri" w:cstheme="minorHAnsi"/>
        </w:rPr>
        <w:t>Tel. 051 5883920 - Fax 051 4075774</w:t>
      </w:r>
    </w:p>
    <w:p w14:paraId="729B9D46" w14:textId="77777777" w:rsidR="00472CFC" w:rsidRDefault="00DC2A0C" w:rsidP="00F60D04">
      <w:pPr>
        <w:spacing w:after="0"/>
        <w:rPr>
          <w:rStyle w:val="Collegamentoipertestuale"/>
          <w:rFonts w:eastAsia="Calibri" w:cstheme="minorHAnsi"/>
        </w:rPr>
      </w:pPr>
      <w:r w:rsidRPr="005240BD">
        <w:rPr>
          <w:rFonts w:eastAsia="Calibri" w:cstheme="minorHAnsi"/>
        </w:rPr>
        <w:t xml:space="preserve">E-mail: </w:t>
      </w:r>
      <w:hyperlink r:id="rId8" w:history="1">
        <w:r w:rsidR="004E472B" w:rsidRPr="00066CA1">
          <w:rPr>
            <w:rStyle w:val="Collegamentoipertestuale"/>
            <w:rFonts w:eastAsia="Calibri" w:cstheme="minorHAnsi"/>
          </w:rPr>
          <w:t>ufficio.stampa@gimbe.org</w:t>
        </w:r>
      </w:hyperlink>
    </w:p>
    <w:p w14:paraId="56ED7A0B" w14:textId="77777777" w:rsidR="00F60D04" w:rsidRDefault="00F60D04" w:rsidP="00F60D04">
      <w:pPr>
        <w:spacing w:after="0"/>
        <w:rPr>
          <w:rStyle w:val="Collegamentoipertestuale"/>
          <w:rFonts w:eastAsia="Calibri" w:cstheme="minorHAnsi"/>
        </w:rPr>
      </w:pPr>
    </w:p>
    <w:p w14:paraId="282AACB6" w14:textId="08308F86" w:rsidR="00732468" w:rsidRDefault="00732468" w:rsidP="00F60D04">
      <w:pPr>
        <w:spacing w:after="0"/>
        <w:rPr>
          <w:rStyle w:val="Collegamentoipertestuale"/>
          <w:rFonts w:eastAsia="Calibri" w:cstheme="minorHAnsi"/>
        </w:rPr>
      </w:pPr>
    </w:p>
    <w:p w14:paraId="17030219" w14:textId="66F31723" w:rsidR="00732468" w:rsidRDefault="00732468" w:rsidP="00F60D04">
      <w:pPr>
        <w:spacing w:after="0"/>
        <w:rPr>
          <w:rStyle w:val="Collegamentoipertestuale"/>
          <w:rFonts w:eastAsia="Calibri" w:cstheme="minorHAnsi"/>
        </w:rPr>
      </w:pPr>
    </w:p>
    <w:p w14:paraId="16CB8CCF" w14:textId="19E594AD" w:rsidR="0039730F" w:rsidRDefault="0039730F" w:rsidP="00F60D04">
      <w:pPr>
        <w:spacing w:after="0"/>
        <w:rPr>
          <w:rStyle w:val="Collegamentoipertestuale"/>
          <w:rFonts w:eastAsia="Calibri" w:cstheme="minorHAnsi"/>
        </w:rPr>
      </w:pPr>
    </w:p>
    <w:p w14:paraId="17858286" w14:textId="77ED01B4" w:rsidR="0039730F" w:rsidRDefault="0039730F" w:rsidP="00F60D04">
      <w:pPr>
        <w:spacing w:after="0"/>
        <w:rPr>
          <w:rStyle w:val="Collegamentoipertestuale"/>
          <w:rFonts w:eastAsia="Calibri" w:cstheme="minorHAnsi"/>
        </w:rPr>
      </w:pPr>
    </w:p>
    <w:p w14:paraId="5A674AFA" w14:textId="47B44AF0" w:rsidR="0039730F" w:rsidRDefault="0039730F" w:rsidP="00F60D04">
      <w:pPr>
        <w:spacing w:after="0"/>
        <w:rPr>
          <w:rStyle w:val="Collegamentoipertestuale"/>
          <w:rFonts w:eastAsia="Calibri" w:cstheme="minorHAnsi"/>
        </w:rPr>
      </w:pPr>
    </w:p>
    <w:p w14:paraId="7B02B8AA" w14:textId="77777777" w:rsidR="0039730F" w:rsidRDefault="0039730F" w:rsidP="00F60D04">
      <w:pPr>
        <w:spacing w:after="0"/>
        <w:rPr>
          <w:rStyle w:val="Collegamentoipertestuale"/>
          <w:rFonts w:eastAsia="Calibri" w:cstheme="minorHAnsi"/>
        </w:rPr>
      </w:pPr>
    </w:p>
    <w:p w14:paraId="0F820190" w14:textId="77777777" w:rsidR="001C71B6" w:rsidRDefault="001C71B6">
      <w:pPr>
        <w:rPr>
          <w:rFonts w:eastAsia="Calibri" w:cstheme="minorHAnsi"/>
          <w:b/>
          <w:bCs/>
          <w:color w:val="00457D"/>
          <w:sz w:val="24"/>
          <w:szCs w:val="24"/>
        </w:rPr>
      </w:pPr>
      <w:r>
        <w:rPr>
          <w:rFonts w:eastAsia="Calibri" w:cstheme="minorHAnsi"/>
          <w:b/>
          <w:bCs/>
          <w:color w:val="00457D"/>
          <w:sz w:val="24"/>
          <w:szCs w:val="24"/>
        </w:rPr>
        <w:br w:type="page"/>
      </w:r>
    </w:p>
    <w:p w14:paraId="744C074D" w14:textId="77777777" w:rsidR="001C71B6" w:rsidRDefault="001C71B6" w:rsidP="00C7306D">
      <w:pPr>
        <w:spacing w:after="0"/>
        <w:jc w:val="center"/>
        <w:rPr>
          <w:rFonts w:eastAsia="Calibri" w:cstheme="minorHAnsi"/>
          <w:b/>
          <w:bCs/>
          <w:color w:val="00457D"/>
          <w:sz w:val="24"/>
          <w:szCs w:val="24"/>
        </w:rPr>
      </w:pPr>
    </w:p>
    <w:p w14:paraId="1C2DE029" w14:textId="1103B696" w:rsidR="0039730F" w:rsidRDefault="00F60D04" w:rsidP="00C7306D">
      <w:pPr>
        <w:spacing w:after="0"/>
        <w:jc w:val="center"/>
        <w:rPr>
          <w:rFonts w:eastAsia="Calibri" w:cstheme="minorHAnsi"/>
          <w:b/>
          <w:bCs/>
          <w:color w:val="00457D"/>
        </w:rPr>
      </w:pPr>
      <w:r w:rsidRPr="00DA54E1">
        <w:rPr>
          <w:rFonts w:eastAsia="Calibri" w:cstheme="minorHAnsi"/>
          <w:b/>
          <w:bCs/>
          <w:color w:val="00457D"/>
          <w:sz w:val="24"/>
          <w:szCs w:val="24"/>
        </w:rPr>
        <w:t>Figura 1</w:t>
      </w:r>
      <w:r w:rsidR="00DA54E1" w:rsidRPr="00DA54E1">
        <w:rPr>
          <w:rFonts w:eastAsia="Calibri" w:cstheme="minorHAnsi"/>
          <w:b/>
          <w:bCs/>
          <w:color w:val="00457D"/>
          <w:sz w:val="24"/>
          <w:szCs w:val="24"/>
        </w:rPr>
        <w:t>. Fabbisogno Sanitario Nazionale: trend 2010-2030</w:t>
      </w:r>
      <w:r w:rsidR="002F33C2">
        <w:rPr>
          <w:rFonts w:eastAsia="Calibri" w:cstheme="minorHAnsi"/>
          <w:b/>
          <w:bCs/>
          <w:color w:val="00457D"/>
          <w:sz w:val="24"/>
          <w:szCs w:val="24"/>
        </w:rPr>
        <w:pict w14:anchorId="352CBD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261pt">
            <v:imagedata r:id="rId9" o:title="Figura01_20241025"/>
          </v:shape>
        </w:pict>
      </w:r>
    </w:p>
    <w:p w14:paraId="28BE1D34" w14:textId="7857B1CA" w:rsidR="00C7306D" w:rsidRDefault="00C7306D" w:rsidP="00C7306D">
      <w:pPr>
        <w:spacing w:after="0"/>
        <w:jc w:val="center"/>
        <w:rPr>
          <w:rFonts w:eastAsia="Calibri" w:cstheme="minorHAnsi"/>
          <w:b/>
          <w:bCs/>
          <w:color w:val="00457D"/>
        </w:rPr>
      </w:pPr>
    </w:p>
    <w:p w14:paraId="574C9AD3" w14:textId="30DC8804" w:rsidR="00C7306D" w:rsidRDefault="00C7306D" w:rsidP="00C7306D">
      <w:pPr>
        <w:spacing w:after="0"/>
        <w:jc w:val="center"/>
        <w:rPr>
          <w:rFonts w:eastAsia="Calibri" w:cstheme="minorHAnsi"/>
          <w:b/>
          <w:bCs/>
          <w:color w:val="00457D"/>
        </w:rPr>
      </w:pPr>
    </w:p>
    <w:p w14:paraId="175AC27E" w14:textId="0FE428BA" w:rsidR="00C7306D" w:rsidRDefault="00C7306D" w:rsidP="00C7306D">
      <w:pPr>
        <w:spacing w:after="0"/>
        <w:jc w:val="center"/>
        <w:rPr>
          <w:rFonts w:eastAsia="Calibri" w:cstheme="minorHAnsi"/>
          <w:b/>
          <w:bCs/>
          <w:color w:val="00457D"/>
        </w:rPr>
      </w:pPr>
    </w:p>
    <w:p w14:paraId="5793C5B8" w14:textId="4BCFEAB7" w:rsidR="00C7306D" w:rsidRPr="00DA54E1" w:rsidRDefault="00C7306D" w:rsidP="00C7306D">
      <w:pPr>
        <w:spacing w:after="0"/>
        <w:jc w:val="center"/>
        <w:rPr>
          <w:rFonts w:eastAsia="Calibri" w:cstheme="minorHAnsi"/>
          <w:b/>
          <w:bCs/>
          <w:color w:val="00457D"/>
          <w:sz w:val="24"/>
          <w:szCs w:val="24"/>
        </w:rPr>
      </w:pPr>
      <w:r w:rsidRPr="00DA54E1">
        <w:rPr>
          <w:rFonts w:eastAsia="Calibri" w:cstheme="minorHAnsi"/>
          <w:b/>
          <w:bCs/>
          <w:color w:val="00457D"/>
          <w:sz w:val="24"/>
          <w:szCs w:val="24"/>
        </w:rPr>
        <w:t xml:space="preserve">Tabella 1. </w:t>
      </w:r>
      <w:r w:rsidR="003D58EA" w:rsidRPr="00DA54E1">
        <w:rPr>
          <w:rFonts w:eastAsia="Calibri" w:cstheme="minorHAnsi"/>
          <w:b/>
          <w:bCs/>
          <w:color w:val="00457D"/>
          <w:sz w:val="24"/>
          <w:szCs w:val="24"/>
        </w:rPr>
        <w:t xml:space="preserve">Rideterminazione FSN prevista dall’art. 47 </w:t>
      </w:r>
      <w:r w:rsidRPr="00DA54E1">
        <w:rPr>
          <w:rFonts w:eastAsia="Calibri" w:cstheme="minorHAnsi"/>
          <w:b/>
          <w:bCs/>
          <w:color w:val="00457D"/>
          <w:sz w:val="24"/>
          <w:szCs w:val="24"/>
        </w:rPr>
        <w:t>del DdL della Manovra 2025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7"/>
        <w:gridCol w:w="958"/>
        <w:gridCol w:w="959"/>
        <w:gridCol w:w="957"/>
        <w:gridCol w:w="959"/>
        <w:gridCol w:w="957"/>
        <w:gridCol w:w="959"/>
        <w:gridCol w:w="962"/>
      </w:tblGrid>
      <w:tr w:rsidR="000B6DD0" w:rsidRPr="00941E2E" w14:paraId="76D9E283" w14:textId="77777777" w:rsidTr="00DA54E1">
        <w:trPr>
          <w:trHeight w:val="293"/>
        </w:trPr>
        <w:tc>
          <w:tcPr>
            <w:tcW w:w="1557" w:type="pct"/>
            <w:tcBorders>
              <w:top w:val="single" w:sz="8" w:space="0" w:color="00457D"/>
              <w:left w:val="nil"/>
              <w:bottom w:val="single" w:sz="8" w:space="0" w:color="00457D"/>
              <w:right w:val="single" w:sz="8" w:space="0" w:color="FFFFFF"/>
            </w:tcBorders>
            <w:shd w:val="clear" w:color="000000" w:fill="00457D"/>
            <w:noWrap/>
            <w:vAlign w:val="center"/>
            <w:hideMark/>
          </w:tcPr>
          <w:p w14:paraId="05AE0904" w14:textId="77777777" w:rsidR="00C7306D" w:rsidRPr="00941E2E" w:rsidRDefault="00C7306D" w:rsidP="00DA54E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</w:pPr>
            <w:r w:rsidRPr="00941E2E"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  <w:t> </w:t>
            </w:r>
          </w:p>
        </w:tc>
        <w:tc>
          <w:tcPr>
            <w:tcW w:w="491" w:type="pct"/>
            <w:tcBorders>
              <w:top w:val="single" w:sz="8" w:space="0" w:color="00457D"/>
              <w:left w:val="nil"/>
              <w:bottom w:val="single" w:sz="8" w:space="0" w:color="00457D"/>
              <w:right w:val="single" w:sz="8" w:space="0" w:color="FFFFFF"/>
            </w:tcBorders>
            <w:shd w:val="clear" w:color="000000" w:fill="00457D"/>
            <w:noWrap/>
            <w:vAlign w:val="center"/>
            <w:hideMark/>
          </w:tcPr>
          <w:p w14:paraId="009C7FCD" w14:textId="77777777" w:rsidR="00C7306D" w:rsidRPr="00941E2E" w:rsidRDefault="00C7306D" w:rsidP="00DA54E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</w:pPr>
            <w:r w:rsidRPr="00941E2E"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  <w:t>2024</w:t>
            </w:r>
          </w:p>
        </w:tc>
        <w:tc>
          <w:tcPr>
            <w:tcW w:w="492" w:type="pct"/>
            <w:tcBorders>
              <w:top w:val="single" w:sz="8" w:space="0" w:color="00457D"/>
              <w:left w:val="nil"/>
              <w:bottom w:val="single" w:sz="8" w:space="0" w:color="00457D"/>
              <w:right w:val="single" w:sz="8" w:space="0" w:color="FFFFFF"/>
            </w:tcBorders>
            <w:shd w:val="clear" w:color="000000" w:fill="00457D"/>
            <w:noWrap/>
            <w:vAlign w:val="center"/>
            <w:hideMark/>
          </w:tcPr>
          <w:p w14:paraId="0EDF886F" w14:textId="77777777" w:rsidR="00C7306D" w:rsidRPr="00941E2E" w:rsidRDefault="00C7306D" w:rsidP="00DA54E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</w:pPr>
            <w:r w:rsidRPr="00941E2E"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  <w:t>2025</w:t>
            </w:r>
          </w:p>
        </w:tc>
        <w:tc>
          <w:tcPr>
            <w:tcW w:w="491" w:type="pct"/>
            <w:tcBorders>
              <w:top w:val="single" w:sz="8" w:space="0" w:color="00457D"/>
              <w:left w:val="nil"/>
              <w:bottom w:val="single" w:sz="8" w:space="0" w:color="00457D"/>
              <w:right w:val="single" w:sz="8" w:space="0" w:color="FFFFFF"/>
            </w:tcBorders>
            <w:shd w:val="clear" w:color="000000" w:fill="00457D"/>
            <w:noWrap/>
            <w:vAlign w:val="center"/>
            <w:hideMark/>
          </w:tcPr>
          <w:p w14:paraId="3081BD34" w14:textId="77777777" w:rsidR="00C7306D" w:rsidRPr="00941E2E" w:rsidRDefault="00C7306D" w:rsidP="00DA54E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</w:pPr>
            <w:r w:rsidRPr="00941E2E"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  <w:t>2026</w:t>
            </w:r>
          </w:p>
        </w:tc>
        <w:tc>
          <w:tcPr>
            <w:tcW w:w="492" w:type="pct"/>
            <w:tcBorders>
              <w:top w:val="single" w:sz="8" w:space="0" w:color="00457D"/>
              <w:left w:val="nil"/>
              <w:bottom w:val="single" w:sz="8" w:space="0" w:color="00457D"/>
              <w:right w:val="single" w:sz="8" w:space="0" w:color="FFFFFF"/>
            </w:tcBorders>
            <w:shd w:val="clear" w:color="000000" w:fill="00457D"/>
            <w:noWrap/>
            <w:vAlign w:val="center"/>
            <w:hideMark/>
          </w:tcPr>
          <w:p w14:paraId="7C443FAD" w14:textId="77777777" w:rsidR="00C7306D" w:rsidRPr="00941E2E" w:rsidRDefault="00C7306D" w:rsidP="00DA54E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</w:pPr>
            <w:r w:rsidRPr="00941E2E"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  <w:t>2027</w:t>
            </w:r>
          </w:p>
        </w:tc>
        <w:tc>
          <w:tcPr>
            <w:tcW w:w="491" w:type="pct"/>
            <w:tcBorders>
              <w:top w:val="single" w:sz="8" w:space="0" w:color="00457D"/>
              <w:left w:val="nil"/>
              <w:bottom w:val="single" w:sz="8" w:space="0" w:color="00457D"/>
              <w:right w:val="single" w:sz="8" w:space="0" w:color="FFFFFF"/>
            </w:tcBorders>
            <w:shd w:val="clear" w:color="000000" w:fill="00457D"/>
            <w:noWrap/>
            <w:vAlign w:val="center"/>
            <w:hideMark/>
          </w:tcPr>
          <w:p w14:paraId="614BD8DA" w14:textId="77777777" w:rsidR="00C7306D" w:rsidRPr="00941E2E" w:rsidRDefault="00C7306D" w:rsidP="00DA54E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</w:pPr>
            <w:r w:rsidRPr="00941E2E"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  <w:t>2028</w:t>
            </w:r>
          </w:p>
        </w:tc>
        <w:tc>
          <w:tcPr>
            <w:tcW w:w="492" w:type="pct"/>
            <w:tcBorders>
              <w:top w:val="single" w:sz="8" w:space="0" w:color="00457D"/>
              <w:left w:val="nil"/>
              <w:bottom w:val="single" w:sz="8" w:space="0" w:color="00457D"/>
              <w:right w:val="single" w:sz="8" w:space="0" w:color="FFFFFF"/>
            </w:tcBorders>
            <w:shd w:val="clear" w:color="000000" w:fill="00457D"/>
            <w:noWrap/>
            <w:vAlign w:val="center"/>
            <w:hideMark/>
          </w:tcPr>
          <w:p w14:paraId="35CB1550" w14:textId="77777777" w:rsidR="00C7306D" w:rsidRPr="00941E2E" w:rsidRDefault="00C7306D" w:rsidP="00DA54E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</w:pPr>
            <w:r w:rsidRPr="00941E2E"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  <w:t>2029</w:t>
            </w:r>
          </w:p>
        </w:tc>
        <w:tc>
          <w:tcPr>
            <w:tcW w:w="494" w:type="pct"/>
            <w:tcBorders>
              <w:top w:val="single" w:sz="8" w:space="0" w:color="00457D"/>
              <w:left w:val="nil"/>
              <w:bottom w:val="single" w:sz="8" w:space="0" w:color="00457D"/>
              <w:right w:val="single" w:sz="8" w:space="0" w:color="00457D"/>
            </w:tcBorders>
            <w:shd w:val="clear" w:color="000000" w:fill="00457D"/>
            <w:noWrap/>
            <w:vAlign w:val="center"/>
            <w:hideMark/>
          </w:tcPr>
          <w:p w14:paraId="4AFD6A0A" w14:textId="77777777" w:rsidR="00C7306D" w:rsidRPr="00941E2E" w:rsidRDefault="00C7306D" w:rsidP="00DA54E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</w:pPr>
            <w:r w:rsidRPr="00941E2E"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  <w:t>2030</w:t>
            </w:r>
          </w:p>
        </w:tc>
      </w:tr>
      <w:tr w:rsidR="003D58EA" w:rsidRPr="00941E2E" w14:paraId="7791C3D3" w14:textId="77777777" w:rsidTr="00DA54E1">
        <w:trPr>
          <w:trHeight w:val="293"/>
        </w:trPr>
        <w:tc>
          <w:tcPr>
            <w:tcW w:w="1557" w:type="pct"/>
            <w:tcBorders>
              <w:top w:val="nil"/>
              <w:left w:val="single" w:sz="8" w:space="0" w:color="00457D"/>
              <w:bottom w:val="single" w:sz="8" w:space="0" w:color="00457D"/>
              <w:right w:val="single" w:sz="8" w:space="0" w:color="00457D"/>
            </w:tcBorders>
            <w:shd w:val="clear" w:color="auto" w:fill="auto"/>
            <w:noWrap/>
            <w:vAlign w:val="center"/>
            <w:hideMark/>
          </w:tcPr>
          <w:p w14:paraId="1FD3B679" w14:textId="77777777" w:rsidR="00C7306D" w:rsidRDefault="00C7306D" w:rsidP="00DA54E1">
            <w:pPr>
              <w:spacing w:after="0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1E2E">
              <w:rPr>
                <w:rFonts w:ascii="Calibri" w:eastAsia="Times New Roman" w:hAnsi="Calibri" w:cs="Calibri"/>
                <w:color w:val="000000"/>
                <w:lang w:eastAsia="it-IT"/>
              </w:rPr>
              <w:t>Legge di Bilancio 2024</w:t>
            </w:r>
          </w:p>
          <w:p w14:paraId="180C159A" w14:textId="77777777" w:rsidR="00C7306D" w:rsidRPr="00941E2E" w:rsidRDefault="00C7306D" w:rsidP="00DA54E1">
            <w:pPr>
              <w:spacing w:after="0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(post </w:t>
            </w:r>
            <w:r w:rsidRPr="00941E2E">
              <w:rPr>
                <w:rFonts w:ascii="Calibri" w:eastAsia="Times New Roman" w:hAnsi="Calibri" w:cs="Calibri"/>
                <w:color w:val="000000"/>
                <w:lang w:eastAsia="it-IT"/>
              </w:rPr>
              <w:t>DL 73/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  <w:r w:rsidRPr="00941E2E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)*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shd w:val="clear" w:color="auto" w:fill="auto"/>
            <w:noWrap/>
            <w:vAlign w:val="center"/>
            <w:hideMark/>
          </w:tcPr>
          <w:p w14:paraId="22A58007" w14:textId="77777777" w:rsidR="00C7306D" w:rsidRPr="00941E2E" w:rsidRDefault="00C7306D" w:rsidP="00DA54E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1E2E">
              <w:rPr>
                <w:rFonts w:ascii="Calibri" w:eastAsia="Times New Roman" w:hAnsi="Calibri" w:cs="Calibri"/>
                <w:color w:val="000000"/>
                <w:lang w:eastAsia="it-IT"/>
              </w:rPr>
              <w:t>134.013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shd w:val="clear" w:color="auto" w:fill="auto"/>
            <w:noWrap/>
            <w:vAlign w:val="center"/>
            <w:hideMark/>
          </w:tcPr>
          <w:p w14:paraId="422D402B" w14:textId="77777777" w:rsidR="00C7306D" w:rsidRPr="00941E2E" w:rsidRDefault="00C7306D" w:rsidP="00DA54E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1E2E">
              <w:rPr>
                <w:rFonts w:ascii="Calibri" w:eastAsia="Times New Roman" w:hAnsi="Calibri" w:cs="Calibri"/>
                <w:color w:val="000000"/>
                <w:lang w:eastAsia="it-IT"/>
              </w:rPr>
              <w:t>135.231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shd w:val="clear" w:color="auto" w:fill="auto"/>
            <w:noWrap/>
            <w:vAlign w:val="center"/>
            <w:hideMark/>
          </w:tcPr>
          <w:p w14:paraId="5D03913A" w14:textId="77777777" w:rsidR="00C7306D" w:rsidRPr="00941E2E" w:rsidRDefault="00C7306D" w:rsidP="00DA54E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1E2E">
              <w:rPr>
                <w:rFonts w:ascii="Calibri" w:eastAsia="Times New Roman" w:hAnsi="Calibri" w:cs="Calibri"/>
                <w:color w:val="000000"/>
                <w:lang w:eastAsia="it-IT"/>
              </w:rPr>
              <w:t>135.517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shd w:val="clear" w:color="auto" w:fill="auto"/>
            <w:noWrap/>
            <w:vAlign w:val="center"/>
            <w:hideMark/>
          </w:tcPr>
          <w:p w14:paraId="6CE75594" w14:textId="77777777" w:rsidR="00C7306D" w:rsidRPr="00941E2E" w:rsidRDefault="00C7306D" w:rsidP="00DA54E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shd w:val="clear" w:color="auto" w:fill="auto"/>
            <w:noWrap/>
            <w:vAlign w:val="center"/>
            <w:hideMark/>
          </w:tcPr>
          <w:p w14:paraId="01CB041C" w14:textId="77777777" w:rsidR="00C7306D" w:rsidRPr="00941E2E" w:rsidRDefault="00C7306D" w:rsidP="00DA54E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shd w:val="clear" w:color="auto" w:fill="auto"/>
            <w:noWrap/>
            <w:vAlign w:val="center"/>
            <w:hideMark/>
          </w:tcPr>
          <w:p w14:paraId="646944AA" w14:textId="77777777" w:rsidR="00C7306D" w:rsidRPr="00941E2E" w:rsidRDefault="00C7306D" w:rsidP="00DA54E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shd w:val="clear" w:color="auto" w:fill="auto"/>
            <w:noWrap/>
            <w:vAlign w:val="center"/>
            <w:hideMark/>
          </w:tcPr>
          <w:p w14:paraId="357C2B31" w14:textId="77777777" w:rsidR="00C7306D" w:rsidRPr="00941E2E" w:rsidRDefault="00C7306D" w:rsidP="00DA54E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</w:tr>
      <w:tr w:rsidR="003D58EA" w:rsidRPr="00941E2E" w14:paraId="56EDFBD9" w14:textId="77777777" w:rsidTr="00DA54E1">
        <w:trPr>
          <w:trHeight w:val="293"/>
        </w:trPr>
        <w:tc>
          <w:tcPr>
            <w:tcW w:w="1557" w:type="pct"/>
            <w:tcBorders>
              <w:top w:val="nil"/>
              <w:left w:val="single" w:sz="8" w:space="0" w:color="00457D"/>
              <w:bottom w:val="single" w:sz="8" w:space="0" w:color="00457D"/>
              <w:right w:val="single" w:sz="8" w:space="0" w:color="00457D"/>
            </w:tcBorders>
            <w:shd w:val="clear" w:color="auto" w:fill="auto"/>
            <w:noWrap/>
            <w:vAlign w:val="center"/>
            <w:hideMark/>
          </w:tcPr>
          <w:p w14:paraId="2E126B5E" w14:textId="77777777" w:rsidR="00C7306D" w:rsidRDefault="00C7306D" w:rsidP="00DA54E1">
            <w:pPr>
              <w:spacing w:after="0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1E2E">
              <w:rPr>
                <w:rFonts w:ascii="Calibri" w:eastAsia="Times New Roman" w:hAnsi="Calibri" w:cs="Calibri"/>
                <w:color w:val="000000"/>
                <w:lang w:eastAsia="it-IT"/>
              </w:rPr>
              <w:t>Legge di Bilancio 2025</w:t>
            </w:r>
          </w:p>
          <w:p w14:paraId="13ADB66A" w14:textId="77777777" w:rsidR="00C7306D" w:rsidRPr="00941E2E" w:rsidRDefault="00C7306D" w:rsidP="00DA54E1">
            <w:pPr>
              <w:spacing w:after="0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(post DL 73/24)*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shd w:val="clear" w:color="auto" w:fill="auto"/>
            <w:noWrap/>
            <w:vAlign w:val="center"/>
            <w:hideMark/>
          </w:tcPr>
          <w:p w14:paraId="0A3BBC01" w14:textId="77777777" w:rsidR="00C7306D" w:rsidRPr="00941E2E" w:rsidRDefault="00C7306D" w:rsidP="00DA54E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shd w:val="clear" w:color="auto" w:fill="auto"/>
            <w:noWrap/>
            <w:vAlign w:val="center"/>
            <w:hideMark/>
          </w:tcPr>
          <w:p w14:paraId="30A82E62" w14:textId="77777777" w:rsidR="00C7306D" w:rsidRPr="00941E2E" w:rsidRDefault="00C7306D" w:rsidP="00DA54E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1E2E">
              <w:rPr>
                <w:rFonts w:ascii="Calibri" w:eastAsia="Times New Roman" w:hAnsi="Calibri" w:cs="Calibri"/>
                <w:color w:val="000000"/>
                <w:lang w:eastAsia="it-IT"/>
              </w:rPr>
              <w:t>136.533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shd w:val="clear" w:color="auto" w:fill="auto"/>
            <w:noWrap/>
            <w:vAlign w:val="center"/>
            <w:hideMark/>
          </w:tcPr>
          <w:p w14:paraId="3F082C09" w14:textId="77777777" w:rsidR="00C7306D" w:rsidRPr="00941E2E" w:rsidRDefault="00C7306D" w:rsidP="00DA54E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1E2E">
              <w:rPr>
                <w:rFonts w:ascii="Calibri" w:eastAsia="Times New Roman" w:hAnsi="Calibri" w:cs="Calibri"/>
                <w:color w:val="000000"/>
                <w:lang w:eastAsia="it-IT"/>
              </w:rPr>
              <w:t>140.595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shd w:val="clear" w:color="auto" w:fill="auto"/>
            <w:noWrap/>
            <w:vAlign w:val="center"/>
            <w:hideMark/>
          </w:tcPr>
          <w:p w14:paraId="378E2538" w14:textId="77777777" w:rsidR="00C7306D" w:rsidRPr="00941E2E" w:rsidRDefault="00C7306D" w:rsidP="00DA54E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1E2E">
              <w:rPr>
                <w:rFonts w:ascii="Calibri" w:eastAsia="Times New Roman" w:hAnsi="Calibri" w:cs="Calibri"/>
                <w:color w:val="000000"/>
                <w:lang w:eastAsia="it-IT"/>
              </w:rPr>
              <w:t>141.131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shd w:val="clear" w:color="auto" w:fill="auto"/>
            <w:noWrap/>
            <w:vAlign w:val="center"/>
            <w:hideMark/>
          </w:tcPr>
          <w:p w14:paraId="6336A7EA" w14:textId="77777777" w:rsidR="00C7306D" w:rsidRPr="00941E2E" w:rsidRDefault="00C7306D" w:rsidP="00DA54E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1E2E">
              <w:rPr>
                <w:rFonts w:ascii="Calibri" w:eastAsia="Times New Roman" w:hAnsi="Calibri" w:cs="Calibri"/>
                <w:color w:val="000000"/>
                <w:lang w:eastAsia="it-IT"/>
              </w:rPr>
              <w:t>142.014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shd w:val="clear" w:color="auto" w:fill="auto"/>
            <w:noWrap/>
            <w:vAlign w:val="center"/>
            <w:hideMark/>
          </w:tcPr>
          <w:p w14:paraId="42D49C4A" w14:textId="77777777" w:rsidR="00C7306D" w:rsidRPr="00941E2E" w:rsidRDefault="00C7306D" w:rsidP="00DA54E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1E2E">
              <w:rPr>
                <w:rFonts w:ascii="Calibri" w:eastAsia="Times New Roman" w:hAnsi="Calibri" w:cs="Calibri"/>
                <w:color w:val="000000"/>
                <w:lang w:eastAsia="it-IT"/>
              </w:rPr>
              <w:t>143.076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shd w:val="clear" w:color="auto" w:fill="auto"/>
            <w:noWrap/>
            <w:vAlign w:val="center"/>
            <w:hideMark/>
          </w:tcPr>
          <w:p w14:paraId="717CAC61" w14:textId="77777777" w:rsidR="00C7306D" w:rsidRPr="00941E2E" w:rsidRDefault="00C7306D" w:rsidP="00DA54E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1E2E">
              <w:rPr>
                <w:rFonts w:ascii="Calibri" w:eastAsia="Times New Roman" w:hAnsi="Calibri" w:cs="Calibri"/>
                <w:color w:val="000000"/>
                <w:lang w:eastAsia="it-IT"/>
              </w:rPr>
              <w:t>144.249</w:t>
            </w:r>
          </w:p>
        </w:tc>
      </w:tr>
      <w:tr w:rsidR="000B6DD0" w:rsidRPr="00941E2E" w14:paraId="6F5EA230" w14:textId="77777777" w:rsidTr="006C12F6">
        <w:trPr>
          <w:trHeight w:val="293"/>
        </w:trPr>
        <w:tc>
          <w:tcPr>
            <w:tcW w:w="1557" w:type="pct"/>
            <w:vMerge w:val="restart"/>
            <w:tcBorders>
              <w:top w:val="nil"/>
              <w:left w:val="single" w:sz="8" w:space="0" w:color="00457D"/>
              <w:right w:val="single" w:sz="8" w:space="0" w:color="00457D"/>
            </w:tcBorders>
            <w:shd w:val="clear" w:color="auto" w:fill="auto"/>
            <w:noWrap/>
            <w:vAlign w:val="center"/>
          </w:tcPr>
          <w:p w14:paraId="6F0FA42E" w14:textId="69945E6C" w:rsidR="000B6DD0" w:rsidRPr="00941E2E" w:rsidRDefault="000B6DD0" w:rsidP="00DA54E1">
            <w:pPr>
              <w:spacing w:after="0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Incremento</w:t>
            </w:r>
            <w:r w:rsidRPr="00941E2E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vs anno precedente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shd w:val="clear" w:color="auto" w:fill="auto"/>
            <w:noWrap/>
            <w:vAlign w:val="center"/>
          </w:tcPr>
          <w:p w14:paraId="461A67C1" w14:textId="2900B6D8" w:rsidR="000B6DD0" w:rsidRDefault="000B6DD0" w:rsidP="00DA54E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shd w:val="clear" w:color="auto" w:fill="auto"/>
            <w:noWrap/>
            <w:vAlign w:val="center"/>
          </w:tcPr>
          <w:p w14:paraId="7E0B3871" w14:textId="10AAE223" w:rsidR="000B6DD0" w:rsidRPr="000B6DD0" w:rsidRDefault="000B6DD0" w:rsidP="00DA54E1">
            <w:pPr>
              <w:spacing w:after="0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0B6DD0">
              <w:rPr>
                <w:rFonts w:ascii="Calibri" w:eastAsia="Times New Roman" w:hAnsi="Calibri" w:cs="Calibri"/>
                <w:lang w:eastAsia="it-IT"/>
              </w:rPr>
              <w:t>1.302</w:t>
            </w:r>
            <w:r w:rsidRPr="000B6DD0">
              <w:rPr>
                <w:rFonts w:ascii="Calibri" w:eastAsia="Times New Roman" w:hAnsi="Calibri" w:cs="Calibri"/>
                <w:vertAlign w:val="superscript"/>
                <w:lang w:eastAsia="it-IT"/>
              </w:rPr>
              <w:t>§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shd w:val="clear" w:color="auto" w:fill="auto"/>
            <w:noWrap/>
            <w:vAlign w:val="center"/>
          </w:tcPr>
          <w:p w14:paraId="0F814562" w14:textId="2EF19258" w:rsidR="000B6DD0" w:rsidRPr="00941E2E" w:rsidRDefault="000B6DD0" w:rsidP="00DA54E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1E2E">
              <w:rPr>
                <w:rFonts w:ascii="Calibri" w:eastAsia="Times New Roman" w:hAnsi="Calibri" w:cs="Calibri"/>
                <w:color w:val="000000"/>
                <w:lang w:eastAsia="it-IT"/>
              </w:rPr>
              <w:t>4.062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shd w:val="clear" w:color="auto" w:fill="auto"/>
            <w:noWrap/>
            <w:vAlign w:val="center"/>
          </w:tcPr>
          <w:p w14:paraId="6D4F7DAA" w14:textId="04880114" w:rsidR="000B6DD0" w:rsidRPr="00941E2E" w:rsidRDefault="000B6DD0" w:rsidP="00DA54E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1E2E">
              <w:rPr>
                <w:rFonts w:ascii="Calibri" w:eastAsia="Times New Roman" w:hAnsi="Calibri" w:cs="Calibri"/>
                <w:color w:val="000000"/>
                <w:lang w:eastAsia="it-IT"/>
              </w:rPr>
              <w:t>536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shd w:val="clear" w:color="auto" w:fill="auto"/>
            <w:noWrap/>
            <w:vAlign w:val="center"/>
          </w:tcPr>
          <w:p w14:paraId="1D94E463" w14:textId="709E1E33" w:rsidR="000B6DD0" w:rsidRPr="00941E2E" w:rsidRDefault="000B6DD0" w:rsidP="00DA54E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1E2E">
              <w:rPr>
                <w:rFonts w:ascii="Calibri" w:eastAsia="Times New Roman" w:hAnsi="Calibri" w:cs="Calibri"/>
                <w:color w:val="000000"/>
                <w:lang w:eastAsia="it-IT"/>
              </w:rPr>
              <w:t>883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shd w:val="clear" w:color="auto" w:fill="auto"/>
            <w:noWrap/>
            <w:vAlign w:val="center"/>
          </w:tcPr>
          <w:p w14:paraId="740A66BB" w14:textId="7CF984BB" w:rsidR="000B6DD0" w:rsidRPr="00941E2E" w:rsidRDefault="000B6DD0" w:rsidP="00DA54E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1E2E">
              <w:rPr>
                <w:rFonts w:ascii="Calibri" w:eastAsia="Times New Roman" w:hAnsi="Calibri" w:cs="Calibri"/>
                <w:color w:val="000000"/>
                <w:lang w:eastAsia="it-IT"/>
              </w:rPr>
              <w:t>1.062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shd w:val="clear" w:color="auto" w:fill="auto"/>
            <w:noWrap/>
            <w:vAlign w:val="center"/>
          </w:tcPr>
          <w:p w14:paraId="4E13F9B0" w14:textId="0B660408" w:rsidR="000B6DD0" w:rsidRPr="00941E2E" w:rsidRDefault="000B6DD0" w:rsidP="00DA54E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1E2E">
              <w:rPr>
                <w:rFonts w:ascii="Calibri" w:eastAsia="Times New Roman" w:hAnsi="Calibri" w:cs="Calibri"/>
                <w:color w:val="000000"/>
                <w:lang w:eastAsia="it-IT"/>
              </w:rPr>
              <w:t>1.173</w:t>
            </w:r>
          </w:p>
        </w:tc>
      </w:tr>
      <w:tr w:rsidR="000B6DD0" w:rsidRPr="00941E2E" w14:paraId="74115B1C" w14:textId="77777777" w:rsidTr="006C12F6">
        <w:trPr>
          <w:trHeight w:val="293"/>
        </w:trPr>
        <w:tc>
          <w:tcPr>
            <w:tcW w:w="1557" w:type="pct"/>
            <w:vMerge/>
            <w:tcBorders>
              <w:left w:val="single" w:sz="8" w:space="0" w:color="00457D"/>
              <w:bottom w:val="single" w:sz="8" w:space="0" w:color="00457D"/>
              <w:right w:val="single" w:sz="8" w:space="0" w:color="00457D"/>
            </w:tcBorders>
            <w:shd w:val="clear" w:color="auto" w:fill="auto"/>
            <w:noWrap/>
            <w:vAlign w:val="center"/>
          </w:tcPr>
          <w:p w14:paraId="3BCDFDD2" w14:textId="77777777" w:rsidR="000B6DD0" w:rsidRPr="00941E2E" w:rsidRDefault="000B6DD0" w:rsidP="00DA54E1">
            <w:pPr>
              <w:spacing w:after="0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shd w:val="clear" w:color="auto" w:fill="auto"/>
            <w:noWrap/>
            <w:vAlign w:val="center"/>
          </w:tcPr>
          <w:p w14:paraId="688F4205" w14:textId="63B55164" w:rsidR="000B6DD0" w:rsidRDefault="000B6DD0" w:rsidP="00DA54E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shd w:val="clear" w:color="auto" w:fill="auto"/>
            <w:noWrap/>
            <w:vAlign w:val="center"/>
          </w:tcPr>
          <w:p w14:paraId="5AE4A6C3" w14:textId="62E36CE9" w:rsidR="000B6DD0" w:rsidRPr="000B6DD0" w:rsidRDefault="000B6DD0" w:rsidP="00DA54E1">
            <w:pPr>
              <w:spacing w:after="0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0B6DD0">
              <w:rPr>
                <w:rFonts w:ascii="Calibri" w:eastAsia="Times New Roman" w:hAnsi="Calibri" w:cs="Calibri"/>
                <w:lang w:eastAsia="it-IT"/>
              </w:rPr>
              <w:t>1%</w:t>
            </w:r>
            <w:r w:rsidRPr="000B6DD0">
              <w:rPr>
                <w:rFonts w:ascii="Calibri" w:eastAsia="Times New Roman" w:hAnsi="Calibri" w:cs="Calibri"/>
                <w:vertAlign w:val="superscript"/>
                <w:lang w:eastAsia="it-IT"/>
              </w:rPr>
              <w:t>§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shd w:val="clear" w:color="auto" w:fill="auto"/>
            <w:noWrap/>
            <w:vAlign w:val="center"/>
          </w:tcPr>
          <w:p w14:paraId="10DE64BA" w14:textId="2B0F3AF1" w:rsidR="000B6DD0" w:rsidRPr="00941E2E" w:rsidRDefault="000B6DD0" w:rsidP="00DA54E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1E2E">
              <w:rPr>
                <w:rFonts w:ascii="Calibri" w:eastAsia="Times New Roman" w:hAnsi="Calibri" w:cs="Calibri"/>
                <w:color w:val="000000"/>
                <w:lang w:eastAsia="it-IT"/>
              </w:rPr>
              <w:t>3,0%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shd w:val="clear" w:color="auto" w:fill="auto"/>
            <w:noWrap/>
            <w:vAlign w:val="center"/>
          </w:tcPr>
          <w:p w14:paraId="3ECAFDE6" w14:textId="0254F730" w:rsidR="000B6DD0" w:rsidRPr="00941E2E" w:rsidRDefault="000B6DD0" w:rsidP="00DA54E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1E2E">
              <w:rPr>
                <w:rFonts w:ascii="Calibri" w:eastAsia="Times New Roman" w:hAnsi="Calibri" w:cs="Calibri"/>
                <w:color w:val="000000"/>
                <w:lang w:eastAsia="it-IT"/>
              </w:rPr>
              <w:t>0,4%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shd w:val="clear" w:color="auto" w:fill="auto"/>
            <w:noWrap/>
            <w:vAlign w:val="center"/>
          </w:tcPr>
          <w:p w14:paraId="0C7B4197" w14:textId="109B926E" w:rsidR="000B6DD0" w:rsidRPr="00941E2E" w:rsidRDefault="000B6DD0" w:rsidP="00DA54E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1E2E">
              <w:rPr>
                <w:rFonts w:ascii="Calibri" w:eastAsia="Times New Roman" w:hAnsi="Calibri" w:cs="Calibri"/>
                <w:color w:val="000000"/>
                <w:lang w:eastAsia="it-IT"/>
              </w:rPr>
              <w:t>0,6%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shd w:val="clear" w:color="auto" w:fill="auto"/>
            <w:noWrap/>
            <w:vAlign w:val="center"/>
          </w:tcPr>
          <w:p w14:paraId="6F8FF9F2" w14:textId="3B4D3CF6" w:rsidR="000B6DD0" w:rsidRPr="00941E2E" w:rsidRDefault="000B6DD0" w:rsidP="00DA54E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1E2E">
              <w:rPr>
                <w:rFonts w:ascii="Calibri" w:eastAsia="Times New Roman" w:hAnsi="Calibri" w:cs="Calibri"/>
                <w:color w:val="000000"/>
                <w:lang w:eastAsia="it-IT"/>
              </w:rPr>
              <w:t>0,7%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shd w:val="clear" w:color="auto" w:fill="auto"/>
            <w:noWrap/>
            <w:vAlign w:val="center"/>
          </w:tcPr>
          <w:p w14:paraId="0174ACAF" w14:textId="1D288049" w:rsidR="000B6DD0" w:rsidRPr="00941E2E" w:rsidRDefault="000B6DD0" w:rsidP="00DA54E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1E2E">
              <w:rPr>
                <w:rFonts w:ascii="Calibri" w:eastAsia="Times New Roman" w:hAnsi="Calibri" w:cs="Calibri"/>
                <w:color w:val="000000"/>
                <w:lang w:eastAsia="it-IT"/>
              </w:rPr>
              <w:t>0,8%</w:t>
            </w:r>
          </w:p>
        </w:tc>
      </w:tr>
      <w:tr w:rsidR="00DA54E1" w:rsidRPr="00941E2E" w14:paraId="5D0DEF0F" w14:textId="77777777" w:rsidTr="00DA54E1">
        <w:trPr>
          <w:trHeight w:val="869"/>
        </w:trPr>
        <w:tc>
          <w:tcPr>
            <w:tcW w:w="5000" w:type="pct"/>
            <w:gridSpan w:val="8"/>
            <w:tcBorders>
              <w:top w:val="single" w:sz="4" w:space="0" w:color="00457D"/>
              <w:left w:val="single" w:sz="8" w:space="0" w:color="00457D"/>
              <w:bottom w:val="single" w:sz="8" w:space="0" w:color="00457D"/>
              <w:right w:val="single" w:sz="8" w:space="0" w:color="00457D"/>
            </w:tcBorders>
            <w:shd w:val="clear" w:color="auto" w:fill="auto"/>
            <w:noWrap/>
            <w:vAlign w:val="center"/>
          </w:tcPr>
          <w:p w14:paraId="33F40EAA" w14:textId="77777777" w:rsidR="00DA54E1" w:rsidRDefault="00DA54E1" w:rsidP="00DA54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Dati in milioni di euro</w:t>
            </w:r>
            <w:r>
              <w:rPr>
                <w:sz w:val="20"/>
                <w:szCs w:val="20"/>
              </w:rPr>
              <w:br/>
              <w:t>*</w:t>
            </w:r>
            <w:r w:rsidRPr="00941E2E">
              <w:rPr>
                <w:sz w:val="20"/>
                <w:szCs w:val="20"/>
              </w:rPr>
              <w:t xml:space="preserve"> Il DL 73/2024 (liste di attesa)</w:t>
            </w:r>
            <w:r w:rsidR="000B6DD0">
              <w:rPr>
                <w:sz w:val="20"/>
                <w:szCs w:val="20"/>
              </w:rPr>
              <w:t xml:space="preserve">, per </w:t>
            </w:r>
            <w:r w:rsidR="000B6DD0" w:rsidRPr="00941E2E">
              <w:rPr>
                <w:sz w:val="20"/>
                <w:szCs w:val="20"/>
              </w:rPr>
              <w:t>finanziare la flat tax al 15% per le prestazioni aggiuntive</w:t>
            </w:r>
            <w:r w:rsidR="000B6DD0">
              <w:rPr>
                <w:sz w:val="20"/>
                <w:szCs w:val="20"/>
              </w:rPr>
              <w:t>,</w:t>
            </w:r>
            <w:r w:rsidR="000B6DD0" w:rsidRPr="00941E2E">
              <w:rPr>
                <w:sz w:val="20"/>
                <w:szCs w:val="20"/>
              </w:rPr>
              <w:t xml:space="preserve"> </w:t>
            </w:r>
            <w:r w:rsidRPr="00941E2E">
              <w:rPr>
                <w:sz w:val="20"/>
                <w:szCs w:val="20"/>
              </w:rPr>
              <w:t>ha posto a valere sul FSN € 160 milioni per l’anno 202</w:t>
            </w:r>
            <w:r>
              <w:rPr>
                <w:sz w:val="20"/>
                <w:szCs w:val="20"/>
              </w:rPr>
              <w:t>5</w:t>
            </w:r>
            <w:r w:rsidRPr="00941E2E">
              <w:rPr>
                <w:sz w:val="20"/>
                <w:szCs w:val="20"/>
              </w:rPr>
              <w:t xml:space="preserve"> e € 166 milioni a decorrere dal 202</w:t>
            </w:r>
            <w:r>
              <w:rPr>
                <w:sz w:val="20"/>
                <w:szCs w:val="20"/>
              </w:rPr>
              <w:t>6</w:t>
            </w:r>
            <w:r w:rsidR="000B6DD0">
              <w:rPr>
                <w:sz w:val="20"/>
                <w:szCs w:val="20"/>
              </w:rPr>
              <w:t>.</w:t>
            </w:r>
          </w:p>
          <w:p w14:paraId="24F4C3F2" w14:textId="7C4D5937" w:rsidR="000B6DD0" w:rsidRPr="000B6DD0" w:rsidRDefault="000B6DD0" w:rsidP="00DA54E1">
            <w:pPr>
              <w:rPr>
                <w:sz w:val="20"/>
                <w:szCs w:val="20"/>
              </w:rPr>
            </w:pPr>
            <w:r w:rsidRPr="000B6DD0">
              <w:rPr>
                <w:sz w:val="20"/>
                <w:szCs w:val="20"/>
                <w:vertAlign w:val="superscript"/>
              </w:rPr>
              <w:t>§</w:t>
            </w:r>
            <w:r>
              <w:rPr>
                <w:sz w:val="20"/>
                <w:szCs w:val="20"/>
              </w:rPr>
              <w:t>L’incremento di € 1.302 milioni assegnato dalla Legge di Bilancio 2025 va a sommarsi ai € 1.218 milioni stanziati dalla Manovra 2024 (+0,9%)</w:t>
            </w:r>
          </w:p>
        </w:tc>
      </w:tr>
    </w:tbl>
    <w:p w14:paraId="26DCF4F4" w14:textId="77777777" w:rsidR="00C7306D" w:rsidRDefault="00C7306D" w:rsidP="00C7306D">
      <w:pPr>
        <w:spacing w:after="0"/>
        <w:jc w:val="center"/>
        <w:rPr>
          <w:rFonts w:eastAsia="Calibri" w:cstheme="minorHAnsi"/>
          <w:b/>
          <w:bCs/>
          <w:color w:val="00457D"/>
        </w:rPr>
        <w:sectPr w:rsidR="00C7306D" w:rsidSect="005D780C">
          <w:head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9F4C0CD" w14:textId="70F77FD8" w:rsidR="0039730F" w:rsidRPr="004813BB" w:rsidRDefault="00741006" w:rsidP="0039730F">
      <w:pPr>
        <w:spacing w:after="0"/>
        <w:jc w:val="center"/>
        <w:rPr>
          <w:rFonts w:eastAsia="Calibri" w:cstheme="minorHAnsi"/>
          <w:b/>
          <w:bCs/>
          <w:color w:val="00457D"/>
          <w:sz w:val="28"/>
          <w:szCs w:val="28"/>
        </w:rPr>
      </w:pPr>
      <w:r w:rsidRPr="004813BB">
        <w:rPr>
          <w:rFonts w:eastAsia="Calibri" w:cstheme="minorHAnsi"/>
          <w:b/>
          <w:bCs/>
          <w:color w:val="00457D"/>
          <w:sz w:val="28"/>
          <w:szCs w:val="28"/>
        </w:rPr>
        <w:lastRenderedPageBreak/>
        <w:t xml:space="preserve">Tabella 2. </w:t>
      </w:r>
      <w:r w:rsidR="0039730F" w:rsidRPr="004813BB">
        <w:rPr>
          <w:rFonts w:eastAsia="Calibri" w:cstheme="minorHAnsi"/>
          <w:b/>
          <w:bCs/>
          <w:color w:val="00457D"/>
          <w:sz w:val="28"/>
          <w:szCs w:val="28"/>
        </w:rPr>
        <w:t>Mis</w:t>
      </w:r>
      <w:r w:rsidR="003D5F92" w:rsidRPr="004813BB">
        <w:rPr>
          <w:rFonts w:eastAsia="Calibri" w:cstheme="minorHAnsi"/>
          <w:b/>
          <w:bCs/>
          <w:color w:val="00457D"/>
          <w:sz w:val="28"/>
          <w:szCs w:val="28"/>
        </w:rPr>
        <w:t>ure per la sanità previste dal</w:t>
      </w:r>
      <w:r w:rsidR="00C7306D">
        <w:rPr>
          <w:rFonts w:eastAsia="Calibri" w:cstheme="minorHAnsi"/>
          <w:b/>
          <w:bCs/>
          <w:color w:val="00457D"/>
          <w:sz w:val="28"/>
          <w:szCs w:val="28"/>
        </w:rPr>
        <w:t>l’art. 47</w:t>
      </w:r>
      <w:r w:rsidR="003D5F92" w:rsidRPr="004813BB">
        <w:rPr>
          <w:rFonts w:eastAsia="Calibri" w:cstheme="minorHAnsi"/>
          <w:b/>
          <w:bCs/>
          <w:color w:val="00457D"/>
          <w:sz w:val="28"/>
          <w:szCs w:val="28"/>
        </w:rPr>
        <w:t xml:space="preserve"> del DdL della</w:t>
      </w:r>
      <w:r w:rsidR="0039730F" w:rsidRPr="004813BB">
        <w:rPr>
          <w:rFonts w:eastAsia="Calibri" w:cstheme="minorHAnsi"/>
          <w:b/>
          <w:bCs/>
          <w:color w:val="00457D"/>
          <w:sz w:val="28"/>
          <w:szCs w:val="28"/>
        </w:rPr>
        <w:t xml:space="preserve"> </w:t>
      </w:r>
      <w:r w:rsidR="003D5F92" w:rsidRPr="004813BB">
        <w:rPr>
          <w:rFonts w:eastAsia="Calibri" w:cstheme="minorHAnsi"/>
          <w:b/>
          <w:bCs/>
          <w:color w:val="00457D"/>
          <w:sz w:val="28"/>
          <w:szCs w:val="28"/>
        </w:rPr>
        <w:t>Manovra</w:t>
      </w:r>
      <w:r w:rsidR="0039730F" w:rsidRPr="004813BB">
        <w:rPr>
          <w:rFonts w:eastAsia="Calibri" w:cstheme="minorHAnsi"/>
          <w:b/>
          <w:bCs/>
          <w:color w:val="00457D"/>
          <w:sz w:val="28"/>
          <w:szCs w:val="28"/>
        </w:rPr>
        <w:t xml:space="preserve"> 2025</w:t>
      </w:r>
    </w:p>
    <w:tbl>
      <w:tblPr>
        <w:tblStyle w:val="Grigliatabella2"/>
        <w:tblW w:w="14454" w:type="dxa"/>
        <w:tblBorders>
          <w:top w:val="single" w:sz="4" w:space="0" w:color="00457D"/>
          <w:left w:val="single" w:sz="4" w:space="0" w:color="00457D"/>
          <w:bottom w:val="single" w:sz="4" w:space="0" w:color="00457D"/>
          <w:right w:val="single" w:sz="4" w:space="0" w:color="00457D"/>
          <w:insideH w:val="single" w:sz="4" w:space="0" w:color="00457D"/>
          <w:insideV w:val="single" w:sz="4" w:space="0" w:color="00457D"/>
        </w:tblBorders>
        <w:tblLook w:val="04A0" w:firstRow="1" w:lastRow="0" w:firstColumn="1" w:lastColumn="0" w:noHBand="0" w:noVBand="1"/>
      </w:tblPr>
      <w:tblGrid>
        <w:gridCol w:w="7755"/>
        <w:gridCol w:w="1146"/>
        <w:gridCol w:w="1146"/>
        <w:gridCol w:w="1145"/>
        <w:gridCol w:w="1009"/>
        <w:gridCol w:w="1009"/>
        <w:gridCol w:w="1244"/>
      </w:tblGrid>
      <w:tr w:rsidR="003D5F92" w:rsidRPr="0039730F" w14:paraId="0844A28D" w14:textId="61F490F4" w:rsidTr="00E426BC">
        <w:trPr>
          <w:trHeight w:val="397"/>
        </w:trPr>
        <w:tc>
          <w:tcPr>
            <w:tcW w:w="7755" w:type="dxa"/>
            <w:vMerge w:val="restart"/>
            <w:tcBorders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1D956173" w14:textId="49ADEB25" w:rsidR="003D5F92" w:rsidRPr="0039730F" w:rsidRDefault="003D5F92" w:rsidP="003D5F92">
            <w:pPr>
              <w:suppressAutoHyphens/>
              <w:rPr>
                <w:rFonts w:cstheme="minorHAnsi"/>
                <w:b/>
                <w:bCs/>
                <w:color w:val="FFFFFF" w:themeColor="background1"/>
              </w:rPr>
            </w:pPr>
            <w:r w:rsidRPr="0039730F">
              <w:rPr>
                <w:rFonts w:cstheme="minorHAnsi"/>
                <w:b/>
                <w:bCs/>
                <w:color w:val="FFFFFF" w:themeColor="background1"/>
              </w:rPr>
              <w:t xml:space="preserve">Rifinanziamento del Servizio Sanitario Nazionale </w:t>
            </w:r>
            <w:r w:rsidRPr="0039730F">
              <w:rPr>
                <w:rFonts w:cstheme="minorHAnsi"/>
                <w:b/>
                <w:color w:val="FFFFFF" w:themeColor="background1"/>
              </w:rPr>
              <w:t>(</w:t>
            </w:r>
            <w:r>
              <w:rPr>
                <w:rFonts w:cstheme="minorHAnsi"/>
                <w:b/>
                <w:color w:val="FFFFFF" w:themeColor="background1"/>
              </w:rPr>
              <w:t>art. 47</w:t>
            </w:r>
            <w:r w:rsidRPr="0039730F">
              <w:rPr>
                <w:rFonts w:cstheme="minorHAnsi"/>
                <w:b/>
                <w:color w:val="FFFFFF" w:themeColor="background1"/>
              </w:rPr>
              <w:t>)</w:t>
            </w:r>
          </w:p>
        </w:tc>
        <w:tc>
          <w:tcPr>
            <w:tcW w:w="114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06C83E9D" w14:textId="3C03B381" w:rsidR="003D5F92" w:rsidRPr="0039730F" w:rsidRDefault="003D5F92" w:rsidP="0039730F">
            <w:pPr>
              <w:suppressAutoHyphens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39730F">
              <w:rPr>
                <w:rFonts w:cstheme="minorHAnsi"/>
                <w:b/>
                <w:bCs/>
                <w:color w:val="FFFFFF" w:themeColor="background1"/>
              </w:rPr>
              <w:t>202</w:t>
            </w:r>
            <w:r>
              <w:rPr>
                <w:rFonts w:cstheme="min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114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4B16CB9A" w14:textId="200396DF" w:rsidR="003D5F92" w:rsidRPr="0039730F" w:rsidRDefault="003D5F92" w:rsidP="0039730F">
            <w:pPr>
              <w:suppressAutoHyphens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39730F">
              <w:rPr>
                <w:rFonts w:cstheme="minorHAnsi"/>
                <w:b/>
                <w:bCs/>
                <w:color w:val="FFFFFF" w:themeColor="background1"/>
              </w:rPr>
              <w:t>202</w:t>
            </w:r>
            <w:r>
              <w:rPr>
                <w:rFonts w:cstheme="min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114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448DA01F" w14:textId="20EFEFDF" w:rsidR="003D5F92" w:rsidRPr="0039730F" w:rsidRDefault="003D5F92" w:rsidP="0039730F">
            <w:pPr>
              <w:suppressAutoHyphens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39730F">
              <w:rPr>
                <w:rFonts w:cstheme="minorHAnsi"/>
                <w:b/>
                <w:bCs/>
                <w:color w:val="FFFFFF" w:themeColor="background1"/>
              </w:rPr>
              <w:t>202</w:t>
            </w:r>
            <w:r>
              <w:rPr>
                <w:rFonts w:cstheme="min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100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275031E2" w14:textId="1D1EAC8F" w:rsidR="003D5F92" w:rsidRPr="0039730F" w:rsidRDefault="003D5F92" w:rsidP="003D5F92">
            <w:pPr>
              <w:suppressAutoHyphens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39730F">
              <w:rPr>
                <w:rFonts w:cstheme="minorHAnsi"/>
                <w:b/>
                <w:bCs/>
                <w:color w:val="FFFFFF" w:themeColor="background1"/>
              </w:rPr>
              <w:t>202</w:t>
            </w:r>
            <w:r>
              <w:rPr>
                <w:rFonts w:cstheme="min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100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4FD36416" w14:textId="60123265" w:rsidR="003D5F92" w:rsidRPr="0039730F" w:rsidRDefault="003D5F92" w:rsidP="003D5F92">
            <w:pPr>
              <w:suppressAutoHyphens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39730F">
              <w:rPr>
                <w:rFonts w:cstheme="minorHAnsi"/>
                <w:b/>
                <w:bCs/>
                <w:color w:val="FFFFFF" w:themeColor="background1"/>
              </w:rPr>
              <w:t>202</w:t>
            </w:r>
            <w:r>
              <w:rPr>
                <w:rFonts w:cstheme="min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1244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457D"/>
            <w:vAlign w:val="center"/>
          </w:tcPr>
          <w:p w14:paraId="7E69CBDC" w14:textId="7D9C05EC" w:rsidR="003D5F92" w:rsidRPr="0039730F" w:rsidRDefault="003D5F92" w:rsidP="003D5F92">
            <w:pPr>
              <w:suppressAutoHyphens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39730F">
              <w:rPr>
                <w:rFonts w:cstheme="minorHAnsi"/>
                <w:b/>
                <w:bCs/>
                <w:color w:val="FFFFFF" w:themeColor="background1"/>
              </w:rPr>
              <w:t>20</w:t>
            </w:r>
            <w:r>
              <w:rPr>
                <w:rFonts w:cstheme="minorHAnsi"/>
                <w:b/>
                <w:bCs/>
                <w:color w:val="FFFFFF" w:themeColor="background1"/>
              </w:rPr>
              <w:t>30</w:t>
            </w:r>
          </w:p>
        </w:tc>
      </w:tr>
      <w:tr w:rsidR="003D5F92" w:rsidRPr="0039730F" w14:paraId="29C65DC6" w14:textId="3BBEB45A" w:rsidTr="00E426BC">
        <w:trPr>
          <w:trHeight w:val="397"/>
        </w:trPr>
        <w:tc>
          <w:tcPr>
            <w:tcW w:w="7755" w:type="dxa"/>
            <w:vMerge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4C1CB42B" w14:textId="77777777" w:rsidR="003D5F92" w:rsidRPr="0039730F" w:rsidRDefault="003D5F92" w:rsidP="0039730F">
            <w:pPr>
              <w:suppressAutoHyphens/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11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0438B143" w14:textId="6B76C605" w:rsidR="003D5F92" w:rsidRPr="0039730F" w:rsidRDefault="003D5F92" w:rsidP="003D5F92">
            <w:pPr>
              <w:suppressAutoHyphens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39730F">
              <w:rPr>
                <w:rFonts w:cstheme="minorHAnsi"/>
                <w:b/>
                <w:bCs/>
                <w:color w:val="FFFFFF" w:themeColor="background1"/>
              </w:rPr>
              <w:t xml:space="preserve">€ </w:t>
            </w:r>
            <w:r>
              <w:rPr>
                <w:rFonts w:cstheme="minorHAnsi"/>
                <w:b/>
                <w:bCs/>
                <w:color w:val="FFFFFF" w:themeColor="background1"/>
              </w:rPr>
              <w:t>1.302</w:t>
            </w:r>
          </w:p>
        </w:tc>
        <w:tc>
          <w:tcPr>
            <w:tcW w:w="11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0DF51070" w14:textId="05E2CB54" w:rsidR="003D5F92" w:rsidRPr="0039730F" w:rsidRDefault="003D5F92" w:rsidP="003D5F92">
            <w:pPr>
              <w:suppressAutoHyphens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39730F">
              <w:rPr>
                <w:rFonts w:cstheme="minorHAnsi"/>
                <w:b/>
                <w:bCs/>
                <w:color w:val="FFFFFF" w:themeColor="background1"/>
              </w:rPr>
              <w:t>€ 4.0</w:t>
            </w:r>
            <w:r>
              <w:rPr>
                <w:rFonts w:cstheme="minorHAnsi"/>
                <w:b/>
                <w:bCs/>
                <w:color w:val="FFFFFF" w:themeColor="background1"/>
              </w:rPr>
              <w:t>62</w:t>
            </w:r>
          </w:p>
        </w:tc>
        <w:tc>
          <w:tcPr>
            <w:tcW w:w="11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0D845BE7" w14:textId="5359CED4" w:rsidR="003D5F92" w:rsidRPr="0039730F" w:rsidRDefault="003D5F92" w:rsidP="003D5F92">
            <w:pPr>
              <w:suppressAutoHyphens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39730F">
              <w:rPr>
                <w:rFonts w:cstheme="minorHAnsi"/>
                <w:b/>
                <w:bCs/>
                <w:color w:val="FFFFFF" w:themeColor="background1"/>
              </w:rPr>
              <w:t xml:space="preserve">€ </w:t>
            </w:r>
            <w:r>
              <w:rPr>
                <w:rFonts w:cstheme="minorHAnsi"/>
                <w:b/>
                <w:bCs/>
                <w:color w:val="FFFFFF" w:themeColor="background1"/>
              </w:rPr>
              <w:t>536</w:t>
            </w:r>
          </w:p>
        </w:tc>
        <w:tc>
          <w:tcPr>
            <w:tcW w:w="10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06A2DAD6" w14:textId="10264DA3" w:rsidR="003D5F92" w:rsidRPr="0039730F" w:rsidRDefault="003D5F92" w:rsidP="003D5F92">
            <w:pPr>
              <w:suppressAutoHyphens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€ 883</w:t>
            </w:r>
          </w:p>
        </w:tc>
        <w:tc>
          <w:tcPr>
            <w:tcW w:w="10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32E938D3" w14:textId="62C267CC" w:rsidR="003D5F92" w:rsidRPr="0039730F" w:rsidRDefault="003D5F92" w:rsidP="003D5F92">
            <w:pPr>
              <w:suppressAutoHyphens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€ 1.062</w:t>
            </w:r>
          </w:p>
        </w:tc>
        <w:tc>
          <w:tcPr>
            <w:tcW w:w="12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shd w:val="clear" w:color="auto" w:fill="00457D"/>
            <w:vAlign w:val="center"/>
          </w:tcPr>
          <w:p w14:paraId="1E19BD3C" w14:textId="1E750C87" w:rsidR="003D5F92" w:rsidRPr="0039730F" w:rsidRDefault="003D5F92" w:rsidP="003D5F92">
            <w:pPr>
              <w:suppressAutoHyphens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€ 1.173</w:t>
            </w:r>
          </w:p>
        </w:tc>
      </w:tr>
      <w:tr w:rsidR="00E426BC" w:rsidRPr="0039730F" w14:paraId="7C7838C8" w14:textId="5C7D66C9" w:rsidTr="00E426BC">
        <w:trPr>
          <w:trHeight w:val="397"/>
        </w:trPr>
        <w:tc>
          <w:tcPr>
            <w:tcW w:w="7755" w:type="dxa"/>
            <w:tcBorders>
              <w:top w:val="single" w:sz="4" w:space="0" w:color="auto"/>
            </w:tcBorders>
            <w:vAlign w:val="center"/>
          </w:tcPr>
          <w:p w14:paraId="3A0838E4" w14:textId="37A1B567" w:rsidR="00E426BC" w:rsidRPr="0039730F" w:rsidRDefault="00E426BC" w:rsidP="00741006">
            <w:pPr>
              <w:suppressAutoHyphens/>
              <w:rPr>
                <w:rFonts w:cstheme="minorHAnsi"/>
                <w:b/>
                <w:bCs/>
                <w:color w:val="00457D"/>
              </w:rPr>
            </w:pPr>
            <w:r w:rsidRPr="00EC2337">
              <w:rPr>
                <w:rFonts w:cstheme="minorHAnsi"/>
                <w:b/>
                <w:bCs/>
                <w:color w:val="00457D"/>
              </w:rPr>
              <w:t>Disposizioni in materia di trattamento</w:t>
            </w:r>
            <w:r>
              <w:rPr>
                <w:rFonts w:cstheme="minorHAnsi"/>
                <w:b/>
                <w:bCs/>
                <w:color w:val="00457D"/>
              </w:rPr>
              <w:t xml:space="preserve"> accessorio </w:t>
            </w:r>
            <w:r w:rsidRPr="00EC2337">
              <w:rPr>
                <w:rFonts w:cstheme="minorHAnsi"/>
                <w:bCs/>
                <w:color w:val="00457D"/>
              </w:rPr>
              <w:t>(art. 18)</w:t>
            </w:r>
            <w:r>
              <w:rPr>
                <w:rFonts w:cstheme="minorHAnsi"/>
                <w:b/>
                <w:bCs/>
                <w:color w:val="00457D"/>
              </w:rPr>
              <w:t xml:space="preserve"> </w:t>
            </w:r>
          </w:p>
        </w:tc>
        <w:tc>
          <w:tcPr>
            <w:tcW w:w="6699" w:type="dxa"/>
            <w:gridSpan w:val="6"/>
            <w:tcBorders>
              <w:top w:val="single" w:sz="4" w:space="0" w:color="auto"/>
            </w:tcBorders>
            <w:vAlign w:val="center"/>
          </w:tcPr>
          <w:p w14:paraId="51DD0B81" w14:textId="7E7273CA" w:rsidR="00E426BC" w:rsidRPr="00C75800" w:rsidRDefault="00E426BC" w:rsidP="0039730F">
            <w:pPr>
              <w:suppressAutoHyphens/>
              <w:jc w:val="center"/>
              <w:rPr>
                <w:rFonts w:cstheme="minorHAnsi"/>
                <w:iCs/>
                <w:highlight w:val="red"/>
              </w:rPr>
            </w:pPr>
            <w:r w:rsidRPr="00E426BC">
              <w:rPr>
                <w:rFonts w:cstheme="minorHAnsi"/>
                <w:iCs/>
              </w:rPr>
              <w:t>Oneri finanziari non valutabili</w:t>
            </w:r>
          </w:p>
        </w:tc>
      </w:tr>
      <w:tr w:rsidR="00E426BC" w:rsidRPr="0039730F" w14:paraId="660C2887" w14:textId="280F2F94" w:rsidTr="00E426BC">
        <w:trPr>
          <w:trHeight w:val="397"/>
        </w:trPr>
        <w:tc>
          <w:tcPr>
            <w:tcW w:w="7755" w:type="dxa"/>
            <w:vAlign w:val="center"/>
          </w:tcPr>
          <w:p w14:paraId="2B273CB4" w14:textId="6316403F" w:rsidR="00E426BC" w:rsidRPr="0039730F" w:rsidRDefault="00E426BC" w:rsidP="00741006">
            <w:pPr>
              <w:suppressAutoHyphens/>
              <w:rPr>
                <w:rFonts w:cstheme="minorHAnsi"/>
                <w:b/>
                <w:bCs/>
                <w:color w:val="00457D"/>
              </w:rPr>
            </w:pPr>
            <w:r w:rsidRPr="00EC2337">
              <w:rPr>
                <w:rFonts w:cstheme="minorHAnsi"/>
                <w:b/>
                <w:bCs/>
                <w:color w:val="00457D"/>
              </w:rPr>
              <w:t xml:space="preserve">Rifinanziamento del fondo per la contrattazione collettiva nazionale per il personale pubblico </w:t>
            </w:r>
            <w:r w:rsidRPr="00EC2337">
              <w:rPr>
                <w:rFonts w:cstheme="minorHAnsi"/>
                <w:bCs/>
                <w:color w:val="00457D"/>
              </w:rPr>
              <w:t>(art. 19)</w:t>
            </w:r>
          </w:p>
        </w:tc>
        <w:tc>
          <w:tcPr>
            <w:tcW w:w="6699" w:type="dxa"/>
            <w:gridSpan w:val="6"/>
            <w:vAlign w:val="center"/>
          </w:tcPr>
          <w:p w14:paraId="69A100D4" w14:textId="77D7530F" w:rsidR="00E426BC" w:rsidRPr="00C75800" w:rsidRDefault="00E426BC" w:rsidP="00E426BC">
            <w:pPr>
              <w:suppressAutoHyphens/>
              <w:jc w:val="center"/>
              <w:rPr>
                <w:rFonts w:cstheme="minorHAnsi"/>
                <w:highlight w:val="red"/>
              </w:rPr>
            </w:pPr>
            <w:r w:rsidRPr="00E426BC">
              <w:rPr>
                <w:rFonts w:cstheme="minorHAnsi"/>
                <w:iCs/>
              </w:rPr>
              <w:t>Oneri finanziari non valutabili</w:t>
            </w:r>
          </w:p>
        </w:tc>
      </w:tr>
      <w:tr w:rsidR="003D5F92" w:rsidRPr="0039730F" w14:paraId="6C380C9A" w14:textId="60A9AA78" w:rsidTr="00E426BC">
        <w:trPr>
          <w:trHeight w:val="397"/>
        </w:trPr>
        <w:tc>
          <w:tcPr>
            <w:tcW w:w="7755" w:type="dxa"/>
            <w:vAlign w:val="center"/>
          </w:tcPr>
          <w:p w14:paraId="7B7BA173" w14:textId="75488184" w:rsidR="003D5F92" w:rsidRPr="0039730F" w:rsidRDefault="00E426BC" w:rsidP="00741006">
            <w:pPr>
              <w:suppressAutoHyphens/>
              <w:rPr>
                <w:rFonts w:cstheme="minorHAnsi"/>
                <w:b/>
                <w:bCs/>
                <w:color w:val="00457D"/>
              </w:rPr>
            </w:pPr>
            <w:r>
              <w:rPr>
                <w:rFonts w:cstheme="minorHAnsi"/>
                <w:b/>
                <w:bCs/>
                <w:color w:val="00457D"/>
              </w:rPr>
              <w:t>A</w:t>
            </w:r>
            <w:r w:rsidR="00EC2337" w:rsidRPr="00EC2337">
              <w:rPr>
                <w:rFonts w:cstheme="minorHAnsi"/>
                <w:b/>
                <w:bCs/>
                <w:color w:val="00457D"/>
              </w:rPr>
              <w:t xml:space="preserve">ggiornamento delle tariffe per la remunerazione delle prestazioni per acuti e post acuzie </w:t>
            </w:r>
            <w:r w:rsidR="00EC2337" w:rsidRPr="00EC2337">
              <w:rPr>
                <w:rFonts w:cstheme="minorHAnsi"/>
                <w:bCs/>
                <w:color w:val="00457D"/>
              </w:rPr>
              <w:t>(art. 50)</w:t>
            </w:r>
          </w:p>
        </w:tc>
        <w:tc>
          <w:tcPr>
            <w:tcW w:w="1146" w:type="dxa"/>
            <w:vAlign w:val="center"/>
          </w:tcPr>
          <w:p w14:paraId="50EDB3E2" w14:textId="022B6E6E" w:rsidR="003D5F92" w:rsidRPr="0039730F" w:rsidRDefault="003D5F92" w:rsidP="00C75800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 xml:space="preserve">€ </w:t>
            </w:r>
            <w:r w:rsidR="00C75800">
              <w:rPr>
                <w:rFonts w:cstheme="minorHAnsi"/>
              </w:rPr>
              <w:t>77</w:t>
            </w:r>
          </w:p>
        </w:tc>
        <w:tc>
          <w:tcPr>
            <w:tcW w:w="1146" w:type="dxa"/>
            <w:vAlign w:val="center"/>
          </w:tcPr>
          <w:p w14:paraId="4A1ACFB9" w14:textId="67B6EC25" w:rsidR="003D5F92" w:rsidRPr="0039730F" w:rsidRDefault="003D5F92" w:rsidP="00C75800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 xml:space="preserve">€ </w:t>
            </w:r>
            <w:r w:rsidR="00C75800">
              <w:rPr>
                <w:rFonts w:cstheme="minorHAnsi"/>
              </w:rPr>
              <w:t>1.000</w:t>
            </w:r>
          </w:p>
        </w:tc>
        <w:tc>
          <w:tcPr>
            <w:tcW w:w="1145" w:type="dxa"/>
            <w:vAlign w:val="center"/>
          </w:tcPr>
          <w:p w14:paraId="019FD842" w14:textId="01D22100" w:rsidR="003D5F92" w:rsidRPr="0039730F" w:rsidRDefault="00C75800" w:rsidP="0039730F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>1.000</w:t>
            </w:r>
          </w:p>
        </w:tc>
        <w:tc>
          <w:tcPr>
            <w:tcW w:w="1009" w:type="dxa"/>
            <w:vAlign w:val="center"/>
          </w:tcPr>
          <w:p w14:paraId="687AFF3D" w14:textId="7548BAE3" w:rsidR="003D5F92" w:rsidRPr="0039730F" w:rsidRDefault="00C75800" w:rsidP="0039730F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>1.000</w:t>
            </w:r>
          </w:p>
        </w:tc>
        <w:tc>
          <w:tcPr>
            <w:tcW w:w="1009" w:type="dxa"/>
            <w:vAlign w:val="center"/>
          </w:tcPr>
          <w:p w14:paraId="637728EB" w14:textId="02369806" w:rsidR="003D5F92" w:rsidRPr="0039730F" w:rsidRDefault="00C75800" w:rsidP="0039730F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>1.000</w:t>
            </w:r>
          </w:p>
        </w:tc>
        <w:tc>
          <w:tcPr>
            <w:tcW w:w="1244" w:type="dxa"/>
            <w:vAlign w:val="center"/>
          </w:tcPr>
          <w:p w14:paraId="67FD952F" w14:textId="0372C479" w:rsidR="003D5F92" w:rsidRPr="0039730F" w:rsidRDefault="00C75800" w:rsidP="0039730F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>1.000</w:t>
            </w:r>
          </w:p>
        </w:tc>
      </w:tr>
      <w:tr w:rsidR="00EC2337" w:rsidRPr="0039730F" w14:paraId="6C9C586D" w14:textId="77777777" w:rsidTr="00E426BC">
        <w:trPr>
          <w:trHeight w:val="397"/>
        </w:trPr>
        <w:tc>
          <w:tcPr>
            <w:tcW w:w="7755" w:type="dxa"/>
            <w:vAlign w:val="center"/>
          </w:tcPr>
          <w:p w14:paraId="532C53B4" w14:textId="4D308641" w:rsidR="00EC2337" w:rsidRPr="00EC2337" w:rsidRDefault="00EC2337" w:rsidP="00741006">
            <w:pPr>
              <w:suppressAutoHyphens/>
              <w:rPr>
                <w:rFonts w:cstheme="minorHAnsi"/>
                <w:b/>
                <w:bCs/>
                <w:color w:val="00457D"/>
              </w:rPr>
            </w:pPr>
            <w:r w:rsidRPr="00EC2337">
              <w:rPr>
                <w:rFonts w:cstheme="minorHAnsi"/>
                <w:b/>
                <w:bCs/>
                <w:color w:val="00457D"/>
              </w:rPr>
              <w:t xml:space="preserve">Aggiornamento dei Livelli Essenziali di Assistenza e importi tariffari </w:t>
            </w:r>
            <w:r w:rsidRPr="00EC2337">
              <w:rPr>
                <w:rFonts w:cstheme="minorHAnsi"/>
                <w:bCs/>
                <w:color w:val="00457D"/>
              </w:rPr>
              <w:t>(art. 51</w:t>
            </w:r>
            <w:r w:rsidR="00C75800">
              <w:rPr>
                <w:rFonts w:cstheme="minorHAnsi"/>
                <w:bCs/>
                <w:color w:val="00457D"/>
              </w:rPr>
              <w:t xml:space="preserve"> c. 1</w:t>
            </w:r>
            <w:r w:rsidRPr="00EC2337">
              <w:rPr>
                <w:rFonts w:cstheme="minorHAnsi"/>
                <w:bCs/>
                <w:color w:val="00457D"/>
              </w:rPr>
              <w:t>)</w:t>
            </w:r>
          </w:p>
        </w:tc>
        <w:tc>
          <w:tcPr>
            <w:tcW w:w="1146" w:type="dxa"/>
            <w:vAlign w:val="center"/>
          </w:tcPr>
          <w:p w14:paraId="669411AE" w14:textId="1B3773C1" w:rsidR="00EC2337" w:rsidRPr="0039730F" w:rsidRDefault="00C75800" w:rsidP="00C75800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>50</w:t>
            </w:r>
          </w:p>
        </w:tc>
        <w:tc>
          <w:tcPr>
            <w:tcW w:w="1146" w:type="dxa"/>
            <w:vAlign w:val="center"/>
          </w:tcPr>
          <w:p w14:paraId="597732A0" w14:textId="270881C2" w:rsidR="00EC2337" w:rsidRPr="0039730F" w:rsidRDefault="00C75800" w:rsidP="0039730F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>50</w:t>
            </w:r>
          </w:p>
        </w:tc>
        <w:tc>
          <w:tcPr>
            <w:tcW w:w="1145" w:type="dxa"/>
            <w:vAlign w:val="center"/>
          </w:tcPr>
          <w:p w14:paraId="4CDE0BFA" w14:textId="0C66A607" w:rsidR="00EC2337" w:rsidRPr="0039730F" w:rsidRDefault="00C75800" w:rsidP="0039730F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>50</w:t>
            </w:r>
          </w:p>
        </w:tc>
        <w:tc>
          <w:tcPr>
            <w:tcW w:w="1009" w:type="dxa"/>
            <w:vAlign w:val="center"/>
          </w:tcPr>
          <w:p w14:paraId="7D7E4637" w14:textId="58FC1702" w:rsidR="00EC2337" w:rsidRPr="0039730F" w:rsidRDefault="00C75800" w:rsidP="0039730F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>50</w:t>
            </w:r>
          </w:p>
        </w:tc>
        <w:tc>
          <w:tcPr>
            <w:tcW w:w="1009" w:type="dxa"/>
            <w:vAlign w:val="center"/>
          </w:tcPr>
          <w:p w14:paraId="7058A85C" w14:textId="5A0B97F8" w:rsidR="00EC2337" w:rsidRPr="0039730F" w:rsidRDefault="00C75800" w:rsidP="0039730F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>50</w:t>
            </w:r>
          </w:p>
        </w:tc>
        <w:tc>
          <w:tcPr>
            <w:tcW w:w="1244" w:type="dxa"/>
            <w:vAlign w:val="center"/>
          </w:tcPr>
          <w:p w14:paraId="143FBF58" w14:textId="09D1E2AF" w:rsidR="00EC2337" w:rsidRPr="0039730F" w:rsidRDefault="00C75800" w:rsidP="0039730F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>50</w:t>
            </w:r>
          </w:p>
        </w:tc>
      </w:tr>
      <w:tr w:rsidR="00EC2337" w:rsidRPr="0039730F" w14:paraId="32BA1885" w14:textId="77777777" w:rsidTr="00E426BC">
        <w:trPr>
          <w:trHeight w:val="397"/>
        </w:trPr>
        <w:tc>
          <w:tcPr>
            <w:tcW w:w="7755" w:type="dxa"/>
            <w:vAlign w:val="center"/>
          </w:tcPr>
          <w:p w14:paraId="53E2EC15" w14:textId="3E36E9B2" w:rsidR="00EC2337" w:rsidRPr="00EC2337" w:rsidRDefault="00EC2337" w:rsidP="00741006">
            <w:pPr>
              <w:suppressAutoHyphens/>
              <w:rPr>
                <w:rFonts w:cstheme="minorHAnsi"/>
                <w:b/>
                <w:bCs/>
                <w:color w:val="00457D"/>
              </w:rPr>
            </w:pPr>
            <w:r w:rsidRPr="00EC2337">
              <w:rPr>
                <w:rFonts w:cstheme="minorHAnsi"/>
                <w:b/>
                <w:bCs/>
                <w:color w:val="00457D"/>
              </w:rPr>
              <w:t xml:space="preserve">Piano pandemico 2025-2029 </w:t>
            </w:r>
            <w:r w:rsidRPr="00EC2337">
              <w:rPr>
                <w:rFonts w:cstheme="minorHAnsi"/>
                <w:bCs/>
                <w:color w:val="00457D"/>
              </w:rPr>
              <w:t>(art. 52)</w:t>
            </w:r>
          </w:p>
        </w:tc>
        <w:tc>
          <w:tcPr>
            <w:tcW w:w="1146" w:type="dxa"/>
            <w:vAlign w:val="center"/>
          </w:tcPr>
          <w:p w14:paraId="4387B2A0" w14:textId="53F20207" w:rsidR="00EC2337" w:rsidRPr="0039730F" w:rsidRDefault="00C75800" w:rsidP="0039730F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>50</w:t>
            </w:r>
          </w:p>
        </w:tc>
        <w:tc>
          <w:tcPr>
            <w:tcW w:w="1146" w:type="dxa"/>
            <w:vAlign w:val="center"/>
          </w:tcPr>
          <w:p w14:paraId="47DC8B87" w14:textId="1555F869" w:rsidR="00EC2337" w:rsidRPr="0039730F" w:rsidRDefault="00C75800" w:rsidP="0039730F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>150</w:t>
            </w:r>
          </w:p>
        </w:tc>
        <w:tc>
          <w:tcPr>
            <w:tcW w:w="1145" w:type="dxa"/>
            <w:vAlign w:val="center"/>
          </w:tcPr>
          <w:p w14:paraId="72E186FE" w14:textId="5382FE3E" w:rsidR="00EC2337" w:rsidRPr="0039730F" w:rsidRDefault="00C75800" w:rsidP="00C75800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>300</w:t>
            </w:r>
          </w:p>
        </w:tc>
        <w:tc>
          <w:tcPr>
            <w:tcW w:w="1009" w:type="dxa"/>
            <w:vAlign w:val="center"/>
          </w:tcPr>
          <w:p w14:paraId="5104AD04" w14:textId="6AD6B443" w:rsidR="00EC2337" w:rsidRPr="0039730F" w:rsidRDefault="00C75800" w:rsidP="0039730F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>300</w:t>
            </w:r>
          </w:p>
        </w:tc>
        <w:tc>
          <w:tcPr>
            <w:tcW w:w="1009" w:type="dxa"/>
            <w:vAlign w:val="center"/>
          </w:tcPr>
          <w:p w14:paraId="3B6E5E47" w14:textId="49CE6254" w:rsidR="00EC2337" w:rsidRPr="0039730F" w:rsidRDefault="00C75800" w:rsidP="0039730F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>300</w:t>
            </w:r>
          </w:p>
        </w:tc>
        <w:tc>
          <w:tcPr>
            <w:tcW w:w="1244" w:type="dxa"/>
            <w:vAlign w:val="center"/>
          </w:tcPr>
          <w:p w14:paraId="14238BE2" w14:textId="0D9F1140" w:rsidR="00EC2337" w:rsidRPr="0039730F" w:rsidRDefault="00C75800" w:rsidP="0039730F">
            <w:pPr>
              <w:suppressAutoHyphens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EC2337" w:rsidRPr="0039730F" w14:paraId="5414C8D4" w14:textId="77777777" w:rsidTr="00E426BC">
        <w:trPr>
          <w:trHeight w:val="397"/>
        </w:trPr>
        <w:tc>
          <w:tcPr>
            <w:tcW w:w="7755" w:type="dxa"/>
            <w:vAlign w:val="center"/>
          </w:tcPr>
          <w:p w14:paraId="297F7B9A" w14:textId="36D50647" w:rsidR="00EC2337" w:rsidRPr="00EC2337" w:rsidRDefault="00EC2337" w:rsidP="00741006">
            <w:pPr>
              <w:suppressAutoHyphens/>
              <w:rPr>
                <w:rFonts w:cstheme="minorHAnsi"/>
                <w:b/>
                <w:bCs/>
                <w:color w:val="00457D"/>
              </w:rPr>
            </w:pPr>
            <w:r w:rsidRPr="00EC2337">
              <w:rPr>
                <w:rFonts w:cstheme="minorHAnsi"/>
                <w:b/>
                <w:bCs/>
                <w:color w:val="00457D"/>
              </w:rPr>
              <w:t xml:space="preserve">Misure per l'acquisto di dispositivi medici per la perfusione, conservazione, trasporto e gestione di organi e tessuti per trapianto </w:t>
            </w:r>
            <w:r w:rsidRPr="00EC2337">
              <w:rPr>
                <w:rFonts w:cstheme="minorHAnsi"/>
                <w:bCs/>
                <w:color w:val="00457D"/>
              </w:rPr>
              <w:t>(art. 53)</w:t>
            </w:r>
          </w:p>
        </w:tc>
        <w:tc>
          <w:tcPr>
            <w:tcW w:w="1146" w:type="dxa"/>
            <w:vAlign w:val="center"/>
          </w:tcPr>
          <w:p w14:paraId="1AB58DBA" w14:textId="1F03C5F1" w:rsidR="00EC2337" w:rsidRPr="0039730F" w:rsidRDefault="00C75800" w:rsidP="0039730F">
            <w:pPr>
              <w:suppressAutoHyphens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€ 10</w:t>
            </w:r>
          </w:p>
        </w:tc>
        <w:tc>
          <w:tcPr>
            <w:tcW w:w="1146" w:type="dxa"/>
            <w:vAlign w:val="center"/>
          </w:tcPr>
          <w:p w14:paraId="420AD6B0" w14:textId="465040DF" w:rsidR="00EC2337" w:rsidRPr="0039730F" w:rsidRDefault="00C75800" w:rsidP="0039730F">
            <w:pPr>
              <w:suppressAutoHyphens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€ 10</w:t>
            </w:r>
          </w:p>
        </w:tc>
        <w:tc>
          <w:tcPr>
            <w:tcW w:w="1145" w:type="dxa"/>
            <w:vAlign w:val="center"/>
          </w:tcPr>
          <w:p w14:paraId="34DAE7AB" w14:textId="0FD584EE" w:rsidR="00EC2337" w:rsidRPr="0039730F" w:rsidRDefault="00C75800" w:rsidP="0039730F">
            <w:pPr>
              <w:suppressAutoHyphens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€ 10</w:t>
            </w:r>
          </w:p>
        </w:tc>
        <w:tc>
          <w:tcPr>
            <w:tcW w:w="1009" w:type="dxa"/>
            <w:vAlign w:val="center"/>
          </w:tcPr>
          <w:p w14:paraId="4CF65AC5" w14:textId="0D5950BE" w:rsidR="00EC2337" w:rsidRPr="0039730F" w:rsidRDefault="00C75800" w:rsidP="0039730F">
            <w:pPr>
              <w:suppressAutoHyphens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€ 10</w:t>
            </w:r>
          </w:p>
        </w:tc>
        <w:tc>
          <w:tcPr>
            <w:tcW w:w="1009" w:type="dxa"/>
            <w:vAlign w:val="center"/>
          </w:tcPr>
          <w:p w14:paraId="220514A1" w14:textId="367B37EE" w:rsidR="00EC2337" w:rsidRPr="0039730F" w:rsidRDefault="00C75800" w:rsidP="0039730F">
            <w:pPr>
              <w:suppressAutoHyphens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€ 10</w:t>
            </w:r>
          </w:p>
        </w:tc>
        <w:tc>
          <w:tcPr>
            <w:tcW w:w="1244" w:type="dxa"/>
            <w:vAlign w:val="center"/>
          </w:tcPr>
          <w:p w14:paraId="37F52EE5" w14:textId="301D7410" w:rsidR="00EC2337" w:rsidRPr="0039730F" w:rsidRDefault="00C75800" w:rsidP="0039730F">
            <w:pPr>
              <w:suppressAutoHyphens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€ 10</w:t>
            </w:r>
          </w:p>
        </w:tc>
      </w:tr>
      <w:tr w:rsidR="00EC2337" w:rsidRPr="0039730F" w14:paraId="00646D67" w14:textId="77777777" w:rsidTr="00E426BC">
        <w:trPr>
          <w:trHeight w:val="397"/>
        </w:trPr>
        <w:tc>
          <w:tcPr>
            <w:tcW w:w="7755" w:type="dxa"/>
            <w:vAlign w:val="center"/>
          </w:tcPr>
          <w:p w14:paraId="599BB561" w14:textId="0C3E4E75" w:rsidR="00EC2337" w:rsidRPr="00EC2337" w:rsidRDefault="00EC2337" w:rsidP="00741006">
            <w:pPr>
              <w:suppressAutoHyphens/>
              <w:rPr>
                <w:rFonts w:cstheme="minorHAnsi"/>
                <w:b/>
                <w:bCs/>
                <w:color w:val="00457D"/>
              </w:rPr>
            </w:pPr>
            <w:r w:rsidRPr="00EC2337">
              <w:rPr>
                <w:rFonts w:cstheme="minorHAnsi"/>
                <w:b/>
                <w:bCs/>
                <w:color w:val="00457D"/>
              </w:rPr>
              <w:t xml:space="preserve">Incremento indennità pronto soccorso </w:t>
            </w:r>
            <w:r w:rsidRPr="00EC2337">
              <w:rPr>
                <w:rFonts w:cstheme="minorHAnsi"/>
                <w:bCs/>
                <w:color w:val="00457D"/>
              </w:rPr>
              <w:t>(art. 56)</w:t>
            </w:r>
          </w:p>
        </w:tc>
        <w:tc>
          <w:tcPr>
            <w:tcW w:w="1146" w:type="dxa"/>
            <w:vAlign w:val="center"/>
          </w:tcPr>
          <w:p w14:paraId="458A3336" w14:textId="6FEB6F28" w:rsidR="00EC2337" w:rsidRPr="0039730F" w:rsidRDefault="00A7006C" w:rsidP="0039730F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>50</w:t>
            </w:r>
          </w:p>
        </w:tc>
        <w:tc>
          <w:tcPr>
            <w:tcW w:w="1146" w:type="dxa"/>
            <w:vAlign w:val="center"/>
          </w:tcPr>
          <w:p w14:paraId="61DB8AD0" w14:textId="00673B19" w:rsidR="00EC2337" w:rsidRPr="0039730F" w:rsidRDefault="00A7006C" w:rsidP="00A7006C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>100</w:t>
            </w:r>
          </w:p>
        </w:tc>
        <w:tc>
          <w:tcPr>
            <w:tcW w:w="1145" w:type="dxa"/>
            <w:vAlign w:val="center"/>
          </w:tcPr>
          <w:p w14:paraId="3E69327E" w14:textId="03E79A1B" w:rsidR="00EC2337" w:rsidRPr="0039730F" w:rsidRDefault="00A7006C" w:rsidP="0039730F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>100</w:t>
            </w:r>
          </w:p>
        </w:tc>
        <w:tc>
          <w:tcPr>
            <w:tcW w:w="1009" w:type="dxa"/>
            <w:vAlign w:val="center"/>
          </w:tcPr>
          <w:p w14:paraId="64C2D8F3" w14:textId="670FB747" w:rsidR="00EC2337" w:rsidRPr="0039730F" w:rsidRDefault="00A7006C" w:rsidP="0039730F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>100</w:t>
            </w:r>
          </w:p>
        </w:tc>
        <w:tc>
          <w:tcPr>
            <w:tcW w:w="1009" w:type="dxa"/>
            <w:vAlign w:val="center"/>
          </w:tcPr>
          <w:p w14:paraId="2209BF91" w14:textId="60F704D8" w:rsidR="00EC2337" w:rsidRPr="0039730F" w:rsidRDefault="00A7006C" w:rsidP="0039730F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>100</w:t>
            </w:r>
          </w:p>
        </w:tc>
        <w:tc>
          <w:tcPr>
            <w:tcW w:w="1244" w:type="dxa"/>
            <w:vAlign w:val="center"/>
          </w:tcPr>
          <w:p w14:paraId="6B06D69E" w14:textId="7F81BB71" w:rsidR="00EC2337" w:rsidRPr="0039730F" w:rsidRDefault="00A7006C" w:rsidP="0039730F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>100</w:t>
            </w:r>
          </w:p>
        </w:tc>
      </w:tr>
      <w:tr w:rsidR="00A7006C" w:rsidRPr="0039730F" w14:paraId="1CF97BC4" w14:textId="77777777" w:rsidTr="00E426BC">
        <w:trPr>
          <w:trHeight w:val="397"/>
        </w:trPr>
        <w:tc>
          <w:tcPr>
            <w:tcW w:w="7755" w:type="dxa"/>
            <w:vAlign w:val="center"/>
          </w:tcPr>
          <w:p w14:paraId="4CCE61D2" w14:textId="57E559A4" w:rsidR="00A7006C" w:rsidRPr="00EC2337" w:rsidRDefault="00A7006C" w:rsidP="00741006">
            <w:pPr>
              <w:suppressAutoHyphens/>
              <w:rPr>
                <w:rFonts w:cstheme="minorHAnsi"/>
                <w:b/>
                <w:bCs/>
                <w:color w:val="00457D"/>
              </w:rPr>
            </w:pPr>
            <w:r w:rsidRPr="00EC2337">
              <w:rPr>
                <w:rFonts w:cstheme="minorHAnsi"/>
                <w:b/>
                <w:bCs/>
                <w:color w:val="00457D"/>
              </w:rPr>
              <w:t xml:space="preserve">Rideterminazione delle quote di spettanza delle aziende farmaceutiche e dei grossisti e sostegno ai distributori farmaceutici </w:t>
            </w:r>
            <w:r w:rsidRPr="00EC2337">
              <w:rPr>
                <w:rFonts w:cstheme="minorHAnsi"/>
                <w:bCs/>
                <w:color w:val="00457D"/>
              </w:rPr>
              <w:t>(art. 57</w:t>
            </w:r>
            <w:r>
              <w:rPr>
                <w:rFonts w:cstheme="minorHAnsi"/>
                <w:bCs/>
                <w:color w:val="00457D"/>
              </w:rPr>
              <w:t xml:space="preserve"> c. 3</w:t>
            </w:r>
            <w:r w:rsidRPr="00EC2337">
              <w:rPr>
                <w:rFonts w:cstheme="minorHAnsi"/>
                <w:bCs/>
                <w:color w:val="00457D"/>
              </w:rPr>
              <w:t>)</w:t>
            </w:r>
          </w:p>
        </w:tc>
        <w:tc>
          <w:tcPr>
            <w:tcW w:w="1146" w:type="dxa"/>
            <w:vAlign w:val="center"/>
          </w:tcPr>
          <w:p w14:paraId="248B841E" w14:textId="2926A47A" w:rsidR="00A7006C" w:rsidRPr="0039730F" w:rsidRDefault="00A7006C" w:rsidP="00A7006C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>-</w:t>
            </w:r>
          </w:p>
        </w:tc>
        <w:tc>
          <w:tcPr>
            <w:tcW w:w="1146" w:type="dxa"/>
            <w:vAlign w:val="center"/>
          </w:tcPr>
          <w:p w14:paraId="175829AD" w14:textId="7CF0949E" w:rsidR="00A7006C" w:rsidRPr="0039730F" w:rsidRDefault="00D22310" w:rsidP="00A7006C">
            <w:pPr>
              <w:suppressAutoHyphens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€ </w:t>
            </w:r>
            <w:r w:rsidR="00B14A4A">
              <w:rPr>
                <w:rFonts w:cstheme="minorHAnsi"/>
              </w:rPr>
              <w:t>50</w:t>
            </w:r>
          </w:p>
        </w:tc>
        <w:tc>
          <w:tcPr>
            <w:tcW w:w="1145" w:type="dxa"/>
            <w:vAlign w:val="center"/>
          </w:tcPr>
          <w:p w14:paraId="2C437CDC" w14:textId="0B193506" w:rsidR="00A7006C" w:rsidRPr="0039730F" w:rsidRDefault="00D22310" w:rsidP="00A7006C">
            <w:pPr>
              <w:suppressAutoHyphens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€ </w:t>
            </w:r>
            <w:r w:rsidR="00B14A4A">
              <w:rPr>
                <w:rFonts w:cstheme="minorHAnsi"/>
              </w:rPr>
              <w:t>50</w:t>
            </w:r>
          </w:p>
        </w:tc>
        <w:tc>
          <w:tcPr>
            <w:tcW w:w="1009" w:type="dxa"/>
            <w:vAlign w:val="center"/>
          </w:tcPr>
          <w:p w14:paraId="3419C170" w14:textId="3EE56175" w:rsidR="00A7006C" w:rsidRPr="00B14A4A" w:rsidRDefault="00A7006C" w:rsidP="00A7006C">
            <w:pPr>
              <w:suppressAutoHyphens/>
              <w:jc w:val="center"/>
              <w:rPr>
                <w:rFonts w:cstheme="minorHAnsi"/>
              </w:rPr>
            </w:pPr>
            <w:r w:rsidRPr="00B14A4A">
              <w:rPr>
                <w:rFonts w:cstheme="minorHAnsi"/>
              </w:rPr>
              <w:t>-</w:t>
            </w:r>
          </w:p>
        </w:tc>
        <w:tc>
          <w:tcPr>
            <w:tcW w:w="1009" w:type="dxa"/>
            <w:vAlign w:val="center"/>
          </w:tcPr>
          <w:p w14:paraId="5B1EC465" w14:textId="00D8AD0F" w:rsidR="00A7006C" w:rsidRPr="00B14A4A" w:rsidRDefault="00A7006C" w:rsidP="00A7006C">
            <w:pPr>
              <w:suppressAutoHyphens/>
              <w:jc w:val="center"/>
              <w:rPr>
                <w:rFonts w:cstheme="minorHAnsi"/>
              </w:rPr>
            </w:pPr>
            <w:r w:rsidRPr="00B14A4A">
              <w:rPr>
                <w:rFonts w:cstheme="minorHAnsi"/>
              </w:rPr>
              <w:t>-</w:t>
            </w:r>
          </w:p>
        </w:tc>
        <w:tc>
          <w:tcPr>
            <w:tcW w:w="1244" w:type="dxa"/>
            <w:vAlign w:val="center"/>
          </w:tcPr>
          <w:p w14:paraId="4661474F" w14:textId="1373CCFA" w:rsidR="00A7006C" w:rsidRPr="00B14A4A" w:rsidRDefault="00A7006C" w:rsidP="00A7006C">
            <w:pPr>
              <w:suppressAutoHyphens/>
              <w:jc w:val="center"/>
              <w:rPr>
                <w:rFonts w:cstheme="minorHAnsi"/>
              </w:rPr>
            </w:pPr>
            <w:r w:rsidRPr="00B14A4A">
              <w:rPr>
                <w:rFonts w:cstheme="minorHAnsi"/>
              </w:rPr>
              <w:t>-</w:t>
            </w:r>
          </w:p>
        </w:tc>
      </w:tr>
      <w:tr w:rsidR="00A7006C" w:rsidRPr="0039730F" w14:paraId="34DD9721" w14:textId="77777777" w:rsidTr="00E426BC">
        <w:trPr>
          <w:trHeight w:val="397"/>
        </w:trPr>
        <w:tc>
          <w:tcPr>
            <w:tcW w:w="7755" w:type="dxa"/>
            <w:vAlign w:val="center"/>
          </w:tcPr>
          <w:p w14:paraId="1FDF6EFA" w14:textId="55835817" w:rsidR="00A7006C" w:rsidRPr="00EC2337" w:rsidRDefault="00A7006C" w:rsidP="00741006">
            <w:pPr>
              <w:suppressAutoHyphens/>
              <w:rPr>
                <w:rFonts w:cstheme="minorHAnsi"/>
                <w:b/>
                <w:bCs/>
                <w:color w:val="00457D"/>
              </w:rPr>
            </w:pPr>
            <w:r w:rsidRPr="00EC2337">
              <w:rPr>
                <w:rFonts w:cstheme="minorHAnsi"/>
                <w:b/>
                <w:bCs/>
                <w:color w:val="00457D"/>
              </w:rPr>
              <w:t xml:space="preserve">Incremento delle risorse per le cure palliative </w:t>
            </w:r>
            <w:r w:rsidRPr="00EC2337">
              <w:rPr>
                <w:rFonts w:cstheme="minorHAnsi"/>
                <w:bCs/>
                <w:color w:val="00457D"/>
              </w:rPr>
              <w:t>(art. 58)</w:t>
            </w:r>
          </w:p>
        </w:tc>
        <w:tc>
          <w:tcPr>
            <w:tcW w:w="1146" w:type="dxa"/>
            <w:vAlign w:val="center"/>
          </w:tcPr>
          <w:p w14:paraId="59B13F77" w14:textId="410FDB81" w:rsidR="00A7006C" w:rsidRPr="0039730F" w:rsidRDefault="00A7006C" w:rsidP="00A7006C">
            <w:pPr>
              <w:suppressAutoHyphens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€ 10</w:t>
            </w:r>
          </w:p>
        </w:tc>
        <w:tc>
          <w:tcPr>
            <w:tcW w:w="1146" w:type="dxa"/>
            <w:vAlign w:val="center"/>
          </w:tcPr>
          <w:p w14:paraId="7FDC9F7A" w14:textId="6C2D4FCB" w:rsidR="00A7006C" w:rsidRPr="0039730F" w:rsidRDefault="00A7006C" w:rsidP="00A7006C">
            <w:pPr>
              <w:suppressAutoHyphens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€ 10</w:t>
            </w:r>
          </w:p>
        </w:tc>
        <w:tc>
          <w:tcPr>
            <w:tcW w:w="1145" w:type="dxa"/>
            <w:vAlign w:val="center"/>
          </w:tcPr>
          <w:p w14:paraId="4DDF1710" w14:textId="215B0999" w:rsidR="00A7006C" w:rsidRPr="0039730F" w:rsidRDefault="00A7006C" w:rsidP="00A7006C">
            <w:pPr>
              <w:suppressAutoHyphens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€ 10</w:t>
            </w:r>
          </w:p>
        </w:tc>
        <w:tc>
          <w:tcPr>
            <w:tcW w:w="1009" w:type="dxa"/>
            <w:vAlign w:val="center"/>
          </w:tcPr>
          <w:p w14:paraId="02849184" w14:textId="3C8BE6F5" w:rsidR="00A7006C" w:rsidRPr="0039730F" w:rsidRDefault="00A7006C" w:rsidP="00A7006C">
            <w:pPr>
              <w:suppressAutoHyphens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€ 10</w:t>
            </w:r>
          </w:p>
        </w:tc>
        <w:tc>
          <w:tcPr>
            <w:tcW w:w="1009" w:type="dxa"/>
            <w:vAlign w:val="center"/>
          </w:tcPr>
          <w:p w14:paraId="32CF1A1E" w14:textId="5E281D91" w:rsidR="00A7006C" w:rsidRPr="0039730F" w:rsidRDefault="00A7006C" w:rsidP="00A7006C">
            <w:pPr>
              <w:suppressAutoHyphens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€ 10</w:t>
            </w:r>
          </w:p>
        </w:tc>
        <w:tc>
          <w:tcPr>
            <w:tcW w:w="1244" w:type="dxa"/>
            <w:vAlign w:val="center"/>
          </w:tcPr>
          <w:p w14:paraId="4E29CE56" w14:textId="44033857" w:rsidR="00A7006C" w:rsidRPr="0039730F" w:rsidRDefault="00A7006C" w:rsidP="00A7006C">
            <w:pPr>
              <w:suppressAutoHyphens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€ 10</w:t>
            </w:r>
          </w:p>
        </w:tc>
      </w:tr>
      <w:tr w:rsidR="00A7006C" w:rsidRPr="0039730F" w14:paraId="04825A4F" w14:textId="77777777" w:rsidTr="00E426BC">
        <w:trPr>
          <w:trHeight w:val="397"/>
        </w:trPr>
        <w:tc>
          <w:tcPr>
            <w:tcW w:w="7755" w:type="dxa"/>
            <w:vAlign w:val="center"/>
          </w:tcPr>
          <w:p w14:paraId="726375DC" w14:textId="66E71C07" w:rsidR="00A7006C" w:rsidRPr="00EC2337" w:rsidRDefault="00A7006C" w:rsidP="00741006">
            <w:pPr>
              <w:suppressAutoHyphens/>
              <w:rPr>
                <w:rFonts w:cstheme="minorHAnsi"/>
                <w:b/>
                <w:bCs/>
                <w:color w:val="00457D"/>
              </w:rPr>
            </w:pPr>
            <w:r w:rsidRPr="00EC2337">
              <w:rPr>
                <w:rFonts w:cstheme="minorHAnsi"/>
                <w:b/>
                <w:bCs/>
                <w:color w:val="00457D"/>
              </w:rPr>
              <w:t xml:space="preserve">Disposizioni per i medici in formazione specialistica </w:t>
            </w:r>
            <w:r w:rsidRPr="00EC2337">
              <w:rPr>
                <w:rFonts w:cstheme="minorHAnsi"/>
                <w:bCs/>
                <w:color w:val="00457D"/>
              </w:rPr>
              <w:t>(art. 59)</w:t>
            </w:r>
          </w:p>
        </w:tc>
        <w:tc>
          <w:tcPr>
            <w:tcW w:w="1146" w:type="dxa"/>
            <w:vAlign w:val="center"/>
          </w:tcPr>
          <w:p w14:paraId="6CAD7F57" w14:textId="5E4C1BDF" w:rsidR="00A7006C" w:rsidRPr="0039730F" w:rsidRDefault="00A7006C" w:rsidP="00A7006C">
            <w:pPr>
              <w:suppressAutoHyphens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146" w:type="dxa"/>
            <w:vAlign w:val="center"/>
          </w:tcPr>
          <w:p w14:paraId="56FB27B6" w14:textId="6DA7FD18" w:rsidR="00A7006C" w:rsidRPr="0039730F" w:rsidRDefault="00A7006C" w:rsidP="00A7006C">
            <w:pPr>
              <w:suppressAutoHyphens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€ 120</w:t>
            </w:r>
          </w:p>
        </w:tc>
        <w:tc>
          <w:tcPr>
            <w:tcW w:w="1145" w:type="dxa"/>
            <w:vAlign w:val="center"/>
          </w:tcPr>
          <w:p w14:paraId="7C2F5BBD" w14:textId="4086ACA6" w:rsidR="00A7006C" w:rsidRPr="0039730F" w:rsidRDefault="00A7006C" w:rsidP="00A7006C">
            <w:pPr>
              <w:suppressAutoHyphens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€ 120</w:t>
            </w:r>
          </w:p>
        </w:tc>
        <w:tc>
          <w:tcPr>
            <w:tcW w:w="1009" w:type="dxa"/>
            <w:vAlign w:val="center"/>
          </w:tcPr>
          <w:p w14:paraId="3FDF4DB5" w14:textId="099A30E7" w:rsidR="00A7006C" w:rsidRPr="0039730F" w:rsidRDefault="00A7006C" w:rsidP="00A7006C">
            <w:pPr>
              <w:suppressAutoHyphens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€ 120</w:t>
            </w:r>
          </w:p>
        </w:tc>
        <w:tc>
          <w:tcPr>
            <w:tcW w:w="1009" w:type="dxa"/>
            <w:vAlign w:val="center"/>
          </w:tcPr>
          <w:p w14:paraId="74B4EFE5" w14:textId="7B52C42A" w:rsidR="00A7006C" w:rsidRPr="0039730F" w:rsidRDefault="00A7006C" w:rsidP="00A7006C">
            <w:pPr>
              <w:suppressAutoHyphens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€ 120</w:t>
            </w:r>
          </w:p>
        </w:tc>
        <w:tc>
          <w:tcPr>
            <w:tcW w:w="1244" w:type="dxa"/>
            <w:vAlign w:val="center"/>
          </w:tcPr>
          <w:p w14:paraId="5C64078C" w14:textId="313C6C94" w:rsidR="00A7006C" w:rsidRPr="0039730F" w:rsidRDefault="00A7006C" w:rsidP="00A7006C">
            <w:pPr>
              <w:suppressAutoHyphens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€ 120</w:t>
            </w:r>
          </w:p>
        </w:tc>
      </w:tr>
      <w:tr w:rsidR="00A7006C" w:rsidRPr="0039730F" w14:paraId="08430A31" w14:textId="77777777" w:rsidTr="00E426BC">
        <w:trPr>
          <w:trHeight w:val="397"/>
        </w:trPr>
        <w:tc>
          <w:tcPr>
            <w:tcW w:w="7755" w:type="dxa"/>
            <w:vAlign w:val="center"/>
          </w:tcPr>
          <w:p w14:paraId="3FACF2B2" w14:textId="23EC60DB" w:rsidR="00A7006C" w:rsidRPr="00EC2337" w:rsidRDefault="00A7006C" w:rsidP="00741006">
            <w:pPr>
              <w:suppressAutoHyphens/>
              <w:rPr>
                <w:rFonts w:cstheme="minorHAnsi"/>
                <w:b/>
                <w:bCs/>
                <w:color w:val="00457D"/>
              </w:rPr>
            </w:pPr>
            <w:r w:rsidRPr="00EC2337">
              <w:rPr>
                <w:rFonts w:cstheme="minorHAnsi"/>
                <w:b/>
                <w:bCs/>
                <w:color w:val="00457D"/>
              </w:rPr>
              <w:t xml:space="preserve">Incremento dell’indennità di specificità dirigenza medica e veterinaria </w:t>
            </w:r>
            <w:r w:rsidRPr="00EC2337">
              <w:rPr>
                <w:rFonts w:cstheme="minorHAnsi"/>
                <w:bCs/>
                <w:color w:val="00457D"/>
              </w:rPr>
              <w:t>(art. 61)</w:t>
            </w:r>
          </w:p>
        </w:tc>
        <w:tc>
          <w:tcPr>
            <w:tcW w:w="1146" w:type="dxa"/>
            <w:vAlign w:val="center"/>
          </w:tcPr>
          <w:p w14:paraId="68E76B55" w14:textId="000A914D" w:rsidR="00A7006C" w:rsidRPr="0039730F" w:rsidRDefault="00A7006C" w:rsidP="00A7006C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>50</w:t>
            </w:r>
          </w:p>
        </w:tc>
        <w:tc>
          <w:tcPr>
            <w:tcW w:w="1146" w:type="dxa"/>
            <w:vAlign w:val="center"/>
          </w:tcPr>
          <w:p w14:paraId="110D7F76" w14:textId="5587E635" w:rsidR="00A7006C" w:rsidRPr="0039730F" w:rsidRDefault="00A7006C" w:rsidP="00A7006C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>327</w:t>
            </w:r>
          </w:p>
        </w:tc>
        <w:tc>
          <w:tcPr>
            <w:tcW w:w="1145" w:type="dxa"/>
            <w:vAlign w:val="center"/>
          </w:tcPr>
          <w:p w14:paraId="4DDF94B4" w14:textId="58D5C31E" w:rsidR="00A7006C" w:rsidRPr="0039730F" w:rsidRDefault="00A7006C" w:rsidP="00A7006C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>327</w:t>
            </w:r>
          </w:p>
        </w:tc>
        <w:tc>
          <w:tcPr>
            <w:tcW w:w="1009" w:type="dxa"/>
            <w:vAlign w:val="center"/>
          </w:tcPr>
          <w:p w14:paraId="15589822" w14:textId="1BAB43AC" w:rsidR="00A7006C" w:rsidRPr="0039730F" w:rsidRDefault="00A7006C" w:rsidP="00A7006C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>327</w:t>
            </w:r>
          </w:p>
        </w:tc>
        <w:tc>
          <w:tcPr>
            <w:tcW w:w="1009" w:type="dxa"/>
            <w:vAlign w:val="center"/>
          </w:tcPr>
          <w:p w14:paraId="02D1028F" w14:textId="144FD4EF" w:rsidR="00A7006C" w:rsidRPr="0039730F" w:rsidRDefault="00A7006C" w:rsidP="00A7006C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>327</w:t>
            </w:r>
          </w:p>
        </w:tc>
        <w:tc>
          <w:tcPr>
            <w:tcW w:w="1244" w:type="dxa"/>
            <w:vAlign w:val="center"/>
          </w:tcPr>
          <w:p w14:paraId="275BCFE3" w14:textId="55A8982F" w:rsidR="00A7006C" w:rsidRPr="0039730F" w:rsidRDefault="00A7006C" w:rsidP="00A7006C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>327</w:t>
            </w:r>
          </w:p>
        </w:tc>
      </w:tr>
      <w:tr w:rsidR="00A7006C" w:rsidRPr="0039730F" w14:paraId="21AA5313" w14:textId="77777777" w:rsidTr="00E426BC">
        <w:trPr>
          <w:trHeight w:val="397"/>
        </w:trPr>
        <w:tc>
          <w:tcPr>
            <w:tcW w:w="7755" w:type="dxa"/>
            <w:vAlign w:val="center"/>
          </w:tcPr>
          <w:p w14:paraId="02D062DD" w14:textId="175BF53F" w:rsidR="00A7006C" w:rsidRPr="00EC2337" w:rsidRDefault="00A7006C" w:rsidP="00741006">
            <w:pPr>
              <w:suppressAutoHyphens/>
              <w:rPr>
                <w:rFonts w:cstheme="minorHAnsi"/>
                <w:b/>
                <w:bCs/>
                <w:color w:val="00457D"/>
              </w:rPr>
            </w:pPr>
            <w:r w:rsidRPr="00EC2337">
              <w:rPr>
                <w:rFonts w:cstheme="minorHAnsi"/>
                <w:b/>
                <w:bCs/>
                <w:color w:val="00457D"/>
              </w:rPr>
              <w:t xml:space="preserve">Incremento dell’indennità di specificità dirigenza sanitaria non medica </w:t>
            </w:r>
            <w:r w:rsidRPr="00EC2337">
              <w:rPr>
                <w:rFonts w:cstheme="minorHAnsi"/>
                <w:bCs/>
                <w:color w:val="00457D"/>
              </w:rPr>
              <w:t>(art. 62)</w:t>
            </w:r>
          </w:p>
        </w:tc>
        <w:tc>
          <w:tcPr>
            <w:tcW w:w="1146" w:type="dxa"/>
            <w:vAlign w:val="center"/>
          </w:tcPr>
          <w:p w14:paraId="0F6D6AF1" w14:textId="11370883" w:rsidR="00A7006C" w:rsidRPr="0039730F" w:rsidRDefault="00A7006C" w:rsidP="00A7006C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>5,5</w:t>
            </w:r>
          </w:p>
        </w:tc>
        <w:tc>
          <w:tcPr>
            <w:tcW w:w="1146" w:type="dxa"/>
            <w:vAlign w:val="center"/>
          </w:tcPr>
          <w:p w14:paraId="73AC4AEF" w14:textId="7E6AEF0F" w:rsidR="00A7006C" w:rsidRPr="0039730F" w:rsidRDefault="00A7006C" w:rsidP="00A7006C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>5,5</w:t>
            </w:r>
          </w:p>
        </w:tc>
        <w:tc>
          <w:tcPr>
            <w:tcW w:w="1145" w:type="dxa"/>
            <w:vAlign w:val="center"/>
          </w:tcPr>
          <w:p w14:paraId="33C3AA30" w14:textId="6761FEB8" w:rsidR="00A7006C" w:rsidRPr="0039730F" w:rsidRDefault="00A7006C" w:rsidP="00A7006C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>5,5</w:t>
            </w:r>
          </w:p>
        </w:tc>
        <w:tc>
          <w:tcPr>
            <w:tcW w:w="1009" w:type="dxa"/>
            <w:vAlign w:val="center"/>
          </w:tcPr>
          <w:p w14:paraId="7464B48C" w14:textId="3575C4D1" w:rsidR="00A7006C" w:rsidRPr="0039730F" w:rsidRDefault="00A7006C" w:rsidP="00A7006C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>5,5</w:t>
            </w:r>
          </w:p>
        </w:tc>
        <w:tc>
          <w:tcPr>
            <w:tcW w:w="1009" w:type="dxa"/>
            <w:vAlign w:val="center"/>
          </w:tcPr>
          <w:p w14:paraId="566F5924" w14:textId="020C55F4" w:rsidR="00A7006C" w:rsidRPr="0039730F" w:rsidRDefault="00A7006C" w:rsidP="00A7006C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>5,5</w:t>
            </w:r>
          </w:p>
        </w:tc>
        <w:tc>
          <w:tcPr>
            <w:tcW w:w="1244" w:type="dxa"/>
            <w:vAlign w:val="center"/>
          </w:tcPr>
          <w:p w14:paraId="08BBA4B4" w14:textId="2E4A24D1" w:rsidR="00A7006C" w:rsidRPr="0039730F" w:rsidRDefault="00A7006C" w:rsidP="00A7006C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>5,5</w:t>
            </w:r>
          </w:p>
        </w:tc>
      </w:tr>
      <w:tr w:rsidR="00741006" w:rsidRPr="0039730F" w14:paraId="1E59A6A6" w14:textId="065112E1" w:rsidTr="00E426BC">
        <w:trPr>
          <w:trHeight w:val="397"/>
        </w:trPr>
        <w:tc>
          <w:tcPr>
            <w:tcW w:w="14454" w:type="dxa"/>
            <w:gridSpan w:val="7"/>
            <w:tcBorders>
              <w:bottom w:val="dashSmallGap" w:sz="4" w:space="0" w:color="00457D"/>
            </w:tcBorders>
            <w:vAlign w:val="center"/>
          </w:tcPr>
          <w:p w14:paraId="6F4DFD4E" w14:textId="037C476D" w:rsidR="00741006" w:rsidRPr="0039730F" w:rsidRDefault="00741006" w:rsidP="00741006">
            <w:pPr>
              <w:suppressAutoHyphens/>
              <w:rPr>
                <w:rFonts w:cstheme="minorHAnsi"/>
                <w:b/>
                <w:bCs/>
                <w:color w:val="00457D"/>
              </w:rPr>
            </w:pPr>
            <w:r w:rsidRPr="00EC2337">
              <w:rPr>
                <w:rFonts w:cstheme="minorHAnsi"/>
                <w:b/>
                <w:bCs/>
                <w:color w:val="00457D"/>
              </w:rPr>
              <w:t xml:space="preserve">Incremento dell’indennità di specificità infermieristica e dell’indennità di tutela del malato e per la promozione della salute </w:t>
            </w:r>
            <w:r w:rsidRPr="00EC2337">
              <w:rPr>
                <w:rFonts w:cstheme="minorHAnsi"/>
                <w:bCs/>
                <w:color w:val="00457D"/>
              </w:rPr>
              <w:t>(art. 63)</w:t>
            </w:r>
          </w:p>
        </w:tc>
      </w:tr>
      <w:tr w:rsidR="00A7006C" w:rsidRPr="0039730F" w14:paraId="2CC81C33" w14:textId="1DFB82B0" w:rsidTr="00E426BC">
        <w:trPr>
          <w:trHeight w:val="397"/>
        </w:trPr>
        <w:tc>
          <w:tcPr>
            <w:tcW w:w="7755" w:type="dxa"/>
            <w:tcBorders>
              <w:top w:val="dashSmallGap" w:sz="4" w:space="0" w:color="00457D"/>
              <w:bottom w:val="dashSmallGap" w:sz="4" w:space="0" w:color="00457D"/>
            </w:tcBorders>
            <w:vAlign w:val="center"/>
          </w:tcPr>
          <w:p w14:paraId="705AED3E" w14:textId="1A226709" w:rsidR="00A7006C" w:rsidRPr="00E426BC" w:rsidRDefault="00741006" w:rsidP="00741006">
            <w:pPr>
              <w:suppressAutoHyphens/>
              <w:rPr>
                <w:rFonts w:cstheme="minorHAnsi"/>
                <w:bCs/>
                <w:spacing w:val="-2"/>
              </w:rPr>
            </w:pPr>
            <w:r w:rsidRPr="00E426BC">
              <w:rPr>
                <w:rFonts w:cstheme="minorHAnsi"/>
                <w:color w:val="00457D"/>
                <w:spacing w:val="-2"/>
              </w:rPr>
              <w:t xml:space="preserve">   </w:t>
            </w:r>
            <w:r w:rsidR="00AB09A7" w:rsidRPr="00E426BC">
              <w:rPr>
                <w:rFonts w:cstheme="minorHAnsi"/>
                <w:color w:val="00457D"/>
                <w:spacing w:val="-2"/>
              </w:rPr>
              <w:t xml:space="preserve">Indennità di specificità infermieristica di cui all’articolo 104 del CCNL </w:t>
            </w:r>
            <w:r w:rsidR="00A7006C" w:rsidRPr="00E426BC">
              <w:rPr>
                <w:rFonts w:cstheme="minorHAnsi"/>
                <w:color w:val="00457D"/>
                <w:spacing w:val="-2"/>
              </w:rPr>
              <w:t>(</w:t>
            </w:r>
            <w:r w:rsidR="00AB09A7" w:rsidRPr="00E426BC">
              <w:rPr>
                <w:rFonts w:cstheme="minorHAnsi"/>
                <w:color w:val="00457D"/>
                <w:spacing w:val="-2"/>
              </w:rPr>
              <w:t>c. 1</w:t>
            </w:r>
            <w:r w:rsidR="00A7006C" w:rsidRPr="00E426BC">
              <w:rPr>
                <w:rFonts w:cstheme="minorHAnsi"/>
                <w:color w:val="00457D"/>
                <w:spacing w:val="-2"/>
              </w:rPr>
              <w:t>)</w:t>
            </w:r>
          </w:p>
        </w:tc>
        <w:tc>
          <w:tcPr>
            <w:tcW w:w="1146" w:type="dxa"/>
            <w:tcBorders>
              <w:top w:val="dashSmallGap" w:sz="4" w:space="0" w:color="00457D"/>
              <w:bottom w:val="dashSmallGap" w:sz="4" w:space="0" w:color="00457D"/>
            </w:tcBorders>
            <w:vAlign w:val="center"/>
          </w:tcPr>
          <w:p w14:paraId="6B4C538A" w14:textId="29F07BBA" w:rsidR="00A7006C" w:rsidRPr="0039730F" w:rsidRDefault="00A7006C" w:rsidP="00AB09A7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 xml:space="preserve">€ </w:t>
            </w:r>
            <w:r w:rsidR="00AB09A7">
              <w:rPr>
                <w:rFonts w:cstheme="minorHAnsi"/>
              </w:rPr>
              <w:t>35</w:t>
            </w:r>
          </w:p>
        </w:tc>
        <w:tc>
          <w:tcPr>
            <w:tcW w:w="1146" w:type="dxa"/>
            <w:tcBorders>
              <w:top w:val="dashSmallGap" w:sz="4" w:space="0" w:color="00457D"/>
              <w:bottom w:val="dashSmallGap" w:sz="4" w:space="0" w:color="00457D"/>
            </w:tcBorders>
            <w:vAlign w:val="center"/>
          </w:tcPr>
          <w:p w14:paraId="6A2DC440" w14:textId="4098E5DA" w:rsidR="00A7006C" w:rsidRPr="0039730F" w:rsidRDefault="00A7006C" w:rsidP="00AB09A7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>€ 28</w:t>
            </w:r>
            <w:r w:rsidR="00AB09A7">
              <w:rPr>
                <w:rFonts w:cstheme="minorHAnsi"/>
              </w:rPr>
              <w:t>5</w:t>
            </w:r>
          </w:p>
        </w:tc>
        <w:tc>
          <w:tcPr>
            <w:tcW w:w="1145" w:type="dxa"/>
            <w:tcBorders>
              <w:top w:val="dashSmallGap" w:sz="4" w:space="0" w:color="00457D"/>
              <w:bottom w:val="dashSmallGap" w:sz="4" w:space="0" w:color="00457D"/>
            </w:tcBorders>
            <w:vAlign w:val="center"/>
          </w:tcPr>
          <w:p w14:paraId="78CEB379" w14:textId="3ADA79AA" w:rsidR="00A7006C" w:rsidRPr="0039730F" w:rsidRDefault="00AB09A7" w:rsidP="00A7006C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>€ 28</w:t>
            </w:r>
            <w:r>
              <w:rPr>
                <w:rFonts w:cstheme="minorHAnsi"/>
              </w:rPr>
              <w:t>5</w:t>
            </w:r>
          </w:p>
        </w:tc>
        <w:tc>
          <w:tcPr>
            <w:tcW w:w="1009" w:type="dxa"/>
            <w:tcBorders>
              <w:top w:val="dashSmallGap" w:sz="4" w:space="0" w:color="00457D"/>
              <w:bottom w:val="dashSmallGap" w:sz="4" w:space="0" w:color="00457D"/>
            </w:tcBorders>
            <w:vAlign w:val="center"/>
          </w:tcPr>
          <w:p w14:paraId="0432C6C3" w14:textId="6A7A51D0" w:rsidR="00A7006C" w:rsidRPr="0039730F" w:rsidRDefault="00AB09A7" w:rsidP="00A7006C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>€ 28</w:t>
            </w:r>
            <w:r>
              <w:rPr>
                <w:rFonts w:cstheme="minorHAnsi"/>
              </w:rPr>
              <w:t>5</w:t>
            </w:r>
          </w:p>
        </w:tc>
        <w:tc>
          <w:tcPr>
            <w:tcW w:w="1009" w:type="dxa"/>
            <w:tcBorders>
              <w:top w:val="dashSmallGap" w:sz="4" w:space="0" w:color="00457D"/>
              <w:bottom w:val="dashSmallGap" w:sz="4" w:space="0" w:color="00457D"/>
            </w:tcBorders>
            <w:vAlign w:val="center"/>
          </w:tcPr>
          <w:p w14:paraId="5F5F4248" w14:textId="71A17758" w:rsidR="00A7006C" w:rsidRPr="0039730F" w:rsidRDefault="00AB09A7" w:rsidP="00A7006C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>€ 28</w:t>
            </w:r>
            <w:r>
              <w:rPr>
                <w:rFonts w:cstheme="minorHAnsi"/>
              </w:rPr>
              <w:t>5</w:t>
            </w:r>
          </w:p>
        </w:tc>
        <w:tc>
          <w:tcPr>
            <w:tcW w:w="1244" w:type="dxa"/>
            <w:tcBorders>
              <w:top w:val="dashSmallGap" w:sz="4" w:space="0" w:color="00457D"/>
              <w:bottom w:val="dashSmallGap" w:sz="4" w:space="0" w:color="00457D"/>
            </w:tcBorders>
            <w:vAlign w:val="center"/>
          </w:tcPr>
          <w:p w14:paraId="54D15C66" w14:textId="5A6C628E" w:rsidR="00A7006C" w:rsidRPr="0039730F" w:rsidRDefault="00AB09A7" w:rsidP="00A7006C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>€ 28</w:t>
            </w:r>
            <w:r>
              <w:rPr>
                <w:rFonts w:cstheme="minorHAnsi"/>
              </w:rPr>
              <w:t>5</w:t>
            </w:r>
          </w:p>
        </w:tc>
      </w:tr>
      <w:tr w:rsidR="00A7006C" w:rsidRPr="0039730F" w14:paraId="53E8A3E2" w14:textId="7ED29350" w:rsidTr="00E426BC">
        <w:trPr>
          <w:trHeight w:val="397"/>
        </w:trPr>
        <w:tc>
          <w:tcPr>
            <w:tcW w:w="7755" w:type="dxa"/>
            <w:tcBorders>
              <w:top w:val="dashSmallGap" w:sz="4" w:space="0" w:color="00457D"/>
            </w:tcBorders>
            <w:vAlign w:val="center"/>
          </w:tcPr>
          <w:p w14:paraId="13EE9218" w14:textId="2C326B2E" w:rsidR="00A7006C" w:rsidRPr="00E426BC" w:rsidRDefault="00741006" w:rsidP="00741006">
            <w:pPr>
              <w:suppressAutoHyphens/>
              <w:rPr>
                <w:rFonts w:cstheme="minorHAnsi"/>
                <w:bCs/>
                <w:spacing w:val="-2"/>
              </w:rPr>
            </w:pPr>
            <w:r w:rsidRPr="00E426BC">
              <w:rPr>
                <w:rFonts w:cstheme="minorHAnsi"/>
                <w:color w:val="00457D"/>
                <w:spacing w:val="-2"/>
              </w:rPr>
              <w:t xml:space="preserve">   </w:t>
            </w:r>
            <w:r w:rsidR="00AB09A7" w:rsidRPr="00E426BC">
              <w:rPr>
                <w:rFonts w:cstheme="minorHAnsi"/>
                <w:color w:val="00457D"/>
                <w:spacing w:val="-2"/>
              </w:rPr>
              <w:t>Indennità relativa al personale del comparto sanità</w:t>
            </w:r>
            <w:r w:rsidR="0032033F" w:rsidRPr="00E426BC">
              <w:rPr>
                <w:rFonts w:cstheme="minorHAnsi"/>
                <w:color w:val="00457D"/>
                <w:spacing w:val="-2"/>
              </w:rPr>
              <w:t xml:space="preserve"> </w:t>
            </w:r>
            <w:r w:rsidR="00AB09A7" w:rsidRPr="00E426BC">
              <w:rPr>
                <w:rFonts w:cstheme="minorHAnsi"/>
                <w:color w:val="00457D"/>
                <w:spacing w:val="-2"/>
              </w:rPr>
              <w:t>di cui all’art</w:t>
            </w:r>
            <w:r w:rsidRPr="00E426BC">
              <w:rPr>
                <w:rFonts w:cstheme="minorHAnsi"/>
                <w:color w:val="00457D"/>
                <w:spacing w:val="-2"/>
              </w:rPr>
              <w:t xml:space="preserve">. </w:t>
            </w:r>
            <w:r w:rsidR="00AB09A7" w:rsidRPr="00E426BC">
              <w:rPr>
                <w:rFonts w:cstheme="minorHAnsi"/>
                <w:color w:val="00457D"/>
                <w:spacing w:val="-2"/>
              </w:rPr>
              <w:t>105 del CCNL</w:t>
            </w:r>
            <w:r w:rsidR="00E426BC" w:rsidRPr="00E426BC">
              <w:rPr>
                <w:rFonts w:cstheme="minorHAnsi"/>
                <w:color w:val="00457D"/>
                <w:spacing w:val="-2"/>
              </w:rPr>
              <w:t xml:space="preserve"> </w:t>
            </w:r>
            <w:r w:rsidR="00A7006C" w:rsidRPr="00E426BC">
              <w:rPr>
                <w:rFonts w:cstheme="minorHAnsi"/>
                <w:color w:val="00457D"/>
                <w:spacing w:val="-2"/>
              </w:rPr>
              <w:t xml:space="preserve">(c. </w:t>
            </w:r>
            <w:r w:rsidR="00AB09A7" w:rsidRPr="00E426BC">
              <w:rPr>
                <w:rFonts w:cstheme="minorHAnsi"/>
                <w:color w:val="00457D"/>
                <w:spacing w:val="-2"/>
              </w:rPr>
              <w:t>2</w:t>
            </w:r>
            <w:r w:rsidR="00A7006C" w:rsidRPr="00E426BC">
              <w:rPr>
                <w:rFonts w:cstheme="minorHAnsi"/>
                <w:color w:val="00457D"/>
                <w:spacing w:val="-2"/>
              </w:rPr>
              <w:t>)</w:t>
            </w:r>
          </w:p>
        </w:tc>
        <w:tc>
          <w:tcPr>
            <w:tcW w:w="1146" w:type="dxa"/>
            <w:tcBorders>
              <w:top w:val="dashSmallGap" w:sz="4" w:space="0" w:color="00457D"/>
            </w:tcBorders>
            <w:vAlign w:val="center"/>
          </w:tcPr>
          <w:p w14:paraId="426753B9" w14:textId="28469CFF" w:rsidR="00A7006C" w:rsidRPr="0039730F" w:rsidRDefault="00A7006C" w:rsidP="00AB09A7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>€ 1</w:t>
            </w:r>
            <w:r w:rsidR="00AB09A7">
              <w:rPr>
                <w:rFonts w:cstheme="minorHAnsi"/>
              </w:rPr>
              <w:t>5</w:t>
            </w:r>
          </w:p>
        </w:tc>
        <w:tc>
          <w:tcPr>
            <w:tcW w:w="1146" w:type="dxa"/>
            <w:tcBorders>
              <w:top w:val="dashSmallGap" w:sz="4" w:space="0" w:color="00457D"/>
            </w:tcBorders>
            <w:vAlign w:val="center"/>
          </w:tcPr>
          <w:p w14:paraId="1103B21B" w14:textId="0B06EDC9" w:rsidR="00A7006C" w:rsidRPr="0039730F" w:rsidRDefault="00A7006C" w:rsidP="00AB09A7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 xml:space="preserve">€ </w:t>
            </w:r>
            <w:r w:rsidR="00AB09A7">
              <w:rPr>
                <w:rFonts w:cstheme="minorHAnsi"/>
              </w:rPr>
              <w:t>150</w:t>
            </w:r>
          </w:p>
        </w:tc>
        <w:tc>
          <w:tcPr>
            <w:tcW w:w="1145" w:type="dxa"/>
            <w:tcBorders>
              <w:top w:val="dashSmallGap" w:sz="4" w:space="0" w:color="00457D"/>
            </w:tcBorders>
            <w:vAlign w:val="center"/>
          </w:tcPr>
          <w:p w14:paraId="55D47DBD" w14:textId="56E50840" w:rsidR="00A7006C" w:rsidRPr="0039730F" w:rsidRDefault="00AB09A7" w:rsidP="00A7006C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>150</w:t>
            </w:r>
          </w:p>
        </w:tc>
        <w:tc>
          <w:tcPr>
            <w:tcW w:w="1009" w:type="dxa"/>
            <w:tcBorders>
              <w:top w:val="dashSmallGap" w:sz="4" w:space="0" w:color="00457D"/>
            </w:tcBorders>
            <w:vAlign w:val="center"/>
          </w:tcPr>
          <w:p w14:paraId="33A96FA2" w14:textId="2B7A6D19" w:rsidR="00A7006C" w:rsidRPr="0039730F" w:rsidRDefault="00AB09A7" w:rsidP="00A7006C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>150</w:t>
            </w:r>
          </w:p>
        </w:tc>
        <w:tc>
          <w:tcPr>
            <w:tcW w:w="1009" w:type="dxa"/>
            <w:tcBorders>
              <w:top w:val="dashSmallGap" w:sz="4" w:space="0" w:color="00457D"/>
            </w:tcBorders>
            <w:vAlign w:val="center"/>
          </w:tcPr>
          <w:p w14:paraId="68ED4C64" w14:textId="12B81680" w:rsidR="00A7006C" w:rsidRPr="0039730F" w:rsidRDefault="00AB09A7" w:rsidP="00A7006C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>150</w:t>
            </w:r>
          </w:p>
        </w:tc>
        <w:tc>
          <w:tcPr>
            <w:tcW w:w="1244" w:type="dxa"/>
            <w:tcBorders>
              <w:top w:val="dashSmallGap" w:sz="4" w:space="0" w:color="00457D"/>
            </w:tcBorders>
            <w:vAlign w:val="center"/>
          </w:tcPr>
          <w:p w14:paraId="6F6A513B" w14:textId="3B43EBBD" w:rsidR="00A7006C" w:rsidRPr="0039730F" w:rsidRDefault="00AB09A7" w:rsidP="00A7006C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>150</w:t>
            </w:r>
          </w:p>
        </w:tc>
      </w:tr>
      <w:tr w:rsidR="00AB09A7" w:rsidRPr="0039730F" w14:paraId="432A8A8B" w14:textId="5CBB374C" w:rsidTr="00E426BC">
        <w:trPr>
          <w:trHeight w:val="397"/>
        </w:trPr>
        <w:tc>
          <w:tcPr>
            <w:tcW w:w="7755" w:type="dxa"/>
            <w:vAlign w:val="center"/>
          </w:tcPr>
          <w:p w14:paraId="1EE40858" w14:textId="35B95AB5" w:rsidR="00AB09A7" w:rsidRPr="0039730F" w:rsidRDefault="00AB09A7" w:rsidP="00741006">
            <w:pPr>
              <w:suppressAutoHyphens/>
              <w:rPr>
                <w:rFonts w:cstheme="minorHAnsi"/>
                <w:b/>
                <w:bCs/>
                <w:color w:val="00457D"/>
              </w:rPr>
            </w:pPr>
            <w:r w:rsidRPr="00EC2337">
              <w:rPr>
                <w:rFonts w:cstheme="minorHAnsi"/>
                <w:b/>
                <w:bCs/>
                <w:color w:val="00457D"/>
              </w:rPr>
              <w:t xml:space="preserve">Premialità liste di attesa </w:t>
            </w:r>
            <w:r w:rsidRPr="00EC2337">
              <w:rPr>
                <w:rFonts w:cstheme="minorHAnsi"/>
                <w:bCs/>
                <w:color w:val="00457D"/>
              </w:rPr>
              <w:t>(art. 64)</w:t>
            </w:r>
          </w:p>
        </w:tc>
        <w:tc>
          <w:tcPr>
            <w:tcW w:w="1146" w:type="dxa"/>
            <w:vAlign w:val="center"/>
          </w:tcPr>
          <w:p w14:paraId="2D20D962" w14:textId="127C24B2" w:rsidR="00AB09A7" w:rsidRPr="0039730F" w:rsidRDefault="00AB09A7" w:rsidP="00AB09A7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>50</w:t>
            </w:r>
          </w:p>
        </w:tc>
        <w:tc>
          <w:tcPr>
            <w:tcW w:w="1146" w:type="dxa"/>
            <w:vAlign w:val="center"/>
          </w:tcPr>
          <w:p w14:paraId="60404E08" w14:textId="5A41517E" w:rsidR="00AB09A7" w:rsidRPr="0039730F" w:rsidRDefault="00AB09A7" w:rsidP="00AB09A7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>100</w:t>
            </w:r>
          </w:p>
        </w:tc>
        <w:tc>
          <w:tcPr>
            <w:tcW w:w="1145" w:type="dxa"/>
            <w:vAlign w:val="center"/>
          </w:tcPr>
          <w:p w14:paraId="1DFE630C" w14:textId="34A790FD" w:rsidR="00AB09A7" w:rsidRPr="0039730F" w:rsidRDefault="00AB09A7" w:rsidP="00AB09A7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>100</w:t>
            </w:r>
          </w:p>
        </w:tc>
        <w:tc>
          <w:tcPr>
            <w:tcW w:w="1009" w:type="dxa"/>
            <w:vAlign w:val="center"/>
          </w:tcPr>
          <w:p w14:paraId="72D219CC" w14:textId="1B71FACD" w:rsidR="00AB09A7" w:rsidRPr="0039730F" w:rsidRDefault="00AB09A7" w:rsidP="00AB09A7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>100</w:t>
            </w:r>
          </w:p>
        </w:tc>
        <w:tc>
          <w:tcPr>
            <w:tcW w:w="1009" w:type="dxa"/>
            <w:vAlign w:val="center"/>
          </w:tcPr>
          <w:p w14:paraId="62967149" w14:textId="7EAF497C" w:rsidR="00AB09A7" w:rsidRPr="0039730F" w:rsidRDefault="00AB09A7" w:rsidP="00AB09A7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>100</w:t>
            </w:r>
          </w:p>
        </w:tc>
        <w:tc>
          <w:tcPr>
            <w:tcW w:w="1244" w:type="dxa"/>
            <w:vAlign w:val="center"/>
          </w:tcPr>
          <w:p w14:paraId="154549FC" w14:textId="25A31109" w:rsidR="00AB09A7" w:rsidRPr="0039730F" w:rsidRDefault="00AB09A7" w:rsidP="00AB09A7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>100</w:t>
            </w:r>
          </w:p>
        </w:tc>
      </w:tr>
      <w:tr w:rsidR="00AB09A7" w:rsidRPr="0039730F" w14:paraId="74DDD1F6" w14:textId="77777777" w:rsidTr="00E426BC">
        <w:trPr>
          <w:trHeight w:val="397"/>
        </w:trPr>
        <w:tc>
          <w:tcPr>
            <w:tcW w:w="7755" w:type="dxa"/>
            <w:vAlign w:val="center"/>
          </w:tcPr>
          <w:p w14:paraId="4350EE53" w14:textId="7BD14AD3" w:rsidR="00AB09A7" w:rsidRPr="0039730F" w:rsidRDefault="00AB09A7" w:rsidP="00741006">
            <w:pPr>
              <w:suppressAutoHyphens/>
              <w:rPr>
                <w:rFonts w:cstheme="minorHAnsi"/>
                <w:b/>
                <w:bCs/>
                <w:color w:val="00457D"/>
              </w:rPr>
            </w:pPr>
            <w:r w:rsidRPr="00EC2337">
              <w:rPr>
                <w:rFonts w:cstheme="minorHAnsi"/>
                <w:b/>
                <w:bCs/>
                <w:color w:val="00457D"/>
              </w:rPr>
              <w:t xml:space="preserve">Disposizioni in materia di prestazioni sanitarie offerte da comunità terapeutiche in regime di mobilità interregionale </w:t>
            </w:r>
            <w:r w:rsidRPr="00EC2337">
              <w:rPr>
                <w:rFonts w:cstheme="minorHAnsi"/>
                <w:bCs/>
                <w:color w:val="00457D"/>
              </w:rPr>
              <w:t>(art. 65)</w:t>
            </w:r>
          </w:p>
        </w:tc>
        <w:tc>
          <w:tcPr>
            <w:tcW w:w="1146" w:type="dxa"/>
            <w:vAlign w:val="center"/>
          </w:tcPr>
          <w:p w14:paraId="12D3B548" w14:textId="27308893" w:rsidR="00AB09A7" w:rsidRPr="0039730F" w:rsidRDefault="00AB09A7" w:rsidP="00AB09A7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>15</w:t>
            </w:r>
          </w:p>
        </w:tc>
        <w:tc>
          <w:tcPr>
            <w:tcW w:w="1146" w:type="dxa"/>
            <w:vAlign w:val="center"/>
          </w:tcPr>
          <w:p w14:paraId="5EDE3770" w14:textId="0BF43610" w:rsidR="00AB09A7" w:rsidRPr="0039730F" w:rsidRDefault="00AB09A7" w:rsidP="00AB09A7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>15</w:t>
            </w:r>
          </w:p>
        </w:tc>
        <w:tc>
          <w:tcPr>
            <w:tcW w:w="1145" w:type="dxa"/>
            <w:vAlign w:val="center"/>
          </w:tcPr>
          <w:p w14:paraId="0E01AAF1" w14:textId="32CAC24E" w:rsidR="00AB09A7" w:rsidRPr="0039730F" w:rsidRDefault="00AB09A7" w:rsidP="00AB09A7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>15</w:t>
            </w:r>
          </w:p>
        </w:tc>
        <w:tc>
          <w:tcPr>
            <w:tcW w:w="1009" w:type="dxa"/>
            <w:vAlign w:val="center"/>
          </w:tcPr>
          <w:p w14:paraId="71079E90" w14:textId="278CF08C" w:rsidR="00AB09A7" w:rsidRPr="0039730F" w:rsidRDefault="00AB09A7" w:rsidP="00AB09A7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>15</w:t>
            </w:r>
          </w:p>
        </w:tc>
        <w:tc>
          <w:tcPr>
            <w:tcW w:w="1009" w:type="dxa"/>
            <w:vAlign w:val="center"/>
          </w:tcPr>
          <w:p w14:paraId="4C5AF14C" w14:textId="64F4E5E7" w:rsidR="00AB09A7" w:rsidRPr="0039730F" w:rsidRDefault="00AB09A7" w:rsidP="00AB09A7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>15</w:t>
            </w:r>
          </w:p>
        </w:tc>
        <w:tc>
          <w:tcPr>
            <w:tcW w:w="1244" w:type="dxa"/>
            <w:vAlign w:val="center"/>
          </w:tcPr>
          <w:p w14:paraId="57E7DB88" w14:textId="2224ADDB" w:rsidR="00AB09A7" w:rsidRPr="0039730F" w:rsidRDefault="00AB09A7" w:rsidP="00AB09A7">
            <w:pPr>
              <w:suppressAutoHyphens/>
              <w:jc w:val="center"/>
              <w:rPr>
                <w:rFonts w:cstheme="minorHAnsi"/>
              </w:rPr>
            </w:pPr>
            <w:r w:rsidRPr="0039730F"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>15</w:t>
            </w:r>
          </w:p>
        </w:tc>
      </w:tr>
      <w:tr w:rsidR="0005693E" w:rsidRPr="0039730F" w14:paraId="68A96664" w14:textId="5D3AC99E" w:rsidTr="00E426BC">
        <w:trPr>
          <w:trHeight w:val="461"/>
        </w:trPr>
        <w:tc>
          <w:tcPr>
            <w:tcW w:w="14454" w:type="dxa"/>
            <w:gridSpan w:val="7"/>
            <w:vAlign w:val="center"/>
          </w:tcPr>
          <w:p w14:paraId="3355953B" w14:textId="23FC40D8" w:rsidR="0005693E" w:rsidRPr="0039730F" w:rsidRDefault="0005693E" w:rsidP="00A7006C">
            <w:pPr>
              <w:rPr>
                <w:sz w:val="20"/>
                <w:szCs w:val="20"/>
              </w:rPr>
            </w:pPr>
            <w:r w:rsidRPr="0039730F">
              <w:rPr>
                <w:sz w:val="20"/>
                <w:szCs w:val="20"/>
              </w:rPr>
              <w:t>Dati in milioni di euro</w:t>
            </w:r>
          </w:p>
        </w:tc>
      </w:tr>
    </w:tbl>
    <w:p w14:paraId="2C4349B9" w14:textId="77777777" w:rsidR="00F60D04" w:rsidRPr="00F60D04" w:rsidRDefault="00F60D04" w:rsidP="00C7306D">
      <w:pPr>
        <w:spacing w:after="0"/>
        <w:rPr>
          <w:rFonts w:eastAsia="Calibri" w:cstheme="minorHAnsi"/>
          <w:b/>
          <w:bCs/>
          <w:color w:val="00457D"/>
        </w:rPr>
      </w:pPr>
    </w:p>
    <w:sectPr w:rsidR="00F60D04" w:rsidRPr="00F60D04" w:rsidSect="0039730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3DC5F" w14:textId="77777777" w:rsidR="00442FD1" w:rsidRDefault="00442FD1" w:rsidP="00ED0CFD">
      <w:pPr>
        <w:spacing w:after="0" w:line="240" w:lineRule="auto"/>
      </w:pPr>
      <w:r>
        <w:separator/>
      </w:r>
    </w:p>
  </w:endnote>
  <w:endnote w:type="continuationSeparator" w:id="0">
    <w:p w14:paraId="217DDFE8" w14:textId="77777777" w:rsidR="00442FD1" w:rsidRDefault="00442FD1" w:rsidP="00ED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30EE6" w14:textId="77777777" w:rsidR="00442FD1" w:rsidRDefault="00442FD1" w:rsidP="00ED0CFD">
      <w:pPr>
        <w:spacing w:after="0" w:line="240" w:lineRule="auto"/>
      </w:pPr>
      <w:r>
        <w:separator/>
      </w:r>
    </w:p>
  </w:footnote>
  <w:footnote w:type="continuationSeparator" w:id="0">
    <w:p w14:paraId="2AEBBB8F" w14:textId="77777777" w:rsidR="00442FD1" w:rsidRDefault="00442FD1" w:rsidP="00ED0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688EF" w14:textId="6F5930A9" w:rsidR="00A02FC4" w:rsidRPr="00A02FC4" w:rsidRDefault="00A02FC4" w:rsidP="00A02FC4">
    <w:pPr>
      <w:pStyle w:val="Intestazione"/>
      <w:jc w:val="center"/>
      <w:rPr>
        <w:b/>
        <w:bCs/>
        <w:color w:val="FF000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F52DD"/>
    <w:multiLevelType w:val="hybridMultilevel"/>
    <w:tmpl w:val="78A828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94577D"/>
    <w:multiLevelType w:val="hybridMultilevel"/>
    <w:tmpl w:val="230A9B8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2C30C5"/>
    <w:multiLevelType w:val="hybridMultilevel"/>
    <w:tmpl w:val="7D0E03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1A786B"/>
    <w:multiLevelType w:val="hybridMultilevel"/>
    <w:tmpl w:val="28BCFFFA"/>
    <w:lvl w:ilvl="0" w:tplc="4740ED1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24522E"/>
    <w:multiLevelType w:val="hybridMultilevel"/>
    <w:tmpl w:val="F0E2A1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64119"/>
    <w:multiLevelType w:val="hybridMultilevel"/>
    <w:tmpl w:val="64D6E26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B0603F"/>
    <w:multiLevelType w:val="hybridMultilevel"/>
    <w:tmpl w:val="518CF2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2E41C2"/>
    <w:multiLevelType w:val="hybridMultilevel"/>
    <w:tmpl w:val="FB4672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337156"/>
    <w:multiLevelType w:val="hybridMultilevel"/>
    <w:tmpl w:val="79088E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B00356"/>
    <w:multiLevelType w:val="hybridMultilevel"/>
    <w:tmpl w:val="6EA076D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D829D7"/>
    <w:multiLevelType w:val="hybridMultilevel"/>
    <w:tmpl w:val="8C3C60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5834C7"/>
    <w:multiLevelType w:val="hybridMultilevel"/>
    <w:tmpl w:val="C7FEF9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422E1E"/>
    <w:multiLevelType w:val="hybridMultilevel"/>
    <w:tmpl w:val="4078C398"/>
    <w:lvl w:ilvl="0" w:tplc="6EAC591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6490B"/>
    <w:multiLevelType w:val="hybridMultilevel"/>
    <w:tmpl w:val="889C551A"/>
    <w:lvl w:ilvl="0" w:tplc="307C4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E34CBC"/>
    <w:multiLevelType w:val="hybridMultilevel"/>
    <w:tmpl w:val="F7168F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CD1426"/>
    <w:multiLevelType w:val="hybridMultilevel"/>
    <w:tmpl w:val="4CA0E6EA"/>
    <w:lvl w:ilvl="0" w:tplc="51663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99E43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1502A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99426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3E40A37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7F26466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DF46EF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698ED2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C78AA42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B7053B2"/>
    <w:multiLevelType w:val="multilevel"/>
    <w:tmpl w:val="41304EE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DE93405"/>
    <w:multiLevelType w:val="hybridMultilevel"/>
    <w:tmpl w:val="60A2857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6F65B8"/>
    <w:multiLevelType w:val="hybridMultilevel"/>
    <w:tmpl w:val="FBD6C8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164247"/>
    <w:multiLevelType w:val="hybridMultilevel"/>
    <w:tmpl w:val="A0A2ED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229DE"/>
    <w:multiLevelType w:val="hybridMultilevel"/>
    <w:tmpl w:val="E9003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7F7B30"/>
    <w:multiLevelType w:val="hybridMultilevel"/>
    <w:tmpl w:val="7AD49A2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8C659F4"/>
    <w:multiLevelType w:val="hybridMultilevel"/>
    <w:tmpl w:val="3A8A0F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CB37EA"/>
    <w:multiLevelType w:val="hybridMultilevel"/>
    <w:tmpl w:val="BB8C94C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BE685E"/>
    <w:multiLevelType w:val="hybridMultilevel"/>
    <w:tmpl w:val="43603ED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303CF9"/>
    <w:multiLevelType w:val="hybridMultilevel"/>
    <w:tmpl w:val="76B8F694"/>
    <w:lvl w:ilvl="0" w:tplc="49F6B3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9B76FC"/>
    <w:multiLevelType w:val="hybridMultilevel"/>
    <w:tmpl w:val="C70231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750FB"/>
    <w:multiLevelType w:val="hybridMultilevel"/>
    <w:tmpl w:val="D6FAC658"/>
    <w:lvl w:ilvl="0" w:tplc="841C8710">
      <w:start w:val="12"/>
      <w:numFmt w:val="bullet"/>
      <w:lvlText w:val="•"/>
      <w:lvlJc w:val="left"/>
      <w:pPr>
        <w:ind w:left="708" w:hanging="708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C0600FA"/>
    <w:multiLevelType w:val="hybridMultilevel"/>
    <w:tmpl w:val="8DEC3E5A"/>
    <w:lvl w:ilvl="0" w:tplc="4EF8FB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CA42AD"/>
    <w:multiLevelType w:val="hybridMultilevel"/>
    <w:tmpl w:val="C33EAF14"/>
    <w:lvl w:ilvl="0" w:tplc="0FBE32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457D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5591BA8"/>
    <w:multiLevelType w:val="hybridMultilevel"/>
    <w:tmpl w:val="BFA0DF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75CED"/>
    <w:multiLevelType w:val="hybridMultilevel"/>
    <w:tmpl w:val="82E6301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AAB5662"/>
    <w:multiLevelType w:val="hybridMultilevel"/>
    <w:tmpl w:val="76D4F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CB9081F"/>
    <w:multiLevelType w:val="hybridMultilevel"/>
    <w:tmpl w:val="53C89C6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D0E5A6C"/>
    <w:multiLevelType w:val="hybridMultilevel"/>
    <w:tmpl w:val="5D7CB6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DEE7716"/>
    <w:multiLevelType w:val="hybridMultilevel"/>
    <w:tmpl w:val="B2969C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EFE2386"/>
    <w:multiLevelType w:val="hybridMultilevel"/>
    <w:tmpl w:val="FABA43D0"/>
    <w:lvl w:ilvl="0" w:tplc="841C8710">
      <w:start w:val="12"/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7"/>
  </w:num>
  <w:num w:numId="3">
    <w:abstractNumId w:val="19"/>
  </w:num>
  <w:num w:numId="4">
    <w:abstractNumId w:val="38"/>
  </w:num>
  <w:num w:numId="5">
    <w:abstractNumId w:val="23"/>
  </w:num>
  <w:num w:numId="6">
    <w:abstractNumId w:val="18"/>
  </w:num>
  <w:num w:numId="7">
    <w:abstractNumId w:val="33"/>
  </w:num>
  <w:num w:numId="8">
    <w:abstractNumId w:val="31"/>
  </w:num>
  <w:num w:numId="9">
    <w:abstractNumId w:val="4"/>
  </w:num>
  <w:num w:numId="10">
    <w:abstractNumId w:val="5"/>
  </w:num>
  <w:num w:numId="11">
    <w:abstractNumId w:val="10"/>
  </w:num>
  <w:num w:numId="12">
    <w:abstractNumId w:val="13"/>
  </w:num>
  <w:num w:numId="13">
    <w:abstractNumId w:val="26"/>
  </w:num>
  <w:num w:numId="14">
    <w:abstractNumId w:val="8"/>
  </w:num>
  <w:num w:numId="15">
    <w:abstractNumId w:val="25"/>
  </w:num>
  <w:num w:numId="16">
    <w:abstractNumId w:val="40"/>
  </w:num>
  <w:num w:numId="17">
    <w:abstractNumId w:val="20"/>
  </w:num>
  <w:num w:numId="18">
    <w:abstractNumId w:val="16"/>
  </w:num>
  <w:num w:numId="19">
    <w:abstractNumId w:val="36"/>
  </w:num>
  <w:num w:numId="20">
    <w:abstractNumId w:val="32"/>
  </w:num>
  <w:num w:numId="21">
    <w:abstractNumId w:val="7"/>
  </w:num>
  <w:num w:numId="22">
    <w:abstractNumId w:val="28"/>
  </w:num>
  <w:num w:numId="23">
    <w:abstractNumId w:val="17"/>
  </w:num>
  <w:num w:numId="24">
    <w:abstractNumId w:val="42"/>
  </w:num>
  <w:num w:numId="25">
    <w:abstractNumId w:val="47"/>
  </w:num>
  <w:num w:numId="26">
    <w:abstractNumId w:val="35"/>
  </w:num>
  <w:num w:numId="27">
    <w:abstractNumId w:val="14"/>
  </w:num>
  <w:num w:numId="28">
    <w:abstractNumId w:val="21"/>
  </w:num>
  <w:num w:numId="29">
    <w:abstractNumId w:val="45"/>
  </w:num>
  <w:num w:numId="30">
    <w:abstractNumId w:val="11"/>
  </w:num>
  <w:num w:numId="31">
    <w:abstractNumId w:val="44"/>
  </w:num>
  <w:num w:numId="32">
    <w:abstractNumId w:val="46"/>
  </w:num>
  <w:num w:numId="33">
    <w:abstractNumId w:val="29"/>
  </w:num>
  <w:num w:numId="34">
    <w:abstractNumId w:val="15"/>
  </w:num>
  <w:num w:numId="35">
    <w:abstractNumId w:val="22"/>
  </w:num>
  <w:num w:numId="36">
    <w:abstractNumId w:val="1"/>
  </w:num>
  <w:num w:numId="37">
    <w:abstractNumId w:val="41"/>
  </w:num>
  <w:num w:numId="38">
    <w:abstractNumId w:val="24"/>
  </w:num>
  <w:num w:numId="39">
    <w:abstractNumId w:val="27"/>
  </w:num>
  <w:num w:numId="40">
    <w:abstractNumId w:val="0"/>
  </w:num>
  <w:num w:numId="41">
    <w:abstractNumId w:val="12"/>
  </w:num>
  <w:num w:numId="42">
    <w:abstractNumId w:val="3"/>
  </w:num>
  <w:num w:numId="43">
    <w:abstractNumId w:val="9"/>
  </w:num>
  <w:num w:numId="44">
    <w:abstractNumId w:val="39"/>
  </w:num>
  <w:num w:numId="45">
    <w:abstractNumId w:val="2"/>
  </w:num>
  <w:num w:numId="46">
    <w:abstractNumId w:val="30"/>
  </w:num>
  <w:num w:numId="47">
    <w:abstractNumId w:val="6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91"/>
    <w:rsid w:val="000007FC"/>
    <w:rsid w:val="0000149C"/>
    <w:rsid w:val="00002AAC"/>
    <w:rsid w:val="00002C1B"/>
    <w:rsid w:val="00002EC3"/>
    <w:rsid w:val="00003615"/>
    <w:rsid w:val="00003744"/>
    <w:rsid w:val="00003F78"/>
    <w:rsid w:val="000042B2"/>
    <w:rsid w:val="00004B0A"/>
    <w:rsid w:val="00005664"/>
    <w:rsid w:val="00005B25"/>
    <w:rsid w:val="000064FE"/>
    <w:rsid w:val="00006555"/>
    <w:rsid w:val="0000695A"/>
    <w:rsid w:val="00010498"/>
    <w:rsid w:val="000123C4"/>
    <w:rsid w:val="0001384A"/>
    <w:rsid w:val="00013DFA"/>
    <w:rsid w:val="0001439D"/>
    <w:rsid w:val="000146FF"/>
    <w:rsid w:val="00015D8E"/>
    <w:rsid w:val="000170A0"/>
    <w:rsid w:val="00017968"/>
    <w:rsid w:val="00017FB4"/>
    <w:rsid w:val="00020006"/>
    <w:rsid w:val="00021B81"/>
    <w:rsid w:val="00021D7F"/>
    <w:rsid w:val="000239FE"/>
    <w:rsid w:val="00023D8A"/>
    <w:rsid w:val="00024F8A"/>
    <w:rsid w:val="000252D2"/>
    <w:rsid w:val="00025ADB"/>
    <w:rsid w:val="0003112C"/>
    <w:rsid w:val="00034188"/>
    <w:rsid w:val="00034337"/>
    <w:rsid w:val="000346D7"/>
    <w:rsid w:val="00034D73"/>
    <w:rsid w:val="00035404"/>
    <w:rsid w:val="00036089"/>
    <w:rsid w:val="00036788"/>
    <w:rsid w:val="000411ED"/>
    <w:rsid w:val="000412D7"/>
    <w:rsid w:val="00043D1A"/>
    <w:rsid w:val="00043D1F"/>
    <w:rsid w:val="0004410A"/>
    <w:rsid w:val="00046B2C"/>
    <w:rsid w:val="0004703D"/>
    <w:rsid w:val="00051F7A"/>
    <w:rsid w:val="000520CC"/>
    <w:rsid w:val="00053C8D"/>
    <w:rsid w:val="00053EBE"/>
    <w:rsid w:val="0005402C"/>
    <w:rsid w:val="00054250"/>
    <w:rsid w:val="00055180"/>
    <w:rsid w:val="00055AE9"/>
    <w:rsid w:val="00055D27"/>
    <w:rsid w:val="0005693E"/>
    <w:rsid w:val="000602AA"/>
    <w:rsid w:val="00063E0B"/>
    <w:rsid w:val="0006440E"/>
    <w:rsid w:val="0006471B"/>
    <w:rsid w:val="00064B9B"/>
    <w:rsid w:val="000657A8"/>
    <w:rsid w:val="000662E3"/>
    <w:rsid w:val="00067ACA"/>
    <w:rsid w:val="00067B8F"/>
    <w:rsid w:val="000707B3"/>
    <w:rsid w:val="000715A9"/>
    <w:rsid w:val="00071F0A"/>
    <w:rsid w:val="00073870"/>
    <w:rsid w:val="00074788"/>
    <w:rsid w:val="00076A48"/>
    <w:rsid w:val="000771A4"/>
    <w:rsid w:val="00077876"/>
    <w:rsid w:val="0008045C"/>
    <w:rsid w:val="00080695"/>
    <w:rsid w:val="0008103B"/>
    <w:rsid w:val="000815B7"/>
    <w:rsid w:val="000826DD"/>
    <w:rsid w:val="00082AC6"/>
    <w:rsid w:val="00082D7D"/>
    <w:rsid w:val="00083028"/>
    <w:rsid w:val="000863FA"/>
    <w:rsid w:val="00090941"/>
    <w:rsid w:val="00090A39"/>
    <w:rsid w:val="00090B7E"/>
    <w:rsid w:val="00090CF8"/>
    <w:rsid w:val="000924AD"/>
    <w:rsid w:val="000927C7"/>
    <w:rsid w:val="0009291A"/>
    <w:rsid w:val="000935F1"/>
    <w:rsid w:val="00094560"/>
    <w:rsid w:val="000947C4"/>
    <w:rsid w:val="00095589"/>
    <w:rsid w:val="00095BA9"/>
    <w:rsid w:val="00097C59"/>
    <w:rsid w:val="00097CF1"/>
    <w:rsid w:val="000A0FC3"/>
    <w:rsid w:val="000A1367"/>
    <w:rsid w:val="000A2084"/>
    <w:rsid w:val="000A226B"/>
    <w:rsid w:val="000A3932"/>
    <w:rsid w:val="000A471C"/>
    <w:rsid w:val="000A4C27"/>
    <w:rsid w:val="000A58EB"/>
    <w:rsid w:val="000A62A9"/>
    <w:rsid w:val="000A6EB6"/>
    <w:rsid w:val="000A7B66"/>
    <w:rsid w:val="000B07B0"/>
    <w:rsid w:val="000B12EB"/>
    <w:rsid w:val="000B185F"/>
    <w:rsid w:val="000B1C52"/>
    <w:rsid w:val="000B2168"/>
    <w:rsid w:val="000B3A46"/>
    <w:rsid w:val="000B50CD"/>
    <w:rsid w:val="000B6DD0"/>
    <w:rsid w:val="000B710C"/>
    <w:rsid w:val="000B7985"/>
    <w:rsid w:val="000B7E0B"/>
    <w:rsid w:val="000C098C"/>
    <w:rsid w:val="000C0B04"/>
    <w:rsid w:val="000C1D8E"/>
    <w:rsid w:val="000C344B"/>
    <w:rsid w:val="000C544C"/>
    <w:rsid w:val="000C6130"/>
    <w:rsid w:val="000C72F9"/>
    <w:rsid w:val="000D02E4"/>
    <w:rsid w:val="000D1377"/>
    <w:rsid w:val="000D17FB"/>
    <w:rsid w:val="000D25AC"/>
    <w:rsid w:val="000D2AE0"/>
    <w:rsid w:val="000D3C58"/>
    <w:rsid w:val="000D44D4"/>
    <w:rsid w:val="000D5771"/>
    <w:rsid w:val="000D5893"/>
    <w:rsid w:val="000D6150"/>
    <w:rsid w:val="000D7252"/>
    <w:rsid w:val="000D7A72"/>
    <w:rsid w:val="000D7F45"/>
    <w:rsid w:val="000E0D27"/>
    <w:rsid w:val="000E2CC8"/>
    <w:rsid w:val="000E2E4F"/>
    <w:rsid w:val="000E6B01"/>
    <w:rsid w:val="000E7CC2"/>
    <w:rsid w:val="000F0B1B"/>
    <w:rsid w:val="000F0BBD"/>
    <w:rsid w:val="000F10F8"/>
    <w:rsid w:val="000F39EF"/>
    <w:rsid w:val="000F5C0F"/>
    <w:rsid w:val="0010059E"/>
    <w:rsid w:val="00101E16"/>
    <w:rsid w:val="001020FC"/>
    <w:rsid w:val="00102CE3"/>
    <w:rsid w:val="00103720"/>
    <w:rsid w:val="001043DB"/>
    <w:rsid w:val="0010593B"/>
    <w:rsid w:val="0010685E"/>
    <w:rsid w:val="00107096"/>
    <w:rsid w:val="0010719F"/>
    <w:rsid w:val="00107984"/>
    <w:rsid w:val="0011070B"/>
    <w:rsid w:val="0011205F"/>
    <w:rsid w:val="001139A6"/>
    <w:rsid w:val="00113D4A"/>
    <w:rsid w:val="00113F3C"/>
    <w:rsid w:val="001167D9"/>
    <w:rsid w:val="0011796A"/>
    <w:rsid w:val="00117F68"/>
    <w:rsid w:val="00120465"/>
    <w:rsid w:val="0012322D"/>
    <w:rsid w:val="00123473"/>
    <w:rsid w:val="00125838"/>
    <w:rsid w:val="00125C6A"/>
    <w:rsid w:val="001262A5"/>
    <w:rsid w:val="00127AEF"/>
    <w:rsid w:val="00130907"/>
    <w:rsid w:val="001317CF"/>
    <w:rsid w:val="00132082"/>
    <w:rsid w:val="00134A6D"/>
    <w:rsid w:val="00134C8C"/>
    <w:rsid w:val="00135D93"/>
    <w:rsid w:val="0013620E"/>
    <w:rsid w:val="00137A73"/>
    <w:rsid w:val="00142460"/>
    <w:rsid w:val="00143689"/>
    <w:rsid w:val="00143F81"/>
    <w:rsid w:val="00144377"/>
    <w:rsid w:val="00144B49"/>
    <w:rsid w:val="00144F94"/>
    <w:rsid w:val="001458FE"/>
    <w:rsid w:val="001465C6"/>
    <w:rsid w:val="001471AF"/>
    <w:rsid w:val="001504F4"/>
    <w:rsid w:val="00150EF3"/>
    <w:rsid w:val="00151E5F"/>
    <w:rsid w:val="0015229D"/>
    <w:rsid w:val="00154086"/>
    <w:rsid w:val="00155161"/>
    <w:rsid w:val="00155751"/>
    <w:rsid w:val="001560D3"/>
    <w:rsid w:val="001617D2"/>
    <w:rsid w:val="00162D42"/>
    <w:rsid w:val="00162FBC"/>
    <w:rsid w:val="0016375C"/>
    <w:rsid w:val="001637AE"/>
    <w:rsid w:val="00163D48"/>
    <w:rsid w:val="001654A5"/>
    <w:rsid w:val="00165E45"/>
    <w:rsid w:val="00170760"/>
    <w:rsid w:val="00170B46"/>
    <w:rsid w:val="00171767"/>
    <w:rsid w:val="00173764"/>
    <w:rsid w:val="0017405D"/>
    <w:rsid w:val="001748BA"/>
    <w:rsid w:val="00182F55"/>
    <w:rsid w:val="0018554D"/>
    <w:rsid w:val="00185694"/>
    <w:rsid w:val="00185966"/>
    <w:rsid w:val="00186FCE"/>
    <w:rsid w:val="00192DAD"/>
    <w:rsid w:val="00192F75"/>
    <w:rsid w:val="00193F19"/>
    <w:rsid w:val="00194C03"/>
    <w:rsid w:val="00196C2D"/>
    <w:rsid w:val="001A038D"/>
    <w:rsid w:val="001A2B0C"/>
    <w:rsid w:val="001A3E0D"/>
    <w:rsid w:val="001A3E96"/>
    <w:rsid w:val="001A5B33"/>
    <w:rsid w:val="001A6181"/>
    <w:rsid w:val="001B171D"/>
    <w:rsid w:val="001B1CE6"/>
    <w:rsid w:val="001B463F"/>
    <w:rsid w:val="001B59E3"/>
    <w:rsid w:val="001B6AC9"/>
    <w:rsid w:val="001B7A15"/>
    <w:rsid w:val="001C09A7"/>
    <w:rsid w:val="001C367A"/>
    <w:rsid w:val="001C51E2"/>
    <w:rsid w:val="001C6507"/>
    <w:rsid w:val="001C6B8F"/>
    <w:rsid w:val="001C71B6"/>
    <w:rsid w:val="001C7324"/>
    <w:rsid w:val="001D0E41"/>
    <w:rsid w:val="001D153D"/>
    <w:rsid w:val="001D19F1"/>
    <w:rsid w:val="001D2337"/>
    <w:rsid w:val="001D240E"/>
    <w:rsid w:val="001D38B9"/>
    <w:rsid w:val="001D4CE8"/>
    <w:rsid w:val="001D4EAE"/>
    <w:rsid w:val="001E1854"/>
    <w:rsid w:val="001E1E52"/>
    <w:rsid w:val="001E42B9"/>
    <w:rsid w:val="001E53AB"/>
    <w:rsid w:val="001E6902"/>
    <w:rsid w:val="001F0746"/>
    <w:rsid w:val="001F1C35"/>
    <w:rsid w:val="001F20B8"/>
    <w:rsid w:val="001F22DB"/>
    <w:rsid w:val="002020DB"/>
    <w:rsid w:val="00202A01"/>
    <w:rsid w:val="00203D3A"/>
    <w:rsid w:val="0020435A"/>
    <w:rsid w:val="00206047"/>
    <w:rsid w:val="00206A88"/>
    <w:rsid w:val="00207301"/>
    <w:rsid w:val="002073BD"/>
    <w:rsid w:val="00207B90"/>
    <w:rsid w:val="00210158"/>
    <w:rsid w:val="0021155E"/>
    <w:rsid w:val="00211D1A"/>
    <w:rsid w:val="00216226"/>
    <w:rsid w:val="00216F04"/>
    <w:rsid w:val="0022389A"/>
    <w:rsid w:val="00223F01"/>
    <w:rsid w:val="00224E88"/>
    <w:rsid w:val="00224EF1"/>
    <w:rsid w:val="00227E91"/>
    <w:rsid w:val="002304E3"/>
    <w:rsid w:val="0023195E"/>
    <w:rsid w:val="002328C6"/>
    <w:rsid w:val="00233EF5"/>
    <w:rsid w:val="002349C3"/>
    <w:rsid w:val="00235FC2"/>
    <w:rsid w:val="00236116"/>
    <w:rsid w:val="00236239"/>
    <w:rsid w:val="0023633F"/>
    <w:rsid w:val="0023771D"/>
    <w:rsid w:val="00237CAD"/>
    <w:rsid w:val="00241AD5"/>
    <w:rsid w:val="00241E9C"/>
    <w:rsid w:val="00242077"/>
    <w:rsid w:val="00243B76"/>
    <w:rsid w:val="00243F05"/>
    <w:rsid w:val="0025100A"/>
    <w:rsid w:val="00251386"/>
    <w:rsid w:val="00251AC2"/>
    <w:rsid w:val="00251D02"/>
    <w:rsid w:val="002534BD"/>
    <w:rsid w:val="002551A1"/>
    <w:rsid w:val="0025636B"/>
    <w:rsid w:val="002571A3"/>
    <w:rsid w:val="00260A01"/>
    <w:rsid w:val="00261479"/>
    <w:rsid w:val="00262274"/>
    <w:rsid w:val="00265450"/>
    <w:rsid w:val="00265B05"/>
    <w:rsid w:val="00265F6C"/>
    <w:rsid w:val="00266561"/>
    <w:rsid w:val="00266E0C"/>
    <w:rsid w:val="00266E1A"/>
    <w:rsid w:val="00270A49"/>
    <w:rsid w:val="002723FC"/>
    <w:rsid w:val="0027468B"/>
    <w:rsid w:val="002762A4"/>
    <w:rsid w:val="00281794"/>
    <w:rsid w:val="00282655"/>
    <w:rsid w:val="00282DAE"/>
    <w:rsid w:val="0028369A"/>
    <w:rsid w:val="00284792"/>
    <w:rsid w:val="00285433"/>
    <w:rsid w:val="00287105"/>
    <w:rsid w:val="00287452"/>
    <w:rsid w:val="00290375"/>
    <w:rsid w:val="00291602"/>
    <w:rsid w:val="00291DFC"/>
    <w:rsid w:val="00291E15"/>
    <w:rsid w:val="00293854"/>
    <w:rsid w:val="0029392F"/>
    <w:rsid w:val="00294781"/>
    <w:rsid w:val="00295416"/>
    <w:rsid w:val="00297583"/>
    <w:rsid w:val="002A0718"/>
    <w:rsid w:val="002A1ECA"/>
    <w:rsid w:val="002A2034"/>
    <w:rsid w:val="002A3232"/>
    <w:rsid w:val="002A538A"/>
    <w:rsid w:val="002A5A93"/>
    <w:rsid w:val="002A6F12"/>
    <w:rsid w:val="002B12E6"/>
    <w:rsid w:val="002B1329"/>
    <w:rsid w:val="002B2CE2"/>
    <w:rsid w:val="002B7295"/>
    <w:rsid w:val="002B7C26"/>
    <w:rsid w:val="002B7F03"/>
    <w:rsid w:val="002C0B56"/>
    <w:rsid w:val="002C0B93"/>
    <w:rsid w:val="002C0BE4"/>
    <w:rsid w:val="002C0F1B"/>
    <w:rsid w:val="002C4190"/>
    <w:rsid w:val="002C433C"/>
    <w:rsid w:val="002C4460"/>
    <w:rsid w:val="002C4581"/>
    <w:rsid w:val="002C5187"/>
    <w:rsid w:val="002C5517"/>
    <w:rsid w:val="002C7967"/>
    <w:rsid w:val="002D02BA"/>
    <w:rsid w:val="002D1354"/>
    <w:rsid w:val="002D1A9D"/>
    <w:rsid w:val="002D1CBC"/>
    <w:rsid w:val="002D2C39"/>
    <w:rsid w:val="002D390F"/>
    <w:rsid w:val="002D48A6"/>
    <w:rsid w:val="002D4D2D"/>
    <w:rsid w:val="002D61E1"/>
    <w:rsid w:val="002D6AD0"/>
    <w:rsid w:val="002D7409"/>
    <w:rsid w:val="002E2D66"/>
    <w:rsid w:val="002E33A2"/>
    <w:rsid w:val="002E3609"/>
    <w:rsid w:val="002E5382"/>
    <w:rsid w:val="002E5E3C"/>
    <w:rsid w:val="002F07F4"/>
    <w:rsid w:val="002F1433"/>
    <w:rsid w:val="002F2E6A"/>
    <w:rsid w:val="002F323D"/>
    <w:rsid w:val="002F33C2"/>
    <w:rsid w:val="002F412E"/>
    <w:rsid w:val="002F4170"/>
    <w:rsid w:val="002F4586"/>
    <w:rsid w:val="002F605D"/>
    <w:rsid w:val="00300EF7"/>
    <w:rsid w:val="00305113"/>
    <w:rsid w:val="00306B44"/>
    <w:rsid w:val="00310511"/>
    <w:rsid w:val="00310654"/>
    <w:rsid w:val="00311603"/>
    <w:rsid w:val="00311E5C"/>
    <w:rsid w:val="003121F3"/>
    <w:rsid w:val="00312539"/>
    <w:rsid w:val="00313AD1"/>
    <w:rsid w:val="003149A9"/>
    <w:rsid w:val="00314A83"/>
    <w:rsid w:val="00315407"/>
    <w:rsid w:val="00315734"/>
    <w:rsid w:val="0031648A"/>
    <w:rsid w:val="0031755E"/>
    <w:rsid w:val="0032033F"/>
    <w:rsid w:val="00321C3D"/>
    <w:rsid w:val="00323798"/>
    <w:rsid w:val="00323A55"/>
    <w:rsid w:val="00325E98"/>
    <w:rsid w:val="003268D1"/>
    <w:rsid w:val="00326DCF"/>
    <w:rsid w:val="00327AF0"/>
    <w:rsid w:val="00330694"/>
    <w:rsid w:val="00330A9B"/>
    <w:rsid w:val="00331237"/>
    <w:rsid w:val="00331B49"/>
    <w:rsid w:val="00331F29"/>
    <w:rsid w:val="00333A1D"/>
    <w:rsid w:val="0033460B"/>
    <w:rsid w:val="00334F92"/>
    <w:rsid w:val="00335358"/>
    <w:rsid w:val="0033579B"/>
    <w:rsid w:val="00336D93"/>
    <w:rsid w:val="0033752D"/>
    <w:rsid w:val="0034291E"/>
    <w:rsid w:val="00343723"/>
    <w:rsid w:val="003443B4"/>
    <w:rsid w:val="0034453E"/>
    <w:rsid w:val="00344689"/>
    <w:rsid w:val="003456F8"/>
    <w:rsid w:val="00347675"/>
    <w:rsid w:val="00347BD4"/>
    <w:rsid w:val="00347CD5"/>
    <w:rsid w:val="00350B80"/>
    <w:rsid w:val="00351462"/>
    <w:rsid w:val="00351B97"/>
    <w:rsid w:val="00353E36"/>
    <w:rsid w:val="003554E0"/>
    <w:rsid w:val="00355B64"/>
    <w:rsid w:val="00355DBF"/>
    <w:rsid w:val="00356991"/>
    <w:rsid w:val="003576FF"/>
    <w:rsid w:val="00357F80"/>
    <w:rsid w:val="0036003F"/>
    <w:rsid w:val="003622B7"/>
    <w:rsid w:val="0036304D"/>
    <w:rsid w:val="003631B2"/>
    <w:rsid w:val="00363764"/>
    <w:rsid w:val="0036462F"/>
    <w:rsid w:val="00366B36"/>
    <w:rsid w:val="00367A4B"/>
    <w:rsid w:val="00372887"/>
    <w:rsid w:val="00373EDC"/>
    <w:rsid w:val="00374404"/>
    <w:rsid w:val="003752A0"/>
    <w:rsid w:val="00375C4D"/>
    <w:rsid w:val="0037629E"/>
    <w:rsid w:val="00380A73"/>
    <w:rsid w:val="00380DD7"/>
    <w:rsid w:val="00382F29"/>
    <w:rsid w:val="00384AF1"/>
    <w:rsid w:val="00385A79"/>
    <w:rsid w:val="00386385"/>
    <w:rsid w:val="00386798"/>
    <w:rsid w:val="00387555"/>
    <w:rsid w:val="0039006E"/>
    <w:rsid w:val="00391AD2"/>
    <w:rsid w:val="0039248C"/>
    <w:rsid w:val="003928A8"/>
    <w:rsid w:val="0039343C"/>
    <w:rsid w:val="00393527"/>
    <w:rsid w:val="00393B9D"/>
    <w:rsid w:val="00394823"/>
    <w:rsid w:val="003955A0"/>
    <w:rsid w:val="00395CA3"/>
    <w:rsid w:val="0039730F"/>
    <w:rsid w:val="0039786B"/>
    <w:rsid w:val="003978DA"/>
    <w:rsid w:val="003A13B4"/>
    <w:rsid w:val="003A47A3"/>
    <w:rsid w:val="003A72AE"/>
    <w:rsid w:val="003B04B0"/>
    <w:rsid w:val="003B1262"/>
    <w:rsid w:val="003B2F0B"/>
    <w:rsid w:val="003B3769"/>
    <w:rsid w:val="003B436C"/>
    <w:rsid w:val="003B4A8D"/>
    <w:rsid w:val="003B4EFB"/>
    <w:rsid w:val="003B5D7A"/>
    <w:rsid w:val="003B72C4"/>
    <w:rsid w:val="003C276B"/>
    <w:rsid w:val="003C3908"/>
    <w:rsid w:val="003C48B6"/>
    <w:rsid w:val="003C4D0F"/>
    <w:rsid w:val="003C6764"/>
    <w:rsid w:val="003C6B6D"/>
    <w:rsid w:val="003C7C89"/>
    <w:rsid w:val="003D06AF"/>
    <w:rsid w:val="003D4318"/>
    <w:rsid w:val="003D58EA"/>
    <w:rsid w:val="003D5F92"/>
    <w:rsid w:val="003D6200"/>
    <w:rsid w:val="003D66C8"/>
    <w:rsid w:val="003D6B2B"/>
    <w:rsid w:val="003E0375"/>
    <w:rsid w:val="003E2B21"/>
    <w:rsid w:val="003E4422"/>
    <w:rsid w:val="003E4FF7"/>
    <w:rsid w:val="003E5D9E"/>
    <w:rsid w:val="003E7EEF"/>
    <w:rsid w:val="003F0358"/>
    <w:rsid w:val="003F1AAC"/>
    <w:rsid w:val="003F35EF"/>
    <w:rsid w:val="003F3B35"/>
    <w:rsid w:val="003F470F"/>
    <w:rsid w:val="003F4D39"/>
    <w:rsid w:val="003F5B78"/>
    <w:rsid w:val="004011FF"/>
    <w:rsid w:val="00402689"/>
    <w:rsid w:val="00404750"/>
    <w:rsid w:val="00404BE7"/>
    <w:rsid w:val="004052B2"/>
    <w:rsid w:val="00405B21"/>
    <w:rsid w:val="00405C0C"/>
    <w:rsid w:val="00405FC1"/>
    <w:rsid w:val="00405FFB"/>
    <w:rsid w:val="00406F4B"/>
    <w:rsid w:val="00410B6F"/>
    <w:rsid w:val="004115E0"/>
    <w:rsid w:val="00412253"/>
    <w:rsid w:val="0041320C"/>
    <w:rsid w:val="004146E8"/>
    <w:rsid w:val="00415770"/>
    <w:rsid w:val="00415FC6"/>
    <w:rsid w:val="004173A2"/>
    <w:rsid w:val="004179EB"/>
    <w:rsid w:val="004235B1"/>
    <w:rsid w:val="00423722"/>
    <w:rsid w:val="00424784"/>
    <w:rsid w:val="00425BA5"/>
    <w:rsid w:val="00425CC1"/>
    <w:rsid w:val="00426711"/>
    <w:rsid w:val="00427102"/>
    <w:rsid w:val="00430270"/>
    <w:rsid w:val="00430387"/>
    <w:rsid w:val="004303BA"/>
    <w:rsid w:val="00433F53"/>
    <w:rsid w:val="00434060"/>
    <w:rsid w:val="00436E44"/>
    <w:rsid w:val="00437173"/>
    <w:rsid w:val="0043755D"/>
    <w:rsid w:val="0044012A"/>
    <w:rsid w:val="00441D52"/>
    <w:rsid w:val="00442312"/>
    <w:rsid w:val="00442FD1"/>
    <w:rsid w:val="004432F6"/>
    <w:rsid w:val="004443BE"/>
    <w:rsid w:val="004446C5"/>
    <w:rsid w:val="00446775"/>
    <w:rsid w:val="004469F9"/>
    <w:rsid w:val="00446D56"/>
    <w:rsid w:val="00446F85"/>
    <w:rsid w:val="004522B4"/>
    <w:rsid w:val="00452714"/>
    <w:rsid w:val="00452891"/>
    <w:rsid w:val="00452900"/>
    <w:rsid w:val="00452A5B"/>
    <w:rsid w:val="00452CED"/>
    <w:rsid w:val="00453189"/>
    <w:rsid w:val="0045385A"/>
    <w:rsid w:val="00454813"/>
    <w:rsid w:val="00456AC9"/>
    <w:rsid w:val="0046020B"/>
    <w:rsid w:val="004619D4"/>
    <w:rsid w:val="00461BFF"/>
    <w:rsid w:val="0046257E"/>
    <w:rsid w:val="004642C0"/>
    <w:rsid w:val="0046775E"/>
    <w:rsid w:val="0047009B"/>
    <w:rsid w:val="00470D92"/>
    <w:rsid w:val="00472CFC"/>
    <w:rsid w:val="00475510"/>
    <w:rsid w:val="0047586E"/>
    <w:rsid w:val="00475D67"/>
    <w:rsid w:val="00480E9D"/>
    <w:rsid w:val="004813BB"/>
    <w:rsid w:val="00485168"/>
    <w:rsid w:val="004851ED"/>
    <w:rsid w:val="0048588A"/>
    <w:rsid w:val="00487C49"/>
    <w:rsid w:val="00487D31"/>
    <w:rsid w:val="00490397"/>
    <w:rsid w:val="00490692"/>
    <w:rsid w:val="00494AD0"/>
    <w:rsid w:val="004952D7"/>
    <w:rsid w:val="00495C7D"/>
    <w:rsid w:val="00496108"/>
    <w:rsid w:val="00496192"/>
    <w:rsid w:val="00497373"/>
    <w:rsid w:val="00497823"/>
    <w:rsid w:val="00497E27"/>
    <w:rsid w:val="004A0830"/>
    <w:rsid w:val="004A0E05"/>
    <w:rsid w:val="004A11C7"/>
    <w:rsid w:val="004A18D7"/>
    <w:rsid w:val="004A1B26"/>
    <w:rsid w:val="004A49DD"/>
    <w:rsid w:val="004A4A80"/>
    <w:rsid w:val="004A5489"/>
    <w:rsid w:val="004B0C50"/>
    <w:rsid w:val="004B7AD5"/>
    <w:rsid w:val="004C17CB"/>
    <w:rsid w:val="004C20EC"/>
    <w:rsid w:val="004C420E"/>
    <w:rsid w:val="004C6C35"/>
    <w:rsid w:val="004C7929"/>
    <w:rsid w:val="004C7B3B"/>
    <w:rsid w:val="004D0248"/>
    <w:rsid w:val="004D0BDF"/>
    <w:rsid w:val="004D3A0B"/>
    <w:rsid w:val="004D469E"/>
    <w:rsid w:val="004D4B67"/>
    <w:rsid w:val="004D4F66"/>
    <w:rsid w:val="004D6DAE"/>
    <w:rsid w:val="004D7D30"/>
    <w:rsid w:val="004E1CD8"/>
    <w:rsid w:val="004E27A9"/>
    <w:rsid w:val="004E3A57"/>
    <w:rsid w:val="004E4113"/>
    <w:rsid w:val="004E472B"/>
    <w:rsid w:val="004E4BBD"/>
    <w:rsid w:val="004E5018"/>
    <w:rsid w:val="004E5200"/>
    <w:rsid w:val="004E551F"/>
    <w:rsid w:val="004E5EFE"/>
    <w:rsid w:val="004E66AC"/>
    <w:rsid w:val="004E6B7B"/>
    <w:rsid w:val="004E70AD"/>
    <w:rsid w:val="004E7D7F"/>
    <w:rsid w:val="004E7F6A"/>
    <w:rsid w:val="004F064A"/>
    <w:rsid w:val="004F0FD3"/>
    <w:rsid w:val="004F1D5B"/>
    <w:rsid w:val="004F3ABE"/>
    <w:rsid w:val="004F3FEB"/>
    <w:rsid w:val="004F5454"/>
    <w:rsid w:val="004F5B37"/>
    <w:rsid w:val="004F6AEC"/>
    <w:rsid w:val="005014CD"/>
    <w:rsid w:val="00501793"/>
    <w:rsid w:val="00505BFD"/>
    <w:rsid w:val="005074D5"/>
    <w:rsid w:val="00510AA1"/>
    <w:rsid w:val="00511788"/>
    <w:rsid w:val="00511E6F"/>
    <w:rsid w:val="005127CE"/>
    <w:rsid w:val="00512879"/>
    <w:rsid w:val="00512D17"/>
    <w:rsid w:val="00513265"/>
    <w:rsid w:val="00513282"/>
    <w:rsid w:val="005151BE"/>
    <w:rsid w:val="005204CB"/>
    <w:rsid w:val="0052211A"/>
    <w:rsid w:val="00522208"/>
    <w:rsid w:val="005240BD"/>
    <w:rsid w:val="00524404"/>
    <w:rsid w:val="00524BCF"/>
    <w:rsid w:val="00524F37"/>
    <w:rsid w:val="00525AEA"/>
    <w:rsid w:val="00525FA8"/>
    <w:rsid w:val="005272D8"/>
    <w:rsid w:val="005300D5"/>
    <w:rsid w:val="00530B7D"/>
    <w:rsid w:val="005310E8"/>
    <w:rsid w:val="00531EA2"/>
    <w:rsid w:val="00532D90"/>
    <w:rsid w:val="00532F66"/>
    <w:rsid w:val="00533D48"/>
    <w:rsid w:val="00535A6B"/>
    <w:rsid w:val="005371B9"/>
    <w:rsid w:val="00537869"/>
    <w:rsid w:val="005419E9"/>
    <w:rsid w:val="00541DC9"/>
    <w:rsid w:val="00542475"/>
    <w:rsid w:val="005440CF"/>
    <w:rsid w:val="0054498A"/>
    <w:rsid w:val="0054516B"/>
    <w:rsid w:val="005458FE"/>
    <w:rsid w:val="00545910"/>
    <w:rsid w:val="00546397"/>
    <w:rsid w:val="00550757"/>
    <w:rsid w:val="00550C9C"/>
    <w:rsid w:val="00551444"/>
    <w:rsid w:val="005516A8"/>
    <w:rsid w:val="005533C4"/>
    <w:rsid w:val="00554741"/>
    <w:rsid w:val="0055482E"/>
    <w:rsid w:val="005602F8"/>
    <w:rsid w:val="00560786"/>
    <w:rsid w:val="00560B81"/>
    <w:rsid w:val="005621C6"/>
    <w:rsid w:val="0056268F"/>
    <w:rsid w:val="00564802"/>
    <w:rsid w:val="005653D8"/>
    <w:rsid w:val="00565C3C"/>
    <w:rsid w:val="005661CB"/>
    <w:rsid w:val="00566974"/>
    <w:rsid w:val="00567623"/>
    <w:rsid w:val="0057085B"/>
    <w:rsid w:val="00570C6B"/>
    <w:rsid w:val="0057169A"/>
    <w:rsid w:val="00571AA7"/>
    <w:rsid w:val="00572DF6"/>
    <w:rsid w:val="00573388"/>
    <w:rsid w:val="00573AB6"/>
    <w:rsid w:val="00577D77"/>
    <w:rsid w:val="00580725"/>
    <w:rsid w:val="005807CD"/>
    <w:rsid w:val="005811B9"/>
    <w:rsid w:val="00581CAA"/>
    <w:rsid w:val="0058245E"/>
    <w:rsid w:val="00583C1D"/>
    <w:rsid w:val="0058608A"/>
    <w:rsid w:val="00586657"/>
    <w:rsid w:val="0058695B"/>
    <w:rsid w:val="00586FDE"/>
    <w:rsid w:val="00587B6A"/>
    <w:rsid w:val="00587C9B"/>
    <w:rsid w:val="00587F5D"/>
    <w:rsid w:val="00590E5A"/>
    <w:rsid w:val="005940D1"/>
    <w:rsid w:val="00594E34"/>
    <w:rsid w:val="00595908"/>
    <w:rsid w:val="00596B3D"/>
    <w:rsid w:val="005A0477"/>
    <w:rsid w:val="005A07E1"/>
    <w:rsid w:val="005A2279"/>
    <w:rsid w:val="005A2BB7"/>
    <w:rsid w:val="005A3A8D"/>
    <w:rsid w:val="005A4ADA"/>
    <w:rsid w:val="005A6F2F"/>
    <w:rsid w:val="005A7757"/>
    <w:rsid w:val="005B283E"/>
    <w:rsid w:val="005B2D6F"/>
    <w:rsid w:val="005B3A18"/>
    <w:rsid w:val="005B41AA"/>
    <w:rsid w:val="005B4F61"/>
    <w:rsid w:val="005B57EF"/>
    <w:rsid w:val="005B6905"/>
    <w:rsid w:val="005B724E"/>
    <w:rsid w:val="005C0B5C"/>
    <w:rsid w:val="005C5968"/>
    <w:rsid w:val="005C7707"/>
    <w:rsid w:val="005D133C"/>
    <w:rsid w:val="005D18F5"/>
    <w:rsid w:val="005D1B9A"/>
    <w:rsid w:val="005D27B7"/>
    <w:rsid w:val="005D33D4"/>
    <w:rsid w:val="005D5637"/>
    <w:rsid w:val="005D5CF2"/>
    <w:rsid w:val="005D5E76"/>
    <w:rsid w:val="005D72FB"/>
    <w:rsid w:val="005D780C"/>
    <w:rsid w:val="005D7836"/>
    <w:rsid w:val="005D7FCA"/>
    <w:rsid w:val="005E1232"/>
    <w:rsid w:val="005E28ED"/>
    <w:rsid w:val="005E2EE9"/>
    <w:rsid w:val="005E2F7A"/>
    <w:rsid w:val="005E37DA"/>
    <w:rsid w:val="005E4206"/>
    <w:rsid w:val="005E4217"/>
    <w:rsid w:val="005E485F"/>
    <w:rsid w:val="005F023A"/>
    <w:rsid w:val="005F2729"/>
    <w:rsid w:val="005F2A98"/>
    <w:rsid w:val="005F3758"/>
    <w:rsid w:val="005F71F9"/>
    <w:rsid w:val="006002AA"/>
    <w:rsid w:val="006031F5"/>
    <w:rsid w:val="006033AD"/>
    <w:rsid w:val="0060698B"/>
    <w:rsid w:val="00611C67"/>
    <w:rsid w:val="00613C6D"/>
    <w:rsid w:val="00614076"/>
    <w:rsid w:val="00614E5A"/>
    <w:rsid w:val="00616235"/>
    <w:rsid w:val="00617492"/>
    <w:rsid w:val="00620244"/>
    <w:rsid w:val="00620B8A"/>
    <w:rsid w:val="00620CAC"/>
    <w:rsid w:val="00621BB1"/>
    <w:rsid w:val="00621BC9"/>
    <w:rsid w:val="0062275E"/>
    <w:rsid w:val="00624351"/>
    <w:rsid w:val="0062554E"/>
    <w:rsid w:val="00630230"/>
    <w:rsid w:val="00630BEB"/>
    <w:rsid w:val="00631233"/>
    <w:rsid w:val="006316F4"/>
    <w:rsid w:val="0063197E"/>
    <w:rsid w:val="00633689"/>
    <w:rsid w:val="00634739"/>
    <w:rsid w:val="00636EB6"/>
    <w:rsid w:val="00640B8B"/>
    <w:rsid w:val="00640FE7"/>
    <w:rsid w:val="00640FEF"/>
    <w:rsid w:val="00642E98"/>
    <w:rsid w:val="00643AB4"/>
    <w:rsid w:val="00643E28"/>
    <w:rsid w:val="00644CF4"/>
    <w:rsid w:val="00645153"/>
    <w:rsid w:val="006455B7"/>
    <w:rsid w:val="006455B8"/>
    <w:rsid w:val="00645EF2"/>
    <w:rsid w:val="00646223"/>
    <w:rsid w:val="006467F4"/>
    <w:rsid w:val="00646949"/>
    <w:rsid w:val="0064732B"/>
    <w:rsid w:val="00647993"/>
    <w:rsid w:val="00650304"/>
    <w:rsid w:val="006511EF"/>
    <w:rsid w:val="00652816"/>
    <w:rsid w:val="006529FA"/>
    <w:rsid w:val="006535F8"/>
    <w:rsid w:val="006536E0"/>
    <w:rsid w:val="00653B45"/>
    <w:rsid w:val="0065485F"/>
    <w:rsid w:val="006548B7"/>
    <w:rsid w:val="00656745"/>
    <w:rsid w:val="00657376"/>
    <w:rsid w:val="00657D67"/>
    <w:rsid w:val="00657F6A"/>
    <w:rsid w:val="00660EA6"/>
    <w:rsid w:val="00661FE9"/>
    <w:rsid w:val="00663B7B"/>
    <w:rsid w:val="006640FF"/>
    <w:rsid w:val="00664D3E"/>
    <w:rsid w:val="00664E77"/>
    <w:rsid w:val="00665127"/>
    <w:rsid w:val="006651FB"/>
    <w:rsid w:val="00667145"/>
    <w:rsid w:val="006673BB"/>
    <w:rsid w:val="006707F5"/>
    <w:rsid w:val="00670AD9"/>
    <w:rsid w:val="006713C2"/>
    <w:rsid w:val="00671713"/>
    <w:rsid w:val="00672EDC"/>
    <w:rsid w:val="00673AE4"/>
    <w:rsid w:val="00673B51"/>
    <w:rsid w:val="0067402D"/>
    <w:rsid w:val="00675CCA"/>
    <w:rsid w:val="00675E56"/>
    <w:rsid w:val="0067632C"/>
    <w:rsid w:val="00677740"/>
    <w:rsid w:val="00677934"/>
    <w:rsid w:val="00677A85"/>
    <w:rsid w:val="006805A5"/>
    <w:rsid w:val="006809F1"/>
    <w:rsid w:val="00680B51"/>
    <w:rsid w:val="006821E3"/>
    <w:rsid w:val="00684686"/>
    <w:rsid w:val="00685B14"/>
    <w:rsid w:val="00685DB6"/>
    <w:rsid w:val="0069192E"/>
    <w:rsid w:val="0069299B"/>
    <w:rsid w:val="00693518"/>
    <w:rsid w:val="006941A0"/>
    <w:rsid w:val="00694C51"/>
    <w:rsid w:val="006955E7"/>
    <w:rsid w:val="00695FCF"/>
    <w:rsid w:val="00696965"/>
    <w:rsid w:val="00696DDA"/>
    <w:rsid w:val="006970D5"/>
    <w:rsid w:val="006A013E"/>
    <w:rsid w:val="006A135C"/>
    <w:rsid w:val="006A4A18"/>
    <w:rsid w:val="006A4CFB"/>
    <w:rsid w:val="006A65B1"/>
    <w:rsid w:val="006A704A"/>
    <w:rsid w:val="006A71A2"/>
    <w:rsid w:val="006B0322"/>
    <w:rsid w:val="006B0DD2"/>
    <w:rsid w:val="006B2505"/>
    <w:rsid w:val="006B4075"/>
    <w:rsid w:val="006B55BE"/>
    <w:rsid w:val="006B57A0"/>
    <w:rsid w:val="006B5E7A"/>
    <w:rsid w:val="006B62B7"/>
    <w:rsid w:val="006B6956"/>
    <w:rsid w:val="006C087D"/>
    <w:rsid w:val="006C09E3"/>
    <w:rsid w:val="006C0A34"/>
    <w:rsid w:val="006C2E4C"/>
    <w:rsid w:val="006C3647"/>
    <w:rsid w:val="006C3B4B"/>
    <w:rsid w:val="006C41FF"/>
    <w:rsid w:val="006C4E62"/>
    <w:rsid w:val="006C6AAB"/>
    <w:rsid w:val="006C7C8E"/>
    <w:rsid w:val="006D1D72"/>
    <w:rsid w:val="006D27F0"/>
    <w:rsid w:val="006D2EBE"/>
    <w:rsid w:val="006D30E8"/>
    <w:rsid w:val="006D502F"/>
    <w:rsid w:val="006D5067"/>
    <w:rsid w:val="006D5713"/>
    <w:rsid w:val="006D6623"/>
    <w:rsid w:val="006E1EA3"/>
    <w:rsid w:val="006E265E"/>
    <w:rsid w:val="006E27FD"/>
    <w:rsid w:val="006E4DAD"/>
    <w:rsid w:val="006E5584"/>
    <w:rsid w:val="006E6CC2"/>
    <w:rsid w:val="006E721E"/>
    <w:rsid w:val="006E7A62"/>
    <w:rsid w:val="006F09F2"/>
    <w:rsid w:val="006F16C8"/>
    <w:rsid w:val="006F5C05"/>
    <w:rsid w:val="006F5E1D"/>
    <w:rsid w:val="006F6ADA"/>
    <w:rsid w:val="006F707F"/>
    <w:rsid w:val="006F70DE"/>
    <w:rsid w:val="00701DCC"/>
    <w:rsid w:val="0070382E"/>
    <w:rsid w:val="0070459E"/>
    <w:rsid w:val="0070621C"/>
    <w:rsid w:val="00706682"/>
    <w:rsid w:val="00707993"/>
    <w:rsid w:val="0071123A"/>
    <w:rsid w:val="00711E25"/>
    <w:rsid w:val="00712AC4"/>
    <w:rsid w:val="00712FB7"/>
    <w:rsid w:val="007138CC"/>
    <w:rsid w:val="0071439B"/>
    <w:rsid w:val="00714EA4"/>
    <w:rsid w:val="00715755"/>
    <w:rsid w:val="00715A96"/>
    <w:rsid w:val="00720199"/>
    <w:rsid w:val="0072122E"/>
    <w:rsid w:val="007232BF"/>
    <w:rsid w:val="00723B85"/>
    <w:rsid w:val="007250D3"/>
    <w:rsid w:val="007257B8"/>
    <w:rsid w:val="00727A83"/>
    <w:rsid w:val="00730A03"/>
    <w:rsid w:val="0073174A"/>
    <w:rsid w:val="00732468"/>
    <w:rsid w:val="00732503"/>
    <w:rsid w:val="007333BE"/>
    <w:rsid w:val="007335A8"/>
    <w:rsid w:val="00735079"/>
    <w:rsid w:val="0073593C"/>
    <w:rsid w:val="00736A14"/>
    <w:rsid w:val="00737013"/>
    <w:rsid w:val="0073764E"/>
    <w:rsid w:val="00737DDD"/>
    <w:rsid w:val="00741006"/>
    <w:rsid w:val="00743AC6"/>
    <w:rsid w:val="00744072"/>
    <w:rsid w:val="00747D3C"/>
    <w:rsid w:val="0075099D"/>
    <w:rsid w:val="00750E1A"/>
    <w:rsid w:val="00752052"/>
    <w:rsid w:val="00754D59"/>
    <w:rsid w:val="00754EA3"/>
    <w:rsid w:val="00756B84"/>
    <w:rsid w:val="00757A75"/>
    <w:rsid w:val="00757B7B"/>
    <w:rsid w:val="00760136"/>
    <w:rsid w:val="00760496"/>
    <w:rsid w:val="0076053B"/>
    <w:rsid w:val="007622E3"/>
    <w:rsid w:val="00762B0D"/>
    <w:rsid w:val="00763FB0"/>
    <w:rsid w:val="007644E5"/>
    <w:rsid w:val="00765150"/>
    <w:rsid w:val="00766DD2"/>
    <w:rsid w:val="007675EB"/>
    <w:rsid w:val="00770D2D"/>
    <w:rsid w:val="00770D5D"/>
    <w:rsid w:val="00771FBC"/>
    <w:rsid w:val="00772C0B"/>
    <w:rsid w:val="00772E3A"/>
    <w:rsid w:val="007738D0"/>
    <w:rsid w:val="00773EC0"/>
    <w:rsid w:val="00774DA4"/>
    <w:rsid w:val="00774E33"/>
    <w:rsid w:val="00774F7B"/>
    <w:rsid w:val="0077567A"/>
    <w:rsid w:val="00775DA1"/>
    <w:rsid w:val="00775F4F"/>
    <w:rsid w:val="00777690"/>
    <w:rsid w:val="00777C0A"/>
    <w:rsid w:val="00780533"/>
    <w:rsid w:val="00783A0B"/>
    <w:rsid w:val="00784DD0"/>
    <w:rsid w:val="00785B9B"/>
    <w:rsid w:val="0078737D"/>
    <w:rsid w:val="00787F94"/>
    <w:rsid w:val="00790464"/>
    <w:rsid w:val="00791D81"/>
    <w:rsid w:val="0079362D"/>
    <w:rsid w:val="007939B6"/>
    <w:rsid w:val="00794997"/>
    <w:rsid w:val="0079622D"/>
    <w:rsid w:val="007964C7"/>
    <w:rsid w:val="007A35B4"/>
    <w:rsid w:val="007A4846"/>
    <w:rsid w:val="007A4969"/>
    <w:rsid w:val="007A5746"/>
    <w:rsid w:val="007A66DF"/>
    <w:rsid w:val="007A6D9A"/>
    <w:rsid w:val="007A6FD9"/>
    <w:rsid w:val="007A763A"/>
    <w:rsid w:val="007A7C15"/>
    <w:rsid w:val="007B01D2"/>
    <w:rsid w:val="007B05F7"/>
    <w:rsid w:val="007B0717"/>
    <w:rsid w:val="007B14C5"/>
    <w:rsid w:val="007B1924"/>
    <w:rsid w:val="007B199A"/>
    <w:rsid w:val="007B1BA6"/>
    <w:rsid w:val="007B1EBA"/>
    <w:rsid w:val="007B2669"/>
    <w:rsid w:val="007B48F8"/>
    <w:rsid w:val="007B51E6"/>
    <w:rsid w:val="007B53A9"/>
    <w:rsid w:val="007B55B5"/>
    <w:rsid w:val="007B5624"/>
    <w:rsid w:val="007B6CC9"/>
    <w:rsid w:val="007C249E"/>
    <w:rsid w:val="007C3D92"/>
    <w:rsid w:val="007C5420"/>
    <w:rsid w:val="007C6133"/>
    <w:rsid w:val="007D06C0"/>
    <w:rsid w:val="007D076E"/>
    <w:rsid w:val="007D1008"/>
    <w:rsid w:val="007D1B67"/>
    <w:rsid w:val="007D241A"/>
    <w:rsid w:val="007D2672"/>
    <w:rsid w:val="007D4B6B"/>
    <w:rsid w:val="007D62DC"/>
    <w:rsid w:val="007D6B1D"/>
    <w:rsid w:val="007D7930"/>
    <w:rsid w:val="007D7CCF"/>
    <w:rsid w:val="007E0965"/>
    <w:rsid w:val="007E58BF"/>
    <w:rsid w:val="007E728E"/>
    <w:rsid w:val="007E784C"/>
    <w:rsid w:val="007F0756"/>
    <w:rsid w:val="007F130A"/>
    <w:rsid w:val="007F1C0D"/>
    <w:rsid w:val="007F1E22"/>
    <w:rsid w:val="007F3D4F"/>
    <w:rsid w:val="007F46C8"/>
    <w:rsid w:val="007F52BD"/>
    <w:rsid w:val="007F5D18"/>
    <w:rsid w:val="00801420"/>
    <w:rsid w:val="00802069"/>
    <w:rsid w:val="008025DC"/>
    <w:rsid w:val="00802652"/>
    <w:rsid w:val="00802D8D"/>
    <w:rsid w:val="00803C62"/>
    <w:rsid w:val="00806DED"/>
    <w:rsid w:val="00806EB6"/>
    <w:rsid w:val="00806EC8"/>
    <w:rsid w:val="00807EEF"/>
    <w:rsid w:val="008135C7"/>
    <w:rsid w:val="00814CE9"/>
    <w:rsid w:val="00815D4F"/>
    <w:rsid w:val="00815D73"/>
    <w:rsid w:val="00816DAA"/>
    <w:rsid w:val="008176D9"/>
    <w:rsid w:val="00817D1E"/>
    <w:rsid w:val="00817DDD"/>
    <w:rsid w:val="00820BE1"/>
    <w:rsid w:val="00825BCB"/>
    <w:rsid w:val="0082609D"/>
    <w:rsid w:val="008270A6"/>
    <w:rsid w:val="008277E5"/>
    <w:rsid w:val="00827BB7"/>
    <w:rsid w:val="00831988"/>
    <w:rsid w:val="00832233"/>
    <w:rsid w:val="00832428"/>
    <w:rsid w:val="00832BDC"/>
    <w:rsid w:val="008335D7"/>
    <w:rsid w:val="0083364D"/>
    <w:rsid w:val="00833E10"/>
    <w:rsid w:val="008340F1"/>
    <w:rsid w:val="00834A4A"/>
    <w:rsid w:val="0083539A"/>
    <w:rsid w:val="0083564F"/>
    <w:rsid w:val="008356C6"/>
    <w:rsid w:val="0083673F"/>
    <w:rsid w:val="008379ED"/>
    <w:rsid w:val="00837B9C"/>
    <w:rsid w:val="008409F8"/>
    <w:rsid w:val="00841E0B"/>
    <w:rsid w:val="008421FA"/>
    <w:rsid w:val="00844028"/>
    <w:rsid w:val="0084493B"/>
    <w:rsid w:val="00844B59"/>
    <w:rsid w:val="00844F82"/>
    <w:rsid w:val="00845D51"/>
    <w:rsid w:val="008469EE"/>
    <w:rsid w:val="00851085"/>
    <w:rsid w:val="008513F9"/>
    <w:rsid w:val="008521CA"/>
    <w:rsid w:val="00852852"/>
    <w:rsid w:val="008532B7"/>
    <w:rsid w:val="008566B3"/>
    <w:rsid w:val="00856765"/>
    <w:rsid w:val="0085760A"/>
    <w:rsid w:val="00862746"/>
    <w:rsid w:val="008638C5"/>
    <w:rsid w:val="00864335"/>
    <w:rsid w:val="008660A5"/>
    <w:rsid w:val="00867247"/>
    <w:rsid w:val="00867980"/>
    <w:rsid w:val="00867AEB"/>
    <w:rsid w:val="008727DE"/>
    <w:rsid w:val="008737DB"/>
    <w:rsid w:val="008775A4"/>
    <w:rsid w:val="008809B6"/>
    <w:rsid w:val="00881122"/>
    <w:rsid w:val="00881AF4"/>
    <w:rsid w:val="008826A3"/>
    <w:rsid w:val="008834FE"/>
    <w:rsid w:val="00883BC1"/>
    <w:rsid w:val="00884AE7"/>
    <w:rsid w:val="0088568F"/>
    <w:rsid w:val="00886263"/>
    <w:rsid w:val="00886365"/>
    <w:rsid w:val="00890070"/>
    <w:rsid w:val="00890405"/>
    <w:rsid w:val="008920DC"/>
    <w:rsid w:val="008927EE"/>
    <w:rsid w:val="00892C6D"/>
    <w:rsid w:val="008956D1"/>
    <w:rsid w:val="008957EF"/>
    <w:rsid w:val="00895BB6"/>
    <w:rsid w:val="008972B2"/>
    <w:rsid w:val="008976A1"/>
    <w:rsid w:val="00897928"/>
    <w:rsid w:val="00897CA1"/>
    <w:rsid w:val="008A0BDA"/>
    <w:rsid w:val="008A0E25"/>
    <w:rsid w:val="008A1766"/>
    <w:rsid w:val="008A1D53"/>
    <w:rsid w:val="008A2949"/>
    <w:rsid w:val="008A5013"/>
    <w:rsid w:val="008A6231"/>
    <w:rsid w:val="008B0CEC"/>
    <w:rsid w:val="008B2BA7"/>
    <w:rsid w:val="008B3494"/>
    <w:rsid w:val="008B3612"/>
    <w:rsid w:val="008B4960"/>
    <w:rsid w:val="008B5FC3"/>
    <w:rsid w:val="008B6370"/>
    <w:rsid w:val="008B7022"/>
    <w:rsid w:val="008B743F"/>
    <w:rsid w:val="008C0A82"/>
    <w:rsid w:val="008C4980"/>
    <w:rsid w:val="008C55C7"/>
    <w:rsid w:val="008C5798"/>
    <w:rsid w:val="008D0FDD"/>
    <w:rsid w:val="008D1B70"/>
    <w:rsid w:val="008D2BDD"/>
    <w:rsid w:val="008D33F8"/>
    <w:rsid w:val="008D39AA"/>
    <w:rsid w:val="008D3BD3"/>
    <w:rsid w:val="008D4BC6"/>
    <w:rsid w:val="008D5631"/>
    <w:rsid w:val="008E190A"/>
    <w:rsid w:val="008E1E5D"/>
    <w:rsid w:val="008E2453"/>
    <w:rsid w:val="008E4AD4"/>
    <w:rsid w:val="008E5479"/>
    <w:rsid w:val="008E5A77"/>
    <w:rsid w:val="008E62DE"/>
    <w:rsid w:val="008E78E9"/>
    <w:rsid w:val="008F1521"/>
    <w:rsid w:val="008F1906"/>
    <w:rsid w:val="008F1F12"/>
    <w:rsid w:val="008F2550"/>
    <w:rsid w:val="008F2BFA"/>
    <w:rsid w:val="008F2E54"/>
    <w:rsid w:val="008F43E5"/>
    <w:rsid w:val="008F5A3B"/>
    <w:rsid w:val="008F6975"/>
    <w:rsid w:val="008F6A13"/>
    <w:rsid w:val="008F72C4"/>
    <w:rsid w:val="00900A5F"/>
    <w:rsid w:val="009011F3"/>
    <w:rsid w:val="00901837"/>
    <w:rsid w:val="00902108"/>
    <w:rsid w:val="00902865"/>
    <w:rsid w:val="009030D3"/>
    <w:rsid w:val="00903342"/>
    <w:rsid w:val="00904FBD"/>
    <w:rsid w:val="00906DD1"/>
    <w:rsid w:val="009117A8"/>
    <w:rsid w:val="00916E8D"/>
    <w:rsid w:val="009171F5"/>
    <w:rsid w:val="00917BA0"/>
    <w:rsid w:val="00917CF0"/>
    <w:rsid w:val="00917D94"/>
    <w:rsid w:val="00920E58"/>
    <w:rsid w:val="00921057"/>
    <w:rsid w:val="0092162F"/>
    <w:rsid w:val="00921E42"/>
    <w:rsid w:val="009221E2"/>
    <w:rsid w:val="0092244B"/>
    <w:rsid w:val="00924122"/>
    <w:rsid w:val="009241E0"/>
    <w:rsid w:val="009259E1"/>
    <w:rsid w:val="00927505"/>
    <w:rsid w:val="009277A7"/>
    <w:rsid w:val="00927D6F"/>
    <w:rsid w:val="009306D5"/>
    <w:rsid w:val="00930CCE"/>
    <w:rsid w:val="00931A17"/>
    <w:rsid w:val="009353AC"/>
    <w:rsid w:val="009360C0"/>
    <w:rsid w:val="0093653B"/>
    <w:rsid w:val="00936FF7"/>
    <w:rsid w:val="00937550"/>
    <w:rsid w:val="00937B56"/>
    <w:rsid w:val="00937F6B"/>
    <w:rsid w:val="0094028A"/>
    <w:rsid w:val="0094183B"/>
    <w:rsid w:val="00947084"/>
    <w:rsid w:val="00947A7B"/>
    <w:rsid w:val="00947FBD"/>
    <w:rsid w:val="00951A4B"/>
    <w:rsid w:val="0095482F"/>
    <w:rsid w:val="00955403"/>
    <w:rsid w:val="00957526"/>
    <w:rsid w:val="00957C85"/>
    <w:rsid w:val="00957D24"/>
    <w:rsid w:val="009630B4"/>
    <w:rsid w:val="0096330A"/>
    <w:rsid w:val="00963735"/>
    <w:rsid w:val="009650B3"/>
    <w:rsid w:val="00965964"/>
    <w:rsid w:val="009715CE"/>
    <w:rsid w:val="0097162D"/>
    <w:rsid w:val="009721C4"/>
    <w:rsid w:val="009722DB"/>
    <w:rsid w:val="0097272E"/>
    <w:rsid w:val="00973B94"/>
    <w:rsid w:val="00974433"/>
    <w:rsid w:val="009745D8"/>
    <w:rsid w:val="00974683"/>
    <w:rsid w:val="00975D21"/>
    <w:rsid w:val="00976F80"/>
    <w:rsid w:val="009805F2"/>
    <w:rsid w:val="00984C33"/>
    <w:rsid w:val="00986052"/>
    <w:rsid w:val="00987C74"/>
    <w:rsid w:val="00991B11"/>
    <w:rsid w:val="00991C84"/>
    <w:rsid w:val="00993224"/>
    <w:rsid w:val="00994D71"/>
    <w:rsid w:val="00996C28"/>
    <w:rsid w:val="00996FA7"/>
    <w:rsid w:val="0099708E"/>
    <w:rsid w:val="009A2DA3"/>
    <w:rsid w:val="009A37EB"/>
    <w:rsid w:val="009A388E"/>
    <w:rsid w:val="009A3ADF"/>
    <w:rsid w:val="009A662A"/>
    <w:rsid w:val="009A6C03"/>
    <w:rsid w:val="009A7840"/>
    <w:rsid w:val="009A7F2E"/>
    <w:rsid w:val="009B0C1D"/>
    <w:rsid w:val="009B139B"/>
    <w:rsid w:val="009B1B7D"/>
    <w:rsid w:val="009B2E68"/>
    <w:rsid w:val="009B45ED"/>
    <w:rsid w:val="009B4C84"/>
    <w:rsid w:val="009B67E9"/>
    <w:rsid w:val="009C1A22"/>
    <w:rsid w:val="009C2C3C"/>
    <w:rsid w:val="009C60D3"/>
    <w:rsid w:val="009C6AFA"/>
    <w:rsid w:val="009C7037"/>
    <w:rsid w:val="009C727F"/>
    <w:rsid w:val="009C7943"/>
    <w:rsid w:val="009D1A5C"/>
    <w:rsid w:val="009D217B"/>
    <w:rsid w:val="009D219B"/>
    <w:rsid w:val="009D2EAC"/>
    <w:rsid w:val="009D4F4F"/>
    <w:rsid w:val="009D6E1C"/>
    <w:rsid w:val="009D7945"/>
    <w:rsid w:val="009E30A5"/>
    <w:rsid w:val="009E3CEE"/>
    <w:rsid w:val="009E3EAC"/>
    <w:rsid w:val="009E3F63"/>
    <w:rsid w:val="009E4342"/>
    <w:rsid w:val="009E496A"/>
    <w:rsid w:val="009F03B6"/>
    <w:rsid w:val="009F0432"/>
    <w:rsid w:val="009F2842"/>
    <w:rsid w:val="009F2CAA"/>
    <w:rsid w:val="009F3AB0"/>
    <w:rsid w:val="009F3CB2"/>
    <w:rsid w:val="009F482B"/>
    <w:rsid w:val="009F68F5"/>
    <w:rsid w:val="009F691A"/>
    <w:rsid w:val="00A004B0"/>
    <w:rsid w:val="00A02FC4"/>
    <w:rsid w:val="00A0487E"/>
    <w:rsid w:val="00A04E54"/>
    <w:rsid w:val="00A061EB"/>
    <w:rsid w:val="00A0698F"/>
    <w:rsid w:val="00A11849"/>
    <w:rsid w:val="00A12E53"/>
    <w:rsid w:val="00A13CF1"/>
    <w:rsid w:val="00A13DFC"/>
    <w:rsid w:val="00A14F7E"/>
    <w:rsid w:val="00A16B16"/>
    <w:rsid w:val="00A170FF"/>
    <w:rsid w:val="00A203F4"/>
    <w:rsid w:val="00A23E03"/>
    <w:rsid w:val="00A25176"/>
    <w:rsid w:val="00A269CF"/>
    <w:rsid w:val="00A33251"/>
    <w:rsid w:val="00A3541E"/>
    <w:rsid w:val="00A364A1"/>
    <w:rsid w:val="00A36649"/>
    <w:rsid w:val="00A36D32"/>
    <w:rsid w:val="00A36E5F"/>
    <w:rsid w:val="00A401BC"/>
    <w:rsid w:val="00A40F25"/>
    <w:rsid w:val="00A4115D"/>
    <w:rsid w:val="00A423A7"/>
    <w:rsid w:val="00A44F7D"/>
    <w:rsid w:val="00A45DE2"/>
    <w:rsid w:val="00A52E45"/>
    <w:rsid w:val="00A55D49"/>
    <w:rsid w:val="00A60FC8"/>
    <w:rsid w:val="00A61A79"/>
    <w:rsid w:val="00A6235C"/>
    <w:rsid w:val="00A63606"/>
    <w:rsid w:val="00A64D76"/>
    <w:rsid w:val="00A650B3"/>
    <w:rsid w:val="00A65B8E"/>
    <w:rsid w:val="00A65B9D"/>
    <w:rsid w:val="00A66062"/>
    <w:rsid w:val="00A66317"/>
    <w:rsid w:val="00A66E9E"/>
    <w:rsid w:val="00A7006C"/>
    <w:rsid w:val="00A70103"/>
    <w:rsid w:val="00A70C5A"/>
    <w:rsid w:val="00A710F1"/>
    <w:rsid w:val="00A71D3F"/>
    <w:rsid w:val="00A71FF1"/>
    <w:rsid w:val="00A7213D"/>
    <w:rsid w:val="00A7339D"/>
    <w:rsid w:val="00A74BBA"/>
    <w:rsid w:val="00A74C3A"/>
    <w:rsid w:val="00A76386"/>
    <w:rsid w:val="00A7781C"/>
    <w:rsid w:val="00A84F3D"/>
    <w:rsid w:val="00A86DA7"/>
    <w:rsid w:val="00A90870"/>
    <w:rsid w:val="00A91DC0"/>
    <w:rsid w:val="00A91E49"/>
    <w:rsid w:val="00A9205A"/>
    <w:rsid w:val="00AA0FE4"/>
    <w:rsid w:val="00AA10CE"/>
    <w:rsid w:val="00AA2A57"/>
    <w:rsid w:val="00AA3E9B"/>
    <w:rsid w:val="00AA5738"/>
    <w:rsid w:val="00AA6191"/>
    <w:rsid w:val="00AA6486"/>
    <w:rsid w:val="00AA65EF"/>
    <w:rsid w:val="00AB09A7"/>
    <w:rsid w:val="00AB0EF6"/>
    <w:rsid w:val="00AB0FBF"/>
    <w:rsid w:val="00AB1853"/>
    <w:rsid w:val="00AB2912"/>
    <w:rsid w:val="00AB2FF1"/>
    <w:rsid w:val="00AB5A9E"/>
    <w:rsid w:val="00AB5B65"/>
    <w:rsid w:val="00AC0C82"/>
    <w:rsid w:val="00AC1513"/>
    <w:rsid w:val="00AC18D7"/>
    <w:rsid w:val="00AC2611"/>
    <w:rsid w:val="00AC2635"/>
    <w:rsid w:val="00AC2BF4"/>
    <w:rsid w:val="00AC2E6A"/>
    <w:rsid w:val="00AC3E12"/>
    <w:rsid w:val="00AC7DFA"/>
    <w:rsid w:val="00AD01B1"/>
    <w:rsid w:val="00AD05A6"/>
    <w:rsid w:val="00AD1F5E"/>
    <w:rsid w:val="00AD3252"/>
    <w:rsid w:val="00AD436F"/>
    <w:rsid w:val="00AD50D3"/>
    <w:rsid w:val="00AD5368"/>
    <w:rsid w:val="00AE0C7A"/>
    <w:rsid w:val="00AE0F77"/>
    <w:rsid w:val="00AE1EFF"/>
    <w:rsid w:val="00AE2657"/>
    <w:rsid w:val="00AE2F6B"/>
    <w:rsid w:val="00AE4385"/>
    <w:rsid w:val="00AE4758"/>
    <w:rsid w:val="00AE4C5E"/>
    <w:rsid w:val="00AE52B8"/>
    <w:rsid w:val="00AE7125"/>
    <w:rsid w:val="00AE7BCB"/>
    <w:rsid w:val="00AE7C72"/>
    <w:rsid w:val="00AF0726"/>
    <w:rsid w:val="00AF0CAF"/>
    <w:rsid w:val="00AF24B2"/>
    <w:rsid w:val="00AF529C"/>
    <w:rsid w:val="00AF5345"/>
    <w:rsid w:val="00AF5B03"/>
    <w:rsid w:val="00AF5EB2"/>
    <w:rsid w:val="00AF60B7"/>
    <w:rsid w:val="00B00247"/>
    <w:rsid w:val="00B00F06"/>
    <w:rsid w:val="00B01528"/>
    <w:rsid w:val="00B01F41"/>
    <w:rsid w:val="00B03791"/>
    <w:rsid w:val="00B047F1"/>
    <w:rsid w:val="00B051CC"/>
    <w:rsid w:val="00B072C8"/>
    <w:rsid w:val="00B07E1B"/>
    <w:rsid w:val="00B104E2"/>
    <w:rsid w:val="00B13092"/>
    <w:rsid w:val="00B13461"/>
    <w:rsid w:val="00B14A4A"/>
    <w:rsid w:val="00B15E45"/>
    <w:rsid w:val="00B166A5"/>
    <w:rsid w:val="00B17FF8"/>
    <w:rsid w:val="00B20DA5"/>
    <w:rsid w:val="00B22D3D"/>
    <w:rsid w:val="00B22D55"/>
    <w:rsid w:val="00B235F7"/>
    <w:rsid w:val="00B242B8"/>
    <w:rsid w:val="00B244A4"/>
    <w:rsid w:val="00B24831"/>
    <w:rsid w:val="00B254D8"/>
    <w:rsid w:val="00B265A5"/>
    <w:rsid w:val="00B30840"/>
    <w:rsid w:val="00B30A72"/>
    <w:rsid w:val="00B30CF7"/>
    <w:rsid w:val="00B30F3E"/>
    <w:rsid w:val="00B3280B"/>
    <w:rsid w:val="00B33A63"/>
    <w:rsid w:val="00B344AB"/>
    <w:rsid w:val="00B34570"/>
    <w:rsid w:val="00B3482E"/>
    <w:rsid w:val="00B365C9"/>
    <w:rsid w:val="00B36D6F"/>
    <w:rsid w:val="00B40113"/>
    <w:rsid w:val="00B40C28"/>
    <w:rsid w:val="00B43BAA"/>
    <w:rsid w:val="00B444F7"/>
    <w:rsid w:val="00B46F5D"/>
    <w:rsid w:val="00B510D1"/>
    <w:rsid w:val="00B516F4"/>
    <w:rsid w:val="00B53695"/>
    <w:rsid w:val="00B5371C"/>
    <w:rsid w:val="00B55B2A"/>
    <w:rsid w:val="00B56122"/>
    <w:rsid w:val="00B6021A"/>
    <w:rsid w:val="00B60672"/>
    <w:rsid w:val="00B61CD8"/>
    <w:rsid w:val="00B61DDE"/>
    <w:rsid w:val="00B62892"/>
    <w:rsid w:val="00B63F07"/>
    <w:rsid w:val="00B64FD7"/>
    <w:rsid w:val="00B650D8"/>
    <w:rsid w:val="00B65F7E"/>
    <w:rsid w:val="00B65FD9"/>
    <w:rsid w:val="00B6634F"/>
    <w:rsid w:val="00B67CFA"/>
    <w:rsid w:val="00B67FDC"/>
    <w:rsid w:val="00B708CF"/>
    <w:rsid w:val="00B71697"/>
    <w:rsid w:val="00B71781"/>
    <w:rsid w:val="00B7222E"/>
    <w:rsid w:val="00B7336C"/>
    <w:rsid w:val="00B734C2"/>
    <w:rsid w:val="00B7548C"/>
    <w:rsid w:val="00B76A41"/>
    <w:rsid w:val="00B76B88"/>
    <w:rsid w:val="00B76C6A"/>
    <w:rsid w:val="00B77794"/>
    <w:rsid w:val="00B80677"/>
    <w:rsid w:val="00B81ABF"/>
    <w:rsid w:val="00B82437"/>
    <w:rsid w:val="00B829A8"/>
    <w:rsid w:val="00B829B3"/>
    <w:rsid w:val="00B83749"/>
    <w:rsid w:val="00B8560B"/>
    <w:rsid w:val="00B860F7"/>
    <w:rsid w:val="00B86579"/>
    <w:rsid w:val="00B87617"/>
    <w:rsid w:val="00B912EC"/>
    <w:rsid w:val="00B9203C"/>
    <w:rsid w:val="00B925FF"/>
    <w:rsid w:val="00B92684"/>
    <w:rsid w:val="00B93167"/>
    <w:rsid w:val="00B94198"/>
    <w:rsid w:val="00B95065"/>
    <w:rsid w:val="00B96704"/>
    <w:rsid w:val="00B96E93"/>
    <w:rsid w:val="00B971AE"/>
    <w:rsid w:val="00B97AE8"/>
    <w:rsid w:val="00BA2289"/>
    <w:rsid w:val="00BA3745"/>
    <w:rsid w:val="00BA424D"/>
    <w:rsid w:val="00BA54BC"/>
    <w:rsid w:val="00BB01C4"/>
    <w:rsid w:val="00BB1DDF"/>
    <w:rsid w:val="00BB1F05"/>
    <w:rsid w:val="00BB4665"/>
    <w:rsid w:val="00BB4A4E"/>
    <w:rsid w:val="00BC1CC8"/>
    <w:rsid w:val="00BC2CE3"/>
    <w:rsid w:val="00BC2D7C"/>
    <w:rsid w:val="00BC47BA"/>
    <w:rsid w:val="00BC6124"/>
    <w:rsid w:val="00BC76D0"/>
    <w:rsid w:val="00BD15DC"/>
    <w:rsid w:val="00BD2737"/>
    <w:rsid w:val="00BD3529"/>
    <w:rsid w:val="00BD3EE5"/>
    <w:rsid w:val="00BD5207"/>
    <w:rsid w:val="00BE134F"/>
    <w:rsid w:val="00BE20FD"/>
    <w:rsid w:val="00BE3538"/>
    <w:rsid w:val="00BE4EA8"/>
    <w:rsid w:val="00BE56ED"/>
    <w:rsid w:val="00BE67E4"/>
    <w:rsid w:val="00BE6806"/>
    <w:rsid w:val="00BE77A5"/>
    <w:rsid w:val="00BF158F"/>
    <w:rsid w:val="00BF1A98"/>
    <w:rsid w:val="00BF2576"/>
    <w:rsid w:val="00BF279A"/>
    <w:rsid w:val="00BF4913"/>
    <w:rsid w:val="00BF5106"/>
    <w:rsid w:val="00BF583E"/>
    <w:rsid w:val="00BF5D19"/>
    <w:rsid w:val="00BF5DF9"/>
    <w:rsid w:val="00BF73FF"/>
    <w:rsid w:val="00C0043D"/>
    <w:rsid w:val="00C032E9"/>
    <w:rsid w:val="00C03950"/>
    <w:rsid w:val="00C04AEB"/>
    <w:rsid w:val="00C04E50"/>
    <w:rsid w:val="00C053AA"/>
    <w:rsid w:val="00C05572"/>
    <w:rsid w:val="00C10CA2"/>
    <w:rsid w:val="00C1154C"/>
    <w:rsid w:val="00C11CA8"/>
    <w:rsid w:val="00C14AED"/>
    <w:rsid w:val="00C1561D"/>
    <w:rsid w:val="00C17B97"/>
    <w:rsid w:val="00C20338"/>
    <w:rsid w:val="00C20F02"/>
    <w:rsid w:val="00C2114D"/>
    <w:rsid w:val="00C21D67"/>
    <w:rsid w:val="00C231F2"/>
    <w:rsid w:val="00C2442E"/>
    <w:rsid w:val="00C24B34"/>
    <w:rsid w:val="00C26ABE"/>
    <w:rsid w:val="00C276B1"/>
    <w:rsid w:val="00C343BD"/>
    <w:rsid w:val="00C3561A"/>
    <w:rsid w:val="00C36730"/>
    <w:rsid w:val="00C374D4"/>
    <w:rsid w:val="00C401B2"/>
    <w:rsid w:val="00C4141D"/>
    <w:rsid w:val="00C437B1"/>
    <w:rsid w:val="00C455E2"/>
    <w:rsid w:val="00C45AAA"/>
    <w:rsid w:val="00C46721"/>
    <w:rsid w:val="00C46EC8"/>
    <w:rsid w:val="00C505B3"/>
    <w:rsid w:val="00C529FD"/>
    <w:rsid w:val="00C52FF7"/>
    <w:rsid w:val="00C536FD"/>
    <w:rsid w:val="00C5413F"/>
    <w:rsid w:val="00C54450"/>
    <w:rsid w:val="00C546FF"/>
    <w:rsid w:val="00C54B84"/>
    <w:rsid w:val="00C54C86"/>
    <w:rsid w:val="00C56178"/>
    <w:rsid w:val="00C56687"/>
    <w:rsid w:val="00C56F97"/>
    <w:rsid w:val="00C57124"/>
    <w:rsid w:val="00C577A9"/>
    <w:rsid w:val="00C604D6"/>
    <w:rsid w:val="00C62367"/>
    <w:rsid w:val="00C674B4"/>
    <w:rsid w:val="00C70197"/>
    <w:rsid w:val="00C717FC"/>
    <w:rsid w:val="00C723B7"/>
    <w:rsid w:val="00C72455"/>
    <w:rsid w:val="00C7306D"/>
    <w:rsid w:val="00C74392"/>
    <w:rsid w:val="00C74422"/>
    <w:rsid w:val="00C75800"/>
    <w:rsid w:val="00C75948"/>
    <w:rsid w:val="00C76D3F"/>
    <w:rsid w:val="00C776F7"/>
    <w:rsid w:val="00C77828"/>
    <w:rsid w:val="00C80D62"/>
    <w:rsid w:val="00C81292"/>
    <w:rsid w:val="00C82C39"/>
    <w:rsid w:val="00C8337E"/>
    <w:rsid w:val="00C83CDE"/>
    <w:rsid w:val="00C83E21"/>
    <w:rsid w:val="00C85EEF"/>
    <w:rsid w:val="00C8624C"/>
    <w:rsid w:val="00C92B2B"/>
    <w:rsid w:val="00C9334E"/>
    <w:rsid w:val="00C93F32"/>
    <w:rsid w:val="00C94775"/>
    <w:rsid w:val="00C947A9"/>
    <w:rsid w:val="00C94D3F"/>
    <w:rsid w:val="00C95D73"/>
    <w:rsid w:val="00C96A92"/>
    <w:rsid w:val="00C96E31"/>
    <w:rsid w:val="00C97A89"/>
    <w:rsid w:val="00CA2AB4"/>
    <w:rsid w:val="00CA4575"/>
    <w:rsid w:val="00CA45DC"/>
    <w:rsid w:val="00CA492E"/>
    <w:rsid w:val="00CA4C09"/>
    <w:rsid w:val="00CA4FA9"/>
    <w:rsid w:val="00CA6166"/>
    <w:rsid w:val="00CA633A"/>
    <w:rsid w:val="00CA6DEF"/>
    <w:rsid w:val="00CA74CA"/>
    <w:rsid w:val="00CB072D"/>
    <w:rsid w:val="00CB09A1"/>
    <w:rsid w:val="00CB146D"/>
    <w:rsid w:val="00CB2E28"/>
    <w:rsid w:val="00CB3355"/>
    <w:rsid w:val="00CB38CA"/>
    <w:rsid w:val="00CB3F35"/>
    <w:rsid w:val="00CB4D1B"/>
    <w:rsid w:val="00CB5011"/>
    <w:rsid w:val="00CB69CF"/>
    <w:rsid w:val="00CB79A7"/>
    <w:rsid w:val="00CC1780"/>
    <w:rsid w:val="00CC48D3"/>
    <w:rsid w:val="00CC4A07"/>
    <w:rsid w:val="00CC4E9E"/>
    <w:rsid w:val="00CC4F1D"/>
    <w:rsid w:val="00CC5D86"/>
    <w:rsid w:val="00CC6E1E"/>
    <w:rsid w:val="00CC7338"/>
    <w:rsid w:val="00CC7BDF"/>
    <w:rsid w:val="00CD2317"/>
    <w:rsid w:val="00CD262F"/>
    <w:rsid w:val="00CD4895"/>
    <w:rsid w:val="00CD4BD8"/>
    <w:rsid w:val="00CD60FC"/>
    <w:rsid w:val="00CD671E"/>
    <w:rsid w:val="00CD683F"/>
    <w:rsid w:val="00CD6B90"/>
    <w:rsid w:val="00CD6DFA"/>
    <w:rsid w:val="00CD7969"/>
    <w:rsid w:val="00CD7ACC"/>
    <w:rsid w:val="00CE1E5E"/>
    <w:rsid w:val="00CE202C"/>
    <w:rsid w:val="00CE3821"/>
    <w:rsid w:val="00CE5CEA"/>
    <w:rsid w:val="00CE688C"/>
    <w:rsid w:val="00CE6911"/>
    <w:rsid w:val="00CE71E5"/>
    <w:rsid w:val="00CF1C62"/>
    <w:rsid w:val="00CF3994"/>
    <w:rsid w:val="00CF3C1D"/>
    <w:rsid w:val="00CF540D"/>
    <w:rsid w:val="00CF6E6C"/>
    <w:rsid w:val="00CF77DC"/>
    <w:rsid w:val="00CF7D0F"/>
    <w:rsid w:val="00D0086F"/>
    <w:rsid w:val="00D01B22"/>
    <w:rsid w:val="00D01B5A"/>
    <w:rsid w:val="00D02682"/>
    <w:rsid w:val="00D03E15"/>
    <w:rsid w:val="00D0444F"/>
    <w:rsid w:val="00D046E3"/>
    <w:rsid w:val="00D04C48"/>
    <w:rsid w:val="00D05C60"/>
    <w:rsid w:val="00D0603C"/>
    <w:rsid w:val="00D061F7"/>
    <w:rsid w:val="00D06F63"/>
    <w:rsid w:val="00D07635"/>
    <w:rsid w:val="00D07DF0"/>
    <w:rsid w:val="00D10C37"/>
    <w:rsid w:val="00D114FD"/>
    <w:rsid w:val="00D13147"/>
    <w:rsid w:val="00D14818"/>
    <w:rsid w:val="00D15111"/>
    <w:rsid w:val="00D167ED"/>
    <w:rsid w:val="00D1701F"/>
    <w:rsid w:val="00D17072"/>
    <w:rsid w:val="00D20341"/>
    <w:rsid w:val="00D20C23"/>
    <w:rsid w:val="00D21751"/>
    <w:rsid w:val="00D21D42"/>
    <w:rsid w:val="00D21F6E"/>
    <w:rsid w:val="00D22310"/>
    <w:rsid w:val="00D22CFE"/>
    <w:rsid w:val="00D23A72"/>
    <w:rsid w:val="00D23AB2"/>
    <w:rsid w:val="00D24C4C"/>
    <w:rsid w:val="00D258D8"/>
    <w:rsid w:val="00D26331"/>
    <w:rsid w:val="00D2652D"/>
    <w:rsid w:val="00D27104"/>
    <w:rsid w:val="00D301D2"/>
    <w:rsid w:val="00D309D7"/>
    <w:rsid w:val="00D309DD"/>
    <w:rsid w:val="00D30CEF"/>
    <w:rsid w:val="00D31112"/>
    <w:rsid w:val="00D31C1B"/>
    <w:rsid w:val="00D33A1A"/>
    <w:rsid w:val="00D34424"/>
    <w:rsid w:val="00D34464"/>
    <w:rsid w:val="00D353A8"/>
    <w:rsid w:val="00D35969"/>
    <w:rsid w:val="00D40E17"/>
    <w:rsid w:val="00D413C5"/>
    <w:rsid w:val="00D42242"/>
    <w:rsid w:val="00D45208"/>
    <w:rsid w:val="00D45568"/>
    <w:rsid w:val="00D46F84"/>
    <w:rsid w:val="00D51C6E"/>
    <w:rsid w:val="00D51D87"/>
    <w:rsid w:val="00D52E7C"/>
    <w:rsid w:val="00D53CE2"/>
    <w:rsid w:val="00D542CC"/>
    <w:rsid w:val="00D543F3"/>
    <w:rsid w:val="00D609E5"/>
    <w:rsid w:val="00D62905"/>
    <w:rsid w:val="00D636FC"/>
    <w:rsid w:val="00D640C7"/>
    <w:rsid w:val="00D651BC"/>
    <w:rsid w:val="00D66971"/>
    <w:rsid w:val="00D708B7"/>
    <w:rsid w:val="00D7296B"/>
    <w:rsid w:val="00D755A7"/>
    <w:rsid w:val="00D77B37"/>
    <w:rsid w:val="00D80173"/>
    <w:rsid w:val="00D8099A"/>
    <w:rsid w:val="00D81444"/>
    <w:rsid w:val="00D816A0"/>
    <w:rsid w:val="00D81D4D"/>
    <w:rsid w:val="00D823A9"/>
    <w:rsid w:val="00D83FB6"/>
    <w:rsid w:val="00D870A5"/>
    <w:rsid w:val="00D90217"/>
    <w:rsid w:val="00D91F7D"/>
    <w:rsid w:val="00D95224"/>
    <w:rsid w:val="00D95989"/>
    <w:rsid w:val="00D96184"/>
    <w:rsid w:val="00D9694C"/>
    <w:rsid w:val="00D96B0A"/>
    <w:rsid w:val="00D96C89"/>
    <w:rsid w:val="00D97320"/>
    <w:rsid w:val="00D978C1"/>
    <w:rsid w:val="00D97FE7"/>
    <w:rsid w:val="00DA2926"/>
    <w:rsid w:val="00DA52E8"/>
    <w:rsid w:val="00DA54E1"/>
    <w:rsid w:val="00DA6836"/>
    <w:rsid w:val="00DB22C3"/>
    <w:rsid w:val="00DB32CD"/>
    <w:rsid w:val="00DB56F6"/>
    <w:rsid w:val="00DC2A0C"/>
    <w:rsid w:val="00DC3FF0"/>
    <w:rsid w:val="00DC511D"/>
    <w:rsid w:val="00DC54A4"/>
    <w:rsid w:val="00DC61A1"/>
    <w:rsid w:val="00DC6DC9"/>
    <w:rsid w:val="00DD2C65"/>
    <w:rsid w:val="00DD491D"/>
    <w:rsid w:val="00DD4DEC"/>
    <w:rsid w:val="00DD593A"/>
    <w:rsid w:val="00DD7BB6"/>
    <w:rsid w:val="00DE1FE9"/>
    <w:rsid w:val="00DE2B1F"/>
    <w:rsid w:val="00DE5012"/>
    <w:rsid w:val="00DE591C"/>
    <w:rsid w:val="00DE68E0"/>
    <w:rsid w:val="00DE6AEA"/>
    <w:rsid w:val="00DF20F8"/>
    <w:rsid w:val="00DF274C"/>
    <w:rsid w:val="00DF2811"/>
    <w:rsid w:val="00DF3C21"/>
    <w:rsid w:val="00DF6487"/>
    <w:rsid w:val="00DF6C32"/>
    <w:rsid w:val="00E00E5A"/>
    <w:rsid w:val="00E0144B"/>
    <w:rsid w:val="00E0203D"/>
    <w:rsid w:val="00E03F63"/>
    <w:rsid w:val="00E04BEC"/>
    <w:rsid w:val="00E0503D"/>
    <w:rsid w:val="00E06001"/>
    <w:rsid w:val="00E07CA5"/>
    <w:rsid w:val="00E102BB"/>
    <w:rsid w:val="00E118ED"/>
    <w:rsid w:val="00E11FDC"/>
    <w:rsid w:val="00E12040"/>
    <w:rsid w:val="00E126E0"/>
    <w:rsid w:val="00E13656"/>
    <w:rsid w:val="00E1655E"/>
    <w:rsid w:val="00E17D68"/>
    <w:rsid w:val="00E219A1"/>
    <w:rsid w:val="00E21DED"/>
    <w:rsid w:val="00E22DF8"/>
    <w:rsid w:val="00E22F11"/>
    <w:rsid w:val="00E25FA6"/>
    <w:rsid w:val="00E263F2"/>
    <w:rsid w:val="00E267F3"/>
    <w:rsid w:val="00E27E4C"/>
    <w:rsid w:val="00E301EE"/>
    <w:rsid w:val="00E30818"/>
    <w:rsid w:val="00E34AAD"/>
    <w:rsid w:val="00E359D0"/>
    <w:rsid w:val="00E36560"/>
    <w:rsid w:val="00E36BE2"/>
    <w:rsid w:val="00E36EB6"/>
    <w:rsid w:val="00E3755B"/>
    <w:rsid w:val="00E3783A"/>
    <w:rsid w:val="00E37CC9"/>
    <w:rsid w:val="00E408AE"/>
    <w:rsid w:val="00E411A2"/>
    <w:rsid w:val="00E4169D"/>
    <w:rsid w:val="00E42270"/>
    <w:rsid w:val="00E426BC"/>
    <w:rsid w:val="00E43930"/>
    <w:rsid w:val="00E43CF7"/>
    <w:rsid w:val="00E44E3C"/>
    <w:rsid w:val="00E45037"/>
    <w:rsid w:val="00E45CD7"/>
    <w:rsid w:val="00E46192"/>
    <w:rsid w:val="00E46DBD"/>
    <w:rsid w:val="00E4759B"/>
    <w:rsid w:val="00E5027B"/>
    <w:rsid w:val="00E50B8E"/>
    <w:rsid w:val="00E50D3A"/>
    <w:rsid w:val="00E5197D"/>
    <w:rsid w:val="00E5230C"/>
    <w:rsid w:val="00E52BE0"/>
    <w:rsid w:val="00E544CF"/>
    <w:rsid w:val="00E5485A"/>
    <w:rsid w:val="00E54B85"/>
    <w:rsid w:val="00E562B4"/>
    <w:rsid w:val="00E568E1"/>
    <w:rsid w:val="00E572F8"/>
    <w:rsid w:val="00E574FC"/>
    <w:rsid w:val="00E60629"/>
    <w:rsid w:val="00E60695"/>
    <w:rsid w:val="00E60BF0"/>
    <w:rsid w:val="00E61043"/>
    <w:rsid w:val="00E61CF3"/>
    <w:rsid w:val="00E61E4D"/>
    <w:rsid w:val="00E6300E"/>
    <w:rsid w:val="00E63B5E"/>
    <w:rsid w:val="00E63E75"/>
    <w:rsid w:val="00E64A0B"/>
    <w:rsid w:val="00E6515F"/>
    <w:rsid w:val="00E65AAE"/>
    <w:rsid w:val="00E65BF2"/>
    <w:rsid w:val="00E672C7"/>
    <w:rsid w:val="00E678EA"/>
    <w:rsid w:val="00E72C10"/>
    <w:rsid w:val="00E72DD0"/>
    <w:rsid w:val="00E73406"/>
    <w:rsid w:val="00E75B91"/>
    <w:rsid w:val="00E7625C"/>
    <w:rsid w:val="00E76BC5"/>
    <w:rsid w:val="00E772DB"/>
    <w:rsid w:val="00E7781F"/>
    <w:rsid w:val="00E81782"/>
    <w:rsid w:val="00E824FD"/>
    <w:rsid w:val="00E83879"/>
    <w:rsid w:val="00E83CDE"/>
    <w:rsid w:val="00E8596C"/>
    <w:rsid w:val="00E865C0"/>
    <w:rsid w:val="00E900AF"/>
    <w:rsid w:val="00E91CC1"/>
    <w:rsid w:val="00E927ED"/>
    <w:rsid w:val="00E94FC2"/>
    <w:rsid w:val="00E95659"/>
    <w:rsid w:val="00E95716"/>
    <w:rsid w:val="00E95C92"/>
    <w:rsid w:val="00E97CC8"/>
    <w:rsid w:val="00EA1430"/>
    <w:rsid w:val="00EA3C71"/>
    <w:rsid w:val="00EA5674"/>
    <w:rsid w:val="00EA5DD7"/>
    <w:rsid w:val="00EB0134"/>
    <w:rsid w:val="00EB116F"/>
    <w:rsid w:val="00EB14C9"/>
    <w:rsid w:val="00EB1CAB"/>
    <w:rsid w:val="00EB1D29"/>
    <w:rsid w:val="00EB1D6E"/>
    <w:rsid w:val="00EB20D1"/>
    <w:rsid w:val="00EB2C5F"/>
    <w:rsid w:val="00EB2CB1"/>
    <w:rsid w:val="00EB33E2"/>
    <w:rsid w:val="00EB4FDD"/>
    <w:rsid w:val="00EB53B7"/>
    <w:rsid w:val="00EB5AFB"/>
    <w:rsid w:val="00EB6973"/>
    <w:rsid w:val="00EB7589"/>
    <w:rsid w:val="00EB76A8"/>
    <w:rsid w:val="00EC1E91"/>
    <w:rsid w:val="00EC2337"/>
    <w:rsid w:val="00EC2C32"/>
    <w:rsid w:val="00EC3A18"/>
    <w:rsid w:val="00EC5217"/>
    <w:rsid w:val="00EC55CB"/>
    <w:rsid w:val="00EC5C09"/>
    <w:rsid w:val="00EC7638"/>
    <w:rsid w:val="00ED073D"/>
    <w:rsid w:val="00ED0CFD"/>
    <w:rsid w:val="00ED0ED7"/>
    <w:rsid w:val="00ED1C0B"/>
    <w:rsid w:val="00ED26C2"/>
    <w:rsid w:val="00ED3457"/>
    <w:rsid w:val="00ED4B85"/>
    <w:rsid w:val="00ED61B1"/>
    <w:rsid w:val="00ED6F5A"/>
    <w:rsid w:val="00EE38DB"/>
    <w:rsid w:val="00EE622A"/>
    <w:rsid w:val="00EE6DB9"/>
    <w:rsid w:val="00EF21E1"/>
    <w:rsid w:val="00EF462D"/>
    <w:rsid w:val="00EF4908"/>
    <w:rsid w:val="00EF5B96"/>
    <w:rsid w:val="00EF67C4"/>
    <w:rsid w:val="00EF7BCC"/>
    <w:rsid w:val="00F00618"/>
    <w:rsid w:val="00F01ED5"/>
    <w:rsid w:val="00F04B70"/>
    <w:rsid w:val="00F06916"/>
    <w:rsid w:val="00F06C54"/>
    <w:rsid w:val="00F07D74"/>
    <w:rsid w:val="00F1028E"/>
    <w:rsid w:val="00F11576"/>
    <w:rsid w:val="00F115AA"/>
    <w:rsid w:val="00F117D2"/>
    <w:rsid w:val="00F12BB1"/>
    <w:rsid w:val="00F12BCE"/>
    <w:rsid w:val="00F13FAF"/>
    <w:rsid w:val="00F15DF9"/>
    <w:rsid w:val="00F16B41"/>
    <w:rsid w:val="00F17700"/>
    <w:rsid w:val="00F214DB"/>
    <w:rsid w:val="00F22502"/>
    <w:rsid w:val="00F2429D"/>
    <w:rsid w:val="00F24571"/>
    <w:rsid w:val="00F245C8"/>
    <w:rsid w:val="00F275D7"/>
    <w:rsid w:val="00F306F9"/>
    <w:rsid w:val="00F30A0D"/>
    <w:rsid w:val="00F320EE"/>
    <w:rsid w:val="00F33B5B"/>
    <w:rsid w:val="00F36965"/>
    <w:rsid w:val="00F36DEA"/>
    <w:rsid w:val="00F400FA"/>
    <w:rsid w:val="00F4050E"/>
    <w:rsid w:val="00F4071A"/>
    <w:rsid w:val="00F416C6"/>
    <w:rsid w:val="00F4217C"/>
    <w:rsid w:val="00F4406F"/>
    <w:rsid w:val="00F4461F"/>
    <w:rsid w:val="00F46D61"/>
    <w:rsid w:val="00F47D25"/>
    <w:rsid w:val="00F5033A"/>
    <w:rsid w:val="00F60D04"/>
    <w:rsid w:val="00F61E47"/>
    <w:rsid w:val="00F61E7A"/>
    <w:rsid w:val="00F6436F"/>
    <w:rsid w:val="00F6596E"/>
    <w:rsid w:val="00F6679F"/>
    <w:rsid w:val="00F67BB5"/>
    <w:rsid w:val="00F67CAA"/>
    <w:rsid w:val="00F71E30"/>
    <w:rsid w:val="00F72C51"/>
    <w:rsid w:val="00F72F47"/>
    <w:rsid w:val="00F775A0"/>
    <w:rsid w:val="00F82796"/>
    <w:rsid w:val="00F83A61"/>
    <w:rsid w:val="00F86243"/>
    <w:rsid w:val="00F87942"/>
    <w:rsid w:val="00F9162E"/>
    <w:rsid w:val="00F916E8"/>
    <w:rsid w:val="00F948AD"/>
    <w:rsid w:val="00F96D2D"/>
    <w:rsid w:val="00F97009"/>
    <w:rsid w:val="00F97E31"/>
    <w:rsid w:val="00FA028D"/>
    <w:rsid w:val="00FA09BA"/>
    <w:rsid w:val="00FA1696"/>
    <w:rsid w:val="00FA1D06"/>
    <w:rsid w:val="00FA4086"/>
    <w:rsid w:val="00FA68F1"/>
    <w:rsid w:val="00FA6B31"/>
    <w:rsid w:val="00FA6B98"/>
    <w:rsid w:val="00FA6CD2"/>
    <w:rsid w:val="00FA70A4"/>
    <w:rsid w:val="00FB028A"/>
    <w:rsid w:val="00FB1AA9"/>
    <w:rsid w:val="00FB37C0"/>
    <w:rsid w:val="00FB3E48"/>
    <w:rsid w:val="00FB41F7"/>
    <w:rsid w:val="00FB4811"/>
    <w:rsid w:val="00FB59BA"/>
    <w:rsid w:val="00FB5FD1"/>
    <w:rsid w:val="00FC01D2"/>
    <w:rsid w:val="00FC094C"/>
    <w:rsid w:val="00FC0BD8"/>
    <w:rsid w:val="00FC0D4E"/>
    <w:rsid w:val="00FC183E"/>
    <w:rsid w:val="00FC3BAE"/>
    <w:rsid w:val="00FC4E8E"/>
    <w:rsid w:val="00FC52A9"/>
    <w:rsid w:val="00FC6102"/>
    <w:rsid w:val="00FC7166"/>
    <w:rsid w:val="00FD06B6"/>
    <w:rsid w:val="00FD1399"/>
    <w:rsid w:val="00FD146A"/>
    <w:rsid w:val="00FD1DDA"/>
    <w:rsid w:val="00FD237E"/>
    <w:rsid w:val="00FD47E8"/>
    <w:rsid w:val="00FD4B4C"/>
    <w:rsid w:val="00FD59F0"/>
    <w:rsid w:val="00FD710E"/>
    <w:rsid w:val="00FD728D"/>
    <w:rsid w:val="00FE03AB"/>
    <w:rsid w:val="00FE09E6"/>
    <w:rsid w:val="00FE2505"/>
    <w:rsid w:val="00FE277E"/>
    <w:rsid w:val="00FE38BE"/>
    <w:rsid w:val="00FE51BE"/>
    <w:rsid w:val="00FE5B99"/>
    <w:rsid w:val="00FE63F6"/>
    <w:rsid w:val="00FE7C89"/>
    <w:rsid w:val="00FF0149"/>
    <w:rsid w:val="00FF052C"/>
    <w:rsid w:val="00FF11BF"/>
    <w:rsid w:val="00FF3651"/>
    <w:rsid w:val="00FF3ABB"/>
    <w:rsid w:val="00FF4296"/>
    <w:rsid w:val="00FF4DD0"/>
    <w:rsid w:val="00FF59C8"/>
    <w:rsid w:val="00FF6705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6A07A"/>
  <w15:docId w15:val="{F83EA3FB-78C0-4B3D-8ABB-F8DEC1D2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B56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uiPriority w:val="59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4303BA"/>
    <w:rPr>
      <w:color w:val="800080" w:themeColor="followedHyperlink"/>
      <w:u w:val="single"/>
    </w:rPr>
  </w:style>
  <w:style w:type="character" w:styleId="Rimandonotaapidipagina">
    <w:name w:val="footnote reference"/>
    <w:uiPriority w:val="99"/>
    <w:rsid w:val="008F43E5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8F43E5"/>
    <w:rPr>
      <w:rFonts w:eastAsiaTheme="minorEastAsia"/>
      <w:lang w:val="en-US"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F43E5"/>
    <w:rPr>
      <w:rFonts w:eastAsiaTheme="minorEastAsia"/>
      <w:lang w:val="en-US"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B56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43723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43723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4372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617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17D2"/>
  </w:style>
  <w:style w:type="paragraph" w:styleId="Pidipagina">
    <w:name w:val="footer"/>
    <w:basedOn w:val="Normale"/>
    <w:link w:val="PidipaginaCarattere"/>
    <w:uiPriority w:val="99"/>
    <w:unhideWhenUsed/>
    <w:rsid w:val="001617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17D2"/>
  </w:style>
  <w:style w:type="paragraph" w:styleId="Didascalia">
    <w:name w:val="caption"/>
    <w:basedOn w:val="Normale"/>
    <w:next w:val="Normale"/>
    <w:uiPriority w:val="35"/>
    <w:unhideWhenUsed/>
    <w:qFormat/>
    <w:rsid w:val="00C1561D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zh-CN"/>
    </w:rPr>
  </w:style>
  <w:style w:type="table" w:customStyle="1" w:styleId="Grigliatabella2">
    <w:name w:val="Griglia tabella2"/>
    <w:basedOn w:val="Tabellanormale"/>
    <w:next w:val="Grigliatabella"/>
    <w:uiPriority w:val="59"/>
    <w:rsid w:val="00397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4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stampa@gimb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CAD9E-C69A-4B75-A16E-304B31B06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2086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Nino</dc:creator>
  <cp:lastModifiedBy>Roberto Luceri</cp:lastModifiedBy>
  <cp:revision>47</cp:revision>
  <cp:lastPrinted>2023-10-24T13:53:00Z</cp:lastPrinted>
  <dcterms:created xsi:type="dcterms:W3CDTF">2024-10-24T13:18:00Z</dcterms:created>
  <dcterms:modified xsi:type="dcterms:W3CDTF">2024-10-25T07:27:00Z</dcterms:modified>
</cp:coreProperties>
</file>