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7C2E" w14:textId="77777777" w:rsidR="00CA78D1" w:rsidRDefault="00C8624C" w:rsidP="00CA78D1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0580B687" w14:textId="4843496F" w:rsidR="00A034D8" w:rsidRPr="0066583E" w:rsidRDefault="0066583E" w:rsidP="00FE787C">
      <w:pPr>
        <w:jc w:val="center"/>
        <w:rPr>
          <w:b/>
          <w:bCs/>
          <w:sz w:val="36"/>
          <w:szCs w:val="36"/>
        </w:rPr>
      </w:pPr>
      <w:r w:rsidRPr="0066583E">
        <w:rPr>
          <w:b/>
          <w:bCs/>
          <w:sz w:val="36"/>
          <w:szCs w:val="36"/>
        </w:rPr>
        <w:t xml:space="preserve">MEDICI DI FAMIGLIA </w:t>
      </w:r>
      <w:r w:rsidR="00A034D8">
        <w:rPr>
          <w:b/>
          <w:bCs/>
          <w:sz w:val="36"/>
          <w:szCs w:val="36"/>
        </w:rPr>
        <w:t>A RISCHIO</w:t>
      </w:r>
      <w:r w:rsidRPr="0066583E">
        <w:rPr>
          <w:b/>
          <w:bCs/>
          <w:sz w:val="36"/>
          <w:szCs w:val="36"/>
        </w:rPr>
        <w:t xml:space="preserve"> ESTINZIONE: </w:t>
      </w:r>
      <w:r>
        <w:rPr>
          <w:b/>
          <w:bCs/>
          <w:sz w:val="36"/>
          <w:szCs w:val="36"/>
        </w:rPr>
        <w:br/>
      </w:r>
      <w:r w:rsidRPr="0066583E">
        <w:rPr>
          <w:b/>
          <w:bCs/>
          <w:sz w:val="36"/>
          <w:szCs w:val="36"/>
        </w:rPr>
        <w:t>NE MANCANO OLTRE 5.500, IL 52% È SOVRACCARICO DI ASSISTITI, 7.300 ANDRANNO IN PENSIONE ENTRO IL 2027</w:t>
      </w:r>
      <w:r w:rsidR="008714B6">
        <w:rPr>
          <w:b/>
          <w:bCs/>
          <w:sz w:val="36"/>
          <w:szCs w:val="36"/>
        </w:rPr>
        <w:t>.</w:t>
      </w:r>
      <w:r w:rsidRPr="0066583E">
        <w:rPr>
          <w:b/>
          <w:bCs/>
          <w:sz w:val="36"/>
          <w:szCs w:val="36"/>
        </w:rPr>
        <w:t xml:space="preserve"> </w:t>
      </w:r>
      <w:r w:rsidR="007F798A">
        <w:rPr>
          <w:b/>
          <w:bCs/>
          <w:sz w:val="36"/>
          <w:szCs w:val="36"/>
        </w:rPr>
        <w:br/>
      </w:r>
      <w:r w:rsidR="007F798A" w:rsidRPr="007F798A">
        <w:rPr>
          <w:b/>
          <w:bCs/>
          <w:sz w:val="36"/>
          <w:szCs w:val="36"/>
        </w:rPr>
        <w:t xml:space="preserve">SEMPRE MENO GIOVANI SCELGONO LA PROFESSIONE: NEL 2024 NON ASSEGNATE IL 15% DELLE BORSE DI STUDIO, </w:t>
      </w:r>
      <w:r w:rsidR="00C17B41" w:rsidRPr="007F798A">
        <w:rPr>
          <w:b/>
          <w:bCs/>
          <w:sz w:val="36"/>
          <w:szCs w:val="36"/>
        </w:rPr>
        <w:t xml:space="preserve">CON PUNTE </w:t>
      </w:r>
      <w:r w:rsidR="00C17B41">
        <w:rPr>
          <w:b/>
          <w:bCs/>
          <w:sz w:val="36"/>
          <w:szCs w:val="36"/>
        </w:rPr>
        <w:t xml:space="preserve">DI OLTRE IL </w:t>
      </w:r>
      <w:r w:rsidR="00C17B41" w:rsidRPr="007F798A">
        <w:rPr>
          <w:b/>
          <w:bCs/>
          <w:sz w:val="36"/>
          <w:szCs w:val="36"/>
        </w:rPr>
        <w:t xml:space="preserve">40% IN </w:t>
      </w:r>
      <w:r w:rsidR="00C17B41">
        <w:rPr>
          <w:b/>
          <w:bCs/>
          <w:sz w:val="36"/>
          <w:szCs w:val="36"/>
        </w:rPr>
        <w:t>6</w:t>
      </w:r>
      <w:r w:rsidR="00C17B41" w:rsidRPr="007F798A">
        <w:rPr>
          <w:b/>
          <w:bCs/>
          <w:sz w:val="36"/>
          <w:szCs w:val="36"/>
        </w:rPr>
        <w:t xml:space="preserve"> REGIONI</w:t>
      </w:r>
      <w:r w:rsidR="007F798A" w:rsidRPr="007F798A">
        <w:rPr>
          <w:b/>
          <w:bCs/>
          <w:sz w:val="36"/>
          <w:szCs w:val="36"/>
        </w:rPr>
        <w:t>.</w:t>
      </w:r>
      <w:r w:rsidR="00FE787C">
        <w:rPr>
          <w:b/>
          <w:bCs/>
          <w:sz w:val="36"/>
          <w:szCs w:val="36"/>
        </w:rPr>
        <w:br/>
        <w:t>E</w:t>
      </w:r>
      <w:r w:rsidR="00FE787C" w:rsidRPr="0066583E">
        <w:rPr>
          <w:b/>
          <w:bCs/>
          <w:sz w:val="36"/>
          <w:szCs w:val="36"/>
        </w:rPr>
        <w:t xml:space="preserve"> L’INVECCHIAMENTO DELLA POPOLAZIONE AUMENTA I BISOGNI DI ASSISTENZA</w:t>
      </w:r>
      <w:r w:rsidR="00FE787C">
        <w:rPr>
          <w:b/>
          <w:bCs/>
          <w:sz w:val="36"/>
          <w:szCs w:val="36"/>
        </w:rPr>
        <w:t>: OVER 80 TRIPLICATI IN 40 ANNI.</w:t>
      </w:r>
      <w:r w:rsidR="007F798A">
        <w:rPr>
          <w:b/>
          <w:bCs/>
          <w:sz w:val="36"/>
          <w:szCs w:val="36"/>
        </w:rPr>
        <w:br/>
      </w:r>
      <w:r w:rsidR="007F798A" w:rsidRPr="007F798A">
        <w:rPr>
          <w:b/>
          <w:bCs/>
          <w:sz w:val="36"/>
          <w:szCs w:val="36"/>
        </w:rPr>
        <w:t xml:space="preserve">MEDICI DI FAMIGLIA DIPENDENTI DEL SSN: RIFORMA </w:t>
      </w:r>
      <w:r w:rsidR="007F798A">
        <w:rPr>
          <w:b/>
          <w:bCs/>
          <w:sz w:val="36"/>
          <w:szCs w:val="36"/>
        </w:rPr>
        <w:t xml:space="preserve">ANNUNCIATA SENZA </w:t>
      </w:r>
      <w:r w:rsidR="007F798A" w:rsidRPr="007F798A">
        <w:rPr>
          <w:b/>
          <w:bCs/>
          <w:sz w:val="36"/>
          <w:szCs w:val="36"/>
        </w:rPr>
        <w:t>ALCUNA VALUTAZIONE D’IMPATTO</w:t>
      </w:r>
    </w:p>
    <w:p w14:paraId="3FEAEB07" w14:textId="77777777" w:rsidR="005B4F61" w:rsidRDefault="00FC5CDC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C6CB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53A5E">
        <w:rPr>
          <w:rFonts w:ascii="Calibri" w:eastAsia="Calibri" w:hAnsi="Calibri" w:cs="Times New Roman"/>
          <w:b/>
          <w:bCs/>
          <w:sz w:val="24"/>
          <w:szCs w:val="24"/>
        </w:rPr>
        <w:t>ma</w:t>
      </w:r>
      <w:r w:rsidR="00671674">
        <w:rPr>
          <w:rFonts w:ascii="Calibri" w:eastAsia="Calibri" w:hAnsi="Calibri" w:cs="Times New Roman"/>
          <w:b/>
          <w:bCs/>
          <w:sz w:val="24"/>
          <w:szCs w:val="24"/>
        </w:rPr>
        <w:t>rzo</w:t>
      </w:r>
      <w:r w:rsidR="00853A5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</w:t>
      </w:r>
      <w:r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0281DD67" w14:textId="598F8C41" w:rsidR="00A034D8" w:rsidRPr="008714B6" w:rsidRDefault="00DD7B86" w:rsidP="003C31DB">
      <w:pPr>
        <w:spacing w:after="120"/>
        <w:jc w:val="both"/>
      </w:pPr>
      <w:r w:rsidRPr="0066583E">
        <w:rPr>
          <w:rFonts w:cstheme="minorHAnsi"/>
        </w:rPr>
        <w:t>Mancano oltre 5.500 medici di medicina generale (MMG)</w:t>
      </w:r>
      <w:r w:rsidR="00A034D8">
        <w:rPr>
          <w:rFonts w:cstheme="minorHAnsi"/>
        </w:rPr>
        <w:t xml:space="preserve"> e</w:t>
      </w:r>
      <w:r w:rsidRPr="0066583E">
        <w:rPr>
          <w:rFonts w:cstheme="minorHAnsi"/>
        </w:rPr>
        <w:t xml:space="preserve"> sempre più cittadini faticano a trovare un medico di famiglia, soprattutto nelle grandi Regioni.</w:t>
      </w:r>
      <w:r w:rsidRPr="0066583E">
        <w:t xml:space="preserve"> </w:t>
      </w:r>
      <w:r w:rsidR="00A034D8">
        <w:t xml:space="preserve">A </w:t>
      </w:r>
      <w:r w:rsidR="007F798A">
        <w:t xml:space="preserve">fronte di migliaia di pensionamenti, </w:t>
      </w:r>
      <w:r w:rsidR="00A034D8">
        <w:t>il numero di</w:t>
      </w:r>
      <w:r w:rsidR="007F798A">
        <w:t xml:space="preserve"> giovani medici </w:t>
      </w:r>
      <w:r w:rsidR="00A034D8">
        <w:t xml:space="preserve">che </w:t>
      </w:r>
      <w:r w:rsidR="007F798A">
        <w:t>scelgono questa professione</w:t>
      </w:r>
      <w:r w:rsidR="00A034D8">
        <w:t xml:space="preserve"> continua a diminuire</w:t>
      </w:r>
      <w:r w:rsidR="007F798A">
        <w:t xml:space="preserve">. </w:t>
      </w:r>
      <w:r w:rsidR="008714B6">
        <w:t>Con una popolazione sempre più anziana e malata: nel 2023</w:t>
      </w:r>
      <w:r w:rsidR="008714B6" w:rsidRPr="008714B6">
        <w:t xml:space="preserve"> gli over 65 </w:t>
      </w:r>
      <w:r w:rsidR="008714B6">
        <w:t>erano</w:t>
      </w:r>
      <w:r w:rsidR="00362055">
        <w:t xml:space="preserve"> oltre 14,2 </w:t>
      </w:r>
      <w:r w:rsidR="008714B6" w:rsidRPr="008714B6">
        <w:t>milioni</w:t>
      </w:r>
      <w:r w:rsidR="008714B6">
        <w:t xml:space="preserve">, di cui </w:t>
      </w:r>
      <w:r w:rsidR="00362055">
        <w:t xml:space="preserve">più della metà affetti da </w:t>
      </w:r>
      <w:r w:rsidR="008714B6" w:rsidRPr="008714B6">
        <w:t xml:space="preserve">due o più </w:t>
      </w:r>
      <w:r w:rsidR="008714B6">
        <w:t>malattie croniche</w:t>
      </w:r>
      <w:r w:rsidR="008714B6" w:rsidRPr="008714B6">
        <w:t>.</w:t>
      </w:r>
      <w:r w:rsidR="008714B6">
        <w:t xml:space="preserve"> Intanto, </w:t>
      </w:r>
      <w:r w:rsidR="00816352" w:rsidRPr="0066583E">
        <w:rPr>
          <w:rFonts w:cstheme="minorHAnsi"/>
        </w:rPr>
        <w:t>la politica</w:t>
      </w:r>
      <w:r w:rsidRPr="0066583E">
        <w:rPr>
          <w:rFonts w:cstheme="minorHAnsi"/>
        </w:rPr>
        <w:t xml:space="preserve"> propone la dipendenza dei medici di famiglia</w:t>
      </w:r>
      <w:r w:rsidR="00A034D8" w:rsidRPr="00A034D8">
        <w:rPr>
          <w:rFonts w:cstheme="minorHAnsi"/>
        </w:rPr>
        <w:t xml:space="preserve"> </w:t>
      </w:r>
      <w:r w:rsidR="00A034D8">
        <w:rPr>
          <w:rFonts w:cstheme="minorHAnsi"/>
        </w:rPr>
        <w:t>come soluzione</w:t>
      </w:r>
      <w:r w:rsidRPr="0066583E">
        <w:rPr>
          <w:rFonts w:cstheme="minorHAnsi"/>
        </w:rPr>
        <w:t xml:space="preserve">, </w:t>
      </w:r>
      <w:r w:rsidR="0066583E" w:rsidRPr="0066583E">
        <w:rPr>
          <w:rFonts w:cstheme="minorHAnsi"/>
        </w:rPr>
        <w:t xml:space="preserve">senza </w:t>
      </w:r>
      <w:r w:rsidR="007F798A">
        <w:rPr>
          <w:rFonts w:cstheme="minorHAnsi"/>
        </w:rPr>
        <w:t xml:space="preserve">alcuna </w:t>
      </w:r>
      <w:r w:rsidRPr="0066583E">
        <w:rPr>
          <w:rFonts w:cstheme="minorHAnsi"/>
        </w:rPr>
        <w:t>valutazion</w:t>
      </w:r>
      <w:r w:rsidR="007F798A">
        <w:rPr>
          <w:rFonts w:cstheme="minorHAnsi"/>
        </w:rPr>
        <w:t>e</w:t>
      </w:r>
      <w:r w:rsidRPr="0066583E">
        <w:rPr>
          <w:rFonts w:cstheme="minorHAnsi"/>
        </w:rPr>
        <w:t xml:space="preserve"> d’impatto economic</w:t>
      </w:r>
      <w:r w:rsidR="007F798A">
        <w:rPr>
          <w:rFonts w:cstheme="minorHAnsi"/>
        </w:rPr>
        <w:t>o, contributivo,</w:t>
      </w:r>
      <w:r w:rsidRPr="0066583E">
        <w:rPr>
          <w:rFonts w:cstheme="minorHAnsi"/>
        </w:rPr>
        <w:t xml:space="preserve"> organizzativo</w:t>
      </w:r>
      <w:r w:rsidR="007F798A">
        <w:rPr>
          <w:rFonts w:cstheme="minorHAnsi"/>
        </w:rPr>
        <w:t xml:space="preserve"> e professionale</w:t>
      </w:r>
      <w:r w:rsidR="00A034D8">
        <w:rPr>
          <w:rFonts w:cstheme="minorHAnsi"/>
        </w:rPr>
        <w:t>.</w:t>
      </w:r>
    </w:p>
    <w:p w14:paraId="32473366" w14:textId="4F000AFE" w:rsidR="003C31DB" w:rsidRDefault="007830E9" w:rsidP="003C31DB">
      <w:pPr>
        <w:spacing w:after="120"/>
        <w:jc w:val="both"/>
      </w:pPr>
      <w:r>
        <w:rPr>
          <w:rFonts w:cstheme="minorHAnsi"/>
        </w:rPr>
        <w:t>O</w:t>
      </w:r>
      <w:r w:rsidR="00A12ECA">
        <w:rPr>
          <w:rFonts w:cstheme="minorHAnsi"/>
        </w:rPr>
        <w:t xml:space="preserve">gni cittadino iscritto al Servizio Sanitario Nazionale (SSN) ha diritto a un </w:t>
      </w:r>
      <w:r w:rsidR="00DD7B86">
        <w:rPr>
          <w:rFonts w:cstheme="minorHAnsi"/>
        </w:rPr>
        <w:t>MMG</w:t>
      </w:r>
      <w:r w:rsidR="000825E0">
        <w:rPr>
          <w:rFonts w:cstheme="minorHAnsi"/>
        </w:rPr>
        <w:t xml:space="preserve"> </w:t>
      </w:r>
      <w:r w:rsidR="001C536E">
        <w:rPr>
          <w:rFonts w:cstheme="minorHAnsi"/>
        </w:rPr>
        <w:t xml:space="preserve">che </w:t>
      </w:r>
      <w:r w:rsidR="00834C09">
        <w:rPr>
          <w:rFonts w:cstheme="minorHAnsi"/>
        </w:rPr>
        <w:t xml:space="preserve">permette </w:t>
      </w:r>
      <w:r w:rsidR="001C536E">
        <w:rPr>
          <w:rFonts w:cstheme="minorHAnsi"/>
        </w:rPr>
        <w:t>di</w:t>
      </w:r>
      <w:r w:rsidR="00A12ECA">
        <w:rPr>
          <w:rFonts w:cstheme="minorHAnsi"/>
        </w:rPr>
        <w:t xml:space="preserve"> accedere a servizi e prestazioni inclusi nei Livelli Essenziali di Assistenza (LEA). </w:t>
      </w:r>
      <w:r w:rsidR="00A12ECA">
        <w:t xml:space="preserve">Il MMG non è un dipendente del SSN, ma </w:t>
      </w:r>
      <w:r>
        <w:t>lavora</w:t>
      </w:r>
      <w:r w:rsidR="003C31DB">
        <w:t xml:space="preserve"> </w:t>
      </w:r>
      <w:r w:rsidR="00A12ECA">
        <w:t xml:space="preserve">in </w:t>
      </w:r>
      <w:r w:rsidR="003C31DB">
        <w:t xml:space="preserve">regime di </w:t>
      </w:r>
      <w:r w:rsidR="00A12ECA">
        <w:t xml:space="preserve">convenzione con l’Azienda Sanitaria Locale (ASL): il suo rapporto di lavoro è </w:t>
      </w:r>
      <w:r w:rsidR="003C31DB">
        <w:t xml:space="preserve">regolato </w:t>
      </w:r>
      <w:r w:rsidR="00A12ECA">
        <w:t>dall’Accordo Collettivo Nazionale (ACN), dagli Accordi Integrativi Regionali e dagli Accordi Attuativi Aziendali</w:t>
      </w:r>
      <w:r w:rsidR="003C31DB">
        <w:t>,</w:t>
      </w:r>
      <w:r w:rsidR="00A12ECA">
        <w:t xml:space="preserve"> </w:t>
      </w:r>
      <w:r w:rsidR="0060029B">
        <w:t xml:space="preserve">definiti </w:t>
      </w:r>
      <w:r w:rsidR="003C31DB">
        <w:t>a livello di singola</w:t>
      </w:r>
      <w:r w:rsidR="00A12ECA">
        <w:t xml:space="preserve"> ASL.</w:t>
      </w:r>
    </w:p>
    <w:p w14:paraId="708BB14F" w14:textId="061C7251" w:rsidR="003C31DB" w:rsidRDefault="00A12ECA" w:rsidP="00A12ECA">
      <w:pPr>
        <w:spacing w:after="120"/>
        <w:jc w:val="both"/>
      </w:pPr>
      <w:r>
        <w:t>«L’allarme sulla carenza dei MMG – afferma Nino Cartabellotta Presidente della Fondazione GIMBE –</w:t>
      </w:r>
      <w:r w:rsidR="007830E9">
        <w:t xml:space="preserve"> </w:t>
      </w:r>
      <w:r>
        <w:t xml:space="preserve">riguarda </w:t>
      </w:r>
      <w:r w:rsidR="003C31DB">
        <w:t xml:space="preserve">ormai </w:t>
      </w:r>
      <w:r>
        <w:t>tutte le Regioni e</w:t>
      </w:r>
      <w:r w:rsidR="007830E9">
        <w:t xml:space="preserve"> </w:t>
      </w:r>
      <w:r w:rsidR="000E06F6">
        <w:t xml:space="preserve">affonda le radici in </w:t>
      </w:r>
      <w:r w:rsidR="007830E9">
        <w:t>una</w:t>
      </w:r>
      <w:r w:rsidR="00FC1B73">
        <w:t xml:space="preserve"> programmazione </w:t>
      </w:r>
      <w:r w:rsidR="003C31DB">
        <w:t xml:space="preserve">inadeguata, </w:t>
      </w:r>
      <w:r w:rsidR="00FC1B73">
        <w:t>che non ha</w:t>
      </w:r>
      <w:r>
        <w:t xml:space="preserve"> garantito </w:t>
      </w:r>
      <w:r w:rsidR="000E06F6">
        <w:t>il</w:t>
      </w:r>
      <w:r w:rsidR="00F30435">
        <w:t xml:space="preserve"> </w:t>
      </w:r>
      <w:r>
        <w:t>ricambio generazionale in relazione ai pensionamenti attesi</w:t>
      </w:r>
      <w:r w:rsidR="007830E9">
        <w:t xml:space="preserve">. </w:t>
      </w:r>
      <w:r w:rsidR="00F30435">
        <w:t>Negli</w:t>
      </w:r>
      <w:r w:rsidR="007830E9">
        <w:t xml:space="preserve"> ultimi anni</w:t>
      </w:r>
      <w:r w:rsidR="00F30435">
        <w:t xml:space="preserve"> poi</w:t>
      </w:r>
      <w:r w:rsidR="007830E9">
        <w:t xml:space="preserve"> </w:t>
      </w:r>
      <w:r w:rsidR="0060029B">
        <w:t>la professione ha perso sempre più attrattività</w:t>
      </w:r>
      <w:r w:rsidR="003C31DB">
        <w:t xml:space="preserve">, rendendo </w:t>
      </w:r>
      <w:r>
        <w:t xml:space="preserve">oggi spesso </w:t>
      </w:r>
      <w:r w:rsidR="003C31DB">
        <w:t>difficile per i cittadini</w:t>
      </w:r>
      <w:r>
        <w:t xml:space="preserve"> </w:t>
      </w:r>
      <w:r w:rsidR="00F30435">
        <w:t xml:space="preserve">trovare </w:t>
      </w:r>
      <w:r>
        <w:t xml:space="preserve">un MMG vicino a casa, con conseguenti disagi e rischi per la salute, </w:t>
      </w:r>
      <w:r w:rsidR="003C31DB">
        <w:t>soprattutto per</w:t>
      </w:r>
      <w:r>
        <w:t xml:space="preserve"> anziani e </w:t>
      </w:r>
      <w:r w:rsidR="003C31DB">
        <w:t xml:space="preserve">persone </w:t>
      </w:r>
      <w:r>
        <w:t>fragili</w:t>
      </w:r>
      <w:r>
        <w:rPr>
          <w:rFonts w:cstheme="minorHAnsi"/>
        </w:rPr>
        <w:t>».</w:t>
      </w:r>
    </w:p>
    <w:p w14:paraId="3F379B46" w14:textId="52695D92" w:rsidR="00F96319" w:rsidRDefault="0060029B" w:rsidP="00F96319">
      <w:pPr>
        <w:spacing w:after="120"/>
        <w:jc w:val="both"/>
      </w:pPr>
      <w:r>
        <w:rPr>
          <w:rFonts w:cstheme="minorHAnsi"/>
        </w:rPr>
        <w:t>L</w:t>
      </w:r>
      <w:r w:rsidR="00A12ECA">
        <w:rPr>
          <w:rFonts w:cstheme="minorHAnsi"/>
        </w:rPr>
        <w:t xml:space="preserve">a Fondazione GIMBE ha analizzato dinamiche e criticità </w:t>
      </w:r>
      <w:r w:rsidR="003C31DB">
        <w:rPr>
          <w:rFonts w:cstheme="minorHAnsi"/>
        </w:rPr>
        <w:t>normative</w:t>
      </w:r>
      <w:r w:rsidR="00A12ECA">
        <w:rPr>
          <w:rFonts w:cstheme="minorHAnsi"/>
        </w:rPr>
        <w:t xml:space="preserve"> che regolano l’inserimento dei MMG nel SSN</w:t>
      </w:r>
      <w:r w:rsidR="003C31DB">
        <w:rPr>
          <w:rFonts w:cstheme="minorHAnsi"/>
        </w:rPr>
        <w:t>, stimando</w:t>
      </w:r>
      <w:r w:rsidR="00A12ECA">
        <w:rPr>
          <w:rFonts w:cstheme="minorHAnsi"/>
        </w:rPr>
        <w:t xml:space="preserve"> l’entità della </w:t>
      </w:r>
      <w:r w:rsidR="00F96319">
        <w:rPr>
          <w:rFonts w:cstheme="minorHAnsi"/>
        </w:rPr>
        <w:t xml:space="preserve">loro </w:t>
      </w:r>
      <w:r w:rsidR="00A12ECA">
        <w:rPr>
          <w:rFonts w:cstheme="minorHAnsi"/>
        </w:rPr>
        <w:t>carenza nelle Regioni italiane</w:t>
      </w:r>
      <w:r w:rsidR="0014665A">
        <w:rPr>
          <w:rFonts w:cstheme="minorHAnsi"/>
        </w:rPr>
        <w:t>.</w:t>
      </w:r>
      <w:r w:rsidR="00F30435">
        <w:rPr>
          <w:rFonts w:cstheme="minorHAnsi"/>
        </w:rPr>
        <w:t xml:space="preserve"> Tuttavia, </w:t>
      </w:r>
      <w:r w:rsidR="007830E9">
        <w:rPr>
          <w:rFonts w:cstheme="minorHAnsi"/>
        </w:rPr>
        <w:t>precisa Cartabellotta</w:t>
      </w:r>
      <w:r w:rsidR="00F30435">
        <w:rPr>
          <w:rFonts w:cstheme="minorHAnsi"/>
        </w:rPr>
        <w:t>,</w:t>
      </w:r>
      <w:r w:rsidR="00A12ECA">
        <w:rPr>
          <w:rFonts w:cstheme="minorHAnsi"/>
        </w:rPr>
        <w:t xml:space="preserve"> </w:t>
      </w:r>
      <w:r w:rsidR="00A12ECA">
        <w:t>«</w:t>
      </w:r>
      <w:r w:rsidR="007830E9">
        <w:t xml:space="preserve">è </w:t>
      </w:r>
      <w:r w:rsidR="00F96319">
        <w:t xml:space="preserve">stato </w:t>
      </w:r>
      <w:r w:rsidR="007830E9">
        <w:t xml:space="preserve">possibile effettuare solo una stima media regionale delle carenze, perché la reale necessità di MMG viene determinata dalle singole ASL </w:t>
      </w:r>
      <w:r w:rsidR="00F30435">
        <w:t>nei rispettivi ambiti territoriali.</w:t>
      </w:r>
      <w:r w:rsidR="007830E9">
        <w:t xml:space="preserve"> </w:t>
      </w:r>
      <w:r w:rsidR="00F30435">
        <w:t>Inoltre, i</w:t>
      </w:r>
      <w:r w:rsidR="00A12ECA">
        <w:t xml:space="preserve"> 21 differenti Accordi Integrativi Regionali introducono </w:t>
      </w:r>
      <w:r w:rsidR="003C31DB">
        <w:t>notevol</w:t>
      </w:r>
      <w:r w:rsidR="007830E9">
        <w:t>i</w:t>
      </w:r>
      <w:r w:rsidR="003C31DB">
        <w:t xml:space="preserve"> </w:t>
      </w:r>
      <w:r w:rsidR="00A12ECA">
        <w:t xml:space="preserve">variabilità nella distribuzione degli assistiti </w:t>
      </w:r>
      <w:r w:rsidR="003C31DB">
        <w:t>per MMG, con il rischio di</w:t>
      </w:r>
      <w:r w:rsidR="00A12ECA">
        <w:t xml:space="preserve"> sovra- o sotto-stimare il </w:t>
      </w:r>
      <w:r w:rsidR="007830E9">
        <w:t xml:space="preserve">fabbisogno </w:t>
      </w:r>
      <w:r w:rsidR="00A12ECA">
        <w:t xml:space="preserve">reale </w:t>
      </w:r>
      <w:r w:rsidR="00F96319">
        <w:t>rispetto alle specifiche</w:t>
      </w:r>
      <w:r w:rsidR="00A12ECA">
        <w:t xml:space="preserve"> </w:t>
      </w:r>
      <w:r w:rsidR="00F96319">
        <w:t>situazioni locali</w:t>
      </w:r>
      <w:r w:rsidR="00A12ECA">
        <w:t xml:space="preserve">». </w:t>
      </w:r>
    </w:p>
    <w:p w14:paraId="2F379C9B" w14:textId="77777777" w:rsidR="00690E89" w:rsidRDefault="00690E89" w:rsidP="00F96319">
      <w:pPr>
        <w:spacing w:after="120"/>
        <w:jc w:val="both"/>
      </w:pPr>
    </w:p>
    <w:p w14:paraId="3000F5ED" w14:textId="77777777" w:rsidR="00E454E5" w:rsidRPr="00E454E5" w:rsidRDefault="00E454E5" w:rsidP="00A12ECA">
      <w:pPr>
        <w:spacing w:after="120"/>
        <w:jc w:val="both"/>
        <w:rPr>
          <w:sz w:val="4"/>
          <w:szCs w:val="4"/>
        </w:rPr>
      </w:pPr>
    </w:p>
    <w:p w14:paraId="2FE75905" w14:textId="77777777" w:rsidR="00A12ECA" w:rsidRDefault="00A12ECA" w:rsidP="00E454E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DINAMICHE E CRITICITÀ</w:t>
      </w:r>
    </w:p>
    <w:p w14:paraId="5F6081E3" w14:textId="2809A9AE" w:rsidR="002179AA" w:rsidRPr="006951B8" w:rsidRDefault="00F26520" w:rsidP="002179AA">
      <w:pPr>
        <w:spacing w:after="120"/>
        <w:jc w:val="both"/>
      </w:pPr>
      <w:r w:rsidRPr="000E06F6">
        <w:rPr>
          <w:b/>
          <w:bCs/>
        </w:rPr>
        <w:t>Quadro demografico</w:t>
      </w:r>
      <w:r w:rsidRPr="000E06F6">
        <w:t xml:space="preserve">. </w:t>
      </w:r>
      <w:r w:rsidR="006951B8" w:rsidRPr="000E06F6">
        <w:t xml:space="preserve">«I criteri </w:t>
      </w:r>
      <w:r w:rsidR="00D73F6D" w:rsidRPr="000E06F6">
        <w:t xml:space="preserve">per definire </w:t>
      </w:r>
      <w:r w:rsidR="006951B8" w:rsidRPr="000E06F6">
        <w:t xml:space="preserve">il numero massimo di assistiti </w:t>
      </w:r>
      <w:r w:rsidR="0083367B" w:rsidRPr="000E06F6">
        <w:t xml:space="preserve">per </w:t>
      </w:r>
      <w:r w:rsidR="006951B8" w:rsidRPr="000E06F6">
        <w:t>MMG – spiega Cartabellotta –</w:t>
      </w:r>
      <w:r w:rsidR="0083367B">
        <w:t xml:space="preserve"> </w:t>
      </w:r>
      <w:r w:rsidR="006951B8" w:rsidRPr="006951B8">
        <w:t xml:space="preserve">non </w:t>
      </w:r>
      <w:r w:rsidR="0060029B">
        <w:t xml:space="preserve">hanno mai </w:t>
      </w:r>
      <w:r w:rsidR="008073A9">
        <w:t xml:space="preserve">considerato </w:t>
      </w:r>
      <w:r w:rsidR="0060029B">
        <w:t>l’</w:t>
      </w:r>
      <w:r w:rsidR="006951B8" w:rsidRPr="006951B8">
        <w:t xml:space="preserve">evoluzione demografica </w:t>
      </w:r>
      <w:r w:rsidR="0083367B">
        <w:t>d</w:t>
      </w:r>
      <w:r w:rsidR="0083367B" w:rsidRPr="006951B8">
        <w:t xml:space="preserve">egli </w:t>
      </w:r>
      <w:r w:rsidR="006951B8" w:rsidRPr="006951B8">
        <w:t>ultimi 40 anni</w:t>
      </w:r>
      <w:r w:rsidR="0060029B">
        <w:t xml:space="preserve">, né </w:t>
      </w:r>
      <w:r w:rsidR="00834C09">
        <w:t xml:space="preserve">oggi tengono presenti </w:t>
      </w:r>
      <w:r w:rsidR="008073A9">
        <w:t>l</w:t>
      </w:r>
      <w:r w:rsidR="0083367B">
        <w:t>e proiezioni</w:t>
      </w:r>
      <w:r w:rsidR="0060029B">
        <w:t xml:space="preserve"> </w:t>
      </w:r>
      <w:r w:rsidR="006951B8" w:rsidRPr="006951B8">
        <w:t>per il prossimo decennio»</w:t>
      </w:r>
      <w:r>
        <w:t>. In</w:t>
      </w:r>
      <w:r w:rsidR="0060029B">
        <w:t xml:space="preserve">fatti, </w:t>
      </w:r>
      <w:r>
        <w:t xml:space="preserve">la percentuale di residenti di età </w:t>
      </w:r>
      <w:r>
        <w:rPr>
          <w:rFonts w:cstheme="minorHAnsi"/>
        </w:rPr>
        <w:t>≥</w:t>
      </w:r>
      <w:r>
        <w:t>65 anni è quasi raddoppiata</w:t>
      </w:r>
      <w:r w:rsidR="0083367B">
        <w:t>, passando</w:t>
      </w:r>
      <w:r>
        <w:t xml:space="preserve"> dal 12,9% (7,29 milioni) nel 1984 al 24% (14,18 milioni) nel 2024. </w:t>
      </w:r>
      <w:r w:rsidR="008073A9">
        <w:t>A</w:t>
      </w:r>
      <w:r w:rsidR="0083367B">
        <w:t xml:space="preserve">ncora più marcato </w:t>
      </w:r>
      <w:r w:rsidR="008073A9">
        <w:t>l’aumento de</w:t>
      </w:r>
      <w:r w:rsidR="0083367B">
        <w:t>gli</w:t>
      </w:r>
      <w:r>
        <w:t xml:space="preserve"> over 80</w:t>
      </w:r>
      <w:r w:rsidR="0083367B">
        <w:t xml:space="preserve">, la cui </w:t>
      </w:r>
      <w:r w:rsidR="00D73F6D">
        <w:t xml:space="preserve">prevalenza </w:t>
      </w:r>
      <w:r>
        <w:t xml:space="preserve">è più che triplicata: dal 2,4% (1,4 milioni) del 1984 al 7,7% (4,5 milioni) nel 2024. Questa tendenza è confermata dalle previsioni ISTAT </w:t>
      </w:r>
      <w:r w:rsidR="006951B8">
        <w:t xml:space="preserve">per il </w:t>
      </w:r>
      <w:r>
        <w:t>2034</w:t>
      </w:r>
      <w:r w:rsidR="006951B8">
        <w:t>, quando</w:t>
      </w:r>
      <w:r>
        <w:t xml:space="preserve"> gli over</w:t>
      </w:r>
      <w:r w:rsidR="00FC1E6E">
        <w:t xml:space="preserve"> </w:t>
      </w:r>
      <w:r>
        <w:t xml:space="preserve">65 </w:t>
      </w:r>
      <w:r w:rsidR="0083367B">
        <w:t>rappresenteranno il</w:t>
      </w:r>
      <w:r w:rsidR="006951B8">
        <w:t xml:space="preserve"> </w:t>
      </w:r>
      <w:r>
        <w:t>29,4% della popolazione</w:t>
      </w:r>
      <w:r w:rsidR="006951B8">
        <w:t xml:space="preserve"> (17,04 milioni</w:t>
      </w:r>
      <w:r>
        <w:t>)</w:t>
      </w:r>
      <w:r w:rsidR="0083367B">
        <w:t xml:space="preserve"> </w:t>
      </w:r>
      <w:r w:rsidR="0007350A">
        <w:t>e</w:t>
      </w:r>
      <w:r>
        <w:t xml:space="preserve"> gli over</w:t>
      </w:r>
      <w:r w:rsidR="00FC1E6E">
        <w:t xml:space="preserve"> </w:t>
      </w:r>
      <w:r>
        <w:t xml:space="preserve">80 </w:t>
      </w:r>
      <w:r w:rsidR="0083367B">
        <w:t xml:space="preserve">saliranno </w:t>
      </w:r>
      <w:r w:rsidR="006951B8">
        <w:t xml:space="preserve">al </w:t>
      </w:r>
      <w:r>
        <w:t xml:space="preserve">9,1% </w:t>
      </w:r>
      <w:r w:rsidR="006951B8">
        <w:t>(5,28 milioni</w:t>
      </w:r>
      <w:r>
        <w:t xml:space="preserve">) </w:t>
      </w:r>
      <w:r w:rsidR="006951B8">
        <w:t>(</w:t>
      </w:r>
      <w:r w:rsidR="006951B8" w:rsidRPr="006951B8">
        <w:rPr>
          <w:highlight w:val="yellow"/>
        </w:rPr>
        <w:t xml:space="preserve">figura </w:t>
      </w:r>
      <w:r w:rsidR="0073280F">
        <w:rPr>
          <w:highlight w:val="yellow"/>
        </w:rPr>
        <w:t>1</w:t>
      </w:r>
      <w:r w:rsidR="006951B8">
        <w:t xml:space="preserve">). </w:t>
      </w:r>
      <w:r w:rsidR="008C6A3E">
        <w:t xml:space="preserve">Inoltre, </w:t>
      </w:r>
      <w:r w:rsidR="00C4467F" w:rsidRPr="008C6A3E">
        <w:t xml:space="preserve">l’indagine ISTAT sullo stato di salute della popolazione </w:t>
      </w:r>
      <w:r w:rsidR="00A14601">
        <w:t>rileva che</w:t>
      </w:r>
      <w:r w:rsidR="008073A9">
        <w:t>,</w:t>
      </w:r>
      <w:r w:rsidR="00A14601">
        <w:t xml:space="preserve"> </w:t>
      </w:r>
      <w:r w:rsidR="00D73F6D" w:rsidRPr="008C6A3E">
        <w:t>nel 2023</w:t>
      </w:r>
      <w:r w:rsidR="008073A9">
        <w:t>,</w:t>
      </w:r>
      <w:r w:rsidR="00D73F6D" w:rsidRPr="008C6A3E">
        <w:t xml:space="preserve"> </w:t>
      </w:r>
      <w:r w:rsidR="00C4467F" w:rsidRPr="008C6A3E">
        <w:t xml:space="preserve">11,1 milioni di over 65 (77,6%) erano affetti da almeno una malattia cronica, di cui 7,8 milioni (54,5%) </w:t>
      </w:r>
      <w:r w:rsidR="00A14601">
        <w:t>con</w:t>
      </w:r>
      <w:r w:rsidR="00C4467F" w:rsidRPr="008C6A3E">
        <w:t xml:space="preserve"> due o più </w:t>
      </w:r>
      <w:r w:rsidR="00834C09">
        <w:t>cronicità</w:t>
      </w:r>
      <w:r w:rsidR="00C4467F" w:rsidRPr="008C6A3E">
        <w:t>.</w:t>
      </w:r>
      <w:r w:rsidR="008C6A3E">
        <w:t xml:space="preserve"> </w:t>
      </w:r>
      <w:r w:rsidR="006951B8" w:rsidRPr="006951B8">
        <w:t>«</w:t>
      </w:r>
      <w:r w:rsidR="006951B8">
        <w:t xml:space="preserve">Di conseguenza </w:t>
      </w:r>
      <w:r w:rsidR="006951B8" w:rsidRPr="006951B8">
        <w:t xml:space="preserve">– </w:t>
      </w:r>
      <w:r w:rsidR="006951B8">
        <w:t>commenta il Presidente</w:t>
      </w:r>
      <w:r w:rsidR="006951B8" w:rsidRPr="006951B8">
        <w:t xml:space="preserve"> –</w:t>
      </w:r>
      <w:r w:rsidR="006951B8">
        <w:t xml:space="preserve"> </w:t>
      </w:r>
      <w:r w:rsidR="00A14601">
        <w:t xml:space="preserve">il </w:t>
      </w:r>
      <w:r w:rsidR="006951B8">
        <w:t xml:space="preserve">massimale di 1.500 </w:t>
      </w:r>
      <w:r w:rsidR="0060029B">
        <w:t xml:space="preserve">assistiti </w:t>
      </w:r>
      <w:r w:rsidR="00A14601">
        <w:t xml:space="preserve">per MMG, </w:t>
      </w:r>
      <w:r w:rsidR="008073A9">
        <w:t>adeguato nel</w:t>
      </w:r>
      <w:r w:rsidR="006951B8">
        <w:t xml:space="preserve"> 1984 </w:t>
      </w:r>
      <w:r w:rsidR="008073A9">
        <w:t>rispetto alla</w:t>
      </w:r>
      <w:r w:rsidR="006951B8">
        <w:t xml:space="preserve"> </w:t>
      </w:r>
      <w:r w:rsidR="0060029B">
        <w:t xml:space="preserve">distribuzione </w:t>
      </w:r>
      <w:r w:rsidR="006951B8">
        <w:t xml:space="preserve">demografica, </w:t>
      </w:r>
      <w:r w:rsidR="008073A9">
        <w:t xml:space="preserve">è ormai </w:t>
      </w:r>
      <w:r w:rsidR="00F96319">
        <w:t xml:space="preserve">divenuto </w:t>
      </w:r>
      <w:r w:rsidR="008073A9">
        <w:t>insostenibile.</w:t>
      </w:r>
      <w:r w:rsidR="00A14601">
        <w:t xml:space="preserve"> </w:t>
      </w:r>
      <w:r w:rsidR="008073A9" w:rsidRPr="008073A9">
        <w:t xml:space="preserve">L’invecchiamento della popolazione e l’aumento delle patologie croniche </w:t>
      </w:r>
      <w:r w:rsidR="00834C09">
        <w:t xml:space="preserve">richiedono maggiori bisogni clinico-assistenziali e </w:t>
      </w:r>
      <w:r w:rsidR="008073A9" w:rsidRPr="008073A9">
        <w:t xml:space="preserve">impongono </w:t>
      </w:r>
      <w:r w:rsidR="008073A9">
        <w:t xml:space="preserve">ai MMG </w:t>
      </w:r>
      <w:r w:rsidR="008073A9" w:rsidRPr="008073A9">
        <w:t>un carico di lavoro sempre più elevato, con un impatto negativo sulla qualità dell’assistenza</w:t>
      </w:r>
      <w:r w:rsidR="006951B8" w:rsidRPr="006951B8">
        <w:t>»</w:t>
      </w:r>
      <w:r w:rsidR="006951B8">
        <w:t>.</w:t>
      </w:r>
    </w:p>
    <w:p w14:paraId="78CB2B09" w14:textId="2A4F081C" w:rsidR="00BC3748" w:rsidRPr="000E06F6" w:rsidRDefault="00A12ECA" w:rsidP="00A14601">
      <w:pPr>
        <w:spacing w:after="120"/>
        <w:jc w:val="both"/>
        <w:rPr>
          <w:color w:val="FF0000"/>
        </w:rPr>
      </w:pPr>
      <w:r w:rsidRPr="007F798A">
        <w:rPr>
          <w:b/>
          <w:bCs/>
        </w:rPr>
        <w:t>Massimale di assis</w:t>
      </w:r>
      <w:r w:rsidR="00CE7BE9">
        <w:rPr>
          <w:b/>
          <w:bCs/>
        </w:rPr>
        <w:t>t</w:t>
      </w:r>
      <w:r w:rsidRPr="007F798A">
        <w:rPr>
          <w:b/>
          <w:bCs/>
        </w:rPr>
        <w:t>iti</w:t>
      </w:r>
      <w:r w:rsidRPr="007F798A">
        <w:t xml:space="preserve">. </w:t>
      </w:r>
      <w:r w:rsidR="009A5D79" w:rsidRPr="007F798A">
        <w:t>L</w:t>
      </w:r>
      <w:r w:rsidRPr="007F798A">
        <w:t>’ACN</w:t>
      </w:r>
      <w:r w:rsidR="009A5D79">
        <w:t xml:space="preserve"> fissa a 1.500 </w:t>
      </w:r>
      <w:r>
        <w:t xml:space="preserve">il numero massimo di assistiti </w:t>
      </w:r>
      <w:r w:rsidR="00A14601">
        <w:t>per</w:t>
      </w:r>
      <w:r>
        <w:t xml:space="preserve"> MMG</w:t>
      </w:r>
      <w:r w:rsidR="00BC3748">
        <w:t>, con la possibilità di aumentarlo</w:t>
      </w:r>
      <w:r w:rsidR="00393934" w:rsidRPr="00A5678F">
        <w:t xml:space="preserve"> </w:t>
      </w:r>
      <w:r w:rsidRPr="00A5678F">
        <w:t>fino a 1.800</w:t>
      </w:r>
      <w:r w:rsidR="00BC3748">
        <w:t xml:space="preserve"> in casi particolari e</w:t>
      </w:r>
      <w:r w:rsidRPr="00A5678F">
        <w:t>,</w:t>
      </w:r>
      <w:r w:rsidR="00BC3748">
        <w:t xml:space="preserve"> tramite</w:t>
      </w:r>
      <w:r w:rsidRPr="00BD0785">
        <w:t xml:space="preserve"> deroghe locali</w:t>
      </w:r>
      <w:r w:rsidR="00BC3748">
        <w:t>,</w:t>
      </w:r>
      <w:r w:rsidR="00393934">
        <w:t xml:space="preserve"> anche oltr</w:t>
      </w:r>
      <w:r w:rsidR="00393934" w:rsidRPr="003C40C5">
        <w:t>e</w:t>
      </w:r>
      <w:r w:rsidRPr="003C40C5">
        <w:t xml:space="preserve"> (es. fino a 2.000 nella Provincia </w:t>
      </w:r>
      <w:r w:rsidR="009A5D79">
        <w:t>a</w:t>
      </w:r>
      <w:r w:rsidRPr="003C40C5">
        <w:t>utonoma di Bolzano</w:t>
      </w:r>
      <w:r w:rsidR="003C40C5" w:rsidRPr="003C40C5">
        <w:t>)</w:t>
      </w:r>
      <w:r w:rsidR="00393934" w:rsidRPr="003C40C5">
        <w:t xml:space="preserve">. </w:t>
      </w:r>
      <w:r w:rsidR="00BC3748">
        <w:t>Ulteriori d</w:t>
      </w:r>
      <w:r w:rsidR="00393934" w:rsidRPr="003C40C5">
        <w:t xml:space="preserve">eroghe vengono concesse anche in </w:t>
      </w:r>
      <w:r w:rsidR="00BC3748">
        <w:t>caso</w:t>
      </w:r>
      <w:r w:rsidR="00BC3748" w:rsidRPr="003C40C5">
        <w:t xml:space="preserve"> </w:t>
      </w:r>
      <w:r w:rsidR="00393934" w:rsidRPr="003C40C5">
        <w:t xml:space="preserve">di </w:t>
      </w:r>
      <w:r w:rsidRPr="003C40C5">
        <w:rPr>
          <w:rFonts w:cstheme="minorHAnsi"/>
        </w:rPr>
        <w:t xml:space="preserve">indisponibilità </w:t>
      </w:r>
      <w:r w:rsidRPr="00BD0785">
        <w:rPr>
          <w:rFonts w:cstheme="minorHAnsi"/>
        </w:rPr>
        <w:t>di MMG</w:t>
      </w:r>
      <w:r w:rsidR="00BC3748">
        <w:rPr>
          <w:rFonts w:cstheme="minorHAnsi"/>
        </w:rPr>
        <w:t xml:space="preserve"> o</w:t>
      </w:r>
      <w:r w:rsidRPr="00BD0785">
        <w:rPr>
          <w:rFonts w:cstheme="minorHAnsi"/>
        </w:rPr>
        <w:t xml:space="preserve"> per </w:t>
      </w:r>
      <w:r w:rsidR="0007350A">
        <w:rPr>
          <w:rFonts w:cstheme="minorHAnsi"/>
        </w:rPr>
        <w:t>iscrizion</w:t>
      </w:r>
      <w:r w:rsidR="00BC3748">
        <w:rPr>
          <w:rFonts w:cstheme="minorHAnsi"/>
        </w:rPr>
        <w:t>i</w:t>
      </w:r>
      <w:r w:rsidR="0007350A">
        <w:rPr>
          <w:rFonts w:cstheme="minorHAnsi"/>
        </w:rPr>
        <w:t xml:space="preserve"> </w:t>
      </w:r>
      <w:r w:rsidR="00393934">
        <w:rPr>
          <w:rFonts w:cstheme="minorHAnsi"/>
        </w:rPr>
        <w:t>temporane</w:t>
      </w:r>
      <w:r w:rsidR="00BC3748">
        <w:rPr>
          <w:rFonts w:cstheme="minorHAnsi"/>
        </w:rPr>
        <w:t>e</w:t>
      </w:r>
      <w:r w:rsidR="00393934">
        <w:rPr>
          <w:rFonts w:cstheme="minorHAnsi"/>
        </w:rPr>
        <w:t xml:space="preserve"> </w:t>
      </w:r>
      <w:r w:rsidRPr="00BD0785">
        <w:rPr>
          <w:rFonts w:cstheme="minorHAnsi"/>
        </w:rPr>
        <w:t xml:space="preserve">(es. extracomunitari senza permesso di soggiorno, non residenti). </w:t>
      </w:r>
      <w:r>
        <w:rPr>
          <w:rFonts w:cstheme="minorHAnsi"/>
        </w:rPr>
        <w:t xml:space="preserve">Parallelamente, </w:t>
      </w:r>
      <w:r w:rsidR="0007350A">
        <w:rPr>
          <w:rFonts w:cstheme="minorHAnsi"/>
        </w:rPr>
        <w:t xml:space="preserve">alcune </w:t>
      </w:r>
      <w:r w:rsidR="00393934">
        <w:rPr>
          <w:rFonts w:cstheme="minorHAnsi"/>
        </w:rPr>
        <w:t xml:space="preserve">condizioni </w:t>
      </w:r>
      <w:r w:rsidR="00BC3748">
        <w:rPr>
          <w:rFonts w:cstheme="minorHAnsi"/>
        </w:rPr>
        <w:t>riducono il numero</w:t>
      </w:r>
      <w:r>
        <w:rPr>
          <w:rFonts w:cstheme="minorHAnsi"/>
        </w:rPr>
        <w:t xml:space="preserve"> di assistiti</w:t>
      </w:r>
      <w:r w:rsidR="00393934">
        <w:rPr>
          <w:rFonts w:cstheme="minorHAnsi"/>
        </w:rPr>
        <w:t xml:space="preserve"> per MMG</w:t>
      </w:r>
      <w:r w:rsidR="0007350A">
        <w:rPr>
          <w:rFonts w:cstheme="minorHAnsi"/>
        </w:rPr>
        <w:t xml:space="preserve">: </w:t>
      </w:r>
      <w:r w:rsidR="00393934">
        <w:rPr>
          <w:rFonts w:cstheme="minorHAnsi"/>
        </w:rPr>
        <w:t>scelta volontaria di limitare il numero di pazienti,</w:t>
      </w:r>
      <w:r>
        <w:rPr>
          <w:rFonts w:cstheme="minorHAnsi"/>
        </w:rPr>
        <w:t xml:space="preserve"> </w:t>
      </w:r>
      <w:r w:rsidR="00BC3748">
        <w:rPr>
          <w:rFonts w:cstheme="minorHAnsi"/>
        </w:rPr>
        <w:t>incarichi</w:t>
      </w:r>
      <w:r w:rsidR="00393934">
        <w:rPr>
          <w:rFonts w:cstheme="minorHAnsi"/>
        </w:rPr>
        <w:t xml:space="preserve"> in altri servizi</w:t>
      </w:r>
      <w:r>
        <w:rPr>
          <w:rFonts w:cstheme="minorHAnsi"/>
        </w:rPr>
        <w:t xml:space="preserve"> (es. continuità assistenziale), </w:t>
      </w:r>
      <w:r w:rsidR="00BC3748">
        <w:rPr>
          <w:rFonts w:cstheme="minorHAnsi"/>
        </w:rPr>
        <w:t xml:space="preserve">avvio </w:t>
      </w:r>
      <w:r w:rsidR="00393934">
        <w:rPr>
          <w:rFonts w:cstheme="minorHAnsi"/>
        </w:rPr>
        <w:t>dell’</w:t>
      </w:r>
      <w:r>
        <w:rPr>
          <w:rFonts w:cstheme="minorHAnsi"/>
        </w:rPr>
        <w:t xml:space="preserve">attività </w:t>
      </w:r>
      <w:r w:rsidR="00393934">
        <w:rPr>
          <w:rFonts w:cstheme="minorHAnsi"/>
        </w:rPr>
        <w:t>professionale o esercizio della</w:t>
      </w:r>
      <w:r>
        <w:rPr>
          <w:rFonts w:cstheme="minorHAnsi"/>
        </w:rPr>
        <w:t xml:space="preserve"> professione in zone disagiate. </w:t>
      </w:r>
      <w:r>
        <w:t>«Per ciascun MMG – commenta il Presidente – il</w:t>
      </w:r>
      <w:r w:rsidR="00BC3748">
        <w:t xml:space="preserve"> rapporto tra</w:t>
      </w:r>
      <w:r>
        <w:t xml:space="preserve"> carico potenziale</w:t>
      </w:r>
      <w:r w:rsidR="00BC3748">
        <w:t xml:space="preserve"> e reale</w:t>
      </w:r>
      <w:r>
        <w:t xml:space="preserve"> di assistiti restituisce un quadro molto </w:t>
      </w:r>
      <w:r w:rsidRPr="000424F7">
        <w:t xml:space="preserve">eterogeneo: accanto a una quota di MMG “ultra-massimalisti” che </w:t>
      </w:r>
      <w:r w:rsidR="000424F7" w:rsidRPr="000424F7">
        <w:t>supera</w:t>
      </w:r>
      <w:r w:rsidRPr="000424F7">
        <w:t xml:space="preserve"> il 50%</w:t>
      </w:r>
      <w:r w:rsidR="00393934">
        <w:t>,</w:t>
      </w:r>
      <w:r w:rsidRPr="000424F7">
        <w:t xml:space="preserve"> ci sono </w:t>
      </w:r>
      <w:r w:rsidR="003427D8">
        <w:t>medici</w:t>
      </w:r>
      <w:r w:rsidRPr="000424F7">
        <w:t xml:space="preserve"> con un numero molto basso di </w:t>
      </w:r>
      <w:r w:rsidR="00834C09">
        <w:t>iscritti</w:t>
      </w:r>
      <w:r w:rsidRPr="000424F7">
        <w:t xml:space="preserve">». </w:t>
      </w:r>
      <w:r w:rsidR="00920FA8">
        <w:t>Secondo i</w:t>
      </w:r>
      <w:r w:rsidRPr="00F954F4">
        <w:t xml:space="preserve"> </w:t>
      </w:r>
      <w:hyperlink r:id="rId8" w:history="1">
        <w:r w:rsidRPr="003D746E">
          <w:rPr>
            <w:rStyle w:val="Collegamentoipertestuale"/>
          </w:rPr>
          <w:t>dati</w:t>
        </w:r>
        <w:r w:rsidR="00834C09" w:rsidRPr="003D746E">
          <w:rPr>
            <w:rStyle w:val="Collegamentoipertestuale"/>
          </w:rPr>
          <w:t xml:space="preserve"> 2023</w:t>
        </w:r>
        <w:r w:rsidRPr="003D746E">
          <w:rPr>
            <w:rStyle w:val="Collegamentoipertestuale"/>
          </w:rPr>
          <w:t xml:space="preserve"> </w:t>
        </w:r>
        <w:r w:rsidR="00393934" w:rsidRPr="003D746E">
          <w:rPr>
            <w:rStyle w:val="Collegamentoipertestuale"/>
          </w:rPr>
          <w:t>del</w:t>
        </w:r>
        <w:r w:rsidRPr="003D746E">
          <w:rPr>
            <w:rStyle w:val="Collegamentoipertestuale"/>
          </w:rPr>
          <w:t xml:space="preserve"> </w:t>
        </w:r>
        <w:r w:rsidR="003D746E" w:rsidRPr="003D746E">
          <w:rPr>
            <w:rStyle w:val="Collegamentoipertestuale"/>
          </w:rPr>
          <w:t>Ministero della Salute</w:t>
        </w:r>
      </w:hyperlink>
      <w:r w:rsidRPr="00F954F4">
        <w:t xml:space="preserve">, </w:t>
      </w:r>
      <w:r w:rsidRPr="00FC1E6E">
        <w:t xml:space="preserve">il </w:t>
      </w:r>
      <w:r w:rsidR="000424F7" w:rsidRPr="00FC1E6E">
        <w:t>51</w:t>
      </w:r>
      <w:r w:rsidRPr="00FC1E6E">
        <w:t xml:space="preserve">,7% </w:t>
      </w:r>
      <w:r w:rsidR="009A5D79">
        <w:t xml:space="preserve">dei MMG </w:t>
      </w:r>
      <w:r w:rsidRPr="00FC1E6E">
        <w:t>ha più di 1.500 assistiti; il 3</w:t>
      </w:r>
      <w:r w:rsidR="000424F7" w:rsidRPr="00FC1E6E">
        <w:t>0,7</w:t>
      </w:r>
      <w:r w:rsidRPr="00FC1E6E">
        <w:t xml:space="preserve">% tra 1.001 e 1.500 assistiti; il </w:t>
      </w:r>
      <w:r w:rsidR="000424F7" w:rsidRPr="00FC1E6E">
        <w:t>10,5</w:t>
      </w:r>
      <w:r w:rsidRPr="00FC1E6E">
        <w:t>% da 501 a 1.000; il 5,</w:t>
      </w:r>
      <w:r w:rsidR="000424F7" w:rsidRPr="00FC1E6E">
        <w:t>6</w:t>
      </w:r>
      <w:r w:rsidRPr="00FC1E6E">
        <w:t>% tra 51 e 500 e l’1,5% meno di 51</w:t>
      </w:r>
      <w:r w:rsidRPr="00F954F4">
        <w:t xml:space="preserve"> (</w:t>
      </w:r>
      <w:r w:rsidRPr="00F954F4">
        <w:rPr>
          <w:highlight w:val="yellow"/>
        </w:rPr>
        <w:t xml:space="preserve">figura </w:t>
      </w:r>
      <w:r w:rsidR="0073280F">
        <w:rPr>
          <w:highlight w:val="yellow"/>
        </w:rPr>
        <w:t>2</w:t>
      </w:r>
      <w:r w:rsidRPr="00F954F4">
        <w:t xml:space="preserve">).  In particolare, il massimale di 1.500 assistiti </w:t>
      </w:r>
      <w:r w:rsidR="003427D8">
        <w:t xml:space="preserve">è superato da oltre la metà dei </w:t>
      </w:r>
      <w:r w:rsidRPr="00F954F4">
        <w:t xml:space="preserve">MMG in </w:t>
      </w:r>
      <w:r w:rsidR="003427D8">
        <w:t xml:space="preserve">10 Regioni: </w:t>
      </w:r>
      <w:r w:rsidR="005E7CC2" w:rsidRPr="00F954F4">
        <w:t>Liguria</w:t>
      </w:r>
      <w:r w:rsidRPr="00F954F4">
        <w:t xml:space="preserve"> (</w:t>
      </w:r>
      <w:r w:rsidR="005E7CC2" w:rsidRPr="00F954F4">
        <w:t>50,7</w:t>
      </w:r>
      <w:r w:rsidRPr="00F954F4">
        <w:t xml:space="preserve">%), </w:t>
      </w:r>
      <w:r w:rsidR="005E7CC2" w:rsidRPr="00F954F4">
        <w:t xml:space="preserve">Friuli Venezia </w:t>
      </w:r>
      <w:r w:rsidR="003427D8">
        <w:t>G</w:t>
      </w:r>
      <w:r w:rsidR="005E7CC2" w:rsidRPr="00F954F4">
        <w:t>iulia</w:t>
      </w:r>
      <w:r w:rsidRPr="00F954F4">
        <w:t xml:space="preserve"> (</w:t>
      </w:r>
      <w:r w:rsidR="005E7CC2" w:rsidRPr="00F954F4">
        <w:t>52,4</w:t>
      </w:r>
      <w:r w:rsidRPr="00F954F4">
        <w:t xml:space="preserve">%), </w:t>
      </w:r>
      <w:r w:rsidR="005E7CC2" w:rsidRPr="00F954F4">
        <w:t>Piemonte</w:t>
      </w:r>
      <w:r w:rsidRPr="00F954F4">
        <w:t xml:space="preserve"> (</w:t>
      </w:r>
      <w:r w:rsidR="005E7CC2" w:rsidRPr="00F954F4">
        <w:t>54,1</w:t>
      </w:r>
      <w:r w:rsidRPr="00F954F4">
        <w:t xml:space="preserve">%), </w:t>
      </w:r>
      <w:r w:rsidR="005E7CC2" w:rsidRPr="00F954F4">
        <w:t>Marche</w:t>
      </w:r>
      <w:r w:rsidRPr="00F954F4">
        <w:t xml:space="preserve"> (</w:t>
      </w:r>
      <w:r w:rsidR="005E7CC2" w:rsidRPr="00F954F4">
        <w:t>55,5</w:t>
      </w:r>
      <w:r w:rsidRPr="00F954F4">
        <w:t xml:space="preserve">%), </w:t>
      </w:r>
      <w:r w:rsidR="005E7CC2" w:rsidRPr="00F954F4">
        <w:t xml:space="preserve">Provincia </w:t>
      </w:r>
      <w:r w:rsidR="00393934">
        <w:t>a</w:t>
      </w:r>
      <w:r w:rsidR="00393934" w:rsidRPr="00F954F4">
        <w:t xml:space="preserve">utonoma </w:t>
      </w:r>
      <w:r w:rsidR="005E7CC2" w:rsidRPr="00F954F4">
        <w:t>di Trento</w:t>
      </w:r>
      <w:r w:rsidRPr="00F954F4">
        <w:t xml:space="preserve"> (</w:t>
      </w:r>
      <w:r w:rsidR="005E7CC2" w:rsidRPr="00F954F4">
        <w:t>56,1</w:t>
      </w:r>
      <w:r w:rsidRPr="00F954F4">
        <w:t>%)</w:t>
      </w:r>
      <w:r w:rsidR="005E7CC2" w:rsidRPr="00F954F4">
        <w:t xml:space="preserve">, Emilia-Romagna (57,6%), Campania (58,8%), Sardegna (60,6%), </w:t>
      </w:r>
      <w:r w:rsidR="00C919F1" w:rsidRPr="00F954F4">
        <w:t xml:space="preserve">Valle d’Aosta (61,1%) e Provincia </w:t>
      </w:r>
      <w:r w:rsidR="00393934">
        <w:t>a</w:t>
      </w:r>
      <w:r w:rsidR="00393934" w:rsidRPr="00F954F4">
        <w:t xml:space="preserve">utonoma </w:t>
      </w:r>
      <w:r w:rsidR="00C919F1" w:rsidRPr="00F954F4">
        <w:t>di Bolzano (65,1%)</w:t>
      </w:r>
      <w:r w:rsidRPr="00F954F4">
        <w:t xml:space="preserve">. </w:t>
      </w:r>
      <w:r w:rsidR="00920FA8">
        <w:t>La percentuale sale</w:t>
      </w:r>
      <w:r w:rsidR="003427D8">
        <w:t xml:space="preserve"> oltre </w:t>
      </w:r>
      <w:r w:rsidR="00920FA8">
        <w:t xml:space="preserve">i </w:t>
      </w:r>
      <w:r w:rsidR="003427D8">
        <w:t>due terzi</w:t>
      </w:r>
      <w:r w:rsidRPr="00F954F4">
        <w:t xml:space="preserve"> </w:t>
      </w:r>
      <w:r w:rsidR="00C919F1" w:rsidRPr="00F954F4">
        <w:t>in Veneto (68,7</w:t>
      </w:r>
      <w:r w:rsidRPr="00F954F4">
        <w:t xml:space="preserve">%) e </w:t>
      </w:r>
      <w:r w:rsidR="00920FA8">
        <w:t xml:space="preserve">sfiora i </w:t>
      </w:r>
      <w:r w:rsidR="003427D8">
        <w:t xml:space="preserve">tre quarti </w:t>
      </w:r>
      <w:r w:rsidRPr="00F954F4">
        <w:t>in Lombardia (7</w:t>
      </w:r>
      <w:r w:rsidR="00C919F1" w:rsidRPr="00F954F4">
        <w:t>4</w:t>
      </w:r>
      <w:r w:rsidRPr="00F954F4">
        <w:t>%) (</w:t>
      </w:r>
      <w:r w:rsidRPr="00F954F4">
        <w:rPr>
          <w:highlight w:val="yellow"/>
        </w:rPr>
        <w:t xml:space="preserve">figura </w:t>
      </w:r>
      <w:r w:rsidR="0073280F">
        <w:rPr>
          <w:highlight w:val="yellow"/>
        </w:rPr>
        <w:t>3</w:t>
      </w:r>
      <w:r w:rsidRPr="00F954F4">
        <w:t>). «</w:t>
      </w:r>
      <w:r w:rsidR="00CD0101">
        <w:t>Q</w:t>
      </w:r>
      <w:r w:rsidRPr="00F954F4">
        <w:t xml:space="preserve">uesto </w:t>
      </w:r>
      <w:r w:rsidR="009A5D79">
        <w:t xml:space="preserve">livello di </w:t>
      </w:r>
      <w:r w:rsidRPr="00F954F4">
        <w:t>sovraccarico</w:t>
      </w:r>
      <w:r w:rsidR="009A5D79">
        <w:t xml:space="preserve"> </w:t>
      </w:r>
      <w:r w:rsidRPr="00F954F4">
        <w:t>– commenta Cartabellotta –</w:t>
      </w:r>
      <w:r w:rsidR="00CD0101">
        <w:t xml:space="preserve"> </w:t>
      </w:r>
      <w:r w:rsidR="00920FA8">
        <w:t xml:space="preserve">riduce </w:t>
      </w:r>
      <w:r w:rsidR="009A5D79">
        <w:t>il tempo da dedicare ai pazienti</w:t>
      </w:r>
      <w:r w:rsidR="00920FA8">
        <w:t>, compromettendo</w:t>
      </w:r>
      <w:r w:rsidR="00CD0101">
        <w:t xml:space="preserve"> la qualità dell’assistenza</w:t>
      </w:r>
      <w:r w:rsidR="00920FA8">
        <w:t>. Inoltre influisce sulla</w:t>
      </w:r>
      <w:r w:rsidRPr="00C919F1">
        <w:t xml:space="preserve"> distribuzione omogenea e capillare sul territorio </w:t>
      </w:r>
      <w:r w:rsidR="002F1057">
        <w:t xml:space="preserve">dei MMG </w:t>
      </w:r>
      <w:r w:rsidR="0007350A" w:rsidRPr="00C919F1">
        <w:t xml:space="preserve">in </w:t>
      </w:r>
      <w:r w:rsidR="0007350A" w:rsidRPr="000E06F6">
        <w:t>rapporto alla densità abitativa</w:t>
      </w:r>
      <w:r w:rsidR="00920FA8" w:rsidRPr="000E06F6">
        <w:t xml:space="preserve"> e limita</w:t>
      </w:r>
      <w:r w:rsidR="002F1057" w:rsidRPr="000E06F6">
        <w:t xml:space="preserve"> </w:t>
      </w:r>
      <w:r w:rsidRPr="000E06F6">
        <w:t xml:space="preserve">la possibilità </w:t>
      </w:r>
      <w:r w:rsidR="00CD0101" w:rsidRPr="000E06F6">
        <w:t xml:space="preserve">per il cittadino </w:t>
      </w:r>
      <w:r w:rsidRPr="000E06F6">
        <w:t>di esercitare il diritto della libera scelta».</w:t>
      </w:r>
    </w:p>
    <w:p w14:paraId="57472A12" w14:textId="3C129A15" w:rsidR="0066583E" w:rsidRDefault="00A12ECA" w:rsidP="00920FA8">
      <w:pPr>
        <w:jc w:val="both"/>
      </w:pPr>
      <w:r w:rsidRPr="000E06F6">
        <w:rPr>
          <w:b/>
          <w:bCs/>
        </w:rPr>
        <w:t>Ambiti territoriali carenti</w:t>
      </w:r>
      <w:r w:rsidRPr="000E06F6">
        <w:t>.</w:t>
      </w:r>
      <w:r w:rsidR="0066583E">
        <w:t xml:space="preserve"> </w:t>
      </w:r>
      <w:r w:rsidR="0066583E" w:rsidRPr="0066583E">
        <w:t xml:space="preserve">L’ultimo ACN ha innalzato il rapporto ottimale tra medici e popolazione, passando da un MMG ogni 1.000 residenti a uno ogni 1.200. Questo parametro viene utilizzato per individuare le cosiddette </w:t>
      </w:r>
      <w:r w:rsidR="003D746E">
        <w:t>“</w:t>
      </w:r>
      <w:r w:rsidR="0066583E" w:rsidRPr="0066583E">
        <w:t>zone carenti</w:t>
      </w:r>
      <w:r w:rsidR="003D746E">
        <w:t>”</w:t>
      </w:r>
      <w:r w:rsidR="003D746E" w:rsidRPr="0066583E">
        <w:t xml:space="preserve">, </w:t>
      </w:r>
      <w:r w:rsidR="0066583E" w:rsidRPr="0066583E">
        <w:t xml:space="preserve">ovvero le aree dove il numero di medici di famiglia è insufficiente a coprire il fabbisogno della </w:t>
      </w:r>
      <w:r w:rsidR="0066583E" w:rsidRPr="00B17265">
        <w:t>popolazione. «</w:t>
      </w:r>
      <w:r w:rsidR="00B17265">
        <w:t>Q</w:t>
      </w:r>
      <w:r w:rsidR="0066583E" w:rsidRPr="00B17265">
        <w:t>uesta modifica – osserva Cartabellotta – è solo un escamotage per mascherare la carenza</w:t>
      </w:r>
      <w:r w:rsidR="008714B6" w:rsidRPr="00B17265">
        <w:t xml:space="preserve">, perché </w:t>
      </w:r>
      <w:r w:rsidR="003D746E" w:rsidRPr="00B17265">
        <w:t xml:space="preserve">si aumenta il numero di </w:t>
      </w:r>
      <w:r w:rsidR="008714B6" w:rsidRPr="00B17265">
        <w:t xml:space="preserve">cittadini </w:t>
      </w:r>
      <w:r w:rsidR="003D746E" w:rsidRPr="00B17265">
        <w:t xml:space="preserve">privi di </w:t>
      </w:r>
      <w:r w:rsidR="008714B6" w:rsidRPr="00B17265">
        <w:t xml:space="preserve">MMG </w:t>
      </w:r>
      <w:r w:rsidR="003D746E" w:rsidRPr="00B17265">
        <w:t xml:space="preserve">necessario per attivare un bando in un </w:t>
      </w:r>
      <w:r w:rsidR="00B17265">
        <w:t xml:space="preserve">territorio </w:t>
      </w:r>
      <w:r w:rsidR="003D746E" w:rsidRPr="00B17265">
        <w:t>carente»</w:t>
      </w:r>
      <w:r w:rsidR="008714B6" w:rsidRPr="00B17265">
        <w:t>.</w:t>
      </w:r>
    </w:p>
    <w:p w14:paraId="219C540F" w14:textId="557F8189" w:rsidR="00920FA8" w:rsidRPr="00C34D62" w:rsidRDefault="00A12ECA" w:rsidP="00C34D62">
      <w:pPr>
        <w:jc w:val="both"/>
      </w:pPr>
      <w:r w:rsidRPr="000E06F6">
        <w:rPr>
          <w:b/>
          <w:bCs/>
        </w:rPr>
        <w:t xml:space="preserve">Pensionamenti. </w:t>
      </w:r>
      <w:r w:rsidRPr="000E06F6">
        <w:t>Secondo</w:t>
      </w:r>
      <w:r w:rsidRPr="00C34D62">
        <w:t xml:space="preserve"> i</w:t>
      </w:r>
      <w:r w:rsidRPr="009B2491">
        <w:t xml:space="preserve"> dati forniti dalla </w:t>
      </w:r>
      <w:r w:rsidR="001932CB" w:rsidRPr="009B2491">
        <w:t>Federazione Italiana dei Medici di Medicina Generale (</w:t>
      </w:r>
      <w:r w:rsidRPr="009B2491">
        <w:t>FIMMG</w:t>
      </w:r>
      <w:r w:rsidR="001932CB" w:rsidRPr="009B2491">
        <w:t>)</w:t>
      </w:r>
      <w:r w:rsidRPr="009B2491">
        <w:t>, tra il 202</w:t>
      </w:r>
      <w:r w:rsidR="00772444" w:rsidRPr="009B2491">
        <w:t>4</w:t>
      </w:r>
      <w:r w:rsidRPr="009B2491">
        <w:t xml:space="preserve"> e il 202</w:t>
      </w:r>
      <w:r w:rsidR="00C34D62" w:rsidRPr="009B2491">
        <w:t>7</w:t>
      </w:r>
      <w:r w:rsidRPr="009B2491">
        <w:t xml:space="preserve"> </w:t>
      </w:r>
      <w:r w:rsidR="00274061">
        <w:t xml:space="preserve">ben </w:t>
      </w:r>
      <w:r w:rsidR="00C34D62" w:rsidRPr="009B2491">
        <w:t>7.345</w:t>
      </w:r>
      <w:r w:rsidRPr="009B2491">
        <w:t xml:space="preserve"> MMG </w:t>
      </w:r>
      <w:r w:rsidR="001A133C" w:rsidRPr="009B2491">
        <w:t>hanno raggiunto/</w:t>
      </w:r>
      <w:r w:rsidR="003205FF" w:rsidRPr="009B2491">
        <w:t>raggiungeranno il limite di età per la pensione fissato a 70 anni</w:t>
      </w:r>
      <w:r w:rsidRPr="009B2491">
        <w:t>, deroghe a parte</w:t>
      </w:r>
      <w:r w:rsidR="003205FF" w:rsidRPr="009B2491">
        <w:t>. Il numero di pensionamenti varia significativamente tra le Regioni</w:t>
      </w:r>
      <w:r w:rsidRPr="009B2491">
        <w:t>: da</w:t>
      </w:r>
      <w:r w:rsidR="00C34D62" w:rsidRPr="009B2491">
        <w:t>gli</w:t>
      </w:r>
      <w:r w:rsidRPr="009B2491">
        <w:t xml:space="preserve"> </w:t>
      </w:r>
      <w:r w:rsidR="00C34D62" w:rsidRPr="009B2491">
        <w:t>11</w:t>
      </w:r>
      <w:r w:rsidR="006A48B5" w:rsidRPr="009B2491">
        <w:t xml:space="preserve"> </w:t>
      </w:r>
      <w:r w:rsidRPr="009B2491">
        <w:t>della Valle D’Aosta ai 1.</w:t>
      </w:r>
      <w:r w:rsidR="00C34D62" w:rsidRPr="009B2491">
        <w:t>000</w:t>
      </w:r>
      <w:r w:rsidR="006A48B5" w:rsidRPr="009B2491">
        <w:t xml:space="preserve"> </w:t>
      </w:r>
      <w:r w:rsidRPr="009B2491">
        <w:t xml:space="preserve">della </w:t>
      </w:r>
      <w:r w:rsidR="006A48B5" w:rsidRPr="00C34D62">
        <w:t xml:space="preserve">Campania </w:t>
      </w:r>
      <w:r w:rsidRPr="00C34D62">
        <w:t>(</w:t>
      </w:r>
      <w:r w:rsidRPr="00C34D62">
        <w:rPr>
          <w:highlight w:val="yellow"/>
        </w:rPr>
        <w:t>figura 4</w:t>
      </w:r>
      <w:r w:rsidRPr="00C34D62">
        <w:t>).</w:t>
      </w:r>
    </w:p>
    <w:p w14:paraId="786CCB66" w14:textId="5D44FBD6" w:rsidR="00920FA8" w:rsidRPr="00C34D62" w:rsidRDefault="00A12ECA" w:rsidP="00920FA8">
      <w:pPr>
        <w:spacing w:after="120"/>
        <w:jc w:val="both"/>
      </w:pPr>
      <w:r w:rsidRPr="000E06F6">
        <w:rPr>
          <w:b/>
          <w:bCs/>
        </w:rPr>
        <w:t>Nuovi MMG</w:t>
      </w:r>
      <w:r w:rsidRPr="000E06F6">
        <w:t xml:space="preserve">. </w:t>
      </w:r>
      <w:r w:rsidR="00920FA8" w:rsidRPr="000E06F6">
        <w:t>Nel</w:t>
      </w:r>
      <w:r w:rsidR="00920FA8">
        <w:t xml:space="preserve"> periodo 2014-2017, i</w:t>
      </w:r>
      <w:r w:rsidRPr="00383A19">
        <w:t xml:space="preserve">l numero </w:t>
      </w:r>
      <w:r w:rsidR="00920FA8">
        <w:t xml:space="preserve">annuale </w:t>
      </w:r>
      <w:r w:rsidRPr="00383A19">
        <w:t xml:space="preserve">di borse di studio ministeriali </w:t>
      </w:r>
      <w:r w:rsidR="00920FA8">
        <w:t>per il</w:t>
      </w:r>
      <w:r w:rsidRPr="00383A19">
        <w:t xml:space="preserve"> Corso di Formazione Specifica in Medicina Generale</w:t>
      </w:r>
      <w:r w:rsidR="009A7FDA" w:rsidRPr="00383A19">
        <w:t xml:space="preserve"> </w:t>
      </w:r>
      <w:r w:rsidR="00502114">
        <w:t xml:space="preserve">si è mantenuto </w:t>
      </w:r>
      <w:r w:rsidR="009A7FDA" w:rsidRPr="00383A19">
        <w:t xml:space="preserve">intorno a 1.000, un numero largamente </w:t>
      </w:r>
      <w:r w:rsidR="009A7FDA" w:rsidRPr="00383A19">
        <w:lastRenderedPageBreak/>
        <w:t>insufficiente</w:t>
      </w:r>
      <w:r w:rsidR="003205FF">
        <w:t xml:space="preserve"> a coprire il fabbisogno di nuovi MMG</w:t>
      </w:r>
      <w:r w:rsidR="00502114">
        <w:t xml:space="preserve"> </w:t>
      </w:r>
      <w:r w:rsidR="000D2B58">
        <w:t>rispetto</w:t>
      </w:r>
      <w:r w:rsidR="00502114">
        <w:t xml:space="preserve"> ai pensionamenti attesi</w:t>
      </w:r>
      <w:r w:rsidR="009A7FDA" w:rsidRPr="00383A19">
        <w:t xml:space="preserve">. Successivamente, </w:t>
      </w:r>
      <w:r w:rsidR="003205FF">
        <w:t>il</w:t>
      </w:r>
      <w:r w:rsidR="003205FF" w:rsidRPr="00383A19">
        <w:t xml:space="preserve"> </w:t>
      </w:r>
      <w:r w:rsidR="009A7FDA" w:rsidRPr="00383A19">
        <w:t xml:space="preserve">numero </w:t>
      </w:r>
      <w:r w:rsidR="000D2B58">
        <w:t>è</w:t>
      </w:r>
      <w:r w:rsidR="00502114">
        <w:t xml:space="preserve"> </w:t>
      </w:r>
      <w:r w:rsidRPr="00383A19">
        <w:t>aumentato</w:t>
      </w:r>
      <w:r w:rsidR="00502114">
        <w:t xml:space="preserve"> sino a 4.362 </w:t>
      </w:r>
      <w:r w:rsidRPr="00383A19">
        <w:t>nel 2021</w:t>
      </w:r>
      <w:r w:rsidR="000D2B58">
        <w:t xml:space="preserve">, grazie al </w:t>
      </w:r>
      <w:r w:rsidR="0014665A">
        <w:t xml:space="preserve">sovrapporsi di due </w:t>
      </w:r>
      <w:r w:rsidR="000D2B58">
        <w:t>finanziament</w:t>
      </w:r>
      <w:r w:rsidR="0014665A">
        <w:t>i straordinari:</w:t>
      </w:r>
      <w:r w:rsidR="000D2B58">
        <w:t xml:space="preserve"> 3.277 borse </w:t>
      </w:r>
      <w:r w:rsidR="00D716BC">
        <w:t>stanziate dal</w:t>
      </w:r>
      <w:r w:rsidRPr="00383A19">
        <w:t xml:space="preserve"> DL Calabri</w:t>
      </w:r>
      <w:r w:rsidR="00502114">
        <w:t xml:space="preserve">a </w:t>
      </w:r>
      <w:r w:rsidR="000D2B58">
        <w:t>(2019-</w:t>
      </w:r>
      <w:r w:rsidRPr="00383A19">
        <w:t>2022</w:t>
      </w:r>
      <w:r w:rsidR="000D2B58">
        <w:t>)</w:t>
      </w:r>
      <w:r w:rsidR="00834C09">
        <w:t xml:space="preserve"> </w:t>
      </w:r>
      <w:r w:rsidR="000D2B58">
        <w:t xml:space="preserve">e 2.700 </w:t>
      </w:r>
      <w:r w:rsidR="00D716BC">
        <w:t>da</w:t>
      </w:r>
      <w:r w:rsidR="000D2B58">
        <w:t>i fondi del</w:t>
      </w:r>
      <w:r w:rsidRPr="00383A19">
        <w:t xml:space="preserve"> PNRR </w:t>
      </w:r>
      <w:r w:rsidR="000D2B58">
        <w:t>(</w:t>
      </w:r>
      <w:r w:rsidRPr="00383A19">
        <w:t>2021-2023</w:t>
      </w:r>
      <w:r w:rsidR="000D2B58">
        <w:t>)</w:t>
      </w:r>
      <w:r w:rsidRPr="00383A19">
        <w:t>.</w:t>
      </w:r>
      <w:r w:rsidR="00E0164C" w:rsidRPr="00383A19">
        <w:t xml:space="preserve"> </w:t>
      </w:r>
      <w:r w:rsidR="00502114">
        <w:t>D</w:t>
      </w:r>
      <w:r w:rsidR="009A7FDA" w:rsidRPr="00383A19">
        <w:t>al 2022</w:t>
      </w:r>
      <w:r w:rsidR="000D2B58">
        <w:t>,</w:t>
      </w:r>
      <w:r w:rsidR="009A7FDA" w:rsidRPr="00383A19">
        <w:t xml:space="preserve"> il </w:t>
      </w:r>
      <w:r w:rsidR="009A7FDA" w:rsidRPr="00FA1715">
        <w:t xml:space="preserve">numero di borse è progressivamente </w:t>
      </w:r>
      <w:r w:rsidR="003205FF">
        <w:t>diminuito, stabilizzandosi</w:t>
      </w:r>
      <w:r w:rsidR="003205FF" w:rsidRPr="00FA1715">
        <w:t xml:space="preserve"> </w:t>
      </w:r>
      <w:r w:rsidR="000D2B58" w:rsidRPr="00FA1715">
        <w:t xml:space="preserve">intorno a 2.600 </w:t>
      </w:r>
      <w:r w:rsidR="009A7FDA" w:rsidRPr="00FA1715">
        <w:t>nel 2023 e nel 2024 (</w:t>
      </w:r>
      <w:r w:rsidR="009A7FDA" w:rsidRPr="004D400C">
        <w:rPr>
          <w:highlight w:val="yellow"/>
        </w:rPr>
        <w:t>figura 5</w:t>
      </w:r>
      <w:r w:rsidR="009A7FDA" w:rsidRPr="00FA1715">
        <w:t xml:space="preserve">). </w:t>
      </w:r>
      <w:r w:rsidR="000D2B58">
        <w:t>Secondo il</w:t>
      </w:r>
      <w:r w:rsidR="00550FF2">
        <w:t xml:space="preserve"> </w:t>
      </w:r>
      <w:hyperlink r:id="rId9" w:history="1">
        <w:r w:rsidR="00550FF2" w:rsidRPr="00FE7E26">
          <w:rPr>
            <w:rStyle w:val="Collegamentoipertestuale"/>
          </w:rPr>
          <w:t>Ministero della Salute</w:t>
        </w:r>
      </w:hyperlink>
      <w:r w:rsidR="00FE7E26">
        <w:t xml:space="preserve"> e </w:t>
      </w:r>
      <w:r w:rsidR="00FE7E26" w:rsidRPr="00C34D62">
        <w:t>i</w:t>
      </w:r>
      <w:r w:rsidR="00FE7E26" w:rsidRPr="009B2491">
        <w:t xml:space="preserve"> dati forniti dalla</w:t>
      </w:r>
      <w:r w:rsidR="00FE7E26">
        <w:t xml:space="preserve"> Provincia Autonoma di Bolzano</w:t>
      </w:r>
      <w:r w:rsidR="00550FF2">
        <w:t xml:space="preserve">, </w:t>
      </w:r>
      <w:r w:rsidR="003205FF">
        <w:t>nel 2024</w:t>
      </w:r>
      <w:r w:rsidR="00274061">
        <w:t xml:space="preserve"> </w:t>
      </w:r>
      <w:r w:rsidR="000D2B58">
        <w:t>i</w:t>
      </w:r>
      <w:r w:rsidR="00383A19" w:rsidRPr="00C34D62">
        <w:t xml:space="preserve"> partecipanti al concorso </w:t>
      </w:r>
      <w:r w:rsidR="00274061">
        <w:t xml:space="preserve">nazionale </w:t>
      </w:r>
      <w:r w:rsidR="000D2B58">
        <w:t>sono stati inferiori ai posti</w:t>
      </w:r>
      <w:r w:rsidR="00383A19" w:rsidRPr="00C34D62">
        <w:t xml:space="preserve"> </w:t>
      </w:r>
      <w:r w:rsidR="003205FF">
        <w:t>disponibili</w:t>
      </w:r>
      <w:r w:rsidR="00383A19" w:rsidRPr="00C34D62">
        <w:t>: 2.</w:t>
      </w:r>
      <w:r w:rsidR="006A48B5" w:rsidRPr="00C34D62">
        <w:t xml:space="preserve">240 </w:t>
      </w:r>
      <w:r w:rsidR="00383A19" w:rsidRPr="00C34D62">
        <w:t xml:space="preserve">candidati </w:t>
      </w:r>
      <w:r w:rsidR="000D2B58">
        <w:t>per</w:t>
      </w:r>
      <w:r w:rsidR="00383A19" w:rsidRPr="00C34D62">
        <w:t xml:space="preserve"> 2.623 borse</w:t>
      </w:r>
      <w:r w:rsidR="003205FF">
        <w:t>,</w:t>
      </w:r>
      <w:r w:rsidR="00FA1715" w:rsidRPr="00C34D62">
        <w:t xml:space="preserve"> con un gap di </w:t>
      </w:r>
      <w:r w:rsidR="006A48B5" w:rsidRPr="00C34D62">
        <w:t>383</w:t>
      </w:r>
      <w:r w:rsidR="00383A19" w:rsidRPr="00C34D62">
        <w:t xml:space="preserve"> </w:t>
      </w:r>
      <w:r w:rsidR="003205FF">
        <w:t xml:space="preserve">posti </w:t>
      </w:r>
      <w:r w:rsidR="00383A19" w:rsidRPr="00C34D62">
        <w:t>(</w:t>
      </w:r>
      <w:r w:rsidR="00FA1715" w:rsidRPr="00C34D62">
        <w:t>-</w:t>
      </w:r>
      <w:r w:rsidR="00383A19" w:rsidRPr="00C34D62">
        <w:t>1</w:t>
      </w:r>
      <w:r w:rsidR="00C34D62">
        <w:t>5</w:t>
      </w:r>
      <w:r w:rsidR="00383A19" w:rsidRPr="00C34D62">
        <w:t>%)</w:t>
      </w:r>
      <w:r w:rsidR="004C4F80" w:rsidRPr="00C34D62">
        <w:t xml:space="preserve">. </w:t>
      </w:r>
      <w:r w:rsidR="00502114">
        <w:t xml:space="preserve">La mancata presentazione di candidati </w:t>
      </w:r>
      <w:r w:rsidR="004C4F80" w:rsidRPr="00C34D62">
        <w:t xml:space="preserve">è </w:t>
      </w:r>
      <w:r w:rsidR="00502114">
        <w:t xml:space="preserve">molto </w:t>
      </w:r>
      <w:r w:rsidR="004C4F80" w:rsidRPr="00C34D62">
        <w:t>evidente in alcune Regioni: Marche (</w:t>
      </w:r>
      <w:r w:rsidR="00FA1715" w:rsidRPr="00C34D62">
        <w:t>-</w:t>
      </w:r>
      <w:r w:rsidR="00C34D62" w:rsidRPr="00C34D62">
        <w:t>68</w:t>
      </w:r>
      <w:r w:rsidR="004C4F80" w:rsidRPr="00C34D62">
        <w:t>%), Molise (</w:t>
      </w:r>
      <w:r w:rsidR="00FA1715" w:rsidRPr="00C34D62">
        <w:t>-</w:t>
      </w:r>
      <w:r w:rsidR="004C4F80" w:rsidRPr="00C34D62">
        <w:t xml:space="preserve">67%), </w:t>
      </w:r>
      <w:r w:rsidR="00C34D62" w:rsidRPr="00C34D62">
        <w:t xml:space="preserve">Provincia autonoma di Bolzano (-57%), </w:t>
      </w:r>
      <w:r w:rsidR="004C4F80" w:rsidRPr="00C34D62">
        <w:t>Lombardia (-45%), Liguria (-42%), Veneto (</w:t>
      </w:r>
      <w:r w:rsidR="00FA1715" w:rsidRPr="00C34D62">
        <w:t>-</w:t>
      </w:r>
      <w:r w:rsidR="004C4F80" w:rsidRPr="00C34D62">
        <w:t>41%)</w:t>
      </w:r>
      <w:r w:rsidR="0073280F" w:rsidRPr="00C34D62">
        <w:t xml:space="preserve"> </w:t>
      </w:r>
      <w:r w:rsidR="00790E8C" w:rsidRPr="00C34D62">
        <w:t>(</w:t>
      </w:r>
      <w:r w:rsidR="004D400C" w:rsidRPr="00C34D62">
        <w:rPr>
          <w:highlight w:val="yellow"/>
        </w:rPr>
        <w:t xml:space="preserve">tabella 1, </w:t>
      </w:r>
      <w:r w:rsidR="00790E8C" w:rsidRPr="00C34D62">
        <w:rPr>
          <w:highlight w:val="yellow"/>
        </w:rPr>
        <w:t>figura</w:t>
      </w:r>
      <w:r w:rsidR="00C35686" w:rsidRPr="00C34D62">
        <w:rPr>
          <w:highlight w:val="yellow"/>
        </w:rPr>
        <w:t xml:space="preserve"> </w:t>
      </w:r>
      <w:r w:rsidR="004D400C" w:rsidRPr="00C34D62">
        <w:rPr>
          <w:highlight w:val="yellow"/>
        </w:rPr>
        <w:t>6</w:t>
      </w:r>
      <w:r w:rsidR="00790E8C" w:rsidRPr="00C34D62">
        <w:t>)</w:t>
      </w:r>
      <w:r w:rsidR="0073280F" w:rsidRPr="00C34D62">
        <w:t>.</w:t>
      </w:r>
      <w:r w:rsidR="00790E8C" w:rsidRPr="00C34D62">
        <w:t xml:space="preserve"> </w:t>
      </w:r>
      <w:r w:rsidR="004C4F80" w:rsidRPr="00C34D62">
        <w:t>«Quest</w:t>
      </w:r>
      <w:r w:rsidR="00274061">
        <w:t>a spia rossa</w:t>
      </w:r>
      <w:r w:rsidR="004C4F80" w:rsidRPr="00C34D62">
        <w:t xml:space="preserve"> – commenta Cartabellotta –</w:t>
      </w:r>
      <w:r w:rsidR="0014665A">
        <w:t xml:space="preserve"> </w:t>
      </w:r>
      <w:r w:rsidR="00EE1632">
        <w:t>già</w:t>
      </w:r>
      <w:r w:rsidR="00834C09">
        <w:t xml:space="preserve"> accesa da anni </w:t>
      </w:r>
      <w:r w:rsidR="00EE1632">
        <w:t xml:space="preserve">in alcune Regioni, </w:t>
      </w:r>
      <w:r w:rsidR="00834C09" w:rsidRPr="00C34D62">
        <w:t xml:space="preserve">da un lato </w:t>
      </w:r>
      <w:r w:rsidR="000D2B58">
        <w:t xml:space="preserve">segnala </w:t>
      </w:r>
      <w:r w:rsidR="004C4F80" w:rsidRPr="00C34D62">
        <w:t xml:space="preserve">il crescente disinteresse </w:t>
      </w:r>
      <w:r w:rsidR="000D2B58">
        <w:t>verso</w:t>
      </w:r>
      <w:r w:rsidR="000D2B58" w:rsidRPr="00C34D62">
        <w:t xml:space="preserve"> </w:t>
      </w:r>
      <w:r w:rsidR="004C4F80" w:rsidRPr="00C34D62">
        <w:t xml:space="preserve">la </w:t>
      </w:r>
      <w:r w:rsidR="004C4F80" w:rsidRPr="00383A19">
        <w:t xml:space="preserve">professione di MMG, dall’altro </w:t>
      </w:r>
      <w:r w:rsidR="003205FF">
        <w:t>evidenzia</w:t>
      </w:r>
      <w:r w:rsidR="003205FF" w:rsidRPr="00383A19">
        <w:t xml:space="preserve"> </w:t>
      </w:r>
      <w:r w:rsidR="00834C09">
        <w:t xml:space="preserve">gravi </w:t>
      </w:r>
      <w:r w:rsidR="003205FF">
        <w:t xml:space="preserve">criticità </w:t>
      </w:r>
      <w:r w:rsidR="004C4F80" w:rsidRPr="00383A19">
        <w:t xml:space="preserve">in </w:t>
      </w:r>
      <w:r w:rsidR="00367AB2">
        <w:t>varie</w:t>
      </w:r>
      <w:r w:rsidR="004C4F80" w:rsidRPr="00383A19">
        <w:t xml:space="preserve"> Regioni</w:t>
      </w:r>
      <w:r w:rsidR="003205FF">
        <w:t>,</w:t>
      </w:r>
      <w:r w:rsidR="004C4F80" w:rsidRPr="00383A19">
        <w:t xml:space="preserve"> </w:t>
      </w:r>
      <w:r w:rsidR="000D2B58">
        <w:t xml:space="preserve">come </w:t>
      </w:r>
      <w:r w:rsidR="00477617" w:rsidRPr="00383A19">
        <w:t>Lombardia e</w:t>
      </w:r>
      <w:r w:rsidR="000D2B58">
        <w:t xml:space="preserve"> </w:t>
      </w:r>
      <w:r w:rsidR="00477617" w:rsidRPr="00383A19">
        <w:t>Veneto</w:t>
      </w:r>
      <w:r w:rsidR="000D2B58">
        <w:t>,</w:t>
      </w:r>
      <w:r w:rsidR="00477617" w:rsidRPr="00383A19">
        <w:t xml:space="preserve"> </w:t>
      </w:r>
      <w:r w:rsidR="003205FF">
        <w:t xml:space="preserve">dove la </w:t>
      </w:r>
      <w:r w:rsidR="00477617" w:rsidRPr="00383A19">
        <w:t>carenza di MMG</w:t>
      </w:r>
      <w:r w:rsidR="003205FF">
        <w:t xml:space="preserve"> è già </w:t>
      </w:r>
      <w:r w:rsidR="00EE1632">
        <w:t>rilevante</w:t>
      </w:r>
      <w:r w:rsidR="004C4F80" w:rsidRPr="00383A19">
        <w:t>».</w:t>
      </w:r>
      <w:r w:rsidR="004C4F80">
        <w:t xml:space="preserve"> </w:t>
      </w:r>
    </w:p>
    <w:p w14:paraId="4F426419" w14:textId="44BBB559" w:rsidR="00EE1632" w:rsidRDefault="00A12ECA" w:rsidP="00EE1632">
      <w:pPr>
        <w:spacing w:after="120"/>
        <w:jc w:val="both"/>
        <w:rPr>
          <w:b/>
          <w:bCs/>
        </w:rPr>
      </w:pPr>
      <w:r>
        <w:rPr>
          <w:b/>
          <w:bCs/>
        </w:rPr>
        <w:t>STIMA DELLE CARENZE</w:t>
      </w:r>
      <w:r w:rsidR="0014665A">
        <w:rPr>
          <w:b/>
          <w:bCs/>
        </w:rPr>
        <w:t>.</w:t>
      </w:r>
      <w:r w:rsidR="00EE1632">
        <w:rPr>
          <w:b/>
          <w:bCs/>
        </w:rPr>
        <w:t xml:space="preserve"> </w:t>
      </w:r>
      <w:r w:rsidR="00274061">
        <w:t xml:space="preserve">Le stime </w:t>
      </w:r>
      <w:r w:rsidR="00BD484A">
        <w:t>s</w:t>
      </w:r>
      <w:r w:rsidR="0014665A">
        <w:t xml:space="preserve">ono state elaborate dalla Fondazione GIMBE </w:t>
      </w:r>
      <w:r w:rsidR="00BD484A">
        <w:t>su</w:t>
      </w:r>
      <w:r w:rsidR="00367AB2">
        <w:t xml:space="preserve">i dati della </w:t>
      </w:r>
      <w:hyperlink r:id="rId10" w:history="1">
        <w:r w:rsidRPr="001932CB">
          <w:rPr>
            <w:rStyle w:val="Collegamentoipertestuale"/>
          </w:rPr>
          <w:t>Struttura Interregionale Sanitari Convenzionati (SISAC) al 1</w:t>
        </w:r>
        <w:r w:rsidR="003205FF">
          <w:rPr>
            <w:rStyle w:val="Collegamentoipertestuale"/>
          </w:rPr>
          <w:t>°</w:t>
        </w:r>
        <w:r w:rsidRPr="001932CB">
          <w:rPr>
            <w:rStyle w:val="Collegamentoipertestuale"/>
          </w:rPr>
          <w:t xml:space="preserve"> gennaio 202</w:t>
        </w:r>
        <w:r w:rsidR="003C2658">
          <w:rPr>
            <w:rStyle w:val="Collegamentoipertestuale"/>
          </w:rPr>
          <w:t>4</w:t>
        </w:r>
      </w:hyperlink>
      <w:r w:rsidR="00274061">
        <w:t>.</w:t>
      </w:r>
    </w:p>
    <w:p w14:paraId="11DE0BC5" w14:textId="724C9230" w:rsidR="003205FF" w:rsidRPr="00EE1632" w:rsidRDefault="00A12ECA" w:rsidP="00EE1632">
      <w:pPr>
        <w:spacing w:after="120"/>
        <w:jc w:val="both"/>
        <w:rPr>
          <w:b/>
          <w:bCs/>
        </w:rPr>
      </w:pPr>
      <w:r w:rsidRPr="00791CAB">
        <w:rPr>
          <w:b/>
          <w:bCs/>
        </w:rPr>
        <w:t>Trend 2019-202</w:t>
      </w:r>
      <w:r w:rsidR="000E1730" w:rsidRPr="00791CAB">
        <w:rPr>
          <w:b/>
          <w:bCs/>
        </w:rPr>
        <w:t>3</w:t>
      </w:r>
      <w:r w:rsidRPr="00791CAB">
        <w:t xml:space="preserve">. I dati SISAC documentano </w:t>
      </w:r>
      <w:r w:rsidR="00BD484A">
        <w:t>una</w:t>
      </w:r>
      <w:r w:rsidR="00BD484A" w:rsidRPr="00791CAB">
        <w:t xml:space="preserve"> </w:t>
      </w:r>
      <w:r w:rsidRPr="00791CAB">
        <w:t>progre</w:t>
      </w:r>
      <w:r w:rsidRPr="009D3FE7">
        <w:t xml:space="preserve">ssiva </w:t>
      </w:r>
      <w:r w:rsidR="00274061">
        <w:t>riduzione</w:t>
      </w:r>
      <w:r w:rsidRPr="009D3FE7">
        <w:t xml:space="preserve"> </w:t>
      </w:r>
      <w:r w:rsidR="003205FF">
        <w:t>de</w:t>
      </w:r>
      <w:r w:rsidR="00274061">
        <w:t xml:space="preserve">i </w:t>
      </w:r>
      <w:r w:rsidRPr="009D3FE7">
        <w:t xml:space="preserve">MMG </w:t>
      </w:r>
      <w:r w:rsidR="00274061">
        <w:t xml:space="preserve">in tutte le Regioni, </w:t>
      </w:r>
      <w:r w:rsidR="00BD484A">
        <w:t>ad eccezione del</w:t>
      </w:r>
      <w:r w:rsidR="00274061">
        <w:t>la</w:t>
      </w:r>
      <w:r w:rsidR="00274061" w:rsidRPr="00791CAB">
        <w:t xml:space="preserve"> Provincia </w:t>
      </w:r>
      <w:r w:rsidR="00274061">
        <w:t>a</w:t>
      </w:r>
      <w:r w:rsidR="00274061" w:rsidRPr="00791CAB">
        <w:t>utonoma di Bolzano</w:t>
      </w:r>
      <w:r w:rsidR="00274061">
        <w:t xml:space="preserve"> (+</w:t>
      </w:r>
      <w:r w:rsidR="00274061" w:rsidRPr="00791CAB">
        <w:t>1%</w:t>
      </w:r>
      <w:r w:rsidR="00274061">
        <w:t>)</w:t>
      </w:r>
      <w:r w:rsidR="003205FF">
        <w:t xml:space="preserve">. </w:t>
      </w:r>
      <w:r w:rsidR="00BD484A">
        <w:t>Tra il</w:t>
      </w:r>
      <w:r w:rsidR="00502114">
        <w:t xml:space="preserve"> 2019</w:t>
      </w:r>
      <w:r w:rsidR="00BD484A">
        <w:t xml:space="preserve"> e il </w:t>
      </w:r>
      <w:r w:rsidR="00502114">
        <w:t>2023</w:t>
      </w:r>
      <w:r w:rsidR="00BD484A">
        <w:t>, il numero di MMG</w:t>
      </w:r>
      <w:r w:rsidR="00502114">
        <w:t xml:space="preserve"> </w:t>
      </w:r>
      <w:r w:rsidR="00BD484A">
        <w:t>è diminuito</w:t>
      </w:r>
      <w:r w:rsidR="00502114">
        <w:t xml:space="preserve"> di</w:t>
      </w:r>
      <w:r w:rsidR="00502114" w:rsidRPr="009D3FE7">
        <w:t xml:space="preserve"> 4.749 </w:t>
      </w:r>
      <w:r w:rsidR="00502114">
        <w:t>unità (-12,8%)</w:t>
      </w:r>
      <w:r w:rsidR="00BD484A">
        <w:t>, passando</w:t>
      </w:r>
      <w:r w:rsidR="00502114">
        <w:t xml:space="preserve"> da </w:t>
      </w:r>
      <w:r w:rsidR="00535BDA">
        <w:t>42.009</w:t>
      </w:r>
      <w:r w:rsidR="00502114">
        <w:t xml:space="preserve"> </w:t>
      </w:r>
      <w:r w:rsidR="00BD484A">
        <w:t>a</w:t>
      </w:r>
      <w:r w:rsidR="00502114">
        <w:t xml:space="preserve"> </w:t>
      </w:r>
      <w:r w:rsidRPr="009D3FE7">
        <w:t>37.</w:t>
      </w:r>
      <w:r w:rsidR="00791CAB" w:rsidRPr="009D3FE7">
        <w:t>2</w:t>
      </w:r>
      <w:r w:rsidRPr="009D3FE7">
        <w:t>60</w:t>
      </w:r>
      <w:r w:rsidR="003205FF">
        <w:t>.</w:t>
      </w:r>
      <w:r w:rsidR="00502114">
        <w:t xml:space="preserve"> </w:t>
      </w:r>
      <w:r w:rsidR="00BD484A">
        <w:t xml:space="preserve">Le </w:t>
      </w:r>
      <w:r w:rsidR="003205FF">
        <w:t>differenze</w:t>
      </w:r>
      <w:r w:rsidRPr="00791CAB">
        <w:t xml:space="preserve"> regionali</w:t>
      </w:r>
      <w:r w:rsidR="00BD484A">
        <w:t xml:space="preserve"> sono</w:t>
      </w:r>
      <w:r w:rsidR="00BA7531">
        <w:t xml:space="preserve"> </w:t>
      </w:r>
      <w:r w:rsidR="00535BDA">
        <w:t xml:space="preserve">rilevanti: </w:t>
      </w:r>
      <w:r w:rsidR="00BA7531">
        <w:t xml:space="preserve">il calo più marcato </w:t>
      </w:r>
      <w:r w:rsidR="00535BDA">
        <w:t xml:space="preserve">si registra </w:t>
      </w:r>
      <w:r w:rsidR="00BA7531">
        <w:t>in Sardegna (</w:t>
      </w:r>
      <w:r w:rsidRPr="00791CAB">
        <w:t>-3</w:t>
      </w:r>
      <w:r w:rsidR="00791CAB" w:rsidRPr="00791CAB">
        <w:t>9</w:t>
      </w:r>
      <w:r w:rsidRPr="00791CAB">
        <w:t>%</w:t>
      </w:r>
      <w:r w:rsidR="00BA7531">
        <w:t>)</w:t>
      </w:r>
      <w:r w:rsidR="00BD484A">
        <w:t>, mentre quello</w:t>
      </w:r>
      <w:r w:rsidR="00BA7531">
        <w:t xml:space="preserve"> più contenuto nell</w:t>
      </w:r>
      <w:r w:rsidR="00535BDA">
        <w:t>e</w:t>
      </w:r>
      <w:r w:rsidR="00BA7531">
        <w:t xml:space="preserve"> Marche (</w:t>
      </w:r>
      <w:r w:rsidRPr="00791CAB">
        <w:t>-</w:t>
      </w:r>
      <w:r w:rsidR="00791CAB" w:rsidRPr="00791CAB">
        <w:t>1</w:t>
      </w:r>
      <w:r w:rsidRPr="00791CAB">
        <w:t>,7%</w:t>
      </w:r>
      <w:r w:rsidR="00BA7531">
        <w:t>)</w:t>
      </w:r>
      <w:r w:rsidR="00274061">
        <w:t xml:space="preserve"> </w:t>
      </w:r>
      <w:r w:rsidRPr="00791CAB">
        <w:t>(</w:t>
      </w:r>
      <w:r w:rsidRPr="00791CAB">
        <w:rPr>
          <w:highlight w:val="yellow"/>
        </w:rPr>
        <w:t xml:space="preserve">figura </w:t>
      </w:r>
      <w:r w:rsidR="004D400C">
        <w:rPr>
          <w:highlight w:val="yellow"/>
        </w:rPr>
        <w:t>7</w:t>
      </w:r>
      <w:r w:rsidRPr="00791CAB">
        <w:t xml:space="preserve">). </w:t>
      </w:r>
    </w:p>
    <w:p w14:paraId="4790507C" w14:textId="363BBDC8" w:rsidR="00EE1632" w:rsidRDefault="00A12ECA" w:rsidP="00EE1632">
      <w:pPr>
        <w:spacing w:after="120"/>
        <w:jc w:val="both"/>
      </w:pPr>
      <w:r>
        <w:rPr>
          <w:b/>
          <w:bCs/>
        </w:rPr>
        <w:t>Numero di assistiti per MMG</w:t>
      </w:r>
      <w:r w:rsidRPr="00A73F36">
        <w:t xml:space="preserve">. </w:t>
      </w:r>
      <w:r w:rsidRPr="009D3FE7">
        <w:t>Secondo i dati SISAC</w:t>
      </w:r>
      <w:r w:rsidR="00BA7531">
        <w:t>,</w:t>
      </w:r>
      <w:r w:rsidRPr="009D3FE7">
        <w:t xml:space="preserve"> al 1° gennaio 2023 </w:t>
      </w:r>
      <w:r w:rsidR="00BA7531">
        <w:t xml:space="preserve">i </w:t>
      </w:r>
      <w:r w:rsidRPr="009D3FE7">
        <w:t>37.</w:t>
      </w:r>
      <w:r w:rsidR="00A73F36" w:rsidRPr="009D3FE7">
        <w:t>2</w:t>
      </w:r>
      <w:r w:rsidRPr="009D3FE7">
        <w:t xml:space="preserve">60 MMG avevano in carico </w:t>
      </w:r>
      <w:r w:rsidR="00A73F36" w:rsidRPr="009D3FE7">
        <w:t>quasi</w:t>
      </w:r>
      <w:r w:rsidRPr="009D3FE7">
        <w:t xml:space="preserve"> 51,2 milioni di assistiti</w:t>
      </w:r>
      <w:r w:rsidR="00BD484A">
        <w:t xml:space="preserve">, </w:t>
      </w:r>
      <w:r w:rsidR="00535BDA">
        <w:t xml:space="preserve">con una media di </w:t>
      </w:r>
      <w:r w:rsidR="00535BDA" w:rsidRPr="009D3FE7">
        <w:t xml:space="preserve">1.374 assistiti per </w:t>
      </w:r>
      <w:r w:rsidR="00BD484A">
        <w:t xml:space="preserve">medico </w:t>
      </w:r>
      <w:r w:rsidR="00535BDA">
        <w:t>e</w:t>
      </w:r>
      <w:r w:rsidR="00BA7531">
        <w:t xml:space="preserve"> variazioni significative tra Regioni</w:t>
      </w:r>
      <w:r w:rsidRPr="009D3FE7">
        <w:t>: dai 1.</w:t>
      </w:r>
      <w:r w:rsidR="00A73F36" w:rsidRPr="009D3FE7">
        <w:t>1</w:t>
      </w:r>
      <w:r w:rsidR="0066583E">
        <w:t>0</w:t>
      </w:r>
      <w:r w:rsidR="00A73F36" w:rsidRPr="009D3FE7">
        <w:t>0</w:t>
      </w:r>
      <w:r w:rsidRPr="009D3FE7">
        <w:t xml:space="preserve"> del</w:t>
      </w:r>
      <w:r w:rsidR="00A73F36" w:rsidRPr="009D3FE7">
        <w:t xml:space="preserve"> Molise </w:t>
      </w:r>
      <w:r w:rsidRPr="009D3FE7">
        <w:t>ai 1.</w:t>
      </w:r>
      <w:r w:rsidR="00A73F36" w:rsidRPr="009D3FE7">
        <w:t>548</w:t>
      </w:r>
      <w:r w:rsidRPr="00A73F36">
        <w:t xml:space="preserve"> della Provincia </w:t>
      </w:r>
      <w:r w:rsidR="00BA7531">
        <w:t>a</w:t>
      </w:r>
      <w:r w:rsidR="00BA7531" w:rsidRPr="00A73F36">
        <w:t xml:space="preserve">utonoma </w:t>
      </w:r>
      <w:r w:rsidRPr="00A73F36">
        <w:t>di Bolzano (</w:t>
      </w:r>
      <w:r w:rsidRPr="00A73F36">
        <w:rPr>
          <w:highlight w:val="yellow"/>
        </w:rPr>
        <w:t xml:space="preserve">figura </w:t>
      </w:r>
      <w:r w:rsidR="004D400C">
        <w:rPr>
          <w:highlight w:val="yellow"/>
        </w:rPr>
        <w:t>8</w:t>
      </w:r>
      <w:r w:rsidRPr="00A73F36">
        <w:t>). «</w:t>
      </w:r>
      <w:r w:rsidR="00274061">
        <w:t xml:space="preserve">Il quadro </w:t>
      </w:r>
      <w:r>
        <w:t xml:space="preserve">reale – precisa Cartabellotta – è </w:t>
      </w:r>
      <w:r w:rsidR="00BD484A">
        <w:t xml:space="preserve">ancora </w:t>
      </w:r>
      <w:r>
        <w:t xml:space="preserve">più critico di quanto </w:t>
      </w:r>
      <w:r w:rsidR="00BD484A">
        <w:t>mostrano</w:t>
      </w:r>
      <w:r w:rsidR="00BD484A" w:rsidRPr="003F0902">
        <w:t xml:space="preserve"> </w:t>
      </w:r>
      <w:r w:rsidR="00274061" w:rsidRPr="003F0902">
        <w:t xml:space="preserve">i </w:t>
      </w:r>
      <w:r w:rsidRPr="003F0902">
        <w:t>numeri</w:t>
      </w:r>
      <w:r w:rsidR="00BA7531" w:rsidRPr="003F0902">
        <w:t xml:space="preserve">. </w:t>
      </w:r>
      <w:r w:rsidR="00AF04FA">
        <w:t>Infatti, c</w:t>
      </w:r>
      <w:r w:rsidRPr="003F0902">
        <w:t xml:space="preserve">on </w:t>
      </w:r>
      <w:r w:rsidR="00BA7531" w:rsidRPr="003F0902">
        <w:t xml:space="preserve">un </w:t>
      </w:r>
      <w:r w:rsidRPr="003F0902">
        <w:t xml:space="preserve">livello di saturazione </w:t>
      </w:r>
      <w:r w:rsidR="00BA7531" w:rsidRPr="003F0902">
        <w:t>così elevato</w:t>
      </w:r>
      <w:r w:rsidR="00BD484A">
        <w:t>,</w:t>
      </w:r>
      <w:r w:rsidR="00AF04FA">
        <w:t xml:space="preserve"> non solo viene </w:t>
      </w:r>
      <w:r w:rsidR="00AF04FA" w:rsidRPr="003F0902">
        <w:t>compromesso</w:t>
      </w:r>
      <w:r w:rsidRPr="003F0902">
        <w:t xml:space="preserve"> il principio della libera scelta</w:t>
      </w:r>
      <w:r w:rsidR="00BD484A">
        <w:t>,</w:t>
      </w:r>
      <w:r w:rsidR="00BA7531" w:rsidRPr="003F0902">
        <w:t xml:space="preserve"> </w:t>
      </w:r>
      <w:r w:rsidR="00AF04FA">
        <w:t>ma diventa difficile,</w:t>
      </w:r>
      <w:r w:rsidR="00BD484A">
        <w:t xml:space="preserve"> se non</w:t>
      </w:r>
      <w:r w:rsidR="00AF04FA">
        <w:t xml:space="preserve"> impossibile, trovare un </w:t>
      </w:r>
      <w:r w:rsidRPr="003F0902">
        <w:t>MMG vicino a casa</w:t>
      </w:r>
      <w:r w:rsidR="00BD484A">
        <w:t xml:space="preserve">. </w:t>
      </w:r>
      <w:r w:rsidR="00367AB2">
        <w:t xml:space="preserve">Un </w:t>
      </w:r>
      <w:r w:rsidR="00BD484A">
        <w:t xml:space="preserve">problema </w:t>
      </w:r>
      <w:r w:rsidR="00367AB2">
        <w:t xml:space="preserve">che non </w:t>
      </w:r>
      <w:r w:rsidR="00BD484A">
        <w:t xml:space="preserve">riguarda </w:t>
      </w:r>
      <w:r w:rsidRPr="003F0902">
        <w:t xml:space="preserve">solo </w:t>
      </w:r>
      <w:r w:rsidR="00BD484A">
        <w:t>le</w:t>
      </w:r>
      <w:r w:rsidR="00BD484A" w:rsidRPr="003F0902">
        <w:t xml:space="preserve"> </w:t>
      </w:r>
      <w:r w:rsidRPr="003F0902">
        <w:t xml:space="preserve">aree desertificate (bassa densità abitativa, </w:t>
      </w:r>
      <w:r w:rsidR="00274061" w:rsidRPr="003F0902">
        <w:t>aree montane</w:t>
      </w:r>
      <w:r w:rsidR="00AF04FA">
        <w:t xml:space="preserve"> e</w:t>
      </w:r>
      <w:r w:rsidR="00274061" w:rsidRPr="003F0902">
        <w:t xml:space="preserve"> </w:t>
      </w:r>
      <w:r w:rsidRPr="003F0902">
        <w:t>rurali)</w:t>
      </w:r>
      <w:r w:rsidR="00BA7531" w:rsidRPr="003F0902">
        <w:t>,</w:t>
      </w:r>
      <w:r w:rsidRPr="003F0902">
        <w:t xml:space="preserve"> dove i bandi vanno spesso deserti, ma anche </w:t>
      </w:r>
      <w:r w:rsidR="00BD484A">
        <w:t>le</w:t>
      </w:r>
      <w:r w:rsidR="00BD484A" w:rsidRPr="003F0902">
        <w:t xml:space="preserve"> </w:t>
      </w:r>
      <w:r w:rsidRPr="003F0902">
        <w:t>grandi città metropolitane».</w:t>
      </w:r>
    </w:p>
    <w:p w14:paraId="26285DA9" w14:textId="2069451E" w:rsidR="00CB5AB8" w:rsidRDefault="00A12ECA" w:rsidP="00CB5AB8">
      <w:pPr>
        <w:spacing w:after="120"/>
        <w:jc w:val="both"/>
      </w:pPr>
      <w:r>
        <w:rPr>
          <w:b/>
          <w:bCs/>
        </w:rPr>
        <w:t xml:space="preserve">Stima della </w:t>
      </w:r>
      <w:r w:rsidRPr="00A73F36">
        <w:rPr>
          <w:b/>
          <w:bCs/>
        </w:rPr>
        <w:t>carenza di MMG al 1° gennaio 202</w:t>
      </w:r>
      <w:r w:rsidR="00A73F36">
        <w:rPr>
          <w:b/>
          <w:bCs/>
        </w:rPr>
        <w:t>4</w:t>
      </w:r>
      <w:r w:rsidRPr="00A73F36">
        <w:t>. «</w:t>
      </w:r>
      <w:r w:rsidR="00535BDA">
        <w:t xml:space="preserve">È possibile stimare – </w:t>
      </w:r>
      <w:r>
        <w:t>spiega Cartabellotta –</w:t>
      </w:r>
      <w:r w:rsidR="00535BDA">
        <w:t xml:space="preserve"> </w:t>
      </w:r>
      <w:r>
        <w:t xml:space="preserve">solo il fabbisogno medio regionale di MMG in </w:t>
      </w:r>
      <w:r w:rsidR="00CB5AB8">
        <w:t xml:space="preserve">base </w:t>
      </w:r>
      <w:r>
        <w:t xml:space="preserve">al numero di assistiti, </w:t>
      </w:r>
      <w:r w:rsidR="00CB5AB8">
        <w:t>poiché</w:t>
      </w:r>
      <w:r>
        <w:t xml:space="preserve"> la </w:t>
      </w:r>
      <w:r w:rsidR="00C9334F">
        <w:t>carenza</w:t>
      </w:r>
      <w:r>
        <w:t xml:space="preserve"> </w:t>
      </w:r>
      <w:r w:rsidR="00C9334F">
        <w:t xml:space="preserve">in </w:t>
      </w:r>
      <w:r>
        <w:t xml:space="preserve">ciascun ambito territoriale viene </w:t>
      </w:r>
      <w:r w:rsidR="00BA7531">
        <w:t xml:space="preserve">identificata </w:t>
      </w:r>
      <w:r>
        <w:t xml:space="preserve">dalle ASL secondo variabili locali». </w:t>
      </w:r>
      <w:r w:rsidR="00CB5AB8">
        <w:t>Per</w:t>
      </w:r>
      <w:r>
        <w:t xml:space="preserve"> garantire </w:t>
      </w:r>
      <w:r w:rsidR="00C9334F">
        <w:t>la</w:t>
      </w:r>
      <w:r w:rsidR="00BA7531">
        <w:t xml:space="preserve"> </w:t>
      </w:r>
      <w:r>
        <w:t xml:space="preserve">distribuzione </w:t>
      </w:r>
      <w:r w:rsidR="00C9334F">
        <w:t xml:space="preserve">omogenea e </w:t>
      </w:r>
      <w:r>
        <w:t xml:space="preserve">capillare </w:t>
      </w:r>
      <w:r w:rsidR="00CB5AB8">
        <w:t>rispetto</w:t>
      </w:r>
      <w:r>
        <w:t xml:space="preserve"> alla densità abitativa, la prossimità degli ambulatori e l’esercizio della libera scelta</w:t>
      </w:r>
      <w:r w:rsidR="00CB5AB8">
        <w:t>,</w:t>
      </w:r>
      <w:r w:rsidR="00535BDA">
        <w:t xml:space="preserve"> </w:t>
      </w:r>
      <w:r>
        <w:t>la Fondazione GIMBE</w:t>
      </w:r>
      <w:r w:rsidR="00634E58">
        <w:t xml:space="preserve"> </w:t>
      </w:r>
      <w:r w:rsidR="004146DC">
        <w:t xml:space="preserve">ha </w:t>
      </w:r>
      <w:r w:rsidR="000A1B2C">
        <w:t>tenuto in considerazione</w:t>
      </w:r>
      <w:r w:rsidR="00634E58">
        <w:t xml:space="preserve"> il </w:t>
      </w:r>
      <w:r w:rsidRPr="00F954F4">
        <w:t xml:space="preserve">rapporto </w:t>
      </w:r>
      <w:r w:rsidR="00634E58">
        <w:t xml:space="preserve">ottimale </w:t>
      </w:r>
      <w:r w:rsidR="00BA7531">
        <w:t xml:space="preserve">pari a </w:t>
      </w:r>
      <w:r w:rsidRPr="00F954F4">
        <w:t>1 MMG ogni 1.2</w:t>
      </w:r>
      <w:r w:rsidR="003C1834">
        <w:t>0</w:t>
      </w:r>
      <w:r w:rsidRPr="00F954F4">
        <w:t>0 assistiti</w:t>
      </w:r>
      <w:r w:rsidR="00CB5AB8">
        <w:t>. Sulla base dei</w:t>
      </w:r>
      <w:r w:rsidRPr="00F954F4">
        <w:t xml:space="preserve"> </w:t>
      </w:r>
      <w:hyperlink r:id="rId11" w:history="1">
        <w:r w:rsidR="00CB5AB8">
          <w:rPr>
            <w:rStyle w:val="Collegamentoipertestuale"/>
          </w:rPr>
          <w:t xml:space="preserve">dati </w:t>
        </w:r>
        <w:r>
          <w:rPr>
            <w:rStyle w:val="Collegamentoipertestuale"/>
          </w:rPr>
          <w:t>SISAC</w:t>
        </w:r>
      </w:hyperlink>
      <w:r w:rsidR="00BA7531" w:rsidRPr="009D3FE7">
        <w:t xml:space="preserve"> </w:t>
      </w:r>
      <w:r w:rsidRPr="009D3FE7">
        <w:t>al 1° gennaio 202</w:t>
      </w:r>
      <w:r w:rsidR="00A73F36" w:rsidRPr="009D3FE7">
        <w:t>4</w:t>
      </w:r>
      <w:r w:rsidR="00CB5AB8">
        <w:t xml:space="preserve">, la </w:t>
      </w:r>
      <w:r w:rsidRPr="009D3FE7">
        <w:t xml:space="preserve">carenza </w:t>
      </w:r>
      <w:r w:rsidR="00BA7531">
        <w:t xml:space="preserve">complessiva </w:t>
      </w:r>
      <w:r w:rsidR="00CB5AB8">
        <w:t>è stimata in</w:t>
      </w:r>
      <w:r w:rsidR="00CB5AB8" w:rsidRPr="009D3FE7">
        <w:t xml:space="preserve"> </w:t>
      </w:r>
      <w:r w:rsidR="00634E58" w:rsidRPr="009D3FE7">
        <w:t xml:space="preserve">5.575 </w:t>
      </w:r>
      <w:r w:rsidRPr="009D3FE7">
        <w:t>MMG</w:t>
      </w:r>
      <w:r w:rsidR="00BA7531">
        <w:t>,</w:t>
      </w:r>
      <w:r w:rsidR="00634E58" w:rsidRPr="009D3FE7">
        <w:t xml:space="preserve"> </w:t>
      </w:r>
      <w:r w:rsidR="004146DC">
        <w:t xml:space="preserve">distribuiti </w:t>
      </w:r>
      <w:r w:rsidR="00634E58" w:rsidRPr="009D3FE7">
        <w:t>in 17 Regioni e Province autonome</w:t>
      </w:r>
      <w:r w:rsidR="00BA7531">
        <w:t>.  L</w:t>
      </w:r>
      <w:r w:rsidR="009D3FE7">
        <w:t xml:space="preserve">e </w:t>
      </w:r>
      <w:r w:rsidRPr="009D3FE7">
        <w:t>situazioni più critiche</w:t>
      </w:r>
      <w:r w:rsidR="00BA7531">
        <w:t xml:space="preserve"> si registrano</w:t>
      </w:r>
      <w:r w:rsidRPr="009D3FE7">
        <w:t xml:space="preserve"> </w:t>
      </w:r>
      <w:r w:rsidR="00D569C6" w:rsidRPr="009D3FE7">
        <w:t>in quasi tutte le</w:t>
      </w:r>
      <w:r w:rsidRPr="009D3FE7">
        <w:t xml:space="preserve"> grandi Regioni:</w:t>
      </w:r>
      <w:r w:rsidRPr="00F954F4">
        <w:t xml:space="preserve"> Lombardia (-1.</w:t>
      </w:r>
      <w:r w:rsidR="00634E58">
        <w:t>525</w:t>
      </w:r>
      <w:r w:rsidRPr="00F954F4">
        <w:t>), Veneto (-</w:t>
      </w:r>
      <w:r w:rsidR="00634E58">
        <w:t>785</w:t>
      </w:r>
      <w:r w:rsidRPr="00F954F4">
        <w:t xml:space="preserve">), </w:t>
      </w:r>
      <w:r w:rsidR="00634E58" w:rsidRPr="00F954F4">
        <w:t>Campania (-</w:t>
      </w:r>
      <w:r w:rsidR="00634E58">
        <w:t>652</w:t>
      </w:r>
      <w:r w:rsidR="00634E58" w:rsidRPr="00F954F4">
        <w:t>)</w:t>
      </w:r>
      <w:r w:rsidR="00634E58">
        <w:t xml:space="preserve">, </w:t>
      </w:r>
      <w:r w:rsidRPr="00F954F4">
        <w:t>Emilia Romagna (-</w:t>
      </w:r>
      <w:r w:rsidR="00634E58">
        <w:t>536</w:t>
      </w:r>
      <w:r w:rsidRPr="00F954F4">
        <w:t>), Piemonte (-</w:t>
      </w:r>
      <w:r w:rsidR="00634E58">
        <w:t>431</w:t>
      </w:r>
      <w:r w:rsidRPr="00F954F4">
        <w:t>)</w:t>
      </w:r>
      <w:r w:rsidR="00634E58">
        <w:t xml:space="preserve"> e Toscana (-345)</w:t>
      </w:r>
      <w:r w:rsidR="00D569C6">
        <w:t>. Non si rilevano, invece, carenze in Basilicata, Molise, Umbria e Sicilia</w:t>
      </w:r>
      <w:r w:rsidRPr="00F954F4">
        <w:t xml:space="preserve"> (</w:t>
      </w:r>
      <w:r w:rsidRPr="00F954F4">
        <w:rPr>
          <w:highlight w:val="yellow"/>
        </w:rPr>
        <w:t xml:space="preserve">figura </w:t>
      </w:r>
      <w:r w:rsidR="004D400C">
        <w:rPr>
          <w:highlight w:val="yellow"/>
        </w:rPr>
        <w:t>9</w:t>
      </w:r>
      <w:r w:rsidRPr="00F954F4">
        <w:t>)</w:t>
      </w:r>
      <w:r w:rsidR="004D400C">
        <w:t>.</w:t>
      </w:r>
      <w:r w:rsidR="00C9334F">
        <w:t xml:space="preserve"> </w:t>
      </w:r>
      <w:r w:rsidR="00C9334F" w:rsidRPr="00A73F36">
        <w:t>«</w:t>
      </w:r>
      <w:r w:rsidR="00535BDA">
        <w:t xml:space="preserve">Ovviamente </w:t>
      </w:r>
      <w:r w:rsidR="00C9334F">
        <w:t xml:space="preserve">– commenta il Presidente – </w:t>
      </w:r>
      <w:r w:rsidR="00535BDA">
        <w:t>trattandosi di stime sulla carenza media regionale</w:t>
      </w:r>
      <w:r w:rsidR="00CB5AB8">
        <w:t>,</w:t>
      </w:r>
      <w:r w:rsidR="00535BDA">
        <w:t xml:space="preserve"> </w:t>
      </w:r>
      <w:r w:rsidR="00C9334F">
        <w:t xml:space="preserve">non si può escludere che anche in queste Regioni </w:t>
      </w:r>
      <w:r w:rsidR="00CB5AB8">
        <w:t>vi siano aree prive di</w:t>
      </w:r>
      <w:r w:rsidR="00535BDA">
        <w:t xml:space="preserve"> </w:t>
      </w:r>
      <w:r w:rsidR="00C9334F">
        <w:t>MMG».</w:t>
      </w:r>
    </w:p>
    <w:p w14:paraId="45A07CE6" w14:textId="0ACCAD23" w:rsidR="006569A9" w:rsidRDefault="00D3150E" w:rsidP="00911A73">
      <w:pPr>
        <w:jc w:val="both"/>
      </w:pPr>
      <w:r w:rsidRPr="007C60EC">
        <w:rPr>
          <w:b/>
          <w:bCs/>
        </w:rPr>
        <w:t>Ricambio generazionale</w:t>
      </w:r>
      <w:r w:rsidR="00A12ECA" w:rsidRPr="007C60EC">
        <w:rPr>
          <w:b/>
          <w:bCs/>
        </w:rPr>
        <w:t xml:space="preserve"> al 202</w:t>
      </w:r>
      <w:r w:rsidR="004E4C63" w:rsidRPr="007C60EC">
        <w:rPr>
          <w:b/>
          <w:bCs/>
        </w:rPr>
        <w:t>7</w:t>
      </w:r>
      <w:r w:rsidR="00A12ECA" w:rsidRPr="007C60EC">
        <w:t xml:space="preserve">. </w:t>
      </w:r>
      <w:r w:rsidR="00D716BC" w:rsidRPr="007C60EC">
        <w:t>Se tutti i MMG andassero in pensione a 70 anni e tutte le borse di studio finanziate tra il 2021 e il 2024 fossero assegnate e completate, nel 2027 le nuove leve coprirebbero i pensionamenti attesi e le carenze rilevate nel 2023.</w:t>
      </w:r>
      <w:r w:rsidR="008714B6" w:rsidRPr="007C60EC">
        <w:t xml:space="preserve"> </w:t>
      </w:r>
      <w:r w:rsidR="00327378" w:rsidRPr="007C60EC">
        <w:t>«</w:t>
      </w:r>
      <w:r w:rsidR="00535BDA" w:rsidRPr="007C60EC">
        <w:t xml:space="preserve">In realtà </w:t>
      </w:r>
      <w:r w:rsidR="00327378" w:rsidRPr="007C60EC">
        <w:t xml:space="preserve">– spiega Cartabellotta – </w:t>
      </w:r>
      <w:r w:rsidR="006569A9" w:rsidRPr="007C60EC">
        <w:t xml:space="preserve">questo </w:t>
      </w:r>
      <w:r w:rsidR="00535BDA" w:rsidRPr="007C60EC">
        <w:t xml:space="preserve">scenario </w:t>
      </w:r>
      <w:r w:rsidR="008714B6" w:rsidRPr="007C60EC">
        <w:t xml:space="preserve">è </w:t>
      </w:r>
      <w:r w:rsidR="00367AB2" w:rsidRPr="007C60EC">
        <w:t xml:space="preserve">poco realistico: </w:t>
      </w:r>
      <w:r w:rsidR="00D716BC" w:rsidRPr="007C60EC">
        <w:t xml:space="preserve">sempre più medici si ritirano </w:t>
      </w:r>
      <w:r w:rsidR="00714FA6" w:rsidRPr="007C60EC">
        <w:t>prima dei 70 anni e, soprattutto,</w:t>
      </w:r>
      <w:r w:rsidR="00D716BC" w:rsidRPr="007C60EC">
        <w:t xml:space="preserve"> sta aumentando</w:t>
      </w:r>
      <w:r w:rsidR="00714FA6" w:rsidRPr="007C60EC">
        <w:t xml:space="preserve"> il </w:t>
      </w:r>
      <w:r w:rsidR="006569A9" w:rsidRPr="007C60EC">
        <w:t xml:space="preserve">divario </w:t>
      </w:r>
      <w:r w:rsidR="00714FA6" w:rsidRPr="007C60EC">
        <w:t xml:space="preserve">tra borse finanziate e </w:t>
      </w:r>
      <w:r w:rsidR="00C306FC" w:rsidRPr="007C60EC">
        <w:t xml:space="preserve">iscritti </w:t>
      </w:r>
      <w:r w:rsidR="00714FA6" w:rsidRPr="007C60EC">
        <w:t>che completano il ciclo formativo</w:t>
      </w:r>
      <w:r w:rsidR="00431859" w:rsidRPr="007C60EC">
        <w:t xml:space="preserve">. </w:t>
      </w:r>
      <w:r w:rsidR="00367AB2" w:rsidRPr="007C60EC">
        <w:t xml:space="preserve">Un </w:t>
      </w:r>
      <w:r w:rsidR="00431859" w:rsidRPr="007C60EC">
        <w:t xml:space="preserve">gap </w:t>
      </w:r>
      <w:r w:rsidR="00D716BC" w:rsidRPr="007C60EC">
        <w:t xml:space="preserve">legato da un lato </w:t>
      </w:r>
      <w:r w:rsidR="00431859" w:rsidRPr="007C60EC">
        <w:t>all</w:t>
      </w:r>
      <w:r w:rsidR="00714FA6" w:rsidRPr="007C60EC">
        <w:t xml:space="preserve">a mancata </w:t>
      </w:r>
      <w:r w:rsidR="00064C7D" w:rsidRPr="007C60EC">
        <w:t>partecipazione al concorso</w:t>
      </w:r>
      <w:r w:rsidR="00D716BC" w:rsidRPr="007C60EC">
        <w:t xml:space="preserve">, con il 15% </w:t>
      </w:r>
      <w:r w:rsidR="00714FA6" w:rsidRPr="007C60EC">
        <w:t xml:space="preserve">delle borse </w:t>
      </w:r>
      <w:r w:rsidR="00D716BC" w:rsidRPr="007C60EC">
        <w:t xml:space="preserve">non assegnate </w:t>
      </w:r>
      <w:r w:rsidR="00714FA6" w:rsidRPr="007C60EC">
        <w:t>nel 2024</w:t>
      </w:r>
      <w:r w:rsidR="00431859" w:rsidRPr="007C60EC">
        <w:t xml:space="preserve">, </w:t>
      </w:r>
      <w:r w:rsidR="00D716BC" w:rsidRPr="007C60EC">
        <w:t>dall’altro agli abbandoni durante il percorso formativo</w:t>
      </w:r>
      <w:r w:rsidR="00431859" w:rsidRPr="007C60EC">
        <w:t xml:space="preserve">, </w:t>
      </w:r>
      <w:r w:rsidR="00D716BC" w:rsidRPr="007C60EC">
        <w:t>che coinvolgono almeno</w:t>
      </w:r>
      <w:r w:rsidR="00714FA6" w:rsidRPr="007C60EC">
        <w:t xml:space="preserve"> il 20%</w:t>
      </w:r>
      <w:r w:rsidR="00431859" w:rsidRPr="007C60EC">
        <w:t xml:space="preserve"> </w:t>
      </w:r>
      <w:r w:rsidR="00D716BC" w:rsidRPr="007C60EC">
        <w:t>degli iscritti</w:t>
      </w:r>
      <w:r w:rsidR="00327378" w:rsidRPr="007C60EC">
        <w:t>».</w:t>
      </w:r>
    </w:p>
    <w:p w14:paraId="110369E4" w14:textId="34F6F19D" w:rsidR="000227E2" w:rsidRDefault="00D61334" w:rsidP="007C60EC">
      <w:pPr>
        <w:jc w:val="both"/>
      </w:pPr>
      <w:r w:rsidRPr="00D61334">
        <w:rPr>
          <w:b/>
          <w:bCs/>
        </w:rPr>
        <w:t>Impatto economico</w:t>
      </w:r>
      <w:r>
        <w:t xml:space="preserve">. La </w:t>
      </w:r>
      <w:r w:rsidR="00431859">
        <w:t>quota di</w:t>
      </w:r>
      <w:r>
        <w:t xml:space="preserve"> spesa sanitaria </w:t>
      </w:r>
      <w:r w:rsidR="00431859">
        <w:t xml:space="preserve">pubblica </w:t>
      </w:r>
      <w:r>
        <w:t>destinata all’assistenza medico-generica da conve</w:t>
      </w:r>
      <w:r w:rsidR="00CE7BE9">
        <w:t>n</w:t>
      </w:r>
      <w:r>
        <w:t xml:space="preserve">zione (medici di famiglia, pediatri di libera scelta e specialisti ambulatoriali) è </w:t>
      </w:r>
      <w:r w:rsidR="00776C47">
        <w:t xml:space="preserve">diminuita </w:t>
      </w:r>
      <w:r>
        <w:t xml:space="preserve">dal 6,2% </w:t>
      </w:r>
      <w:r w:rsidR="00431859">
        <w:t>n</w:t>
      </w:r>
      <w:r>
        <w:t xml:space="preserve">el </w:t>
      </w:r>
      <w:r>
        <w:lastRenderedPageBreak/>
        <w:t xml:space="preserve">2012 al 5,2% </w:t>
      </w:r>
      <w:r w:rsidR="00431859">
        <w:t>n</w:t>
      </w:r>
      <w:r>
        <w:t>el 2023.</w:t>
      </w:r>
      <w:r w:rsidR="002B53AC">
        <w:t xml:space="preserve"> </w:t>
      </w:r>
      <w:r w:rsidR="002B53AC" w:rsidRPr="00127CD0">
        <w:rPr>
          <w:rFonts w:cstheme="minorHAnsi"/>
        </w:rPr>
        <w:t xml:space="preserve">Se la spesa </w:t>
      </w:r>
      <w:r w:rsidR="007C60EC">
        <w:rPr>
          <w:rFonts w:cstheme="minorHAnsi"/>
        </w:rPr>
        <w:t xml:space="preserve">percentuale </w:t>
      </w:r>
      <w:r w:rsidR="002B53AC">
        <w:rPr>
          <w:rFonts w:cstheme="minorHAnsi"/>
        </w:rPr>
        <w:t xml:space="preserve">si fosse mantenuta </w:t>
      </w:r>
      <w:r w:rsidR="002B53AC" w:rsidRPr="00127CD0">
        <w:rPr>
          <w:rFonts w:cstheme="minorHAnsi"/>
        </w:rPr>
        <w:t xml:space="preserve">ai livelli del 2012, negli ultimi 11 anni </w:t>
      </w:r>
      <w:r w:rsidR="007C60EC">
        <w:rPr>
          <w:rFonts w:cstheme="minorHAnsi"/>
        </w:rPr>
        <w:t xml:space="preserve">il personale convenzionato </w:t>
      </w:r>
      <w:r w:rsidR="002B53AC">
        <w:rPr>
          <w:rFonts w:cstheme="minorHAnsi"/>
        </w:rPr>
        <w:t xml:space="preserve">non </w:t>
      </w:r>
      <w:r w:rsidR="007C60EC">
        <w:rPr>
          <w:rFonts w:cstheme="minorHAnsi"/>
        </w:rPr>
        <w:t>avrebbe perso</w:t>
      </w:r>
      <w:r w:rsidR="002B53AC">
        <w:rPr>
          <w:rFonts w:cstheme="minorHAnsi"/>
        </w:rPr>
        <w:t xml:space="preserve"> </w:t>
      </w:r>
      <w:r w:rsidR="002B53AC" w:rsidRPr="00127CD0">
        <w:rPr>
          <w:rFonts w:cstheme="minorHAnsi"/>
        </w:rPr>
        <w:t xml:space="preserve">€ </w:t>
      </w:r>
      <w:r w:rsidR="002B53AC">
        <w:rPr>
          <w:rFonts w:cstheme="minorHAnsi"/>
        </w:rPr>
        <w:t>4,93</w:t>
      </w:r>
      <w:r w:rsidR="002B53AC" w:rsidRPr="00127CD0">
        <w:rPr>
          <w:rFonts w:cstheme="minorHAnsi"/>
        </w:rPr>
        <w:t xml:space="preserve"> miliardi, di cui € </w:t>
      </w:r>
      <w:r w:rsidR="002B53AC">
        <w:rPr>
          <w:rFonts w:cstheme="minorHAnsi"/>
        </w:rPr>
        <w:t>3</w:t>
      </w:r>
      <w:r w:rsidR="002B53AC" w:rsidRPr="00127CD0">
        <w:rPr>
          <w:rFonts w:cstheme="minorHAnsi"/>
        </w:rPr>
        <w:t>,</w:t>
      </w:r>
      <w:r w:rsidR="002B53AC">
        <w:rPr>
          <w:rFonts w:cstheme="minorHAnsi"/>
        </w:rPr>
        <w:t>49</w:t>
      </w:r>
      <w:r w:rsidR="002B53AC" w:rsidRPr="00127CD0">
        <w:rPr>
          <w:rFonts w:cstheme="minorHAnsi"/>
        </w:rPr>
        <w:t xml:space="preserve"> miliardi tra il 2020 e il 2023.</w:t>
      </w:r>
      <w:r w:rsidR="002B53AC">
        <w:rPr>
          <w:rFonts w:cstheme="minorHAnsi"/>
        </w:rPr>
        <w:t xml:space="preserve"> </w:t>
      </w:r>
      <w:r>
        <w:t>(</w:t>
      </w:r>
      <w:r w:rsidRPr="00D61334">
        <w:rPr>
          <w:highlight w:val="yellow"/>
        </w:rPr>
        <w:t>figura 10</w:t>
      </w:r>
      <w:r>
        <w:t xml:space="preserve">).  </w:t>
      </w:r>
      <w:r w:rsidRPr="00A73F36">
        <w:t>«</w:t>
      </w:r>
      <w:r>
        <w:t xml:space="preserve">Questo trend – spiega Cartabellotta – </w:t>
      </w:r>
      <w:r w:rsidR="00431859">
        <w:t xml:space="preserve">riflette </w:t>
      </w:r>
      <w:r>
        <w:t xml:space="preserve">da un lato la progressiva riduzione del numero dei MMG in attività, dall’altro </w:t>
      </w:r>
      <w:r w:rsidR="00776C47">
        <w:t xml:space="preserve">dimostra </w:t>
      </w:r>
      <w:r w:rsidR="00431859">
        <w:t>come</w:t>
      </w:r>
      <w:r w:rsidR="006B4A58">
        <w:t xml:space="preserve">, analogamente al personale dipendente, il sottofinanziamento del SSN </w:t>
      </w:r>
      <w:r w:rsidR="00431859">
        <w:t>sia</w:t>
      </w:r>
      <w:r w:rsidR="006B4A58">
        <w:t xml:space="preserve"> stato scaricato in larga misura sul personale sanitario</w:t>
      </w:r>
      <w:r>
        <w:t>».</w:t>
      </w:r>
    </w:p>
    <w:p w14:paraId="32DB8FAE" w14:textId="009FECE8" w:rsidR="00431859" w:rsidRDefault="00EE1632" w:rsidP="00256137">
      <w:pPr>
        <w:spacing w:after="120"/>
        <w:jc w:val="both"/>
      </w:pPr>
      <w:r>
        <w:rPr>
          <w:b/>
          <w:bCs/>
        </w:rPr>
        <w:t xml:space="preserve">LA </w:t>
      </w:r>
      <w:r w:rsidR="00D84CF9" w:rsidRPr="00D84CF9">
        <w:rPr>
          <w:b/>
          <w:bCs/>
        </w:rPr>
        <w:t>RIFORMA</w:t>
      </w:r>
      <w:r w:rsidR="00BC11B0">
        <w:t xml:space="preserve">. </w:t>
      </w:r>
      <w:r w:rsidR="005B0F08">
        <w:t>Alla crisi della medicina generale</w:t>
      </w:r>
      <w:r w:rsidR="00431859">
        <w:t>,</w:t>
      </w:r>
      <w:r w:rsidR="005B0F08">
        <w:t xml:space="preserve"> </w:t>
      </w:r>
      <w:r w:rsidR="00B3280C">
        <w:t xml:space="preserve">oggi </w:t>
      </w:r>
      <w:r w:rsidR="005B0F08">
        <w:t xml:space="preserve">la politica intende rispondere con una riforma radicale. Governo e Regioni concordano sulla necessità di </w:t>
      </w:r>
      <w:r w:rsidR="00431859">
        <w:t xml:space="preserve">passare </w:t>
      </w:r>
      <w:r w:rsidR="005B0F08">
        <w:t>dal rapporto di convenzione a quello di dipendenza per i MMG</w:t>
      </w:r>
      <w:r w:rsidR="00B3280C">
        <w:t>, con l’obiettivo primario di garantir</w:t>
      </w:r>
      <w:r w:rsidR="00431859">
        <w:t>n</w:t>
      </w:r>
      <w:r w:rsidR="00B3280C">
        <w:t>e la presenza nelle Case di Comunità e negli altri servizi della ASL</w:t>
      </w:r>
      <w:r w:rsidR="005B0F08">
        <w:t xml:space="preserve">. </w:t>
      </w:r>
      <w:r w:rsidR="005B0F08" w:rsidRPr="00A73F36">
        <w:t>«</w:t>
      </w:r>
      <w:r w:rsidR="005B0F08">
        <w:t xml:space="preserve">Eppure – spiega Cartabellotta – non </w:t>
      </w:r>
      <w:r w:rsidR="00BB0AAF">
        <w:t xml:space="preserve">è stata condotta </w:t>
      </w:r>
      <w:r w:rsidR="005B0F08">
        <w:t xml:space="preserve">alcuna valutazione di impatto </w:t>
      </w:r>
      <w:r w:rsidR="00431859">
        <w:t>che dimostri l’efficacia di questa</w:t>
      </w:r>
      <w:r w:rsidR="005B0F08">
        <w:t xml:space="preserve"> soluzione: un</w:t>
      </w:r>
      <w:r w:rsidR="00431859">
        <w:t>’analisi approfondita dovrebbe considerare</w:t>
      </w:r>
      <w:r w:rsidR="005B0F08">
        <w:t xml:space="preserve"> </w:t>
      </w:r>
      <w:r w:rsidR="00431859">
        <w:t>gli effetti</w:t>
      </w:r>
      <w:r w:rsidR="005B0F08">
        <w:t xml:space="preserve"> economic</w:t>
      </w:r>
      <w:r w:rsidR="00431859">
        <w:t>i</w:t>
      </w:r>
      <w:r w:rsidR="005B0F08">
        <w:t>, contributiv</w:t>
      </w:r>
      <w:r w:rsidR="00431859">
        <w:t>i</w:t>
      </w:r>
      <w:r w:rsidR="005B0F08">
        <w:t>, organizzativ</w:t>
      </w:r>
      <w:r w:rsidR="00431859">
        <w:t>i</w:t>
      </w:r>
      <w:r w:rsidR="005B0F08">
        <w:t xml:space="preserve"> e professional</w:t>
      </w:r>
      <w:r w:rsidR="00431859">
        <w:t>i</w:t>
      </w:r>
      <w:r w:rsidR="006B4A58">
        <w:t xml:space="preserve"> di una riforma di </w:t>
      </w:r>
      <w:r w:rsidR="00431859">
        <w:t>tale portata</w:t>
      </w:r>
      <w:r w:rsidR="005B0F08">
        <w:t>». Se da un lato è pienamente condivisibile l’istituzione di una scuola di specializzazione in Medicina Generale, per allinear</w:t>
      </w:r>
      <w:r w:rsidR="00431859">
        <w:t>la</w:t>
      </w:r>
      <w:r w:rsidR="005B0F08">
        <w:t xml:space="preserve"> </w:t>
      </w:r>
      <w:r w:rsidR="00431859">
        <w:t>alle altre discipline</w:t>
      </w:r>
      <w:r w:rsidR="005B0F08">
        <w:t xml:space="preserve"> mediche, dall’altro è indispensabile un ripensamento globale del ruolo del MMG nel SSN</w:t>
      </w:r>
      <w:r w:rsidR="00431859">
        <w:t>. Un cambiamento</w:t>
      </w:r>
      <w:r w:rsidR="005B0F08">
        <w:t xml:space="preserve"> che, al di là della riforma dell’assistenza territoriale prevista dal PNRR, non può essere </w:t>
      </w:r>
      <w:r w:rsidR="00431859">
        <w:t xml:space="preserve">ridotto alla </w:t>
      </w:r>
      <w:r w:rsidR="005B0F08">
        <w:t xml:space="preserve">dicotomia </w:t>
      </w:r>
      <w:r w:rsidR="00431859">
        <w:t>tra</w:t>
      </w:r>
      <w:r w:rsidR="005B0F08">
        <w:t xml:space="preserve"> dipendenza </w:t>
      </w:r>
      <w:r w:rsidR="00431859">
        <w:t xml:space="preserve">e </w:t>
      </w:r>
      <w:r w:rsidR="005B0F08">
        <w:t>conve</w:t>
      </w:r>
      <w:r w:rsidR="00CE7BE9">
        <w:t>n</w:t>
      </w:r>
      <w:r w:rsidR="005B0F08">
        <w:t xml:space="preserve">zione. </w:t>
      </w:r>
      <w:r w:rsidR="005B0F08" w:rsidRPr="00A73F36">
        <w:t>«</w:t>
      </w:r>
      <w:r w:rsidR="005B0F08">
        <w:t xml:space="preserve">Ancor più perché – </w:t>
      </w:r>
      <w:r w:rsidR="00431859">
        <w:t xml:space="preserve">aggiunge </w:t>
      </w:r>
      <w:r w:rsidR="005B0F08">
        <w:t xml:space="preserve">il Presidente – </w:t>
      </w:r>
      <w:r w:rsidR="00431859">
        <w:t>i diretti interessati hanno appreso della riforma solo</w:t>
      </w:r>
      <w:r w:rsidR="005B0F08">
        <w:t xml:space="preserve"> tramite indiscrezioni di stampa</w:t>
      </w:r>
      <w:r w:rsidR="00431859">
        <w:t>,</w:t>
      </w:r>
      <w:r w:rsidR="005B0F08">
        <w:t xml:space="preserve"> senza alcun coinvolgimento </w:t>
      </w:r>
      <w:r w:rsidR="00431859">
        <w:t>istituzionale</w:t>
      </w:r>
      <w:r w:rsidR="005B0F08">
        <w:t xml:space="preserve">. </w:t>
      </w:r>
      <w:r w:rsidR="00431859">
        <w:t>Un avvio</w:t>
      </w:r>
      <w:r w:rsidR="005B0F08">
        <w:t xml:space="preserve"> nel peggiore dei modi, </w:t>
      </w:r>
      <w:r w:rsidR="00431859">
        <w:t>che la rende già un</w:t>
      </w:r>
      <w:r w:rsidR="005B0F08">
        <w:t xml:space="preserve"> fallimento annunciato».</w:t>
      </w:r>
    </w:p>
    <w:p w14:paraId="5F25EAC9" w14:textId="71BEE7F0" w:rsidR="00BB0AAF" w:rsidRDefault="00C306FC" w:rsidP="00BB0AAF">
      <w:pPr>
        <w:spacing w:after="120"/>
        <w:jc w:val="both"/>
      </w:pPr>
      <w:r>
        <w:t xml:space="preserve">Errori di programmazione e politiche sindacali </w:t>
      </w:r>
      <w:r w:rsidR="00BB0AAF">
        <w:t xml:space="preserve">hanno </w:t>
      </w:r>
      <w:r w:rsidR="008714B6">
        <w:t>inizialmente determinato</w:t>
      </w:r>
      <w:r w:rsidR="0021685B">
        <w:t xml:space="preserve"> </w:t>
      </w:r>
      <w:r w:rsidR="008714B6">
        <w:t xml:space="preserve">la </w:t>
      </w:r>
      <w:r w:rsidRPr="00C306FC">
        <w:t>progressiva carenza di MMG</w:t>
      </w:r>
      <w:r w:rsidR="0021685B">
        <w:t xml:space="preserve">, impedendo </w:t>
      </w:r>
      <w:r>
        <w:t xml:space="preserve">di </w:t>
      </w:r>
      <w:r w:rsidRPr="00714FA6">
        <w:t xml:space="preserve">bilanciare pensionamenti attesi e </w:t>
      </w:r>
      <w:r>
        <w:t xml:space="preserve">numero di </w:t>
      </w:r>
      <w:r w:rsidRPr="00714FA6">
        <w:t>borse di studio</w:t>
      </w:r>
      <w:r>
        <w:t xml:space="preserve">. </w:t>
      </w:r>
      <w:r w:rsidR="00BB0AAF">
        <w:t xml:space="preserve">Nel tempo, </w:t>
      </w:r>
      <w:r>
        <w:t>la professione è diventata sempre meno attrattiva per i giovani</w:t>
      </w:r>
      <w:r w:rsidR="0021685B">
        <w:t>,</w:t>
      </w:r>
      <w:r w:rsidR="00A4498E">
        <w:t xml:space="preserve"> che</w:t>
      </w:r>
      <w:r>
        <w:t xml:space="preserve"> </w:t>
      </w:r>
      <w:r w:rsidR="00A4498E">
        <w:t xml:space="preserve">non solo </w:t>
      </w:r>
      <w:r>
        <w:t>abbandon</w:t>
      </w:r>
      <w:r w:rsidR="00A4498E">
        <w:t>ano</w:t>
      </w:r>
      <w:r>
        <w:t xml:space="preserve"> </w:t>
      </w:r>
      <w:r w:rsidR="00A4498E">
        <w:t xml:space="preserve">in itinere il </w:t>
      </w:r>
      <w:r>
        <w:t>corso di formazione</w:t>
      </w:r>
      <w:r w:rsidR="0021685B">
        <w:t>,</w:t>
      </w:r>
      <w:r>
        <w:t xml:space="preserve"> </w:t>
      </w:r>
      <w:r w:rsidR="00A4498E">
        <w:t>ma</w:t>
      </w:r>
      <w:r w:rsidR="00367AB2">
        <w:t xml:space="preserve"> </w:t>
      </w:r>
      <w:r w:rsidR="00BB0AAF">
        <w:t>sempre più spesso</w:t>
      </w:r>
      <w:r w:rsidR="00367AB2">
        <w:t xml:space="preserve"> non </w:t>
      </w:r>
      <w:r w:rsidR="00B3280C">
        <w:t xml:space="preserve">partecipano </w:t>
      </w:r>
      <w:r w:rsidR="00367AB2">
        <w:t xml:space="preserve">nemmeno </w:t>
      </w:r>
      <w:r w:rsidR="00B3280C">
        <w:t>al bando</w:t>
      </w:r>
      <w:r>
        <w:t xml:space="preserve">. </w:t>
      </w:r>
      <w:r w:rsidR="00367AB2">
        <w:t>In questo contesto, l</w:t>
      </w:r>
      <w:r w:rsidR="0021685B">
        <w:t xml:space="preserve">e </w:t>
      </w:r>
      <w:r>
        <w:t xml:space="preserve">soluzioni </w:t>
      </w:r>
      <w:r w:rsidR="0021685B">
        <w:t>adottate</w:t>
      </w:r>
      <w:r>
        <w:t xml:space="preserve"> </w:t>
      </w:r>
      <w:r w:rsidR="0021685B">
        <w:t>si sono rivelate insufficienti,</w:t>
      </w:r>
      <w:r w:rsidR="00782F53">
        <w:t xml:space="preserve"> perché </w:t>
      </w:r>
      <w:r>
        <w:t xml:space="preserve">non hanno risolto il problema alla radice: </w:t>
      </w:r>
      <w:r w:rsidR="00460012" w:rsidRPr="00714FA6">
        <w:t>innalzamento dell</w:t>
      </w:r>
      <w:r w:rsidR="00A12ECA" w:rsidRPr="00714FA6">
        <w:t>’età pensionabile a 72 anni</w:t>
      </w:r>
      <w:r w:rsidR="00460012" w:rsidRPr="00714FA6">
        <w:t xml:space="preserve">, </w:t>
      </w:r>
      <w:r w:rsidR="00782F53" w:rsidRPr="00714FA6">
        <w:t xml:space="preserve">deroghe </w:t>
      </w:r>
      <w:r w:rsidR="00782F53">
        <w:t>sull’</w:t>
      </w:r>
      <w:r w:rsidR="00782F53" w:rsidRPr="00714FA6">
        <w:t>aumento del massimal</w:t>
      </w:r>
      <w:r w:rsidR="00782F53">
        <w:t>e,</w:t>
      </w:r>
      <w:r w:rsidR="0021685B">
        <w:t xml:space="preserve"> e </w:t>
      </w:r>
      <w:r w:rsidR="00460012" w:rsidRPr="00714FA6">
        <w:t xml:space="preserve">possibilità per gli </w:t>
      </w:r>
      <w:r w:rsidR="00A12ECA" w:rsidRPr="00714FA6">
        <w:t xml:space="preserve">iscritti al Corso di Formazione in Medicina Generale di acquisire sino a 1.000 </w:t>
      </w:r>
      <w:r w:rsidR="00460012" w:rsidRPr="00714FA6">
        <w:t>assistiti</w:t>
      </w:r>
      <w:r w:rsidR="00A12ECA" w:rsidRPr="00714FA6">
        <w:t xml:space="preserve">. </w:t>
      </w:r>
    </w:p>
    <w:p w14:paraId="7605DB05" w14:textId="4656C54A" w:rsidR="008B00E3" w:rsidRDefault="006B4A58" w:rsidP="008B00E3">
      <w:pPr>
        <w:spacing w:after="120"/>
        <w:jc w:val="both"/>
      </w:pPr>
      <w:r w:rsidRPr="00714FA6">
        <w:t>«</w:t>
      </w:r>
      <w:r>
        <w:t>I</w:t>
      </w:r>
      <w:r w:rsidR="00782F53">
        <w:t xml:space="preserve">l timore </w:t>
      </w:r>
      <w:r w:rsidRPr="00714FA6">
        <w:t>– conclude Cartabellotta –</w:t>
      </w:r>
      <w:r>
        <w:t xml:space="preserve"> </w:t>
      </w:r>
      <w:r w:rsidR="0021685B">
        <w:t xml:space="preserve">è </w:t>
      </w:r>
      <w:r w:rsidR="00782F53">
        <w:t xml:space="preserve">che </w:t>
      </w:r>
      <w:r>
        <w:t>dalla</w:t>
      </w:r>
      <w:r w:rsidR="00782F53">
        <w:t xml:space="preserve"> mancata programmazione</w:t>
      </w:r>
      <w:r>
        <w:t xml:space="preserve"> il problema si </w:t>
      </w:r>
      <w:r w:rsidR="0021685B">
        <w:t>sia</w:t>
      </w:r>
      <w:r>
        <w:t xml:space="preserve"> spostato sulla </w:t>
      </w:r>
      <w:r w:rsidR="00B3280C">
        <w:t xml:space="preserve">scarsa </w:t>
      </w:r>
      <w:r w:rsidR="008B00E3">
        <w:t>attrattività della professione</w:t>
      </w:r>
      <w:r w:rsidR="00782F53">
        <w:t>.</w:t>
      </w:r>
      <w:r w:rsidR="008B00E3">
        <w:t xml:space="preserve"> Per </w:t>
      </w:r>
      <w:r w:rsidR="00A90BF1">
        <w:t xml:space="preserve">attuare </w:t>
      </w:r>
      <w:r w:rsidR="00782F53">
        <w:t xml:space="preserve">l’agognata riforma </w:t>
      </w:r>
      <w:r w:rsidR="00782F53" w:rsidRPr="00714FA6">
        <w:t>dell’assistenza territoriale prevista dal PNRR (Case di comunità, Ospedali di Comunità, assistenza domiciliare, telemedicina)</w:t>
      </w:r>
      <w:r w:rsidR="0021685B">
        <w:t>,</w:t>
      </w:r>
      <w:r w:rsidR="00A90BF1">
        <w:t xml:space="preserve"> </w:t>
      </w:r>
      <w:r w:rsidR="0021685B">
        <w:t>si punta su un cambiamento tanto radicale quanto poco realistico</w:t>
      </w:r>
      <w:r w:rsidR="00782F53">
        <w:t xml:space="preserve"> per </w:t>
      </w:r>
      <w:r w:rsidR="008B00E3">
        <w:t xml:space="preserve">colmare </w:t>
      </w:r>
      <w:r w:rsidR="0021685B">
        <w:t>la</w:t>
      </w:r>
      <w:r w:rsidR="00782F53">
        <w:t xml:space="preserve"> carenza di medici di famiglia</w:t>
      </w:r>
      <w:r w:rsidR="00456533">
        <w:t xml:space="preserve">. Una riforma </w:t>
      </w:r>
      <w:r w:rsidR="0021685B">
        <w:t xml:space="preserve">così </w:t>
      </w:r>
      <w:r w:rsidR="00456533">
        <w:t>complessa</w:t>
      </w:r>
      <w:r w:rsidR="007072CA">
        <w:t xml:space="preserve">, oltre </w:t>
      </w:r>
      <w:r w:rsidR="0021685B">
        <w:t xml:space="preserve">a richiedere una </w:t>
      </w:r>
      <w:r w:rsidR="007072CA">
        <w:t>valutazione d’impatto, necessita di un</w:t>
      </w:r>
      <w:r w:rsidR="00456533">
        <w:t xml:space="preserve"> coinvolgimento diretto delle parti in causa. Nel frattempo, se la professione di </w:t>
      </w:r>
      <w:r w:rsidR="0021685B">
        <w:t xml:space="preserve">MMG continuerà a perdere </w:t>
      </w:r>
      <w:r w:rsidR="008B00E3" w:rsidRPr="008714B6">
        <w:rPr>
          <w:iCs/>
        </w:rPr>
        <w:t>appeal</w:t>
      </w:r>
      <w:r w:rsidR="00456533">
        <w:t xml:space="preserve">, il rischio concreto è </w:t>
      </w:r>
      <w:r w:rsidR="00BC11B0" w:rsidRPr="00714FA6">
        <w:t>lasc</w:t>
      </w:r>
      <w:r w:rsidR="00BC11B0">
        <w:t xml:space="preserve">iare </w:t>
      </w:r>
      <w:r w:rsidR="00BC11B0" w:rsidRPr="00714FA6">
        <w:t>milioni di persone</w:t>
      </w:r>
      <w:r w:rsidR="0021685B">
        <w:t xml:space="preserve"> senza medico di famiglia</w:t>
      </w:r>
      <w:r w:rsidR="00BC11B0">
        <w:t xml:space="preserve">, peggiorare </w:t>
      </w:r>
      <w:r w:rsidR="00BC11B0" w:rsidRPr="00714FA6">
        <w:t>l</w:t>
      </w:r>
      <w:r w:rsidR="00BC11B0">
        <w:t xml:space="preserve">a qualità </w:t>
      </w:r>
      <w:r w:rsidR="00BC11B0" w:rsidRPr="00714FA6">
        <w:t xml:space="preserve">dell’assistenza territoriale e </w:t>
      </w:r>
      <w:r w:rsidR="00BC11B0">
        <w:t xml:space="preserve">compromettere </w:t>
      </w:r>
      <w:r w:rsidR="00BC11B0" w:rsidRPr="00714FA6">
        <w:t xml:space="preserve">la salute delle persone, </w:t>
      </w:r>
      <w:r w:rsidR="00BF2B4A">
        <w:t xml:space="preserve">soprattutto dei </w:t>
      </w:r>
      <w:r w:rsidR="0021685B">
        <w:t>più</w:t>
      </w:r>
      <w:r w:rsidR="00BC11B0">
        <w:t xml:space="preserve"> </w:t>
      </w:r>
      <w:r w:rsidR="00BC11B0" w:rsidRPr="00714FA6">
        <w:t>anziani e fragili</w:t>
      </w:r>
      <w:r>
        <w:t xml:space="preserve">. Oltre, ovviamente, a legittimare il flop della riforma </w:t>
      </w:r>
      <w:r w:rsidR="00411DEB">
        <w:t>prevista dal</w:t>
      </w:r>
      <w:r>
        <w:t xml:space="preserve"> PNRR</w:t>
      </w:r>
      <w:r w:rsidR="0021685B">
        <w:t>,</w:t>
      </w:r>
      <w:r>
        <w:t xml:space="preserve"> per la quale abbiamo indebitato le generazioni future</w:t>
      </w:r>
      <w:r w:rsidR="00456533" w:rsidRPr="00714FA6">
        <w:t>»</w:t>
      </w:r>
      <w:r w:rsidR="00EE1CCE">
        <w:t>.</w:t>
      </w:r>
    </w:p>
    <w:p w14:paraId="4A3C8B45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0FB7A678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1379F940" w14:textId="77777777" w:rsidR="001E3647" w:rsidRPr="006B4075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2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495BD3CE" w14:textId="77777777" w:rsidR="004156A9" w:rsidRDefault="004156A9">
      <w:pPr>
        <w:rPr>
          <w:rFonts w:cstheme="minorHAnsi"/>
        </w:rPr>
      </w:pPr>
      <w:bookmarkStart w:id="0" w:name="_Hlk132374043"/>
      <w:r>
        <w:rPr>
          <w:rFonts w:cstheme="minorHAnsi"/>
        </w:rPr>
        <w:br w:type="page"/>
      </w:r>
      <w:bookmarkStart w:id="1" w:name="_GoBack"/>
      <w:bookmarkEnd w:id="1"/>
    </w:p>
    <w:bookmarkEnd w:id="0"/>
    <w:p w14:paraId="4AE7429C" w14:textId="20B9B937" w:rsidR="006951B8" w:rsidRPr="001E4D9D" w:rsidRDefault="006951B8" w:rsidP="009E75B1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1. </w:t>
      </w:r>
      <w:r w:rsidR="00EE1CCE">
        <w:rPr>
          <w:rFonts w:cstheme="minorHAnsi"/>
          <w:b/>
          <w:color w:val="00457D"/>
          <w:sz w:val="20"/>
        </w:rPr>
        <w:t>O</w:t>
      </w:r>
      <w:r w:rsidR="009E75B1" w:rsidRPr="001E4D9D">
        <w:rPr>
          <w:rFonts w:cstheme="minorHAnsi"/>
          <w:b/>
          <w:color w:val="00457D"/>
          <w:sz w:val="20"/>
        </w:rPr>
        <w:t>ver</w:t>
      </w:r>
      <w:r w:rsidR="001E4D9D">
        <w:rPr>
          <w:rFonts w:cstheme="minorHAnsi"/>
          <w:b/>
          <w:color w:val="00457D"/>
          <w:sz w:val="20"/>
        </w:rPr>
        <w:t xml:space="preserve"> </w:t>
      </w:r>
      <w:r w:rsidR="009E75B1" w:rsidRPr="001E4D9D">
        <w:rPr>
          <w:rFonts w:cstheme="minorHAnsi"/>
          <w:b/>
          <w:color w:val="00457D"/>
          <w:sz w:val="20"/>
        </w:rPr>
        <w:t xml:space="preserve">65 e over 80 </w:t>
      </w:r>
      <w:r w:rsidR="00EE1CCE">
        <w:rPr>
          <w:rFonts w:cstheme="minorHAnsi"/>
          <w:b/>
          <w:color w:val="00457D"/>
          <w:sz w:val="20"/>
        </w:rPr>
        <w:t xml:space="preserve">sul totale della popolazione </w:t>
      </w:r>
      <w:r w:rsidR="009E75B1" w:rsidRPr="001E4D9D">
        <w:rPr>
          <w:rFonts w:cstheme="minorHAnsi"/>
          <w:b/>
          <w:color w:val="00457D"/>
          <w:sz w:val="20"/>
        </w:rPr>
        <w:t>(dati ISTAT)</w:t>
      </w:r>
    </w:p>
    <w:p w14:paraId="24F34094" w14:textId="77777777" w:rsidR="006951B8" w:rsidRDefault="006951B8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  <w:r>
        <w:rPr>
          <w:noProof/>
          <w:lang w:eastAsia="it-IT"/>
        </w:rPr>
        <w:drawing>
          <wp:inline distT="0" distB="0" distL="0" distR="0" wp14:anchorId="1F0A2FA1" wp14:editId="64D1F067">
            <wp:extent cx="5040000" cy="3273976"/>
            <wp:effectExtent l="0" t="0" r="825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73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12271" w14:textId="77777777" w:rsidR="006951B8" w:rsidRDefault="006951B8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7D93171F" w14:textId="1FDD1DCA" w:rsidR="00057A5B" w:rsidRDefault="00057A5B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24739E">
        <w:rPr>
          <w:rFonts w:cstheme="minorHAnsi"/>
          <w:b/>
          <w:color w:val="00457D"/>
          <w:sz w:val="20"/>
        </w:rPr>
        <w:t xml:space="preserve">Figura </w:t>
      </w:r>
      <w:r w:rsidR="0073280F">
        <w:rPr>
          <w:rFonts w:cstheme="minorHAnsi"/>
          <w:b/>
          <w:color w:val="00457D"/>
          <w:sz w:val="20"/>
        </w:rPr>
        <w:t>2</w:t>
      </w:r>
      <w:r w:rsidRPr="0024739E">
        <w:rPr>
          <w:rFonts w:cstheme="minorHAnsi"/>
          <w:b/>
          <w:color w:val="00457D"/>
          <w:sz w:val="20"/>
        </w:rPr>
        <w:t xml:space="preserve">. Numero di </w:t>
      </w:r>
      <w:r>
        <w:rPr>
          <w:rFonts w:cstheme="minorHAnsi"/>
          <w:b/>
          <w:color w:val="00457D"/>
          <w:sz w:val="20"/>
        </w:rPr>
        <w:t>assistiti</w:t>
      </w:r>
      <w:r w:rsidRPr="0024739E">
        <w:rPr>
          <w:rFonts w:cstheme="minorHAnsi"/>
          <w:b/>
          <w:color w:val="00457D"/>
          <w:sz w:val="20"/>
        </w:rPr>
        <w:t xml:space="preserve"> per MMG</w:t>
      </w:r>
      <w:r w:rsidR="008714B6">
        <w:rPr>
          <w:rFonts w:cstheme="minorHAnsi"/>
          <w:b/>
          <w:color w:val="00457D"/>
          <w:sz w:val="20"/>
        </w:rPr>
        <w:t>,</w:t>
      </w:r>
      <w:r>
        <w:rPr>
          <w:rFonts w:cstheme="minorHAnsi"/>
          <w:b/>
          <w:color w:val="00457D"/>
          <w:sz w:val="20"/>
        </w:rPr>
        <w:t xml:space="preserve"> % sul totale</w:t>
      </w:r>
      <w:r w:rsidR="008714B6">
        <w:rPr>
          <w:rFonts w:cstheme="minorHAnsi"/>
          <w:b/>
          <w:color w:val="00457D"/>
          <w:sz w:val="20"/>
        </w:rPr>
        <w:t>. (dati Ministero della Salute, 2023)</w:t>
      </w:r>
    </w:p>
    <w:p w14:paraId="0EEB0ACF" w14:textId="77777777" w:rsidR="00F954F4" w:rsidRDefault="00F954F4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drawing>
          <wp:inline distT="0" distB="0" distL="0" distR="0" wp14:anchorId="6500931B" wp14:editId="62185E07">
            <wp:extent cx="5040000" cy="3116033"/>
            <wp:effectExtent l="0" t="0" r="8255" b="825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16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A5521" w14:textId="77777777" w:rsidR="00F954F4" w:rsidRDefault="00F954F4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2970BA17" w14:textId="77777777" w:rsidR="0073280F" w:rsidRDefault="0073280F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649FDBCB" w14:textId="352B15FC" w:rsidR="00057A5B" w:rsidRDefault="00057A5B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24739E">
        <w:rPr>
          <w:rFonts w:cstheme="minorHAnsi"/>
          <w:b/>
          <w:color w:val="00457D"/>
          <w:sz w:val="20"/>
        </w:rPr>
        <w:lastRenderedPageBreak/>
        <w:t xml:space="preserve">Figura </w:t>
      </w:r>
      <w:r w:rsidR="0073280F">
        <w:rPr>
          <w:rFonts w:cstheme="minorHAnsi"/>
          <w:b/>
          <w:color w:val="00457D"/>
          <w:sz w:val="20"/>
        </w:rPr>
        <w:t>3</w:t>
      </w:r>
      <w:r w:rsidRPr="0024739E">
        <w:rPr>
          <w:rFonts w:cstheme="minorHAnsi"/>
          <w:b/>
          <w:color w:val="00457D"/>
          <w:sz w:val="20"/>
        </w:rPr>
        <w:t xml:space="preserve">. </w:t>
      </w:r>
      <w:r w:rsidR="00CF4868">
        <w:rPr>
          <w:rFonts w:cstheme="minorHAnsi"/>
          <w:b/>
          <w:color w:val="00457D"/>
          <w:sz w:val="20"/>
        </w:rPr>
        <w:t xml:space="preserve">Percentuale di </w:t>
      </w:r>
      <w:r w:rsidRPr="0024739E">
        <w:rPr>
          <w:rFonts w:cstheme="minorHAnsi"/>
          <w:b/>
          <w:color w:val="00457D"/>
          <w:sz w:val="20"/>
        </w:rPr>
        <w:t>MMG con oltre 1.500 assistiti (</w:t>
      </w:r>
      <w:r w:rsidR="00CF4868">
        <w:rPr>
          <w:rFonts w:cstheme="minorHAnsi"/>
          <w:b/>
          <w:color w:val="00457D"/>
          <w:sz w:val="20"/>
        </w:rPr>
        <w:t>dati Ministero della Salute, anno 2023</w:t>
      </w:r>
      <w:r w:rsidRPr="0024739E">
        <w:rPr>
          <w:rFonts w:cstheme="minorHAnsi"/>
          <w:b/>
          <w:color w:val="00457D"/>
          <w:sz w:val="20"/>
        </w:rPr>
        <w:t>)</w:t>
      </w:r>
    </w:p>
    <w:p w14:paraId="63BFF9F9" w14:textId="77777777" w:rsidR="00F954F4" w:rsidRDefault="00F954F4" w:rsidP="00483C4E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5BDC2FF9" wp14:editId="072A0B0A">
            <wp:extent cx="4680000" cy="3883450"/>
            <wp:effectExtent l="0" t="0" r="635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8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5AFA1" w14:textId="77777777" w:rsidR="00483C4E" w:rsidRDefault="00483C4E" w:rsidP="00483C4E">
      <w:pPr>
        <w:spacing w:after="0"/>
        <w:jc w:val="center"/>
        <w:rPr>
          <w:rFonts w:cstheme="minorHAnsi"/>
          <w:b/>
          <w:color w:val="00457D"/>
          <w:sz w:val="20"/>
          <w:szCs w:val="20"/>
        </w:rPr>
      </w:pPr>
    </w:p>
    <w:p w14:paraId="5BD4F856" w14:textId="3FB4B339" w:rsidR="00057A5B" w:rsidRPr="00057A5B" w:rsidRDefault="00057A5B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24739E">
        <w:rPr>
          <w:rFonts w:cstheme="minorHAnsi"/>
          <w:b/>
          <w:color w:val="00457D"/>
          <w:sz w:val="20"/>
        </w:rPr>
        <w:t xml:space="preserve">Figura </w:t>
      </w:r>
      <w:r w:rsidR="00483C4E">
        <w:rPr>
          <w:rFonts w:cstheme="minorHAnsi"/>
          <w:b/>
          <w:color w:val="00457D"/>
          <w:sz w:val="20"/>
        </w:rPr>
        <w:t>5</w:t>
      </w:r>
      <w:r w:rsidRPr="0024739E">
        <w:rPr>
          <w:rFonts w:cstheme="minorHAnsi"/>
          <w:b/>
          <w:color w:val="00457D"/>
          <w:sz w:val="20"/>
        </w:rPr>
        <w:t>. Numero di borse di studio</w:t>
      </w:r>
      <w:r>
        <w:rPr>
          <w:rFonts w:cstheme="minorHAnsi"/>
          <w:b/>
          <w:color w:val="00457D"/>
          <w:sz w:val="20"/>
        </w:rPr>
        <w:t xml:space="preserve"> </w:t>
      </w:r>
      <w:r w:rsidR="00246EA8">
        <w:rPr>
          <w:rFonts w:cstheme="minorHAnsi"/>
          <w:b/>
          <w:color w:val="00457D"/>
          <w:sz w:val="20"/>
        </w:rPr>
        <w:t xml:space="preserve">finanziate </w:t>
      </w:r>
      <w:r w:rsidRPr="0024739E">
        <w:rPr>
          <w:rFonts w:cstheme="minorHAnsi"/>
          <w:b/>
          <w:color w:val="00457D"/>
          <w:sz w:val="20"/>
        </w:rPr>
        <w:t xml:space="preserve">per il Corso di </w:t>
      </w:r>
      <w:r>
        <w:rPr>
          <w:rFonts w:cstheme="minorHAnsi"/>
          <w:b/>
          <w:color w:val="00457D"/>
          <w:sz w:val="20"/>
        </w:rPr>
        <w:t>F</w:t>
      </w:r>
      <w:r w:rsidRPr="0024739E">
        <w:rPr>
          <w:rFonts w:cstheme="minorHAnsi"/>
          <w:b/>
          <w:color w:val="00457D"/>
          <w:sz w:val="20"/>
        </w:rPr>
        <w:t xml:space="preserve">ormazione </w:t>
      </w:r>
      <w:r>
        <w:rPr>
          <w:rFonts w:cstheme="minorHAnsi"/>
          <w:b/>
          <w:color w:val="00457D"/>
          <w:sz w:val="20"/>
        </w:rPr>
        <w:t>S</w:t>
      </w:r>
      <w:r w:rsidRPr="0024739E">
        <w:rPr>
          <w:rFonts w:cstheme="minorHAnsi"/>
          <w:b/>
          <w:color w:val="00457D"/>
          <w:sz w:val="20"/>
        </w:rPr>
        <w:t>pecifica in Medicina Generale</w:t>
      </w:r>
      <w:r w:rsidR="00CF4868">
        <w:rPr>
          <w:rFonts w:cstheme="minorHAnsi"/>
          <w:b/>
          <w:color w:val="00457D"/>
          <w:sz w:val="20"/>
        </w:rPr>
        <w:br/>
        <w:t>(dati Agenas, MUR)</w:t>
      </w:r>
    </w:p>
    <w:p w14:paraId="1447F3E1" w14:textId="77777777" w:rsidR="00CA78D1" w:rsidRDefault="00F739A3" w:rsidP="00786BC4">
      <w:pPr>
        <w:spacing w:after="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61A574FA" wp14:editId="23858871">
            <wp:extent cx="5040000" cy="2905610"/>
            <wp:effectExtent l="0" t="0" r="825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3C326" w14:textId="77777777" w:rsidR="004D400C" w:rsidRDefault="004D400C" w:rsidP="005916AD">
      <w:pPr>
        <w:jc w:val="center"/>
        <w:rPr>
          <w:rFonts w:cstheme="minorHAnsi"/>
          <w:b/>
          <w:color w:val="00457D"/>
          <w:sz w:val="20"/>
        </w:rPr>
      </w:pPr>
    </w:p>
    <w:p w14:paraId="67918900" w14:textId="77777777" w:rsidR="001E4D9D" w:rsidRDefault="001E4D9D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39425C6D" w14:textId="50F73A1D" w:rsidR="009E2840" w:rsidRPr="004D400C" w:rsidRDefault="005916AD" w:rsidP="005916AD">
      <w:pPr>
        <w:jc w:val="center"/>
        <w:rPr>
          <w:rFonts w:cstheme="minorHAnsi"/>
          <w:b/>
          <w:color w:val="00457D"/>
          <w:sz w:val="20"/>
        </w:rPr>
      </w:pPr>
      <w:r w:rsidRPr="004D400C">
        <w:rPr>
          <w:rFonts w:cstheme="minorHAnsi"/>
          <w:b/>
          <w:color w:val="00457D"/>
          <w:sz w:val="20"/>
        </w:rPr>
        <w:lastRenderedPageBreak/>
        <w:t xml:space="preserve">Tabella 1. </w:t>
      </w:r>
      <w:r w:rsidR="004D400C" w:rsidRPr="004D400C">
        <w:rPr>
          <w:rFonts w:cstheme="minorHAnsi"/>
          <w:b/>
          <w:color w:val="00457D"/>
          <w:sz w:val="20"/>
        </w:rPr>
        <w:t xml:space="preserve">Corso di Formazione Specifica in Medicina Generale </w:t>
      </w:r>
      <w:r w:rsidR="001E4D9D">
        <w:rPr>
          <w:rFonts w:cstheme="minorHAnsi"/>
          <w:b/>
          <w:color w:val="00457D"/>
          <w:sz w:val="20"/>
        </w:rPr>
        <w:t>2024:</w:t>
      </w:r>
      <w:r w:rsidR="001E4D9D" w:rsidRPr="004D400C">
        <w:rPr>
          <w:rFonts w:cstheme="minorHAnsi"/>
          <w:b/>
          <w:color w:val="00457D"/>
          <w:sz w:val="20"/>
        </w:rPr>
        <w:t>n</w:t>
      </w:r>
      <w:r w:rsidR="001E4D9D">
        <w:rPr>
          <w:rFonts w:cstheme="minorHAnsi"/>
          <w:b/>
          <w:color w:val="00457D"/>
          <w:sz w:val="20"/>
        </w:rPr>
        <w:t xml:space="preserve">. </w:t>
      </w:r>
      <w:r w:rsidR="001E4D9D" w:rsidRPr="004D400C">
        <w:rPr>
          <w:rFonts w:cstheme="minorHAnsi"/>
          <w:b/>
          <w:color w:val="00457D"/>
          <w:sz w:val="20"/>
        </w:rPr>
        <w:t xml:space="preserve">di partecipanti al </w:t>
      </w:r>
      <w:r w:rsidR="001E4D9D">
        <w:rPr>
          <w:rFonts w:cstheme="minorHAnsi"/>
          <w:b/>
          <w:color w:val="00457D"/>
          <w:sz w:val="20"/>
        </w:rPr>
        <w:t>bando</w:t>
      </w:r>
      <w:r w:rsidR="001E4D9D" w:rsidRPr="004D400C">
        <w:rPr>
          <w:rFonts w:cstheme="minorHAnsi"/>
          <w:b/>
          <w:color w:val="00457D"/>
          <w:sz w:val="20"/>
        </w:rPr>
        <w:t xml:space="preserve"> </w:t>
      </w:r>
      <w:r w:rsidR="00743D67">
        <w:rPr>
          <w:rFonts w:cstheme="minorHAnsi"/>
          <w:b/>
          <w:color w:val="00457D"/>
          <w:sz w:val="20"/>
        </w:rPr>
        <w:t>vs</w:t>
      </w:r>
      <w:r w:rsidR="004D400C" w:rsidRPr="004D400C">
        <w:rPr>
          <w:rFonts w:cstheme="minorHAnsi"/>
          <w:b/>
          <w:color w:val="00457D"/>
          <w:sz w:val="20"/>
        </w:rPr>
        <w:t xml:space="preserve"> </w:t>
      </w:r>
      <w:r w:rsidR="001E4D9D">
        <w:rPr>
          <w:rFonts w:cstheme="minorHAnsi"/>
          <w:b/>
          <w:color w:val="00457D"/>
          <w:sz w:val="20"/>
        </w:rPr>
        <w:t>n.</w:t>
      </w:r>
      <w:r w:rsidR="004D400C" w:rsidRPr="004D400C">
        <w:rPr>
          <w:rFonts w:cstheme="minorHAnsi"/>
          <w:b/>
          <w:color w:val="00457D"/>
          <w:sz w:val="20"/>
        </w:rPr>
        <w:t xml:space="preserve"> di borse finanziate</w:t>
      </w:r>
      <w:r w:rsidR="008D63DE">
        <w:rPr>
          <w:rFonts w:cstheme="minorHAnsi"/>
          <w:b/>
          <w:color w:val="00457D"/>
          <w:sz w:val="20"/>
        </w:rPr>
        <w:br/>
        <w:t xml:space="preserve">(dati </w:t>
      </w:r>
      <w:r w:rsidR="008D63DE" w:rsidRPr="008D63DE">
        <w:rPr>
          <w:rFonts w:cstheme="minorHAnsi"/>
          <w:b/>
          <w:color w:val="00457D"/>
          <w:sz w:val="20"/>
        </w:rPr>
        <w:t>Ministero della Salute</w:t>
      </w:r>
      <w:r w:rsidR="008D63DE">
        <w:rPr>
          <w:rFonts w:cstheme="minorHAnsi"/>
          <w:b/>
          <w:color w:val="00457D"/>
          <w:sz w:val="20"/>
        </w:rPr>
        <w:t xml:space="preserve">, </w:t>
      </w:r>
      <w:r w:rsidR="008D63DE" w:rsidRPr="008D63DE">
        <w:rPr>
          <w:rFonts w:cstheme="minorHAnsi"/>
          <w:b/>
          <w:color w:val="00457D"/>
          <w:sz w:val="20"/>
        </w:rPr>
        <w:t>Provincia Autonoma di Bolzano</w:t>
      </w:r>
      <w:r w:rsidR="008D63DE">
        <w:rPr>
          <w:rFonts w:cstheme="minorHAnsi"/>
          <w:b/>
          <w:color w:val="00457D"/>
          <w:sz w:val="20"/>
        </w:rPr>
        <w:t>)</w:t>
      </w:r>
    </w:p>
    <w:tbl>
      <w:tblPr>
        <w:tblW w:w="4957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8"/>
        <w:gridCol w:w="1349"/>
      </w:tblGrid>
      <w:tr w:rsidR="004D400C" w:rsidRPr="004D400C" w14:paraId="0E3166C8" w14:textId="77777777" w:rsidTr="004D400C">
        <w:trPr>
          <w:trHeight w:val="329"/>
          <w:jc w:val="center"/>
        </w:trPr>
        <w:tc>
          <w:tcPr>
            <w:tcW w:w="2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41E09059" w14:textId="77777777" w:rsidR="004D400C" w:rsidRPr="004D400C" w:rsidRDefault="00C34D62" w:rsidP="005916A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Regione</w:t>
            </w:r>
          </w:p>
        </w:tc>
        <w:tc>
          <w:tcPr>
            <w:tcW w:w="13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F0E7C7F" w14:textId="77777777" w:rsidR="004D400C" w:rsidRPr="004D400C" w:rsidRDefault="004D400C" w:rsidP="00591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Differenza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9CB0FFE" w14:textId="77777777" w:rsidR="004D400C" w:rsidRPr="004D400C" w:rsidRDefault="004D400C" w:rsidP="00591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 xml:space="preserve">Differenza </w:t>
            </w:r>
            <w:r w:rsidRPr="004D400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%</w:t>
            </w:r>
          </w:p>
        </w:tc>
      </w:tr>
      <w:tr w:rsidR="009968A0" w:rsidRPr="004D400C" w14:paraId="544484F9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1840C287" w14:textId="2F153B09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Marche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07736D8B" w14:textId="34AF7637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-106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23E1F52" w14:textId="031EC21D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-68%</w:t>
            </w:r>
          </w:p>
        </w:tc>
      </w:tr>
      <w:tr w:rsidR="009968A0" w:rsidRPr="004D400C" w14:paraId="2A8B9796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63AE2BC8" w14:textId="5FA60468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Molise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2BD28401" w14:textId="57117076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61EE6DD" w14:textId="4C822A63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-67%</w:t>
            </w:r>
          </w:p>
        </w:tc>
      </w:tr>
      <w:tr w:rsidR="009968A0" w:rsidRPr="004D400C" w14:paraId="5B97B3CC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48430D2A" w14:textId="1299EFCD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Prov. Aut. di Bolzano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4F5CDC86" w14:textId="009E1A1F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884D978" w14:textId="1E4ACCCD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-57%</w:t>
            </w:r>
          </w:p>
        </w:tc>
      </w:tr>
      <w:tr w:rsidR="009968A0" w:rsidRPr="004D400C" w14:paraId="16A24572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65D985D4" w14:textId="24F7FB5E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Lombardia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64F0055B" w14:textId="523F4FAD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-227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70A711D" w14:textId="7FAB5870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-45%</w:t>
            </w:r>
          </w:p>
        </w:tc>
      </w:tr>
      <w:tr w:rsidR="009968A0" w:rsidRPr="004D400C" w14:paraId="172DD10A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6A4EED12" w14:textId="441CF493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Liguria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70E9B064" w14:textId="0C54DE32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-28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020D8E6" w14:textId="6C519D54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-42%</w:t>
            </w:r>
          </w:p>
        </w:tc>
      </w:tr>
      <w:tr w:rsidR="009968A0" w:rsidRPr="004D400C" w14:paraId="73F32CCB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53B92C2C" w14:textId="2F9E28A0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Veneto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01E06F07" w14:textId="6DC50276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-102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1A100742" w14:textId="1FC2B278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-41%</w:t>
            </w:r>
          </w:p>
        </w:tc>
      </w:tr>
      <w:tr w:rsidR="009968A0" w:rsidRPr="004D400C" w14:paraId="7AAECC76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530A52F8" w14:textId="7FEF6844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Prov. Aut. di Trento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4E1DCB3C" w14:textId="2E011384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80AA026" w14:textId="6288DF69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-40%</w:t>
            </w:r>
          </w:p>
        </w:tc>
      </w:tr>
      <w:tr w:rsidR="009968A0" w:rsidRPr="004D400C" w14:paraId="264E4F07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1EE6B1F9" w14:textId="012566AF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Toscana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13464E8A" w14:textId="5BE974F2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-78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B3FB6A3" w14:textId="5A90C49B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-39%</w:t>
            </w:r>
          </w:p>
        </w:tc>
      </w:tr>
      <w:tr w:rsidR="009968A0" w:rsidRPr="004D400C" w14:paraId="4D061AA4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253A81C8" w14:textId="0C72153C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Umbria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50919F03" w14:textId="5748F6F5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D8E0942" w14:textId="4B133C7F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-38%</w:t>
            </w:r>
          </w:p>
        </w:tc>
      </w:tr>
      <w:tr w:rsidR="009968A0" w:rsidRPr="004D400C" w14:paraId="071689E0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7E38F48B" w14:textId="1CDD871D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Basilicata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6A0A7912" w14:textId="680DDAD8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ED39C0E" w14:textId="48DDEE5D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-31%</w:t>
            </w:r>
          </w:p>
        </w:tc>
      </w:tr>
      <w:tr w:rsidR="009968A0" w:rsidRPr="004D400C" w14:paraId="49510280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06B4001D" w14:textId="0F8624F9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Sardegna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427512AE" w14:textId="7CB14922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05A7541" w14:textId="5F623918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-28%</w:t>
            </w:r>
          </w:p>
        </w:tc>
      </w:tr>
      <w:tr w:rsidR="009968A0" w:rsidRPr="004D400C" w14:paraId="2EC97249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43D9B1B4" w14:textId="50AB8594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Piemonte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118331FE" w14:textId="5B9BF14D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-41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1218A74" w14:textId="6F64C9BD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-24%</w:t>
            </w:r>
          </w:p>
        </w:tc>
      </w:tr>
      <w:tr w:rsidR="009968A0" w:rsidRPr="004D400C" w14:paraId="2746AEA3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013234F6" w14:textId="7164E522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Valle d'Aosta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7E267E0E" w14:textId="0170B432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5BEE43D" w14:textId="125C2F2D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-20%</w:t>
            </w:r>
          </w:p>
        </w:tc>
      </w:tr>
      <w:tr w:rsidR="009968A0" w:rsidRPr="004D400C" w14:paraId="3716AA88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5DA658B6" w14:textId="621B7606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Puglia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51A6327B" w14:textId="5447D450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-33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FEB75E4" w14:textId="018F70DB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-17%</w:t>
            </w:r>
          </w:p>
        </w:tc>
      </w:tr>
      <w:tr w:rsidR="009968A0" w:rsidRPr="004D400C" w14:paraId="7CCF35CA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7B99033C" w14:textId="69B6022F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Calabria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381E2137" w14:textId="470A15FC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6ECFDBD" w14:textId="6285F5A7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-2%</w:t>
            </w:r>
          </w:p>
        </w:tc>
      </w:tr>
      <w:tr w:rsidR="009968A0" w:rsidRPr="004D400C" w14:paraId="64B4FE87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344F8995" w14:textId="26EB5EF7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Emilia-Romagna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6A5DF510" w14:textId="545E3675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18F6225" w14:textId="0E6BF74C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9968A0" w:rsidRPr="004D400C" w14:paraId="358646CA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0E958020" w14:textId="599F0D8A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Friuli Venezia Giulia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18610180" w14:textId="6F8DCEFC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C8355FA" w14:textId="7F7D668B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</w:tr>
      <w:tr w:rsidR="009968A0" w:rsidRPr="004D400C" w14:paraId="7FADF698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7B568D98" w14:textId="44FD0F91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Sicilia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4282F4BB" w14:textId="4AD628D2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4F39528" w14:textId="4366DCC6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</w:tr>
      <w:tr w:rsidR="009968A0" w:rsidRPr="004D400C" w14:paraId="1919677F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4FDA27F8" w14:textId="48F10B18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Lazio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7F3C2D95" w14:textId="4E93C1B3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2AD9AD3" w14:textId="257C1A58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</w:tr>
      <w:tr w:rsidR="009968A0" w:rsidRPr="004D400C" w14:paraId="2D8E2AC1" w14:textId="77777777" w:rsidTr="009968A0">
        <w:trPr>
          <w:trHeight w:val="329"/>
          <w:jc w:val="center"/>
        </w:trPr>
        <w:tc>
          <w:tcPr>
            <w:tcW w:w="2260" w:type="dxa"/>
            <w:shd w:val="clear" w:color="auto" w:fill="auto"/>
            <w:noWrap/>
            <w:vAlign w:val="center"/>
          </w:tcPr>
          <w:p w14:paraId="7EA43A9D" w14:textId="424680A4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Campania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7D69A42C" w14:textId="1D0884AC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8CC3806" w14:textId="42EB7E02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</w:tr>
      <w:tr w:rsidR="009968A0" w:rsidRPr="004D400C" w14:paraId="71324007" w14:textId="77777777" w:rsidTr="009968A0">
        <w:trPr>
          <w:trHeight w:val="329"/>
          <w:jc w:val="center"/>
        </w:trPr>
        <w:tc>
          <w:tcPr>
            <w:tcW w:w="226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420AE928" w14:textId="4BEC432D" w:rsidR="009968A0" w:rsidRPr="004D400C" w:rsidRDefault="009968A0" w:rsidP="009968A0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Abruzzo</w:t>
            </w:r>
          </w:p>
        </w:tc>
        <w:tc>
          <w:tcPr>
            <w:tcW w:w="1348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79F8277" w14:textId="5EF3AA8B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9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D5CEE63" w14:textId="3DC2E780" w:rsidR="009968A0" w:rsidRPr="004D400C" w:rsidRDefault="009968A0" w:rsidP="00996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</w:tr>
      <w:tr w:rsidR="004D400C" w:rsidRPr="004D400C" w14:paraId="29B43B1F" w14:textId="77777777" w:rsidTr="004D400C">
        <w:trPr>
          <w:trHeight w:val="329"/>
          <w:jc w:val="center"/>
        </w:trPr>
        <w:tc>
          <w:tcPr>
            <w:tcW w:w="2260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FCF3452" w14:textId="77777777" w:rsidR="004D400C" w:rsidRPr="004D400C" w:rsidRDefault="004D400C" w:rsidP="0043185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</w:pPr>
            <w:r w:rsidRPr="004D400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ITALIA</w:t>
            </w:r>
          </w:p>
        </w:tc>
        <w:tc>
          <w:tcPr>
            <w:tcW w:w="1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B16F74B" w14:textId="77777777" w:rsidR="004D400C" w:rsidRPr="004D400C" w:rsidRDefault="004D400C" w:rsidP="004318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</w:pPr>
            <w:r w:rsidRPr="004D400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-3</w:t>
            </w:r>
            <w:r w:rsidR="00C34D62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1349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B19D95A" w14:textId="77777777" w:rsidR="004D400C" w:rsidRPr="004D400C" w:rsidRDefault="004D400C" w:rsidP="004318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</w:pPr>
            <w:r w:rsidRPr="004D400C">
              <w:rPr>
                <w:rFonts w:eastAsia="Times New Roman" w:cstheme="minorHAnsi"/>
                <w:b/>
                <w:bCs/>
                <w:color w:val="FFFFFF" w:themeColor="background1"/>
                <w:sz w:val="21"/>
                <w:szCs w:val="21"/>
                <w:lang w:eastAsia="it-IT"/>
              </w:rPr>
              <w:t>-15%</w:t>
            </w:r>
          </w:p>
        </w:tc>
      </w:tr>
    </w:tbl>
    <w:p w14:paraId="2275C1C4" w14:textId="77777777" w:rsidR="00246EA8" w:rsidRPr="00246EA8" w:rsidRDefault="00246EA8" w:rsidP="00246EA8">
      <w:pPr>
        <w:spacing w:after="0"/>
        <w:jc w:val="center"/>
        <w:rPr>
          <w:rFonts w:cstheme="minorHAnsi"/>
          <w:b/>
          <w:color w:val="00457D"/>
        </w:rPr>
      </w:pPr>
    </w:p>
    <w:p w14:paraId="4CD4C139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025BF424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687072B5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7E70BD94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35DCCC99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4385471C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5B3B9292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2925BB58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7B72DF3C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5383A3E2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49DD06FD" w14:textId="77777777" w:rsidR="00A111E1" w:rsidRDefault="00A111E1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</w:p>
    <w:p w14:paraId="024CDD9F" w14:textId="7C32F48F" w:rsidR="004D400C" w:rsidRDefault="004D400C" w:rsidP="00246EA8">
      <w:pPr>
        <w:spacing w:after="12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t xml:space="preserve">Figura 6. </w:t>
      </w:r>
      <w:r w:rsidR="001E4D9D" w:rsidRPr="004D400C">
        <w:rPr>
          <w:rFonts w:cstheme="minorHAnsi"/>
          <w:b/>
          <w:color w:val="00457D"/>
          <w:sz w:val="20"/>
        </w:rPr>
        <w:t xml:space="preserve">Corso di Formazione Specifica in Medicina Generale </w:t>
      </w:r>
      <w:r w:rsidR="001E4D9D">
        <w:rPr>
          <w:rFonts w:cstheme="minorHAnsi"/>
          <w:b/>
          <w:color w:val="00457D"/>
          <w:sz w:val="20"/>
        </w:rPr>
        <w:t>2024</w:t>
      </w:r>
      <w:r w:rsidR="000825E0">
        <w:rPr>
          <w:rFonts w:cstheme="minorHAnsi"/>
          <w:b/>
          <w:color w:val="00457D"/>
          <w:sz w:val="20"/>
        </w:rPr>
        <w:t>:</w:t>
      </w:r>
      <w:r w:rsidR="000825E0">
        <w:rPr>
          <w:rFonts w:cstheme="minorHAnsi"/>
          <w:b/>
          <w:color w:val="00457D"/>
          <w:sz w:val="20"/>
        </w:rPr>
        <w:br/>
        <w:t>p</w:t>
      </w:r>
      <w:r>
        <w:rPr>
          <w:rFonts w:cstheme="minorHAnsi"/>
          <w:b/>
          <w:color w:val="00457D"/>
          <w:sz w:val="20"/>
        </w:rPr>
        <w:t xml:space="preserve">ercentuale </w:t>
      </w:r>
      <w:r w:rsidRPr="004D400C">
        <w:rPr>
          <w:rFonts w:cstheme="minorHAnsi"/>
          <w:b/>
          <w:color w:val="00457D"/>
          <w:sz w:val="20"/>
        </w:rPr>
        <w:t xml:space="preserve">di partecipanti al </w:t>
      </w:r>
      <w:r w:rsidR="001E4D9D">
        <w:rPr>
          <w:rFonts w:cstheme="minorHAnsi"/>
          <w:b/>
          <w:color w:val="00457D"/>
          <w:sz w:val="20"/>
        </w:rPr>
        <w:t>bando</w:t>
      </w:r>
      <w:r w:rsidRPr="004D400C">
        <w:rPr>
          <w:rFonts w:cstheme="minorHAnsi"/>
          <w:b/>
          <w:color w:val="00457D"/>
          <w:sz w:val="20"/>
        </w:rPr>
        <w:t xml:space="preserve"> </w:t>
      </w:r>
      <w:r w:rsidR="00246EA8">
        <w:rPr>
          <w:rFonts w:cstheme="minorHAnsi"/>
          <w:b/>
          <w:color w:val="00457D"/>
          <w:sz w:val="20"/>
        </w:rPr>
        <w:t>su</w:t>
      </w:r>
      <w:r w:rsidR="000825E0">
        <w:rPr>
          <w:rFonts w:cstheme="minorHAnsi"/>
          <w:b/>
          <w:color w:val="00457D"/>
          <w:sz w:val="20"/>
        </w:rPr>
        <w:t xml:space="preserve"> numero di</w:t>
      </w:r>
      <w:r w:rsidRPr="004D400C">
        <w:rPr>
          <w:rFonts w:cstheme="minorHAnsi"/>
          <w:b/>
          <w:color w:val="00457D"/>
          <w:sz w:val="20"/>
        </w:rPr>
        <w:t xml:space="preserve"> borse finanziate</w:t>
      </w:r>
      <w:r w:rsidR="008D63DE">
        <w:rPr>
          <w:rFonts w:cstheme="minorHAnsi"/>
          <w:b/>
          <w:color w:val="00457D"/>
          <w:sz w:val="20"/>
        </w:rPr>
        <w:br/>
        <w:t xml:space="preserve">(dati </w:t>
      </w:r>
      <w:r w:rsidR="008D63DE" w:rsidRPr="008D63DE">
        <w:rPr>
          <w:rFonts w:cstheme="minorHAnsi"/>
          <w:b/>
          <w:color w:val="00457D"/>
          <w:sz w:val="20"/>
        </w:rPr>
        <w:t>Ministero della Salute</w:t>
      </w:r>
      <w:r w:rsidR="008D63DE">
        <w:rPr>
          <w:rFonts w:cstheme="minorHAnsi"/>
          <w:b/>
          <w:color w:val="00457D"/>
          <w:sz w:val="20"/>
        </w:rPr>
        <w:t xml:space="preserve">, </w:t>
      </w:r>
      <w:r w:rsidR="008D63DE" w:rsidRPr="008D63DE">
        <w:rPr>
          <w:rFonts w:cstheme="minorHAnsi"/>
          <w:b/>
          <w:color w:val="00457D"/>
          <w:sz w:val="20"/>
        </w:rPr>
        <w:t>Provincia Autonoma di Bolzano</w:t>
      </w:r>
      <w:r w:rsidR="008D63DE">
        <w:rPr>
          <w:rFonts w:cstheme="minorHAnsi"/>
          <w:b/>
          <w:color w:val="00457D"/>
          <w:sz w:val="20"/>
        </w:rPr>
        <w:t>)</w:t>
      </w:r>
    </w:p>
    <w:p w14:paraId="59DEC991" w14:textId="77777777" w:rsidR="005916AD" w:rsidRDefault="00C34D62" w:rsidP="00C34D62">
      <w:pPr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lastRenderedPageBreak/>
        <w:drawing>
          <wp:inline distT="0" distB="0" distL="0" distR="0" wp14:anchorId="54D026EC" wp14:editId="50BD234A">
            <wp:extent cx="4860000" cy="29596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95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7B158" w14:textId="2FE46E22" w:rsidR="00057A5B" w:rsidRDefault="00057A5B" w:rsidP="009252ED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t>Figura</w:t>
      </w:r>
      <w:r>
        <w:rPr>
          <w:rFonts w:cstheme="minorHAnsi"/>
          <w:b/>
          <w:color w:val="00457D"/>
          <w:sz w:val="20"/>
        </w:rPr>
        <w:t xml:space="preserve"> </w:t>
      </w:r>
      <w:r w:rsidR="004D400C">
        <w:rPr>
          <w:rFonts w:cstheme="minorHAnsi"/>
          <w:b/>
          <w:color w:val="00457D"/>
          <w:sz w:val="20"/>
        </w:rPr>
        <w:t>7</w:t>
      </w:r>
      <w:r w:rsidRPr="00077C0A">
        <w:rPr>
          <w:rFonts w:cstheme="minorHAnsi"/>
          <w:b/>
          <w:color w:val="00457D"/>
          <w:sz w:val="20"/>
        </w:rPr>
        <w:t xml:space="preserve">. </w:t>
      </w:r>
      <w:r>
        <w:rPr>
          <w:rFonts w:cstheme="minorHAnsi"/>
          <w:b/>
          <w:color w:val="00457D"/>
          <w:sz w:val="20"/>
        </w:rPr>
        <w:t xml:space="preserve">Riduzione </w:t>
      </w:r>
      <w:r w:rsidR="0079678B">
        <w:rPr>
          <w:rFonts w:cstheme="minorHAnsi"/>
          <w:b/>
          <w:color w:val="00457D"/>
          <w:sz w:val="20"/>
        </w:rPr>
        <w:t>percentuale</w:t>
      </w:r>
      <w:r>
        <w:rPr>
          <w:rFonts w:cstheme="minorHAnsi"/>
          <w:b/>
          <w:color w:val="00457D"/>
          <w:sz w:val="20"/>
        </w:rPr>
        <w:t xml:space="preserve"> del numero di MMG</w:t>
      </w:r>
      <w:r w:rsidR="001E4D9D">
        <w:rPr>
          <w:rFonts w:cstheme="minorHAnsi"/>
          <w:b/>
          <w:color w:val="00457D"/>
          <w:sz w:val="20"/>
        </w:rPr>
        <w:t xml:space="preserve">: </w:t>
      </w:r>
      <w:r>
        <w:rPr>
          <w:rFonts w:cstheme="minorHAnsi"/>
          <w:b/>
          <w:color w:val="00457D"/>
          <w:sz w:val="20"/>
        </w:rPr>
        <w:t>202</w:t>
      </w:r>
      <w:r w:rsidR="00A73F36">
        <w:rPr>
          <w:rFonts w:cstheme="minorHAnsi"/>
          <w:b/>
          <w:color w:val="00457D"/>
          <w:sz w:val="20"/>
        </w:rPr>
        <w:t>3</w:t>
      </w:r>
      <w:r>
        <w:rPr>
          <w:rFonts w:cstheme="minorHAnsi"/>
          <w:b/>
          <w:color w:val="00457D"/>
          <w:sz w:val="20"/>
        </w:rPr>
        <w:t xml:space="preserve"> </w:t>
      </w:r>
      <w:r w:rsidR="001E4D9D">
        <w:rPr>
          <w:rFonts w:cstheme="minorHAnsi"/>
          <w:b/>
          <w:color w:val="00457D"/>
          <w:sz w:val="20"/>
        </w:rPr>
        <w:t xml:space="preserve">vs </w:t>
      </w:r>
      <w:r>
        <w:rPr>
          <w:rFonts w:cstheme="minorHAnsi"/>
          <w:b/>
          <w:color w:val="00457D"/>
          <w:sz w:val="20"/>
        </w:rPr>
        <w:t>2019</w:t>
      </w:r>
      <w:r w:rsidR="00A73F36">
        <w:rPr>
          <w:rFonts w:cstheme="minorHAnsi"/>
          <w:b/>
          <w:color w:val="00457D"/>
          <w:sz w:val="20"/>
        </w:rPr>
        <w:t xml:space="preserve"> (dati SISAC)</w:t>
      </w:r>
    </w:p>
    <w:p w14:paraId="0AC8C2D2" w14:textId="77777777" w:rsidR="001E4D9D" w:rsidRDefault="000B4578" w:rsidP="001E4D9D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drawing>
          <wp:inline distT="0" distB="0" distL="0" distR="0" wp14:anchorId="44EA406E" wp14:editId="69B6A515">
            <wp:extent cx="4680000" cy="3990858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9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4D9D">
        <w:rPr>
          <w:rFonts w:cstheme="minorHAnsi"/>
          <w:b/>
          <w:color w:val="00457D"/>
          <w:sz w:val="20"/>
          <w:szCs w:val="20"/>
        </w:rPr>
        <w:br/>
      </w:r>
    </w:p>
    <w:p w14:paraId="29F1B687" w14:textId="77777777" w:rsidR="00A111E1" w:rsidRDefault="00A111E1" w:rsidP="001E4D9D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</w:p>
    <w:p w14:paraId="0B7917F7" w14:textId="77777777" w:rsidR="00A111E1" w:rsidRDefault="00A111E1" w:rsidP="001E4D9D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</w:p>
    <w:p w14:paraId="71252CDA" w14:textId="77777777" w:rsidR="00A111E1" w:rsidRDefault="00A111E1" w:rsidP="001E4D9D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</w:p>
    <w:p w14:paraId="73AAF817" w14:textId="3F9924CA" w:rsidR="009252ED" w:rsidRDefault="00FB0D31" w:rsidP="001E4D9D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  <w:r w:rsidRPr="00057A5B">
        <w:rPr>
          <w:rFonts w:cstheme="minorHAnsi"/>
          <w:b/>
          <w:color w:val="00457D"/>
          <w:sz w:val="20"/>
          <w:szCs w:val="20"/>
        </w:rPr>
        <w:t xml:space="preserve">Figura </w:t>
      </w:r>
      <w:r w:rsidR="004D400C">
        <w:rPr>
          <w:rFonts w:cstheme="minorHAnsi"/>
          <w:b/>
          <w:color w:val="00457D"/>
          <w:sz w:val="20"/>
          <w:szCs w:val="20"/>
        </w:rPr>
        <w:t>8</w:t>
      </w:r>
      <w:r w:rsidRPr="00057A5B">
        <w:rPr>
          <w:rFonts w:cstheme="minorHAnsi"/>
          <w:b/>
          <w:color w:val="00457D"/>
          <w:sz w:val="20"/>
          <w:szCs w:val="20"/>
        </w:rPr>
        <w:t>. Numero medio di assistiti per MMG al 1° gennaio 202</w:t>
      </w:r>
      <w:r w:rsidR="00A73F36">
        <w:rPr>
          <w:rFonts w:cstheme="minorHAnsi"/>
          <w:b/>
          <w:color w:val="00457D"/>
          <w:sz w:val="20"/>
          <w:szCs w:val="20"/>
        </w:rPr>
        <w:t>4 (dati SISAC)</w:t>
      </w:r>
    </w:p>
    <w:p w14:paraId="00FC750F" w14:textId="77777777" w:rsidR="005902A2" w:rsidRDefault="00A73F36" w:rsidP="00955C33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lastRenderedPageBreak/>
        <w:drawing>
          <wp:inline distT="0" distB="0" distL="0" distR="0" wp14:anchorId="1EE810C4" wp14:editId="47D7E587">
            <wp:extent cx="4680000" cy="3951393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51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366BC" w14:textId="77777777" w:rsidR="00F954F4" w:rsidRDefault="00F954F4" w:rsidP="00955C33">
      <w:pPr>
        <w:spacing w:after="0"/>
        <w:jc w:val="center"/>
        <w:rPr>
          <w:rFonts w:cstheme="minorHAnsi"/>
          <w:b/>
          <w:color w:val="00457D"/>
        </w:rPr>
      </w:pPr>
    </w:p>
    <w:p w14:paraId="19293389" w14:textId="52E6A5B0" w:rsidR="0048744E" w:rsidRPr="00057A5B" w:rsidRDefault="0048744E" w:rsidP="0048744E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  <w:r w:rsidRPr="00057A5B">
        <w:rPr>
          <w:rFonts w:cstheme="minorHAnsi"/>
          <w:b/>
          <w:color w:val="00457D"/>
          <w:sz w:val="20"/>
          <w:szCs w:val="20"/>
        </w:rPr>
        <w:t xml:space="preserve">Figura </w:t>
      </w:r>
      <w:r w:rsidR="004D400C">
        <w:rPr>
          <w:rFonts w:cstheme="minorHAnsi"/>
          <w:b/>
          <w:color w:val="00457D"/>
          <w:sz w:val="20"/>
          <w:szCs w:val="20"/>
        </w:rPr>
        <w:t>9</w:t>
      </w:r>
      <w:r w:rsidRPr="00057A5B">
        <w:rPr>
          <w:rFonts w:cstheme="minorHAnsi"/>
          <w:b/>
          <w:color w:val="00457D"/>
          <w:sz w:val="20"/>
          <w:szCs w:val="20"/>
        </w:rPr>
        <w:t>. Stima del numero di MMG mancanti al 1° gennaio 202</w:t>
      </w:r>
      <w:r w:rsidR="003C2658">
        <w:rPr>
          <w:rFonts w:cstheme="minorHAnsi"/>
          <w:b/>
          <w:color w:val="00457D"/>
          <w:sz w:val="20"/>
          <w:szCs w:val="20"/>
        </w:rPr>
        <w:t>4</w:t>
      </w:r>
      <w:r>
        <w:rPr>
          <w:rFonts w:cstheme="minorHAnsi"/>
          <w:b/>
          <w:color w:val="00457D"/>
          <w:sz w:val="20"/>
          <w:szCs w:val="20"/>
        </w:rPr>
        <w:t xml:space="preserve"> (elaborazione GIMBE su dati SISAC)</w:t>
      </w:r>
    </w:p>
    <w:p w14:paraId="5CAAC9BD" w14:textId="399F23FA" w:rsidR="0048744E" w:rsidRDefault="00B40169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408D39F8" wp14:editId="04F5B557">
            <wp:extent cx="4680000" cy="4122160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12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3F574" w14:textId="650848A0" w:rsidR="00D61334" w:rsidRDefault="00D61334" w:rsidP="008A3399">
      <w:pPr>
        <w:spacing w:after="0"/>
        <w:jc w:val="center"/>
        <w:rPr>
          <w:rFonts w:cstheme="minorHAnsi"/>
          <w:b/>
          <w:color w:val="00457D"/>
        </w:rPr>
      </w:pPr>
    </w:p>
    <w:p w14:paraId="3CE198D0" w14:textId="42BB6A7B" w:rsidR="00D61334" w:rsidRPr="00D61334" w:rsidRDefault="00D61334" w:rsidP="00D61334">
      <w:pPr>
        <w:spacing w:after="120"/>
        <w:jc w:val="center"/>
        <w:rPr>
          <w:rFonts w:cstheme="minorHAnsi"/>
          <w:b/>
          <w:color w:val="00457D"/>
          <w:sz w:val="20"/>
          <w:szCs w:val="20"/>
        </w:rPr>
      </w:pPr>
      <w:r w:rsidRPr="00057A5B">
        <w:rPr>
          <w:rFonts w:cstheme="minorHAnsi"/>
          <w:b/>
          <w:color w:val="00457D"/>
          <w:sz w:val="20"/>
          <w:szCs w:val="20"/>
        </w:rPr>
        <w:t xml:space="preserve">Figura </w:t>
      </w:r>
      <w:r>
        <w:rPr>
          <w:rFonts w:cstheme="minorHAnsi"/>
          <w:b/>
          <w:color w:val="00457D"/>
          <w:sz w:val="20"/>
          <w:szCs w:val="20"/>
        </w:rPr>
        <w:t>10</w:t>
      </w:r>
      <w:r w:rsidRPr="00057A5B">
        <w:rPr>
          <w:rFonts w:cstheme="minorHAnsi"/>
          <w:b/>
          <w:color w:val="00457D"/>
          <w:sz w:val="20"/>
          <w:szCs w:val="20"/>
        </w:rPr>
        <w:t xml:space="preserve">. </w:t>
      </w:r>
      <w:r w:rsidRPr="00D61334">
        <w:rPr>
          <w:rFonts w:cstheme="minorHAnsi"/>
          <w:b/>
          <w:color w:val="00457D"/>
          <w:sz w:val="20"/>
          <w:szCs w:val="20"/>
        </w:rPr>
        <w:t xml:space="preserve">Riduzione assoluta della spesa sanitaria per </w:t>
      </w:r>
      <w:r>
        <w:rPr>
          <w:rFonts w:cstheme="minorHAnsi"/>
          <w:b/>
          <w:color w:val="00457D"/>
          <w:sz w:val="20"/>
          <w:szCs w:val="20"/>
        </w:rPr>
        <w:t>l’</w:t>
      </w:r>
      <w:r w:rsidRPr="00D61334">
        <w:rPr>
          <w:rFonts w:cstheme="minorHAnsi"/>
          <w:b/>
          <w:color w:val="00457D"/>
          <w:sz w:val="20"/>
          <w:szCs w:val="20"/>
        </w:rPr>
        <w:t xml:space="preserve">assistenza convenzionata </w:t>
      </w:r>
      <w:r>
        <w:rPr>
          <w:rFonts w:cstheme="minorHAnsi"/>
          <w:b/>
          <w:color w:val="00457D"/>
          <w:sz w:val="20"/>
          <w:szCs w:val="20"/>
        </w:rPr>
        <w:br/>
      </w:r>
      <w:r w:rsidRPr="00D61334">
        <w:rPr>
          <w:rFonts w:cstheme="minorHAnsi"/>
          <w:b/>
          <w:color w:val="00457D"/>
          <w:sz w:val="20"/>
          <w:szCs w:val="20"/>
        </w:rPr>
        <w:t>(</w:t>
      </w:r>
      <w:r w:rsidR="00783898">
        <w:rPr>
          <w:rFonts w:cstheme="minorHAnsi"/>
          <w:b/>
          <w:color w:val="00457D"/>
          <w:sz w:val="20"/>
          <w:szCs w:val="20"/>
        </w:rPr>
        <w:t xml:space="preserve">rispetto al valore del </w:t>
      </w:r>
      <w:r w:rsidRPr="00D61334">
        <w:rPr>
          <w:rFonts w:cstheme="minorHAnsi"/>
          <w:b/>
          <w:color w:val="00457D"/>
          <w:sz w:val="20"/>
          <w:szCs w:val="20"/>
        </w:rPr>
        <w:t>6,2% sulla spesa sanitaria totale)</w:t>
      </w:r>
    </w:p>
    <w:p w14:paraId="6598855B" w14:textId="0994F724" w:rsidR="00D61334" w:rsidRPr="008A3399" w:rsidRDefault="00D61334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noProof/>
          <w:lang w:eastAsia="it-IT"/>
        </w:rPr>
        <w:lastRenderedPageBreak/>
        <w:drawing>
          <wp:inline distT="0" distB="0" distL="0" distR="0" wp14:anchorId="32D9D1C2" wp14:editId="25D00D68">
            <wp:extent cx="6120130" cy="3502025"/>
            <wp:effectExtent l="0" t="0" r="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334" w:rsidRPr="008A3399" w:rsidSect="00CA78D1">
      <w:headerReference w:type="default" r:id="rId2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7FF85" w14:textId="77777777" w:rsidR="00135150" w:rsidRDefault="00135150" w:rsidP="00ED0CFD">
      <w:pPr>
        <w:spacing w:after="0" w:line="240" w:lineRule="auto"/>
      </w:pPr>
      <w:r>
        <w:separator/>
      </w:r>
    </w:p>
  </w:endnote>
  <w:endnote w:type="continuationSeparator" w:id="0">
    <w:p w14:paraId="14EC88D0" w14:textId="77777777" w:rsidR="00135150" w:rsidRDefault="00135150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B4A2" w14:textId="77777777" w:rsidR="00135150" w:rsidRDefault="00135150" w:rsidP="00ED0CFD">
      <w:pPr>
        <w:spacing w:after="0" w:line="240" w:lineRule="auto"/>
      </w:pPr>
      <w:r>
        <w:separator/>
      </w:r>
    </w:p>
  </w:footnote>
  <w:footnote w:type="continuationSeparator" w:id="0">
    <w:p w14:paraId="20FA8921" w14:textId="77777777" w:rsidR="00135150" w:rsidRDefault="00135150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297D" w14:textId="612B7B92" w:rsidR="00431859" w:rsidRPr="004D400C" w:rsidRDefault="00431859" w:rsidP="00FC5CDC">
    <w:pPr>
      <w:pStyle w:val="Intestazione"/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C3222"/>
    <w:multiLevelType w:val="hybridMultilevel"/>
    <w:tmpl w:val="EAD0F50C"/>
    <w:lvl w:ilvl="0" w:tplc="B3D687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A321A"/>
    <w:multiLevelType w:val="hybridMultilevel"/>
    <w:tmpl w:val="5B180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7"/>
  </w:num>
  <w:num w:numId="7">
    <w:abstractNumId w:val="17"/>
  </w:num>
  <w:num w:numId="8">
    <w:abstractNumId w:val="16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21"/>
  </w:num>
  <w:num w:numId="17">
    <w:abstractNumId w:val="6"/>
  </w:num>
  <w:num w:numId="18">
    <w:abstractNumId w:val="9"/>
  </w:num>
  <w:num w:numId="19">
    <w:abstractNumId w:val="14"/>
  </w:num>
  <w:num w:numId="20">
    <w:abstractNumId w:val="20"/>
  </w:num>
  <w:num w:numId="21">
    <w:abstractNumId w:val="15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1"/>
    <w:rsid w:val="000007FC"/>
    <w:rsid w:val="00001559"/>
    <w:rsid w:val="00002C1B"/>
    <w:rsid w:val="0000349A"/>
    <w:rsid w:val="00003551"/>
    <w:rsid w:val="00003744"/>
    <w:rsid w:val="00003F78"/>
    <w:rsid w:val="00004B0A"/>
    <w:rsid w:val="00005B25"/>
    <w:rsid w:val="00006555"/>
    <w:rsid w:val="000074F5"/>
    <w:rsid w:val="00010498"/>
    <w:rsid w:val="0001214A"/>
    <w:rsid w:val="0001285B"/>
    <w:rsid w:val="0001384A"/>
    <w:rsid w:val="00013DFA"/>
    <w:rsid w:val="0001439D"/>
    <w:rsid w:val="0001443F"/>
    <w:rsid w:val="00014FDE"/>
    <w:rsid w:val="00015D8E"/>
    <w:rsid w:val="00017021"/>
    <w:rsid w:val="00017968"/>
    <w:rsid w:val="00017FB4"/>
    <w:rsid w:val="00020B81"/>
    <w:rsid w:val="00021918"/>
    <w:rsid w:val="00021B36"/>
    <w:rsid w:val="00021D7F"/>
    <w:rsid w:val="000227E2"/>
    <w:rsid w:val="00023462"/>
    <w:rsid w:val="00023D8A"/>
    <w:rsid w:val="000242B9"/>
    <w:rsid w:val="00024603"/>
    <w:rsid w:val="00025E28"/>
    <w:rsid w:val="00027064"/>
    <w:rsid w:val="000314E4"/>
    <w:rsid w:val="0003388E"/>
    <w:rsid w:val="000351F9"/>
    <w:rsid w:val="00035404"/>
    <w:rsid w:val="0003544D"/>
    <w:rsid w:val="00035633"/>
    <w:rsid w:val="00037534"/>
    <w:rsid w:val="000404E3"/>
    <w:rsid w:val="000409A3"/>
    <w:rsid w:val="000410F5"/>
    <w:rsid w:val="000424F7"/>
    <w:rsid w:val="00043C6D"/>
    <w:rsid w:val="0004410A"/>
    <w:rsid w:val="00051F7A"/>
    <w:rsid w:val="0005402C"/>
    <w:rsid w:val="00054250"/>
    <w:rsid w:val="00055180"/>
    <w:rsid w:val="00055AE9"/>
    <w:rsid w:val="00055D27"/>
    <w:rsid w:val="000576BA"/>
    <w:rsid w:val="00057A5B"/>
    <w:rsid w:val="00057D1B"/>
    <w:rsid w:val="000602AA"/>
    <w:rsid w:val="00062A67"/>
    <w:rsid w:val="00062CF6"/>
    <w:rsid w:val="0006440E"/>
    <w:rsid w:val="00064C7D"/>
    <w:rsid w:val="000657A8"/>
    <w:rsid w:val="000662E3"/>
    <w:rsid w:val="00067B8F"/>
    <w:rsid w:val="000707B3"/>
    <w:rsid w:val="000715A9"/>
    <w:rsid w:val="000719E8"/>
    <w:rsid w:val="00071F0A"/>
    <w:rsid w:val="0007350A"/>
    <w:rsid w:val="00073870"/>
    <w:rsid w:val="00074788"/>
    <w:rsid w:val="000771A4"/>
    <w:rsid w:val="00077C0A"/>
    <w:rsid w:val="000825E0"/>
    <w:rsid w:val="00082839"/>
    <w:rsid w:val="00082EDA"/>
    <w:rsid w:val="000832BB"/>
    <w:rsid w:val="00086372"/>
    <w:rsid w:val="00090210"/>
    <w:rsid w:val="000905D1"/>
    <w:rsid w:val="00090A39"/>
    <w:rsid w:val="00090B7E"/>
    <w:rsid w:val="000927C7"/>
    <w:rsid w:val="000935F1"/>
    <w:rsid w:val="00093A2E"/>
    <w:rsid w:val="00095DE9"/>
    <w:rsid w:val="00097875"/>
    <w:rsid w:val="000A05CF"/>
    <w:rsid w:val="000A0FC3"/>
    <w:rsid w:val="000A1367"/>
    <w:rsid w:val="000A1B2C"/>
    <w:rsid w:val="000A2084"/>
    <w:rsid w:val="000A459B"/>
    <w:rsid w:val="000A62A9"/>
    <w:rsid w:val="000A7B66"/>
    <w:rsid w:val="000B07B0"/>
    <w:rsid w:val="000B1376"/>
    <w:rsid w:val="000B185F"/>
    <w:rsid w:val="000B1C52"/>
    <w:rsid w:val="000B3D51"/>
    <w:rsid w:val="000B4578"/>
    <w:rsid w:val="000B7985"/>
    <w:rsid w:val="000C0980"/>
    <w:rsid w:val="000C182F"/>
    <w:rsid w:val="000C344B"/>
    <w:rsid w:val="000C544C"/>
    <w:rsid w:val="000C6130"/>
    <w:rsid w:val="000C6295"/>
    <w:rsid w:val="000D02E4"/>
    <w:rsid w:val="000D0F16"/>
    <w:rsid w:val="000D17FB"/>
    <w:rsid w:val="000D25AC"/>
    <w:rsid w:val="000D2B58"/>
    <w:rsid w:val="000D3AA7"/>
    <w:rsid w:val="000D3AE1"/>
    <w:rsid w:val="000D3F7D"/>
    <w:rsid w:val="000D44D4"/>
    <w:rsid w:val="000D5771"/>
    <w:rsid w:val="000D5893"/>
    <w:rsid w:val="000D7252"/>
    <w:rsid w:val="000E06F6"/>
    <w:rsid w:val="000E1730"/>
    <w:rsid w:val="000E2E3E"/>
    <w:rsid w:val="000E2E4F"/>
    <w:rsid w:val="000E2EB0"/>
    <w:rsid w:val="000E37AA"/>
    <w:rsid w:val="000E7CC2"/>
    <w:rsid w:val="000F09CF"/>
    <w:rsid w:val="000F0BBD"/>
    <w:rsid w:val="000F10F8"/>
    <w:rsid w:val="000F39EF"/>
    <w:rsid w:val="000F47DD"/>
    <w:rsid w:val="000F5C0F"/>
    <w:rsid w:val="000F7399"/>
    <w:rsid w:val="000F7867"/>
    <w:rsid w:val="0010059E"/>
    <w:rsid w:val="0010106E"/>
    <w:rsid w:val="001033BE"/>
    <w:rsid w:val="0010481D"/>
    <w:rsid w:val="001065FB"/>
    <w:rsid w:val="00107096"/>
    <w:rsid w:val="00110E79"/>
    <w:rsid w:val="0011205F"/>
    <w:rsid w:val="0011270A"/>
    <w:rsid w:val="0011397B"/>
    <w:rsid w:val="001139A6"/>
    <w:rsid w:val="00113D4A"/>
    <w:rsid w:val="00113F3C"/>
    <w:rsid w:val="001156C5"/>
    <w:rsid w:val="001167D9"/>
    <w:rsid w:val="0011693A"/>
    <w:rsid w:val="00120226"/>
    <w:rsid w:val="0012393A"/>
    <w:rsid w:val="00124DB0"/>
    <w:rsid w:val="00125C6A"/>
    <w:rsid w:val="001262A5"/>
    <w:rsid w:val="00126835"/>
    <w:rsid w:val="001317CF"/>
    <w:rsid w:val="00132928"/>
    <w:rsid w:val="00134C8C"/>
    <w:rsid w:val="00135150"/>
    <w:rsid w:val="001356A5"/>
    <w:rsid w:val="001404A5"/>
    <w:rsid w:val="0014097E"/>
    <w:rsid w:val="00143689"/>
    <w:rsid w:val="0014448E"/>
    <w:rsid w:val="00144F94"/>
    <w:rsid w:val="001458FE"/>
    <w:rsid w:val="00145BA6"/>
    <w:rsid w:val="00145FAF"/>
    <w:rsid w:val="0014665A"/>
    <w:rsid w:val="001471AF"/>
    <w:rsid w:val="00150EF3"/>
    <w:rsid w:val="0015200C"/>
    <w:rsid w:val="0015229D"/>
    <w:rsid w:val="00155E32"/>
    <w:rsid w:val="00156DCB"/>
    <w:rsid w:val="00156FE7"/>
    <w:rsid w:val="001601B9"/>
    <w:rsid w:val="001608BE"/>
    <w:rsid w:val="0016105A"/>
    <w:rsid w:val="00162FBC"/>
    <w:rsid w:val="0016375C"/>
    <w:rsid w:val="001654A5"/>
    <w:rsid w:val="00166A2F"/>
    <w:rsid w:val="001672C8"/>
    <w:rsid w:val="00170533"/>
    <w:rsid w:val="00170760"/>
    <w:rsid w:val="00170B46"/>
    <w:rsid w:val="00171767"/>
    <w:rsid w:val="00171FD0"/>
    <w:rsid w:val="00173764"/>
    <w:rsid w:val="0017405D"/>
    <w:rsid w:val="001748BA"/>
    <w:rsid w:val="00175A17"/>
    <w:rsid w:val="00181B9B"/>
    <w:rsid w:val="00185DFA"/>
    <w:rsid w:val="001877D6"/>
    <w:rsid w:val="00190985"/>
    <w:rsid w:val="00191481"/>
    <w:rsid w:val="001916E9"/>
    <w:rsid w:val="00191F59"/>
    <w:rsid w:val="00192DAD"/>
    <w:rsid w:val="00192F75"/>
    <w:rsid w:val="001932CB"/>
    <w:rsid w:val="00193564"/>
    <w:rsid w:val="00193F19"/>
    <w:rsid w:val="001A133C"/>
    <w:rsid w:val="001A1412"/>
    <w:rsid w:val="001A3CDB"/>
    <w:rsid w:val="001A3E0D"/>
    <w:rsid w:val="001A3E96"/>
    <w:rsid w:val="001A56A2"/>
    <w:rsid w:val="001A6181"/>
    <w:rsid w:val="001A6473"/>
    <w:rsid w:val="001B092E"/>
    <w:rsid w:val="001B3295"/>
    <w:rsid w:val="001B39C4"/>
    <w:rsid w:val="001B64A9"/>
    <w:rsid w:val="001B6C63"/>
    <w:rsid w:val="001B7D31"/>
    <w:rsid w:val="001C1A8A"/>
    <w:rsid w:val="001C23CE"/>
    <w:rsid w:val="001C25C3"/>
    <w:rsid w:val="001C3796"/>
    <w:rsid w:val="001C485E"/>
    <w:rsid w:val="001C4A52"/>
    <w:rsid w:val="001C51E2"/>
    <w:rsid w:val="001C536E"/>
    <w:rsid w:val="001D0E41"/>
    <w:rsid w:val="001D153D"/>
    <w:rsid w:val="001D19F1"/>
    <w:rsid w:val="001D2648"/>
    <w:rsid w:val="001D3500"/>
    <w:rsid w:val="001D3F14"/>
    <w:rsid w:val="001D4CE8"/>
    <w:rsid w:val="001E2183"/>
    <w:rsid w:val="001E34B7"/>
    <w:rsid w:val="001E3647"/>
    <w:rsid w:val="001E39C1"/>
    <w:rsid w:val="001E4D9D"/>
    <w:rsid w:val="001E4F36"/>
    <w:rsid w:val="001E5245"/>
    <w:rsid w:val="001E6902"/>
    <w:rsid w:val="001F1C35"/>
    <w:rsid w:val="001F20B8"/>
    <w:rsid w:val="001F2826"/>
    <w:rsid w:val="001F2EF8"/>
    <w:rsid w:val="001F38F6"/>
    <w:rsid w:val="001F4AA0"/>
    <w:rsid w:val="001F6454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1685B"/>
    <w:rsid w:val="002179AA"/>
    <w:rsid w:val="00217F16"/>
    <w:rsid w:val="002206B0"/>
    <w:rsid w:val="0022095B"/>
    <w:rsid w:val="00223F01"/>
    <w:rsid w:val="00224E88"/>
    <w:rsid w:val="00226565"/>
    <w:rsid w:val="0023012E"/>
    <w:rsid w:val="00231326"/>
    <w:rsid w:val="0023132D"/>
    <w:rsid w:val="00231690"/>
    <w:rsid w:val="00233EF5"/>
    <w:rsid w:val="002349C3"/>
    <w:rsid w:val="00236CB9"/>
    <w:rsid w:val="0023771D"/>
    <w:rsid w:val="00241C9C"/>
    <w:rsid w:val="00241E9C"/>
    <w:rsid w:val="00242077"/>
    <w:rsid w:val="00244CFC"/>
    <w:rsid w:val="00245859"/>
    <w:rsid w:val="00246EA8"/>
    <w:rsid w:val="0024739E"/>
    <w:rsid w:val="00250EDB"/>
    <w:rsid w:val="0025100A"/>
    <w:rsid w:val="00251AC2"/>
    <w:rsid w:val="002551A1"/>
    <w:rsid w:val="00256137"/>
    <w:rsid w:val="00265B05"/>
    <w:rsid w:val="00266561"/>
    <w:rsid w:val="00266E0C"/>
    <w:rsid w:val="00266E1A"/>
    <w:rsid w:val="00266F7E"/>
    <w:rsid w:val="002723FC"/>
    <w:rsid w:val="002728AA"/>
    <w:rsid w:val="00274061"/>
    <w:rsid w:val="0027468B"/>
    <w:rsid w:val="00275C32"/>
    <w:rsid w:val="00280AE6"/>
    <w:rsid w:val="00281FA9"/>
    <w:rsid w:val="00282655"/>
    <w:rsid w:val="00282DAE"/>
    <w:rsid w:val="002833AC"/>
    <w:rsid w:val="00287105"/>
    <w:rsid w:val="00290EC3"/>
    <w:rsid w:val="00291602"/>
    <w:rsid w:val="00292502"/>
    <w:rsid w:val="0029392F"/>
    <w:rsid w:val="002946C4"/>
    <w:rsid w:val="00295DB4"/>
    <w:rsid w:val="00296BAB"/>
    <w:rsid w:val="00297158"/>
    <w:rsid w:val="00297583"/>
    <w:rsid w:val="00297F4E"/>
    <w:rsid w:val="002A2034"/>
    <w:rsid w:val="002A3232"/>
    <w:rsid w:val="002A3D34"/>
    <w:rsid w:val="002A60A2"/>
    <w:rsid w:val="002B0CD1"/>
    <w:rsid w:val="002B12E6"/>
    <w:rsid w:val="002B1329"/>
    <w:rsid w:val="002B28F5"/>
    <w:rsid w:val="002B2AFE"/>
    <w:rsid w:val="002B53AC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307"/>
    <w:rsid w:val="002C5517"/>
    <w:rsid w:val="002D1A9D"/>
    <w:rsid w:val="002D2C39"/>
    <w:rsid w:val="002D36DF"/>
    <w:rsid w:val="002D4D2D"/>
    <w:rsid w:val="002D61E1"/>
    <w:rsid w:val="002D63B4"/>
    <w:rsid w:val="002D65ED"/>
    <w:rsid w:val="002D7409"/>
    <w:rsid w:val="002D7BE4"/>
    <w:rsid w:val="002E0AB6"/>
    <w:rsid w:val="002E1CFE"/>
    <w:rsid w:val="002E22D7"/>
    <w:rsid w:val="002E2D66"/>
    <w:rsid w:val="002E2ECD"/>
    <w:rsid w:val="002E33A2"/>
    <w:rsid w:val="002E3609"/>
    <w:rsid w:val="002E3F3A"/>
    <w:rsid w:val="002E528E"/>
    <w:rsid w:val="002E5382"/>
    <w:rsid w:val="002E5E3C"/>
    <w:rsid w:val="002E76B3"/>
    <w:rsid w:val="002F05C5"/>
    <w:rsid w:val="002F05E9"/>
    <w:rsid w:val="002F07F4"/>
    <w:rsid w:val="002F1032"/>
    <w:rsid w:val="002F1057"/>
    <w:rsid w:val="002F20F5"/>
    <w:rsid w:val="002F25B1"/>
    <w:rsid w:val="002F2E6A"/>
    <w:rsid w:val="002F323D"/>
    <w:rsid w:val="002F55E7"/>
    <w:rsid w:val="002F605D"/>
    <w:rsid w:val="002F7F95"/>
    <w:rsid w:val="00300EF7"/>
    <w:rsid w:val="0030141E"/>
    <w:rsid w:val="003029DD"/>
    <w:rsid w:val="00305113"/>
    <w:rsid w:val="00305C88"/>
    <w:rsid w:val="00306431"/>
    <w:rsid w:val="00310511"/>
    <w:rsid w:val="00310654"/>
    <w:rsid w:val="00310E98"/>
    <w:rsid w:val="00311414"/>
    <w:rsid w:val="003130FC"/>
    <w:rsid w:val="003132DC"/>
    <w:rsid w:val="00313AD1"/>
    <w:rsid w:val="00315407"/>
    <w:rsid w:val="00315734"/>
    <w:rsid w:val="0031648A"/>
    <w:rsid w:val="003169E7"/>
    <w:rsid w:val="0031755E"/>
    <w:rsid w:val="00317A1A"/>
    <w:rsid w:val="003205FF"/>
    <w:rsid w:val="00320F38"/>
    <w:rsid w:val="00321C3D"/>
    <w:rsid w:val="00323327"/>
    <w:rsid w:val="00323A55"/>
    <w:rsid w:val="00325252"/>
    <w:rsid w:val="00325E98"/>
    <w:rsid w:val="003268D1"/>
    <w:rsid w:val="00326F62"/>
    <w:rsid w:val="00327378"/>
    <w:rsid w:val="00327AF0"/>
    <w:rsid w:val="00331B49"/>
    <w:rsid w:val="00331F29"/>
    <w:rsid w:val="00333A1D"/>
    <w:rsid w:val="0033460B"/>
    <w:rsid w:val="00334F92"/>
    <w:rsid w:val="0033752D"/>
    <w:rsid w:val="00337C35"/>
    <w:rsid w:val="003427D8"/>
    <w:rsid w:val="0034291E"/>
    <w:rsid w:val="00342BF4"/>
    <w:rsid w:val="00342E6D"/>
    <w:rsid w:val="003431A8"/>
    <w:rsid w:val="003456F8"/>
    <w:rsid w:val="003458F8"/>
    <w:rsid w:val="00347675"/>
    <w:rsid w:val="00347BD4"/>
    <w:rsid w:val="00347CD5"/>
    <w:rsid w:val="00350B80"/>
    <w:rsid w:val="00351017"/>
    <w:rsid w:val="00351462"/>
    <w:rsid w:val="0035222C"/>
    <w:rsid w:val="00353E36"/>
    <w:rsid w:val="00353E3B"/>
    <w:rsid w:val="0035547A"/>
    <w:rsid w:val="003554E0"/>
    <w:rsid w:val="00355DBF"/>
    <w:rsid w:val="003576FF"/>
    <w:rsid w:val="00357F80"/>
    <w:rsid w:val="00361A3C"/>
    <w:rsid w:val="00362055"/>
    <w:rsid w:val="0036304D"/>
    <w:rsid w:val="003631B2"/>
    <w:rsid w:val="00363764"/>
    <w:rsid w:val="0036462F"/>
    <w:rsid w:val="003678FA"/>
    <w:rsid w:val="00367A4B"/>
    <w:rsid w:val="00367AB2"/>
    <w:rsid w:val="00370768"/>
    <w:rsid w:val="00371303"/>
    <w:rsid w:val="0037228C"/>
    <w:rsid w:val="00372B60"/>
    <w:rsid w:val="00372E36"/>
    <w:rsid w:val="00374A52"/>
    <w:rsid w:val="0037786C"/>
    <w:rsid w:val="00380001"/>
    <w:rsid w:val="00380A73"/>
    <w:rsid w:val="00382F29"/>
    <w:rsid w:val="00383A19"/>
    <w:rsid w:val="00384AF1"/>
    <w:rsid w:val="003857F4"/>
    <w:rsid w:val="00385A79"/>
    <w:rsid w:val="00386385"/>
    <w:rsid w:val="00386B73"/>
    <w:rsid w:val="00387555"/>
    <w:rsid w:val="0039006E"/>
    <w:rsid w:val="0039086C"/>
    <w:rsid w:val="00390A30"/>
    <w:rsid w:val="00391685"/>
    <w:rsid w:val="00391AD2"/>
    <w:rsid w:val="0039303E"/>
    <w:rsid w:val="00393934"/>
    <w:rsid w:val="00393B9D"/>
    <w:rsid w:val="00393EEE"/>
    <w:rsid w:val="00394823"/>
    <w:rsid w:val="003955A0"/>
    <w:rsid w:val="00396D0E"/>
    <w:rsid w:val="00396EF2"/>
    <w:rsid w:val="003978DA"/>
    <w:rsid w:val="003A13B4"/>
    <w:rsid w:val="003A179E"/>
    <w:rsid w:val="003A4BE8"/>
    <w:rsid w:val="003A60F9"/>
    <w:rsid w:val="003A72AE"/>
    <w:rsid w:val="003B1507"/>
    <w:rsid w:val="003B4A8D"/>
    <w:rsid w:val="003B4F0F"/>
    <w:rsid w:val="003B5D7A"/>
    <w:rsid w:val="003B72C4"/>
    <w:rsid w:val="003C1834"/>
    <w:rsid w:val="003C2417"/>
    <w:rsid w:val="003C2658"/>
    <w:rsid w:val="003C276B"/>
    <w:rsid w:val="003C31DB"/>
    <w:rsid w:val="003C34C9"/>
    <w:rsid w:val="003C40C5"/>
    <w:rsid w:val="003C48B6"/>
    <w:rsid w:val="003C4FB1"/>
    <w:rsid w:val="003C798F"/>
    <w:rsid w:val="003D4318"/>
    <w:rsid w:val="003D578C"/>
    <w:rsid w:val="003D66C8"/>
    <w:rsid w:val="003D6752"/>
    <w:rsid w:val="003D746E"/>
    <w:rsid w:val="003E0375"/>
    <w:rsid w:val="003E06AE"/>
    <w:rsid w:val="003E4422"/>
    <w:rsid w:val="003E4FF7"/>
    <w:rsid w:val="003E5506"/>
    <w:rsid w:val="003E69A3"/>
    <w:rsid w:val="003E6FC3"/>
    <w:rsid w:val="003F0902"/>
    <w:rsid w:val="003F155D"/>
    <w:rsid w:val="003F1AAC"/>
    <w:rsid w:val="003F2B13"/>
    <w:rsid w:val="003F35EF"/>
    <w:rsid w:val="003F3B35"/>
    <w:rsid w:val="003F470F"/>
    <w:rsid w:val="003F54E9"/>
    <w:rsid w:val="00400BD8"/>
    <w:rsid w:val="00401D39"/>
    <w:rsid w:val="00403C20"/>
    <w:rsid w:val="004052B2"/>
    <w:rsid w:val="00405C0C"/>
    <w:rsid w:val="0041126F"/>
    <w:rsid w:val="00411DEB"/>
    <w:rsid w:val="00412253"/>
    <w:rsid w:val="004146DC"/>
    <w:rsid w:val="004156A9"/>
    <w:rsid w:val="00415770"/>
    <w:rsid w:val="00415FC6"/>
    <w:rsid w:val="00417B4C"/>
    <w:rsid w:val="004234B5"/>
    <w:rsid w:val="00424342"/>
    <w:rsid w:val="00427BB5"/>
    <w:rsid w:val="00430270"/>
    <w:rsid w:val="00431299"/>
    <w:rsid w:val="00431859"/>
    <w:rsid w:val="00432115"/>
    <w:rsid w:val="00432B9B"/>
    <w:rsid w:val="00434060"/>
    <w:rsid w:val="00435F19"/>
    <w:rsid w:val="00435F6A"/>
    <w:rsid w:val="00436E44"/>
    <w:rsid w:val="00437569"/>
    <w:rsid w:val="00437CAD"/>
    <w:rsid w:val="0044012A"/>
    <w:rsid w:val="00441303"/>
    <w:rsid w:val="00441D52"/>
    <w:rsid w:val="00442312"/>
    <w:rsid w:val="00442E37"/>
    <w:rsid w:val="004432F6"/>
    <w:rsid w:val="00443609"/>
    <w:rsid w:val="00444478"/>
    <w:rsid w:val="00444676"/>
    <w:rsid w:val="0044485A"/>
    <w:rsid w:val="00446F85"/>
    <w:rsid w:val="004521AC"/>
    <w:rsid w:val="004522B4"/>
    <w:rsid w:val="00452338"/>
    <w:rsid w:val="00452891"/>
    <w:rsid w:val="00452900"/>
    <w:rsid w:val="00452A5B"/>
    <w:rsid w:val="00452CED"/>
    <w:rsid w:val="00454AF0"/>
    <w:rsid w:val="00456533"/>
    <w:rsid w:val="00456AC9"/>
    <w:rsid w:val="00457C46"/>
    <w:rsid w:val="00460012"/>
    <w:rsid w:val="00461BFF"/>
    <w:rsid w:val="00465A24"/>
    <w:rsid w:val="00466C1C"/>
    <w:rsid w:val="0046775E"/>
    <w:rsid w:val="0047038B"/>
    <w:rsid w:val="00470D92"/>
    <w:rsid w:val="0047196C"/>
    <w:rsid w:val="0047354E"/>
    <w:rsid w:val="004736DB"/>
    <w:rsid w:val="00475510"/>
    <w:rsid w:val="0047586E"/>
    <w:rsid w:val="00477617"/>
    <w:rsid w:val="0047771B"/>
    <w:rsid w:val="00477873"/>
    <w:rsid w:val="00480E9D"/>
    <w:rsid w:val="004828DF"/>
    <w:rsid w:val="00483C4E"/>
    <w:rsid w:val="004846D3"/>
    <w:rsid w:val="004853B4"/>
    <w:rsid w:val="0048588A"/>
    <w:rsid w:val="0048744E"/>
    <w:rsid w:val="00490397"/>
    <w:rsid w:val="00490692"/>
    <w:rsid w:val="00493BFD"/>
    <w:rsid w:val="004952D7"/>
    <w:rsid w:val="00496108"/>
    <w:rsid w:val="004A0830"/>
    <w:rsid w:val="004A0DCB"/>
    <w:rsid w:val="004A0E05"/>
    <w:rsid w:val="004A11C7"/>
    <w:rsid w:val="004A18D7"/>
    <w:rsid w:val="004A1B26"/>
    <w:rsid w:val="004A3B6F"/>
    <w:rsid w:val="004A44E7"/>
    <w:rsid w:val="004A5489"/>
    <w:rsid w:val="004A7DB2"/>
    <w:rsid w:val="004B3935"/>
    <w:rsid w:val="004B4D21"/>
    <w:rsid w:val="004B6915"/>
    <w:rsid w:val="004B7309"/>
    <w:rsid w:val="004C00FC"/>
    <w:rsid w:val="004C17CB"/>
    <w:rsid w:val="004C195F"/>
    <w:rsid w:val="004C41E7"/>
    <w:rsid w:val="004C4F80"/>
    <w:rsid w:val="004C5759"/>
    <w:rsid w:val="004C7191"/>
    <w:rsid w:val="004D0248"/>
    <w:rsid w:val="004D0BDF"/>
    <w:rsid w:val="004D21B4"/>
    <w:rsid w:val="004D3A0B"/>
    <w:rsid w:val="004D400C"/>
    <w:rsid w:val="004D469E"/>
    <w:rsid w:val="004D4B67"/>
    <w:rsid w:val="004E0F69"/>
    <w:rsid w:val="004E47D8"/>
    <w:rsid w:val="004E4BBD"/>
    <w:rsid w:val="004E4C63"/>
    <w:rsid w:val="004E5018"/>
    <w:rsid w:val="004E5C28"/>
    <w:rsid w:val="004E5EFE"/>
    <w:rsid w:val="004F064A"/>
    <w:rsid w:val="004F0FD3"/>
    <w:rsid w:val="004F2231"/>
    <w:rsid w:val="004F3FEB"/>
    <w:rsid w:val="004F774D"/>
    <w:rsid w:val="004F79D9"/>
    <w:rsid w:val="0050104B"/>
    <w:rsid w:val="005014CD"/>
    <w:rsid w:val="00501793"/>
    <w:rsid w:val="00502114"/>
    <w:rsid w:val="00505BFD"/>
    <w:rsid w:val="00506DCF"/>
    <w:rsid w:val="00507B4B"/>
    <w:rsid w:val="00507D52"/>
    <w:rsid w:val="00510368"/>
    <w:rsid w:val="00510AA1"/>
    <w:rsid w:val="00511E6F"/>
    <w:rsid w:val="00512879"/>
    <w:rsid w:val="005176D0"/>
    <w:rsid w:val="005204CB"/>
    <w:rsid w:val="00520C9A"/>
    <w:rsid w:val="00520DE3"/>
    <w:rsid w:val="00521224"/>
    <w:rsid w:val="00522A18"/>
    <w:rsid w:val="00524F37"/>
    <w:rsid w:val="00525AEA"/>
    <w:rsid w:val="00525FA8"/>
    <w:rsid w:val="005261A2"/>
    <w:rsid w:val="005272D8"/>
    <w:rsid w:val="00530B7D"/>
    <w:rsid w:val="0053139A"/>
    <w:rsid w:val="005319EA"/>
    <w:rsid w:val="00531CA6"/>
    <w:rsid w:val="00531EA2"/>
    <w:rsid w:val="00532D90"/>
    <w:rsid w:val="005334CB"/>
    <w:rsid w:val="00533D48"/>
    <w:rsid w:val="00535BDA"/>
    <w:rsid w:val="005410F1"/>
    <w:rsid w:val="0054181C"/>
    <w:rsid w:val="005419E9"/>
    <w:rsid w:val="00541DC9"/>
    <w:rsid w:val="00542475"/>
    <w:rsid w:val="005440CF"/>
    <w:rsid w:val="00544CA6"/>
    <w:rsid w:val="00550929"/>
    <w:rsid w:val="00550C9C"/>
    <w:rsid w:val="00550FF2"/>
    <w:rsid w:val="005516A8"/>
    <w:rsid w:val="005545AE"/>
    <w:rsid w:val="00554A16"/>
    <w:rsid w:val="00556496"/>
    <w:rsid w:val="00560786"/>
    <w:rsid w:val="00562521"/>
    <w:rsid w:val="0056268F"/>
    <w:rsid w:val="0056306F"/>
    <w:rsid w:val="00563557"/>
    <w:rsid w:val="0056476B"/>
    <w:rsid w:val="0056530F"/>
    <w:rsid w:val="00565C3C"/>
    <w:rsid w:val="005663C6"/>
    <w:rsid w:val="0057085B"/>
    <w:rsid w:val="00570C6B"/>
    <w:rsid w:val="00571A00"/>
    <w:rsid w:val="00572DF6"/>
    <w:rsid w:val="00573388"/>
    <w:rsid w:val="00573AB6"/>
    <w:rsid w:val="00577D77"/>
    <w:rsid w:val="00577FFD"/>
    <w:rsid w:val="00580725"/>
    <w:rsid w:val="005824D3"/>
    <w:rsid w:val="00582BC1"/>
    <w:rsid w:val="00586657"/>
    <w:rsid w:val="00586FDE"/>
    <w:rsid w:val="005872A0"/>
    <w:rsid w:val="00587826"/>
    <w:rsid w:val="00587C9B"/>
    <w:rsid w:val="00587F89"/>
    <w:rsid w:val="005902A2"/>
    <w:rsid w:val="00590E5A"/>
    <w:rsid w:val="005916AD"/>
    <w:rsid w:val="00593B1A"/>
    <w:rsid w:val="005940D1"/>
    <w:rsid w:val="00594E34"/>
    <w:rsid w:val="00595ADB"/>
    <w:rsid w:val="00596A82"/>
    <w:rsid w:val="00596C14"/>
    <w:rsid w:val="005A1053"/>
    <w:rsid w:val="005A1219"/>
    <w:rsid w:val="005A21C3"/>
    <w:rsid w:val="005A2BB7"/>
    <w:rsid w:val="005A3350"/>
    <w:rsid w:val="005A3A8D"/>
    <w:rsid w:val="005A4ADA"/>
    <w:rsid w:val="005A698E"/>
    <w:rsid w:val="005A6F2F"/>
    <w:rsid w:val="005B0F08"/>
    <w:rsid w:val="005B283E"/>
    <w:rsid w:val="005B2965"/>
    <w:rsid w:val="005B2D50"/>
    <w:rsid w:val="005B3A18"/>
    <w:rsid w:val="005B41AA"/>
    <w:rsid w:val="005B4F61"/>
    <w:rsid w:val="005B57EF"/>
    <w:rsid w:val="005C1A04"/>
    <w:rsid w:val="005C3034"/>
    <w:rsid w:val="005C348F"/>
    <w:rsid w:val="005C5968"/>
    <w:rsid w:val="005C60BE"/>
    <w:rsid w:val="005C6CB1"/>
    <w:rsid w:val="005C7707"/>
    <w:rsid w:val="005C7D34"/>
    <w:rsid w:val="005D133C"/>
    <w:rsid w:val="005D3309"/>
    <w:rsid w:val="005D33D4"/>
    <w:rsid w:val="005D5CF2"/>
    <w:rsid w:val="005D6CF7"/>
    <w:rsid w:val="005D7FCA"/>
    <w:rsid w:val="005E081D"/>
    <w:rsid w:val="005E1232"/>
    <w:rsid w:val="005E485F"/>
    <w:rsid w:val="005E57D9"/>
    <w:rsid w:val="005E7CC2"/>
    <w:rsid w:val="005F0658"/>
    <w:rsid w:val="005F6270"/>
    <w:rsid w:val="005F77A2"/>
    <w:rsid w:val="0060029B"/>
    <w:rsid w:val="006002AA"/>
    <w:rsid w:val="00601F0C"/>
    <w:rsid w:val="00601F43"/>
    <w:rsid w:val="00602AD8"/>
    <w:rsid w:val="00602D24"/>
    <w:rsid w:val="006032BF"/>
    <w:rsid w:val="006034D0"/>
    <w:rsid w:val="00604B41"/>
    <w:rsid w:val="00605C92"/>
    <w:rsid w:val="0060707D"/>
    <w:rsid w:val="006071AC"/>
    <w:rsid w:val="0060791B"/>
    <w:rsid w:val="00611C67"/>
    <w:rsid w:val="00613C4B"/>
    <w:rsid w:val="00614076"/>
    <w:rsid w:val="00614391"/>
    <w:rsid w:val="00614E5A"/>
    <w:rsid w:val="00616235"/>
    <w:rsid w:val="00620244"/>
    <w:rsid w:val="00620B8A"/>
    <w:rsid w:val="0062275E"/>
    <w:rsid w:val="0062413E"/>
    <w:rsid w:val="0062554E"/>
    <w:rsid w:val="006258B1"/>
    <w:rsid w:val="00630230"/>
    <w:rsid w:val="00630E03"/>
    <w:rsid w:val="00631233"/>
    <w:rsid w:val="00631513"/>
    <w:rsid w:val="0063197E"/>
    <w:rsid w:val="00632042"/>
    <w:rsid w:val="00634E58"/>
    <w:rsid w:val="00635345"/>
    <w:rsid w:val="00635E2F"/>
    <w:rsid w:val="00636EB6"/>
    <w:rsid w:val="006374F9"/>
    <w:rsid w:val="00637CB0"/>
    <w:rsid w:val="00640B8B"/>
    <w:rsid w:val="00641184"/>
    <w:rsid w:val="00641990"/>
    <w:rsid w:val="00643E28"/>
    <w:rsid w:val="00645153"/>
    <w:rsid w:val="00646223"/>
    <w:rsid w:val="00647799"/>
    <w:rsid w:val="00650304"/>
    <w:rsid w:val="006529FA"/>
    <w:rsid w:val="006535F8"/>
    <w:rsid w:val="00653B45"/>
    <w:rsid w:val="006569A9"/>
    <w:rsid w:val="00657CAF"/>
    <w:rsid w:val="0066039A"/>
    <w:rsid w:val="00662123"/>
    <w:rsid w:val="00663B7B"/>
    <w:rsid w:val="00663D86"/>
    <w:rsid w:val="006640FF"/>
    <w:rsid w:val="0066461E"/>
    <w:rsid w:val="00665387"/>
    <w:rsid w:val="0066583E"/>
    <w:rsid w:val="00667145"/>
    <w:rsid w:val="0066718B"/>
    <w:rsid w:val="006673BB"/>
    <w:rsid w:val="006677A6"/>
    <w:rsid w:val="00670AD9"/>
    <w:rsid w:val="00671197"/>
    <w:rsid w:val="006713C2"/>
    <w:rsid w:val="00671674"/>
    <w:rsid w:val="00671713"/>
    <w:rsid w:val="006719F3"/>
    <w:rsid w:val="006728B8"/>
    <w:rsid w:val="00673AE4"/>
    <w:rsid w:val="00673D28"/>
    <w:rsid w:val="0067402D"/>
    <w:rsid w:val="00675E56"/>
    <w:rsid w:val="00675EAE"/>
    <w:rsid w:val="00675EDB"/>
    <w:rsid w:val="0067632C"/>
    <w:rsid w:val="00676EB1"/>
    <w:rsid w:val="00677A85"/>
    <w:rsid w:val="006805A5"/>
    <w:rsid w:val="00680B51"/>
    <w:rsid w:val="00680F6F"/>
    <w:rsid w:val="00681E64"/>
    <w:rsid w:val="006820BF"/>
    <w:rsid w:val="006821E3"/>
    <w:rsid w:val="00682E33"/>
    <w:rsid w:val="006840E1"/>
    <w:rsid w:val="00684DB3"/>
    <w:rsid w:val="00687F92"/>
    <w:rsid w:val="00690E89"/>
    <w:rsid w:val="00693518"/>
    <w:rsid w:val="00693F2B"/>
    <w:rsid w:val="00694C51"/>
    <w:rsid w:val="006951B8"/>
    <w:rsid w:val="006955E7"/>
    <w:rsid w:val="00695B03"/>
    <w:rsid w:val="00695FCF"/>
    <w:rsid w:val="00696965"/>
    <w:rsid w:val="00696DDA"/>
    <w:rsid w:val="00696EF2"/>
    <w:rsid w:val="006A135C"/>
    <w:rsid w:val="006A243E"/>
    <w:rsid w:val="006A48B5"/>
    <w:rsid w:val="006A4CFB"/>
    <w:rsid w:val="006A5914"/>
    <w:rsid w:val="006A6597"/>
    <w:rsid w:val="006A71A2"/>
    <w:rsid w:val="006B2505"/>
    <w:rsid w:val="006B3337"/>
    <w:rsid w:val="006B4075"/>
    <w:rsid w:val="006B4A58"/>
    <w:rsid w:val="006B5E7A"/>
    <w:rsid w:val="006B6817"/>
    <w:rsid w:val="006B6956"/>
    <w:rsid w:val="006C09E3"/>
    <w:rsid w:val="006C17D2"/>
    <w:rsid w:val="006C3014"/>
    <w:rsid w:val="006C41FF"/>
    <w:rsid w:val="006C4E62"/>
    <w:rsid w:val="006C7521"/>
    <w:rsid w:val="006D254F"/>
    <w:rsid w:val="006D2E9C"/>
    <w:rsid w:val="006D30E8"/>
    <w:rsid w:val="006D502F"/>
    <w:rsid w:val="006D5067"/>
    <w:rsid w:val="006D6B8C"/>
    <w:rsid w:val="006D73D4"/>
    <w:rsid w:val="006D7A16"/>
    <w:rsid w:val="006D7F65"/>
    <w:rsid w:val="006E1EA3"/>
    <w:rsid w:val="006E2142"/>
    <w:rsid w:val="006E265E"/>
    <w:rsid w:val="006E27FD"/>
    <w:rsid w:val="006E4495"/>
    <w:rsid w:val="006E4DAD"/>
    <w:rsid w:val="006E56F1"/>
    <w:rsid w:val="006E6CC2"/>
    <w:rsid w:val="006F27DE"/>
    <w:rsid w:val="006F5C05"/>
    <w:rsid w:val="006F5E1D"/>
    <w:rsid w:val="006F6ADA"/>
    <w:rsid w:val="006F707F"/>
    <w:rsid w:val="006F7E22"/>
    <w:rsid w:val="00701CC2"/>
    <w:rsid w:val="007028B2"/>
    <w:rsid w:val="007034D2"/>
    <w:rsid w:val="007036DF"/>
    <w:rsid w:val="0070382E"/>
    <w:rsid w:val="0070478C"/>
    <w:rsid w:val="0070548A"/>
    <w:rsid w:val="0070621C"/>
    <w:rsid w:val="00706682"/>
    <w:rsid w:val="007072CA"/>
    <w:rsid w:val="00707993"/>
    <w:rsid w:val="00710B7D"/>
    <w:rsid w:val="0071123A"/>
    <w:rsid w:val="00711E25"/>
    <w:rsid w:val="00712A2C"/>
    <w:rsid w:val="00712C44"/>
    <w:rsid w:val="007138CC"/>
    <w:rsid w:val="0071439B"/>
    <w:rsid w:val="00714848"/>
    <w:rsid w:val="00714FA6"/>
    <w:rsid w:val="00715D3D"/>
    <w:rsid w:val="007209B4"/>
    <w:rsid w:val="00720FB7"/>
    <w:rsid w:val="0072122E"/>
    <w:rsid w:val="00723B85"/>
    <w:rsid w:val="00724554"/>
    <w:rsid w:val="007257B8"/>
    <w:rsid w:val="00725DCD"/>
    <w:rsid w:val="00727A83"/>
    <w:rsid w:val="0073174A"/>
    <w:rsid w:val="00732592"/>
    <w:rsid w:val="0073280F"/>
    <w:rsid w:val="007333BE"/>
    <w:rsid w:val="007335A8"/>
    <w:rsid w:val="00736855"/>
    <w:rsid w:val="00737013"/>
    <w:rsid w:val="0073747A"/>
    <w:rsid w:val="0073764E"/>
    <w:rsid w:val="00737DDD"/>
    <w:rsid w:val="00740765"/>
    <w:rsid w:val="007414A3"/>
    <w:rsid w:val="00741C6B"/>
    <w:rsid w:val="00743D67"/>
    <w:rsid w:val="0075099D"/>
    <w:rsid w:val="0075229E"/>
    <w:rsid w:val="007544BE"/>
    <w:rsid w:val="00756B84"/>
    <w:rsid w:val="00756D61"/>
    <w:rsid w:val="0075721B"/>
    <w:rsid w:val="00757A75"/>
    <w:rsid w:val="00760136"/>
    <w:rsid w:val="00760496"/>
    <w:rsid w:val="0076053B"/>
    <w:rsid w:val="00763FB0"/>
    <w:rsid w:val="007652AF"/>
    <w:rsid w:val="007667ED"/>
    <w:rsid w:val="00770D2D"/>
    <w:rsid w:val="00772444"/>
    <w:rsid w:val="00772C0B"/>
    <w:rsid w:val="007738D0"/>
    <w:rsid w:val="00773C7D"/>
    <w:rsid w:val="00773EC0"/>
    <w:rsid w:val="00774E33"/>
    <w:rsid w:val="0077567A"/>
    <w:rsid w:val="00775DA1"/>
    <w:rsid w:val="00776C47"/>
    <w:rsid w:val="00780533"/>
    <w:rsid w:val="00780D8F"/>
    <w:rsid w:val="0078262C"/>
    <w:rsid w:val="00782F53"/>
    <w:rsid w:val="007830E9"/>
    <w:rsid w:val="0078344A"/>
    <w:rsid w:val="00783898"/>
    <w:rsid w:val="007847DB"/>
    <w:rsid w:val="00786BC4"/>
    <w:rsid w:val="0078737D"/>
    <w:rsid w:val="00790464"/>
    <w:rsid w:val="00790E8C"/>
    <w:rsid w:val="00791CAB"/>
    <w:rsid w:val="007939B6"/>
    <w:rsid w:val="007964C7"/>
    <w:rsid w:val="007965F2"/>
    <w:rsid w:val="00796755"/>
    <w:rsid w:val="0079678B"/>
    <w:rsid w:val="007974E2"/>
    <w:rsid w:val="007A1C59"/>
    <w:rsid w:val="007A4969"/>
    <w:rsid w:val="007A6D9A"/>
    <w:rsid w:val="007B01D2"/>
    <w:rsid w:val="007B04E4"/>
    <w:rsid w:val="007B05F7"/>
    <w:rsid w:val="007B14A4"/>
    <w:rsid w:val="007B1924"/>
    <w:rsid w:val="007B199A"/>
    <w:rsid w:val="007B1BA6"/>
    <w:rsid w:val="007B2104"/>
    <w:rsid w:val="007B48F8"/>
    <w:rsid w:val="007B4C9D"/>
    <w:rsid w:val="007B4CB6"/>
    <w:rsid w:val="007B55B5"/>
    <w:rsid w:val="007B5624"/>
    <w:rsid w:val="007C0C20"/>
    <w:rsid w:val="007C264B"/>
    <w:rsid w:val="007C3D92"/>
    <w:rsid w:val="007C5078"/>
    <w:rsid w:val="007C5420"/>
    <w:rsid w:val="007C5542"/>
    <w:rsid w:val="007C5E63"/>
    <w:rsid w:val="007C60EC"/>
    <w:rsid w:val="007C62C2"/>
    <w:rsid w:val="007C7E5A"/>
    <w:rsid w:val="007D03D5"/>
    <w:rsid w:val="007D1008"/>
    <w:rsid w:val="007D1B67"/>
    <w:rsid w:val="007D2672"/>
    <w:rsid w:val="007D4B6B"/>
    <w:rsid w:val="007D62DC"/>
    <w:rsid w:val="007D7930"/>
    <w:rsid w:val="007E0965"/>
    <w:rsid w:val="007E1DB9"/>
    <w:rsid w:val="007E3347"/>
    <w:rsid w:val="007E497F"/>
    <w:rsid w:val="007E4A1A"/>
    <w:rsid w:val="007E6B12"/>
    <w:rsid w:val="007E6C02"/>
    <w:rsid w:val="007E728E"/>
    <w:rsid w:val="007E784C"/>
    <w:rsid w:val="007E7C5E"/>
    <w:rsid w:val="007F01D1"/>
    <w:rsid w:val="007F130A"/>
    <w:rsid w:val="007F236D"/>
    <w:rsid w:val="007F2ABD"/>
    <w:rsid w:val="007F2BD9"/>
    <w:rsid w:val="007F3411"/>
    <w:rsid w:val="007F3D4F"/>
    <w:rsid w:val="007F46C8"/>
    <w:rsid w:val="007F5D18"/>
    <w:rsid w:val="007F7278"/>
    <w:rsid w:val="007F798A"/>
    <w:rsid w:val="00801A38"/>
    <w:rsid w:val="00802069"/>
    <w:rsid w:val="008025DC"/>
    <w:rsid w:val="00803441"/>
    <w:rsid w:val="00803C62"/>
    <w:rsid w:val="00804056"/>
    <w:rsid w:val="008042C1"/>
    <w:rsid w:val="00804F6E"/>
    <w:rsid w:val="00806EC8"/>
    <w:rsid w:val="008073A9"/>
    <w:rsid w:val="00811DF6"/>
    <w:rsid w:val="00814CE9"/>
    <w:rsid w:val="00815A7F"/>
    <w:rsid w:val="00815D73"/>
    <w:rsid w:val="00816352"/>
    <w:rsid w:val="008168C6"/>
    <w:rsid w:val="00817312"/>
    <w:rsid w:val="008176D9"/>
    <w:rsid w:val="00823413"/>
    <w:rsid w:val="008243AC"/>
    <w:rsid w:val="00825BCB"/>
    <w:rsid w:val="0082609D"/>
    <w:rsid w:val="00826E81"/>
    <w:rsid w:val="008270A6"/>
    <w:rsid w:val="00827BB7"/>
    <w:rsid w:val="0083112B"/>
    <w:rsid w:val="00831988"/>
    <w:rsid w:val="00832233"/>
    <w:rsid w:val="00832BDC"/>
    <w:rsid w:val="0083364D"/>
    <w:rsid w:val="0083367B"/>
    <w:rsid w:val="008340F1"/>
    <w:rsid w:val="008344E3"/>
    <w:rsid w:val="00834A4A"/>
    <w:rsid w:val="00834C09"/>
    <w:rsid w:val="0083539A"/>
    <w:rsid w:val="0083564F"/>
    <w:rsid w:val="008356C6"/>
    <w:rsid w:val="0083673F"/>
    <w:rsid w:val="00837343"/>
    <w:rsid w:val="008409F8"/>
    <w:rsid w:val="00844028"/>
    <w:rsid w:val="0084493B"/>
    <w:rsid w:val="00845D51"/>
    <w:rsid w:val="008469EE"/>
    <w:rsid w:val="0085024A"/>
    <w:rsid w:val="008506DB"/>
    <w:rsid w:val="008513F9"/>
    <w:rsid w:val="008520A8"/>
    <w:rsid w:val="008521CA"/>
    <w:rsid w:val="00852FF8"/>
    <w:rsid w:val="00853A5E"/>
    <w:rsid w:val="00854523"/>
    <w:rsid w:val="00856033"/>
    <w:rsid w:val="008566B3"/>
    <w:rsid w:val="00856765"/>
    <w:rsid w:val="00856B3F"/>
    <w:rsid w:val="00856B73"/>
    <w:rsid w:val="00857A3F"/>
    <w:rsid w:val="00857F4D"/>
    <w:rsid w:val="00862ED1"/>
    <w:rsid w:val="00863954"/>
    <w:rsid w:val="00864CDB"/>
    <w:rsid w:val="00865C41"/>
    <w:rsid w:val="00867AEB"/>
    <w:rsid w:val="008714B6"/>
    <w:rsid w:val="0087532F"/>
    <w:rsid w:val="008775A4"/>
    <w:rsid w:val="00880F66"/>
    <w:rsid w:val="00881122"/>
    <w:rsid w:val="00881362"/>
    <w:rsid w:val="00881634"/>
    <w:rsid w:val="00881918"/>
    <w:rsid w:val="00881AF4"/>
    <w:rsid w:val="008834FE"/>
    <w:rsid w:val="00883BC1"/>
    <w:rsid w:val="00884474"/>
    <w:rsid w:val="00884AE7"/>
    <w:rsid w:val="0088656A"/>
    <w:rsid w:val="00890405"/>
    <w:rsid w:val="008920DC"/>
    <w:rsid w:val="0089389F"/>
    <w:rsid w:val="008952D7"/>
    <w:rsid w:val="0089530E"/>
    <w:rsid w:val="008956D1"/>
    <w:rsid w:val="008957EB"/>
    <w:rsid w:val="008957EF"/>
    <w:rsid w:val="008972B2"/>
    <w:rsid w:val="008976A1"/>
    <w:rsid w:val="008A0E25"/>
    <w:rsid w:val="008A1766"/>
    <w:rsid w:val="008A3399"/>
    <w:rsid w:val="008A67CF"/>
    <w:rsid w:val="008A6928"/>
    <w:rsid w:val="008A75DE"/>
    <w:rsid w:val="008B00E3"/>
    <w:rsid w:val="008B13E8"/>
    <w:rsid w:val="008B2BA7"/>
    <w:rsid w:val="008B311F"/>
    <w:rsid w:val="008B3494"/>
    <w:rsid w:val="008B3B50"/>
    <w:rsid w:val="008B60A3"/>
    <w:rsid w:val="008B67C5"/>
    <w:rsid w:val="008B7022"/>
    <w:rsid w:val="008C084F"/>
    <w:rsid w:val="008C0A82"/>
    <w:rsid w:val="008C29D7"/>
    <w:rsid w:val="008C4980"/>
    <w:rsid w:val="008C5798"/>
    <w:rsid w:val="008C6A3E"/>
    <w:rsid w:val="008D0255"/>
    <w:rsid w:val="008D12F8"/>
    <w:rsid w:val="008D1444"/>
    <w:rsid w:val="008D2BDD"/>
    <w:rsid w:val="008D33F8"/>
    <w:rsid w:val="008D4BC6"/>
    <w:rsid w:val="008D5B31"/>
    <w:rsid w:val="008D63DE"/>
    <w:rsid w:val="008E3740"/>
    <w:rsid w:val="008E43D0"/>
    <w:rsid w:val="008E4AD4"/>
    <w:rsid w:val="008E6E4F"/>
    <w:rsid w:val="008F1906"/>
    <w:rsid w:val="008F2550"/>
    <w:rsid w:val="008F2E54"/>
    <w:rsid w:val="008F6975"/>
    <w:rsid w:val="008F6E1D"/>
    <w:rsid w:val="008F72C4"/>
    <w:rsid w:val="008F7C0C"/>
    <w:rsid w:val="00900A5F"/>
    <w:rsid w:val="00902865"/>
    <w:rsid w:val="00903822"/>
    <w:rsid w:val="00904A76"/>
    <w:rsid w:val="0090652E"/>
    <w:rsid w:val="00906DD1"/>
    <w:rsid w:val="00911A73"/>
    <w:rsid w:val="0091562E"/>
    <w:rsid w:val="009171F5"/>
    <w:rsid w:val="00917BA0"/>
    <w:rsid w:val="00917D94"/>
    <w:rsid w:val="00920C2E"/>
    <w:rsid w:val="00920E58"/>
    <w:rsid w:val="00920FA8"/>
    <w:rsid w:val="00921057"/>
    <w:rsid w:val="00921980"/>
    <w:rsid w:val="00921E42"/>
    <w:rsid w:val="009221E2"/>
    <w:rsid w:val="00924122"/>
    <w:rsid w:val="009241E0"/>
    <w:rsid w:val="009252ED"/>
    <w:rsid w:val="0092558B"/>
    <w:rsid w:val="009267C6"/>
    <w:rsid w:val="00930CCE"/>
    <w:rsid w:val="00931A17"/>
    <w:rsid w:val="009329EF"/>
    <w:rsid w:val="00935354"/>
    <w:rsid w:val="009353AC"/>
    <w:rsid w:val="009360C0"/>
    <w:rsid w:val="0093653B"/>
    <w:rsid w:val="00936FF7"/>
    <w:rsid w:val="00937550"/>
    <w:rsid w:val="00941700"/>
    <w:rsid w:val="00943449"/>
    <w:rsid w:val="009440C4"/>
    <w:rsid w:val="00944563"/>
    <w:rsid w:val="00945074"/>
    <w:rsid w:val="00945285"/>
    <w:rsid w:val="00947084"/>
    <w:rsid w:val="00947FBD"/>
    <w:rsid w:val="009519A7"/>
    <w:rsid w:val="00954B63"/>
    <w:rsid w:val="00955C33"/>
    <w:rsid w:val="00955C78"/>
    <w:rsid w:val="009565DD"/>
    <w:rsid w:val="0095699A"/>
    <w:rsid w:val="00957435"/>
    <w:rsid w:val="00957526"/>
    <w:rsid w:val="00957D24"/>
    <w:rsid w:val="009605F2"/>
    <w:rsid w:val="009630B4"/>
    <w:rsid w:val="009650B3"/>
    <w:rsid w:val="00965964"/>
    <w:rsid w:val="00967261"/>
    <w:rsid w:val="00967CFF"/>
    <w:rsid w:val="0097162D"/>
    <w:rsid w:val="009722DB"/>
    <w:rsid w:val="00972436"/>
    <w:rsid w:val="00973B94"/>
    <w:rsid w:val="00974F6D"/>
    <w:rsid w:val="00975120"/>
    <w:rsid w:val="00975C8A"/>
    <w:rsid w:val="00976F80"/>
    <w:rsid w:val="009770DC"/>
    <w:rsid w:val="0097797D"/>
    <w:rsid w:val="009805F2"/>
    <w:rsid w:val="00981D4F"/>
    <w:rsid w:val="00983561"/>
    <w:rsid w:val="00983DD9"/>
    <w:rsid w:val="00986052"/>
    <w:rsid w:val="009863A0"/>
    <w:rsid w:val="00987C74"/>
    <w:rsid w:val="00992312"/>
    <w:rsid w:val="00992CB4"/>
    <w:rsid w:val="00993F85"/>
    <w:rsid w:val="00994A6B"/>
    <w:rsid w:val="009966DC"/>
    <w:rsid w:val="009968A0"/>
    <w:rsid w:val="00996FA7"/>
    <w:rsid w:val="009A1968"/>
    <w:rsid w:val="009A2DA3"/>
    <w:rsid w:val="009A2DCE"/>
    <w:rsid w:val="009A3ADF"/>
    <w:rsid w:val="009A5D79"/>
    <w:rsid w:val="009A662A"/>
    <w:rsid w:val="009A6C03"/>
    <w:rsid w:val="009A7F2E"/>
    <w:rsid w:val="009A7FDA"/>
    <w:rsid w:val="009B0070"/>
    <w:rsid w:val="009B0372"/>
    <w:rsid w:val="009B0C1D"/>
    <w:rsid w:val="009B12D6"/>
    <w:rsid w:val="009B2491"/>
    <w:rsid w:val="009B2E68"/>
    <w:rsid w:val="009B33B1"/>
    <w:rsid w:val="009B3A00"/>
    <w:rsid w:val="009B3FF2"/>
    <w:rsid w:val="009B5BF8"/>
    <w:rsid w:val="009C0CB2"/>
    <w:rsid w:val="009C0D95"/>
    <w:rsid w:val="009C1A22"/>
    <w:rsid w:val="009C2C3C"/>
    <w:rsid w:val="009C4786"/>
    <w:rsid w:val="009C603E"/>
    <w:rsid w:val="009C7037"/>
    <w:rsid w:val="009C7943"/>
    <w:rsid w:val="009C7C25"/>
    <w:rsid w:val="009C7DEA"/>
    <w:rsid w:val="009D1970"/>
    <w:rsid w:val="009D1A5C"/>
    <w:rsid w:val="009D2044"/>
    <w:rsid w:val="009D3FE7"/>
    <w:rsid w:val="009D4F4F"/>
    <w:rsid w:val="009D6E1C"/>
    <w:rsid w:val="009D6F4E"/>
    <w:rsid w:val="009D7945"/>
    <w:rsid w:val="009E2840"/>
    <w:rsid w:val="009E30A5"/>
    <w:rsid w:val="009E3CEE"/>
    <w:rsid w:val="009E3EAC"/>
    <w:rsid w:val="009E4342"/>
    <w:rsid w:val="009E6BE3"/>
    <w:rsid w:val="009E75B1"/>
    <w:rsid w:val="009E77F3"/>
    <w:rsid w:val="009F03B6"/>
    <w:rsid w:val="009F0432"/>
    <w:rsid w:val="009F2842"/>
    <w:rsid w:val="009F2CAA"/>
    <w:rsid w:val="009F3165"/>
    <w:rsid w:val="009F4B17"/>
    <w:rsid w:val="009F534C"/>
    <w:rsid w:val="009F691A"/>
    <w:rsid w:val="009F6B11"/>
    <w:rsid w:val="00A0147B"/>
    <w:rsid w:val="00A034D8"/>
    <w:rsid w:val="00A0440F"/>
    <w:rsid w:val="00A04DE3"/>
    <w:rsid w:val="00A04E54"/>
    <w:rsid w:val="00A061EB"/>
    <w:rsid w:val="00A0692C"/>
    <w:rsid w:val="00A0698F"/>
    <w:rsid w:val="00A07051"/>
    <w:rsid w:val="00A102FD"/>
    <w:rsid w:val="00A111E1"/>
    <w:rsid w:val="00A12E53"/>
    <w:rsid w:val="00A12ECA"/>
    <w:rsid w:val="00A1328A"/>
    <w:rsid w:val="00A13DFC"/>
    <w:rsid w:val="00A14601"/>
    <w:rsid w:val="00A15861"/>
    <w:rsid w:val="00A15A7C"/>
    <w:rsid w:val="00A16B16"/>
    <w:rsid w:val="00A23E03"/>
    <w:rsid w:val="00A24A0C"/>
    <w:rsid w:val="00A262FF"/>
    <w:rsid w:val="00A27573"/>
    <w:rsid w:val="00A2763D"/>
    <w:rsid w:val="00A277F8"/>
    <w:rsid w:val="00A326F0"/>
    <w:rsid w:val="00A364A1"/>
    <w:rsid w:val="00A36649"/>
    <w:rsid w:val="00A36D32"/>
    <w:rsid w:val="00A401BC"/>
    <w:rsid w:val="00A40F25"/>
    <w:rsid w:val="00A42A7F"/>
    <w:rsid w:val="00A436C7"/>
    <w:rsid w:val="00A44114"/>
    <w:rsid w:val="00A4498E"/>
    <w:rsid w:val="00A44F7D"/>
    <w:rsid w:val="00A4592F"/>
    <w:rsid w:val="00A45EA3"/>
    <w:rsid w:val="00A50527"/>
    <w:rsid w:val="00A53D99"/>
    <w:rsid w:val="00A5678F"/>
    <w:rsid w:val="00A57E00"/>
    <w:rsid w:val="00A60022"/>
    <w:rsid w:val="00A63606"/>
    <w:rsid w:val="00A640FB"/>
    <w:rsid w:val="00A650B3"/>
    <w:rsid w:val="00A652B5"/>
    <w:rsid w:val="00A65944"/>
    <w:rsid w:val="00A65B9D"/>
    <w:rsid w:val="00A65D3E"/>
    <w:rsid w:val="00A66062"/>
    <w:rsid w:val="00A66317"/>
    <w:rsid w:val="00A66E9E"/>
    <w:rsid w:val="00A66F3E"/>
    <w:rsid w:val="00A710F1"/>
    <w:rsid w:val="00A71D3F"/>
    <w:rsid w:val="00A71F87"/>
    <w:rsid w:val="00A71FF1"/>
    <w:rsid w:val="00A7213D"/>
    <w:rsid w:val="00A726D2"/>
    <w:rsid w:val="00A73F36"/>
    <w:rsid w:val="00A76386"/>
    <w:rsid w:val="00A76C57"/>
    <w:rsid w:val="00A7781C"/>
    <w:rsid w:val="00A77C51"/>
    <w:rsid w:val="00A80422"/>
    <w:rsid w:val="00A811B1"/>
    <w:rsid w:val="00A833D7"/>
    <w:rsid w:val="00A8485C"/>
    <w:rsid w:val="00A86DA7"/>
    <w:rsid w:val="00A87959"/>
    <w:rsid w:val="00A90BF1"/>
    <w:rsid w:val="00A91E49"/>
    <w:rsid w:val="00A9205A"/>
    <w:rsid w:val="00A953F8"/>
    <w:rsid w:val="00A95FAC"/>
    <w:rsid w:val="00A96450"/>
    <w:rsid w:val="00A969F4"/>
    <w:rsid w:val="00A97626"/>
    <w:rsid w:val="00A97A53"/>
    <w:rsid w:val="00AA0983"/>
    <w:rsid w:val="00AA2A57"/>
    <w:rsid w:val="00AA5738"/>
    <w:rsid w:val="00AB0FBF"/>
    <w:rsid w:val="00AB2F97"/>
    <w:rsid w:val="00AB59A3"/>
    <w:rsid w:val="00AB5A9E"/>
    <w:rsid w:val="00AC18D7"/>
    <w:rsid w:val="00AC2611"/>
    <w:rsid w:val="00AC2E6A"/>
    <w:rsid w:val="00AC32A3"/>
    <w:rsid w:val="00AC5163"/>
    <w:rsid w:val="00AC5FC5"/>
    <w:rsid w:val="00AD05A6"/>
    <w:rsid w:val="00AD05EC"/>
    <w:rsid w:val="00AD436F"/>
    <w:rsid w:val="00AD54C0"/>
    <w:rsid w:val="00AD650C"/>
    <w:rsid w:val="00AD6ECE"/>
    <w:rsid w:val="00AD6F2D"/>
    <w:rsid w:val="00AD7456"/>
    <w:rsid w:val="00AD7467"/>
    <w:rsid w:val="00AE0F77"/>
    <w:rsid w:val="00AE2004"/>
    <w:rsid w:val="00AE33B0"/>
    <w:rsid w:val="00AE4C5E"/>
    <w:rsid w:val="00AE52B8"/>
    <w:rsid w:val="00AE7BCB"/>
    <w:rsid w:val="00AE7C72"/>
    <w:rsid w:val="00AF04FA"/>
    <w:rsid w:val="00AF0726"/>
    <w:rsid w:val="00AF24B2"/>
    <w:rsid w:val="00AF3265"/>
    <w:rsid w:val="00AF3B0B"/>
    <w:rsid w:val="00AF3E55"/>
    <w:rsid w:val="00AF529C"/>
    <w:rsid w:val="00AF5345"/>
    <w:rsid w:val="00AF5B03"/>
    <w:rsid w:val="00AF60B7"/>
    <w:rsid w:val="00AF6AB3"/>
    <w:rsid w:val="00B01287"/>
    <w:rsid w:val="00B01613"/>
    <w:rsid w:val="00B03791"/>
    <w:rsid w:val="00B047F1"/>
    <w:rsid w:val="00B051CC"/>
    <w:rsid w:val="00B05DEA"/>
    <w:rsid w:val="00B07636"/>
    <w:rsid w:val="00B105D4"/>
    <w:rsid w:val="00B11C8C"/>
    <w:rsid w:val="00B1325C"/>
    <w:rsid w:val="00B15995"/>
    <w:rsid w:val="00B16885"/>
    <w:rsid w:val="00B1726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280C"/>
    <w:rsid w:val="00B34570"/>
    <w:rsid w:val="00B365C9"/>
    <w:rsid w:val="00B375D7"/>
    <w:rsid w:val="00B40169"/>
    <w:rsid w:val="00B40BD6"/>
    <w:rsid w:val="00B41766"/>
    <w:rsid w:val="00B4258F"/>
    <w:rsid w:val="00B43BAA"/>
    <w:rsid w:val="00B440C1"/>
    <w:rsid w:val="00B46F5D"/>
    <w:rsid w:val="00B5071A"/>
    <w:rsid w:val="00B507D6"/>
    <w:rsid w:val="00B510D1"/>
    <w:rsid w:val="00B516F4"/>
    <w:rsid w:val="00B535A9"/>
    <w:rsid w:val="00B53695"/>
    <w:rsid w:val="00B55A88"/>
    <w:rsid w:val="00B560F9"/>
    <w:rsid w:val="00B6021A"/>
    <w:rsid w:val="00B603E0"/>
    <w:rsid w:val="00B60DBC"/>
    <w:rsid w:val="00B61CD8"/>
    <w:rsid w:val="00B625DC"/>
    <w:rsid w:val="00B63F07"/>
    <w:rsid w:val="00B64678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575"/>
    <w:rsid w:val="00B76C6A"/>
    <w:rsid w:val="00B7772A"/>
    <w:rsid w:val="00B77794"/>
    <w:rsid w:val="00B80677"/>
    <w:rsid w:val="00B81093"/>
    <w:rsid w:val="00B81142"/>
    <w:rsid w:val="00B81958"/>
    <w:rsid w:val="00B81B43"/>
    <w:rsid w:val="00B82437"/>
    <w:rsid w:val="00B829A8"/>
    <w:rsid w:val="00B829B3"/>
    <w:rsid w:val="00B82B47"/>
    <w:rsid w:val="00B83749"/>
    <w:rsid w:val="00B83E02"/>
    <w:rsid w:val="00B860F7"/>
    <w:rsid w:val="00B87617"/>
    <w:rsid w:val="00B911C4"/>
    <w:rsid w:val="00B92684"/>
    <w:rsid w:val="00B934C6"/>
    <w:rsid w:val="00B94F34"/>
    <w:rsid w:val="00B95065"/>
    <w:rsid w:val="00B958AA"/>
    <w:rsid w:val="00B96E93"/>
    <w:rsid w:val="00B971AE"/>
    <w:rsid w:val="00B97AE8"/>
    <w:rsid w:val="00BA1049"/>
    <w:rsid w:val="00BA2289"/>
    <w:rsid w:val="00BA328C"/>
    <w:rsid w:val="00BA3745"/>
    <w:rsid w:val="00BA39B2"/>
    <w:rsid w:val="00BA45C1"/>
    <w:rsid w:val="00BA6AE4"/>
    <w:rsid w:val="00BA7531"/>
    <w:rsid w:val="00BB01C4"/>
    <w:rsid w:val="00BB0AAF"/>
    <w:rsid w:val="00BB1DDF"/>
    <w:rsid w:val="00BB1F05"/>
    <w:rsid w:val="00BB3250"/>
    <w:rsid w:val="00BB4665"/>
    <w:rsid w:val="00BB4A4E"/>
    <w:rsid w:val="00BB4D29"/>
    <w:rsid w:val="00BB54B7"/>
    <w:rsid w:val="00BB6FC6"/>
    <w:rsid w:val="00BB72DF"/>
    <w:rsid w:val="00BC02B7"/>
    <w:rsid w:val="00BC11B0"/>
    <w:rsid w:val="00BC1CC8"/>
    <w:rsid w:val="00BC2D7C"/>
    <w:rsid w:val="00BC3748"/>
    <w:rsid w:val="00BC4F74"/>
    <w:rsid w:val="00BC5905"/>
    <w:rsid w:val="00BC672F"/>
    <w:rsid w:val="00BC69BB"/>
    <w:rsid w:val="00BC6B49"/>
    <w:rsid w:val="00BD0785"/>
    <w:rsid w:val="00BD1BA8"/>
    <w:rsid w:val="00BD30B0"/>
    <w:rsid w:val="00BD3529"/>
    <w:rsid w:val="00BD484A"/>
    <w:rsid w:val="00BE238E"/>
    <w:rsid w:val="00BE297F"/>
    <w:rsid w:val="00BE3538"/>
    <w:rsid w:val="00BE4166"/>
    <w:rsid w:val="00BE4EA8"/>
    <w:rsid w:val="00BE56ED"/>
    <w:rsid w:val="00BE722E"/>
    <w:rsid w:val="00BE77A5"/>
    <w:rsid w:val="00BE78E1"/>
    <w:rsid w:val="00BF158F"/>
    <w:rsid w:val="00BF1ABB"/>
    <w:rsid w:val="00BF240D"/>
    <w:rsid w:val="00BF2B4A"/>
    <w:rsid w:val="00BF2E71"/>
    <w:rsid w:val="00BF5106"/>
    <w:rsid w:val="00BF5D19"/>
    <w:rsid w:val="00BF5DF9"/>
    <w:rsid w:val="00BF6766"/>
    <w:rsid w:val="00C00B3C"/>
    <w:rsid w:val="00C032E9"/>
    <w:rsid w:val="00C04E50"/>
    <w:rsid w:val="00C04F91"/>
    <w:rsid w:val="00C053AA"/>
    <w:rsid w:val="00C05572"/>
    <w:rsid w:val="00C05D4D"/>
    <w:rsid w:val="00C05D7F"/>
    <w:rsid w:val="00C0668C"/>
    <w:rsid w:val="00C102A5"/>
    <w:rsid w:val="00C10CA2"/>
    <w:rsid w:val="00C1154C"/>
    <w:rsid w:val="00C11CA8"/>
    <w:rsid w:val="00C131B1"/>
    <w:rsid w:val="00C169D5"/>
    <w:rsid w:val="00C17443"/>
    <w:rsid w:val="00C176E1"/>
    <w:rsid w:val="00C17B41"/>
    <w:rsid w:val="00C17B97"/>
    <w:rsid w:val="00C20338"/>
    <w:rsid w:val="00C2114D"/>
    <w:rsid w:val="00C23E05"/>
    <w:rsid w:val="00C24638"/>
    <w:rsid w:val="00C24B34"/>
    <w:rsid w:val="00C24BB1"/>
    <w:rsid w:val="00C259EA"/>
    <w:rsid w:val="00C261DE"/>
    <w:rsid w:val="00C306FC"/>
    <w:rsid w:val="00C343BD"/>
    <w:rsid w:val="00C34D62"/>
    <w:rsid w:val="00C3561A"/>
    <w:rsid w:val="00C35686"/>
    <w:rsid w:val="00C36676"/>
    <w:rsid w:val="00C36730"/>
    <w:rsid w:val="00C374D4"/>
    <w:rsid w:val="00C4141D"/>
    <w:rsid w:val="00C41FE5"/>
    <w:rsid w:val="00C4467F"/>
    <w:rsid w:val="00C46721"/>
    <w:rsid w:val="00C46EC8"/>
    <w:rsid w:val="00C52FF7"/>
    <w:rsid w:val="00C53499"/>
    <w:rsid w:val="00C546FF"/>
    <w:rsid w:val="00C54910"/>
    <w:rsid w:val="00C56015"/>
    <w:rsid w:val="00C56178"/>
    <w:rsid w:val="00C56AC2"/>
    <w:rsid w:val="00C56E80"/>
    <w:rsid w:val="00C62796"/>
    <w:rsid w:val="00C63CEE"/>
    <w:rsid w:val="00C65898"/>
    <w:rsid w:val="00C66A84"/>
    <w:rsid w:val="00C66D68"/>
    <w:rsid w:val="00C674B4"/>
    <w:rsid w:val="00C67F6F"/>
    <w:rsid w:val="00C706DB"/>
    <w:rsid w:val="00C72455"/>
    <w:rsid w:val="00C7318D"/>
    <w:rsid w:val="00C7326D"/>
    <w:rsid w:val="00C74392"/>
    <w:rsid w:val="00C74422"/>
    <w:rsid w:val="00C75725"/>
    <w:rsid w:val="00C75948"/>
    <w:rsid w:val="00C76D3F"/>
    <w:rsid w:val="00C7759C"/>
    <w:rsid w:val="00C777C6"/>
    <w:rsid w:val="00C778B7"/>
    <w:rsid w:val="00C8323D"/>
    <w:rsid w:val="00C8337E"/>
    <w:rsid w:val="00C83CDE"/>
    <w:rsid w:val="00C8624C"/>
    <w:rsid w:val="00C919F1"/>
    <w:rsid w:val="00C92B2B"/>
    <w:rsid w:val="00C932BB"/>
    <w:rsid w:val="00C9334F"/>
    <w:rsid w:val="00C93F32"/>
    <w:rsid w:val="00C94775"/>
    <w:rsid w:val="00C947A9"/>
    <w:rsid w:val="00C94D3F"/>
    <w:rsid w:val="00C95D73"/>
    <w:rsid w:val="00C95FF9"/>
    <w:rsid w:val="00C9604B"/>
    <w:rsid w:val="00CA3398"/>
    <w:rsid w:val="00CA492E"/>
    <w:rsid w:val="00CA4C09"/>
    <w:rsid w:val="00CA4FA9"/>
    <w:rsid w:val="00CA6DEF"/>
    <w:rsid w:val="00CA78D1"/>
    <w:rsid w:val="00CB003A"/>
    <w:rsid w:val="00CB09A1"/>
    <w:rsid w:val="00CB1281"/>
    <w:rsid w:val="00CB146D"/>
    <w:rsid w:val="00CB428E"/>
    <w:rsid w:val="00CB4302"/>
    <w:rsid w:val="00CB4D1B"/>
    <w:rsid w:val="00CB5665"/>
    <w:rsid w:val="00CB5AB8"/>
    <w:rsid w:val="00CB79A7"/>
    <w:rsid w:val="00CC0471"/>
    <w:rsid w:val="00CC05D9"/>
    <w:rsid w:val="00CC1780"/>
    <w:rsid w:val="00CC4A07"/>
    <w:rsid w:val="00CC700B"/>
    <w:rsid w:val="00CC7A9E"/>
    <w:rsid w:val="00CC7BDF"/>
    <w:rsid w:val="00CD0101"/>
    <w:rsid w:val="00CD671E"/>
    <w:rsid w:val="00CD7ACC"/>
    <w:rsid w:val="00CE202C"/>
    <w:rsid w:val="00CE4A36"/>
    <w:rsid w:val="00CE5CEA"/>
    <w:rsid w:val="00CE6911"/>
    <w:rsid w:val="00CE7BE9"/>
    <w:rsid w:val="00CE7E92"/>
    <w:rsid w:val="00CF09E4"/>
    <w:rsid w:val="00CF1C62"/>
    <w:rsid w:val="00CF416D"/>
    <w:rsid w:val="00CF4868"/>
    <w:rsid w:val="00CF540D"/>
    <w:rsid w:val="00CF757F"/>
    <w:rsid w:val="00CF7D0F"/>
    <w:rsid w:val="00D0086F"/>
    <w:rsid w:val="00D00B26"/>
    <w:rsid w:val="00D01B22"/>
    <w:rsid w:val="00D0205F"/>
    <w:rsid w:val="00D02682"/>
    <w:rsid w:val="00D0282D"/>
    <w:rsid w:val="00D03E15"/>
    <w:rsid w:val="00D049B5"/>
    <w:rsid w:val="00D0594F"/>
    <w:rsid w:val="00D05FE2"/>
    <w:rsid w:val="00D07DF0"/>
    <w:rsid w:val="00D123EC"/>
    <w:rsid w:val="00D13147"/>
    <w:rsid w:val="00D13F79"/>
    <w:rsid w:val="00D14818"/>
    <w:rsid w:val="00D15111"/>
    <w:rsid w:val="00D15521"/>
    <w:rsid w:val="00D167ED"/>
    <w:rsid w:val="00D1691A"/>
    <w:rsid w:val="00D17E01"/>
    <w:rsid w:val="00D20341"/>
    <w:rsid w:val="00D21751"/>
    <w:rsid w:val="00D21F6E"/>
    <w:rsid w:val="00D22CFE"/>
    <w:rsid w:val="00D23A72"/>
    <w:rsid w:val="00D23AB2"/>
    <w:rsid w:val="00D24DDD"/>
    <w:rsid w:val="00D26D59"/>
    <w:rsid w:val="00D27104"/>
    <w:rsid w:val="00D27C8C"/>
    <w:rsid w:val="00D301D2"/>
    <w:rsid w:val="00D304F1"/>
    <w:rsid w:val="00D31237"/>
    <w:rsid w:val="00D3150E"/>
    <w:rsid w:val="00D316A7"/>
    <w:rsid w:val="00D317B0"/>
    <w:rsid w:val="00D31C1B"/>
    <w:rsid w:val="00D33A1A"/>
    <w:rsid w:val="00D353A8"/>
    <w:rsid w:val="00D37882"/>
    <w:rsid w:val="00D41A53"/>
    <w:rsid w:val="00D42242"/>
    <w:rsid w:val="00D42DBB"/>
    <w:rsid w:val="00D43C5B"/>
    <w:rsid w:val="00D4492D"/>
    <w:rsid w:val="00D45208"/>
    <w:rsid w:val="00D45568"/>
    <w:rsid w:val="00D47529"/>
    <w:rsid w:val="00D5197C"/>
    <w:rsid w:val="00D51C6E"/>
    <w:rsid w:val="00D54789"/>
    <w:rsid w:val="00D55B72"/>
    <w:rsid w:val="00D5685E"/>
    <w:rsid w:val="00D569C6"/>
    <w:rsid w:val="00D609E5"/>
    <w:rsid w:val="00D61334"/>
    <w:rsid w:val="00D61C4B"/>
    <w:rsid w:val="00D636FC"/>
    <w:rsid w:val="00D651BC"/>
    <w:rsid w:val="00D66971"/>
    <w:rsid w:val="00D67A2A"/>
    <w:rsid w:val="00D708B7"/>
    <w:rsid w:val="00D70E8C"/>
    <w:rsid w:val="00D716BC"/>
    <w:rsid w:val="00D73F6D"/>
    <w:rsid w:val="00D755A7"/>
    <w:rsid w:val="00D77B37"/>
    <w:rsid w:val="00D80173"/>
    <w:rsid w:val="00D81A05"/>
    <w:rsid w:val="00D81E5D"/>
    <w:rsid w:val="00D823A9"/>
    <w:rsid w:val="00D83FB6"/>
    <w:rsid w:val="00D84CF9"/>
    <w:rsid w:val="00D86FDA"/>
    <w:rsid w:val="00D90217"/>
    <w:rsid w:val="00D9143B"/>
    <w:rsid w:val="00D91F7D"/>
    <w:rsid w:val="00D9236C"/>
    <w:rsid w:val="00D95224"/>
    <w:rsid w:val="00D95989"/>
    <w:rsid w:val="00D95CAB"/>
    <w:rsid w:val="00D95DAA"/>
    <w:rsid w:val="00D96C89"/>
    <w:rsid w:val="00D96D91"/>
    <w:rsid w:val="00D97320"/>
    <w:rsid w:val="00DA0B9D"/>
    <w:rsid w:val="00DA0FC6"/>
    <w:rsid w:val="00DA44B1"/>
    <w:rsid w:val="00DA48F4"/>
    <w:rsid w:val="00DA4EE5"/>
    <w:rsid w:val="00DA52E8"/>
    <w:rsid w:val="00DA53E5"/>
    <w:rsid w:val="00DA6836"/>
    <w:rsid w:val="00DB1B1E"/>
    <w:rsid w:val="00DB24B4"/>
    <w:rsid w:val="00DB51ED"/>
    <w:rsid w:val="00DB6E1D"/>
    <w:rsid w:val="00DC1857"/>
    <w:rsid w:val="00DC1C87"/>
    <w:rsid w:val="00DC2A0C"/>
    <w:rsid w:val="00DC54A4"/>
    <w:rsid w:val="00DC7D81"/>
    <w:rsid w:val="00DD1A2E"/>
    <w:rsid w:val="00DD2C65"/>
    <w:rsid w:val="00DD491D"/>
    <w:rsid w:val="00DD4F26"/>
    <w:rsid w:val="00DD7B86"/>
    <w:rsid w:val="00DD7BB6"/>
    <w:rsid w:val="00DE1B38"/>
    <w:rsid w:val="00DE4FE0"/>
    <w:rsid w:val="00DE5012"/>
    <w:rsid w:val="00DE511B"/>
    <w:rsid w:val="00DE591C"/>
    <w:rsid w:val="00DE60A3"/>
    <w:rsid w:val="00DE68E0"/>
    <w:rsid w:val="00DE75A2"/>
    <w:rsid w:val="00DF1EE3"/>
    <w:rsid w:val="00DF20F8"/>
    <w:rsid w:val="00DF274C"/>
    <w:rsid w:val="00DF2BF8"/>
    <w:rsid w:val="00DF3C21"/>
    <w:rsid w:val="00DF5824"/>
    <w:rsid w:val="00DF6487"/>
    <w:rsid w:val="00E00E5A"/>
    <w:rsid w:val="00E0164C"/>
    <w:rsid w:val="00E0203D"/>
    <w:rsid w:val="00E03F0E"/>
    <w:rsid w:val="00E04FBA"/>
    <w:rsid w:val="00E051B3"/>
    <w:rsid w:val="00E061F3"/>
    <w:rsid w:val="00E102BB"/>
    <w:rsid w:val="00E102ED"/>
    <w:rsid w:val="00E126E0"/>
    <w:rsid w:val="00E12E45"/>
    <w:rsid w:val="00E146FE"/>
    <w:rsid w:val="00E1655E"/>
    <w:rsid w:val="00E1722F"/>
    <w:rsid w:val="00E17D68"/>
    <w:rsid w:val="00E21DED"/>
    <w:rsid w:val="00E22F11"/>
    <w:rsid w:val="00E24988"/>
    <w:rsid w:val="00E25FA6"/>
    <w:rsid w:val="00E263F2"/>
    <w:rsid w:val="00E27E4C"/>
    <w:rsid w:val="00E301EE"/>
    <w:rsid w:val="00E32EEA"/>
    <w:rsid w:val="00E369D6"/>
    <w:rsid w:val="00E36BE2"/>
    <w:rsid w:val="00E3737B"/>
    <w:rsid w:val="00E3741F"/>
    <w:rsid w:val="00E3755B"/>
    <w:rsid w:val="00E37CC9"/>
    <w:rsid w:val="00E418F5"/>
    <w:rsid w:val="00E43930"/>
    <w:rsid w:val="00E44E3C"/>
    <w:rsid w:val="00E44F91"/>
    <w:rsid w:val="00E454E5"/>
    <w:rsid w:val="00E459C4"/>
    <w:rsid w:val="00E45CD7"/>
    <w:rsid w:val="00E471DD"/>
    <w:rsid w:val="00E4759B"/>
    <w:rsid w:val="00E477D0"/>
    <w:rsid w:val="00E47BF5"/>
    <w:rsid w:val="00E51741"/>
    <w:rsid w:val="00E521F4"/>
    <w:rsid w:val="00E533B8"/>
    <w:rsid w:val="00E544CF"/>
    <w:rsid w:val="00E544DD"/>
    <w:rsid w:val="00E5485A"/>
    <w:rsid w:val="00E55F3D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67D7F"/>
    <w:rsid w:val="00E7158F"/>
    <w:rsid w:val="00E71A82"/>
    <w:rsid w:val="00E73406"/>
    <w:rsid w:val="00E741C2"/>
    <w:rsid w:val="00E74362"/>
    <w:rsid w:val="00E75B91"/>
    <w:rsid w:val="00E7678E"/>
    <w:rsid w:val="00E76BC5"/>
    <w:rsid w:val="00E7781F"/>
    <w:rsid w:val="00E8042C"/>
    <w:rsid w:val="00E824FD"/>
    <w:rsid w:val="00E83879"/>
    <w:rsid w:val="00E838DE"/>
    <w:rsid w:val="00E8596C"/>
    <w:rsid w:val="00E865C0"/>
    <w:rsid w:val="00E86EFB"/>
    <w:rsid w:val="00E87C2E"/>
    <w:rsid w:val="00E900AF"/>
    <w:rsid w:val="00E91B84"/>
    <w:rsid w:val="00E93334"/>
    <w:rsid w:val="00E9460D"/>
    <w:rsid w:val="00E94FC2"/>
    <w:rsid w:val="00E95C92"/>
    <w:rsid w:val="00E964EE"/>
    <w:rsid w:val="00E96F0A"/>
    <w:rsid w:val="00E97BF6"/>
    <w:rsid w:val="00E97CC8"/>
    <w:rsid w:val="00EA09B5"/>
    <w:rsid w:val="00EA0E87"/>
    <w:rsid w:val="00EA13BC"/>
    <w:rsid w:val="00EA2E8B"/>
    <w:rsid w:val="00EA37A2"/>
    <w:rsid w:val="00EA39DF"/>
    <w:rsid w:val="00EA3C71"/>
    <w:rsid w:val="00EA5DD7"/>
    <w:rsid w:val="00EA6941"/>
    <w:rsid w:val="00EA6B82"/>
    <w:rsid w:val="00EA75F8"/>
    <w:rsid w:val="00EB0134"/>
    <w:rsid w:val="00EB14C9"/>
    <w:rsid w:val="00EB2C5F"/>
    <w:rsid w:val="00EB33E2"/>
    <w:rsid w:val="00EB708F"/>
    <w:rsid w:val="00EC1E91"/>
    <w:rsid w:val="00EC35A0"/>
    <w:rsid w:val="00EC3A18"/>
    <w:rsid w:val="00EC3A27"/>
    <w:rsid w:val="00EC5347"/>
    <w:rsid w:val="00EC54EC"/>
    <w:rsid w:val="00EC55CB"/>
    <w:rsid w:val="00EC5C09"/>
    <w:rsid w:val="00EC60B9"/>
    <w:rsid w:val="00ED073D"/>
    <w:rsid w:val="00ED07ED"/>
    <w:rsid w:val="00ED0B74"/>
    <w:rsid w:val="00ED0CFD"/>
    <w:rsid w:val="00ED26C2"/>
    <w:rsid w:val="00ED2F82"/>
    <w:rsid w:val="00ED5C93"/>
    <w:rsid w:val="00EE1632"/>
    <w:rsid w:val="00EE1CCE"/>
    <w:rsid w:val="00EE2F24"/>
    <w:rsid w:val="00EE55EA"/>
    <w:rsid w:val="00EE59EC"/>
    <w:rsid w:val="00EE6DB9"/>
    <w:rsid w:val="00EE798A"/>
    <w:rsid w:val="00EF0266"/>
    <w:rsid w:val="00EF31C7"/>
    <w:rsid w:val="00EF3AE4"/>
    <w:rsid w:val="00EF448F"/>
    <w:rsid w:val="00EF462D"/>
    <w:rsid w:val="00EF4908"/>
    <w:rsid w:val="00EF4E04"/>
    <w:rsid w:val="00EF537B"/>
    <w:rsid w:val="00EF55D0"/>
    <w:rsid w:val="00EF5B96"/>
    <w:rsid w:val="00EF5F2A"/>
    <w:rsid w:val="00EF67C4"/>
    <w:rsid w:val="00EF7F5F"/>
    <w:rsid w:val="00F00618"/>
    <w:rsid w:val="00F009A2"/>
    <w:rsid w:val="00F01685"/>
    <w:rsid w:val="00F01ED5"/>
    <w:rsid w:val="00F04550"/>
    <w:rsid w:val="00F048A4"/>
    <w:rsid w:val="00F05A8A"/>
    <w:rsid w:val="00F1028E"/>
    <w:rsid w:val="00F11576"/>
    <w:rsid w:val="00F115AA"/>
    <w:rsid w:val="00F117D2"/>
    <w:rsid w:val="00F12570"/>
    <w:rsid w:val="00F12A92"/>
    <w:rsid w:val="00F12ACD"/>
    <w:rsid w:val="00F12BB1"/>
    <w:rsid w:val="00F12BCE"/>
    <w:rsid w:val="00F1611D"/>
    <w:rsid w:val="00F16B41"/>
    <w:rsid w:val="00F17250"/>
    <w:rsid w:val="00F17700"/>
    <w:rsid w:val="00F17CAF"/>
    <w:rsid w:val="00F20E79"/>
    <w:rsid w:val="00F22C58"/>
    <w:rsid w:val="00F23FEF"/>
    <w:rsid w:val="00F2429D"/>
    <w:rsid w:val="00F245C8"/>
    <w:rsid w:val="00F26520"/>
    <w:rsid w:val="00F275D7"/>
    <w:rsid w:val="00F30435"/>
    <w:rsid w:val="00F320EE"/>
    <w:rsid w:val="00F33584"/>
    <w:rsid w:val="00F33B5B"/>
    <w:rsid w:val="00F35051"/>
    <w:rsid w:val="00F36DEA"/>
    <w:rsid w:val="00F373C7"/>
    <w:rsid w:val="00F4050E"/>
    <w:rsid w:val="00F4071A"/>
    <w:rsid w:val="00F416C6"/>
    <w:rsid w:val="00F4406F"/>
    <w:rsid w:val="00F441E1"/>
    <w:rsid w:val="00F47826"/>
    <w:rsid w:val="00F51B22"/>
    <w:rsid w:val="00F51E7F"/>
    <w:rsid w:val="00F53896"/>
    <w:rsid w:val="00F53C1D"/>
    <w:rsid w:val="00F56646"/>
    <w:rsid w:val="00F57AF9"/>
    <w:rsid w:val="00F61E47"/>
    <w:rsid w:val="00F61E7A"/>
    <w:rsid w:val="00F6436F"/>
    <w:rsid w:val="00F6596E"/>
    <w:rsid w:val="00F6679F"/>
    <w:rsid w:val="00F67CAA"/>
    <w:rsid w:val="00F67F18"/>
    <w:rsid w:val="00F71D6C"/>
    <w:rsid w:val="00F72695"/>
    <w:rsid w:val="00F72E1D"/>
    <w:rsid w:val="00F72F47"/>
    <w:rsid w:val="00F739A3"/>
    <w:rsid w:val="00F74BF8"/>
    <w:rsid w:val="00F75017"/>
    <w:rsid w:val="00F7613E"/>
    <w:rsid w:val="00F80CA0"/>
    <w:rsid w:val="00F82796"/>
    <w:rsid w:val="00F838B4"/>
    <w:rsid w:val="00F83A61"/>
    <w:rsid w:val="00F8448B"/>
    <w:rsid w:val="00F849FE"/>
    <w:rsid w:val="00F86243"/>
    <w:rsid w:val="00F87942"/>
    <w:rsid w:val="00F938CC"/>
    <w:rsid w:val="00F948AD"/>
    <w:rsid w:val="00F954F4"/>
    <w:rsid w:val="00F95827"/>
    <w:rsid w:val="00F96319"/>
    <w:rsid w:val="00F972F9"/>
    <w:rsid w:val="00F97B45"/>
    <w:rsid w:val="00F97DCB"/>
    <w:rsid w:val="00FA028D"/>
    <w:rsid w:val="00FA1715"/>
    <w:rsid w:val="00FA1D06"/>
    <w:rsid w:val="00FA2A85"/>
    <w:rsid w:val="00FA4086"/>
    <w:rsid w:val="00FA68F1"/>
    <w:rsid w:val="00FA6B98"/>
    <w:rsid w:val="00FA7405"/>
    <w:rsid w:val="00FB028A"/>
    <w:rsid w:val="00FB0D31"/>
    <w:rsid w:val="00FB3D25"/>
    <w:rsid w:val="00FB3E48"/>
    <w:rsid w:val="00FB41F7"/>
    <w:rsid w:val="00FB45F8"/>
    <w:rsid w:val="00FC01D2"/>
    <w:rsid w:val="00FC183E"/>
    <w:rsid w:val="00FC1B73"/>
    <w:rsid w:val="00FC1E6E"/>
    <w:rsid w:val="00FC3450"/>
    <w:rsid w:val="00FC4E8E"/>
    <w:rsid w:val="00FC512E"/>
    <w:rsid w:val="00FC5CDC"/>
    <w:rsid w:val="00FC7166"/>
    <w:rsid w:val="00FD1399"/>
    <w:rsid w:val="00FD146A"/>
    <w:rsid w:val="00FD1DDA"/>
    <w:rsid w:val="00FD22E1"/>
    <w:rsid w:val="00FD47E8"/>
    <w:rsid w:val="00FD4B4C"/>
    <w:rsid w:val="00FD4BFE"/>
    <w:rsid w:val="00FE09E6"/>
    <w:rsid w:val="00FE277E"/>
    <w:rsid w:val="00FE3259"/>
    <w:rsid w:val="00FE38BE"/>
    <w:rsid w:val="00FE63F6"/>
    <w:rsid w:val="00FE681D"/>
    <w:rsid w:val="00FE7278"/>
    <w:rsid w:val="00FE787C"/>
    <w:rsid w:val="00FE7C89"/>
    <w:rsid w:val="00FE7E26"/>
    <w:rsid w:val="00FF0B9F"/>
    <w:rsid w:val="00FF1389"/>
    <w:rsid w:val="00FF3F70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3CA6"/>
  <w15:docId w15:val="{466CDD39-6089-4DAF-9F7E-C442E14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0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7BE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33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3B8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31513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2558B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521F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7F01D1"/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932C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5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53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53C1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3D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19149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22380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3923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37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59789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3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567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759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810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75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977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documentazione/p6_2_2_1.jsp?lingua=italiano&amp;id=3523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sac.info/downloadFILE.do?doc_id=www.sisac.info/resources/pagine/201012220128505922&amp;nomefile=medici_1_1_2024.pdf&amp;serv=nw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sisac.info/downloadFILE.do?doc_id=www.sisac.info/resources/pagine/201012220128505922&amp;nomefile=ore_scelte_1_1_2022.pdf&amp;serv=nws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documenti.camera.it/leg19/documentiAcquisiti/COM12/Audizioni/leg19.com12.Audizioni.Memoria.PUBBLICO.ideGes.54981.29-01-2025-15-55-38.058.pdf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DD22-2CED-4F39-BA56-92CB926E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Luca Bellusci</cp:lastModifiedBy>
  <cp:revision>2</cp:revision>
  <cp:lastPrinted>2014-01-27T14:53:00Z</cp:lastPrinted>
  <dcterms:created xsi:type="dcterms:W3CDTF">2025-03-02T08:58:00Z</dcterms:created>
  <dcterms:modified xsi:type="dcterms:W3CDTF">2025-03-04T08:59:00Z</dcterms:modified>
</cp:coreProperties>
</file>