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5" w:rsidRPr="0089647D" w:rsidRDefault="00414B70" w:rsidP="0089647D">
      <w:pPr>
        <w:spacing w:afterLines="100" w:after="240" w:line="276" w:lineRule="auto"/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  <w:r w:rsidR="0089647D">
        <w:rPr>
          <w:b/>
          <w:bCs/>
          <w:sz w:val="36"/>
          <w:szCs w:val="36"/>
        </w:rPr>
        <w:br/>
      </w:r>
      <w:r w:rsidR="00F125DD">
        <w:rPr>
          <w:b/>
          <w:sz w:val="36"/>
          <w:szCs w:val="36"/>
          <w:lang w:eastAsia="it-IT"/>
        </w:rPr>
        <w:t xml:space="preserve">VACCINO ANTINFLUENZALE: RACCOMANDATO PER TUTTI, </w:t>
      </w:r>
      <w:r w:rsidR="00F125DD">
        <w:rPr>
          <w:b/>
          <w:sz w:val="36"/>
          <w:szCs w:val="36"/>
          <w:lang w:eastAsia="it-IT"/>
        </w:rPr>
        <w:br/>
        <w:t>MA PER 2 PERSONE SU 3 NESSUNA DISPONIBILITÀ IN FARMACIA</w:t>
      </w:r>
    </w:p>
    <w:p w:rsidR="00870B55" w:rsidRPr="00870B55" w:rsidRDefault="00E859A1" w:rsidP="00870B55">
      <w:pPr>
        <w:spacing w:after="80" w:line="276" w:lineRule="auto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 xml:space="preserve">LA </w:t>
      </w:r>
      <w:r w:rsidR="00F91739">
        <w:rPr>
          <w:b/>
          <w:sz w:val="23"/>
          <w:szCs w:val="23"/>
          <w:lang w:eastAsia="it-IT"/>
        </w:rPr>
        <w:t xml:space="preserve">CONVIVENZA TRA </w:t>
      </w:r>
      <w:r w:rsidR="008B7A82">
        <w:rPr>
          <w:b/>
          <w:sz w:val="23"/>
          <w:szCs w:val="23"/>
          <w:lang w:eastAsia="it-IT"/>
        </w:rPr>
        <w:t xml:space="preserve">SARS-COV-2 </w:t>
      </w:r>
      <w:r w:rsidR="00A65317">
        <w:rPr>
          <w:b/>
          <w:sz w:val="23"/>
          <w:szCs w:val="23"/>
          <w:lang w:eastAsia="it-IT"/>
        </w:rPr>
        <w:t xml:space="preserve">E </w:t>
      </w:r>
      <w:r w:rsidR="00335158">
        <w:rPr>
          <w:b/>
          <w:sz w:val="23"/>
          <w:szCs w:val="23"/>
          <w:lang w:eastAsia="it-IT"/>
        </w:rPr>
        <w:t>VIRUS INFLUENZALI</w:t>
      </w:r>
      <w:r>
        <w:rPr>
          <w:b/>
          <w:sz w:val="23"/>
          <w:szCs w:val="23"/>
          <w:lang w:eastAsia="it-IT"/>
        </w:rPr>
        <w:t xml:space="preserve"> IMPONE DI RIDURRE IL NUMERO DI PERSONE SINTOMATICHE CHE RISCHIANO DI SOVRACCARICARE I </w:t>
      </w:r>
      <w:r w:rsidR="008B7A82">
        <w:rPr>
          <w:b/>
          <w:sz w:val="23"/>
          <w:szCs w:val="23"/>
          <w:lang w:eastAsia="it-IT"/>
        </w:rPr>
        <w:t>SERVIZI SANITARI</w:t>
      </w:r>
      <w:r w:rsidR="00491080">
        <w:rPr>
          <w:b/>
          <w:sz w:val="23"/>
          <w:szCs w:val="23"/>
          <w:lang w:eastAsia="it-IT"/>
        </w:rPr>
        <w:t>.</w:t>
      </w:r>
      <w:r w:rsidR="00173A20">
        <w:rPr>
          <w:b/>
          <w:sz w:val="23"/>
          <w:szCs w:val="23"/>
          <w:lang w:eastAsia="it-IT"/>
        </w:rPr>
        <w:t xml:space="preserve"> </w:t>
      </w:r>
      <w:r>
        <w:rPr>
          <w:b/>
          <w:sz w:val="23"/>
          <w:szCs w:val="23"/>
          <w:lang w:eastAsia="it-IT"/>
        </w:rPr>
        <w:t>MA</w:t>
      </w:r>
      <w:r w:rsidR="00335158">
        <w:rPr>
          <w:b/>
          <w:sz w:val="23"/>
          <w:szCs w:val="23"/>
          <w:lang w:eastAsia="it-IT"/>
        </w:rPr>
        <w:t>, OLTRE ALLE CATEGORIE A RISCHIO,</w:t>
      </w:r>
      <w:r>
        <w:rPr>
          <w:b/>
          <w:sz w:val="23"/>
          <w:szCs w:val="23"/>
          <w:lang w:eastAsia="it-IT"/>
        </w:rPr>
        <w:t xml:space="preserve"> È INDISPENSABILE</w:t>
      </w:r>
      <w:r w:rsidR="00E357F8">
        <w:rPr>
          <w:b/>
          <w:sz w:val="23"/>
          <w:szCs w:val="23"/>
          <w:lang w:eastAsia="it-IT"/>
        </w:rPr>
        <w:t xml:space="preserve"> VACCINARE</w:t>
      </w:r>
      <w:r w:rsidR="00335158">
        <w:rPr>
          <w:b/>
          <w:sz w:val="23"/>
          <w:szCs w:val="23"/>
          <w:lang w:eastAsia="it-IT"/>
        </w:rPr>
        <w:t xml:space="preserve"> </w:t>
      </w:r>
      <w:r w:rsidR="00E357F8">
        <w:rPr>
          <w:b/>
          <w:sz w:val="23"/>
          <w:szCs w:val="23"/>
          <w:lang w:eastAsia="it-IT"/>
        </w:rPr>
        <w:t xml:space="preserve">ANCHE </w:t>
      </w:r>
      <w:r w:rsidR="00173A20" w:rsidRPr="000E30F9">
        <w:rPr>
          <w:b/>
          <w:sz w:val="23"/>
          <w:szCs w:val="23"/>
          <w:lang w:eastAsia="it-IT"/>
        </w:rPr>
        <w:t>LA POPOLAZIONE</w:t>
      </w:r>
      <w:r w:rsidR="00E357F8">
        <w:rPr>
          <w:b/>
          <w:sz w:val="23"/>
          <w:szCs w:val="23"/>
          <w:lang w:eastAsia="it-IT"/>
        </w:rPr>
        <w:t xml:space="preserve"> GENERALE</w:t>
      </w:r>
      <w:r>
        <w:rPr>
          <w:b/>
          <w:sz w:val="23"/>
          <w:szCs w:val="23"/>
          <w:lang w:eastAsia="it-IT"/>
        </w:rPr>
        <w:t>, IN PARTICOLARE I MILIONI</w:t>
      </w:r>
      <w:r w:rsidR="00452C2A">
        <w:rPr>
          <w:b/>
          <w:sz w:val="23"/>
          <w:szCs w:val="23"/>
          <w:lang w:eastAsia="it-IT"/>
        </w:rPr>
        <w:t xml:space="preserve"> DI</w:t>
      </w:r>
      <w:r>
        <w:rPr>
          <w:b/>
          <w:sz w:val="23"/>
          <w:szCs w:val="23"/>
          <w:lang w:eastAsia="it-IT"/>
        </w:rPr>
        <w:t xml:space="preserve"> LAVORATORI AI QUALI È AFFIDATA LA RIPRESA ECONOMICA DEL PAESE</w:t>
      </w:r>
      <w:r w:rsidR="00173A20">
        <w:rPr>
          <w:b/>
          <w:sz w:val="23"/>
          <w:szCs w:val="23"/>
          <w:lang w:eastAsia="it-IT"/>
        </w:rPr>
        <w:t xml:space="preserve">. </w:t>
      </w:r>
      <w:r>
        <w:rPr>
          <w:b/>
          <w:sz w:val="23"/>
          <w:szCs w:val="23"/>
          <w:lang w:eastAsia="it-IT"/>
        </w:rPr>
        <w:t>PURTROPPO</w:t>
      </w:r>
      <w:r w:rsidR="00BE4BD3">
        <w:rPr>
          <w:b/>
          <w:sz w:val="23"/>
          <w:szCs w:val="23"/>
          <w:lang w:eastAsia="it-IT"/>
        </w:rPr>
        <w:t xml:space="preserve">, NONOSTANTE LE RACCOMANDAZIONI </w:t>
      </w:r>
      <w:r w:rsidR="008A03BE">
        <w:rPr>
          <w:b/>
          <w:sz w:val="23"/>
          <w:szCs w:val="23"/>
          <w:lang w:eastAsia="it-IT"/>
        </w:rPr>
        <w:t xml:space="preserve">ESTENSIVE </w:t>
      </w:r>
      <w:r w:rsidR="00BE4BD3">
        <w:rPr>
          <w:b/>
          <w:sz w:val="23"/>
          <w:szCs w:val="23"/>
          <w:lang w:eastAsia="it-IT"/>
        </w:rPr>
        <w:t xml:space="preserve">DEL MINISTERO DELLA SALUTE, </w:t>
      </w:r>
      <w:r w:rsidR="008A03BE">
        <w:rPr>
          <w:b/>
          <w:sz w:val="23"/>
          <w:szCs w:val="23"/>
          <w:lang w:eastAsia="it-IT"/>
        </w:rPr>
        <w:t xml:space="preserve">L’ANALISI DELLA FONDAZIONE GIMBE DIMOSTRA CHE </w:t>
      </w:r>
      <w:r w:rsidR="007E4124">
        <w:rPr>
          <w:b/>
          <w:sz w:val="23"/>
          <w:szCs w:val="23"/>
          <w:lang w:eastAsia="it-IT"/>
        </w:rPr>
        <w:t xml:space="preserve">LA MAGGIOR PARTE DELLE </w:t>
      </w:r>
      <w:r>
        <w:rPr>
          <w:b/>
          <w:sz w:val="23"/>
          <w:szCs w:val="23"/>
          <w:lang w:eastAsia="it-IT"/>
        </w:rPr>
        <w:t xml:space="preserve">REGIONI </w:t>
      </w:r>
      <w:r w:rsidR="00F91739">
        <w:rPr>
          <w:b/>
          <w:sz w:val="23"/>
          <w:szCs w:val="23"/>
          <w:lang w:eastAsia="it-IT"/>
        </w:rPr>
        <w:t xml:space="preserve">NON </w:t>
      </w:r>
      <w:r w:rsidR="00E357F8">
        <w:rPr>
          <w:b/>
          <w:sz w:val="23"/>
          <w:szCs w:val="23"/>
          <w:lang w:eastAsia="it-IT"/>
        </w:rPr>
        <w:t>DISPONGONO DI</w:t>
      </w:r>
      <w:r w:rsidR="00F91739">
        <w:rPr>
          <w:b/>
          <w:sz w:val="23"/>
          <w:szCs w:val="23"/>
          <w:lang w:eastAsia="it-IT"/>
        </w:rPr>
        <w:t xml:space="preserve"> SCORTE ADEGUATE </w:t>
      </w:r>
      <w:r w:rsidR="00452C2A">
        <w:rPr>
          <w:b/>
          <w:sz w:val="23"/>
          <w:szCs w:val="23"/>
          <w:lang w:eastAsia="it-IT"/>
        </w:rPr>
        <w:t>A</w:t>
      </w:r>
      <w:r w:rsidR="00F91739">
        <w:rPr>
          <w:b/>
          <w:sz w:val="23"/>
          <w:szCs w:val="23"/>
          <w:lang w:eastAsia="it-IT"/>
        </w:rPr>
        <w:t xml:space="preserve"> </w:t>
      </w:r>
      <w:r w:rsidR="00173A20">
        <w:rPr>
          <w:b/>
          <w:sz w:val="23"/>
          <w:szCs w:val="23"/>
          <w:lang w:eastAsia="it-IT"/>
        </w:rPr>
        <w:t>SODDISFARE</w:t>
      </w:r>
      <w:r w:rsidR="00F91739">
        <w:rPr>
          <w:b/>
          <w:sz w:val="23"/>
          <w:szCs w:val="23"/>
          <w:lang w:eastAsia="it-IT"/>
        </w:rPr>
        <w:t xml:space="preserve"> </w:t>
      </w:r>
      <w:r w:rsidR="008A03BE">
        <w:rPr>
          <w:b/>
          <w:sz w:val="23"/>
          <w:szCs w:val="23"/>
          <w:lang w:eastAsia="it-IT"/>
        </w:rPr>
        <w:t xml:space="preserve">TALE </w:t>
      </w:r>
      <w:r>
        <w:rPr>
          <w:b/>
          <w:sz w:val="23"/>
          <w:szCs w:val="23"/>
          <w:lang w:eastAsia="it-IT"/>
        </w:rPr>
        <w:t>DOMANDA E ALCUNE</w:t>
      </w:r>
      <w:r w:rsidR="007E4124">
        <w:rPr>
          <w:b/>
          <w:sz w:val="23"/>
          <w:szCs w:val="23"/>
          <w:lang w:eastAsia="it-IT"/>
        </w:rPr>
        <w:t xml:space="preserve"> NON POSSONO</w:t>
      </w:r>
      <w:r>
        <w:rPr>
          <w:b/>
          <w:sz w:val="23"/>
          <w:szCs w:val="23"/>
          <w:lang w:eastAsia="it-IT"/>
        </w:rPr>
        <w:t xml:space="preserve"> GARANTIRE </w:t>
      </w:r>
      <w:r w:rsidR="007E4124">
        <w:rPr>
          <w:b/>
          <w:sz w:val="23"/>
          <w:szCs w:val="23"/>
          <w:lang w:eastAsia="it-IT"/>
        </w:rPr>
        <w:t>IL 75% COPERTURA</w:t>
      </w:r>
      <w:r>
        <w:rPr>
          <w:b/>
          <w:sz w:val="23"/>
          <w:szCs w:val="23"/>
          <w:lang w:eastAsia="it-IT"/>
        </w:rPr>
        <w:t xml:space="preserve"> ALLE CATEGORIE A RISCHIO.</w:t>
      </w:r>
    </w:p>
    <w:p w:rsidR="00414B70" w:rsidRDefault="00514B73" w:rsidP="00870B55">
      <w:pPr>
        <w:spacing w:after="8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14B73">
        <w:rPr>
          <w:rFonts w:ascii="Calibri" w:eastAsia="Calibri" w:hAnsi="Calibri" w:cs="Times New Roman"/>
          <w:b/>
          <w:bCs/>
          <w:sz w:val="24"/>
          <w:szCs w:val="24"/>
        </w:rPr>
        <w:t xml:space="preserve">28 </w:t>
      </w:r>
      <w:r w:rsidR="00414B70">
        <w:rPr>
          <w:rFonts w:ascii="Calibri" w:eastAsia="Calibri" w:hAnsi="Calibri" w:cs="Times New Roman"/>
          <w:b/>
          <w:bCs/>
          <w:sz w:val="24"/>
          <w:szCs w:val="24"/>
        </w:rPr>
        <w:t xml:space="preserve">settembre 2020 - </w:t>
      </w:r>
      <w:r w:rsidR="00414B70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14B73" w:rsidRDefault="00335158" w:rsidP="00870B55">
      <w:pPr>
        <w:spacing w:after="80" w:line="276" w:lineRule="auto"/>
        <w:jc w:val="both"/>
      </w:pPr>
      <w:r>
        <w:t>L</w:t>
      </w:r>
      <w:r w:rsidR="00D96FD2">
        <w:t>a convivenza tra</w:t>
      </w:r>
      <w:r w:rsidR="001F47FD">
        <w:t xml:space="preserve"> </w:t>
      </w:r>
      <w:r w:rsidR="00D96FD2">
        <w:t xml:space="preserve">Sars-CoV-2 e </w:t>
      </w:r>
      <w:r w:rsidR="001F47FD">
        <w:t>virus influenzali</w:t>
      </w:r>
      <w:r w:rsidR="00514B73">
        <w:t xml:space="preserve"> pone</w:t>
      </w:r>
      <w:r w:rsidR="006F6AF4">
        <w:t xml:space="preserve"> </w:t>
      </w:r>
      <w:r w:rsidR="00514B73">
        <w:t>due ardue sfide</w:t>
      </w:r>
      <w:r w:rsidR="00731D44">
        <w:t xml:space="preserve"> per ridurre il sovraccarico del Servizio Sanitario Nazionale (SSN</w:t>
      </w:r>
      <w:r w:rsidR="00E75453">
        <w:t>)</w:t>
      </w:r>
      <w:r w:rsidR="00B514E2">
        <w:t>: l</w:t>
      </w:r>
      <w:r>
        <w:t xml:space="preserve">a prima è potenziare </w:t>
      </w:r>
      <w:r w:rsidR="00514B73">
        <w:t xml:space="preserve">l’attività di testing dei soggetti con sintomi </w:t>
      </w:r>
      <w:r w:rsidR="006F6AF4">
        <w:t>simil-</w:t>
      </w:r>
      <w:r w:rsidR="00514B73">
        <w:t>influenzali</w:t>
      </w:r>
      <w:r>
        <w:t>, in particolare tramite tamponi rapidi</w:t>
      </w:r>
      <w:r w:rsidR="00514B73">
        <w:t xml:space="preserve">; la seconda è </w:t>
      </w:r>
      <w:r w:rsidR="00C639F3">
        <w:t xml:space="preserve">estendere </w:t>
      </w:r>
      <w:r w:rsidR="00514B73">
        <w:t xml:space="preserve">le coperture della vaccinazione </w:t>
      </w:r>
      <w:r w:rsidR="00731D44">
        <w:t>antinfluenzale</w:t>
      </w:r>
      <w:r w:rsidR="00C867D6">
        <w:t>. L</w:t>
      </w:r>
      <w:r w:rsidR="00D93747">
        <w:t xml:space="preserve">a </w:t>
      </w:r>
      <w:hyperlink r:id="rId8" w:history="1">
        <w:r w:rsidR="00D93747" w:rsidRPr="00C068C9">
          <w:rPr>
            <w:rStyle w:val="Collegamentoipertestuale"/>
          </w:rPr>
          <w:t>circolare del Ministero della Salute</w:t>
        </w:r>
      </w:hyperlink>
      <w:r w:rsidR="00D93747">
        <w:rPr>
          <w:rStyle w:val="Collegamentoipertestuale"/>
        </w:rPr>
        <w:t xml:space="preserve"> </w:t>
      </w:r>
      <w:r w:rsidR="00D93747">
        <w:t>del 4 giugno</w:t>
      </w:r>
      <w:r w:rsidR="008A03BE">
        <w:t>, infatti,</w:t>
      </w:r>
      <w:r w:rsidR="00D93747">
        <w:t xml:space="preserve"> </w:t>
      </w:r>
      <w:r w:rsidR="00C867D6">
        <w:t>raccomanda il vaccino “</w:t>
      </w:r>
      <w:r w:rsidR="00C867D6" w:rsidRPr="00C867D6">
        <w:rPr>
          <w:i/>
        </w:rPr>
        <w:t>per tutti i soggetti a partire dai 6 mesi di età che non hanno controindicazioni al vaccino</w:t>
      </w:r>
      <w:r w:rsidR="00C867D6">
        <w:t>”, con offerta attiva e gratuita</w:t>
      </w:r>
      <w:r w:rsidR="00D27C9F">
        <w:t xml:space="preserve"> per alcune categorie</w:t>
      </w:r>
      <w:r w:rsidR="00CF6465">
        <w:t xml:space="preserve"> di popolazione</w:t>
      </w:r>
      <w:r w:rsidR="00D27C9F">
        <w:t xml:space="preserve"> a rischio</w:t>
      </w:r>
      <w:r>
        <w:t>.</w:t>
      </w:r>
    </w:p>
    <w:p w:rsidR="00514B73" w:rsidRDefault="00514B73" w:rsidP="00870B55">
      <w:pPr>
        <w:spacing w:after="80" w:line="276" w:lineRule="auto"/>
        <w:jc w:val="both"/>
      </w:pPr>
      <w:r w:rsidRPr="00F72BD8">
        <w:t>«</w:t>
      </w:r>
      <w:r w:rsidR="00C867D6">
        <w:t>La vaccinazione antinfluenzale</w:t>
      </w:r>
      <w:r w:rsidR="00C867D6" w:rsidRPr="00F72BD8">
        <w:t xml:space="preserve"> </w:t>
      </w:r>
      <w:r>
        <w:t>– afferma Nino Cartabellotta, presidente della Fondazione GIMBE –</w:t>
      </w:r>
      <w:r w:rsidR="00C867D6">
        <w:t xml:space="preserve"> </w:t>
      </w:r>
      <w:r>
        <w:t xml:space="preserve">oltre </w:t>
      </w:r>
      <w:r w:rsidR="00731D44">
        <w:t>a</w:t>
      </w:r>
      <w:r>
        <w:t xml:space="preserve"> </w:t>
      </w:r>
      <w:r w:rsidR="00C867D6">
        <w:t>ridurre</w:t>
      </w:r>
      <w:r w:rsidR="00BD47EE">
        <w:t xml:space="preserve"> </w:t>
      </w:r>
      <w:r>
        <w:t xml:space="preserve">le complicanze dell’influenza stagionale e contenere l’eccesso di mortalità, </w:t>
      </w:r>
      <w:r w:rsidR="00335158">
        <w:t xml:space="preserve">quest’anno ha </w:t>
      </w:r>
      <w:r w:rsidR="008A03BE">
        <w:t xml:space="preserve">un </w:t>
      </w:r>
      <w:r w:rsidR="00C867D6">
        <w:t>obiettivo strategico di salute pubblica</w:t>
      </w:r>
      <w:r w:rsidR="008A03BE">
        <w:t>:</w:t>
      </w:r>
      <w:r w:rsidR="004119AD">
        <w:t xml:space="preserve"> </w:t>
      </w:r>
      <w:r w:rsidR="00335158">
        <w:t xml:space="preserve">ridurre </w:t>
      </w:r>
      <w:r w:rsidR="00731D44">
        <w:t xml:space="preserve">il numero </w:t>
      </w:r>
      <w:r w:rsidR="00335158">
        <w:t>di</w:t>
      </w:r>
      <w:r w:rsidR="00731D44">
        <w:t xml:space="preserve"> </w:t>
      </w:r>
      <w:r>
        <w:t xml:space="preserve">persone </w:t>
      </w:r>
      <w:r w:rsidR="00335158">
        <w:t xml:space="preserve">sintomatiche </w:t>
      </w:r>
      <w:r w:rsidR="00731D44">
        <w:t xml:space="preserve">che rischiano di </w:t>
      </w:r>
      <w:r w:rsidR="00C867D6">
        <w:t xml:space="preserve">sovraccaricare </w:t>
      </w:r>
      <w:r w:rsidR="0013298B">
        <w:t xml:space="preserve">i </w:t>
      </w:r>
      <w:r>
        <w:t>servizi sanitari territoriali</w:t>
      </w:r>
      <w:r w:rsidR="00C867D6">
        <w:t xml:space="preserve"> e</w:t>
      </w:r>
      <w:r w:rsidR="00F91739">
        <w:t xml:space="preserve"> </w:t>
      </w:r>
      <w:proofErr w:type="gramStart"/>
      <w:r w:rsidR="0013298B">
        <w:t xml:space="preserve">i </w:t>
      </w:r>
      <w:r w:rsidR="00F91739">
        <w:t>pronto</w:t>
      </w:r>
      <w:proofErr w:type="gramEnd"/>
      <w:r w:rsidR="00F91739">
        <w:t xml:space="preserve"> </w:t>
      </w:r>
      <w:r w:rsidR="00C867D6">
        <w:t>soccorso</w:t>
      </w:r>
      <w:r>
        <w:t xml:space="preserve">. </w:t>
      </w:r>
      <w:r w:rsidR="00731D44">
        <w:t>Q</w:t>
      </w:r>
      <w:r>
        <w:t>uesto obiettivo</w:t>
      </w:r>
      <w:r w:rsidR="00731D44">
        <w:t xml:space="preserve">, </w:t>
      </w:r>
      <w:r w:rsidR="008A03BE">
        <w:t>tuttavia</w:t>
      </w:r>
      <w:r w:rsidR="00731D44">
        <w:t>,</w:t>
      </w:r>
      <w:r>
        <w:t xml:space="preserve"> </w:t>
      </w:r>
      <w:r w:rsidR="008A03BE">
        <w:t xml:space="preserve">richiede </w:t>
      </w:r>
      <w:r>
        <w:t xml:space="preserve">una copertura vaccinale molto ampia </w:t>
      </w:r>
      <w:r w:rsidR="008A03BE">
        <w:t xml:space="preserve">anche </w:t>
      </w:r>
      <w:r>
        <w:t xml:space="preserve">nelle fasce non a rischio che, di fatto, includono la maggior parte dei lavoratori ai quali è affidata la ripresa economica del Paese». </w:t>
      </w:r>
    </w:p>
    <w:p w:rsidR="00514B73" w:rsidRDefault="00514B73" w:rsidP="00870B55">
      <w:pPr>
        <w:spacing w:after="80" w:line="276" w:lineRule="auto"/>
        <w:jc w:val="both"/>
      </w:pPr>
      <w:r>
        <w:t xml:space="preserve">A fronte </w:t>
      </w:r>
      <w:r w:rsidR="00BD47EE">
        <w:t xml:space="preserve">delle </w:t>
      </w:r>
      <w:r>
        <w:t>preoccupazioni sull</w:t>
      </w:r>
      <w:r w:rsidR="00906E85">
        <w:t>’</w:t>
      </w:r>
      <w:r w:rsidR="0013298B">
        <w:t>in</w:t>
      </w:r>
      <w:r>
        <w:t xml:space="preserve">disponibilità di </w:t>
      </w:r>
      <w:r w:rsidR="0013298B">
        <w:t>vaccino antinfluenzale</w:t>
      </w:r>
      <w:r w:rsidR="00335158">
        <w:t xml:space="preserve"> nelle farmacie</w:t>
      </w:r>
      <w:r>
        <w:t>, l’Agenzia Italiana del Farmaco (AIFA) ha rassicurato che</w:t>
      </w:r>
      <w:r w:rsidR="00335BBB">
        <w:t xml:space="preserve"> </w:t>
      </w:r>
      <w:r w:rsidRPr="00FD04D7">
        <w:t>oltre 17 milioni di dosi</w:t>
      </w:r>
      <w:r>
        <w:t xml:space="preserve"> acquistat</w:t>
      </w:r>
      <w:r w:rsidR="00452C2A">
        <w:t>e</w:t>
      </w:r>
      <w:r>
        <w:t xml:space="preserve"> dalle Regioni rispondono</w:t>
      </w:r>
      <w:r w:rsidRPr="00FD04D7">
        <w:t xml:space="preserve"> ampiamente al fabbiso</w:t>
      </w:r>
      <w:r>
        <w:t xml:space="preserve">gno, visto che </w:t>
      </w:r>
      <w:r w:rsidRPr="00FD04D7">
        <w:t>nel</w:t>
      </w:r>
      <w:r>
        <w:t>la stagione precedente</w:t>
      </w:r>
      <w:r w:rsidRPr="00FD04D7">
        <w:t xml:space="preserve"> </w:t>
      </w:r>
      <w:r>
        <w:t xml:space="preserve">ne </w:t>
      </w:r>
      <w:r w:rsidRPr="00FD04D7">
        <w:t>sono state distribuite 12,5 milio</w:t>
      </w:r>
      <w:r>
        <w:t xml:space="preserve">ni con una copertura del 54,6% negli over 65. </w:t>
      </w:r>
    </w:p>
    <w:p w:rsidR="00514B73" w:rsidRDefault="00514B73" w:rsidP="007747E4">
      <w:pPr>
        <w:spacing w:after="80" w:line="276" w:lineRule="auto"/>
        <w:jc w:val="both"/>
      </w:pPr>
      <w:r w:rsidRPr="00F72BD8">
        <w:t>«</w:t>
      </w:r>
      <w:r w:rsidR="00C867D6">
        <w:t xml:space="preserve">Se questo </w:t>
      </w:r>
      <w:r w:rsidR="00372C91">
        <w:t xml:space="preserve">aumento delle scorte </w:t>
      </w:r>
      <w:r>
        <w:t>– spiega Cartabellotta –</w:t>
      </w:r>
      <w:r w:rsidR="00BD47EE">
        <w:t xml:space="preserve"> </w:t>
      </w:r>
      <w:r>
        <w:t>permette</w:t>
      </w:r>
      <w:r w:rsidR="00BD47EE">
        <w:t>rà</w:t>
      </w:r>
      <w:r>
        <w:t xml:space="preserve"> di </w:t>
      </w:r>
      <w:r w:rsidR="00906E85">
        <w:t xml:space="preserve">estendere </w:t>
      </w:r>
      <w:r>
        <w:t xml:space="preserve">le coperture vaccinali nelle categorie a rischio, è </w:t>
      </w:r>
      <w:r w:rsidR="00683EF4">
        <w:t xml:space="preserve">molto difficile </w:t>
      </w:r>
      <w:r>
        <w:t xml:space="preserve">stimare </w:t>
      </w:r>
      <w:r w:rsidR="00F32F92">
        <w:t xml:space="preserve">l’incremento </w:t>
      </w:r>
      <w:r>
        <w:t xml:space="preserve">di domanda della popolazione generale, maggiormente sensibilizzata alla vaccinazione anche dei datori di lavoro, </w:t>
      </w:r>
      <w:r w:rsidR="00E008F7">
        <w:t>preoccupati che lo sviluppo di</w:t>
      </w:r>
      <w:r>
        <w:t xml:space="preserve"> sintomi influenzali</w:t>
      </w:r>
      <w:r w:rsidR="00E008F7">
        <w:t xml:space="preserve"> da parte dei </w:t>
      </w:r>
      <w:r w:rsidR="00C867D6">
        <w:t xml:space="preserve">loro </w:t>
      </w:r>
      <w:r w:rsidR="00E008F7">
        <w:t>dipendenti possa paralizzare le attività</w:t>
      </w:r>
      <w:r w:rsidR="00F32F92">
        <w:t xml:space="preserve"> produttive</w:t>
      </w:r>
      <w:r>
        <w:t xml:space="preserve">». Al momento le Regioni </w:t>
      </w:r>
      <w:r w:rsidR="0001019A">
        <w:t xml:space="preserve">hanno </w:t>
      </w:r>
      <w:r w:rsidR="00C867D6">
        <w:t xml:space="preserve">ceduto </w:t>
      </w:r>
      <w:r>
        <w:t>alle farmacie l’1,5% delle dosi acquistate</w:t>
      </w:r>
      <w:r w:rsidR="009F34A0">
        <w:t xml:space="preserve"> (circa 250.00</w:t>
      </w:r>
      <w:r w:rsidR="0045472E">
        <w:t>0</w:t>
      </w:r>
      <w:r w:rsidR="009F34A0">
        <w:t>)</w:t>
      </w:r>
      <w:r>
        <w:t>, prevedendo di ampliare</w:t>
      </w:r>
      <w:r w:rsidR="00BD47EE">
        <w:t xml:space="preserve"> </w:t>
      </w:r>
      <w:r>
        <w:t xml:space="preserve">tale dotazione se nel corso della campagna dovessero rendersi disponibili altre </w:t>
      </w:r>
      <w:r w:rsidR="00C867D6">
        <w:t>dosi</w:t>
      </w:r>
      <w:r>
        <w:t>. Federfarma ha annunciato che nelle farmacie a</w:t>
      </w:r>
      <w:r w:rsidRPr="00BC1A4B">
        <w:t>rriveranno dall'estero oltre un milione di dosi.</w:t>
      </w:r>
    </w:p>
    <w:p w:rsidR="007747E4" w:rsidRDefault="00B15342" w:rsidP="00FC42F2">
      <w:pPr>
        <w:pStyle w:val="Testonormale"/>
        <w:spacing w:after="80" w:line="276" w:lineRule="auto"/>
        <w:jc w:val="both"/>
      </w:pPr>
      <w:r w:rsidRPr="00F72BD8">
        <w:t>«</w:t>
      </w:r>
      <w:r w:rsidR="00696343">
        <w:t xml:space="preserve">La Fondazione GIMBE </w:t>
      </w:r>
      <w:r>
        <w:t xml:space="preserve">– spiega Renata Gili, </w:t>
      </w:r>
      <w:r w:rsidR="007747E4">
        <w:t>coordinatrice del</w:t>
      </w:r>
      <w:r w:rsidR="00A1626F">
        <w:t xml:space="preserve"> progetto di monitoraggio del</w:t>
      </w:r>
      <w:r w:rsidR="007747E4">
        <w:t xml:space="preserve">l’influenza </w:t>
      </w:r>
      <w:proofErr w:type="gramStart"/>
      <w:r w:rsidR="007747E4">
        <w:t xml:space="preserve">stagionale  </w:t>
      </w:r>
      <w:r>
        <w:t>-</w:t>
      </w:r>
      <w:proofErr w:type="gramEnd"/>
      <w:r>
        <w:t xml:space="preserve"> </w:t>
      </w:r>
      <w:r w:rsidR="00696343">
        <w:t>ha condotto un’analisi indipendente con l’obiettivo</w:t>
      </w:r>
      <w:r w:rsidR="00335158">
        <w:t xml:space="preserve"> di</w:t>
      </w:r>
      <w:r w:rsidR="00514B73">
        <w:t xml:space="preserve"> mappare le scorte regionali di vaccino antinfluenzale</w:t>
      </w:r>
      <w:r w:rsidR="005C534D">
        <w:t>,</w:t>
      </w:r>
      <w:r w:rsidR="00514B73">
        <w:t xml:space="preserve"> </w:t>
      </w:r>
      <w:r w:rsidR="005C534D">
        <w:t xml:space="preserve">valutare </w:t>
      </w:r>
      <w:r w:rsidR="00514B73">
        <w:t>l</w:t>
      </w:r>
      <w:r w:rsidR="005C534D">
        <w:t xml:space="preserve">a </w:t>
      </w:r>
      <w:r w:rsidR="0050340A">
        <w:t>potenziale</w:t>
      </w:r>
      <w:r w:rsidR="005C534D">
        <w:t xml:space="preserve"> </w:t>
      </w:r>
      <w:r w:rsidR="0050340A">
        <w:t xml:space="preserve">copertura </w:t>
      </w:r>
      <w:r w:rsidR="005C534D">
        <w:t xml:space="preserve">per le categorie a rischio e stimare </w:t>
      </w:r>
      <w:r w:rsidR="00514B73">
        <w:t>la disponibilità di dosi per la popolazione generale</w:t>
      </w:r>
      <w:r>
        <w:t>».</w:t>
      </w:r>
      <w:r w:rsidR="00335158">
        <w:t xml:space="preserve"> </w:t>
      </w:r>
    </w:p>
    <w:p w:rsidR="00514B73" w:rsidRPr="00990C69" w:rsidRDefault="00514B73" w:rsidP="007747E4">
      <w:pPr>
        <w:pStyle w:val="Testonormale"/>
        <w:spacing w:after="80" w:line="276" w:lineRule="auto"/>
      </w:pPr>
      <w:r w:rsidRPr="00CE50A5">
        <w:rPr>
          <w:b/>
        </w:rPr>
        <w:t>Metodi</w:t>
      </w:r>
      <w:r>
        <w:t xml:space="preserve">. La fonte primaria dei dati è rappresentata dai bandi di gara delle forniture vaccinali antinfluenzali. Nel caso di indisponibilità (es. gare in privativa) o discrepanze tra dichiarazioni pubbliche e dati </w:t>
      </w:r>
      <w:r w:rsidR="006963DD">
        <w:t xml:space="preserve">reperiti </w:t>
      </w:r>
      <w:r w:rsidRPr="00F32F92">
        <w:t>sono stati contattati i</w:t>
      </w:r>
      <w:r w:rsidR="00F32F92">
        <w:t xml:space="preserve"> responsabili dei bandi di gara</w:t>
      </w:r>
      <w:r w:rsidRPr="00F32F92">
        <w:t xml:space="preserve"> </w:t>
      </w:r>
      <w:r w:rsidR="00F32F92">
        <w:t xml:space="preserve">o </w:t>
      </w:r>
      <w:r w:rsidR="006963DD">
        <w:t xml:space="preserve">i </w:t>
      </w:r>
      <w:r w:rsidRPr="00F32F92">
        <w:t>referenti d</w:t>
      </w:r>
      <w:r w:rsidR="006963DD">
        <w:t xml:space="preserve">i </w:t>
      </w:r>
      <w:r w:rsidRPr="00F32F92">
        <w:t>Assessorati Regionali alla Sanità</w:t>
      </w:r>
      <w:r w:rsidR="00F32F92">
        <w:t xml:space="preserve"> e</w:t>
      </w:r>
      <w:r w:rsidR="00F32F92" w:rsidRPr="00F32F92">
        <w:t xml:space="preserve"> </w:t>
      </w:r>
      <w:r w:rsidR="00C068C9" w:rsidRPr="00F32F92">
        <w:t>de</w:t>
      </w:r>
      <w:r w:rsidR="00F32F92">
        <w:t>i</w:t>
      </w:r>
      <w:r w:rsidR="00C068C9" w:rsidRPr="00F32F92">
        <w:t xml:space="preserve"> Servizi farmac</w:t>
      </w:r>
      <w:r w:rsidR="00F32F92">
        <w:t>eutici</w:t>
      </w:r>
      <w:r>
        <w:t xml:space="preserve">. La popolazione residente è </w:t>
      </w:r>
      <w:r w:rsidR="00576D06">
        <w:t>quella riportata da</w:t>
      </w:r>
      <w:r>
        <w:t xml:space="preserve"> ISTAT al 1 gennaio 2019. </w:t>
      </w:r>
      <w:r w:rsidR="00576D06">
        <w:t>È</w:t>
      </w:r>
      <w:r w:rsidR="00F76C83">
        <w:t xml:space="preserve"> stato </w:t>
      </w:r>
      <w:r w:rsidR="00F76C83">
        <w:lastRenderedPageBreak/>
        <w:t>sviluppato un</w:t>
      </w:r>
      <w:r>
        <w:t xml:space="preserve"> database ad hoc, da cui sono stati </w:t>
      </w:r>
      <w:r w:rsidR="00576D06">
        <w:t xml:space="preserve">elaborati </w:t>
      </w:r>
      <w:r>
        <w:t>per ciascuna Regione o Provincia autonoma i seguenti indicatori:</w:t>
      </w:r>
    </w:p>
    <w:p w:rsidR="00514B73" w:rsidRDefault="00514B73" w:rsidP="00870B55">
      <w:pPr>
        <w:pStyle w:val="Paragrafoelenco"/>
        <w:numPr>
          <w:ilvl w:val="0"/>
          <w:numId w:val="3"/>
        </w:numPr>
        <w:spacing w:after="80" w:line="276" w:lineRule="auto"/>
        <w:jc w:val="both"/>
      </w:pPr>
      <w:r>
        <w:t>Percentuale di dosi aggiudicate rispetto a quelle richieste</w:t>
      </w:r>
      <w:r w:rsidR="00055E03">
        <w:t>.</w:t>
      </w:r>
    </w:p>
    <w:p w:rsidR="0038570F" w:rsidRDefault="00514B73" w:rsidP="00870B55">
      <w:pPr>
        <w:pStyle w:val="Paragrafoelenco"/>
        <w:numPr>
          <w:ilvl w:val="0"/>
          <w:numId w:val="3"/>
        </w:numPr>
        <w:spacing w:after="80" w:line="276" w:lineRule="auto"/>
        <w:jc w:val="both"/>
      </w:pPr>
      <w:r>
        <w:t xml:space="preserve">Percentuale di copertura vaccinale raggiungibile nei target a rischio </w:t>
      </w:r>
      <w:r w:rsidR="00715FDC">
        <w:t xml:space="preserve">per </w:t>
      </w:r>
      <w:r>
        <w:t>età anagrafica</w:t>
      </w:r>
      <w:r w:rsidR="004119AD">
        <w:t>:</w:t>
      </w:r>
      <w:r w:rsidR="006963DD">
        <w:t xml:space="preserve"> bambini </w:t>
      </w:r>
      <w:r>
        <w:t xml:space="preserve">tra 6 mesi e 6 anni e </w:t>
      </w:r>
      <w:r w:rsidR="0038570F">
        <w:t xml:space="preserve">adulti </w:t>
      </w:r>
      <w:r>
        <w:t>di età &gt;60 anni.</w:t>
      </w:r>
    </w:p>
    <w:p w:rsidR="0099496D" w:rsidRPr="0038570F" w:rsidRDefault="00452C2A" w:rsidP="005277B3">
      <w:pPr>
        <w:pStyle w:val="Paragrafoelenco"/>
        <w:numPr>
          <w:ilvl w:val="0"/>
          <w:numId w:val="3"/>
        </w:numPr>
        <w:spacing w:after="80" w:line="276" w:lineRule="auto"/>
        <w:jc w:val="both"/>
        <w:rPr>
          <w:color w:val="FF0000"/>
        </w:rPr>
      </w:pPr>
      <w:r>
        <w:t>N</w:t>
      </w:r>
      <w:r w:rsidR="0038570F">
        <w:t xml:space="preserve">umero di </w:t>
      </w:r>
      <w:r w:rsidR="005D130F" w:rsidRPr="005D130F">
        <w:t xml:space="preserve">dosi </w:t>
      </w:r>
      <w:r w:rsidR="004D332E">
        <w:t xml:space="preserve">residue </w:t>
      </w:r>
      <w:r w:rsidR="005D130F" w:rsidRPr="005D130F">
        <w:t>di vaccino</w:t>
      </w:r>
      <w:r>
        <w:t>, parametrando l’obiettivo minimo di copertura vaccinale al 75%.</w:t>
      </w:r>
    </w:p>
    <w:p w:rsidR="006963DD" w:rsidRPr="006963DD" w:rsidRDefault="00D94E39" w:rsidP="006963DD">
      <w:pPr>
        <w:spacing w:after="80" w:line="276" w:lineRule="auto"/>
        <w:jc w:val="both"/>
      </w:pPr>
      <w:r w:rsidRPr="00CE50A5">
        <w:rPr>
          <w:b/>
        </w:rPr>
        <w:t>Risultati</w:t>
      </w:r>
      <w:r w:rsidR="006963DD">
        <w:t xml:space="preserve">. </w:t>
      </w:r>
      <w:r w:rsidR="00103C68">
        <w:t>L</w:t>
      </w:r>
      <w:r w:rsidR="00335DA8">
        <w:t>a</w:t>
      </w:r>
      <w:r w:rsidR="006963DD">
        <w:t xml:space="preserve"> disponibilità </w:t>
      </w:r>
      <w:r w:rsidR="006963DD" w:rsidRPr="00CD07DA">
        <w:t xml:space="preserve">nazionale </w:t>
      </w:r>
      <w:r w:rsidR="00335DA8">
        <w:t xml:space="preserve">è </w:t>
      </w:r>
      <w:r w:rsidR="006963DD" w:rsidRPr="00CD07DA">
        <w:t>di 17.866.550 dosi</w:t>
      </w:r>
      <w:r w:rsidR="00335DA8">
        <w:t xml:space="preserve">, con </w:t>
      </w:r>
      <w:r w:rsidR="006963DD">
        <w:t xml:space="preserve">notevoli variabilità </w:t>
      </w:r>
      <w:r w:rsidR="00335DA8">
        <w:t>regionali</w:t>
      </w:r>
      <w:r w:rsidR="006963DD" w:rsidRPr="006963DD">
        <w:t xml:space="preserve"> (</w:t>
      </w:r>
      <w:r w:rsidR="006963DD" w:rsidRPr="006963DD">
        <w:rPr>
          <w:highlight w:val="yellow"/>
        </w:rPr>
        <w:t>tabella</w:t>
      </w:r>
      <w:r w:rsidR="006963DD" w:rsidRPr="006963DD">
        <w:t>)</w:t>
      </w:r>
      <w:r w:rsidR="006963DD">
        <w:t>:</w:t>
      </w:r>
    </w:p>
    <w:p w:rsidR="006963DD" w:rsidRDefault="004119AD" w:rsidP="006963DD">
      <w:pPr>
        <w:pStyle w:val="Paragrafoelenco"/>
        <w:numPr>
          <w:ilvl w:val="0"/>
          <w:numId w:val="4"/>
        </w:numPr>
        <w:spacing w:after="80" w:line="276" w:lineRule="auto"/>
        <w:jc w:val="both"/>
      </w:pPr>
      <w:r>
        <w:t>7 Regioni e 2 Prov</w:t>
      </w:r>
      <w:r w:rsidR="00371014">
        <w:t xml:space="preserve">ince </w:t>
      </w:r>
      <w:r>
        <w:t>a</w:t>
      </w:r>
      <w:r w:rsidR="00224A58">
        <w:t>utonome</w:t>
      </w:r>
      <w:r>
        <w:t>, con le scorte disponibili, possono raggiungere coperture inferiori</w:t>
      </w:r>
      <w:r w:rsidR="006963DD">
        <w:t xml:space="preserve"> </w:t>
      </w:r>
      <w:r>
        <w:t>al</w:t>
      </w:r>
      <w:r w:rsidR="006963DD">
        <w:t xml:space="preserve"> 75% della popolazione target per età</w:t>
      </w:r>
      <w:r w:rsidR="00224A58">
        <w:t xml:space="preserve">: </w:t>
      </w:r>
      <w:r w:rsidR="00335DA8">
        <w:t>P</w:t>
      </w:r>
      <w:r w:rsidR="00371014">
        <w:t xml:space="preserve">rovincia autonoma </w:t>
      </w:r>
      <w:r w:rsidR="00335DA8">
        <w:t xml:space="preserve">di Trento (70,2%), Piemonte (67,9%), Lombardia (66,3%), Umbria (61,9%), Molise (57,1%), Valle d’Aosta (51,5%), </w:t>
      </w:r>
      <w:r w:rsidR="00224A58">
        <w:t xml:space="preserve">Abruzzo (49%), </w:t>
      </w:r>
      <w:r w:rsidR="00371014">
        <w:t xml:space="preserve">Provincia autonoma </w:t>
      </w:r>
      <w:r w:rsidR="00335DA8">
        <w:t>di Bolzano (38,3%), Basilicata (29%),</w:t>
      </w:r>
    </w:p>
    <w:p w:rsidR="002241C7" w:rsidRDefault="00224A58" w:rsidP="006963DD">
      <w:pPr>
        <w:pStyle w:val="Paragrafoelenco"/>
        <w:numPr>
          <w:ilvl w:val="0"/>
          <w:numId w:val="4"/>
        </w:numPr>
        <w:spacing w:after="80" w:line="276" w:lineRule="auto"/>
        <w:jc w:val="both"/>
      </w:pPr>
      <w:r>
        <w:t xml:space="preserve">12 Regioni si sono aggiudicate </w:t>
      </w:r>
      <w:r w:rsidR="00004B92">
        <w:t>un quantitativo adeguato</w:t>
      </w:r>
      <w:r>
        <w:t xml:space="preserve"> </w:t>
      </w:r>
      <w:r w:rsidR="00004B92">
        <w:t xml:space="preserve">di dosi per </w:t>
      </w:r>
      <w:r>
        <w:t>raggiungere la copertura del 75%</w:t>
      </w:r>
      <w:r w:rsidR="006963DD">
        <w:t xml:space="preserve"> </w:t>
      </w:r>
      <w:r w:rsidR="004119AD">
        <w:t xml:space="preserve">della popolazione target per età. Ma la </w:t>
      </w:r>
      <w:r>
        <w:t xml:space="preserve">disponibilità di dosi residue per la popolazione </w:t>
      </w:r>
      <w:r w:rsidR="004119AD">
        <w:t>non a rischio è molto variabile</w:t>
      </w:r>
      <w:r>
        <w:t xml:space="preserve">: </w:t>
      </w:r>
      <w:r w:rsidR="00335DA8">
        <w:t xml:space="preserve">Puglia (1.084.634), Lazio (926.291), Sicilia (256.796), Toscana (225.661), Campania (217.252), </w:t>
      </w:r>
      <w:r w:rsidR="002F5717">
        <w:t>Calabria</w:t>
      </w:r>
      <w:r>
        <w:t xml:space="preserve"> (</w:t>
      </w:r>
      <w:r w:rsidRPr="00CA3AE3">
        <w:t>100.273</w:t>
      </w:r>
      <w:r>
        <w:t>)</w:t>
      </w:r>
      <w:r w:rsidR="002F5717">
        <w:t xml:space="preserve">, </w:t>
      </w:r>
      <w:r w:rsidR="00335DA8">
        <w:t xml:space="preserve">Sardegna (96.113), Veneto (49.712), Liguria (38.501), </w:t>
      </w:r>
      <w:r w:rsidR="00823EB3">
        <w:t>Emilia-Romagna</w:t>
      </w:r>
      <w:r>
        <w:t xml:space="preserve"> (</w:t>
      </w:r>
      <w:r w:rsidR="00CD07DA">
        <w:t>9.980</w:t>
      </w:r>
      <w:r>
        <w:t>)</w:t>
      </w:r>
      <w:r w:rsidR="002F5717">
        <w:t xml:space="preserve">, </w:t>
      </w:r>
      <w:r w:rsidR="00356C93">
        <w:t>Friuli-Venezia Giulia</w:t>
      </w:r>
      <w:r>
        <w:t xml:space="preserve"> (</w:t>
      </w:r>
      <w:r w:rsidR="00CD07DA">
        <w:t>5.218</w:t>
      </w:r>
      <w:r>
        <w:t>)</w:t>
      </w:r>
      <w:r w:rsidR="002F5717">
        <w:t>, Marche</w:t>
      </w:r>
      <w:r>
        <w:t xml:space="preserve"> (</w:t>
      </w:r>
      <w:r w:rsidR="00CD07DA">
        <w:t>5.022</w:t>
      </w:r>
      <w:r>
        <w:t>)</w:t>
      </w:r>
      <w:r w:rsidR="00335DA8">
        <w:t>.</w:t>
      </w:r>
    </w:p>
    <w:p w:rsidR="006963DD" w:rsidRDefault="006875BD" w:rsidP="006963DD">
      <w:pPr>
        <w:spacing w:after="80" w:line="276" w:lineRule="auto"/>
        <w:jc w:val="both"/>
      </w:pPr>
      <w:r w:rsidRPr="006875BD">
        <w:rPr>
          <w:b/>
          <w:bCs/>
        </w:rPr>
        <w:t>Limiti</w:t>
      </w:r>
      <w:r w:rsidR="006963DD">
        <w:t xml:space="preserve">. </w:t>
      </w:r>
      <w:r w:rsidR="0031073E">
        <w:t xml:space="preserve">L’analisi </w:t>
      </w:r>
      <w:r>
        <w:t xml:space="preserve">della Fondazione GIMBE si basa sulle dosi </w:t>
      </w:r>
      <w:r w:rsidR="000E66FD">
        <w:t>acquistate tramite</w:t>
      </w:r>
      <w:r>
        <w:t xml:space="preserve"> </w:t>
      </w:r>
      <w:r w:rsidR="000E66FD">
        <w:t xml:space="preserve">bandi </w:t>
      </w:r>
      <w:r>
        <w:t>di gara</w:t>
      </w:r>
      <w:r w:rsidR="00004B92">
        <w:t>,</w:t>
      </w:r>
      <w:r>
        <w:t xml:space="preserve"> ovvero da informazioni fornite direttamente dalle amministrazioni regionali</w:t>
      </w:r>
      <w:r w:rsidR="00004B92">
        <w:t xml:space="preserve"> al</w:t>
      </w:r>
      <w:r w:rsidR="00CD07DA">
        <w:t xml:space="preserve"> 24</w:t>
      </w:r>
      <w:r w:rsidR="00004B92" w:rsidRPr="006963DD">
        <w:rPr>
          <w:color w:val="FF0000"/>
        </w:rPr>
        <w:t xml:space="preserve"> </w:t>
      </w:r>
      <w:r w:rsidR="00004B92">
        <w:t>settembre</w:t>
      </w:r>
      <w:r>
        <w:t xml:space="preserve">. </w:t>
      </w:r>
      <w:r w:rsidR="00004B92">
        <w:t>Considerato che diverse Regioni si sono attivate per recuperare dosi ulteriori di vaccino non si può escludere che le disponibilità possano aumentare in relazione a</w:t>
      </w:r>
      <w:r>
        <w:t>:</w:t>
      </w:r>
    </w:p>
    <w:p w:rsidR="006963DD" w:rsidRDefault="00CD07DA" w:rsidP="006963DD">
      <w:pPr>
        <w:pStyle w:val="Paragrafoelenco"/>
        <w:numPr>
          <w:ilvl w:val="0"/>
          <w:numId w:val="10"/>
        </w:numPr>
        <w:spacing w:after="80" w:line="276" w:lineRule="auto"/>
        <w:jc w:val="both"/>
      </w:pPr>
      <w:r>
        <w:t>a</w:t>
      </w:r>
      <w:r w:rsidR="006875BD">
        <w:t xml:space="preserve">pplicazione del quinto d'obbligo con incremento sino al 20% </w:t>
      </w:r>
      <w:r w:rsidR="002F6BB5">
        <w:t xml:space="preserve">del </w:t>
      </w:r>
      <w:r w:rsidR="006875BD">
        <w:t>numero di dosi aggiudicate</w:t>
      </w:r>
    </w:p>
    <w:p w:rsidR="006963DD" w:rsidRDefault="00CD07DA" w:rsidP="006963DD">
      <w:pPr>
        <w:pStyle w:val="Paragrafoelenco"/>
        <w:numPr>
          <w:ilvl w:val="0"/>
          <w:numId w:val="10"/>
        </w:numPr>
        <w:spacing w:after="80" w:line="276" w:lineRule="auto"/>
        <w:jc w:val="both"/>
      </w:pPr>
      <w:r>
        <w:t>p</w:t>
      </w:r>
      <w:r w:rsidR="006875BD">
        <w:t xml:space="preserve">rocedure negoziate senza pubblicazione di bando o </w:t>
      </w:r>
      <w:r w:rsidR="0031073E">
        <w:t xml:space="preserve">condotte </w:t>
      </w:r>
      <w:r w:rsidR="006875BD">
        <w:t>in privativa</w:t>
      </w:r>
      <w:r w:rsidR="000A4EC6">
        <w:t xml:space="preserve"> </w:t>
      </w:r>
      <w:r w:rsidR="0031073E">
        <w:t>(</w:t>
      </w:r>
      <w:r w:rsidR="000A4EC6">
        <w:t>concluse</w:t>
      </w:r>
      <w:r w:rsidR="00945A86">
        <w:t xml:space="preserve"> o</w:t>
      </w:r>
      <w:r w:rsidR="006875BD">
        <w:t xml:space="preserve"> in corso</w:t>
      </w:r>
      <w:r w:rsidR="0031073E">
        <w:t>)</w:t>
      </w:r>
    </w:p>
    <w:p w:rsidR="00942798" w:rsidRPr="006963DD" w:rsidRDefault="00CD07DA" w:rsidP="006963DD">
      <w:pPr>
        <w:pStyle w:val="Paragrafoelenco"/>
        <w:numPr>
          <w:ilvl w:val="0"/>
          <w:numId w:val="10"/>
        </w:numPr>
        <w:spacing w:after="80" w:line="276" w:lineRule="auto"/>
        <w:jc w:val="both"/>
      </w:pPr>
      <w:r w:rsidRPr="006963DD">
        <w:rPr>
          <w:bCs/>
        </w:rPr>
        <w:t>e</w:t>
      </w:r>
      <w:r w:rsidR="009F34A0" w:rsidRPr="006963DD">
        <w:rPr>
          <w:bCs/>
        </w:rPr>
        <w:t xml:space="preserve">ventuali </w:t>
      </w:r>
      <w:r w:rsidR="00004B92" w:rsidRPr="006963DD">
        <w:rPr>
          <w:bCs/>
        </w:rPr>
        <w:t>dosi</w:t>
      </w:r>
      <w:r w:rsidR="00942798" w:rsidRPr="006963DD">
        <w:rPr>
          <w:bCs/>
        </w:rPr>
        <w:t xml:space="preserve"> </w:t>
      </w:r>
      <w:r w:rsidR="0031073E" w:rsidRPr="006963DD">
        <w:rPr>
          <w:bCs/>
        </w:rPr>
        <w:t>approvvigionate e r</w:t>
      </w:r>
      <w:r w:rsidR="006A675D">
        <w:rPr>
          <w:bCs/>
        </w:rPr>
        <w:t>e</w:t>
      </w:r>
      <w:r w:rsidR="0031073E" w:rsidRPr="006963DD">
        <w:rPr>
          <w:bCs/>
        </w:rPr>
        <w:t xml:space="preserve">distribuite </w:t>
      </w:r>
      <w:r w:rsidR="00942798" w:rsidRPr="006963DD">
        <w:rPr>
          <w:bCs/>
        </w:rPr>
        <w:t>dal Ministero della Salute</w:t>
      </w:r>
    </w:p>
    <w:p w:rsidR="005F3A99" w:rsidRDefault="006963DD" w:rsidP="00870B55">
      <w:pPr>
        <w:spacing w:after="80" w:line="276" w:lineRule="auto"/>
        <w:jc w:val="both"/>
      </w:pPr>
      <w:r>
        <w:t xml:space="preserve">Inoltre, </w:t>
      </w:r>
      <w:r w:rsidR="00814042">
        <w:t>è verosimile una sovrastima delle dosi residue</w:t>
      </w:r>
      <w:r w:rsidR="009F34A0">
        <w:t xml:space="preserve"> perché la copertura del 75% è stata calcola</w:t>
      </w:r>
      <w:r w:rsidR="00C12F82">
        <w:t xml:space="preserve">ta solo </w:t>
      </w:r>
      <w:r w:rsidR="00EC5811">
        <w:t>sul target anagrafico</w:t>
      </w:r>
      <w:r w:rsidR="009F34A0">
        <w:t xml:space="preserve">, </w:t>
      </w:r>
      <w:r w:rsidR="00C539AD">
        <w:t xml:space="preserve">vista </w:t>
      </w:r>
      <w:r w:rsidR="007E425C">
        <w:t>l’impossibilità di quantificare</w:t>
      </w:r>
      <w:r w:rsidR="009F34A0">
        <w:t xml:space="preserve"> </w:t>
      </w:r>
      <w:r w:rsidR="007E425C">
        <w:t xml:space="preserve">le </w:t>
      </w:r>
      <w:r w:rsidR="009F34A0">
        <w:t xml:space="preserve">altre categorie </w:t>
      </w:r>
      <w:r>
        <w:t>a rischio</w:t>
      </w:r>
      <w:r w:rsidR="009F34A0">
        <w:t xml:space="preserve">: </w:t>
      </w:r>
      <w:r w:rsidR="009F34A0" w:rsidRPr="009F34A0">
        <w:t>persone di età &lt;60 anni con patologie croniche, donne in gravidanza, operatori sanitari</w:t>
      </w:r>
      <w:r w:rsidR="007E425C">
        <w:t xml:space="preserve"> e altri lavoratori a rischio</w:t>
      </w:r>
      <w:r w:rsidR="00C12F82">
        <w:t>, etc.</w:t>
      </w:r>
    </w:p>
    <w:p w:rsidR="005F3A99" w:rsidRDefault="005F3A99" w:rsidP="005F3A99">
      <w:pPr>
        <w:spacing w:after="80" w:line="276" w:lineRule="auto"/>
        <w:jc w:val="both"/>
      </w:pPr>
      <w:r w:rsidRPr="00F72BD8">
        <w:t>«</w:t>
      </w:r>
      <w:r w:rsidR="00BB6729">
        <w:t>L</w:t>
      </w:r>
      <w:r w:rsidR="007E4124">
        <w:t xml:space="preserve">’esigua disponibilità </w:t>
      </w:r>
      <w:r w:rsidR="00BB6729">
        <w:t xml:space="preserve">di vaccino </w:t>
      </w:r>
      <w:r w:rsidR="007E4124">
        <w:t xml:space="preserve">antinfluenzale </w:t>
      </w:r>
      <w:r w:rsidR="00BB6729">
        <w:t xml:space="preserve">nelle farmacie </w:t>
      </w:r>
      <w:r>
        <w:t xml:space="preserve">– spiega il Presidente – </w:t>
      </w:r>
      <w:r w:rsidR="006A675D">
        <w:t xml:space="preserve">è riconducibile ad </w:t>
      </w:r>
      <w:r w:rsidR="00BB6729">
        <w:t>almeno tre determinanti</w:t>
      </w:r>
      <w:r>
        <w:t xml:space="preserve">. Innanzitutto, Ministero della Salute e la maggior parte delle Regioni non hanno previsto </w:t>
      </w:r>
      <w:r w:rsidR="00C539AD">
        <w:t xml:space="preserve">con </w:t>
      </w:r>
      <w:r w:rsidR="007E4124">
        <w:t>largo</w:t>
      </w:r>
      <w:r w:rsidR="006A675D">
        <w:t xml:space="preserve"> </w:t>
      </w:r>
      <w:r w:rsidR="00C539AD">
        <w:t xml:space="preserve">anticipo </w:t>
      </w:r>
      <w:r w:rsidR="007E4124">
        <w:t>l</w:t>
      </w:r>
      <w:r w:rsidR="006A675D">
        <w:t xml:space="preserve">a necessità </w:t>
      </w:r>
      <w:r w:rsidR="00C539AD">
        <w:t xml:space="preserve">di </w:t>
      </w:r>
      <w:r>
        <w:t xml:space="preserve">aumentare le scorte per la popolazione non a rischio. </w:t>
      </w:r>
      <w:r w:rsidRPr="00F42BBB">
        <w:t xml:space="preserve">In secondo luogo, </w:t>
      </w:r>
      <w:r>
        <w:t xml:space="preserve">l’aumentata domanda sui mercati internazionali, insieme al </w:t>
      </w:r>
      <w:r w:rsidRPr="00F42BBB">
        <w:t>ritardo con cui sono stati indetti i bandi di gara</w:t>
      </w:r>
      <w:r>
        <w:t>,</w:t>
      </w:r>
      <w:r w:rsidRPr="00F42BBB">
        <w:t xml:space="preserve"> ha </w:t>
      </w:r>
      <w:r>
        <w:t xml:space="preserve">impedito ad </w:t>
      </w:r>
      <w:r w:rsidRPr="00F42BBB">
        <w:t>alcune Regioni</w:t>
      </w:r>
      <w:r>
        <w:t xml:space="preserve"> di aggiudicarsi il 100% delle dosi richieste</w:t>
      </w:r>
      <w:r w:rsidRPr="00F42BBB">
        <w:t>.</w:t>
      </w:r>
      <w:r w:rsidRPr="00C30305">
        <w:t xml:space="preserve"> Infine, le farmacie</w:t>
      </w:r>
      <w:r>
        <w:t xml:space="preserve"> non sono riuscite ad </w:t>
      </w:r>
      <w:r w:rsidRPr="00C30305">
        <w:t>approv</w:t>
      </w:r>
      <w:r w:rsidR="007E4124">
        <w:t>vi</w:t>
      </w:r>
      <w:r>
        <w:t xml:space="preserve">gionarsi </w:t>
      </w:r>
      <w:r w:rsidRPr="00C30305">
        <w:t xml:space="preserve">per mancata disponibilità del vaccino </w:t>
      </w:r>
      <w:r>
        <w:t>sul mercato»</w:t>
      </w:r>
      <w:r w:rsidR="00C539AD">
        <w:t>.</w:t>
      </w:r>
    </w:p>
    <w:p w:rsidR="00103C68" w:rsidRDefault="00BB165D" w:rsidP="007E425C">
      <w:pPr>
        <w:spacing w:after="80" w:line="276" w:lineRule="auto"/>
        <w:jc w:val="both"/>
      </w:pPr>
      <w:r w:rsidRPr="00F72BD8">
        <w:t>«</w:t>
      </w:r>
      <w:r w:rsidR="0028382D">
        <w:t xml:space="preserve">La nostra analisi </w:t>
      </w:r>
      <w:r w:rsidR="0041212B">
        <w:t xml:space="preserve">– </w:t>
      </w:r>
      <w:r w:rsidR="007C6632">
        <w:t>conclude Cartabellotta</w:t>
      </w:r>
      <w:r>
        <w:t xml:space="preserve"> </w:t>
      </w:r>
      <w:r w:rsidR="0028382D">
        <w:t>–</w:t>
      </w:r>
      <w:r w:rsidR="00370FA4">
        <w:t xml:space="preserve"> quantifica le</w:t>
      </w:r>
      <w:r w:rsidR="0028382D">
        <w:t xml:space="preserve"> </w:t>
      </w:r>
      <w:r w:rsidR="0079448E">
        <w:t>difficoltà di accesso</w:t>
      </w:r>
      <w:r w:rsidR="0028382D">
        <w:t xml:space="preserve"> </w:t>
      </w:r>
      <w:r w:rsidR="00BB6729">
        <w:t xml:space="preserve">per la popolazione generale </w:t>
      </w:r>
      <w:r w:rsidR="0028382D">
        <w:t xml:space="preserve">al vaccino </w:t>
      </w:r>
      <w:r w:rsidR="0079448E">
        <w:t>antinfluenzale</w:t>
      </w:r>
      <w:r w:rsidR="0028382D">
        <w:t xml:space="preserve">. In molte Regioni, infatti, solo </w:t>
      </w:r>
      <w:r w:rsidR="00103C68">
        <w:t>la</w:t>
      </w:r>
      <w:r w:rsidR="00C116CB">
        <w:t xml:space="preserve"> </w:t>
      </w:r>
      <w:r w:rsidR="009307D5">
        <w:t xml:space="preserve">decisione di escludere una o più </w:t>
      </w:r>
      <w:r w:rsidR="00C116CB">
        <w:t>categorie a rischio</w:t>
      </w:r>
      <w:r w:rsidR="009307D5">
        <w:t xml:space="preserve"> (es. bambini) dall’offerta attiva e gratuita </w:t>
      </w:r>
      <w:r w:rsidR="00430537">
        <w:t xml:space="preserve">o </w:t>
      </w:r>
      <w:r w:rsidR="009307D5">
        <w:t xml:space="preserve">quella di </w:t>
      </w:r>
      <w:r w:rsidR="006A675D">
        <w:t>accontentarsi di</w:t>
      </w:r>
      <w:r w:rsidR="009307D5">
        <w:t xml:space="preserve"> un target inferiore al 75%, </w:t>
      </w:r>
      <w:r w:rsidR="0028382D">
        <w:t xml:space="preserve">permetterà di </w:t>
      </w:r>
      <w:r w:rsidR="00A84F4E">
        <w:t xml:space="preserve">aumentare </w:t>
      </w:r>
      <w:r w:rsidR="0028382D">
        <w:t xml:space="preserve">la disponibilità di dosi </w:t>
      </w:r>
      <w:r w:rsidR="006A675D">
        <w:t>nelle farmacie</w:t>
      </w:r>
      <w:r w:rsidR="0028382D">
        <w:t xml:space="preserve">. </w:t>
      </w:r>
      <w:r w:rsidR="00103C68">
        <w:t xml:space="preserve">La Fondazione GIMBE auspica </w:t>
      </w:r>
      <w:r w:rsidR="0079448E">
        <w:t xml:space="preserve">che i dilemmi etici posti da una programmazione inadeguata </w:t>
      </w:r>
      <w:r w:rsidR="00DE6543">
        <w:t xml:space="preserve">del fabbisogno </w:t>
      </w:r>
      <w:r w:rsidR="00A84F4E">
        <w:t>vengano</w:t>
      </w:r>
      <w:r w:rsidR="00430537">
        <w:t>, almeno in parte,</w:t>
      </w:r>
      <w:r w:rsidR="00697554">
        <w:t xml:space="preserve"> </w:t>
      </w:r>
      <w:r w:rsidR="0079448E">
        <w:t xml:space="preserve">risolti da </w:t>
      </w:r>
      <w:r w:rsidR="00697554">
        <w:t>meccanismi di solidarietà tra Regioni</w:t>
      </w:r>
      <w:r w:rsidR="00DE6543">
        <w:t xml:space="preserve">, </w:t>
      </w:r>
      <w:r w:rsidR="00A11D7E">
        <w:t>da approvvigio</w:t>
      </w:r>
      <w:bookmarkStart w:id="0" w:name="_GoBack"/>
      <w:bookmarkEnd w:id="0"/>
      <w:r w:rsidR="00A11D7E">
        <w:t xml:space="preserve">namenti </w:t>
      </w:r>
      <w:r w:rsidR="006A675D">
        <w:t xml:space="preserve">diretti </w:t>
      </w:r>
      <w:r w:rsidR="00103C68">
        <w:t xml:space="preserve">del Ministero </w:t>
      </w:r>
      <w:r w:rsidR="00A11D7E">
        <w:t>tramite circuiti internazionali</w:t>
      </w:r>
      <w:r w:rsidR="00DE6543">
        <w:t xml:space="preserve"> e, soprattutto, da un</w:t>
      </w:r>
      <w:r w:rsidR="00C116CB">
        <w:t xml:space="preserve">’adeguata </w:t>
      </w:r>
      <w:r w:rsidR="006A675D">
        <w:t xml:space="preserve">organizzazione </w:t>
      </w:r>
      <w:r w:rsidR="00370FA4">
        <w:t xml:space="preserve">regionale </w:t>
      </w:r>
      <w:r w:rsidR="00C116CB">
        <w:t xml:space="preserve">con </w:t>
      </w:r>
      <w:r w:rsidR="00103C68">
        <w:t xml:space="preserve">tempestiva </w:t>
      </w:r>
      <w:r w:rsidR="00C116CB">
        <w:t xml:space="preserve">chiamata attiva </w:t>
      </w:r>
      <w:r w:rsidR="00103C68">
        <w:t xml:space="preserve">delle fasce a rischio, </w:t>
      </w:r>
      <w:r w:rsidR="00370FA4">
        <w:t xml:space="preserve">così da </w:t>
      </w:r>
      <w:r w:rsidR="00103C68">
        <w:t>rilasciare</w:t>
      </w:r>
      <w:r w:rsidR="00DE6543">
        <w:t xml:space="preserve"> </w:t>
      </w:r>
      <w:r w:rsidR="006A675D">
        <w:t xml:space="preserve">in tempo utile </w:t>
      </w:r>
      <w:r w:rsidR="00DE6543">
        <w:t xml:space="preserve">alle farmacie </w:t>
      </w:r>
      <w:r w:rsidR="00C539AD">
        <w:t>le dosi non utilizzate</w:t>
      </w:r>
      <w:r>
        <w:t>»</w:t>
      </w:r>
      <w:r w:rsidR="00C539AD">
        <w:t>.</w:t>
      </w:r>
    </w:p>
    <w:p w:rsidR="00CE1721" w:rsidRPr="004119AD" w:rsidRDefault="004119AD" w:rsidP="004119AD">
      <w:pPr>
        <w:spacing w:after="80" w:line="276" w:lineRule="auto"/>
      </w:pPr>
      <w:r>
        <w:rPr>
          <w:rFonts w:ascii="Calibri" w:eastAsia="Calibri" w:hAnsi="Calibri" w:cs="Times New Roman"/>
          <w:b/>
          <w:bCs/>
        </w:rPr>
        <w:br/>
      </w:r>
      <w:r w:rsidR="0028382D" w:rsidRPr="00A24080">
        <w:rPr>
          <w:rFonts w:ascii="Calibri" w:eastAsia="Calibri" w:hAnsi="Calibri" w:cs="Times New Roman"/>
          <w:b/>
          <w:bCs/>
        </w:rPr>
        <w:t>CONTATTI</w:t>
      </w:r>
      <w:r w:rsidR="0028382D">
        <w:rPr>
          <w:i/>
          <w:lang w:eastAsia="it-IT"/>
        </w:rPr>
        <w:br/>
      </w:r>
      <w:r w:rsidR="0028382D" w:rsidRPr="00A24080">
        <w:rPr>
          <w:b/>
        </w:rPr>
        <w:t>Fondazione GIMBE</w:t>
      </w:r>
      <w:r w:rsidR="00335DA8">
        <w:t>.</w:t>
      </w:r>
      <w:r>
        <w:t xml:space="preserve"> </w:t>
      </w:r>
      <w:r w:rsidR="0028382D"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="0028382D" w:rsidRPr="00652364">
        <w:rPr>
          <w:rFonts w:ascii="Calibri" w:eastAsia="Calibri" w:hAnsi="Calibri" w:cs="Times New Roman"/>
          <w:sz w:val="20"/>
        </w:rPr>
        <w:t>Tel. 051 5883920 - Fax 051 4075774</w:t>
      </w:r>
      <w:r w:rsidR="00335DA8">
        <w:rPr>
          <w:rFonts w:ascii="Calibri" w:eastAsia="Calibri" w:hAnsi="Calibri" w:cs="Times New Roman"/>
          <w:sz w:val="20"/>
        </w:rPr>
        <w:t xml:space="preserve"> </w:t>
      </w:r>
      <w:hyperlink r:id="rId9" w:history="1">
        <w:r w:rsidR="0028382D"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CE1721" w:rsidRDefault="00CE1721" w:rsidP="00E94DE0">
      <w:pPr>
        <w:pStyle w:val="xmsonormal"/>
        <w:spacing w:line="276" w:lineRule="auto"/>
        <w:sectPr w:rsidR="00CE1721" w:rsidSect="007747E4">
          <w:headerReference w:type="default" r:id="rId10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430537" w:rsidRDefault="003C6330" w:rsidP="009D5B3F">
      <w:pPr>
        <w:spacing w:after="0"/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9072245" cy="5454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ll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2B" w:rsidRPr="00AC114D" w:rsidRDefault="006A062B" w:rsidP="00894D9A">
      <w:pPr>
        <w:spacing w:after="0"/>
        <w:jc w:val="both"/>
        <w:rPr>
          <w:color w:val="FF0000"/>
        </w:rPr>
      </w:pPr>
    </w:p>
    <w:sectPr w:rsidR="006A062B" w:rsidRPr="00AC114D" w:rsidSect="00CE17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93" w:rsidRDefault="00712D93" w:rsidP="00E94DE0">
      <w:pPr>
        <w:spacing w:after="0" w:line="240" w:lineRule="auto"/>
      </w:pPr>
      <w:r>
        <w:separator/>
      </w:r>
    </w:p>
  </w:endnote>
  <w:endnote w:type="continuationSeparator" w:id="0">
    <w:p w:rsidR="00712D93" w:rsidRDefault="00712D93" w:rsidP="00E9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93" w:rsidRDefault="00712D93" w:rsidP="00E94DE0">
      <w:pPr>
        <w:spacing w:after="0" w:line="240" w:lineRule="auto"/>
      </w:pPr>
      <w:r>
        <w:separator/>
      </w:r>
    </w:p>
  </w:footnote>
  <w:footnote w:type="continuationSeparator" w:id="0">
    <w:p w:rsidR="00712D93" w:rsidRDefault="00712D93" w:rsidP="00E9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1F" w:rsidRPr="0020381F" w:rsidRDefault="0020381F" w:rsidP="0020381F">
    <w:pPr>
      <w:pStyle w:val="Intestazione"/>
      <w:jc w:val="center"/>
      <w:rPr>
        <w:b/>
        <w:color w:val="FF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A6A"/>
    <w:multiLevelType w:val="hybridMultilevel"/>
    <w:tmpl w:val="229E7D12"/>
    <w:lvl w:ilvl="0" w:tplc="F2900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29C7"/>
    <w:multiLevelType w:val="hybridMultilevel"/>
    <w:tmpl w:val="8BBC375E"/>
    <w:lvl w:ilvl="0" w:tplc="73EC8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E1ED7"/>
    <w:multiLevelType w:val="hybridMultilevel"/>
    <w:tmpl w:val="D436933C"/>
    <w:lvl w:ilvl="0" w:tplc="61F2E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A66"/>
    <w:multiLevelType w:val="hybridMultilevel"/>
    <w:tmpl w:val="D602A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70DEA"/>
    <w:multiLevelType w:val="hybridMultilevel"/>
    <w:tmpl w:val="D2CEE7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74662"/>
    <w:multiLevelType w:val="hybridMultilevel"/>
    <w:tmpl w:val="D0120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05BA5"/>
    <w:multiLevelType w:val="hybridMultilevel"/>
    <w:tmpl w:val="0FD24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D020F"/>
    <w:multiLevelType w:val="hybridMultilevel"/>
    <w:tmpl w:val="5C5CBC54"/>
    <w:lvl w:ilvl="0" w:tplc="07C0C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37F3"/>
    <w:multiLevelType w:val="hybridMultilevel"/>
    <w:tmpl w:val="9F3A21E2"/>
    <w:lvl w:ilvl="0" w:tplc="7054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2AD0"/>
    <w:multiLevelType w:val="hybridMultilevel"/>
    <w:tmpl w:val="9F58A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F"/>
    <w:rsid w:val="00004B92"/>
    <w:rsid w:val="0001019A"/>
    <w:rsid w:val="000168EF"/>
    <w:rsid w:val="00017669"/>
    <w:rsid w:val="00024CF3"/>
    <w:rsid w:val="0003077D"/>
    <w:rsid w:val="00055177"/>
    <w:rsid w:val="00055E03"/>
    <w:rsid w:val="00066873"/>
    <w:rsid w:val="00083AE4"/>
    <w:rsid w:val="000A4EC6"/>
    <w:rsid w:val="000B21A4"/>
    <w:rsid w:val="000B2727"/>
    <w:rsid w:val="000C464B"/>
    <w:rsid w:val="000D0B71"/>
    <w:rsid w:val="000E30F9"/>
    <w:rsid w:val="000E66FD"/>
    <w:rsid w:val="000F04BA"/>
    <w:rsid w:val="00103C68"/>
    <w:rsid w:val="00115114"/>
    <w:rsid w:val="00121927"/>
    <w:rsid w:val="001227C5"/>
    <w:rsid w:val="0013298B"/>
    <w:rsid w:val="001561F4"/>
    <w:rsid w:val="00173A20"/>
    <w:rsid w:val="001775CD"/>
    <w:rsid w:val="00180784"/>
    <w:rsid w:val="001816C9"/>
    <w:rsid w:val="001A6E14"/>
    <w:rsid w:val="001B2F28"/>
    <w:rsid w:val="001B46FA"/>
    <w:rsid w:val="001D1150"/>
    <w:rsid w:val="001D3E0C"/>
    <w:rsid w:val="001D7DE4"/>
    <w:rsid w:val="001F47FD"/>
    <w:rsid w:val="001F6098"/>
    <w:rsid w:val="00200CA5"/>
    <w:rsid w:val="0020381F"/>
    <w:rsid w:val="002241C7"/>
    <w:rsid w:val="00224A58"/>
    <w:rsid w:val="002271BF"/>
    <w:rsid w:val="0025723C"/>
    <w:rsid w:val="00264933"/>
    <w:rsid w:val="0028382D"/>
    <w:rsid w:val="002934CD"/>
    <w:rsid w:val="002957D1"/>
    <w:rsid w:val="002B40F2"/>
    <w:rsid w:val="002D4511"/>
    <w:rsid w:val="002D5E5B"/>
    <w:rsid w:val="002D7EFE"/>
    <w:rsid w:val="002E52CA"/>
    <w:rsid w:val="002F1910"/>
    <w:rsid w:val="002F5717"/>
    <w:rsid w:val="002F6BB5"/>
    <w:rsid w:val="002F7A9A"/>
    <w:rsid w:val="0031073E"/>
    <w:rsid w:val="003239A6"/>
    <w:rsid w:val="00332A69"/>
    <w:rsid w:val="00335158"/>
    <w:rsid w:val="00335BBB"/>
    <w:rsid w:val="00335DA8"/>
    <w:rsid w:val="003475F2"/>
    <w:rsid w:val="00356C93"/>
    <w:rsid w:val="00370FA4"/>
    <w:rsid w:val="00371014"/>
    <w:rsid w:val="00372C91"/>
    <w:rsid w:val="00384A64"/>
    <w:rsid w:val="0038570F"/>
    <w:rsid w:val="003A531B"/>
    <w:rsid w:val="003B6B97"/>
    <w:rsid w:val="003C3586"/>
    <w:rsid w:val="003C49D5"/>
    <w:rsid w:val="003C6330"/>
    <w:rsid w:val="003D4D68"/>
    <w:rsid w:val="003E10A5"/>
    <w:rsid w:val="003E74DF"/>
    <w:rsid w:val="003E779C"/>
    <w:rsid w:val="003F5841"/>
    <w:rsid w:val="00400129"/>
    <w:rsid w:val="004119AD"/>
    <w:rsid w:val="0041212B"/>
    <w:rsid w:val="00414B70"/>
    <w:rsid w:val="00416B53"/>
    <w:rsid w:val="0042110C"/>
    <w:rsid w:val="00430537"/>
    <w:rsid w:val="0044432E"/>
    <w:rsid w:val="00452C2A"/>
    <w:rsid w:val="0045472E"/>
    <w:rsid w:val="00461176"/>
    <w:rsid w:val="0046233A"/>
    <w:rsid w:val="00480180"/>
    <w:rsid w:val="00481CFF"/>
    <w:rsid w:val="00485135"/>
    <w:rsid w:val="00491080"/>
    <w:rsid w:val="004C4C72"/>
    <w:rsid w:val="004D262B"/>
    <w:rsid w:val="004D332E"/>
    <w:rsid w:val="004F6985"/>
    <w:rsid w:val="0050340A"/>
    <w:rsid w:val="00506D39"/>
    <w:rsid w:val="00514B73"/>
    <w:rsid w:val="005239E8"/>
    <w:rsid w:val="0052791C"/>
    <w:rsid w:val="005567C0"/>
    <w:rsid w:val="00556C54"/>
    <w:rsid w:val="005662CB"/>
    <w:rsid w:val="005708D8"/>
    <w:rsid w:val="00576D06"/>
    <w:rsid w:val="00581AFF"/>
    <w:rsid w:val="0058495A"/>
    <w:rsid w:val="005928CF"/>
    <w:rsid w:val="005B1A81"/>
    <w:rsid w:val="005C534D"/>
    <w:rsid w:val="005D130F"/>
    <w:rsid w:val="005F3A99"/>
    <w:rsid w:val="006820A0"/>
    <w:rsid w:val="00683EF4"/>
    <w:rsid w:val="006875BD"/>
    <w:rsid w:val="00696343"/>
    <w:rsid w:val="006963DD"/>
    <w:rsid w:val="00697554"/>
    <w:rsid w:val="006A062B"/>
    <w:rsid w:val="006A675D"/>
    <w:rsid w:val="006B2B96"/>
    <w:rsid w:val="006C58C6"/>
    <w:rsid w:val="006D2FE2"/>
    <w:rsid w:val="006E250C"/>
    <w:rsid w:val="006F6AF4"/>
    <w:rsid w:val="00711B31"/>
    <w:rsid w:val="00712D93"/>
    <w:rsid w:val="007150B6"/>
    <w:rsid w:val="00715FDC"/>
    <w:rsid w:val="007231D3"/>
    <w:rsid w:val="00731D44"/>
    <w:rsid w:val="00744A54"/>
    <w:rsid w:val="00764719"/>
    <w:rsid w:val="00773253"/>
    <w:rsid w:val="007747E4"/>
    <w:rsid w:val="007805C0"/>
    <w:rsid w:val="007810A9"/>
    <w:rsid w:val="0079448E"/>
    <w:rsid w:val="00795F37"/>
    <w:rsid w:val="007A5D81"/>
    <w:rsid w:val="007B6499"/>
    <w:rsid w:val="007C0849"/>
    <w:rsid w:val="007C6632"/>
    <w:rsid w:val="007E0B10"/>
    <w:rsid w:val="007E4124"/>
    <w:rsid w:val="007E425C"/>
    <w:rsid w:val="007F42CD"/>
    <w:rsid w:val="00814042"/>
    <w:rsid w:val="00823EB3"/>
    <w:rsid w:val="008342A4"/>
    <w:rsid w:val="00836DCA"/>
    <w:rsid w:val="008372A9"/>
    <w:rsid w:val="0083745F"/>
    <w:rsid w:val="008572FC"/>
    <w:rsid w:val="00870B55"/>
    <w:rsid w:val="00886922"/>
    <w:rsid w:val="00894D9A"/>
    <w:rsid w:val="0089647D"/>
    <w:rsid w:val="008A03BE"/>
    <w:rsid w:val="008B0A0F"/>
    <w:rsid w:val="008B7A82"/>
    <w:rsid w:val="008F06E6"/>
    <w:rsid w:val="00906E85"/>
    <w:rsid w:val="00917069"/>
    <w:rsid w:val="009266DE"/>
    <w:rsid w:val="009307D5"/>
    <w:rsid w:val="00942798"/>
    <w:rsid w:val="00944C3C"/>
    <w:rsid w:val="00945A86"/>
    <w:rsid w:val="00980C21"/>
    <w:rsid w:val="00990C69"/>
    <w:rsid w:val="00992608"/>
    <w:rsid w:val="0099496D"/>
    <w:rsid w:val="00997A95"/>
    <w:rsid w:val="009A405C"/>
    <w:rsid w:val="009C13E0"/>
    <w:rsid w:val="009C3A0F"/>
    <w:rsid w:val="009D5B3F"/>
    <w:rsid w:val="009F34A0"/>
    <w:rsid w:val="009F5E93"/>
    <w:rsid w:val="00A11D7E"/>
    <w:rsid w:val="00A12B7B"/>
    <w:rsid w:val="00A1626F"/>
    <w:rsid w:val="00A345C4"/>
    <w:rsid w:val="00A4350D"/>
    <w:rsid w:val="00A65317"/>
    <w:rsid w:val="00A84F4E"/>
    <w:rsid w:val="00A90D1A"/>
    <w:rsid w:val="00A9745B"/>
    <w:rsid w:val="00AB7A27"/>
    <w:rsid w:val="00AC114D"/>
    <w:rsid w:val="00AE27CA"/>
    <w:rsid w:val="00B0022F"/>
    <w:rsid w:val="00B028D7"/>
    <w:rsid w:val="00B15342"/>
    <w:rsid w:val="00B17FFA"/>
    <w:rsid w:val="00B2207C"/>
    <w:rsid w:val="00B22926"/>
    <w:rsid w:val="00B23C8F"/>
    <w:rsid w:val="00B24F45"/>
    <w:rsid w:val="00B33E5E"/>
    <w:rsid w:val="00B514E2"/>
    <w:rsid w:val="00B6510E"/>
    <w:rsid w:val="00B7572B"/>
    <w:rsid w:val="00B96B5D"/>
    <w:rsid w:val="00B978D7"/>
    <w:rsid w:val="00BA155B"/>
    <w:rsid w:val="00BA4530"/>
    <w:rsid w:val="00BA4E0C"/>
    <w:rsid w:val="00BB165D"/>
    <w:rsid w:val="00BB6729"/>
    <w:rsid w:val="00BC1A4B"/>
    <w:rsid w:val="00BD47EE"/>
    <w:rsid w:val="00BE4BD3"/>
    <w:rsid w:val="00C0243F"/>
    <w:rsid w:val="00C068C9"/>
    <w:rsid w:val="00C116CB"/>
    <w:rsid w:val="00C12F82"/>
    <w:rsid w:val="00C20E7D"/>
    <w:rsid w:val="00C228A6"/>
    <w:rsid w:val="00C22E61"/>
    <w:rsid w:val="00C2386B"/>
    <w:rsid w:val="00C30305"/>
    <w:rsid w:val="00C310C2"/>
    <w:rsid w:val="00C353F9"/>
    <w:rsid w:val="00C539AD"/>
    <w:rsid w:val="00C639F3"/>
    <w:rsid w:val="00C80CC6"/>
    <w:rsid w:val="00C867D6"/>
    <w:rsid w:val="00C959B2"/>
    <w:rsid w:val="00CA3AE3"/>
    <w:rsid w:val="00CB7A87"/>
    <w:rsid w:val="00CC4E33"/>
    <w:rsid w:val="00CC7C63"/>
    <w:rsid w:val="00CD07DA"/>
    <w:rsid w:val="00CD268C"/>
    <w:rsid w:val="00CE1426"/>
    <w:rsid w:val="00CE1721"/>
    <w:rsid w:val="00CE20E1"/>
    <w:rsid w:val="00CE50A5"/>
    <w:rsid w:val="00CF6465"/>
    <w:rsid w:val="00D05FF2"/>
    <w:rsid w:val="00D06D57"/>
    <w:rsid w:val="00D07AAB"/>
    <w:rsid w:val="00D27C9F"/>
    <w:rsid w:val="00D47B92"/>
    <w:rsid w:val="00D72792"/>
    <w:rsid w:val="00D91714"/>
    <w:rsid w:val="00D93747"/>
    <w:rsid w:val="00D94E39"/>
    <w:rsid w:val="00D96F33"/>
    <w:rsid w:val="00D96FD2"/>
    <w:rsid w:val="00DA61C2"/>
    <w:rsid w:val="00DB3E8F"/>
    <w:rsid w:val="00DC750F"/>
    <w:rsid w:val="00DD5530"/>
    <w:rsid w:val="00DE6543"/>
    <w:rsid w:val="00DF1504"/>
    <w:rsid w:val="00DF644E"/>
    <w:rsid w:val="00E008F7"/>
    <w:rsid w:val="00E13E23"/>
    <w:rsid w:val="00E141E9"/>
    <w:rsid w:val="00E257B8"/>
    <w:rsid w:val="00E357F8"/>
    <w:rsid w:val="00E75453"/>
    <w:rsid w:val="00E859A1"/>
    <w:rsid w:val="00E94DE0"/>
    <w:rsid w:val="00E96E0F"/>
    <w:rsid w:val="00E97A05"/>
    <w:rsid w:val="00EC5811"/>
    <w:rsid w:val="00ED597B"/>
    <w:rsid w:val="00EE5B9E"/>
    <w:rsid w:val="00EF3BB8"/>
    <w:rsid w:val="00F0041A"/>
    <w:rsid w:val="00F0163A"/>
    <w:rsid w:val="00F03F78"/>
    <w:rsid w:val="00F11D7C"/>
    <w:rsid w:val="00F125DD"/>
    <w:rsid w:val="00F230AA"/>
    <w:rsid w:val="00F32F92"/>
    <w:rsid w:val="00F42BBB"/>
    <w:rsid w:val="00F45C97"/>
    <w:rsid w:val="00F56318"/>
    <w:rsid w:val="00F56E59"/>
    <w:rsid w:val="00F728D0"/>
    <w:rsid w:val="00F72BD8"/>
    <w:rsid w:val="00F76C83"/>
    <w:rsid w:val="00F856FB"/>
    <w:rsid w:val="00F91739"/>
    <w:rsid w:val="00F9400A"/>
    <w:rsid w:val="00FA5355"/>
    <w:rsid w:val="00FB0879"/>
    <w:rsid w:val="00FC42F2"/>
    <w:rsid w:val="00FD04D7"/>
    <w:rsid w:val="00FD4640"/>
    <w:rsid w:val="00FF1875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778FC-ABC9-432B-BACC-91AE162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1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7A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2B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2B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2B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2B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2BD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A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A3AE3"/>
    <w:rPr>
      <w:color w:val="0000FF"/>
      <w:u w:val="single"/>
    </w:rPr>
  </w:style>
  <w:style w:type="paragraph" w:customStyle="1" w:styleId="xmsonormal">
    <w:name w:val="x_msonormal"/>
    <w:basedOn w:val="Normale"/>
    <w:uiPriority w:val="99"/>
    <w:rsid w:val="00CA3A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CA3A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4D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4D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4DE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14B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14B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14B7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7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81F"/>
  </w:style>
  <w:style w:type="paragraph" w:styleId="Pidipagina">
    <w:name w:val="footer"/>
    <w:basedOn w:val="Normale"/>
    <w:link w:val="PidipaginaCarattere"/>
    <w:uiPriority w:val="99"/>
    <w:unhideWhenUsed/>
    <w:rsid w:val="00203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81F"/>
  </w:style>
  <w:style w:type="paragraph" w:styleId="Testonormale">
    <w:name w:val="Plain Text"/>
    <w:basedOn w:val="Normale"/>
    <w:link w:val="TestonormaleCarattere"/>
    <w:uiPriority w:val="99"/>
    <w:unhideWhenUsed/>
    <w:rsid w:val="007747E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47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vanorme.salute.gov.it/norme/renderNormsanPdf?anno=2020&amp;codLeg=74451&amp;parte=1%20&amp;serie=nu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D8-FAE2-4886-AC14-BD69A074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Gili</dc:creator>
  <cp:lastModifiedBy>Roberto Luceri</cp:lastModifiedBy>
  <cp:revision>5</cp:revision>
  <cp:lastPrinted>2020-09-25T13:10:00Z</cp:lastPrinted>
  <dcterms:created xsi:type="dcterms:W3CDTF">2020-09-28T06:46:00Z</dcterms:created>
  <dcterms:modified xsi:type="dcterms:W3CDTF">2020-09-28T07:48:00Z</dcterms:modified>
</cp:coreProperties>
</file>