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B74102" w:rsidRDefault="00124E32" w:rsidP="00A94901">
      <w:pPr>
        <w:jc w:val="center"/>
        <w:rPr>
          <w:b/>
          <w:bCs/>
          <w:sz w:val="36"/>
        </w:rPr>
      </w:pPr>
      <w:r w:rsidRPr="00F544A5">
        <w:rPr>
          <w:rFonts w:ascii="Calibri" w:eastAsia="Calibri" w:hAnsi="Calibri" w:cs="Times New Roman"/>
          <w:b/>
          <w:bCs/>
          <w:sz w:val="32"/>
          <w:szCs w:val="32"/>
        </w:rPr>
        <w:t>COMUNICATO STAMPA</w:t>
      </w:r>
    </w:p>
    <w:p w:rsidR="00637EFB" w:rsidRPr="00D43BCD" w:rsidRDefault="00B87D6B" w:rsidP="00BF7AD5">
      <w:pPr>
        <w:spacing w:after="120"/>
        <w:jc w:val="center"/>
        <w:rPr>
          <w:b/>
          <w:sz w:val="34"/>
          <w:szCs w:val="34"/>
          <w:lang w:eastAsia="it-IT"/>
        </w:rPr>
      </w:pPr>
      <w:r w:rsidRPr="00D43BCD">
        <w:rPr>
          <w:b/>
          <w:sz w:val="34"/>
          <w:szCs w:val="34"/>
          <w:lang w:eastAsia="it-IT"/>
        </w:rPr>
        <w:t xml:space="preserve">CORONAVIRUS: 29.476 OPERATORI SANITARI CONTAGIATI </w:t>
      </w:r>
      <w:r w:rsidRPr="00D43BCD">
        <w:rPr>
          <w:b/>
          <w:sz w:val="34"/>
          <w:szCs w:val="34"/>
          <w:lang w:eastAsia="it-IT"/>
        </w:rPr>
        <w:br/>
        <w:t>QUASI 7.600 NEGLI ULTIMI DUE MESI, MA SCARSEGGIANO I DATI</w:t>
      </w:r>
    </w:p>
    <w:p w:rsidR="00C64990" w:rsidRDefault="00EE5682" w:rsidP="00A94901">
      <w:pPr>
        <w:spacing w:after="120"/>
        <w:jc w:val="both"/>
        <w:rPr>
          <w:b/>
          <w:sz w:val="23"/>
          <w:szCs w:val="23"/>
          <w:lang w:eastAsia="it-IT"/>
        </w:rPr>
      </w:pPr>
      <w:bookmarkStart w:id="0" w:name="_GoBack"/>
      <w:r>
        <w:rPr>
          <w:b/>
          <w:sz w:val="23"/>
          <w:szCs w:val="23"/>
          <w:lang w:eastAsia="it-IT"/>
        </w:rPr>
        <w:t>DAL MONITORAGGIO SETTIMANALE DELLA FONDAZION</w:t>
      </w:r>
      <w:r w:rsidR="006047A4">
        <w:rPr>
          <w:b/>
          <w:sz w:val="23"/>
          <w:szCs w:val="23"/>
          <w:lang w:eastAsia="it-IT"/>
        </w:rPr>
        <w:t>E</w:t>
      </w:r>
      <w:r>
        <w:rPr>
          <w:b/>
          <w:sz w:val="23"/>
          <w:szCs w:val="23"/>
          <w:lang w:eastAsia="it-IT"/>
        </w:rPr>
        <w:t xml:space="preserve"> GIMBE </w:t>
      </w:r>
      <w:r w:rsidR="00AF3A29">
        <w:rPr>
          <w:b/>
          <w:sz w:val="23"/>
          <w:szCs w:val="23"/>
          <w:lang w:eastAsia="it-IT"/>
        </w:rPr>
        <w:t>NESSUNA</w:t>
      </w:r>
      <w:r>
        <w:rPr>
          <w:b/>
          <w:sz w:val="23"/>
          <w:szCs w:val="23"/>
          <w:lang w:eastAsia="it-IT"/>
        </w:rPr>
        <w:t xml:space="preserve"> </w:t>
      </w:r>
      <w:r w:rsidR="00AF3A29">
        <w:rPr>
          <w:b/>
          <w:sz w:val="23"/>
          <w:szCs w:val="23"/>
          <w:lang w:eastAsia="it-IT"/>
        </w:rPr>
        <w:t xml:space="preserve">VARIAZIONE SIGNIFICATIVA </w:t>
      </w:r>
      <w:r w:rsidR="006E4594">
        <w:rPr>
          <w:b/>
          <w:sz w:val="23"/>
          <w:szCs w:val="23"/>
          <w:lang w:eastAsia="it-IT"/>
        </w:rPr>
        <w:t xml:space="preserve">AL </w:t>
      </w:r>
      <w:r>
        <w:rPr>
          <w:b/>
          <w:sz w:val="23"/>
          <w:szCs w:val="23"/>
          <w:lang w:eastAsia="it-IT"/>
        </w:rPr>
        <w:t xml:space="preserve">QUADRO EPIDEMIOLOGICO NAZIONALE. </w:t>
      </w:r>
      <w:r w:rsidR="00F2509B">
        <w:rPr>
          <w:b/>
          <w:sz w:val="23"/>
          <w:szCs w:val="23"/>
          <w:lang w:eastAsia="it-IT"/>
        </w:rPr>
        <w:t>ATTENZIONE PUNTATA SUI</w:t>
      </w:r>
      <w:r w:rsidR="004A3CDC">
        <w:rPr>
          <w:b/>
          <w:sz w:val="23"/>
          <w:szCs w:val="23"/>
          <w:lang w:eastAsia="it-IT"/>
        </w:rPr>
        <w:t xml:space="preserve"> </w:t>
      </w:r>
      <w:r>
        <w:rPr>
          <w:b/>
          <w:sz w:val="23"/>
          <w:szCs w:val="23"/>
          <w:lang w:eastAsia="it-IT"/>
        </w:rPr>
        <w:t xml:space="preserve">CONTAGI </w:t>
      </w:r>
      <w:r w:rsidR="00811725">
        <w:rPr>
          <w:b/>
          <w:sz w:val="23"/>
          <w:szCs w:val="23"/>
          <w:lang w:eastAsia="it-IT"/>
        </w:rPr>
        <w:t xml:space="preserve">DEGLI </w:t>
      </w:r>
      <w:r>
        <w:rPr>
          <w:b/>
          <w:sz w:val="23"/>
          <w:szCs w:val="23"/>
          <w:lang w:eastAsia="it-IT"/>
        </w:rPr>
        <w:t>OPERATORI SANITARI</w:t>
      </w:r>
      <w:r w:rsidR="00AF3A29">
        <w:rPr>
          <w:b/>
          <w:sz w:val="23"/>
          <w:szCs w:val="23"/>
          <w:lang w:eastAsia="it-IT"/>
        </w:rPr>
        <w:t xml:space="preserve">: </w:t>
      </w:r>
      <w:r w:rsidR="001E6F8F">
        <w:rPr>
          <w:b/>
          <w:sz w:val="23"/>
          <w:szCs w:val="23"/>
          <w:lang w:eastAsia="it-IT"/>
        </w:rPr>
        <w:t xml:space="preserve">29.476 </w:t>
      </w:r>
      <w:r w:rsidR="00AF3A29">
        <w:rPr>
          <w:b/>
          <w:sz w:val="23"/>
          <w:szCs w:val="23"/>
          <w:lang w:eastAsia="it-IT"/>
        </w:rPr>
        <w:t>DA INIZIO EMERGENZA</w:t>
      </w:r>
      <w:r w:rsidR="004A3CDC">
        <w:rPr>
          <w:b/>
          <w:sz w:val="23"/>
          <w:szCs w:val="23"/>
          <w:lang w:eastAsia="it-IT"/>
        </w:rPr>
        <w:t xml:space="preserve"> </w:t>
      </w:r>
      <w:r w:rsidR="009A479B">
        <w:rPr>
          <w:b/>
          <w:sz w:val="23"/>
          <w:szCs w:val="23"/>
          <w:lang w:eastAsia="it-IT"/>
        </w:rPr>
        <w:t>(</w:t>
      </w:r>
      <w:r w:rsidR="002F2B58">
        <w:rPr>
          <w:b/>
          <w:sz w:val="23"/>
          <w:szCs w:val="23"/>
          <w:lang w:eastAsia="it-IT"/>
        </w:rPr>
        <w:t>1</w:t>
      </w:r>
      <w:r w:rsidR="004A3CDC">
        <w:rPr>
          <w:b/>
          <w:sz w:val="23"/>
          <w:szCs w:val="23"/>
          <w:lang w:eastAsia="it-IT"/>
        </w:rPr>
        <w:t>2,</w:t>
      </w:r>
      <w:r w:rsidR="002F2B58">
        <w:rPr>
          <w:b/>
          <w:sz w:val="23"/>
          <w:szCs w:val="23"/>
          <w:lang w:eastAsia="it-IT"/>
        </w:rPr>
        <w:t>3</w:t>
      </w:r>
      <w:r w:rsidR="006047A4">
        <w:rPr>
          <w:b/>
          <w:sz w:val="23"/>
          <w:szCs w:val="23"/>
          <w:lang w:eastAsia="it-IT"/>
        </w:rPr>
        <w:t>% DE</w:t>
      </w:r>
      <w:r w:rsidR="004A3CDC">
        <w:rPr>
          <w:b/>
          <w:sz w:val="23"/>
          <w:szCs w:val="23"/>
          <w:lang w:eastAsia="it-IT"/>
        </w:rPr>
        <w:t>L TOTALE DE</w:t>
      </w:r>
      <w:r w:rsidR="006047A4">
        <w:rPr>
          <w:b/>
          <w:sz w:val="23"/>
          <w:szCs w:val="23"/>
          <w:lang w:eastAsia="it-IT"/>
        </w:rPr>
        <w:t xml:space="preserve">I </w:t>
      </w:r>
      <w:r w:rsidR="00811725">
        <w:rPr>
          <w:b/>
          <w:sz w:val="23"/>
          <w:szCs w:val="23"/>
          <w:lang w:eastAsia="it-IT"/>
        </w:rPr>
        <w:t>POSITIVI</w:t>
      </w:r>
      <w:r w:rsidR="009A479B">
        <w:rPr>
          <w:b/>
          <w:sz w:val="23"/>
          <w:szCs w:val="23"/>
          <w:lang w:eastAsia="it-IT"/>
        </w:rPr>
        <w:t>)</w:t>
      </w:r>
      <w:r w:rsidR="001E6F8F">
        <w:rPr>
          <w:b/>
          <w:sz w:val="23"/>
          <w:szCs w:val="23"/>
          <w:lang w:eastAsia="it-IT"/>
        </w:rPr>
        <w:t xml:space="preserve"> E </w:t>
      </w:r>
      <w:r w:rsidR="001E6F8F" w:rsidRPr="001E6F8F">
        <w:rPr>
          <w:b/>
          <w:sz w:val="23"/>
          <w:szCs w:val="23"/>
          <w:lang w:eastAsia="it-IT"/>
        </w:rPr>
        <w:t>7.</w:t>
      </w:r>
      <w:r w:rsidR="00811725">
        <w:rPr>
          <w:b/>
          <w:sz w:val="23"/>
          <w:szCs w:val="23"/>
          <w:lang w:eastAsia="it-IT"/>
        </w:rPr>
        <w:t>5</w:t>
      </w:r>
      <w:r w:rsidR="00811725" w:rsidRPr="001E6F8F">
        <w:rPr>
          <w:b/>
          <w:sz w:val="23"/>
          <w:szCs w:val="23"/>
          <w:lang w:eastAsia="it-IT"/>
        </w:rPr>
        <w:t xml:space="preserve">96 </w:t>
      </w:r>
      <w:r w:rsidR="00AF3A29">
        <w:rPr>
          <w:b/>
          <w:sz w:val="23"/>
          <w:szCs w:val="23"/>
          <w:lang w:eastAsia="it-IT"/>
        </w:rPr>
        <w:t>DAL 4 MAGGIO</w:t>
      </w:r>
      <w:r w:rsidR="00F2509B">
        <w:rPr>
          <w:b/>
          <w:sz w:val="23"/>
          <w:szCs w:val="23"/>
          <w:lang w:eastAsia="it-IT"/>
        </w:rPr>
        <w:t xml:space="preserve"> AL 30 </w:t>
      </w:r>
      <w:r w:rsidR="00F2509B" w:rsidRPr="00002AEA">
        <w:rPr>
          <w:b/>
          <w:sz w:val="23"/>
          <w:szCs w:val="23"/>
          <w:lang w:eastAsia="it-IT"/>
        </w:rPr>
        <w:t>GIUGNO</w:t>
      </w:r>
      <w:r w:rsidR="00E666DF">
        <w:rPr>
          <w:b/>
          <w:sz w:val="23"/>
          <w:szCs w:val="23"/>
          <w:lang w:eastAsia="it-IT"/>
        </w:rPr>
        <w:t xml:space="preserve"> (26,5% DEL TOTALE)</w:t>
      </w:r>
      <w:r w:rsidR="004A3CDC" w:rsidRPr="00002AEA">
        <w:rPr>
          <w:b/>
          <w:sz w:val="23"/>
          <w:szCs w:val="23"/>
          <w:lang w:eastAsia="it-IT"/>
        </w:rPr>
        <w:t>.</w:t>
      </w:r>
      <w:r w:rsidR="00F2509B" w:rsidRPr="00002AEA">
        <w:rPr>
          <w:b/>
          <w:sz w:val="23"/>
          <w:szCs w:val="23"/>
          <w:lang w:eastAsia="it-IT"/>
        </w:rPr>
        <w:t xml:space="preserve"> </w:t>
      </w:r>
      <w:r w:rsidR="006E4594">
        <w:rPr>
          <w:b/>
          <w:sz w:val="23"/>
          <w:szCs w:val="23"/>
          <w:lang w:eastAsia="it-IT"/>
        </w:rPr>
        <w:t xml:space="preserve">MA </w:t>
      </w:r>
      <w:r w:rsidR="00F2509B">
        <w:rPr>
          <w:b/>
          <w:sz w:val="23"/>
          <w:szCs w:val="23"/>
          <w:lang w:eastAsia="it-IT"/>
        </w:rPr>
        <w:t xml:space="preserve">I DATI ANALITICI PER REGIONE, CONTESTO ASSISTENZIALE E </w:t>
      </w:r>
      <w:r w:rsidR="001E6F8F">
        <w:rPr>
          <w:b/>
          <w:sz w:val="23"/>
          <w:szCs w:val="23"/>
          <w:lang w:eastAsia="it-IT"/>
        </w:rPr>
        <w:t>RUOLO</w:t>
      </w:r>
      <w:r w:rsidR="00F2509B">
        <w:rPr>
          <w:b/>
          <w:sz w:val="23"/>
          <w:szCs w:val="23"/>
          <w:lang w:eastAsia="it-IT"/>
        </w:rPr>
        <w:t xml:space="preserve"> </w:t>
      </w:r>
      <w:r w:rsidR="001E6F8F">
        <w:rPr>
          <w:b/>
          <w:sz w:val="23"/>
          <w:szCs w:val="23"/>
          <w:lang w:eastAsia="it-IT"/>
        </w:rPr>
        <w:t xml:space="preserve">PROFESSIONALE </w:t>
      </w:r>
      <w:r w:rsidR="00195F46">
        <w:rPr>
          <w:b/>
          <w:sz w:val="23"/>
          <w:szCs w:val="23"/>
          <w:lang w:eastAsia="it-IT"/>
        </w:rPr>
        <w:t>RISALGONO AL MESE DI APRILE</w:t>
      </w:r>
      <w:r w:rsidR="006E4594">
        <w:rPr>
          <w:b/>
          <w:sz w:val="23"/>
          <w:szCs w:val="23"/>
          <w:lang w:eastAsia="it-IT"/>
        </w:rPr>
        <w:t>:</w:t>
      </w:r>
      <w:r w:rsidR="00195F46">
        <w:rPr>
          <w:b/>
          <w:sz w:val="23"/>
          <w:szCs w:val="23"/>
          <w:lang w:eastAsia="it-IT"/>
        </w:rPr>
        <w:t xml:space="preserve"> </w:t>
      </w:r>
      <w:r w:rsidR="00195F46" w:rsidRPr="00195F46">
        <w:rPr>
          <w:b/>
          <w:sz w:val="23"/>
          <w:szCs w:val="23"/>
          <w:lang w:eastAsia="it-IT"/>
        </w:rPr>
        <w:t xml:space="preserve">ENNESIMO “BUCO NERO” SU UNA DELLE PRINCIPALI DETERMINANTI </w:t>
      </w:r>
      <w:r w:rsidR="006E4594">
        <w:rPr>
          <w:b/>
          <w:sz w:val="23"/>
          <w:szCs w:val="23"/>
          <w:lang w:eastAsia="it-IT"/>
        </w:rPr>
        <w:t xml:space="preserve">DEI CONTAGI </w:t>
      </w:r>
      <w:r w:rsidR="00195F46" w:rsidRPr="00195F46">
        <w:rPr>
          <w:b/>
          <w:sz w:val="23"/>
          <w:szCs w:val="23"/>
          <w:lang w:eastAsia="it-IT"/>
        </w:rPr>
        <w:t>NEL NOSTRO PAESE</w:t>
      </w:r>
      <w:r w:rsidR="00811725">
        <w:rPr>
          <w:b/>
          <w:sz w:val="23"/>
          <w:szCs w:val="23"/>
          <w:lang w:eastAsia="it-IT"/>
        </w:rPr>
        <w:t>.</w:t>
      </w:r>
    </w:p>
    <w:p w:rsidR="00B443D8" w:rsidRDefault="00ED5B41" w:rsidP="00B443D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 luglio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 xml:space="preserve"> 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F1238A" w:rsidRPr="00FF0454" w:rsidRDefault="004A7DB9" w:rsidP="00FF53EC">
      <w:pPr>
        <w:spacing w:after="120"/>
        <w:jc w:val="both"/>
        <w:rPr>
          <w:lang w:eastAsia="it-IT"/>
        </w:rPr>
      </w:pPr>
      <w:r>
        <w:t xml:space="preserve">Nella settimana </w:t>
      </w:r>
      <w:r w:rsidR="00917BA4">
        <w:t>24-30</w:t>
      </w:r>
      <w:r>
        <w:t xml:space="preserve"> giugno</w:t>
      </w:r>
      <w:r>
        <w:rPr>
          <w:lang w:eastAsia="it-IT"/>
        </w:rPr>
        <w:t xml:space="preserve"> </w:t>
      </w:r>
      <w:r>
        <w:t xml:space="preserve">il </w:t>
      </w:r>
      <w:r w:rsidR="00AB35BB">
        <w:t>monitoraggio indipendente della Fondazione GIMBE</w:t>
      </w:r>
      <w:r w:rsidR="00EF42DB">
        <w:rPr>
          <w:lang w:eastAsia="it-IT"/>
        </w:rPr>
        <w:t xml:space="preserve"> </w:t>
      </w:r>
      <w:r w:rsidR="00AB35BB">
        <w:rPr>
          <w:lang w:eastAsia="it-IT"/>
        </w:rPr>
        <w:t>conferma</w:t>
      </w:r>
      <w:r w:rsidR="00EF42DB">
        <w:rPr>
          <w:lang w:eastAsia="it-IT"/>
        </w:rPr>
        <w:t>,</w:t>
      </w:r>
      <w:r w:rsidR="00AB35BB">
        <w:rPr>
          <w:lang w:eastAsia="it-IT"/>
        </w:rPr>
        <w:t xml:space="preserve"> </w:t>
      </w:r>
      <w:r w:rsidR="0013167A">
        <w:rPr>
          <w:lang w:eastAsia="it-IT"/>
        </w:rPr>
        <w:t>rispetto alla settimana precedente</w:t>
      </w:r>
      <w:r w:rsidR="00EF42DB">
        <w:rPr>
          <w:lang w:eastAsia="it-IT"/>
        </w:rPr>
        <w:t>,</w:t>
      </w:r>
      <w:r w:rsidR="0013167A">
        <w:rPr>
          <w:lang w:eastAsia="it-IT"/>
        </w:rPr>
        <w:t xml:space="preserve"> </w:t>
      </w:r>
      <w:r w:rsidR="00FF53EC">
        <w:rPr>
          <w:lang w:eastAsia="it-IT"/>
        </w:rPr>
        <w:t xml:space="preserve">la </w:t>
      </w:r>
      <w:r w:rsidR="00A5468C">
        <w:rPr>
          <w:lang w:eastAsia="it-IT"/>
        </w:rPr>
        <w:t xml:space="preserve">costante </w:t>
      </w:r>
      <w:r w:rsidR="0013167A">
        <w:rPr>
          <w:lang w:eastAsia="it-IT"/>
        </w:rPr>
        <w:t>riduzione dei pazienti ricoverati</w:t>
      </w:r>
      <w:r w:rsidR="00ED248D">
        <w:rPr>
          <w:lang w:eastAsia="it-IT"/>
        </w:rPr>
        <w:t xml:space="preserve"> </w:t>
      </w:r>
      <w:r w:rsidR="0013167A">
        <w:rPr>
          <w:lang w:eastAsia="it-IT"/>
        </w:rPr>
        <w:t>con sintomi e in t</w:t>
      </w:r>
      <w:r w:rsidR="00A5468C">
        <w:rPr>
          <w:lang w:eastAsia="it-IT"/>
        </w:rPr>
        <w:t xml:space="preserve">erapia intensiva e </w:t>
      </w:r>
      <w:r w:rsidR="0013167A">
        <w:rPr>
          <w:lang w:eastAsia="it-IT"/>
        </w:rPr>
        <w:t>l’</w:t>
      </w:r>
      <w:r w:rsidR="00AB3446">
        <w:rPr>
          <w:lang w:eastAsia="it-IT"/>
        </w:rPr>
        <w:t xml:space="preserve">ulteriore </w:t>
      </w:r>
      <w:r w:rsidR="0095608C">
        <w:rPr>
          <w:lang w:eastAsia="it-IT"/>
        </w:rPr>
        <w:t xml:space="preserve">rallentamento </w:t>
      </w:r>
      <w:r w:rsidR="00717187">
        <w:rPr>
          <w:lang w:eastAsia="it-IT"/>
        </w:rPr>
        <w:t xml:space="preserve">sul fronte </w:t>
      </w:r>
      <w:r w:rsidR="0095608C">
        <w:rPr>
          <w:lang w:eastAsia="it-IT"/>
        </w:rPr>
        <w:t xml:space="preserve">dei </w:t>
      </w:r>
      <w:r w:rsidR="00FF53EC">
        <w:rPr>
          <w:lang w:eastAsia="it-IT"/>
        </w:rPr>
        <w:t>decessi</w:t>
      </w:r>
      <w:r w:rsidR="0013167A">
        <w:rPr>
          <w:lang w:eastAsia="it-IT"/>
        </w:rPr>
        <w:t xml:space="preserve">. </w:t>
      </w:r>
      <w:r w:rsidR="00717187" w:rsidRPr="00FF0454">
        <w:rPr>
          <w:lang w:eastAsia="it-IT"/>
        </w:rPr>
        <w:t xml:space="preserve">Relativamente ai </w:t>
      </w:r>
      <w:r w:rsidR="0013167A" w:rsidRPr="00FF0454">
        <w:rPr>
          <w:lang w:eastAsia="it-IT"/>
        </w:rPr>
        <w:t>casi totali</w:t>
      </w:r>
      <w:r w:rsidR="00FF6B22" w:rsidRPr="00FF0454">
        <w:rPr>
          <w:lang w:eastAsia="it-IT"/>
        </w:rPr>
        <w:t xml:space="preserve">, </w:t>
      </w:r>
      <w:r w:rsidR="0013167A" w:rsidRPr="00FF0454">
        <w:rPr>
          <w:lang w:eastAsia="it-IT"/>
        </w:rPr>
        <w:t xml:space="preserve">si </w:t>
      </w:r>
      <w:r w:rsidR="00FF6B22" w:rsidRPr="00FF0454">
        <w:rPr>
          <w:lang w:eastAsia="it-IT"/>
        </w:rPr>
        <w:t>rileva</w:t>
      </w:r>
      <w:r w:rsidR="00644B51" w:rsidRPr="00FF0454">
        <w:rPr>
          <w:lang w:eastAsia="it-IT"/>
        </w:rPr>
        <w:t xml:space="preserve"> </w:t>
      </w:r>
      <w:r w:rsidR="00FF0454">
        <w:rPr>
          <w:lang w:eastAsia="it-IT"/>
        </w:rPr>
        <w:t>un incremento medio giornaliero dello 0,1%</w:t>
      </w:r>
      <w:r w:rsidR="002F2B58">
        <w:rPr>
          <w:lang w:eastAsia="it-IT"/>
        </w:rPr>
        <w:t xml:space="preserve">, a fronte di </w:t>
      </w:r>
      <w:r w:rsidR="008B730D">
        <w:rPr>
          <w:lang w:eastAsia="it-IT"/>
        </w:rPr>
        <w:t>un’</w:t>
      </w:r>
      <w:r w:rsidR="002F2B58">
        <w:rPr>
          <w:lang w:eastAsia="it-IT"/>
        </w:rPr>
        <w:t>ulteriore riduzione dei tamponi diagnostici</w:t>
      </w:r>
      <w:r w:rsidR="00FF53EC" w:rsidRPr="00FF0454">
        <w:rPr>
          <w:lang w:eastAsia="it-IT"/>
        </w:rPr>
        <w:t>. In sintesi:</w:t>
      </w:r>
    </w:p>
    <w:p w:rsidR="00F1238A" w:rsidRPr="00FF0454" w:rsidRDefault="00FF0454" w:rsidP="00F1238A">
      <w:pPr>
        <w:pStyle w:val="Paragrafoelenco"/>
        <w:numPr>
          <w:ilvl w:val="0"/>
          <w:numId w:val="38"/>
        </w:numPr>
        <w:spacing w:after="120" w:line="276" w:lineRule="auto"/>
        <w:jc w:val="both"/>
      </w:pPr>
      <w:r w:rsidRPr="00FF0454">
        <w:t>Casi totali: +1.745</w:t>
      </w:r>
      <w:r w:rsidR="00F1238A" w:rsidRPr="00FF0454">
        <w:t xml:space="preserve"> (+0,</w:t>
      </w:r>
      <w:r w:rsidRPr="00FF0454">
        <w:t>7</w:t>
      </w:r>
      <w:r w:rsidR="00F1238A" w:rsidRPr="00FF0454">
        <w:t>%)</w:t>
      </w:r>
    </w:p>
    <w:p w:rsidR="00F1238A" w:rsidRPr="00FF0454" w:rsidRDefault="00F1238A" w:rsidP="00F1238A">
      <w:pPr>
        <w:pStyle w:val="Paragrafoelenco"/>
        <w:numPr>
          <w:ilvl w:val="0"/>
          <w:numId w:val="38"/>
        </w:numPr>
        <w:spacing w:after="120" w:line="276" w:lineRule="auto"/>
        <w:jc w:val="both"/>
      </w:pPr>
      <w:r w:rsidRPr="00FF0454">
        <w:t xml:space="preserve">Decessi: + </w:t>
      </w:r>
      <w:r w:rsidR="00FF0454" w:rsidRPr="00FF0454">
        <w:t>92 (+0,3</w:t>
      </w:r>
      <w:r w:rsidRPr="00FF0454">
        <w:t>%)</w:t>
      </w:r>
    </w:p>
    <w:p w:rsidR="00F1238A" w:rsidRPr="00FF0454" w:rsidRDefault="00F1238A" w:rsidP="00F1238A">
      <w:pPr>
        <w:pStyle w:val="Paragrafoelenco"/>
        <w:numPr>
          <w:ilvl w:val="0"/>
          <w:numId w:val="38"/>
        </w:numPr>
        <w:spacing w:after="120" w:line="276" w:lineRule="auto"/>
        <w:jc w:val="both"/>
      </w:pPr>
      <w:r w:rsidRPr="00FF0454">
        <w:t>Ricoverati con sintomi: -</w:t>
      </w:r>
      <w:r w:rsidR="00FF0454" w:rsidRPr="00FF0454">
        <w:t>763 (-41,2</w:t>
      </w:r>
      <w:r w:rsidRPr="00FF0454">
        <w:t>%)</w:t>
      </w:r>
    </w:p>
    <w:p w:rsidR="00F1238A" w:rsidRPr="00FF0454" w:rsidRDefault="00F1238A" w:rsidP="00F1238A">
      <w:pPr>
        <w:pStyle w:val="Paragrafoelenco"/>
        <w:numPr>
          <w:ilvl w:val="0"/>
          <w:numId w:val="38"/>
        </w:numPr>
        <w:spacing w:after="120" w:line="276" w:lineRule="auto"/>
        <w:jc w:val="both"/>
      </w:pPr>
      <w:r w:rsidRPr="00FF0454">
        <w:t>Terapia intensiva</w:t>
      </w:r>
      <w:r w:rsidR="00FF0454" w:rsidRPr="00FF0454">
        <w:t>:</w:t>
      </w:r>
      <w:r w:rsidRPr="00FF0454">
        <w:t xml:space="preserve"> -</w:t>
      </w:r>
      <w:r w:rsidR="00FF0454" w:rsidRPr="00FF0454">
        <w:t>22 (-19,1</w:t>
      </w:r>
      <w:r w:rsidRPr="00FF0454">
        <w:t>%)</w:t>
      </w:r>
    </w:p>
    <w:p w:rsidR="006F2C85" w:rsidRPr="00FF0454" w:rsidRDefault="006F2C85" w:rsidP="00F1238A">
      <w:pPr>
        <w:pStyle w:val="Paragrafoelenco"/>
        <w:numPr>
          <w:ilvl w:val="0"/>
          <w:numId w:val="38"/>
        </w:numPr>
        <w:spacing w:after="120" w:line="276" w:lineRule="auto"/>
        <w:jc w:val="both"/>
      </w:pPr>
      <w:r w:rsidRPr="00FF0454">
        <w:t>Tamponi totali</w:t>
      </w:r>
      <w:r w:rsidR="00FF0454" w:rsidRPr="00FF0454">
        <w:t>: -21.837 (-6,1%)</w:t>
      </w:r>
    </w:p>
    <w:p w:rsidR="006F2C85" w:rsidRPr="00FF0454" w:rsidRDefault="006F2C85" w:rsidP="00F1238A">
      <w:pPr>
        <w:pStyle w:val="Paragrafoelenco"/>
        <w:numPr>
          <w:ilvl w:val="0"/>
          <w:numId w:val="38"/>
        </w:numPr>
        <w:spacing w:after="120" w:line="276" w:lineRule="auto"/>
        <w:jc w:val="both"/>
      </w:pPr>
      <w:r w:rsidRPr="00FF0454">
        <w:t>Tamponi diagnostici</w:t>
      </w:r>
      <w:r w:rsidR="00FF0454" w:rsidRPr="00FF0454">
        <w:t>: -6.433 (-3,4%)</w:t>
      </w:r>
    </w:p>
    <w:p w:rsidR="00FF6B22" w:rsidRDefault="00FF6B22" w:rsidP="00FF6B22">
      <w:pPr>
        <w:pStyle w:val="Paragrafoelenco"/>
        <w:spacing w:line="276" w:lineRule="auto"/>
        <w:ind w:left="360"/>
        <w:jc w:val="both"/>
      </w:pPr>
    </w:p>
    <w:p w:rsidR="00914A26" w:rsidRDefault="00FF6B22" w:rsidP="00FF6B22">
      <w:pPr>
        <w:jc w:val="both"/>
      </w:pPr>
      <w:r w:rsidRPr="00145AFE">
        <w:t>«</w:t>
      </w:r>
      <w:r w:rsidR="00917BA4">
        <w:t xml:space="preserve">In </w:t>
      </w:r>
      <w:r w:rsidR="00EF42DB">
        <w:t xml:space="preserve">un contesto di </w:t>
      </w:r>
      <w:r w:rsidR="001737B8">
        <w:t xml:space="preserve">generale </w:t>
      </w:r>
      <w:r w:rsidR="00EF42DB">
        <w:t xml:space="preserve">stabilità </w:t>
      </w:r>
      <w:r w:rsidR="002470E9">
        <w:t xml:space="preserve">del quadro epidemiologico nazionale </w:t>
      </w:r>
      <w:r w:rsidRPr="00145AFE">
        <w:t xml:space="preserve">– </w:t>
      </w:r>
      <w:r w:rsidR="00EF42DB">
        <w:t>afferma il Presidente Nino Cartabellotta</w:t>
      </w:r>
      <w:r w:rsidRPr="00210E02">
        <w:t xml:space="preserve"> –</w:t>
      </w:r>
      <w:r w:rsidR="00917BA4" w:rsidRPr="00210E02">
        <w:t xml:space="preserve"> </w:t>
      </w:r>
      <w:r w:rsidR="002470E9" w:rsidRPr="00210E02">
        <w:t>abbiamo approfondi</w:t>
      </w:r>
      <w:r w:rsidR="00210E02" w:rsidRPr="00210E02">
        <w:t xml:space="preserve">to </w:t>
      </w:r>
      <w:r w:rsidR="002470E9" w:rsidRPr="00210E02">
        <w:t>un tema trascurato</w:t>
      </w:r>
      <w:r w:rsidR="004A3CDC">
        <w:t xml:space="preserve"> negli ultimi tempi</w:t>
      </w:r>
      <w:r w:rsidR="002470E9" w:rsidRPr="00210E02">
        <w:t>, ovvero il</w:t>
      </w:r>
      <w:r w:rsidR="00917BA4" w:rsidRPr="00210E02">
        <w:t xml:space="preserve"> contagio degli operatori sanitari</w:t>
      </w:r>
      <w:r w:rsidR="004A3CDC">
        <w:t xml:space="preserve"> che</w:t>
      </w:r>
      <w:r w:rsidR="002470E9" w:rsidRPr="00210E02">
        <w:t xml:space="preserve"> durante questi mesi</w:t>
      </w:r>
      <w:r w:rsidR="002F56B6" w:rsidRPr="00210E02">
        <w:t xml:space="preserve"> hanno pagato un </w:t>
      </w:r>
      <w:r w:rsidR="004A3CDC">
        <w:t xml:space="preserve">prezzo molto alto </w:t>
      </w:r>
      <w:r w:rsidR="002470E9" w:rsidRPr="00210E02">
        <w:t xml:space="preserve">condizionando </w:t>
      </w:r>
      <w:r w:rsidR="004A3CDC">
        <w:t xml:space="preserve">anche </w:t>
      </w:r>
      <w:r w:rsidR="002F56B6" w:rsidRPr="00210E02">
        <w:t xml:space="preserve">l’evoluzione dell’epidemia. </w:t>
      </w:r>
      <w:r w:rsidR="004A3CDC">
        <w:t xml:space="preserve">Infatti, oltre alla </w:t>
      </w:r>
      <w:r w:rsidR="002F56B6" w:rsidRPr="00210E02">
        <w:t xml:space="preserve">riduzione della “forza lavoro”, </w:t>
      </w:r>
      <w:r w:rsidR="00F2509B">
        <w:t>gli</w:t>
      </w:r>
      <w:r w:rsidR="002F56B6" w:rsidRPr="00210E02">
        <w:t xml:space="preserve"> operatori sanitari contagiati </w:t>
      </w:r>
      <w:r w:rsidR="00701E62">
        <w:t>sono divenuti</w:t>
      </w:r>
      <w:r w:rsidR="002F56B6" w:rsidRPr="00210E02">
        <w:t xml:space="preserve"> </w:t>
      </w:r>
      <w:r w:rsidR="00C31A17" w:rsidRPr="00210E02">
        <w:t>inconsapevol</w:t>
      </w:r>
      <w:r w:rsidR="00C31A17">
        <w:t>i</w:t>
      </w:r>
      <w:r w:rsidR="00C31A17" w:rsidRPr="00210E02">
        <w:t xml:space="preserve"> veicol</w:t>
      </w:r>
      <w:r w:rsidR="00C31A17">
        <w:t>i</w:t>
      </w:r>
      <w:r w:rsidR="00C31A17" w:rsidRPr="00210E02">
        <w:t xml:space="preserve"> </w:t>
      </w:r>
      <w:r w:rsidR="002F56B6" w:rsidRPr="00210E02">
        <w:t xml:space="preserve">di infezione, in particolare </w:t>
      </w:r>
      <w:r w:rsidR="00F2509B">
        <w:t xml:space="preserve">dei </w:t>
      </w:r>
      <w:r w:rsidR="004A3CDC">
        <w:t xml:space="preserve">pazienti </w:t>
      </w:r>
      <w:r w:rsidR="002F56B6" w:rsidRPr="00210E02">
        <w:t>più fragili</w:t>
      </w:r>
      <w:r w:rsidRPr="00210E02">
        <w:t>».</w:t>
      </w:r>
    </w:p>
    <w:p w:rsidR="00917BA4" w:rsidRDefault="000818D2" w:rsidP="00917BA4">
      <w:pPr>
        <w:jc w:val="both"/>
      </w:pPr>
      <w:r>
        <w:rPr>
          <w:b/>
        </w:rPr>
        <w:t xml:space="preserve">FONTI </w:t>
      </w:r>
      <w:r w:rsidR="002F23D1">
        <w:rPr>
          <w:b/>
        </w:rPr>
        <w:t>DEI DATI</w:t>
      </w:r>
      <w:r w:rsidR="002F23D1" w:rsidRPr="00917BA4">
        <w:t xml:space="preserve">. </w:t>
      </w:r>
      <w:r w:rsidR="00917BA4" w:rsidRPr="00917BA4">
        <w:t xml:space="preserve">I dati </w:t>
      </w:r>
      <w:r w:rsidR="00AA2AD7">
        <w:t>sui contagi degli</w:t>
      </w:r>
      <w:r w:rsidR="00AA2AD7" w:rsidRPr="00917BA4">
        <w:t xml:space="preserve"> </w:t>
      </w:r>
      <w:r w:rsidR="00917BA4" w:rsidRPr="00917BA4">
        <w:t xml:space="preserve">operatori sanitari </w:t>
      </w:r>
      <w:r w:rsidR="004A3CDC">
        <w:t>sono</w:t>
      </w:r>
      <w:r>
        <w:t xml:space="preserve"> resi disponibili</w:t>
      </w:r>
      <w:r w:rsidR="00917BA4" w:rsidRPr="00917BA4">
        <w:t xml:space="preserve"> dall’Istituto Superiore di Sanità</w:t>
      </w:r>
      <w:r w:rsidR="009410D7">
        <w:t xml:space="preserve"> (ISS)</w:t>
      </w:r>
      <w:r w:rsidR="00917BA4" w:rsidRPr="00917BA4">
        <w:t xml:space="preserve"> tramite </w:t>
      </w:r>
      <w:r w:rsidR="00701E62">
        <w:t>un’</w:t>
      </w:r>
      <w:r w:rsidR="00701E62" w:rsidRPr="00917BA4">
        <w:t>infografica</w:t>
      </w:r>
      <w:r w:rsidR="009410D7">
        <w:t>, evoluta in una dashboard web</w:t>
      </w:r>
      <w:r w:rsidR="00701E62">
        <w:t xml:space="preserve"> </w:t>
      </w:r>
      <w:r w:rsidR="00210E02">
        <w:t xml:space="preserve">dal </w:t>
      </w:r>
      <w:r w:rsidR="00FF0454">
        <w:t>25 giugno</w:t>
      </w:r>
      <w:r w:rsidR="009410D7">
        <w:t>,</w:t>
      </w:r>
      <w:r w:rsidR="00FF0454">
        <w:t xml:space="preserve"> </w:t>
      </w:r>
      <w:r w:rsidR="00917BA4" w:rsidRPr="00917BA4">
        <w:t xml:space="preserve">e </w:t>
      </w:r>
      <w:r w:rsidR="00AA2AD7">
        <w:t xml:space="preserve">il </w:t>
      </w:r>
      <w:r w:rsidR="00917BA4" w:rsidRPr="00917BA4">
        <w:t>bollettino epidemiologico</w:t>
      </w:r>
      <w:r w:rsidR="00917BA4">
        <w:t>.</w:t>
      </w:r>
      <w:r w:rsidR="00667513">
        <w:t xml:space="preserve"> La disponibilità di dati da </w:t>
      </w:r>
      <w:r w:rsidR="00005A35">
        <w:t>fonti regionali</w:t>
      </w:r>
      <w:r w:rsidR="009410D7">
        <w:t xml:space="preserve"> non consente analisi sistematiche in quanto </w:t>
      </w:r>
      <w:r w:rsidR="004A3CDC">
        <w:t>parziale e</w:t>
      </w:r>
      <w:r w:rsidR="009410D7">
        <w:t>/</w:t>
      </w:r>
      <w:r w:rsidR="00947293">
        <w:t xml:space="preserve">o </w:t>
      </w:r>
      <w:r w:rsidR="00667513">
        <w:t>occasionale</w:t>
      </w:r>
      <w:r w:rsidR="004A3CDC">
        <w:t xml:space="preserve">.  </w:t>
      </w:r>
      <w:r w:rsidR="009410D7">
        <w:t xml:space="preserve">In ogni caso, se il numero totale di contagi e decessi viene costantemente aggiornato dall’ISS, i dati </w:t>
      </w:r>
      <w:r w:rsidR="00AA2AD7">
        <w:t xml:space="preserve">di dettaglio </w:t>
      </w:r>
      <w:r w:rsidR="009410D7">
        <w:t>risalgono tutti al mese di aprile. In dettaglio:</w:t>
      </w:r>
    </w:p>
    <w:p w:rsidR="004C3081" w:rsidRDefault="00947293" w:rsidP="004A3CDC">
      <w:pPr>
        <w:pStyle w:val="Paragrafoelenco"/>
        <w:numPr>
          <w:ilvl w:val="0"/>
          <w:numId w:val="39"/>
        </w:numPr>
        <w:spacing w:line="276" w:lineRule="auto"/>
        <w:jc w:val="both"/>
      </w:pPr>
      <w:r>
        <w:t>I</w:t>
      </w:r>
      <w:r w:rsidR="00917BA4">
        <w:t>l numero totale</w:t>
      </w:r>
      <w:r w:rsidR="00A05695">
        <w:t xml:space="preserve"> degli operatori sanitari contagiati</w:t>
      </w:r>
      <w:r w:rsidR="00917BA4">
        <w:t xml:space="preserve"> è disponibile </w:t>
      </w:r>
      <w:r w:rsidR="00EE00B7">
        <w:t xml:space="preserve">dal 9 </w:t>
      </w:r>
      <w:r w:rsidR="00917BA4">
        <w:t xml:space="preserve">marzo al </w:t>
      </w:r>
      <w:r w:rsidR="00FF0454">
        <w:t xml:space="preserve">30 </w:t>
      </w:r>
      <w:r w:rsidR="00917BA4">
        <w:t>giugno</w:t>
      </w:r>
      <w:r w:rsidR="004A3CDC">
        <w:t xml:space="preserve">, insieme alla </w:t>
      </w:r>
      <w:r w:rsidR="004C3081">
        <w:t xml:space="preserve">distribuzione </w:t>
      </w:r>
      <w:r w:rsidR="00515700">
        <w:t>d</w:t>
      </w:r>
      <w:r w:rsidR="004C3081">
        <w:t xml:space="preserve">i contagi e </w:t>
      </w:r>
      <w:r w:rsidR="00515700">
        <w:t>decessi</w:t>
      </w:r>
      <w:r w:rsidR="00A05695">
        <w:t xml:space="preserve"> per</w:t>
      </w:r>
      <w:r w:rsidR="00A05695" w:rsidRPr="00A05695">
        <w:t xml:space="preserve"> </w:t>
      </w:r>
      <w:r w:rsidR="00A05695">
        <w:t>fascia d’età</w:t>
      </w:r>
      <w:r w:rsidR="004C3081">
        <w:t xml:space="preserve">, </w:t>
      </w:r>
      <w:r w:rsidR="00515700">
        <w:t xml:space="preserve">oltre che </w:t>
      </w:r>
      <w:r w:rsidR="00AA2AD7">
        <w:t xml:space="preserve">al </w:t>
      </w:r>
      <w:r w:rsidR="00515700">
        <w:t>tasso di letalità.</w:t>
      </w:r>
    </w:p>
    <w:p w:rsidR="00917BA4" w:rsidRPr="00917BA4" w:rsidRDefault="00947293" w:rsidP="00934B08">
      <w:pPr>
        <w:pStyle w:val="Paragrafoelenco"/>
        <w:numPr>
          <w:ilvl w:val="0"/>
          <w:numId w:val="39"/>
        </w:numPr>
        <w:spacing w:line="276" w:lineRule="auto"/>
      </w:pPr>
      <w:r>
        <w:t>L</w:t>
      </w:r>
      <w:r w:rsidR="009410D7">
        <w:t xml:space="preserve">a distribuzione </w:t>
      </w:r>
      <w:r>
        <w:t xml:space="preserve">dei contagi </w:t>
      </w:r>
      <w:r w:rsidR="00917BA4" w:rsidRPr="00917BA4">
        <w:t xml:space="preserve">per Regione </w:t>
      </w:r>
      <w:r w:rsidR="00917BA4">
        <w:t>è disponibile nell’</w:t>
      </w:r>
      <w:r w:rsidR="00917BA4" w:rsidRPr="00917BA4">
        <w:t xml:space="preserve">appendice </w:t>
      </w:r>
      <w:r w:rsidR="00917BA4">
        <w:t xml:space="preserve">del </w:t>
      </w:r>
      <w:r w:rsidR="00C75F33">
        <w:t xml:space="preserve">bollettino </w:t>
      </w:r>
      <w:r w:rsidR="00917BA4">
        <w:t>epidemiologico</w:t>
      </w:r>
      <w:r w:rsidR="00A05695">
        <w:t xml:space="preserve"> </w:t>
      </w:r>
      <w:r w:rsidR="00917BA4">
        <w:t>sino al 2 aprile</w:t>
      </w:r>
      <w:r w:rsidR="00445255">
        <w:t>.</w:t>
      </w:r>
    </w:p>
    <w:p w:rsidR="00604DED" w:rsidRDefault="00947293" w:rsidP="00934B08">
      <w:pPr>
        <w:pStyle w:val="Paragrafoelenco"/>
        <w:numPr>
          <w:ilvl w:val="0"/>
          <w:numId w:val="39"/>
        </w:numPr>
        <w:spacing w:line="276" w:lineRule="auto"/>
      </w:pPr>
      <w:r>
        <w:t>I</w:t>
      </w:r>
      <w:r w:rsidR="00A05695">
        <w:t>l</w:t>
      </w:r>
      <w:r w:rsidR="00515700" w:rsidRPr="00515700">
        <w:t xml:space="preserve"> 9 aprile</w:t>
      </w:r>
      <w:r w:rsidR="00A05695">
        <w:t xml:space="preserve"> </w:t>
      </w:r>
      <w:r w:rsidR="00C75F33">
        <w:t>l’</w:t>
      </w:r>
      <w:r w:rsidR="00A05695">
        <w:t>ISS</w:t>
      </w:r>
      <w:r w:rsidR="00515700" w:rsidRPr="00515700">
        <w:t xml:space="preserve"> </w:t>
      </w:r>
      <w:r w:rsidR="00A05695">
        <w:t>ha</w:t>
      </w:r>
      <w:r w:rsidR="00515700" w:rsidRPr="00515700">
        <w:t xml:space="preserve"> condott</w:t>
      </w:r>
      <w:r w:rsidR="00A05695">
        <w:t>o</w:t>
      </w:r>
      <w:r w:rsidR="00515700" w:rsidRPr="00515700">
        <w:t xml:space="preserve"> un</w:t>
      </w:r>
      <w:r w:rsidR="00A05695">
        <w:t>’</w:t>
      </w:r>
      <w:r w:rsidR="00515700" w:rsidRPr="00515700">
        <w:t xml:space="preserve">indagine tra le </w:t>
      </w:r>
      <w:r w:rsidR="00A05695">
        <w:t>R</w:t>
      </w:r>
      <w:r w:rsidR="00515700" w:rsidRPr="00515700">
        <w:t>egioni</w:t>
      </w:r>
      <w:r w:rsidR="00A05695">
        <w:t xml:space="preserve"> per raccoglie</w:t>
      </w:r>
      <w:r w:rsidR="00604DED">
        <w:t>re informazioni più dettagliate</w:t>
      </w:r>
      <w:r w:rsidR="009410D7">
        <w:t xml:space="preserve">, riportando </w:t>
      </w:r>
      <w:r w:rsidR="00A05695">
        <w:t>i</w:t>
      </w:r>
      <w:r w:rsidR="00604DED">
        <w:t xml:space="preserve"> </w:t>
      </w:r>
      <w:r w:rsidR="00515700">
        <w:t xml:space="preserve">dati </w:t>
      </w:r>
      <w:r w:rsidR="009410D7">
        <w:t xml:space="preserve">nel bollettino </w:t>
      </w:r>
      <w:r w:rsidR="00515700">
        <w:t>come “focus sugli operatori sanitari”</w:t>
      </w:r>
      <w:r w:rsidR="00604DED">
        <w:t>:</w:t>
      </w:r>
    </w:p>
    <w:p w:rsidR="00515700" w:rsidRDefault="00515700" w:rsidP="00604DED">
      <w:pPr>
        <w:pStyle w:val="Paragrafoelenco"/>
        <w:numPr>
          <w:ilvl w:val="1"/>
          <w:numId w:val="39"/>
        </w:numPr>
        <w:spacing w:line="276" w:lineRule="auto"/>
      </w:pPr>
      <w:r>
        <w:t>17 aprile</w:t>
      </w:r>
      <w:r w:rsidR="009410D7">
        <w:t>:</w:t>
      </w:r>
      <w:r>
        <w:t xml:space="preserve"> contagiati per </w:t>
      </w:r>
      <w:r w:rsidR="002F2B58">
        <w:t>“</w:t>
      </w:r>
      <w:r w:rsidR="00604DED">
        <w:t>Contesto assistenziale</w:t>
      </w:r>
      <w:r w:rsidR="005E01E0">
        <w:t>” (</w:t>
      </w:r>
      <w:r w:rsidR="00604DED">
        <w:t>dati disponibili per 11.738/16.991</w:t>
      </w:r>
      <w:r w:rsidR="002F2B58">
        <w:t xml:space="preserve"> casi</w:t>
      </w:r>
      <w:r w:rsidR="005E01E0">
        <w:t>)</w:t>
      </w:r>
      <w:r w:rsidR="00604DED">
        <w:t>;</w:t>
      </w:r>
    </w:p>
    <w:p w:rsidR="00515700" w:rsidRDefault="00604DED" w:rsidP="005D1750">
      <w:pPr>
        <w:pStyle w:val="Paragrafoelenco"/>
        <w:numPr>
          <w:ilvl w:val="1"/>
          <w:numId w:val="39"/>
        </w:numPr>
        <w:spacing w:line="276" w:lineRule="auto"/>
        <w:jc w:val="both"/>
      </w:pPr>
      <w:r>
        <w:t>30 aprile</w:t>
      </w:r>
      <w:r w:rsidR="009410D7">
        <w:t>:</w:t>
      </w:r>
      <w:r>
        <w:t xml:space="preserve"> contagiati per </w:t>
      </w:r>
      <w:r w:rsidR="002F2B58">
        <w:t>“</w:t>
      </w:r>
      <w:r w:rsidR="00515700">
        <w:t>Ruolo/qualifica p</w:t>
      </w:r>
      <w:r>
        <w:t>rofessionale</w:t>
      </w:r>
      <w:r w:rsidR="002F2B58">
        <w:t>”</w:t>
      </w:r>
      <w:r w:rsidR="005E01E0">
        <w:t xml:space="preserve"> (</w:t>
      </w:r>
      <w:r>
        <w:t>dati disponibili</w:t>
      </w:r>
      <w:r w:rsidR="00515700">
        <w:t xml:space="preserve"> per 20.593/20.831</w:t>
      </w:r>
      <w:r w:rsidR="002F2B58">
        <w:t xml:space="preserve"> casi</w:t>
      </w:r>
      <w:r w:rsidR="005E01E0">
        <w:t>)</w:t>
      </w:r>
      <w:r>
        <w:t>.</w:t>
      </w:r>
    </w:p>
    <w:p w:rsidR="00515700" w:rsidRPr="00515700" w:rsidRDefault="002F23D1" w:rsidP="00515700">
      <w:pPr>
        <w:jc w:val="both"/>
      </w:pPr>
      <w:r w:rsidRPr="00515700">
        <w:rPr>
          <w:b/>
        </w:rPr>
        <w:lastRenderedPageBreak/>
        <w:t>RISULTATI</w:t>
      </w:r>
    </w:p>
    <w:p w:rsidR="00F64791" w:rsidRPr="00355ED3" w:rsidRDefault="00F64791" w:rsidP="00E666DF">
      <w:pPr>
        <w:pStyle w:val="Paragrafoelenco"/>
        <w:numPr>
          <w:ilvl w:val="0"/>
          <w:numId w:val="40"/>
        </w:numPr>
        <w:spacing w:line="276" w:lineRule="auto"/>
        <w:jc w:val="both"/>
        <w:rPr>
          <w:b/>
        </w:rPr>
      </w:pPr>
      <w:r>
        <w:rPr>
          <w:b/>
        </w:rPr>
        <w:t xml:space="preserve">Al </w:t>
      </w:r>
      <w:r w:rsidR="00EE00B7">
        <w:rPr>
          <w:b/>
        </w:rPr>
        <w:t xml:space="preserve">30 </w:t>
      </w:r>
      <w:r>
        <w:rPr>
          <w:b/>
        </w:rPr>
        <w:t>giugno</w:t>
      </w:r>
      <w:r w:rsidR="00A245FA">
        <w:rPr>
          <w:b/>
        </w:rPr>
        <w:t xml:space="preserve"> </w:t>
      </w:r>
      <w:r w:rsidR="00A245FA" w:rsidRPr="00134B04">
        <w:t>risultano contagiati</w:t>
      </w:r>
      <w:r w:rsidR="00A245FA">
        <w:rPr>
          <w:b/>
        </w:rPr>
        <w:t xml:space="preserve"> </w:t>
      </w:r>
      <w:r w:rsidRPr="004A3CDC">
        <w:rPr>
          <w:b/>
        </w:rPr>
        <w:t>29.</w:t>
      </w:r>
      <w:r w:rsidR="00EE00B7" w:rsidRPr="004A3CDC">
        <w:rPr>
          <w:b/>
        </w:rPr>
        <w:t xml:space="preserve">476 </w:t>
      </w:r>
      <w:r w:rsidR="00355ED3" w:rsidRPr="004A3CDC">
        <w:rPr>
          <w:b/>
        </w:rPr>
        <w:t>operatori sanitari</w:t>
      </w:r>
      <w:r w:rsidR="00355ED3">
        <w:t xml:space="preserve"> (</w:t>
      </w:r>
      <w:r w:rsidR="00355ED3" w:rsidRPr="00355ED3">
        <w:rPr>
          <w:highlight w:val="yellow"/>
        </w:rPr>
        <w:t>figura</w:t>
      </w:r>
      <w:r w:rsidR="00355ED3">
        <w:t>)</w:t>
      </w:r>
      <w:r>
        <w:t xml:space="preserve"> il </w:t>
      </w:r>
      <w:r w:rsidR="00EE00B7">
        <w:t>12,3</w:t>
      </w:r>
      <w:r>
        <w:t>% de</w:t>
      </w:r>
      <w:r w:rsidR="004A3CDC">
        <w:t xml:space="preserve">i </w:t>
      </w:r>
      <w:r w:rsidR="00EE00B7">
        <w:t xml:space="preserve">240.578 </w:t>
      </w:r>
      <w:r>
        <w:t>contagi</w:t>
      </w:r>
      <w:r w:rsidR="004A3CDC">
        <w:t xml:space="preserve"> totali</w:t>
      </w:r>
      <w:r w:rsidR="005E01E0">
        <w:t xml:space="preserve"> nazionali</w:t>
      </w:r>
      <w:r>
        <w:t>.</w:t>
      </w:r>
      <w:r w:rsidR="00416026">
        <w:t xml:space="preserve"> </w:t>
      </w:r>
    </w:p>
    <w:p w:rsidR="00355ED3" w:rsidRPr="00355ED3" w:rsidRDefault="00355ED3" w:rsidP="00E666DF">
      <w:pPr>
        <w:pStyle w:val="Paragrafoelenco"/>
        <w:numPr>
          <w:ilvl w:val="0"/>
          <w:numId w:val="40"/>
        </w:numPr>
        <w:spacing w:line="276" w:lineRule="auto"/>
        <w:jc w:val="both"/>
        <w:rPr>
          <w:b/>
        </w:rPr>
      </w:pPr>
      <w:r>
        <w:rPr>
          <w:b/>
        </w:rPr>
        <w:t>Al 23 giugno</w:t>
      </w:r>
      <w:r w:rsidR="00A245FA">
        <w:t xml:space="preserve"> </w:t>
      </w:r>
      <w:r w:rsidR="009410D7">
        <w:t>risultano</w:t>
      </w:r>
      <w:r w:rsidR="00A245FA">
        <w:t xml:space="preserve"> </w:t>
      </w:r>
      <w:r w:rsidRPr="004A3CDC">
        <w:rPr>
          <w:b/>
        </w:rPr>
        <w:t>87 operatori sanitari deceduti</w:t>
      </w:r>
      <w:r w:rsidR="00A245FA">
        <w:t xml:space="preserve"> per COVID-19</w:t>
      </w:r>
      <w:r w:rsidR="003C74AD">
        <w:t xml:space="preserve">, per un </w:t>
      </w:r>
      <w:r w:rsidR="00EE00B7">
        <w:t>tasso di letalità</w:t>
      </w:r>
      <w:r w:rsidR="003C74AD">
        <w:t xml:space="preserve"> dello</w:t>
      </w:r>
      <w:r w:rsidR="00EE00B7">
        <w:t xml:space="preserve"> 0,3%</w:t>
      </w:r>
      <w:r w:rsidR="003C74AD">
        <w:t xml:space="preserve">. Stride la discrepanza </w:t>
      </w:r>
      <w:r w:rsidR="00002AEA">
        <w:t xml:space="preserve">con il </w:t>
      </w:r>
      <w:r w:rsidR="003C74AD">
        <w:t xml:space="preserve">numero dei </w:t>
      </w:r>
      <w:r w:rsidR="005E01E0">
        <w:t xml:space="preserve">171 </w:t>
      </w:r>
      <w:r w:rsidR="003C74AD">
        <w:t xml:space="preserve">medici </w:t>
      </w:r>
      <w:r w:rsidR="00002AEA">
        <w:t>deceduti</w:t>
      </w:r>
      <w:r w:rsidR="005E01E0">
        <w:t xml:space="preserve"> resi noti dalla</w:t>
      </w:r>
      <w:r w:rsidR="003C74AD">
        <w:t xml:space="preserve"> </w:t>
      </w:r>
      <w:hyperlink r:id="rId8" w:history="1">
        <w:r w:rsidR="003C74AD" w:rsidRPr="003C74AD">
          <w:rPr>
            <w:rStyle w:val="Collegamentoipertestuale"/>
          </w:rPr>
          <w:t>Federazione Nazionale degli Ordini dei Medici e Odontoiatr</w:t>
        </w:r>
      </w:hyperlink>
      <w:r w:rsidR="003C74AD">
        <w:t>i</w:t>
      </w:r>
      <w:r w:rsidR="00A245FA">
        <w:t>.</w:t>
      </w:r>
    </w:p>
    <w:p w:rsidR="002F2B58" w:rsidRPr="0059284C" w:rsidRDefault="002F2B58" w:rsidP="00E666DF">
      <w:pPr>
        <w:pStyle w:val="Paragrafoelenco"/>
        <w:numPr>
          <w:ilvl w:val="0"/>
          <w:numId w:val="40"/>
        </w:numPr>
        <w:spacing w:line="276" w:lineRule="auto"/>
        <w:jc w:val="both"/>
        <w:rPr>
          <w:b/>
        </w:rPr>
      </w:pPr>
      <w:r>
        <w:rPr>
          <w:b/>
        </w:rPr>
        <w:t>Al 28 aprile</w:t>
      </w:r>
      <w:r w:rsidR="009410D7">
        <w:t xml:space="preserve"> </w:t>
      </w:r>
      <w:r>
        <w:t xml:space="preserve">su 20.593 operatori sanitari contagiati il </w:t>
      </w:r>
      <w:r w:rsidRPr="004A3CDC">
        <w:rPr>
          <w:b/>
        </w:rPr>
        <w:t>47,4% sono infermieri e ostetrici</w:t>
      </w:r>
      <w:r>
        <w:t xml:space="preserve">, il </w:t>
      </w:r>
      <w:r w:rsidRPr="004A3CDC">
        <w:rPr>
          <w:b/>
        </w:rPr>
        <w:t>22% medici</w:t>
      </w:r>
      <w:r>
        <w:t xml:space="preserve"> prevalentemente ospedalieri, il </w:t>
      </w:r>
      <w:r w:rsidRPr="004A3CDC">
        <w:rPr>
          <w:b/>
        </w:rPr>
        <w:t xml:space="preserve">14,6% operatori </w:t>
      </w:r>
      <w:r w:rsidR="005E01E0" w:rsidRPr="004A3CDC">
        <w:rPr>
          <w:b/>
        </w:rPr>
        <w:t>sociosanitari</w:t>
      </w:r>
      <w:r>
        <w:t xml:space="preserve"> e il </w:t>
      </w:r>
      <w:r w:rsidRPr="004A3CDC">
        <w:rPr>
          <w:b/>
        </w:rPr>
        <w:t>16%</w:t>
      </w:r>
      <w:r>
        <w:t xml:space="preserve"> </w:t>
      </w:r>
      <w:r w:rsidRPr="004A3CDC">
        <w:rPr>
          <w:b/>
        </w:rPr>
        <w:t>altre professioni</w:t>
      </w:r>
      <w:r>
        <w:t xml:space="preserve"> sanitarie.</w:t>
      </w:r>
    </w:p>
    <w:p w:rsidR="002F2B58" w:rsidRPr="004249BE" w:rsidRDefault="002F2B58" w:rsidP="00E666DF">
      <w:pPr>
        <w:pStyle w:val="Paragrafoelenco"/>
        <w:numPr>
          <w:ilvl w:val="0"/>
          <w:numId w:val="40"/>
        </w:numPr>
        <w:spacing w:line="276" w:lineRule="auto"/>
        <w:jc w:val="both"/>
      </w:pPr>
      <w:r w:rsidRPr="004249BE">
        <w:rPr>
          <w:b/>
        </w:rPr>
        <w:t>Al 16 aprile</w:t>
      </w:r>
      <w:r w:rsidR="009410D7">
        <w:t xml:space="preserve"> </w:t>
      </w:r>
      <w:r>
        <w:t xml:space="preserve">quasi il 90% degli 11.738 contagiati si concentra tra </w:t>
      </w:r>
      <w:r w:rsidRPr="004249BE">
        <w:rPr>
          <w:b/>
        </w:rPr>
        <w:t>setting ospedaliero (70,9%) e territoriale (18,5%)</w:t>
      </w:r>
      <w:r w:rsidR="00947293" w:rsidRPr="004249BE">
        <w:rPr>
          <w:b/>
        </w:rPr>
        <w:t xml:space="preserve">, </w:t>
      </w:r>
      <w:r w:rsidR="00947293" w:rsidRPr="004249BE">
        <w:t>mentre il restante 10</w:t>
      </w:r>
      <w:r w:rsidR="004249BE">
        <w:t>,6</w:t>
      </w:r>
      <w:r w:rsidR="00947293" w:rsidRPr="004249BE">
        <w:t>% si divide tra</w:t>
      </w:r>
      <w:r w:rsidR="004249BE">
        <w:t xml:space="preserve"> </w:t>
      </w:r>
      <w:r w:rsidR="005E01E0">
        <w:t>c</w:t>
      </w:r>
      <w:r w:rsidR="005E01E0" w:rsidRPr="00FA5B8A">
        <w:t xml:space="preserve">ase </w:t>
      </w:r>
      <w:r w:rsidR="004249BE" w:rsidRPr="00FA5B8A">
        <w:t>di riposo</w:t>
      </w:r>
      <w:r w:rsidR="005E01E0">
        <w:t xml:space="preserve">, </w:t>
      </w:r>
      <w:r w:rsidR="004249BE" w:rsidRPr="00FA5B8A">
        <w:t>residenze per anziani</w:t>
      </w:r>
      <w:r w:rsidR="00041874">
        <w:t xml:space="preserve"> </w:t>
      </w:r>
      <w:r w:rsidR="005E01E0">
        <w:t xml:space="preserve">e altri setting di assistenza residenziale o ambulatoriale. </w:t>
      </w:r>
    </w:p>
    <w:p w:rsidR="00355ED3" w:rsidRPr="00355ED3" w:rsidRDefault="00355ED3" w:rsidP="00E666DF">
      <w:pPr>
        <w:pStyle w:val="Paragrafoelenco"/>
        <w:numPr>
          <w:ilvl w:val="0"/>
          <w:numId w:val="40"/>
        </w:numPr>
        <w:spacing w:line="276" w:lineRule="auto"/>
        <w:jc w:val="both"/>
        <w:rPr>
          <w:b/>
        </w:rPr>
      </w:pPr>
      <w:r>
        <w:rPr>
          <w:b/>
        </w:rPr>
        <w:t>Al 2 aprile</w:t>
      </w:r>
      <w:r w:rsidR="009410D7">
        <w:t xml:space="preserve"> </w:t>
      </w:r>
      <w:r w:rsidR="00635C78">
        <w:t>quasi l’81</w:t>
      </w:r>
      <w:r w:rsidR="00416026">
        <w:t>%</w:t>
      </w:r>
      <w:r w:rsidR="009410D7">
        <w:t xml:space="preserve"> degli operatori sanitari contagiati</w:t>
      </w:r>
      <w:r w:rsidR="00416026">
        <w:t xml:space="preserve"> si concentra</w:t>
      </w:r>
      <w:r w:rsidR="009410D7">
        <w:t>vano</w:t>
      </w:r>
      <w:r w:rsidR="00416026">
        <w:t xml:space="preserve"> in tre Regioni: </w:t>
      </w:r>
      <w:r w:rsidR="00416026" w:rsidRPr="004A3CDC">
        <w:rPr>
          <w:b/>
        </w:rPr>
        <w:t xml:space="preserve">Lombardia (61,6%), </w:t>
      </w:r>
      <w:r w:rsidR="00534555" w:rsidRPr="004A3CDC">
        <w:rPr>
          <w:b/>
        </w:rPr>
        <w:t>Emilia-Romagna</w:t>
      </w:r>
      <w:r w:rsidR="00416026" w:rsidRPr="004A3CDC">
        <w:rPr>
          <w:b/>
        </w:rPr>
        <w:t xml:space="preserve"> (10</w:t>
      </w:r>
      <w:r w:rsidR="00B01C35" w:rsidRPr="004A3CDC">
        <w:rPr>
          <w:b/>
        </w:rPr>
        <w:t>,</w:t>
      </w:r>
      <w:r w:rsidR="00416026" w:rsidRPr="004A3CDC">
        <w:rPr>
          <w:b/>
        </w:rPr>
        <w:t>8%) e Veneto (8,4%)</w:t>
      </w:r>
      <w:r w:rsidR="00B01C35">
        <w:t>.</w:t>
      </w:r>
    </w:p>
    <w:p w:rsidR="0059284C" w:rsidRPr="0059284C" w:rsidRDefault="0059284C" w:rsidP="0059284C">
      <w:pPr>
        <w:jc w:val="both"/>
        <w:rPr>
          <w:b/>
        </w:rPr>
      </w:pPr>
    </w:p>
    <w:p w:rsidR="00776ABD" w:rsidRDefault="00685D5B" w:rsidP="00685D5B">
      <w:pPr>
        <w:jc w:val="both"/>
      </w:pPr>
      <w:r>
        <w:t xml:space="preserve">Rispetto alla continua crescita </w:t>
      </w:r>
      <w:r w:rsidR="00BE49CF">
        <w:t xml:space="preserve">dei contagi tra </w:t>
      </w:r>
      <w:r>
        <w:t>operatori san</w:t>
      </w:r>
      <w:r w:rsidR="00BE3064">
        <w:t>itari</w:t>
      </w:r>
      <w:r w:rsidR="00534555">
        <w:t>,</w:t>
      </w:r>
      <w:r w:rsidR="00BE3064">
        <w:t xml:space="preserve"> </w:t>
      </w:r>
      <w:r w:rsidR="00195F46">
        <w:t xml:space="preserve">un dato di </w:t>
      </w:r>
      <w:r w:rsidR="00BE3064">
        <w:t>particolare rilievo c</w:t>
      </w:r>
      <w:r>
        <w:t xml:space="preserve">he dal </w:t>
      </w:r>
      <w:r w:rsidRPr="00685D5B">
        <w:t>4</w:t>
      </w:r>
      <w:r w:rsidR="00195F46">
        <w:t xml:space="preserve"> maggio</w:t>
      </w:r>
      <w:r w:rsidR="00534555">
        <w:t xml:space="preserve"> </w:t>
      </w:r>
      <w:r w:rsidRPr="00685D5B">
        <w:t xml:space="preserve">al </w:t>
      </w:r>
      <w:r w:rsidR="009D66BF">
        <w:t>30</w:t>
      </w:r>
      <w:r w:rsidR="00002AEA">
        <w:t xml:space="preserve"> giugno</w:t>
      </w:r>
      <w:r w:rsidR="00195F46">
        <w:t xml:space="preserve"> </w:t>
      </w:r>
      <w:r w:rsidRPr="00195F46">
        <w:t xml:space="preserve">sono stati </w:t>
      </w:r>
      <w:r w:rsidR="00534555">
        <w:t>identificati</w:t>
      </w:r>
      <w:r w:rsidR="00534555" w:rsidRPr="00715CD4">
        <w:t xml:space="preserve"> </w:t>
      </w:r>
      <w:r w:rsidRPr="00715CD4">
        <w:t>7.</w:t>
      </w:r>
      <w:r w:rsidR="009D66BF" w:rsidRPr="00715CD4">
        <w:t>596</w:t>
      </w:r>
      <w:r w:rsidR="00195F46" w:rsidRPr="00715CD4">
        <w:t xml:space="preserve"> operatori </w:t>
      </w:r>
      <w:r w:rsidR="00195F46" w:rsidRPr="00195F46">
        <w:t>sanitari positivi</w:t>
      </w:r>
      <w:r w:rsidR="00BE3064" w:rsidRPr="00195F46">
        <w:t xml:space="preserve">, </w:t>
      </w:r>
      <w:r w:rsidR="00534555">
        <w:t>che corrispondono al</w:t>
      </w:r>
      <w:r w:rsidR="00BE3064" w:rsidRPr="00002AEA">
        <w:t xml:space="preserve"> </w:t>
      </w:r>
      <w:r w:rsidR="00BC7054" w:rsidRPr="00002AEA">
        <w:t>26</w:t>
      </w:r>
      <w:r w:rsidR="00BE3064" w:rsidRPr="00002AEA">
        <w:t>,</w:t>
      </w:r>
      <w:r w:rsidR="00BC7054" w:rsidRPr="00002AEA">
        <w:t>5</w:t>
      </w:r>
      <w:r w:rsidR="00BE3064" w:rsidRPr="00002AEA">
        <w:t xml:space="preserve">% </w:t>
      </w:r>
      <w:r w:rsidR="00BC7054" w:rsidRPr="00002AEA">
        <w:t>dei</w:t>
      </w:r>
      <w:r w:rsidR="00195F46" w:rsidRPr="00002AEA">
        <w:t xml:space="preserve"> 28.640 </w:t>
      </w:r>
      <w:r w:rsidR="00BC7054" w:rsidRPr="00002AEA">
        <w:t>nuovi positivi in Italia</w:t>
      </w:r>
      <w:r w:rsidR="00534555">
        <w:t xml:space="preserve"> per lo stesso periodo</w:t>
      </w:r>
      <w:r w:rsidRPr="00002AEA">
        <w:t>.</w:t>
      </w:r>
      <w:r w:rsidR="00BE3064" w:rsidRPr="00002AEA">
        <w:t xml:space="preserve"> </w:t>
      </w:r>
      <w:r w:rsidR="006B1DD6" w:rsidRPr="00145AFE">
        <w:t>«</w:t>
      </w:r>
      <w:r w:rsidR="00534555">
        <w:t>Davanti a questi dati</w:t>
      </w:r>
      <w:r w:rsidR="0053442B">
        <w:t xml:space="preserve"> </w:t>
      </w:r>
      <w:r w:rsidR="006B1DD6" w:rsidRPr="00145AFE">
        <w:t>–</w:t>
      </w:r>
      <w:r w:rsidR="006B1DD6">
        <w:t xml:space="preserve"> precisa Cartabellotta </w:t>
      </w:r>
      <w:r w:rsidR="006B1DD6" w:rsidRPr="00145AFE">
        <w:t>–</w:t>
      </w:r>
      <w:r w:rsidR="00534555">
        <w:t xml:space="preserve"> il dubbio sorge spontaneo: è possibile che mesi </w:t>
      </w:r>
      <w:r w:rsidR="0053442B">
        <w:t xml:space="preserve">dopo </w:t>
      </w:r>
      <w:r w:rsidR="00534555">
        <w:t xml:space="preserve">l’inizio dell’epidemia non siamo ancora in grado di garantire </w:t>
      </w:r>
      <w:r w:rsidR="0053442B">
        <w:t xml:space="preserve">agli operatori sanitari </w:t>
      </w:r>
      <w:r w:rsidR="00534555">
        <w:t>il massimo livello di protezione</w:t>
      </w:r>
      <w:r w:rsidR="00534555" w:rsidRPr="00195F46">
        <w:t xml:space="preserve"> </w:t>
      </w:r>
      <w:r w:rsidR="00534555">
        <w:t xml:space="preserve">con </w:t>
      </w:r>
      <w:r w:rsidR="00534555" w:rsidRPr="00195F46">
        <w:t>adeguati dispositivi di protezione individuale e protocolli di sicurezza</w:t>
      </w:r>
      <w:r w:rsidR="00534555">
        <w:t>?</w:t>
      </w:r>
      <w:r w:rsidR="00534555" w:rsidRPr="00145AFE">
        <w:t xml:space="preserve"> </w:t>
      </w:r>
      <w:r w:rsidR="00534555">
        <w:t xml:space="preserve"> O questi numeri </w:t>
      </w:r>
      <w:r w:rsidR="0053442B">
        <w:t>devono essere piuttosto interpretati alla luce della</w:t>
      </w:r>
      <w:r>
        <w:t xml:space="preserve"> massiccia attività di testing </w:t>
      </w:r>
      <w:r w:rsidR="006B1DD6">
        <w:t xml:space="preserve">condotta </w:t>
      </w:r>
      <w:r w:rsidR="0053442B">
        <w:t>su questa categoria professionale, che</w:t>
      </w:r>
      <w:r w:rsidR="00BE3064">
        <w:t xml:space="preserve"> ha permesso di identificare un numero </w:t>
      </w:r>
      <w:r>
        <w:t xml:space="preserve">molto più elevato </w:t>
      </w:r>
      <w:r w:rsidR="006B1DD6">
        <w:t xml:space="preserve">di </w:t>
      </w:r>
      <w:r w:rsidR="009D66BF">
        <w:t xml:space="preserve">positivi </w:t>
      </w:r>
      <w:r w:rsidR="006B1DD6">
        <w:t>rispetto alla</w:t>
      </w:r>
      <w:r>
        <w:t xml:space="preserve"> popolazione generale</w:t>
      </w:r>
      <w:r w:rsidR="0053442B">
        <w:t>?</w:t>
      </w:r>
      <w:r w:rsidRPr="00145AFE">
        <w:t>».</w:t>
      </w:r>
    </w:p>
    <w:p w:rsidR="00195F46" w:rsidRDefault="003C28C9" w:rsidP="003925EF">
      <w:pPr>
        <w:jc w:val="both"/>
      </w:pPr>
      <w:r w:rsidRPr="00145AFE">
        <w:t>«</w:t>
      </w:r>
      <w:r w:rsidR="00A16059">
        <w:t xml:space="preserve">La Fondazione GIMBE </w:t>
      </w:r>
      <w:r w:rsidR="00A16059" w:rsidRPr="00145AFE">
        <w:t>–</w:t>
      </w:r>
      <w:r w:rsidR="00A16059">
        <w:t xml:space="preserve"> </w:t>
      </w:r>
      <w:r w:rsidR="00A16059" w:rsidRPr="00145AFE">
        <w:t>conclude Cartabellotta –</w:t>
      </w:r>
      <w:r w:rsidR="00A16059">
        <w:t xml:space="preserve"> ritiene </w:t>
      </w:r>
      <w:r w:rsidR="00195F46">
        <w:t xml:space="preserve">inaccettabile la mancata disponibilità di dati analitici relativi alla distribuzione regionale, al contesto assistenziale e al ruolo/qualifica professionale </w:t>
      </w:r>
      <w:r w:rsidR="00411F56">
        <w:t xml:space="preserve">degli operatori sanitari contagiati che consentirebbero </w:t>
      </w:r>
      <w:r w:rsidR="00195F46">
        <w:t xml:space="preserve">di </w:t>
      </w:r>
      <w:r w:rsidR="007A5FC9">
        <w:t>comprendere meglio il fenomeno e mettere in atto le opportune strategie preventive</w:t>
      </w:r>
      <w:r w:rsidR="00411F56">
        <w:t xml:space="preserve"> a tutela degli operatori e dei cittadini</w:t>
      </w:r>
      <w:r w:rsidR="00195F46">
        <w:t xml:space="preserve">. L’ennesimo “buco nero” su una delle principali determinanti </w:t>
      </w:r>
      <w:r w:rsidR="00411F56">
        <w:t xml:space="preserve">della </w:t>
      </w:r>
      <w:r w:rsidR="00195F46">
        <w:t>diffusione dell’epidemia nel nostro Paese</w:t>
      </w:r>
      <w:r w:rsidR="00080943" w:rsidRPr="00145AFE">
        <w:t>».</w:t>
      </w:r>
    </w:p>
    <w:bookmarkEnd w:id="0"/>
    <w:p w:rsidR="005127EB" w:rsidRDefault="005127EB" w:rsidP="005127EB">
      <w:pPr>
        <w:spacing w:after="120"/>
        <w:rPr>
          <w:rFonts w:ascii="Trebuchet MS" w:eastAsia="Calibri" w:hAnsi="Trebuchet MS" w:cs="Times New Roman"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9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  <w:r w:rsidRPr="00A24080">
        <w:rPr>
          <w:rFonts w:cstheme="minorHAnsi"/>
          <w:i/>
        </w:rPr>
        <w:t xml:space="preserve"> </w:t>
      </w:r>
      <w:r>
        <w:rPr>
          <w:rFonts w:ascii="Calibri" w:eastAsia="Calibri" w:hAnsi="Calibri" w:cs="Times New Roman"/>
          <w:b/>
          <w:bCs/>
        </w:rPr>
        <w:br/>
      </w:r>
      <w:r>
        <w:rPr>
          <w:rFonts w:ascii="Calibri" w:eastAsia="Calibri" w:hAnsi="Calibri" w:cs="Times New Roman"/>
          <w:b/>
          <w:bCs/>
        </w:rPr>
        <w:br/>
      </w: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</w:p>
    <w:p w:rsidR="005127EB" w:rsidRPr="00AB7473" w:rsidRDefault="005127EB" w:rsidP="005127EB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t xml:space="preserve"> 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t xml:space="preserve"> 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10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BE3064" w:rsidRDefault="00BE3064" w:rsidP="00B01F54">
      <w:pPr>
        <w:spacing w:after="120"/>
        <w:jc w:val="center"/>
        <w:rPr>
          <w:b/>
        </w:rPr>
      </w:pPr>
      <w:bookmarkStart w:id="1" w:name="_Hlk41543015"/>
      <w:bookmarkStart w:id="2" w:name="_Hlk41542964"/>
    </w:p>
    <w:p w:rsidR="00BE3064" w:rsidRDefault="00BE3064" w:rsidP="00B01F54">
      <w:pPr>
        <w:spacing w:after="120"/>
        <w:jc w:val="center"/>
        <w:rPr>
          <w:b/>
        </w:rPr>
      </w:pPr>
    </w:p>
    <w:p w:rsidR="00D43BCD" w:rsidRDefault="00D43BCD" w:rsidP="00B01F54">
      <w:pPr>
        <w:spacing w:after="120"/>
        <w:jc w:val="center"/>
        <w:rPr>
          <w:b/>
        </w:rPr>
      </w:pPr>
    </w:p>
    <w:p w:rsidR="00D43BCD" w:rsidRDefault="00D43BCD" w:rsidP="00B01F54">
      <w:pPr>
        <w:spacing w:after="120"/>
        <w:jc w:val="center"/>
        <w:rPr>
          <w:b/>
        </w:rPr>
      </w:pPr>
    </w:p>
    <w:p w:rsidR="002F2B58" w:rsidRDefault="002F2B58" w:rsidP="00B01F54">
      <w:pPr>
        <w:spacing w:after="120"/>
        <w:jc w:val="center"/>
        <w:rPr>
          <w:b/>
        </w:rPr>
      </w:pPr>
      <w:r>
        <w:rPr>
          <w:b/>
        </w:rPr>
        <w:t>Figura.</w:t>
      </w:r>
      <w:r w:rsidR="003C74AD">
        <w:rPr>
          <w:b/>
        </w:rPr>
        <w:t xml:space="preserve"> COVID-19: </w:t>
      </w:r>
      <w:r>
        <w:rPr>
          <w:b/>
        </w:rPr>
        <w:t>operatori sanitari contagiati</w:t>
      </w:r>
      <w:r w:rsidR="003C74AD">
        <w:rPr>
          <w:b/>
        </w:rPr>
        <w:t xml:space="preserve"> in Italia</w:t>
      </w:r>
    </w:p>
    <w:p w:rsidR="00ED5B41" w:rsidRDefault="00604DED" w:rsidP="00B01F54">
      <w:pPr>
        <w:spacing w:after="120"/>
        <w:jc w:val="center"/>
        <w:rPr>
          <w:b/>
        </w:rPr>
      </w:pPr>
      <w:r>
        <w:rPr>
          <w:b/>
          <w:noProof/>
          <w:lang w:eastAsia="it-IT"/>
        </w:rPr>
        <w:lastRenderedPageBreak/>
        <w:drawing>
          <wp:inline distT="0" distB="0" distL="0" distR="0" wp14:anchorId="1D90137C" wp14:editId="3B484D45">
            <wp:extent cx="5400000" cy="2734262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34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D5B" w:rsidRDefault="00685D5B" w:rsidP="00B01F54">
      <w:pPr>
        <w:spacing w:after="120"/>
        <w:jc w:val="center"/>
        <w:rPr>
          <w:b/>
        </w:rPr>
      </w:pPr>
    </w:p>
    <w:p w:rsidR="00685D5B" w:rsidRDefault="00685D5B" w:rsidP="00B01F54">
      <w:pPr>
        <w:spacing w:after="120"/>
        <w:jc w:val="center"/>
        <w:rPr>
          <w:b/>
        </w:rPr>
      </w:pPr>
    </w:p>
    <w:p w:rsidR="00685D5B" w:rsidRDefault="00685D5B" w:rsidP="00B01F54">
      <w:pPr>
        <w:spacing w:after="120"/>
        <w:jc w:val="center"/>
        <w:rPr>
          <w:b/>
        </w:rPr>
      </w:pPr>
    </w:p>
    <w:p w:rsidR="00685D5B" w:rsidRDefault="00685D5B" w:rsidP="00B01F54">
      <w:pPr>
        <w:spacing w:after="120"/>
        <w:jc w:val="center"/>
        <w:rPr>
          <w:b/>
        </w:rPr>
      </w:pPr>
    </w:p>
    <w:p w:rsidR="00685D5B" w:rsidRDefault="00685D5B" w:rsidP="00B01F54">
      <w:pPr>
        <w:spacing w:after="120"/>
        <w:jc w:val="center"/>
        <w:rPr>
          <w:b/>
        </w:rPr>
      </w:pPr>
    </w:p>
    <w:p w:rsidR="00685D5B" w:rsidRDefault="00685D5B" w:rsidP="00B01F54">
      <w:pPr>
        <w:spacing w:after="120"/>
        <w:jc w:val="center"/>
        <w:rPr>
          <w:b/>
        </w:rPr>
      </w:pPr>
    </w:p>
    <w:p w:rsidR="00685D5B" w:rsidRDefault="00685D5B" w:rsidP="00B01F54">
      <w:pPr>
        <w:spacing w:after="120"/>
        <w:jc w:val="center"/>
        <w:rPr>
          <w:b/>
        </w:rPr>
      </w:pPr>
    </w:p>
    <w:p w:rsidR="00ED5B41" w:rsidRDefault="00ED5B41" w:rsidP="00B01F54">
      <w:pPr>
        <w:spacing w:after="120"/>
        <w:jc w:val="center"/>
        <w:rPr>
          <w:b/>
        </w:rPr>
      </w:pPr>
    </w:p>
    <w:p w:rsidR="00ED5B41" w:rsidRDefault="00ED5B41" w:rsidP="00B01F54">
      <w:pPr>
        <w:spacing w:after="120"/>
        <w:jc w:val="center"/>
        <w:rPr>
          <w:b/>
        </w:rPr>
      </w:pPr>
    </w:p>
    <w:bookmarkEnd w:id="1"/>
    <w:bookmarkEnd w:id="2"/>
    <w:p w:rsidR="003F24A4" w:rsidRDefault="003F24A4" w:rsidP="002705E8">
      <w:pPr>
        <w:spacing w:after="120"/>
        <w:jc w:val="center"/>
        <w:rPr>
          <w:b/>
          <w:noProof/>
          <w:lang w:eastAsia="it-IT"/>
        </w:rPr>
      </w:pPr>
    </w:p>
    <w:sectPr w:rsidR="003F24A4" w:rsidSect="00637EFB">
      <w:headerReference w:type="default" r:id="rId12"/>
      <w:footerReference w:type="defaul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46" w:rsidRDefault="00226C46">
      <w:pPr>
        <w:spacing w:after="0" w:line="240" w:lineRule="auto"/>
      </w:pPr>
      <w:r>
        <w:separator/>
      </w:r>
    </w:p>
  </w:endnote>
  <w:endnote w:type="continuationSeparator" w:id="0">
    <w:p w:rsidR="00226C46" w:rsidRDefault="0022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69" w:rsidRDefault="00AC1D69">
    <w:pPr>
      <w:pStyle w:val="Pidipagina"/>
    </w:pPr>
  </w:p>
  <w:p w:rsidR="00AC1D69" w:rsidRDefault="00AC1D69">
    <w:pPr>
      <w:pStyle w:val="Pidipagina"/>
    </w:pPr>
  </w:p>
  <w:p w:rsidR="00AC1D69" w:rsidRDefault="00AC1D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46" w:rsidRDefault="00226C46">
      <w:pPr>
        <w:spacing w:after="0" w:line="240" w:lineRule="auto"/>
      </w:pPr>
      <w:r>
        <w:separator/>
      </w:r>
    </w:p>
  </w:footnote>
  <w:footnote w:type="continuationSeparator" w:id="0">
    <w:p w:rsidR="00226C46" w:rsidRDefault="0022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69" w:rsidRPr="007F63C2" w:rsidRDefault="00AC1D69" w:rsidP="009E35C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00D62"/>
    <w:multiLevelType w:val="hybridMultilevel"/>
    <w:tmpl w:val="15B2B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6D49A7"/>
    <w:multiLevelType w:val="hybridMultilevel"/>
    <w:tmpl w:val="93AA45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8253A0"/>
    <w:multiLevelType w:val="hybridMultilevel"/>
    <w:tmpl w:val="EE3CF3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9"/>
  </w:num>
  <w:num w:numId="4">
    <w:abstractNumId w:val="13"/>
  </w:num>
  <w:num w:numId="5">
    <w:abstractNumId w:val="36"/>
  </w:num>
  <w:num w:numId="6">
    <w:abstractNumId w:val="7"/>
  </w:num>
  <w:num w:numId="7">
    <w:abstractNumId w:val="11"/>
  </w:num>
  <w:num w:numId="8">
    <w:abstractNumId w:val="31"/>
  </w:num>
  <w:num w:numId="9">
    <w:abstractNumId w:val="9"/>
  </w:num>
  <w:num w:numId="10">
    <w:abstractNumId w:val="26"/>
  </w:num>
  <w:num w:numId="11">
    <w:abstractNumId w:val="16"/>
  </w:num>
  <w:num w:numId="12">
    <w:abstractNumId w:val="25"/>
  </w:num>
  <w:num w:numId="13">
    <w:abstractNumId w:val="6"/>
  </w:num>
  <w:num w:numId="14">
    <w:abstractNumId w:val="24"/>
  </w:num>
  <w:num w:numId="15">
    <w:abstractNumId w:val="2"/>
  </w:num>
  <w:num w:numId="16">
    <w:abstractNumId w:val="3"/>
  </w:num>
  <w:num w:numId="17">
    <w:abstractNumId w:val="30"/>
  </w:num>
  <w:num w:numId="18">
    <w:abstractNumId w:val="10"/>
  </w:num>
  <w:num w:numId="19">
    <w:abstractNumId w:val="35"/>
  </w:num>
  <w:num w:numId="20">
    <w:abstractNumId w:val="8"/>
  </w:num>
  <w:num w:numId="21">
    <w:abstractNumId w:val="34"/>
  </w:num>
  <w:num w:numId="22">
    <w:abstractNumId w:val="37"/>
  </w:num>
  <w:num w:numId="23">
    <w:abstractNumId w:val="39"/>
  </w:num>
  <w:num w:numId="24">
    <w:abstractNumId w:val="14"/>
  </w:num>
  <w:num w:numId="25">
    <w:abstractNumId w:val="18"/>
  </w:num>
  <w:num w:numId="26">
    <w:abstractNumId w:val="28"/>
  </w:num>
  <w:num w:numId="27">
    <w:abstractNumId w:val="38"/>
  </w:num>
  <w:num w:numId="28">
    <w:abstractNumId w:val="12"/>
  </w:num>
  <w:num w:numId="29">
    <w:abstractNumId w:val="32"/>
  </w:num>
  <w:num w:numId="30">
    <w:abstractNumId w:val="23"/>
  </w:num>
  <w:num w:numId="31">
    <w:abstractNumId w:val="17"/>
  </w:num>
  <w:num w:numId="32">
    <w:abstractNumId w:val="0"/>
  </w:num>
  <w:num w:numId="33">
    <w:abstractNumId w:val="5"/>
  </w:num>
  <w:num w:numId="34">
    <w:abstractNumId w:val="22"/>
  </w:num>
  <w:num w:numId="35">
    <w:abstractNumId w:val="20"/>
  </w:num>
  <w:num w:numId="36">
    <w:abstractNumId w:val="4"/>
  </w:num>
  <w:num w:numId="37">
    <w:abstractNumId w:val="15"/>
  </w:num>
  <w:num w:numId="38">
    <w:abstractNumId w:val="27"/>
  </w:num>
  <w:num w:numId="39">
    <w:abstractNumId w:val="1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4D"/>
    <w:rsid w:val="00001504"/>
    <w:rsid w:val="00002908"/>
    <w:rsid w:val="00002AEA"/>
    <w:rsid w:val="00005A35"/>
    <w:rsid w:val="00007E2D"/>
    <w:rsid w:val="00010AEF"/>
    <w:rsid w:val="00012955"/>
    <w:rsid w:val="00014A2C"/>
    <w:rsid w:val="000171CE"/>
    <w:rsid w:val="000177CD"/>
    <w:rsid w:val="000179EC"/>
    <w:rsid w:val="000200E1"/>
    <w:rsid w:val="00023F18"/>
    <w:rsid w:val="00026DC0"/>
    <w:rsid w:val="00031FA8"/>
    <w:rsid w:val="000328C9"/>
    <w:rsid w:val="00035405"/>
    <w:rsid w:val="0004029D"/>
    <w:rsid w:val="00041874"/>
    <w:rsid w:val="00043A85"/>
    <w:rsid w:val="000529FD"/>
    <w:rsid w:val="000548AC"/>
    <w:rsid w:val="0005649A"/>
    <w:rsid w:val="00057675"/>
    <w:rsid w:val="00060A3C"/>
    <w:rsid w:val="0006276E"/>
    <w:rsid w:val="000648AF"/>
    <w:rsid w:val="000650A3"/>
    <w:rsid w:val="00066FEB"/>
    <w:rsid w:val="0007007A"/>
    <w:rsid w:val="000713E0"/>
    <w:rsid w:val="00071F3F"/>
    <w:rsid w:val="00075811"/>
    <w:rsid w:val="00075B48"/>
    <w:rsid w:val="0007670E"/>
    <w:rsid w:val="00080943"/>
    <w:rsid w:val="000818D2"/>
    <w:rsid w:val="00083222"/>
    <w:rsid w:val="00087618"/>
    <w:rsid w:val="00090BE2"/>
    <w:rsid w:val="00091C99"/>
    <w:rsid w:val="00092A9D"/>
    <w:rsid w:val="00093477"/>
    <w:rsid w:val="000943CF"/>
    <w:rsid w:val="00094EF2"/>
    <w:rsid w:val="000A5D42"/>
    <w:rsid w:val="000A7474"/>
    <w:rsid w:val="000B0330"/>
    <w:rsid w:val="000B1503"/>
    <w:rsid w:val="000B23AC"/>
    <w:rsid w:val="000B2A0D"/>
    <w:rsid w:val="000B6E50"/>
    <w:rsid w:val="000C1558"/>
    <w:rsid w:val="000C1EDD"/>
    <w:rsid w:val="000C22C6"/>
    <w:rsid w:val="000D1769"/>
    <w:rsid w:val="000D1D78"/>
    <w:rsid w:val="000D64BB"/>
    <w:rsid w:val="000D6AC6"/>
    <w:rsid w:val="000E2B65"/>
    <w:rsid w:val="000E4C32"/>
    <w:rsid w:val="000E5CDA"/>
    <w:rsid w:val="000F136B"/>
    <w:rsid w:val="000F23C9"/>
    <w:rsid w:val="000F2E5C"/>
    <w:rsid w:val="000F381E"/>
    <w:rsid w:val="000F41B1"/>
    <w:rsid w:val="000F4E69"/>
    <w:rsid w:val="000F655E"/>
    <w:rsid w:val="000F6B97"/>
    <w:rsid w:val="000F7D28"/>
    <w:rsid w:val="000F7EE8"/>
    <w:rsid w:val="00103E7D"/>
    <w:rsid w:val="00104759"/>
    <w:rsid w:val="0010550E"/>
    <w:rsid w:val="001059AD"/>
    <w:rsid w:val="00113053"/>
    <w:rsid w:val="00113554"/>
    <w:rsid w:val="00123005"/>
    <w:rsid w:val="0012440D"/>
    <w:rsid w:val="00124B03"/>
    <w:rsid w:val="00124E32"/>
    <w:rsid w:val="00126676"/>
    <w:rsid w:val="00127899"/>
    <w:rsid w:val="001305E0"/>
    <w:rsid w:val="001313A0"/>
    <w:rsid w:val="0013167A"/>
    <w:rsid w:val="001320B9"/>
    <w:rsid w:val="00133E24"/>
    <w:rsid w:val="001341D8"/>
    <w:rsid w:val="001348C4"/>
    <w:rsid w:val="00134B04"/>
    <w:rsid w:val="00136710"/>
    <w:rsid w:val="001408D2"/>
    <w:rsid w:val="00143377"/>
    <w:rsid w:val="00143BB8"/>
    <w:rsid w:val="00144B3B"/>
    <w:rsid w:val="00145AFE"/>
    <w:rsid w:val="00146588"/>
    <w:rsid w:val="001509C3"/>
    <w:rsid w:val="00153115"/>
    <w:rsid w:val="00156186"/>
    <w:rsid w:val="00166D9E"/>
    <w:rsid w:val="001737B8"/>
    <w:rsid w:val="0017590C"/>
    <w:rsid w:val="001767BB"/>
    <w:rsid w:val="00183566"/>
    <w:rsid w:val="00183F81"/>
    <w:rsid w:val="00186CF1"/>
    <w:rsid w:val="00195F46"/>
    <w:rsid w:val="001A0964"/>
    <w:rsid w:val="001A25A5"/>
    <w:rsid w:val="001A3813"/>
    <w:rsid w:val="001A3EC6"/>
    <w:rsid w:val="001A642A"/>
    <w:rsid w:val="001B3457"/>
    <w:rsid w:val="001C07D8"/>
    <w:rsid w:val="001C3871"/>
    <w:rsid w:val="001D0755"/>
    <w:rsid w:val="001D1D83"/>
    <w:rsid w:val="001D59FE"/>
    <w:rsid w:val="001D6AC1"/>
    <w:rsid w:val="001D6D39"/>
    <w:rsid w:val="001D7BC3"/>
    <w:rsid w:val="001E013C"/>
    <w:rsid w:val="001E06CF"/>
    <w:rsid w:val="001E15A7"/>
    <w:rsid w:val="001E16B1"/>
    <w:rsid w:val="001E1A06"/>
    <w:rsid w:val="001E235C"/>
    <w:rsid w:val="001E456C"/>
    <w:rsid w:val="001E4AD8"/>
    <w:rsid w:val="001E6000"/>
    <w:rsid w:val="001E66B3"/>
    <w:rsid w:val="001E6F8F"/>
    <w:rsid w:val="001F06CD"/>
    <w:rsid w:val="001F2345"/>
    <w:rsid w:val="001F69E0"/>
    <w:rsid w:val="00204E2D"/>
    <w:rsid w:val="0020632D"/>
    <w:rsid w:val="00206B73"/>
    <w:rsid w:val="00210E02"/>
    <w:rsid w:val="00210F6C"/>
    <w:rsid w:val="00213097"/>
    <w:rsid w:val="002149D9"/>
    <w:rsid w:val="00217534"/>
    <w:rsid w:val="00217C7C"/>
    <w:rsid w:val="002205C9"/>
    <w:rsid w:val="00223CBF"/>
    <w:rsid w:val="00223FDE"/>
    <w:rsid w:val="0022503B"/>
    <w:rsid w:val="00226C46"/>
    <w:rsid w:val="002273E1"/>
    <w:rsid w:val="0023472D"/>
    <w:rsid w:val="0023571B"/>
    <w:rsid w:val="002409AC"/>
    <w:rsid w:val="00240B0E"/>
    <w:rsid w:val="002419BE"/>
    <w:rsid w:val="00241BC8"/>
    <w:rsid w:val="002442BE"/>
    <w:rsid w:val="00245060"/>
    <w:rsid w:val="00246085"/>
    <w:rsid w:val="002470E9"/>
    <w:rsid w:val="00252E88"/>
    <w:rsid w:val="0025387F"/>
    <w:rsid w:val="00255E6F"/>
    <w:rsid w:val="00255F11"/>
    <w:rsid w:val="0025799B"/>
    <w:rsid w:val="00260A99"/>
    <w:rsid w:val="002666F4"/>
    <w:rsid w:val="002705E8"/>
    <w:rsid w:val="00272F32"/>
    <w:rsid w:val="00275D83"/>
    <w:rsid w:val="00276946"/>
    <w:rsid w:val="00280213"/>
    <w:rsid w:val="002813A7"/>
    <w:rsid w:val="002815AC"/>
    <w:rsid w:val="0028323F"/>
    <w:rsid w:val="002837E8"/>
    <w:rsid w:val="00284702"/>
    <w:rsid w:val="00284786"/>
    <w:rsid w:val="00287EB2"/>
    <w:rsid w:val="00292F53"/>
    <w:rsid w:val="00293F1A"/>
    <w:rsid w:val="00296100"/>
    <w:rsid w:val="00297824"/>
    <w:rsid w:val="002A2099"/>
    <w:rsid w:val="002A4E8D"/>
    <w:rsid w:val="002A59D9"/>
    <w:rsid w:val="002A5FA2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63E0"/>
    <w:rsid w:val="002D7694"/>
    <w:rsid w:val="002D76E0"/>
    <w:rsid w:val="002E0DAB"/>
    <w:rsid w:val="002E182B"/>
    <w:rsid w:val="002E4306"/>
    <w:rsid w:val="002F1137"/>
    <w:rsid w:val="002F1666"/>
    <w:rsid w:val="002F23D1"/>
    <w:rsid w:val="002F2B58"/>
    <w:rsid w:val="002F56B6"/>
    <w:rsid w:val="002F70DB"/>
    <w:rsid w:val="00300FDE"/>
    <w:rsid w:val="00304BC8"/>
    <w:rsid w:val="00306D88"/>
    <w:rsid w:val="00317538"/>
    <w:rsid w:val="00320449"/>
    <w:rsid w:val="00325971"/>
    <w:rsid w:val="00326A22"/>
    <w:rsid w:val="00327AF6"/>
    <w:rsid w:val="00327D55"/>
    <w:rsid w:val="00327D6B"/>
    <w:rsid w:val="00330B57"/>
    <w:rsid w:val="0033532B"/>
    <w:rsid w:val="0033740A"/>
    <w:rsid w:val="00341741"/>
    <w:rsid w:val="00343D23"/>
    <w:rsid w:val="00345D05"/>
    <w:rsid w:val="0034652C"/>
    <w:rsid w:val="00346553"/>
    <w:rsid w:val="003515F5"/>
    <w:rsid w:val="003522D4"/>
    <w:rsid w:val="00352733"/>
    <w:rsid w:val="00352A02"/>
    <w:rsid w:val="00355D9B"/>
    <w:rsid w:val="00355ED3"/>
    <w:rsid w:val="003573F0"/>
    <w:rsid w:val="003624F9"/>
    <w:rsid w:val="00363CCA"/>
    <w:rsid w:val="0037366F"/>
    <w:rsid w:val="00375555"/>
    <w:rsid w:val="00376334"/>
    <w:rsid w:val="00376B13"/>
    <w:rsid w:val="00384F8E"/>
    <w:rsid w:val="00387426"/>
    <w:rsid w:val="003925EF"/>
    <w:rsid w:val="003944F4"/>
    <w:rsid w:val="0039540D"/>
    <w:rsid w:val="003A0175"/>
    <w:rsid w:val="003B2962"/>
    <w:rsid w:val="003B4B8E"/>
    <w:rsid w:val="003B7ED5"/>
    <w:rsid w:val="003C28C9"/>
    <w:rsid w:val="003C3A9A"/>
    <w:rsid w:val="003C545F"/>
    <w:rsid w:val="003C6EB4"/>
    <w:rsid w:val="003C74AD"/>
    <w:rsid w:val="003D1749"/>
    <w:rsid w:val="003D2181"/>
    <w:rsid w:val="003D3898"/>
    <w:rsid w:val="003D530D"/>
    <w:rsid w:val="003D5C6D"/>
    <w:rsid w:val="003E228A"/>
    <w:rsid w:val="003E318E"/>
    <w:rsid w:val="003E62A0"/>
    <w:rsid w:val="003F24A4"/>
    <w:rsid w:val="003F4964"/>
    <w:rsid w:val="003F5E91"/>
    <w:rsid w:val="003F66ED"/>
    <w:rsid w:val="003F7AAD"/>
    <w:rsid w:val="00400B49"/>
    <w:rsid w:val="00400D65"/>
    <w:rsid w:val="00406927"/>
    <w:rsid w:val="00410301"/>
    <w:rsid w:val="00410F0D"/>
    <w:rsid w:val="00411F56"/>
    <w:rsid w:val="00412031"/>
    <w:rsid w:val="0041302D"/>
    <w:rsid w:val="00416026"/>
    <w:rsid w:val="004173E1"/>
    <w:rsid w:val="00417C1C"/>
    <w:rsid w:val="004207EF"/>
    <w:rsid w:val="00420C20"/>
    <w:rsid w:val="00420CC8"/>
    <w:rsid w:val="004214E3"/>
    <w:rsid w:val="00423ED3"/>
    <w:rsid w:val="004249BE"/>
    <w:rsid w:val="00425C3A"/>
    <w:rsid w:val="00427B58"/>
    <w:rsid w:val="00435198"/>
    <w:rsid w:val="004374D6"/>
    <w:rsid w:val="00437BB8"/>
    <w:rsid w:val="00441414"/>
    <w:rsid w:val="004421F3"/>
    <w:rsid w:val="0044462E"/>
    <w:rsid w:val="00445255"/>
    <w:rsid w:val="00452AC6"/>
    <w:rsid w:val="004534C0"/>
    <w:rsid w:val="004549CB"/>
    <w:rsid w:val="00455B93"/>
    <w:rsid w:val="00455F70"/>
    <w:rsid w:val="00456FB9"/>
    <w:rsid w:val="00460478"/>
    <w:rsid w:val="0046399E"/>
    <w:rsid w:val="004640C3"/>
    <w:rsid w:val="004642D0"/>
    <w:rsid w:val="00467C46"/>
    <w:rsid w:val="004703BD"/>
    <w:rsid w:val="0047278C"/>
    <w:rsid w:val="00476735"/>
    <w:rsid w:val="00476F10"/>
    <w:rsid w:val="004805BB"/>
    <w:rsid w:val="00480CC3"/>
    <w:rsid w:val="00487CA2"/>
    <w:rsid w:val="00487DFA"/>
    <w:rsid w:val="00490381"/>
    <w:rsid w:val="00493007"/>
    <w:rsid w:val="00494318"/>
    <w:rsid w:val="00494885"/>
    <w:rsid w:val="0049718B"/>
    <w:rsid w:val="004A0133"/>
    <w:rsid w:val="004A3CDC"/>
    <w:rsid w:val="004A574D"/>
    <w:rsid w:val="004A6E52"/>
    <w:rsid w:val="004A7DB9"/>
    <w:rsid w:val="004B2FB3"/>
    <w:rsid w:val="004B3D68"/>
    <w:rsid w:val="004C04A5"/>
    <w:rsid w:val="004C12A9"/>
    <w:rsid w:val="004C3081"/>
    <w:rsid w:val="004C3A9A"/>
    <w:rsid w:val="004C41A8"/>
    <w:rsid w:val="004C50A7"/>
    <w:rsid w:val="004C60DC"/>
    <w:rsid w:val="004D26DF"/>
    <w:rsid w:val="004D3220"/>
    <w:rsid w:val="004D3455"/>
    <w:rsid w:val="004D5A05"/>
    <w:rsid w:val="004D6BE7"/>
    <w:rsid w:val="004E1A67"/>
    <w:rsid w:val="004E1AC9"/>
    <w:rsid w:val="004E7D1A"/>
    <w:rsid w:val="004F173B"/>
    <w:rsid w:val="004F2759"/>
    <w:rsid w:val="004F29CC"/>
    <w:rsid w:val="004F61AA"/>
    <w:rsid w:val="00500FEB"/>
    <w:rsid w:val="0050196C"/>
    <w:rsid w:val="00502A03"/>
    <w:rsid w:val="00503976"/>
    <w:rsid w:val="005052B2"/>
    <w:rsid w:val="005127EB"/>
    <w:rsid w:val="00515700"/>
    <w:rsid w:val="005165ED"/>
    <w:rsid w:val="00521CAE"/>
    <w:rsid w:val="00523087"/>
    <w:rsid w:val="0052545F"/>
    <w:rsid w:val="00526F9F"/>
    <w:rsid w:val="00533A28"/>
    <w:rsid w:val="0053442B"/>
    <w:rsid w:val="00534555"/>
    <w:rsid w:val="005356F3"/>
    <w:rsid w:val="00535B99"/>
    <w:rsid w:val="005378EA"/>
    <w:rsid w:val="00541FCE"/>
    <w:rsid w:val="0054575E"/>
    <w:rsid w:val="00546091"/>
    <w:rsid w:val="0054649D"/>
    <w:rsid w:val="00547577"/>
    <w:rsid w:val="005531F6"/>
    <w:rsid w:val="00557FAC"/>
    <w:rsid w:val="00563171"/>
    <w:rsid w:val="00565896"/>
    <w:rsid w:val="00565B01"/>
    <w:rsid w:val="005721B6"/>
    <w:rsid w:val="00572631"/>
    <w:rsid w:val="00573CE1"/>
    <w:rsid w:val="00582B47"/>
    <w:rsid w:val="00584F34"/>
    <w:rsid w:val="005850C4"/>
    <w:rsid w:val="005879F9"/>
    <w:rsid w:val="0059284C"/>
    <w:rsid w:val="00595C29"/>
    <w:rsid w:val="00596FA8"/>
    <w:rsid w:val="005A3752"/>
    <w:rsid w:val="005A4C86"/>
    <w:rsid w:val="005A69DC"/>
    <w:rsid w:val="005A7071"/>
    <w:rsid w:val="005A7290"/>
    <w:rsid w:val="005B1421"/>
    <w:rsid w:val="005B1EBE"/>
    <w:rsid w:val="005B6533"/>
    <w:rsid w:val="005B67AE"/>
    <w:rsid w:val="005C08B9"/>
    <w:rsid w:val="005C092C"/>
    <w:rsid w:val="005C5D3F"/>
    <w:rsid w:val="005C61A0"/>
    <w:rsid w:val="005D08B3"/>
    <w:rsid w:val="005D2F9E"/>
    <w:rsid w:val="005D38E6"/>
    <w:rsid w:val="005D47EC"/>
    <w:rsid w:val="005E01E0"/>
    <w:rsid w:val="005E053F"/>
    <w:rsid w:val="005E3CCE"/>
    <w:rsid w:val="005E4864"/>
    <w:rsid w:val="005E6366"/>
    <w:rsid w:val="005E6613"/>
    <w:rsid w:val="005E6C0B"/>
    <w:rsid w:val="005F0188"/>
    <w:rsid w:val="005F5D57"/>
    <w:rsid w:val="005F6212"/>
    <w:rsid w:val="005F7090"/>
    <w:rsid w:val="005F7A93"/>
    <w:rsid w:val="00602DF1"/>
    <w:rsid w:val="006047A4"/>
    <w:rsid w:val="00604DAE"/>
    <w:rsid w:val="00604DED"/>
    <w:rsid w:val="006074AF"/>
    <w:rsid w:val="00612F59"/>
    <w:rsid w:val="00615B1C"/>
    <w:rsid w:val="0062113D"/>
    <w:rsid w:val="00622F59"/>
    <w:rsid w:val="00631EE7"/>
    <w:rsid w:val="00632682"/>
    <w:rsid w:val="006344FF"/>
    <w:rsid w:val="006347C6"/>
    <w:rsid w:val="00635C78"/>
    <w:rsid w:val="00637EFB"/>
    <w:rsid w:val="0064233C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6B65"/>
    <w:rsid w:val="006602C7"/>
    <w:rsid w:val="00661625"/>
    <w:rsid w:val="00664F08"/>
    <w:rsid w:val="00667513"/>
    <w:rsid w:val="00672099"/>
    <w:rsid w:val="00674F78"/>
    <w:rsid w:val="00676036"/>
    <w:rsid w:val="00685D5B"/>
    <w:rsid w:val="006876EB"/>
    <w:rsid w:val="00690ACD"/>
    <w:rsid w:val="00691E9D"/>
    <w:rsid w:val="006A109D"/>
    <w:rsid w:val="006A3B33"/>
    <w:rsid w:val="006B1DD6"/>
    <w:rsid w:val="006B2769"/>
    <w:rsid w:val="006B6C0F"/>
    <w:rsid w:val="006C0A61"/>
    <w:rsid w:val="006C22E4"/>
    <w:rsid w:val="006C3FBD"/>
    <w:rsid w:val="006C458D"/>
    <w:rsid w:val="006C61CF"/>
    <w:rsid w:val="006D0D40"/>
    <w:rsid w:val="006D127C"/>
    <w:rsid w:val="006D28FA"/>
    <w:rsid w:val="006D4E98"/>
    <w:rsid w:val="006D696D"/>
    <w:rsid w:val="006E02A4"/>
    <w:rsid w:val="006E2575"/>
    <w:rsid w:val="006E4594"/>
    <w:rsid w:val="006E488E"/>
    <w:rsid w:val="006E5D20"/>
    <w:rsid w:val="006F20F9"/>
    <w:rsid w:val="006F24CB"/>
    <w:rsid w:val="006F2C85"/>
    <w:rsid w:val="006F6445"/>
    <w:rsid w:val="007006C3"/>
    <w:rsid w:val="00701E62"/>
    <w:rsid w:val="00706AE0"/>
    <w:rsid w:val="00711A1B"/>
    <w:rsid w:val="00712DE3"/>
    <w:rsid w:val="00714DD1"/>
    <w:rsid w:val="00715CD4"/>
    <w:rsid w:val="00716462"/>
    <w:rsid w:val="00716D6F"/>
    <w:rsid w:val="00716E9B"/>
    <w:rsid w:val="00717187"/>
    <w:rsid w:val="007202C9"/>
    <w:rsid w:val="00723A22"/>
    <w:rsid w:val="0072497B"/>
    <w:rsid w:val="0072783E"/>
    <w:rsid w:val="00732E2F"/>
    <w:rsid w:val="0073695C"/>
    <w:rsid w:val="00742B69"/>
    <w:rsid w:val="00743648"/>
    <w:rsid w:val="0074492B"/>
    <w:rsid w:val="007456CB"/>
    <w:rsid w:val="007476C5"/>
    <w:rsid w:val="00753608"/>
    <w:rsid w:val="0075480B"/>
    <w:rsid w:val="00755114"/>
    <w:rsid w:val="00757AB3"/>
    <w:rsid w:val="00757E7A"/>
    <w:rsid w:val="0076048C"/>
    <w:rsid w:val="007606A9"/>
    <w:rsid w:val="007607AB"/>
    <w:rsid w:val="007620F2"/>
    <w:rsid w:val="007626CA"/>
    <w:rsid w:val="0076281B"/>
    <w:rsid w:val="0076336E"/>
    <w:rsid w:val="007762D0"/>
    <w:rsid w:val="00776ABD"/>
    <w:rsid w:val="00777568"/>
    <w:rsid w:val="00780B5E"/>
    <w:rsid w:val="00780B6B"/>
    <w:rsid w:val="00780CCA"/>
    <w:rsid w:val="007836E4"/>
    <w:rsid w:val="00787430"/>
    <w:rsid w:val="00787494"/>
    <w:rsid w:val="007934E9"/>
    <w:rsid w:val="00797683"/>
    <w:rsid w:val="007A21C2"/>
    <w:rsid w:val="007A2B7E"/>
    <w:rsid w:val="007A3025"/>
    <w:rsid w:val="007A5918"/>
    <w:rsid w:val="007A5CE7"/>
    <w:rsid w:val="007A5FC9"/>
    <w:rsid w:val="007A70DF"/>
    <w:rsid w:val="007B16AC"/>
    <w:rsid w:val="007B2B63"/>
    <w:rsid w:val="007B2D95"/>
    <w:rsid w:val="007B3BB0"/>
    <w:rsid w:val="007C2BCE"/>
    <w:rsid w:val="007C3065"/>
    <w:rsid w:val="007C48EB"/>
    <w:rsid w:val="007C62A1"/>
    <w:rsid w:val="007D0C94"/>
    <w:rsid w:val="007D1284"/>
    <w:rsid w:val="007D21EE"/>
    <w:rsid w:val="007D7805"/>
    <w:rsid w:val="007E1F0A"/>
    <w:rsid w:val="007E2BA6"/>
    <w:rsid w:val="007E2C64"/>
    <w:rsid w:val="007E6483"/>
    <w:rsid w:val="007F17A9"/>
    <w:rsid w:val="007F276F"/>
    <w:rsid w:val="007F3F63"/>
    <w:rsid w:val="007F6282"/>
    <w:rsid w:val="008006DB"/>
    <w:rsid w:val="00801134"/>
    <w:rsid w:val="00802724"/>
    <w:rsid w:val="00805F05"/>
    <w:rsid w:val="0080704D"/>
    <w:rsid w:val="00807B71"/>
    <w:rsid w:val="00811725"/>
    <w:rsid w:val="00811C30"/>
    <w:rsid w:val="00812008"/>
    <w:rsid w:val="00812DAD"/>
    <w:rsid w:val="00813DA2"/>
    <w:rsid w:val="00813FAA"/>
    <w:rsid w:val="008141B0"/>
    <w:rsid w:val="00815132"/>
    <w:rsid w:val="00816B69"/>
    <w:rsid w:val="008210D7"/>
    <w:rsid w:val="00822659"/>
    <w:rsid w:val="0082682D"/>
    <w:rsid w:val="0083016D"/>
    <w:rsid w:val="00834413"/>
    <w:rsid w:val="00835264"/>
    <w:rsid w:val="008376AC"/>
    <w:rsid w:val="0084002B"/>
    <w:rsid w:val="00840E9B"/>
    <w:rsid w:val="0084133F"/>
    <w:rsid w:val="0084753A"/>
    <w:rsid w:val="008505F6"/>
    <w:rsid w:val="00851073"/>
    <w:rsid w:val="008515EF"/>
    <w:rsid w:val="00852832"/>
    <w:rsid w:val="00852CA1"/>
    <w:rsid w:val="00854B36"/>
    <w:rsid w:val="00855916"/>
    <w:rsid w:val="00856676"/>
    <w:rsid w:val="008613A9"/>
    <w:rsid w:val="00861F12"/>
    <w:rsid w:val="00862990"/>
    <w:rsid w:val="00863411"/>
    <w:rsid w:val="00873715"/>
    <w:rsid w:val="00873E22"/>
    <w:rsid w:val="00873FF0"/>
    <w:rsid w:val="00877452"/>
    <w:rsid w:val="008822E7"/>
    <w:rsid w:val="00882A5C"/>
    <w:rsid w:val="0088398F"/>
    <w:rsid w:val="00885C9E"/>
    <w:rsid w:val="00886215"/>
    <w:rsid w:val="00886B2E"/>
    <w:rsid w:val="00891E62"/>
    <w:rsid w:val="008924D5"/>
    <w:rsid w:val="00893D88"/>
    <w:rsid w:val="00893E02"/>
    <w:rsid w:val="008957D2"/>
    <w:rsid w:val="008A3176"/>
    <w:rsid w:val="008A55F7"/>
    <w:rsid w:val="008A5BA9"/>
    <w:rsid w:val="008A6587"/>
    <w:rsid w:val="008A7176"/>
    <w:rsid w:val="008A7D9C"/>
    <w:rsid w:val="008B0811"/>
    <w:rsid w:val="008B1878"/>
    <w:rsid w:val="008B730D"/>
    <w:rsid w:val="008B791C"/>
    <w:rsid w:val="008D2367"/>
    <w:rsid w:val="008D297E"/>
    <w:rsid w:val="008D2AAD"/>
    <w:rsid w:val="008D4DF1"/>
    <w:rsid w:val="008E086F"/>
    <w:rsid w:val="008E5187"/>
    <w:rsid w:val="008E5D9E"/>
    <w:rsid w:val="008E6971"/>
    <w:rsid w:val="008E7910"/>
    <w:rsid w:val="008F0A5C"/>
    <w:rsid w:val="008F1612"/>
    <w:rsid w:val="008F4115"/>
    <w:rsid w:val="008F50B0"/>
    <w:rsid w:val="008F675F"/>
    <w:rsid w:val="00900D84"/>
    <w:rsid w:val="00901A6B"/>
    <w:rsid w:val="00902148"/>
    <w:rsid w:val="0090383F"/>
    <w:rsid w:val="009049BC"/>
    <w:rsid w:val="00906C3E"/>
    <w:rsid w:val="00911CAF"/>
    <w:rsid w:val="00911D2E"/>
    <w:rsid w:val="0091396B"/>
    <w:rsid w:val="00913C78"/>
    <w:rsid w:val="00914A26"/>
    <w:rsid w:val="00917BA4"/>
    <w:rsid w:val="00921D60"/>
    <w:rsid w:val="00924455"/>
    <w:rsid w:val="009249AB"/>
    <w:rsid w:val="00925D82"/>
    <w:rsid w:val="00932B6D"/>
    <w:rsid w:val="0093426F"/>
    <w:rsid w:val="00934B08"/>
    <w:rsid w:val="00936453"/>
    <w:rsid w:val="009369B6"/>
    <w:rsid w:val="00937C23"/>
    <w:rsid w:val="00940309"/>
    <w:rsid w:val="009410D7"/>
    <w:rsid w:val="00941121"/>
    <w:rsid w:val="009435DE"/>
    <w:rsid w:val="00943DE0"/>
    <w:rsid w:val="00944EF6"/>
    <w:rsid w:val="00945A20"/>
    <w:rsid w:val="00945E9B"/>
    <w:rsid w:val="00946221"/>
    <w:rsid w:val="00947293"/>
    <w:rsid w:val="00947579"/>
    <w:rsid w:val="009475F0"/>
    <w:rsid w:val="00954287"/>
    <w:rsid w:val="00955E2A"/>
    <w:rsid w:val="0095608C"/>
    <w:rsid w:val="00956331"/>
    <w:rsid w:val="009614AC"/>
    <w:rsid w:val="00967957"/>
    <w:rsid w:val="00974EC8"/>
    <w:rsid w:val="00975612"/>
    <w:rsid w:val="00984DF6"/>
    <w:rsid w:val="00990E18"/>
    <w:rsid w:val="009956AF"/>
    <w:rsid w:val="009970D3"/>
    <w:rsid w:val="009A1612"/>
    <w:rsid w:val="009A33DB"/>
    <w:rsid w:val="009A479B"/>
    <w:rsid w:val="009A64A5"/>
    <w:rsid w:val="009B0507"/>
    <w:rsid w:val="009B1C75"/>
    <w:rsid w:val="009B2B03"/>
    <w:rsid w:val="009B314F"/>
    <w:rsid w:val="009B7B66"/>
    <w:rsid w:val="009C113E"/>
    <w:rsid w:val="009C6BF7"/>
    <w:rsid w:val="009D34A4"/>
    <w:rsid w:val="009D4A19"/>
    <w:rsid w:val="009D5834"/>
    <w:rsid w:val="009D66BF"/>
    <w:rsid w:val="009E0E19"/>
    <w:rsid w:val="009E1E52"/>
    <w:rsid w:val="009E35CB"/>
    <w:rsid w:val="009E6748"/>
    <w:rsid w:val="009F2B01"/>
    <w:rsid w:val="009F33CF"/>
    <w:rsid w:val="009F4108"/>
    <w:rsid w:val="009F60C7"/>
    <w:rsid w:val="009F7BF1"/>
    <w:rsid w:val="00A05149"/>
    <w:rsid w:val="00A05695"/>
    <w:rsid w:val="00A05DA4"/>
    <w:rsid w:val="00A061E7"/>
    <w:rsid w:val="00A07778"/>
    <w:rsid w:val="00A10324"/>
    <w:rsid w:val="00A125C6"/>
    <w:rsid w:val="00A148E1"/>
    <w:rsid w:val="00A16059"/>
    <w:rsid w:val="00A176D4"/>
    <w:rsid w:val="00A208E0"/>
    <w:rsid w:val="00A20C16"/>
    <w:rsid w:val="00A2329E"/>
    <w:rsid w:val="00A24080"/>
    <w:rsid w:val="00A245F6"/>
    <w:rsid w:val="00A245FA"/>
    <w:rsid w:val="00A26E17"/>
    <w:rsid w:val="00A3202F"/>
    <w:rsid w:val="00A32A97"/>
    <w:rsid w:val="00A33EF5"/>
    <w:rsid w:val="00A37A23"/>
    <w:rsid w:val="00A4164F"/>
    <w:rsid w:val="00A42648"/>
    <w:rsid w:val="00A42764"/>
    <w:rsid w:val="00A427AD"/>
    <w:rsid w:val="00A42FDA"/>
    <w:rsid w:val="00A43D16"/>
    <w:rsid w:val="00A44F25"/>
    <w:rsid w:val="00A4525F"/>
    <w:rsid w:val="00A4555F"/>
    <w:rsid w:val="00A45A8E"/>
    <w:rsid w:val="00A46BA1"/>
    <w:rsid w:val="00A5468C"/>
    <w:rsid w:val="00A54F2C"/>
    <w:rsid w:val="00A57EE9"/>
    <w:rsid w:val="00A60230"/>
    <w:rsid w:val="00A63180"/>
    <w:rsid w:val="00A651A2"/>
    <w:rsid w:val="00A6607A"/>
    <w:rsid w:val="00A67218"/>
    <w:rsid w:val="00A67B4E"/>
    <w:rsid w:val="00A73BBD"/>
    <w:rsid w:val="00A8160A"/>
    <w:rsid w:val="00A8226A"/>
    <w:rsid w:val="00A833AA"/>
    <w:rsid w:val="00A86612"/>
    <w:rsid w:val="00A8692E"/>
    <w:rsid w:val="00A94901"/>
    <w:rsid w:val="00A953E6"/>
    <w:rsid w:val="00AA1769"/>
    <w:rsid w:val="00AA1782"/>
    <w:rsid w:val="00AA2AD7"/>
    <w:rsid w:val="00AA2F2F"/>
    <w:rsid w:val="00AA3B9C"/>
    <w:rsid w:val="00AA7482"/>
    <w:rsid w:val="00AB0CE2"/>
    <w:rsid w:val="00AB3446"/>
    <w:rsid w:val="00AB35BB"/>
    <w:rsid w:val="00AB3B81"/>
    <w:rsid w:val="00AB6F51"/>
    <w:rsid w:val="00AB7A6D"/>
    <w:rsid w:val="00AC1D69"/>
    <w:rsid w:val="00AC2A51"/>
    <w:rsid w:val="00AC4710"/>
    <w:rsid w:val="00AC546F"/>
    <w:rsid w:val="00AC55D6"/>
    <w:rsid w:val="00AD3147"/>
    <w:rsid w:val="00AD4714"/>
    <w:rsid w:val="00AD510C"/>
    <w:rsid w:val="00AD7137"/>
    <w:rsid w:val="00AE0068"/>
    <w:rsid w:val="00AE3EA3"/>
    <w:rsid w:val="00AF3A29"/>
    <w:rsid w:val="00AF55DD"/>
    <w:rsid w:val="00AF71E2"/>
    <w:rsid w:val="00B01615"/>
    <w:rsid w:val="00B01C35"/>
    <w:rsid w:val="00B01F54"/>
    <w:rsid w:val="00B021EA"/>
    <w:rsid w:val="00B04792"/>
    <w:rsid w:val="00B050EF"/>
    <w:rsid w:val="00B11737"/>
    <w:rsid w:val="00B17140"/>
    <w:rsid w:val="00B23F66"/>
    <w:rsid w:val="00B241CC"/>
    <w:rsid w:val="00B24821"/>
    <w:rsid w:val="00B27A9C"/>
    <w:rsid w:val="00B336F1"/>
    <w:rsid w:val="00B3670B"/>
    <w:rsid w:val="00B41CDA"/>
    <w:rsid w:val="00B443D8"/>
    <w:rsid w:val="00B45431"/>
    <w:rsid w:val="00B45494"/>
    <w:rsid w:val="00B47F95"/>
    <w:rsid w:val="00B552B6"/>
    <w:rsid w:val="00B57331"/>
    <w:rsid w:val="00B635C6"/>
    <w:rsid w:val="00B639F9"/>
    <w:rsid w:val="00B65D9C"/>
    <w:rsid w:val="00B661A5"/>
    <w:rsid w:val="00B701A5"/>
    <w:rsid w:val="00B73CBB"/>
    <w:rsid w:val="00B74102"/>
    <w:rsid w:val="00B76857"/>
    <w:rsid w:val="00B812D1"/>
    <w:rsid w:val="00B82A08"/>
    <w:rsid w:val="00B82B20"/>
    <w:rsid w:val="00B82FEA"/>
    <w:rsid w:val="00B8711E"/>
    <w:rsid w:val="00B87D6B"/>
    <w:rsid w:val="00B92D75"/>
    <w:rsid w:val="00B95C5D"/>
    <w:rsid w:val="00B97121"/>
    <w:rsid w:val="00BA08BE"/>
    <w:rsid w:val="00BA095D"/>
    <w:rsid w:val="00BA3DDE"/>
    <w:rsid w:val="00BA5083"/>
    <w:rsid w:val="00BA798E"/>
    <w:rsid w:val="00BA7A01"/>
    <w:rsid w:val="00BA7AE5"/>
    <w:rsid w:val="00BB0200"/>
    <w:rsid w:val="00BB1A7D"/>
    <w:rsid w:val="00BB2E70"/>
    <w:rsid w:val="00BC045A"/>
    <w:rsid w:val="00BC1400"/>
    <w:rsid w:val="00BC29E2"/>
    <w:rsid w:val="00BC46EA"/>
    <w:rsid w:val="00BC7054"/>
    <w:rsid w:val="00BC7AAD"/>
    <w:rsid w:val="00BD12F3"/>
    <w:rsid w:val="00BD2441"/>
    <w:rsid w:val="00BD618E"/>
    <w:rsid w:val="00BD689A"/>
    <w:rsid w:val="00BE019F"/>
    <w:rsid w:val="00BE2807"/>
    <w:rsid w:val="00BE3064"/>
    <w:rsid w:val="00BE49CF"/>
    <w:rsid w:val="00BE4CBF"/>
    <w:rsid w:val="00BF0218"/>
    <w:rsid w:val="00BF22E3"/>
    <w:rsid w:val="00BF55EA"/>
    <w:rsid w:val="00BF656A"/>
    <w:rsid w:val="00BF7AD5"/>
    <w:rsid w:val="00C01B35"/>
    <w:rsid w:val="00C024D8"/>
    <w:rsid w:val="00C075E0"/>
    <w:rsid w:val="00C1065A"/>
    <w:rsid w:val="00C12018"/>
    <w:rsid w:val="00C15FCE"/>
    <w:rsid w:val="00C249E7"/>
    <w:rsid w:val="00C276DD"/>
    <w:rsid w:val="00C31A17"/>
    <w:rsid w:val="00C34525"/>
    <w:rsid w:val="00C3563E"/>
    <w:rsid w:val="00C41C75"/>
    <w:rsid w:val="00C44FA0"/>
    <w:rsid w:val="00C4623F"/>
    <w:rsid w:val="00C50340"/>
    <w:rsid w:val="00C552C3"/>
    <w:rsid w:val="00C55BF6"/>
    <w:rsid w:val="00C56E82"/>
    <w:rsid w:val="00C57B75"/>
    <w:rsid w:val="00C6226B"/>
    <w:rsid w:val="00C64990"/>
    <w:rsid w:val="00C71643"/>
    <w:rsid w:val="00C7252C"/>
    <w:rsid w:val="00C75F33"/>
    <w:rsid w:val="00C83CAC"/>
    <w:rsid w:val="00C90BDE"/>
    <w:rsid w:val="00C91496"/>
    <w:rsid w:val="00C9165C"/>
    <w:rsid w:val="00C93E25"/>
    <w:rsid w:val="00C95A2F"/>
    <w:rsid w:val="00C97145"/>
    <w:rsid w:val="00C977DF"/>
    <w:rsid w:val="00CA0393"/>
    <w:rsid w:val="00CA3BC7"/>
    <w:rsid w:val="00CA461A"/>
    <w:rsid w:val="00CA71BA"/>
    <w:rsid w:val="00CB5127"/>
    <w:rsid w:val="00CB71D2"/>
    <w:rsid w:val="00CB7EB6"/>
    <w:rsid w:val="00CC3BE0"/>
    <w:rsid w:val="00CC490A"/>
    <w:rsid w:val="00CC4F6E"/>
    <w:rsid w:val="00CC6930"/>
    <w:rsid w:val="00CC76C8"/>
    <w:rsid w:val="00CD019A"/>
    <w:rsid w:val="00CD173C"/>
    <w:rsid w:val="00CD2388"/>
    <w:rsid w:val="00CE0186"/>
    <w:rsid w:val="00CE02BB"/>
    <w:rsid w:val="00CE10AB"/>
    <w:rsid w:val="00CE1598"/>
    <w:rsid w:val="00CE6335"/>
    <w:rsid w:val="00CE71FC"/>
    <w:rsid w:val="00CF1F59"/>
    <w:rsid w:val="00CF475E"/>
    <w:rsid w:val="00CF4849"/>
    <w:rsid w:val="00CF77FD"/>
    <w:rsid w:val="00D021F1"/>
    <w:rsid w:val="00D06D81"/>
    <w:rsid w:val="00D10DBB"/>
    <w:rsid w:val="00D14A88"/>
    <w:rsid w:val="00D14FA1"/>
    <w:rsid w:val="00D152EE"/>
    <w:rsid w:val="00D17AA3"/>
    <w:rsid w:val="00D2064A"/>
    <w:rsid w:val="00D218D6"/>
    <w:rsid w:val="00D23C21"/>
    <w:rsid w:val="00D24EEE"/>
    <w:rsid w:val="00D31C5A"/>
    <w:rsid w:val="00D332DE"/>
    <w:rsid w:val="00D37F1A"/>
    <w:rsid w:val="00D40BC4"/>
    <w:rsid w:val="00D40DE5"/>
    <w:rsid w:val="00D41B85"/>
    <w:rsid w:val="00D43BCD"/>
    <w:rsid w:val="00D44392"/>
    <w:rsid w:val="00D50BC0"/>
    <w:rsid w:val="00D5109E"/>
    <w:rsid w:val="00D51B40"/>
    <w:rsid w:val="00D53A14"/>
    <w:rsid w:val="00D60482"/>
    <w:rsid w:val="00D648FE"/>
    <w:rsid w:val="00D67259"/>
    <w:rsid w:val="00D67E77"/>
    <w:rsid w:val="00D70181"/>
    <w:rsid w:val="00D7556D"/>
    <w:rsid w:val="00D75B91"/>
    <w:rsid w:val="00D76D04"/>
    <w:rsid w:val="00D77456"/>
    <w:rsid w:val="00D80343"/>
    <w:rsid w:val="00D81C78"/>
    <w:rsid w:val="00D8626A"/>
    <w:rsid w:val="00D8774A"/>
    <w:rsid w:val="00D90AB3"/>
    <w:rsid w:val="00D914F7"/>
    <w:rsid w:val="00D932BA"/>
    <w:rsid w:val="00D93C9B"/>
    <w:rsid w:val="00D94B97"/>
    <w:rsid w:val="00D96620"/>
    <w:rsid w:val="00DA1BAE"/>
    <w:rsid w:val="00DC0CA0"/>
    <w:rsid w:val="00DC3221"/>
    <w:rsid w:val="00DC4DE7"/>
    <w:rsid w:val="00DD0598"/>
    <w:rsid w:val="00DD24D5"/>
    <w:rsid w:val="00DD5296"/>
    <w:rsid w:val="00DE42BF"/>
    <w:rsid w:val="00DE6438"/>
    <w:rsid w:val="00DF1142"/>
    <w:rsid w:val="00DF26C3"/>
    <w:rsid w:val="00DF33AF"/>
    <w:rsid w:val="00DF4924"/>
    <w:rsid w:val="00DF4BC6"/>
    <w:rsid w:val="00DF7EF2"/>
    <w:rsid w:val="00E0214D"/>
    <w:rsid w:val="00E025AE"/>
    <w:rsid w:val="00E02ACD"/>
    <w:rsid w:val="00E04696"/>
    <w:rsid w:val="00E101A8"/>
    <w:rsid w:val="00E1162E"/>
    <w:rsid w:val="00E12171"/>
    <w:rsid w:val="00E15139"/>
    <w:rsid w:val="00E153B6"/>
    <w:rsid w:val="00E2044B"/>
    <w:rsid w:val="00E23B0B"/>
    <w:rsid w:val="00E23DCC"/>
    <w:rsid w:val="00E243CC"/>
    <w:rsid w:val="00E244E2"/>
    <w:rsid w:val="00E256CA"/>
    <w:rsid w:val="00E25F3D"/>
    <w:rsid w:val="00E3237B"/>
    <w:rsid w:val="00E33E7F"/>
    <w:rsid w:val="00E34B7A"/>
    <w:rsid w:val="00E35646"/>
    <w:rsid w:val="00E36F43"/>
    <w:rsid w:val="00E37F8D"/>
    <w:rsid w:val="00E405FE"/>
    <w:rsid w:val="00E414C1"/>
    <w:rsid w:val="00E4211E"/>
    <w:rsid w:val="00E4222C"/>
    <w:rsid w:val="00E423EB"/>
    <w:rsid w:val="00E4322D"/>
    <w:rsid w:val="00E45DC4"/>
    <w:rsid w:val="00E46C79"/>
    <w:rsid w:val="00E474D3"/>
    <w:rsid w:val="00E51040"/>
    <w:rsid w:val="00E519F2"/>
    <w:rsid w:val="00E51A21"/>
    <w:rsid w:val="00E51FB7"/>
    <w:rsid w:val="00E51FEC"/>
    <w:rsid w:val="00E52280"/>
    <w:rsid w:val="00E53E33"/>
    <w:rsid w:val="00E6154F"/>
    <w:rsid w:val="00E61AF4"/>
    <w:rsid w:val="00E666DF"/>
    <w:rsid w:val="00E67D81"/>
    <w:rsid w:val="00E74431"/>
    <w:rsid w:val="00E751C2"/>
    <w:rsid w:val="00E766DD"/>
    <w:rsid w:val="00E7721F"/>
    <w:rsid w:val="00E81093"/>
    <w:rsid w:val="00E81B54"/>
    <w:rsid w:val="00E83D64"/>
    <w:rsid w:val="00E861DE"/>
    <w:rsid w:val="00E910B5"/>
    <w:rsid w:val="00E92498"/>
    <w:rsid w:val="00E92D33"/>
    <w:rsid w:val="00E97258"/>
    <w:rsid w:val="00EA2F90"/>
    <w:rsid w:val="00EA4E3A"/>
    <w:rsid w:val="00EA5993"/>
    <w:rsid w:val="00EA6343"/>
    <w:rsid w:val="00EB3915"/>
    <w:rsid w:val="00EC3C73"/>
    <w:rsid w:val="00EC7463"/>
    <w:rsid w:val="00ED248D"/>
    <w:rsid w:val="00ED3D3F"/>
    <w:rsid w:val="00ED47E6"/>
    <w:rsid w:val="00ED5B41"/>
    <w:rsid w:val="00ED6961"/>
    <w:rsid w:val="00ED6D28"/>
    <w:rsid w:val="00ED7975"/>
    <w:rsid w:val="00ED7ACE"/>
    <w:rsid w:val="00EE00B7"/>
    <w:rsid w:val="00EE2B8E"/>
    <w:rsid w:val="00EE2C05"/>
    <w:rsid w:val="00EE3BD8"/>
    <w:rsid w:val="00EE4E87"/>
    <w:rsid w:val="00EE5682"/>
    <w:rsid w:val="00EF29A0"/>
    <w:rsid w:val="00EF42DB"/>
    <w:rsid w:val="00EF50D7"/>
    <w:rsid w:val="00EF6DF5"/>
    <w:rsid w:val="00F02F06"/>
    <w:rsid w:val="00F072AF"/>
    <w:rsid w:val="00F10001"/>
    <w:rsid w:val="00F1238A"/>
    <w:rsid w:val="00F16223"/>
    <w:rsid w:val="00F2509B"/>
    <w:rsid w:val="00F25F97"/>
    <w:rsid w:val="00F273A2"/>
    <w:rsid w:val="00F302CB"/>
    <w:rsid w:val="00F348D4"/>
    <w:rsid w:val="00F37E81"/>
    <w:rsid w:val="00F4306A"/>
    <w:rsid w:val="00F432D2"/>
    <w:rsid w:val="00F434A1"/>
    <w:rsid w:val="00F43895"/>
    <w:rsid w:val="00F544A5"/>
    <w:rsid w:val="00F60151"/>
    <w:rsid w:val="00F6381A"/>
    <w:rsid w:val="00F64791"/>
    <w:rsid w:val="00F66FD8"/>
    <w:rsid w:val="00F70C6F"/>
    <w:rsid w:val="00F71726"/>
    <w:rsid w:val="00F72378"/>
    <w:rsid w:val="00F768CD"/>
    <w:rsid w:val="00F769EE"/>
    <w:rsid w:val="00F8292E"/>
    <w:rsid w:val="00F839F8"/>
    <w:rsid w:val="00F84B69"/>
    <w:rsid w:val="00F8519A"/>
    <w:rsid w:val="00F8554D"/>
    <w:rsid w:val="00F8568B"/>
    <w:rsid w:val="00F86095"/>
    <w:rsid w:val="00F8697E"/>
    <w:rsid w:val="00F876F6"/>
    <w:rsid w:val="00F90BF9"/>
    <w:rsid w:val="00F94702"/>
    <w:rsid w:val="00F95A9B"/>
    <w:rsid w:val="00FA5125"/>
    <w:rsid w:val="00FB3E94"/>
    <w:rsid w:val="00FB5DBA"/>
    <w:rsid w:val="00FC236B"/>
    <w:rsid w:val="00FC4217"/>
    <w:rsid w:val="00FC5603"/>
    <w:rsid w:val="00FC7002"/>
    <w:rsid w:val="00FC7925"/>
    <w:rsid w:val="00FD2C21"/>
    <w:rsid w:val="00FD4603"/>
    <w:rsid w:val="00FD6645"/>
    <w:rsid w:val="00FE25D1"/>
    <w:rsid w:val="00FE3A84"/>
    <w:rsid w:val="00FE4674"/>
    <w:rsid w:val="00FE4936"/>
    <w:rsid w:val="00FE6830"/>
    <w:rsid w:val="00FE6E72"/>
    <w:rsid w:val="00FF02D1"/>
    <w:rsid w:val="00FF0454"/>
    <w:rsid w:val="00FF1316"/>
    <w:rsid w:val="00FF1617"/>
    <w:rsid w:val="00FF53EC"/>
    <w:rsid w:val="00FF6B22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67769-BD74-47EC-8EE1-0DE87A5F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fnomceo.it/elenco-dei-medici-caduti-nel-corso-dellepidemia-di-covid-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fficio.stampa@gimb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onavirus.gimb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8C9E-1801-4660-A3A0-048F4C3D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10</cp:revision>
  <dcterms:created xsi:type="dcterms:W3CDTF">2020-07-02T06:56:00Z</dcterms:created>
  <dcterms:modified xsi:type="dcterms:W3CDTF">2020-07-02T10:57:00Z</dcterms:modified>
</cp:coreProperties>
</file>