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3A89B" w14:textId="77777777" w:rsidR="00496547" w:rsidRDefault="00496547" w:rsidP="00496547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bCs/>
        </w:rPr>
        <w:tab/>
      </w: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78181CBE" w14:textId="6CE455F5" w:rsidR="00D03C3F" w:rsidRDefault="00CB48F4" w:rsidP="00D03C3F">
      <w:pPr>
        <w:pStyle w:val="Testocommento"/>
        <w:spacing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bookmarkStart w:id="0" w:name="_Hlk145938210"/>
      <w:r w:rsidRPr="00CB48F4">
        <w:rPr>
          <w:rFonts w:ascii="Calibri" w:eastAsia="Calibri" w:hAnsi="Calibri" w:cs="Times New Roman"/>
          <w:b/>
          <w:bCs/>
          <w:sz w:val="36"/>
          <w:szCs w:val="36"/>
        </w:rPr>
        <w:t xml:space="preserve">CORONAVIRUS: L’INFEZIONE CORRE DI NUOVO E </w:t>
      </w:r>
      <w:r w:rsidR="00A85B99">
        <w:rPr>
          <w:rFonts w:ascii="Calibri" w:eastAsia="Calibri" w:hAnsi="Calibri" w:cs="Times New Roman"/>
          <w:b/>
          <w:bCs/>
          <w:sz w:val="36"/>
          <w:szCs w:val="36"/>
        </w:rPr>
        <w:t>COLPISCE</w:t>
      </w:r>
      <w:r w:rsidRPr="00CB48F4">
        <w:rPr>
          <w:rFonts w:ascii="Calibri" w:eastAsia="Calibri" w:hAnsi="Calibri" w:cs="Times New Roman"/>
          <w:b/>
          <w:bCs/>
          <w:sz w:val="36"/>
          <w:szCs w:val="36"/>
        </w:rPr>
        <w:t xml:space="preserve"> FRAGILI E OVER 80. IN 4 SETTIMANE SALGONO I CONTAGI (DA 5.8</w:t>
      </w:r>
      <w:r w:rsidR="002F6D78">
        <w:rPr>
          <w:rFonts w:ascii="Calibri" w:eastAsia="Calibri" w:hAnsi="Calibri" w:cs="Times New Roman"/>
          <w:b/>
          <w:bCs/>
          <w:sz w:val="36"/>
          <w:szCs w:val="36"/>
        </w:rPr>
        <w:t>8</w:t>
      </w:r>
      <w:r w:rsidRPr="00CB48F4">
        <w:rPr>
          <w:rFonts w:ascii="Calibri" w:eastAsia="Calibri" w:hAnsi="Calibri" w:cs="Times New Roman"/>
          <w:b/>
          <w:bCs/>
          <w:sz w:val="36"/>
          <w:szCs w:val="36"/>
        </w:rPr>
        <w:t xml:space="preserve">9 A 30.777) E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I </w:t>
      </w:r>
      <w:r w:rsidRPr="00CB48F4">
        <w:rPr>
          <w:rFonts w:ascii="Calibri" w:eastAsia="Calibri" w:hAnsi="Calibri" w:cs="Times New Roman"/>
          <w:b/>
          <w:bCs/>
          <w:sz w:val="36"/>
          <w:szCs w:val="36"/>
        </w:rPr>
        <w:t xml:space="preserve">RICOVERI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IN AREA MEDICA SONO </w:t>
      </w:r>
      <w:r w:rsidRPr="00CB48F4">
        <w:rPr>
          <w:rFonts w:ascii="Calibri" w:eastAsia="Calibri" w:hAnsi="Calibri" w:cs="Times New Roman"/>
          <w:b/>
          <w:bCs/>
          <w:sz w:val="36"/>
          <w:szCs w:val="36"/>
        </w:rPr>
        <w:t>PIÙ CHE TRIPLICATI (DA 697 A 2.378).</w:t>
      </w:r>
      <w:r w:rsidR="00D03C3F"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D03C3F" w:rsidRPr="00D03C3F">
        <w:rPr>
          <w:rFonts w:ascii="Calibri" w:eastAsia="Calibri" w:hAnsi="Calibri" w:cs="Times New Roman"/>
          <w:b/>
          <w:bCs/>
          <w:sz w:val="36"/>
          <w:szCs w:val="36"/>
        </w:rPr>
        <w:t>NECESSARIO AVVIARE SUBITO LA CAMPAGNA VACCINALE PER PREVENIRE IL SOVRACCARICO DE</w:t>
      </w:r>
      <w:r w:rsidR="00D03C3F">
        <w:rPr>
          <w:rFonts w:ascii="Calibri" w:eastAsia="Calibri" w:hAnsi="Calibri" w:cs="Times New Roman"/>
          <w:b/>
          <w:bCs/>
          <w:sz w:val="36"/>
          <w:szCs w:val="36"/>
        </w:rPr>
        <w:t>LLE STRUTTURE SANITARIE</w:t>
      </w:r>
      <w:r w:rsidR="00D03C3F" w:rsidRPr="00D03C3F">
        <w:rPr>
          <w:rFonts w:ascii="Calibri" w:eastAsia="Calibri" w:hAnsi="Calibri" w:cs="Times New Roman"/>
          <w:b/>
          <w:bCs/>
          <w:sz w:val="36"/>
          <w:szCs w:val="36"/>
        </w:rPr>
        <w:t>.</w:t>
      </w:r>
      <w:r w:rsidR="00D03C3F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D03C3F"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D03C3F" w:rsidRPr="00D03C3F">
        <w:rPr>
          <w:rFonts w:ascii="Calibri" w:eastAsia="Calibri" w:hAnsi="Calibri" w:cs="Times New Roman"/>
          <w:b/>
          <w:bCs/>
          <w:sz w:val="36"/>
          <w:szCs w:val="36"/>
        </w:rPr>
        <w:t xml:space="preserve">IL VERO RISCHIO </w:t>
      </w:r>
      <w:r w:rsidR="00D03C3F">
        <w:rPr>
          <w:rFonts w:ascii="Calibri" w:eastAsia="Calibri" w:hAnsi="Calibri" w:cs="Times New Roman"/>
          <w:b/>
          <w:bCs/>
          <w:sz w:val="36"/>
          <w:szCs w:val="36"/>
        </w:rPr>
        <w:t xml:space="preserve">È </w:t>
      </w:r>
      <w:r w:rsidR="00D03C3F" w:rsidRPr="00D03C3F">
        <w:rPr>
          <w:rFonts w:ascii="Calibri" w:eastAsia="Calibri" w:hAnsi="Calibri" w:cs="Times New Roman"/>
          <w:b/>
          <w:bCs/>
          <w:sz w:val="36"/>
          <w:szCs w:val="36"/>
        </w:rPr>
        <w:t>LA TENUTA DEL</w:t>
      </w:r>
      <w:r w:rsidR="002569AC">
        <w:rPr>
          <w:rFonts w:ascii="Calibri" w:eastAsia="Calibri" w:hAnsi="Calibri" w:cs="Times New Roman"/>
          <w:b/>
          <w:bCs/>
          <w:sz w:val="36"/>
          <w:szCs w:val="36"/>
        </w:rPr>
        <w:t>LA</w:t>
      </w:r>
      <w:r w:rsidR="00D03C3F" w:rsidRPr="00D03C3F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2569AC">
        <w:rPr>
          <w:rFonts w:ascii="Calibri" w:eastAsia="Calibri" w:hAnsi="Calibri" w:cs="Times New Roman"/>
          <w:b/>
          <w:bCs/>
          <w:sz w:val="36"/>
          <w:szCs w:val="36"/>
        </w:rPr>
        <w:t>SANITÀ PUBBLICA</w:t>
      </w:r>
      <w:r w:rsidR="00D03C3F" w:rsidRPr="00D03C3F">
        <w:rPr>
          <w:rFonts w:ascii="Calibri" w:eastAsia="Calibri" w:hAnsi="Calibri" w:cs="Times New Roman"/>
          <w:b/>
          <w:bCs/>
          <w:sz w:val="36"/>
          <w:szCs w:val="36"/>
        </w:rPr>
        <w:t>, OGGI PROFONDAMENTE INDEBOLIT</w:t>
      </w:r>
      <w:r w:rsidR="002569AC">
        <w:rPr>
          <w:rFonts w:ascii="Calibri" w:eastAsia="Calibri" w:hAnsi="Calibri" w:cs="Times New Roman"/>
          <w:b/>
          <w:bCs/>
          <w:sz w:val="36"/>
          <w:szCs w:val="36"/>
        </w:rPr>
        <w:t>A</w:t>
      </w:r>
    </w:p>
    <w:bookmarkEnd w:id="0"/>
    <w:p w14:paraId="5013AE71" w14:textId="77777777" w:rsidR="00496547" w:rsidRPr="00496547" w:rsidRDefault="00496547" w:rsidP="0049654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496547">
        <w:rPr>
          <w:rFonts w:ascii="Calibri" w:eastAsia="Calibri" w:hAnsi="Calibri" w:cs="Times New Roman"/>
          <w:b/>
          <w:bCs/>
          <w:sz w:val="24"/>
          <w:szCs w:val="24"/>
        </w:rPr>
        <w:t xml:space="preserve">19 settembre 2023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1E1803FD" w14:textId="3684C0BA" w:rsidR="00915892" w:rsidRDefault="00F35ED4" w:rsidP="00B900CD">
      <w:pPr>
        <w:spacing w:after="120" w:line="276" w:lineRule="auto"/>
        <w:jc w:val="both"/>
      </w:pPr>
      <w:r w:rsidRPr="00DE1F46">
        <w:rPr>
          <w:bCs/>
        </w:rPr>
        <w:t>Dopo</w:t>
      </w:r>
      <w:r w:rsidR="002C4FCE" w:rsidRPr="00DE1F46">
        <w:rPr>
          <w:bCs/>
        </w:rPr>
        <w:t xml:space="preserve"> circa due mesi</w:t>
      </w:r>
      <w:r w:rsidRPr="00DE1F46">
        <w:rPr>
          <w:bCs/>
        </w:rPr>
        <w:t xml:space="preserve"> di sostanziale stabilità del numero dei nuovi casi settimanali </w:t>
      </w:r>
      <w:r w:rsidR="00E000CE" w:rsidRPr="00613221">
        <w:t>–</w:t>
      </w:r>
      <w:r w:rsidR="000E04DA" w:rsidRPr="00DE1F46">
        <w:rPr>
          <w:bCs/>
        </w:rPr>
        <w:t xml:space="preserve"> </w:t>
      </w:r>
      <w:r w:rsidRPr="00DE1F46">
        <w:rPr>
          <w:bCs/>
        </w:rPr>
        <w:t xml:space="preserve">che tra metà giugno e metà agosto hanno oscillato tra </w:t>
      </w:r>
      <w:r w:rsidR="00A211EC" w:rsidRPr="00DE1F46">
        <w:rPr>
          <w:bCs/>
        </w:rPr>
        <w:t>3.446 (6-12 luglio)</w:t>
      </w:r>
      <w:r w:rsidRPr="00DE1F46">
        <w:rPr>
          <w:bCs/>
        </w:rPr>
        <w:t xml:space="preserve"> e </w:t>
      </w:r>
      <w:r w:rsidR="00A211EC" w:rsidRPr="00DE1F46">
        <w:rPr>
          <w:bCs/>
        </w:rPr>
        <w:t xml:space="preserve">6.188 (3-9 agosto) </w:t>
      </w:r>
      <w:r w:rsidR="00E000CE" w:rsidRPr="00613221">
        <w:t>–</w:t>
      </w:r>
      <w:r w:rsidR="000E04DA" w:rsidRPr="00DE1F46">
        <w:rPr>
          <w:bCs/>
        </w:rPr>
        <w:t xml:space="preserve"> </w:t>
      </w:r>
      <w:r w:rsidRPr="00DE1F46">
        <w:rPr>
          <w:bCs/>
        </w:rPr>
        <w:t xml:space="preserve">da 4 settimane consecutive si rileva una </w:t>
      </w:r>
      <w:r w:rsidR="000E04DA" w:rsidRPr="00DE1F46">
        <w:rPr>
          <w:bCs/>
        </w:rPr>
        <w:t xml:space="preserve">progressiva </w:t>
      </w:r>
      <w:r w:rsidRPr="00DE1F46">
        <w:rPr>
          <w:bCs/>
        </w:rPr>
        <w:t>ripresa della circolazione virale.</w:t>
      </w:r>
      <w:r w:rsidR="000E04DA" w:rsidRPr="00DE1F46">
        <w:rPr>
          <w:bCs/>
        </w:rPr>
        <w:t xml:space="preserve"> Infatti, dalla settimana 10-16 agosto a quella 7-13 settembre il numero dei </w:t>
      </w:r>
      <w:r w:rsidRPr="00DE1F46">
        <w:rPr>
          <w:bCs/>
        </w:rPr>
        <w:t xml:space="preserve">nuovi casi settimanali </w:t>
      </w:r>
      <w:r w:rsidR="000E04DA" w:rsidRPr="00DE1F46">
        <w:rPr>
          <w:bCs/>
        </w:rPr>
        <w:t>è</w:t>
      </w:r>
      <w:r w:rsidRPr="00DE1F46">
        <w:rPr>
          <w:bCs/>
        </w:rPr>
        <w:t xml:space="preserve"> </w:t>
      </w:r>
      <w:r w:rsidR="000E04DA" w:rsidRPr="00DE1F46">
        <w:rPr>
          <w:bCs/>
        </w:rPr>
        <w:t>aumentato</w:t>
      </w:r>
      <w:r w:rsidRPr="00DE1F46">
        <w:rPr>
          <w:bCs/>
        </w:rPr>
        <w:t xml:space="preserve"> da 5.889 a 30.777, </w:t>
      </w:r>
      <w:r w:rsidR="006A7383" w:rsidRPr="00DE1F46">
        <w:t>il tasso di positività dei tamponi dal 6,4% al 14,9</w:t>
      </w:r>
      <w:r w:rsidR="00A211EC" w:rsidRPr="00DE1F46">
        <w:t>%</w:t>
      </w:r>
      <w:r w:rsidR="006A7383" w:rsidRPr="00DE1F46">
        <w:t xml:space="preserve"> </w:t>
      </w:r>
      <w:r w:rsidR="006A7383" w:rsidRPr="00DE1F46">
        <w:rPr>
          <w:bCs/>
        </w:rPr>
        <w:t>(</w:t>
      </w:r>
      <w:r w:rsidR="006A7383" w:rsidRPr="00DE1F46">
        <w:rPr>
          <w:bCs/>
          <w:highlight w:val="yellow"/>
        </w:rPr>
        <w:t>figura</w:t>
      </w:r>
      <w:r w:rsidR="00915892">
        <w:rPr>
          <w:bCs/>
          <w:highlight w:val="yellow"/>
        </w:rPr>
        <w:t xml:space="preserve"> 1</w:t>
      </w:r>
      <w:r w:rsidR="006A7383" w:rsidRPr="00DE1F46">
        <w:rPr>
          <w:bCs/>
        </w:rPr>
        <w:t xml:space="preserve">), </w:t>
      </w:r>
      <w:r w:rsidR="000E04DA" w:rsidRPr="00DE1F46">
        <w:rPr>
          <w:bCs/>
        </w:rPr>
        <w:t xml:space="preserve">la </w:t>
      </w:r>
      <w:r w:rsidRPr="00DE1F46">
        <w:rPr>
          <w:bCs/>
        </w:rPr>
        <w:t xml:space="preserve">media mobile a 7 giorni </w:t>
      </w:r>
      <w:r w:rsidR="000E04DA" w:rsidRPr="00DE1F46">
        <w:rPr>
          <w:bCs/>
        </w:rPr>
        <w:t xml:space="preserve">da </w:t>
      </w:r>
      <w:r w:rsidR="00A211EC" w:rsidRPr="00DE1F46">
        <w:rPr>
          <w:bCs/>
        </w:rPr>
        <w:t>841</w:t>
      </w:r>
      <w:r w:rsidR="002C3B91">
        <w:rPr>
          <w:bCs/>
        </w:rPr>
        <w:t xml:space="preserve"> casi/die</w:t>
      </w:r>
      <w:r w:rsidR="000E04DA" w:rsidRPr="00DE1F46">
        <w:rPr>
          <w:bCs/>
        </w:rPr>
        <w:t xml:space="preserve"> </w:t>
      </w:r>
      <w:r w:rsidRPr="00DE1F46">
        <w:rPr>
          <w:bCs/>
        </w:rPr>
        <w:t xml:space="preserve">è </w:t>
      </w:r>
      <w:r w:rsidR="000E04DA" w:rsidRPr="00DE1F46">
        <w:rPr>
          <w:bCs/>
        </w:rPr>
        <w:t xml:space="preserve">salita </w:t>
      </w:r>
      <w:r>
        <w:rPr>
          <w:bCs/>
        </w:rPr>
        <w:t>a 4.</w:t>
      </w:r>
      <w:r w:rsidR="00DE1F46">
        <w:rPr>
          <w:bCs/>
        </w:rPr>
        <w:t>397</w:t>
      </w:r>
      <w:r>
        <w:rPr>
          <w:bCs/>
        </w:rPr>
        <w:t xml:space="preserve"> casi/die (</w:t>
      </w:r>
      <w:r w:rsidRPr="00F35ED4">
        <w:rPr>
          <w:bCs/>
          <w:highlight w:val="yellow"/>
        </w:rPr>
        <w:t xml:space="preserve">figura </w:t>
      </w:r>
      <w:r w:rsidR="00915892">
        <w:rPr>
          <w:bCs/>
          <w:highlight w:val="yellow"/>
        </w:rPr>
        <w:t>2</w:t>
      </w:r>
      <w:r>
        <w:rPr>
          <w:bCs/>
        </w:rPr>
        <w:t>)</w:t>
      </w:r>
      <w:r w:rsidR="006A7383">
        <w:rPr>
          <w:bCs/>
        </w:rPr>
        <w:t xml:space="preserve">, </w:t>
      </w:r>
      <w:r w:rsidR="000E04DA" w:rsidRPr="00EF7CA0">
        <w:rPr>
          <w:bCs/>
        </w:rPr>
        <w:t xml:space="preserve">l’incidenza da </w:t>
      </w:r>
      <w:r w:rsidR="00EF7CA0" w:rsidRPr="00EF7CA0">
        <w:rPr>
          <w:bCs/>
        </w:rPr>
        <w:t>6</w:t>
      </w:r>
      <w:r w:rsidR="002C3B91">
        <w:rPr>
          <w:bCs/>
        </w:rPr>
        <w:t xml:space="preserve"> casi </w:t>
      </w:r>
      <w:r w:rsidR="002C3B91" w:rsidRPr="00EF7CA0">
        <w:rPr>
          <w:bCs/>
        </w:rPr>
        <w:t>per 100 mila abitanti</w:t>
      </w:r>
      <w:r w:rsidR="000E04DA" w:rsidRPr="00EF7CA0">
        <w:rPr>
          <w:bCs/>
        </w:rPr>
        <w:t xml:space="preserve"> </w:t>
      </w:r>
      <w:r w:rsidR="00EF7CA0" w:rsidRPr="00EF7CA0">
        <w:rPr>
          <w:bCs/>
        </w:rPr>
        <w:t xml:space="preserve">(settimana 6-12 luglio) </w:t>
      </w:r>
      <w:r w:rsidR="00A87CBF" w:rsidRPr="00EF7CA0">
        <w:rPr>
          <w:bCs/>
        </w:rPr>
        <w:t>ha raggiunto 52 casi per 100 mila abitanti</w:t>
      </w:r>
      <w:r w:rsidR="00A87CBF">
        <w:rPr>
          <w:bCs/>
        </w:rPr>
        <w:t xml:space="preserve">. </w:t>
      </w:r>
      <w:r w:rsidRPr="00613221">
        <w:t>«</w:t>
      </w:r>
      <w:r>
        <w:t>Numeri</w:t>
      </w:r>
      <w:r w:rsidR="006A7383">
        <w:t xml:space="preserve"> </w:t>
      </w:r>
      <w:r w:rsidR="0016243C">
        <w:t xml:space="preserve">sì </w:t>
      </w:r>
      <w:r w:rsidR="000E04DA">
        <w:t xml:space="preserve">bassi </w:t>
      </w:r>
      <w:r w:rsidRPr="00613221">
        <w:t xml:space="preserve">– </w:t>
      </w:r>
      <w:r>
        <w:t xml:space="preserve">commenta </w:t>
      </w:r>
      <w:r w:rsidRPr="00613221">
        <w:t>Nino Cartabellotta, Presidente della Fondazione GIMBE –</w:t>
      </w:r>
      <w:r>
        <w:t xml:space="preserve"> </w:t>
      </w:r>
      <w:r w:rsidR="000E04DA">
        <w:t xml:space="preserve">ma </w:t>
      </w:r>
      <w:r w:rsidR="0016243C">
        <w:t xml:space="preserve">anche </w:t>
      </w:r>
      <w:r w:rsidR="000E04DA">
        <w:t xml:space="preserve">ampiamente sottostimati rispetto al </w:t>
      </w:r>
      <w:r>
        <w:t xml:space="preserve">reale impatto della circolazione virale </w:t>
      </w:r>
      <w:r w:rsidR="000E04DA">
        <w:t>perché il sistema di monitoraggio, in particolare dopo l</w:t>
      </w:r>
      <w:r w:rsidR="00F977D1">
        <w:t xml:space="preserve">’abrogazione </w:t>
      </w:r>
      <w:r w:rsidR="000E04DA">
        <w:t>dell’obbligo di isolamento per i soggetti positivi</w:t>
      </w:r>
      <w:r w:rsidR="00F977D1">
        <w:t xml:space="preserve"> con il </w:t>
      </w:r>
      <w:hyperlink r:id="rId8" w:history="1">
        <w:r w:rsidR="00F977D1" w:rsidRPr="006A7383">
          <w:rPr>
            <w:rStyle w:val="Collegamentoipertestuale"/>
          </w:rPr>
          <w:t>DL 105/2023</w:t>
        </w:r>
      </w:hyperlink>
      <w:r w:rsidR="000E04DA">
        <w:t xml:space="preserve">, </w:t>
      </w:r>
      <w:r w:rsidR="006A7383">
        <w:t>di fatto</w:t>
      </w:r>
      <w:r w:rsidR="0016243C">
        <w:t xml:space="preserve"> poggia</w:t>
      </w:r>
      <w:r w:rsidR="006A7383">
        <w:t xml:space="preserve"> in larga misura su </w:t>
      </w:r>
      <w:r w:rsidR="000E04DA">
        <w:t xml:space="preserve">base volontaria. Infatti, da un lato </w:t>
      </w:r>
      <w:r w:rsidR="0016243C">
        <w:t>la prescrizione di</w:t>
      </w:r>
      <w:r>
        <w:t xml:space="preserve"> tamponi nelle persone con sintomi respiratori</w:t>
      </w:r>
      <w:r w:rsidR="000E04DA">
        <w:t xml:space="preserve"> è ormai residuale (</w:t>
      </w:r>
      <w:r w:rsidR="002852AA">
        <w:rPr>
          <w:i/>
          <w:iCs/>
        </w:rPr>
        <w:t>undertesting</w:t>
      </w:r>
      <w:r w:rsidR="000E04DA" w:rsidRPr="002C4FCE">
        <w:rPr>
          <w:iCs/>
        </w:rPr>
        <w:t>)</w:t>
      </w:r>
      <w:r w:rsidR="002852AA">
        <w:t xml:space="preserve">, dall’altro con </w:t>
      </w:r>
      <w:r>
        <w:t xml:space="preserve">l’ampio uso dei </w:t>
      </w:r>
      <w:r w:rsidR="002C3B91">
        <w:t xml:space="preserve">test </w:t>
      </w:r>
      <w:r w:rsidR="000E04DA">
        <w:t xml:space="preserve">antigenici </w:t>
      </w:r>
      <w:r>
        <w:t>fai</w:t>
      </w:r>
      <w:r w:rsidR="000E04DA">
        <w:t>-</w:t>
      </w:r>
      <w:r>
        <w:t>d</w:t>
      </w:r>
      <w:r w:rsidR="000E04DA">
        <w:t>a-</w:t>
      </w:r>
      <w:r>
        <w:t>te</w:t>
      </w:r>
      <w:r w:rsidR="00B91BE4">
        <w:t xml:space="preserve"> </w:t>
      </w:r>
      <w:r>
        <w:t xml:space="preserve">la positività </w:t>
      </w:r>
      <w:r w:rsidR="000E04DA">
        <w:t xml:space="preserve">viene comunicata </w:t>
      </w:r>
      <w:r w:rsidR="002852AA">
        <w:t xml:space="preserve">solo occasionalmente </w:t>
      </w:r>
      <w:r w:rsidR="006A7383">
        <w:t xml:space="preserve">ai servizi epidemiologici </w:t>
      </w:r>
      <w:r w:rsidR="000E04DA">
        <w:t>(</w:t>
      </w:r>
      <w:r w:rsidR="000E04DA">
        <w:rPr>
          <w:i/>
          <w:iCs/>
        </w:rPr>
        <w:t>underreporting</w:t>
      </w:r>
      <w:r w:rsidR="000E04DA" w:rsidRPr="002C4FCE">
        <w:rPr>
          <w:iCs/>
        </w:rPr>
        <w:t>)</w:t>
      </w:r>
      <w:r w:rsidRPr="00613221">
        <w:t>»</w:t>
      </w:r>
      <w:r>
        <w:t>.</w:t>
      </w:r>
      <w:r w:rsidR="006D6626">
        <w:t xml:space="preserve"> </w:t>
      </w:r>
    </w:p>
    <w:p w14:paraId="1A5DB9B5" w14:textId="607C3FC6" w:rsidR="00C45978" w:rsidRDefault="00F35ED4" w:rsidP="00890C08">
      <w:pPr>
        <w:spacing w:after="120" w:line="276" w:lineRule="auto"/>
        <w:jc w:val="both"/>
      </w:pPr>
      <w:r>
        <w:t>Analizzando più in dettaglio</w:t>
      </w:r>
      <w:r w:rsidR="0016243C">
        <w:t>,</w:t>
      </w:r>
      <w:r>
        <w:t xml:space="preserve"> nelle ultime 4 settimane la circolazione virale </w:t>
      </w:r>
      <w:r w:rsidR="0016243C">
        <w:t xml:space="preserve">risulta </w:t>
      </w:r>
      <w:r>
        <w:t>aumentata in tutte le Regioni e Province autonome</w:t>
      </w:r>
      <w:r w:rsidR="00D24B14">
        <w:t xml:space="preserve">: </w:t>
      </w:r>
      <w:r w:rsidR="00A87CBF">
        <w:t xml:space="preserve">nella settimana 7-13 settembre l’incidenza dei nuovi casi </w:t>
      </w:r>
      <w:r w:rsidR="00D24B14">
        <w:t>per 100</w:t>
      </w:r>
      <w:r w:rsidR="0016243C">
        <w:t xml:space="preserve"> </w:t>
      </w:r>
      <w:r w:rsidR="00D24B14">
        <w:t>mila abitanti oscilla da</w:t>
      </w:r>
      <w:r w:rsidR="00D24B14" w:rsidRPr="00E12E96">
        <w:t xml:space="preserve">i </w:t>
      </w:r>
      <w:r w:rsidR="00E12E96" w:rsidRPr="00E12E96">
        <w:t>14</w:t>
      </w:r>
      <w:r w:rsidR="00D24B14" w:rsidRPr="00E12E96">
        <w:t xml:space="preserve"> </w:t>
      </w:r>
      <w:r w:rsidR="00E12E96" w:rsidRPr="00E12E96">
        <w:t xml:space="preserve">Basilicata </w:t>
      </w:r>
      <w:r w:rsidR="00D24B14">
        <w:t>agli 8</w:t>
      </w:r>
      <w:r w:rsidR="00E11E06">
        <w:t>3</w:t>
      </w:r>
      <w:r w:rsidR="00D24B14">
        <w:t xml:space="preserve"> del Veneto</w:t>
      </w:r>
      <w:r w:rsidR="00561206">
        <w:t xml:space="preserve"> (</w:t>
      </w:r>
      <w:r w:rsidR="00561206" w:rsidRPr="00561206">
        <w:rPr>
          <w:highlight w:val="yellow"/>
        </w:rPr>
        <w:t xml:space="preserve">tabella </w:t>
      </w:r>
      <w:r w:rsidR="00915892">
        <w:rPr>
          <w:highlight w:val="yellow"/>
        </w:rPr>
        <w:t>1</w:t>
      </w:r>
      <w:r w:rsidR="00561206">
        <w:t>)</w:t>
      </w:r>
      <w:r w:rsidR="00E12E96">
        <w:t xml:space="preserve"> (</w:t>
      </w:r>
      <w:r w:rsidR="0016243C">
        <w:t xml:space="preserve">non </w:t>
      </w:r>
      <w:r w:rsidR="0016243C" w:rsidRPr="00ED23E5">
        <w:t>considerando</w:t>
      </w:r>
      <w:r w:rsidR="00B1478E" w:rsidRPr="00ED23E5">
        <w:t xml:space="preserve"> il dato anomalo della</w:t>
      </w:r>
      <w:r w:rsidR="00E12E96" w:rsidRPr="00ED23E5">
        <w:t xml:space="preserve"> Sicilia, dove </w:t>
      </w:r>
      <w:r w:rsidR="00E12E96">
        <w:t>nelle ultime 3 settimane</w:t>
      </w:r>
      <w:r w:rsidR="003A07ED">
        <w:t xml:space="preserve"> viene riportata una incidenza di 3-4 casi per 100</w:t>
      </w:r>
      <w:r w:rsidR="0016243C">
        <w:t xml:space="preserve"> </w:t>
      </w:r>
      <w:r w:rsidR="003A07ED">
        <w:t>mila</w:t>
      </w:r>
      <w:r w:rsidR="0016243C">
        <w:t xml:space="preserve"> </w:t>
      </w:r>
      <w:r w:rsidR="00960E44">
        <w:t>ab</w:t>
      </w:r>
      <w:r w:rsidR="0016243C">
        <w:t>itanti</w:t>
      </w:r>
      <w:r w:rsidR="003A07ED">
        <w:t>)</w:t>
      </w:r>
      <w:r w:rsidR="00B1478E">
        <w:t>.</w:t>
      </w:r>
      <w:r w:rsidR="006A7383">
        <w:t xml:space="preserve"> Secondo l’ultimo </w:t>
      </w:r>
      <w:hyperlink r:id="rId9" w:history="1">
        <w:r w:rsidR="006A7383" w:rsidRPr="00F977D1">
          <w:rPr>
            <w:rStyle w:val="Collegamentoipertestuale"/>
          </w:rPr>
          <w:t>Aggiornamento nazionale dei dati della Sorveglianza Integrata COVID-19</w:t>
        </w:r>
      </w:hyperlink>
      <w:r w:rsidR="006A7383">
        <w:t xml:space="preserve"> dell’Istituto Superiore di Sanità, rispetto alla distribuzione per fasce di età</w:t>
      </w:r>
      <w:r w:rsidR="0016243C">
        <w:t>,</w:t>
      </w:r>
      <w:r w:rsidR="00F977D1">
        <w:t xml:space="preserve"> </w:t>
      </w:r>
      <w:r w:rsidR="00B1478E">
        <w:t xml:space="preserve">fatta eccezione per la fascia 0-9 anni </w:t>
      </w:r>
      <w:r w:rsidR="0016243C">
        <w:t xml:space="preserve">in cui si registrano </w:t>
      </w:r>
      <w:r w:rsidR="00B1478E">
        <w:t>22 casi per 100</w:t>
      </w:r>
      <w:r w:rsidR="0016243C">
        <w:t xml:space="preserve"> </w:t>
      </w:r>
      <w:r w:rsidR="00B1478E">
        <w:t>mila</w:t>
      </w:r>
      <w:r w:rsidR="0016243C">
        <w:t xml:space="preserve"> abitanti</w:t>
      </w:r>
      <w:r w:rsidR="008C6241">
        <w:t xml:space="preserve">, l’incidenza </w:t>
      </w:r>
      <w:r w:rsidR="00B1478E">
        <w:t>aumenta progressivamente con le decadi: da 10 casi per 100</w:t>
      </w:r>
      <w:r w:rsidR="0016243C">
        <w:t xml:space="preserve"> </w:t>
      </w:r>
      <w:r w:rsidR="00B1478E">
        <w:t>mila</w:t>
      </w:r>
      <w:r w:rsidR="0016243C">
        <w:t xml:space="preserve"> abitanti</w:t>
      </w:r>
      <w:r w:rsidR="00B1478E">
        <w:t xml:space="preserve"> nella fascia 10-19 </w:t>
      </w:r>
      <w:r w:rsidR="0016243C">
        <w:t xml:space="preserve">anni </w:t>
      </w:r>
      <w:r w:rsidR="00B1478E">
        <w:t>a 78 per 100</w:t>
      </w:r>
      <w:r w:rsidR="0016243C">
        <w:t xml:space="preserve"> </w:t>
      </w:r>
      <w:r w:rsidR="00B1478E">
        <w:t>mila</w:t>
      </w:r>
      <w:r w:rsidR="0016243C">
        <w:t xml:space="preserve"> abitanti</w:t>
      </w:r>
      <w:r w:rsidR="00B1478E">
        <w:t xml:space="preserve"> nella fascia 70-89</w:t>
      </w:r>
      <w:r w:rsidR="0016243C">
        <w:t xml:space="preserve"> anni, fino a</w:t>
      </w:r>
      <w:r w:rsidR="00B1478E">
        <w:t xml:space="preserve"> 83 </w:t>
      </w:r>
      <w:r w:rsidR="0016243C">
        <w:t xml:space="preserve">per 100 mila abitanti </w:t>
      </w:r>
      <w:r w:rsidR="00B1478E">
        <w:t>negli over</w:t>
      </w:r>
      <w:r w:rsidR="0016243C">
        <w:t xml:space="preserve"> </w:t>
      </w:r>
      <w:r w:rsidR="00B1478E">
        <w:t xml:space="preserve">90. </w:t>
      </w:r>
      <w:r w:rsidR="00B1478E" w:rsidRPr="00613221">
        <w:t>«</w:t>
      </w:r>
      <w:r w:rsidR="00B1478E">
        <w:t xml:space="preserve">Una distribuzione </w:t>
      </w:r>
      <w:r w:rsidR="00B1478E" w:rsidRPr="00613221">
        <w:t xml:space="preserve">– </w:t>
      </w:r>
      <w:r w:rsidR="00B1478E">
        <w:t xml:space="preserve">spiega il Presidente </w:t>
      </w:r>
      <w:r w:rsidR="00B1478E" w:rsidRPr="00613221">
        <w:t>–</w:t>
      </w:r>
      <w:r w:rsidR="00B1478E">
        <w:t xml:space="preserve"> che</w:t>
      </w:r>
      <w:r w:rsidR="00F977D1">
        <w:t xml:space="preserve"> </w:t>
      </w:r>
      <w:r w:rsidR="00B1478E">
        <w:t xml:space="preserve">riflette </w:t>
      </w:r>
      <w:r w:rsidR="00556B7E">
        <w:t>la</w:t>
      </w:r>
      <w:r w:rsidR="00B1478E">
        <w:t xml:space="preserve"> </w:t>
      </w:r>
      <w:r w:rsidR="00556B7E">
        <w:t xml:space="preserve">maggiore </w:t>
      </w:r>
      <w:r w:rsidR="00B1478E">
        <w:t xml:space="preserve">attitudine al testing </w:t>
      </w:r>
      <w:r w:rsidR="00556B7E">
        <w:t>con l’aumentare dell’età, conferma</w:t>
      </w:r>
      <w:r w:rsidR="00F977D1">
        <w:t>ndo</w:t>
      </w:r>
      <w:r w:rsidR="00556B7E">
        <w:t xml:space="preserve"> </w:t>
      </w:r>
      <w:r w:rsidR="005F5F55">
        <w:t xml:space="preserve">i fattori di </w:t>
      </w:r>
      <w:r w:rsidR="00556B7E">
        <w:t xml:space="preserve">sottostima della </w:t>
      </w:r>
      <w:r w:rsidR="00B1478E">
        <w:t>circolazione virale</w:t>
      </w:r>
      <w:r w:rsidR="00B1478E" w:rsidRPr="00613221">
        <w:t>»</w:t>
      </w:r>
      <w:r w:rsidR="00B1478E">
        <w:t>.</w:t>
      </w:r>
    </w:p>
    <w:p w14:paraId="18AA2275" w14:textId="77777777" w:rsidR="009F72D5" w:rsidRDefault="009F72D5" w:rsidP="00017635">
      <w:pPr>
        <w:jc w:val="both"/>
      </w:pPr>
      <w:r>
        <w:rPr>
          <w:b/>
          <w:bCs/>
        </w:rPr>
        <w:t xml:space="preserve">Varianti. </w:t>
      </w:r>
      <w:r>
        <w:t xml:space="preserve">Le varianti circolanti appartengono tutte alla “famiglia” Omicron. </w:t>
      </w:r>
      <w:r w:rsidRPr="005F5F55">
        <w:t>Nell’</w:t>
      </w:r>
      <w:hyperlink r:id="rId10" w:history="1">
        <w:r w:rsidRPr="005F5F55">
          <w:rPr>
            <w:rStyle w:val="Collegamentoipertestuale"/>
          </w:rPr>
          <w:t xml:space="preserve">ultimo report </w:t>
        </w:r>
        <w:r w:rsidRPr="005F5F55">
          <w:rPr>
            <w:rStyle w:val="Collegamentoipertestuale"/>
            <w:i/>
            <w:iCs/>
          </w:rPr>
          <w:t>dell’European Centre for Disease Prevention and Control</w:t>
        </w:r>
      </w:hyperlink>
      <w:r w:rsidRPr="005F5F55">
        <w:t xml:space="preserve"> (ECDC)</w:t>
      </w:r>
      <w:r>
        <w:t xml:space="preserve"> </w:t>
      </w:r>
      <w:r w:rsidR="005F5F55">
        <w:t>del</w:t>
      </w:r>
      <w:r>
        <w:t xml:space="preserve"> 7 settembre 2023 non vengono segnalate “varianti di preoccupazione”, ma solo “varianti di interesse”. </w:t>
      </w:r>
      <w:r>
        <w:rPr>
          <w:b/>
          <w:bCs/>
        </w:rPr>
        <w:t xml:space="preserve"> </w:t>
      </w:r>
      <w:r>
        <w:t xml:space="preserve">In Italia, </w:t>
      </w:r>
      <w:r w:rsidR="005F5F55" w:rsidRPr="005F5F55">
        <w:t>l’</w:t>
      </w:r>
      <w:hyperlink r:id="rId11" w:history="1">
        <w:r w:rsidR="005F5F55" w:rsidRPr="005F5F55">
          <w:rPr>
            <w:rStyle w:val="Collegamentoipertestuale"/>
          </w:rPr>
          <w:t>ultima indagine rapida</w:t>
        </w:r>
        <w:r w:rsidR="00F977D1" w:rsidRPr="005F5F55">
          <w:rPr>
            <w:rStyle w:val="Collegamentoipertestuale"/>
          </w:rPr>
          <w:t xml:space="preserve"> </w:t>
        </w:r>
        <w:r w:rsidRPr="005F5F55">
          <w:rPr>
            <w:rStyle w:val="Collegamentoipertestuale"/>
          </w:rPr>
          <w:t>dell’I</w:t>
        </w:r>
        <w:r w:rsidR="00F977D1" w:rsidRPr="005F5F55">
          <w:rPr>
            <w:rStyle w:val="Collegamentoipertestuale"/>
          </w:rPr>
          <w:t>SS</w:t>
        </w:r>
      </w:hyperlink>
      <w:r>
        <w:t xml:space="preserve">, effettuata su campioni notificati dal </w:t>
      </w:r>
      <w:r w:rsidRPr="0068780C">
        <w:t>21 al 27 agosto 2023</w:t>
      </w:r>
      <w:r w:rsidR="00F977D1">
        <w:t>,</w:t>
      </w:r>
      <w:r>
        <w:t xml:space="preserve"> riporta come prevalente (41,9%) la variante EG.5 (cd. </w:t>
      </w:r>
      <w:proofErr w:type="spellStart"/>
      <w:r>
        <w:t>Eris</w:t>
      </w:r>
      <w:proofErr w:type="spellEnd"/>
      <w:r>
        <w:t xml:space="preserve">), </w:t>
      </w:r>
      <w:r w:rsidR="00BE1E04">
        <w:t>in rapido</w:t>
      </w:r>
      <w:r w:rsidR="00F977D1">
        <w:t xml:space="preserve"> </w:t>
      </w:r>
      <w:r w:rsidR="00BE1E04">
        <w:t xml:space="preserve">aumento </w:t>
      </w:r>
      <w:r>
        <w:t xml:space="preserve">in Europa, Stati Uniti e Asia. </w:t>
      </w:r>
      <w:r w:rsidRPr="00613221">
        <w:t>«</w:t>
      </w:r>
      <w:r>
        <w:t xml:space="preserve">Le evidenze disponibili </w:t>
      </w:r>
      <w:r w:rsidRPr="00613221">
        <w:t xml:space="preserve">– </w:t>
      </w:r>
      <w:r>
        <w:t xml:space="preserve">spiega il Presidente </w:t>
      </w:r>
      <w:r w:rsidRPr="00613221">
        <w:t>–</w:t>
      </w:r>
      <w:r>
        <w:t xml:space="preserve"> </w:t>
      </w:r>
      <w:r w:rsidR="00BE1E04">
        <w:t xml:space="preserve">dimostrano </w:t>
      </w:r>
      <w:r>
        <w:t xml:space="preserve">che </w:t>
      </w:r>
      <w:proofErr w:type="spellStart"/>
      <w:r w:rsidR="00BE1E04">
        <w:t>Eris</w:t>
      </w:r>
      <w:proofErr w:type="spellEnd"/>
      <w:r w:rsidR="00BE1E04">
        <w:t xml:space="preserve"> </w:t>
      </w:r>
      <w:r>
        <w:t xml:space="preserve">ha una maggior capacità evasiva </w:t>
      </w:r>
      <w:r w:rsidR="002C4FCE">
        <w:t xml:space="preserve">alla risposta immunitaria, da </w:t>
      </w:r>
      <w:r>
        <w:t xml:space="preserve">vaccinazione o infezione naturale, </w:t>
      </w:r>
      <w:r w:rsidR="00BE1E04">
        <w:t xml:space="preserve">che </w:t>
      </w:r>
      <w:r w:rsidR="002C4FCE">
        <w:t xml:space="preserve">ne </w:t>
      </w:r>
      <w:r w:rsidR="00BE1E04">
        <w:lastRenderedPageBreak/>
        <w:t xml:space="preserve">favorisce </w:t>
      </w:r>
      <w:r w:rsidR="002C4FCE">
        <w:t xml:space="preserve">la </w:t>
      </w:r>
      <w:r>
        <w:t xml:space="preserve">rapida diffusione. </w:t>
      </w:r>
      <w:r w:rsidR="00BE1E04">
        <w:t xml:space="preserve">Sul </w:t>
      </w:r>
      <w:r>
        <w:t>maggior rischio di malattia grave</w:t>
      </w:r>
      <w:r w:rsidR="00BE1E04">
        <w:t xml:space="preserve"> di </w:t>
      </w:r>
      <w:proofErr w:type="spellStart"/>
      <w:r w:rsidR="002C4FCE">
        <w:t>Eris</w:t>
      </w:r>
      <w:proofErr w:type="spellEnd"/>
      <w:r w:rsidR="002C4FCE">
        <w:t xml:space="preserve"> </w:t>
      </w:r>
      <w:r w:rsidR="00BE1E04">
        <w:t>ad oggi non ci sono studi</w:t>
      </w:r>
      <w:r w:rsidRPr="00613221">
        <w:t>»</w:t>
      </w:r>
      <w:r>
        <w:t xml:space="preserve">. La prossima </w:t>
      </w:r>
      <w:r w:rsidR="00F977D1">
        <w:t xml:space="preserve">indagine rapida </w:t>
      </w:r>
      <w:r>
        <w:t xml:space="preserve">dell’ISS, secondo quanto indicato dalla </w:t>
      </w:r>
      <w:hyperlink r:id="rId12" w:history="1">
        <w:r w:rsidRPr="00FE652D">
          <w:rPr>
            <w:rStyle w:val="Collegamentoipertestuale"/>
          </w:rPr>
          <w:t>circolare del 15 settembre 2023</w:t>
        </w:r>
      </w:hyperlink>
      <w:r>
        <w:t xml:space="preserve">, sarà effettuata su campioni raccolti nella settimana 18-24 settembre. </w:t>
      </w:r>
    </w:p>
    <w:p w14:paraId="51F8A3D7" w14:textId="77777777" w:rsidR="009F72D5" w:rsidRPr="00F229E6" w:rsidRDefault="009F72D5" w:rsidP="00ED23E5">
      <w:pPr>
        <w:jc w:val="both"/>
        <w:rPr>
          <w:b/>
          <w:bCs/>
        </w:rPr>
      </w:pPr>
      <w:r w:rsidRPr="009F72D5">
        <w:rPr>
          <w:b/>
          <w:bCs/>
        </w:rPr>
        <w:t>Reinfezioni</w:t>
      </w:r>
      <w:r>
        <w:t xml:space="preserve">. </w:t>
      </w:r>
      <w:r w:rsidR="00ED23E5">
        <w:t>Secondo l’Istituto Superiore di Sanità, l</w:t>
      </w:r>
      <w:r w:rsidR="00F229E6" w:rsidRPr="00F229E6">
        <w:t xml:space="preserve">a percentuale di infezioni riportate in soggetti con almeno un’infezione pregressa (reinfezioni) è </w:t>
      </w:r>
      <w:r w:rsidR="00F229E6">
        <w:t xml:space="preserve">lievemente aumentata nelle ultime settimane, per poi stabilizzarsi </w:t>
      </w:r>
      <w:r w:rsidR="00F229E6" w:rsidRPr="00F229E6">
        <w:t>intorno al 39%.</w:t>
      </w:r>
    </w:p>
    <w:p w14:paraId="4AB257EE" w14:textId="77777777" w:rsidR="005B74E8" w:rsidRDefault="00F35ED4" w:rsidP="005B74E8">
      <w:pPr>
        <w:spacing w:after="120" w:line="276" w:lineRule="auto"/>
        <w:jc w:val="both"/>
      </w:pPr>
      <w:r w:rsidRPr="00A455C9">
        <w:rPr>
          <w:b/>
        </w:rPr>
        <w:t>Ospedalizzazioni.</w:t>
      </w:r>
      <w:r w:rsidRPr="00A455C9">
        <w:t xml:space="preserve"> </w:t>
      </w:r>
      <w:r w:rsidR="00B900CD">
        <w:t>In area medica, dopo aver raggiunto il minimo (</w:t>
      </w:r>
      <w:r w:rsidR="00017635" w:rsidRPr="00561206">
        <w:t>697</w:t>
      </w:r>
      <w:r w:rsidR="00B900CD" w:rsidRPr="00561206">
        <w:t xml:space="preserve">) il </w:t>
      </w:r>
      <w:r w:rsidR="00017635" w:rsidRPr="00561206">
        <w:t>16 luglio</w:t>
      </w:r>
      <w:r w:rsidR="00B900CD" w:rsidRPr="00561206">
        <w:t xml:space="preserve">, i posti letto occupati in area medica </w:t>
      </w:r>
      <w:r w:rsidR="005B74E8" w:rsidRPr="00561206">
        <w:t xml:space="preserve">sono </w:t>
      </w:r>
      <w:r w:rsidR="00017635" w:rsidRPr="00561206">
        <w:t xml:space="preserve">più che </w:t>
      </w:r>
      <w:r w:rsidR="005B74E8" w:rsidRPr="00561206">
        <w:t>triplicati (2.378), mentre in terapia intensiva dal minimo (</w:t>
      </w:r>
      <w:r w:rsidR="00017635" w:rsidRPr="00561206">
        <w:t>18</w:t>
      </w:r>
      <w:r w:rsidR="005B74E8" w:rsidRPr="00561206">
        <w:t xml:space="preserve">) del </w:t>
      </w:r>
      <w:r w:rsidR="00017635" w:rsidRPr="00561206">
        <w:t>21 luglio</w:t>
      </w:r>
      <w:r w:rsidR="005B74E8" w:rsidRPr="00561206">
        <w:t xml:space="preserve"> sono </w:t>
      </w:r>
      <w:r w:rsidR="005B74E8">
        <w:t>saliti a</w:t>
      </w:r>
      <w:r w:rsidR="002D1F98">
        <w:t xml:space="preserve"> quota</w:t>
      </w:r>
      <w:r w:rsidR="005B74E8">
        <w:t xml:space="preserve"> 76</w:t>
      </w:r>
      <w:r w:rsidR="001B063A">
        <w:t xml:space="preserve"> (</w:t>
      </w:r>
      <w:r w:rsidR="001B063A" w:rsidRPr="001B063A">
        <w:rPr>
          <w:highlight w:val="yellow"/>
        </w:rPr>
        <w:t xml:space="preserve">figura </w:t>
      </w:r>
      <w:r w:rsidR="00915892">
        <w:rPr>
          <w:highlight w:val="yellow"/>
        </w:rPr>
        <w:t>3</w:t>
      </w:r>
      <w:r w:rsidR="001B063A">
        <w:t>)</w:t>
      </w:r>
      <w:r w:rsidR="005B74E8">
        <w:t>. Rispettivamente i tassi</w:t>
      </w:r>
      <w:r w:rsidR="00017635">
        <w:t xml:space="preserve"> nazionali</w:t>
      </w:r>
      <w:r w:rsidR="005B74E8">
        <w:t xml:space="preserve"> di occupazione sono del 3,8% e dello 0,9%</w:t>
      </w:r>
      <w:r w:rsidR="00915892">
        <w:t xml:space="preserve"> (</w:t>
      </w:r>
      <w:r w:rsidR="00915892" w:rsidRPr="00915892">
        <w:rPr>
          <w:highlight w:val="yellow"/>
        </w:rPr>
        <w:t>tabella 1</w:t>
      </w:r>
      <w:r w:rsidR="00915892">
        <w:t>)</w:t>
      </w:r>
      <w:r w:rsidR="005B74E8">
        <w:t xml:space="preserve">. </w:t>
      </w:r>
      <w:r w:rsidR="005B74E8" w:rsidRPr="00613221">
        <w:t>«</w:t>
      </w:r>
      <w:r w:rsidR="005B74E8">
        <w:t xml:space="preserve">Se in terapia intensiva </w:t>
      </w:r>
      <w:r w:rsidR="005B74E8" w:rsidRPr="00613221">
        <w:t xml:space="preserve">– </w:t>
      </w:r>
      <w:r w:rsidR="005B74E8">
        <w:t xml:space="preserve">spiega il Presidente </w:t>
      </w:r>
      <w:r w:rsidR="005B74E8" w:rsidRPr="00613221">
        <w:t>–</w:t>
      </w:r>
      <w:r w:rsidR="005B74E8">
        <w:t xml:space="preserve"> i numeri sono veramente esigui dimostrando che </w:t>
      </w:r>
      <w:r w:rsidR="006A7383">
        <w:t xml:space="preserve">oggi </w:t>
      </w:r>
      <w:r w:rsidR="005B74E8">
        <w:t xml:space="preserve">l’infezione da Sars-CoV-2 solo raramente determina quadri severi, l’incremento dei posti letto occupati in area medica conferma </w:t>
      </w:r>
      <w:r w:rsidR="00AC7D6E">
        <w:t xml:space="preserve">che </w:t>
      </w:r>
      <w:r w:rsidR="005B74E8">
        <w:t xml:space="preserve">nelle persone anziane, fragili e con patologie multiple può aggravare </w:t>
      </w:r>
      <w:r w:rsidR="002D1F98">
        <w:t>lo</w:t>
      </w:r>
      <w:r w:rsidR="005B74E8">
        <w:t xml:space="preserve"> stato di salute richiedendo ospedalizzazione e/o peggiorando la prognosi delle malattie concomitanti</w:t>
      </w:r>
      <w:r w:rsidR="005B74E8" w:rsidRPr="00613221">
        <w:t>»</w:t>
      </w:r>
      <w:r w:rsidR="005B74E8">
        <w:t xml:space="preserve">. Infatti, </w:t>
      </w:r>
      <w:r w:rsidR="00E15DCB">
        <w:t xml:space="preserve">il tasso di ospedalizzazione in area medica cresce con l’aumentare dell’età: in particolare, passa da 17 per milione </w:t>
      </w:r>
      <w:r w:rsidR="002D1F98">
        <w:t xml:space="preserve">di abitanti </w:t>
      </w:r>
      <w:r w:rsidR="00E15DCB">
        <w:t xml:space="preserve">nella fascia 60-69 anni a 37 </w:t>
      </w:r>
      <w:r w:rsidR="00AC7D6E">
        <w:t>per milione</w:t>
      </w:r>
      <w:r w:rsidR="002C4FCE">
        <w:t xml:space="preserve"> di abitanti</w:t>
      </w:r>
      <w:r w:rsidR="00AC7D6E">
        <w:t xml:space="preserve"> </w:t>
      </w:r>
      <w:r w:rsidR="00E15DCB">
        <w:t xml:space="preserve">nella fascia 70-79 anni, a 97 </w:t>
      </w:r>
      <w:r w:rsidR="002D1F98">
        <w:t xml:space="preserve">per milione di abitanti </w:t>
      </w:r>
      <w:r w:rsidR="00E15DCB">
        <w:t xml:space="preserve">nella fascia 80-89 anni e a 145 </w:t>
      </w:r>
      <w:r w:rsidR="00A81D1D">
        <w:t xml:space="preserve">per milione di abitanti </w:t>
      </w:r>
      <w:r w:rsidR="00E15DCB">
        <w:t xml:space="preserve">negli over 90. </w:t>
      </w:r>
    </w:p>
    <w:p w14:paraId="36E423B9" w14:textId="77777777" w:rsidR="00F35ED4" w:rsidRDefault="00F35ED4" w:rsidP="00F35ED4">
      <w:pPr>
        <w:spacing w:line="276" w:lineRule="auto"/>
        <w:jc w:val="both"/>
      </w:pPr>
      <w:r w:rsidRPr="006C03EE">
        <w:rPr>
          <w:b/>
        </w:rPr>
        <w:t>Decessi.</w:t>
      </w:r>
      <w:r w:rsidRPr="006C03EE">
        <w:t xml:space="preserve"> </w:t>
      </w:r>
      <w:r w:rsidR="00AC7D6E">
        <w:t>S</w:t>
      </w:r>
      <w:r w:rsidR="002C4FCE">
        <w:t xml:space="preserve">ono </w:t>
      </w:r>
      <w:r w:rsidR="002D1F98">
        <w:t>più che raddoppiati</w:t>
      </w:r>
      <w:r w:rsidR="00E15DCB">
        <w:t xml:space="preserve"> nelle ultime 4 settimane: da 44 </w:t>
      </w:r>
      <w:r w:rsidR="00AC7D6E">
        <w:t xml:space="preserve">nella </w:t>
      </w:r>
      <w:r w:rsidR="00E15DCB">
        <w:t xml:space="preserve">settimana </w:t>
      </w:r>
      <w:r w:rsidR="00017635">
        <w:t>17-23</w:t>
      </w:r>
      <w:r w:rsidR="00E15DCB">
        <w:t xml:space="preserve"> agosto a 99 </w:t>
      </w:r>
      <w:r w:rsidR="00AC7D6E">
        <w:t xml:space="preserve">nella </w:t>
      </w:r>
      <w:r w:rsidR="00E15DCB">
        <w:t>settimana 7-13</w:t>
      </w:r>
      <w:r w:rsidR="00017635">
        <w:t xml:space="preserve"> settembre</w:t>
      </w:r>
      <w:r w:rsidR="00ED23E5">
        <w:t xml:space="preserve"> (</w:t>
      </w:r>
      <w:r w:rsidR="00ED23E5" w:rsidRPr="00ED23E5">
        <w:rPr>
          <w:highlight w:val="yellow"/>
        </w:rPr>
        <w:t>figura</w:t>
      </w:r>
      <w:r w:rsidR="00915892">
        <w:rPr>
          <w:highlight w:val="yellow"/>
        </w:rPr>
        <w:t xml:space="preserve"> 4</w:t>
      </w:r>
      <w:r w:rsidR="00ED23E5">
        <w:t>)</w:t>
      </w:r>
      <w:r w:rsidR="00E15DCB">
        <w:t xml:space="preserve">. </w:t>
      </w:r>
      <w:r w:rsidR="00ED23E5">
        <w:t>Secondo i dati dell’Istituto Superiore di Sanità, i</w:t>
      </w:r>
      <w:r w:rsidR="000628E0">
        <w:t xml:space="preserve"> decessi risultano quasi esclusivamente a carico </w:t>
      </w:r>
      <w:r w:rsidR="00AC7D6E">
        <w:t>d</w:t>
      </w:r>
      <w:r w:rsidR="002C4FCE">
        <w:t xml:space="preserve">egli </w:t>
      </w:r>
      <w:r w:rsidR="00ED23E5">
        <w:t>over 80</w:t>
      </w:r>
      <w:r w:rsidR="002D1F98">
        <w:t>,</w:t>
      </w:r>
      <w:r w:rsidR="00ED23E5">
        <w:t xml:space="preserve"> con 28 decessi per milione di abitanti su 31 decessi</w:t>
      </w:r>
      <w:r w:rsidR="002D1F98">
        <w:t xml:space="preserve"> per milione di abitanti</w:t>
      </w:r>
      <w:r w:rsidR="00ED23E5">
        <w:t xml:space="preserve"> in tutte le fasce di età.</w:t>
      </w:r>
    </w:p>
    <w:p w14:paraId="693B3703" w14:textId="77777777" w:rsidR="000628E0" w:rsidRDefault="00F229E6" w:rsidP="00017635">
      <w:pPr>
        <w:jc w:val="both"/>
      </w:pPr>
      <w:r>
        <w:rPr>
          <w:b/>
          <w:bCs/>
        </w:rPr>
        <w:t xml:space="preserve">Campagna </w:t>
      </w:r>
      <w:r w:rsidRPr="000628E0">
        <w:rPr>
          <w:b/>
          <w:bCs/>
        </w:rPr>
        <w:t>vaccina</w:t>
      </w:r>
      <w:r>
        <w:rPr>
          <w:b/>
          <w:bCs/>
        </w:rPr>
        <w:t>le</w:t>
      </w:r>
      <w:r w:rsidRPr="00F229E6">
        <w:t>.</w:t>
      </w:r>
      <w:r>
        <w:t xml:space="preserve"> I</w:t>
      </w:r>
      <w:r w:rsidR="000628E0">
        <w:t>l 1° settembre 2023 è stato interrotto l’aggiornamento della dashboard sulla campagna vaccinale. Di conseguenza, non è possibile riportare aggiornamenti periodici,</w:t>
      </w:r>
      <w:r w:rsidR="00A90659">
        <w:t xml:space="preserve"> ma solo rilevare </w:t>
      </w:r>
      <w:r w:rsidR="000628E0">
        <w:t xml:space="preserve">che di fatto la somministrazione dei vaccini </w:t>
      </w:r>
      <w:r w:rsidR="00A90659">
        <w:t xml:space="preserve">è </w:t>
      </w:r>
      <w:r w:rsidR="000628E0">
        <w:t xml:space="preserve">sostanzialmente </w:t>
      </w:r>
      <w:r w:rsidR="00A90659">
        <w:t>residuale</w:t>
      </w:r>
      <w:r w:rsidR="002D1F98">
        <w:t>, sia come ciclo primario sia come richiami</w:t>
      </w:r>
      <w:r w:rsidR="00017635">
        <w:t xml:space="preserve"> </w:t>
      </w:r>
      <w:r w:rsidR="000628E0">
        <w:t>(</w:t>
      </w:r>
      <w:r w:rsidR="000628E0" w:rsidRPr="000628E0">
        <w:rPr>
          <w:highlight w:val="yellow"/>
        </w:rPr>
        <w:t>figura</w:t>
      </w:r>
      <w:r w:rsidR="00EF7CA0">
        <w:rPr>
          <w:highlight w:val="yellow"/>
        </w:rPr>
        <w:t xml:space="preserve"> </w:t>
      </w:r>
      <w:r w:rsidR="00915892">
        <w:rPr>
          <w:highlight w:val="yellow"/>
        </w:rPr>
        <w:t>5</w:t>
      </w:r>
      <w:r w:rsidR="000628E0">
        <w:t>).</w:t>
      </w:r>
    </w:p>
    <w:p w14:paraId="1FBA60E2" w14:textId="4EC7D2E9" w:rsidR="00714A19" w:rsidRPr="000628E0" w:rsidRDefault="00950175" w:rsidP="00017635">
      <w:pPr>
        <w:jc w:val="both"/>
      </w:pPr>
      <w:r>
        <w:t xml:space="preserve">Le indicazioni preliminari per la campagna di vaccinazione anti-COVID-19 </w:t>
      </w:r>
      <w:r w:rsidR="00A90659">
        <w:t>2023-</w:t>
      </w:r>
      <w:r w:rsidR="00781849">
        <w:t>20</w:t>
      </w:r>
      <w:r w:rsidR="00A90659">
        <w:t xml:space="preserve">24 </w:t>
      </w:r>
      <w:r>
        <w:t xml:space="preserve">sono contenute nella </w:t>
      </w:r>
      <w:hyperlink r:id="rId13" w:history="1">
        <w:r w:rsidRPr="00950175">
          <w:rPr>
            <w:rStyle w:val="Collegamentoipertestuale"/>
          </w:rPr>
          <w:t>Circolare del Ministero della Salute del 14 agosto</w:t>
        </w:r>
      </w:hyperlink>
      <w:r w:rsidR="00520398">
        <w:t xml:space="preserve">. </w:t>
      </w:r>
      <w:r w:rsidR="00C9109F" w:rsidRPr="00613221">
        <w:t>«</w:t>
      </w:r>
      <w:r w:rsidR="00C9109F">
        <w:t xml:space="preserve">In dettaglio </w:t>
      </w:r>
      <w:r w:rsidR="00C9109F" w:rsidRPr="00613221">
        <w:t>–</w:t>
      </w:r>
      <w:r w:rsidR="00C9109F">
        <w:t xml:space="preserve"> spiega Cartabellotta </w:t>
      </w:r>
      <w:r w:rsidR="00C9109F" w:rsidRPr="00613221">
        <w:t>–</w:t>
      </w:r>
      <w:r w:rsidR="00C9109F">
        <w:t xml:space="preserve"> viene raccomandato un richiamo annuale con la formulazione aggiornata monovalente XBB 1.5, già approvata da EMA. La somministrazione dovrà essere effettuata a distanza di almeno 3 mesi dall'ultimo richiamo</w:t>
      </w:r>
      <w:r w:rsidR="00A90659">
        <w:t xml:space="preserve"> (</w:t>
      </w:r>
      <w:r w:rsidR="00C9109F">
        <w:t>indipendentemente dal numero di richiami effettuati</w:t>
      </w:r>
      <w:r w:rsidR="00A90659">
        <w:t>)</w:t>
      </w:r>
      <w:r w:rsidR="00C9109F">
        <w:t xml:space="preserve"> o dall’ultima infezione diagnosticata</w:t>
      </w:r>
      <w:r w:rsidR="00C9109F" w:rsidRPr="00613221">
        <w:t>»</w:t>
      </w:r>
      <w:r w:rsidR="003611CD">
        <w:t>.</w:t>
      </w:r>
      <w:r w:rsidR="001A4246">
        <w:t xml:space="preserve"> </w:t>
      </w:r>
      <w:r w:rsidR="002D1F98">
        <w:t>L</w:t>
      </w:r>
      <w:r w:rsidR="00EF0E6C">
        <w:t>’obiettivo</w:t>
      </w:r>
      <w:r w:rsidR="002D1F98">
        <w:t xml:space="preserve"> è quello</w:t>
      </w:r>
      <w:r w:rsidR="00EF0E6C">
        <w:t xml:space="preserve"> di prevenire la mortalità, le ospedalizzazioni e le forme gravi di COVID-19 nelle persone anziane e con elevata fragilità, </w:t>
      </w:r>
      <w:r w:rsidR="00A90659">
        <w:t xml:space="preserve">oltre a </w:t>
      </w:r>
      <w:r w:rsidR="00EF0E6C">
        <w:t>proteggere le donne in gravidanza e gli operatori sanitari. In dettaglio, l</w:t>
      </w:r>
      <w:r w:rsidR="003611CD">
        <w:t>e categorie a cui è raccomandato il richiamo sono:</w:t>
      </w:r>
    </w:p>
    <w:p w14:paraId="4C237C11" w14:textId="77777777" w:rsidR="00520398" w:rsidRDefault="00520398" w:rsidP="00017635">
      <w:pPr>
        <w:pStyle w:val="Paragrafoelenco"/>
        <w:numPr>
          <w:ilvl w:val="0"/>
          <w:numId w:val="2"/>
        </w:numPr>
        <w:jc w:val="both"/>
      </w:pPr>
      <w:r>
        <w:t>Persone di età pari o superiore a 60 anni</w:t>
      </w:r>
    </w:p>
    <w:p w14:paraId="085B7A56" w14:textId="77777777" w:rsidR="00520398" w:rsidRDefault="00520398" w:rsidP="00017635">
      <w:pPr>
        <w:pStyle w:val="Paragrafoelenco"/>
        <w:numPr>
          <w:ilvl w:val="0"/>
          <w:numId w:val="2"/>
        </w:numPr>
        <w:jc w:val="both"/>
      </w:pPr>
      <w:r>
        <w:t>Ospiti delle strutture per lungodegenti</w:t>
      </w:r>
    </w:p>
    <w:p w14:paraId="3870E6C5" w14:textId="77777777" w:rsidR="00520398" w:rsidRDefault="00520398" w:rsidP="00017635">
      <w:pPr>
        <w:pStyle w:val="Paragrafoelenco"/>
        <w:numPr>
          <w:ilvl w:val="0"/>
          <w:numId w:val="2"/>
        </w:numPr>
        <w:jc w:val="both"/>
      </w:pPr>
      <w:r>
        <w:t>Donne gravide</w:t>
      </w:r>
      <w:r w:rsidR="00A90659">
        <w:t xml:space="preserve"> </w:t>
      </w:r>
      <w:r w:rsidR="002C4FCE">
        <w:t>e</w:t>
      </w:r>
      <w:r w:rsidR="00A90659">
        <w:t xml:space="preserve"> </w:t>
      </w:r>
      <w:r>
        <w:t>nel periodo post-partum, incluse le donne che allattano</w:t>
      </w:r>
    </w:p>
    <w:p w14:paraId="5E51EFE0" w14:textId="77777777" w:rsidR="00520398" w:rsidRDefault="00520398" w:rsidP="00017635">
      <w:pPr>
        <w:pStyle w:val="Paragrafoelenco"/>
        <w:numPr>
          <w:ilvl w:val="0"/>
          <w:numId w:val="2"/>
        </w:numPr>
        <w:jc w:val="both"/>
      </w:pPr>
      <w:r>
        <w:t>Operatori sanitari e sociosanitari addetti all’assistenza negli ospedali, nel territorio e nelle strutture di lungodegenza; studenti di medici</w:t>
      </w:r>
      <w:bookmarkStart w:id="1" w:name="_GoBack"/>
      <w:bookmarkEnd w:id="1"/>
      <w:r>
        <w:t>na, delle professioni sanitarie che effettuano tirocini in strutture assistenziali e tutto il personale sanitario e sociosanitario in formazione</w:t>
      </w:r>
    </w:p>
    <w:p w14:paraId="086C5C30" w14:textId="77777777" w:rsidR="00F94751" w:rsidRDefault="00520398" w:rsidP="00017635">
      <w:pPr>
        <w:pStyle w:val="Paragrafoelenco"/>
        <w:numPr>
          <w:ilvl w:val="0"/>
          <w:numId w:val="2"/>
        </w:numPr>
        <w:jc w:val="both"/>
      </w:pPr>
      <w:r>
        <w:t xml:space="preserve">Persone dai 6 mesi ai 59 anni di età, con elevata fragilità, in quanto affette da patologie o con condizioni che aumentano il rischio di COVID-19 grave </w:t>
      </w:r>
      <w:r w:rsidR="00A90659">
        <w:t>identificate dalla circolare</w:t>
      </w:r>
    </w:p>
    <w:p w14:paraId="280E3910" w14:textId="77777777" w:rsidR="00FB7E55" w:rsidRDefault="00F94751" w:rsidP="00017635">
      <w:pPr>
        <w:jc w:val="both"/>
      </w:pPr>
      <w:r>
        <w:t>La vaccinazione viene inoltre consigliata a familiari e conviventi di persone con gravi fragilità.</w:t>
      </w:r>
      <w:r w:rsidR="00A055B7">
        <w:t xml:space="preserve"> </w:t>
      </w:r>
    </w:p>
    <w:p w14:paraId="401961EC" w14:textId="27B3AEED" w:rsidR="00950175" w:rsidRDefault="00A055B7" w:rsidP="00017635">
      <w:pPr>
        <w:jc w:val="both"/>
      </w:pPr>
      <w:r>
        <w:lastRenderedPageBreak/>
        <w:t xml:space="preserve">Se la </w:t>
      </w:r>
      <w:r w:rsidR="00FB7E55">
        <w:t>C</w:t>
      </w:r>
      <w:r>
        <w:t xml:space="preserve">ircolare </w:t>
      </w:r>
      <w:r w:rsidR="00FB7E55">
        <w:t xml:space="preserve">del 14 agosto </w:t>
      </w:r>
      <w:r>
        <w:t xml:space="preserve">prevedeva di iniziare la campagna vaccinale anti-COVID-19 in concomitanza con quella antinfluenzale, </w:t>
      </w:r>
      <w:r w:rsidR="002815F1">
        <w:t xml:space="preserve">ieri </w:t>
      </w:r>
      <w:r>
        <w:t xml:space="preserve">il Ministro Schillaci </w:t>
      </w:r>
      <w:r w:rsidRPr="00A055B7">
        <w:t>ha invitato le Regioni a iniziare per le categorie più a rischio la campagna vaccinale a fine settembre</w:t>
      </w:r>
      <w:r>
        <w:t>.</w:t>
      </w:r>
    </w:p>
    <w:p w14:paraId="28CE7553" w14:textId="77777777" w:rsidR="00E505C9" w:rsidRPr="00420D02" w:rsidRDefault="00EF0E6C" w:rsidP="00017635">
      <w:pPr>
        <w:jc w:val="both"/>
      </w:pPr>
      <w:r w:rsidRPr="00613221">
        <w:t>«</w:t>
      </w:r>
      <w:r>
        <w:t xml:space="preserve">Pur condividendo la linea di raccomandare il richiamo alle persone a rischio, </w:t>
      </w:r>
      <w:r w:rsidR="00A90659">
        <w:t>al</w:t>
      </w:r>
      <w:r>
        <w:t xml:space="preserve">le donne in gravidanza e </w:t>
      </w:r>
      <w:r w:rsidR="00A90659">
        <w:t>a</w:t>
      </w:r>
      <w:r>
        <w:t>gli operatori sanitari</w:t>
      </w:r>
      <w:r w:rsidR="00A90659" w:rsidRPr="00A90659">
        <w:t xml:space="preserve"> </w:t>
      </w:r>
      <w:r w:rsidR="00A90659" w:rsidRPr="00613221">
        <w:t>–</w:t>
      </w:r>
      <w:r w:rsidR="00A90659">
        <w:t xml:space="preserve"> commenta il Presidente </w:t>
      </w:r>
      <w:r w:rsidR="00A90659" w:rsidRPr="00613221">
        <w:t>–</w:t>
      </w:r>
      <w:r w:rsidR="00A90659">
        <w:t xml:space="preserve"> </w:t>
      </w:r>
      <w:r>
        <w:t xml:space="preserve">vanno rilevate tre criticità da tenere in considerazione per l’eventuale aggiornamento delle raccomandazioni. Innanzitutto, la </w:t>
      </w:r>
      <w:r w:rsidR="00F34499">
        <w:t xml:space="preserve">circolare </w:t>
      </w:r>
      <w:r>
        <w:t xml:space="preserve">non </w:t>
      </w:r>
      <w:r w:rsidR="00F34499">
        <w:t xml:space="preserve">menziona </w:t>
      </w:r>
      <w:r>
        <w:t xml:space="preserve">la possibilità di effettuare il richiamo </w:t>
      </w:r>
      <w:r w:rsidR="00F34499">
        <w:t xml:space="preserve">su base volontaria </w:t>
      </w:r>
      <w:r>
        <w:t xml:space="preserve">per le categorie non a rischio; in secondo luogo le raccomandazioni non hanno tra gli obiettivi la prevenzione del long-COVID, il cui impatto sanitario </w:t>
      </w:r>
      <w:r w:rsidR="009811BE">
        <w:t>e</w:t>
      </w:r>
      <w:r>
        <w:t xml:space="preserve"> sociale inizia ad essere ben evidente nei paesi che</w:t>
      </w:r>
      <w:r w:rsidR="009811BE">
        <w:t>,</w:t>
      </w:r>
      <w:r>
        <w:t xml:space="preserve"> a differenza del nostro</w:t>
      </w:r>
      <w:r w:rsidR="009811BE">
        <w:t>,</w:t>
      </w:r>
      <w:r>
        <w:t xml:space="preserve"> lo stanno valutando in maniera sistematica; infine, le tempistiche programmate</w:t>
      </w:r>
      <w:r w:rsidR="00A055B7">
        <w:t xml:space="preserve"> dalla circolare</w:t>
      </w:r>
      <w:r>
        <w:t xml:space="preserve"> </w:t>
      </w:r>
      <w:r w:rsidR="009811BE">
        <w:t>–</w:t>
      </w:r>
      <w:r>
        <w:t xml:space="preserve"> per l’attesa del vaccino aggiornato e l’allineamento con la campagna anti-influenzale – </w:t>
      </w:r>
      <w:r w:rsidR="00D94315">
        <w:t>sono</w:t>
      </w:r>
      <w:r w:rsidR="00F34499">
        <w:t xml:space="preserve"> troppo lunghe</w:t>
      </w:r>
      <w:r>
        <w:t xml:space="preserve">. Infatti, la progressiva ripresa della circolazione virale a partire da fine agosto e la certezza </w:t>
      </w:r>
      <w:r w:rsidRPr="00420D02">
        <w:t xml:space="preserve">che quasi tutti gli over 80 e i fragili non hanno effettuato alcun richiamo negli ultimi tre mesi, </w:t>
      </w:r>
      <w:r w:rsidR="00CB4269" w:rsidRPr="00420D02">
        <w:t>stanno già avendo un impatto sulla loro salute</w:t>
      </w:r>
      <w:r w:rsidR="00F80C07" w:rsidRPr="00420D02">
        <w:t>»</w:t>
      </w:r>
      <w:r w:rsidR="00EF20B6" w:rsidRPr="00420D02">
        <w:t xml:space="preserve">. </w:t>
      </w:r>
      <w:r w:rsidR="00E505C9" w:rsidRPr="00420D02">
        <w:t>Infatti, dal 2 giugno al 31 agosto (ultimo dato disponibile) agli over 80 sono state somministrate 827 quarte dosi e 2.156 quinte dosi</w:t>
      </w:r>
      <w:r w:rsidR="00F80C07" w:rsidRPr="00420D02">
        <w:t>: è evidente l’urgenza di avviare quanto prima la campagna vaccinale per questa fascia di età e più in generale per i fragili.</w:t>
      </w:r>
    </w:p>
    <w:p w14:paraId="1377BBC9" w14:textId="01F77D5E" w:rsidR="00017635" w:rsidRDefault="00094309" w:rsidP="00ED23E5">
      <w:pPr>
        <w:jc w:val="both"/>
      </w:pPr>
      <w:r w:rsidRPr="00613221">
        <w:t>«</w:t>
      </w:r>
      <w:r>
        <w:t xml:space="preserve">I dati </w:t>
      </w:r>
      <w:r w:rsidRPr="00613221">
        <w:t>–</w:t>
      </w:r>
      <w:r>
        <w:t xml:space="preserve"> conclude Cartabellotta </w:t>
      </w:r>
      <w:r w:rsidRPr="00613221">
        <w:t>–</w:t>
      </w:r>
      <w:r>
        <w:t xml:space="preserve"> confermano </w:t>
      </w:r>
      <w:r w:rsidR="00A54C30">
        <w:t xml:space="preserve">nel nostro Paese </w:t>
      </w:r>
      <w:r>
        <w:t>una progressiva ripresa della circolazione virale</w:t>
      </w:r>
      <w:r w:rsidR="00F80C07">
        <w:t xml:space="preserve">, </w:t>
      </w:r>
      <w:r w:rsidR="00A54C30">
        <w:t>peraltro largamente sottostimata</w:t>
      </w:r>
      <w:r w:rsidR="00781849">
        <w:t>,</w:t>
      </w:r>
      <w:r w:rsidR="00A54C30">
        <w:t xml:space="preserve"> dovuta a fattori concomitanti: emergenza di una variante immunoevasiva, progressiva riduzione dell’immunità da vaccino o da infezione naturale e sostanziale assenza di misure di protezione individuale. D’altra parte i dati su ospedalizzazioni in area medica e i decessi confermano che la malattia grave colpisce prevalentemente fasce di età avanzate della popolazione, oltre che soggetti fragili, ai quali è già indirizzata prioritariamente la campagna vaccinale 2023-2024</w:t>
      </w:r>
      <w:r w:rsidR="00AE4C21">
        <w:t>. Alla luce del quadro epidemiologico</w:t>
      </w:r>
      <w:r w:rsidR="00004568">
        <w:t xml:space="preserve">, </w:t>
      </w:r>
      <w:r w:rsidR="00F977D1">
        <w:t xml:space="preserve">della percentuale di reinfezioni, </w:t>
      </w:r>
      <w:r w:rsidR="00AE4C21">
        <w:t xml:space="preserve">dell’efficacia dei vaccini sulla malattia grave e delle rilevanti criticità che condizionano l’erogazione dei servizi sanitari, in particolare per la grave carenza di personale, la Fondazione GIMBE </w:t>
      </w:r>
      <w:r w:rsidR="00004568">
        <w:t>ritiene fondamentale prevenire ogni forma di sovraccarico</w:t>
      </w:r>
      <w:r w:rsidR="00781849">
        <w:t xml:space="preserve"> da</w:t>
      </w:r>
      <w:r w:rsidR="00004568">
        <w:t xml:space="preserve"> COVID </w:t>
      </w:r>
      <w:r w:rsidR="00781849">
        <w:t>nelle</w:t>
      </w:r>
      <w:r w:rsidR="00004568">
        <w:t xml:space="preserve"> strutture sanitarie</w:t>
      </w:r>
      <w:r w:rsidR="00F977D1">
        <w:t xml:space="preserve"> </w:t>
      </w:r>
      <w:r w:rsidR="00004568">
        <w:t>territoriali</w:t>
      </w:r>
      <w:r w:rsidR="00F977D1">
        <w:t xml:space="preserve"> e </w:t>
      </w:r>
      <w:r w:rsidR="00004568">
        <w:t xml:space="preserve">ospedaliere. In tal senso, </w:t>
      </w:r>
      <w:r w:rsidR="00AE4C21">
        <w:t xml:space="preserve">invita le Istituzioni a mettere in atto tutte le azioni necessarie </w:t>
      </w:r>
      <w:r w:rsidR="00004568">
        <w:t>per proteggere anziani e fragili</w:t>
      </w:r>
      <w:r w:rsidR="00EF20B6">
        <w:t xml:space="preserve">, incluso fornire raccomandazioni per </w:t>
      </w:r>
      <w:r w:rsidR="00EF20B6" w:rsidRPr="00EF20B6">
        <w:t>gli operatori sanitari positivi asintomatici</w:t>
      </w:r>
      <w:r w:rsidR="00E505C9">
        <w:t>, o</w:t>
      </w:r>
      <w:r w:rsidR="00EF20B6">
        <w:t xml:space="preserve">ltre </w:t>
      </w:r>
      <w:r w:rsidR="006A7383">
        <w:t>a</w:t>
      </w:r>
      <w:r w:rsidR="00781849">
        <w:t xml:space="preserve"> rimettere in campo</w:t>
      </w:r>
      <w:r w:rsidR="002C4FCE">
        <w:t xml:space="preserve"> </w:t>
      </w:r>
      <w:r w:rsidR="006A7383">
        <w:t xml:space="preserve">- se necessario - </w:t>
      </w:r>
      <w:r w:rsidR="006A7383" w:rsidRPr="006A7383">
        <w:t>le misure di contrasto alla diffusione del virus</w:t>
      </w:r>
      <w:r w:rsidR="00E505C9">
        <w:t xml:space="preserve">. </w:t>
      </w:r>
      <w:r w:rsidR="005D0A3E" w:rsidRPr="005D0A3E">
        <w:t>Alla popolazione rivolge l’invito a mantenere comportamenti responsabili: perché nel prossimo autunno-inverno il vero rischio reale del COVID-19 è quello di compromettere la tenuta del Servizio Sanitario Nazionale, oggi profondamente indebolito e molto meno resiliente</w:t>
      </w:r>
      <w:r w:rsidR="005D0A3E">
        <w:rPr>
          <w:rStyle w:val="ui-provider"/>
        </w:rPr>
        <w:t>, in particolare per la grave carenza di personale sanitario</w:t>
      </w:r>
      <w:r w:rsidRPr="00613221">
        <w:t>»</w:t>
      </w:r>
      <w:r>
        <w:t>.</w:t>
      </w:r>
    </w:p>
    <w:p w14:paraId="736BBE32" w14:textId="77777777" w:rsidR="00890C08" w:rsidRDefault="00890C08" w:rsidP="00890C08">
      <w:pPr>
        <w:spacing w:after="120" w:line="276" w:lineRule="auto"/>
        <w:rPr>
          <w:i/>
          <w:iCs/>
        </w:rPr>
      </w:pPr>
      <w:r w:rsidRPr="006B328D">
        <w:rPr>
          <w:i/>
          <w:iCs/>
        </w:rPr>
        <w:t>Il monitoraggio GIMBE della pandemia COVID-19 è disponibile a:</w:t>
      </w:r>
      <w:r w:rsidRPr="006B328D">
        <w:t xml:space="preserve"> </w:t>
      </w:r>
      <w:hyperlink r:id="rId14" w:history="1">
        <w:r w:rsidRPr="006B328D">
          <w:rPr>
            <w:rStyle w:val="Collegamentoipertestuale"/>
            <w:i/>
            <w:iCs/>
          </w:rPr>
          <w:t>https://coronavirus.gimbe.org</w:t>
        </w:r>
      </w:hyperlink>
      <w:r w:rsidRPr="006B328D">
        <w:rPr>
          <w:i/>
          <w:iCs/>
        </w:rPr>
        <w:t xml:space="preserve"> </w:t>
      </w:r>
    </w:p>
    <w:p w14:paraId="076C7C81" w14:textId="77777777" w:rsidR="00890C08" w:rsidRPr="006729F0" w:rsidRDefault="00890C08" w:rsidP="00890C08">
      <w:pPr>
        <w:spacing w:after="120"/>
        <w:rPr>
          <w:b/>
          <w:bCs/>
          <w:sz w:val="16"/>
        </w:rPr>
      </w:pPr>
    </w:p>
    <w:p w14:paraId="67F1098C" w14:textId="77777777" w:rsidR="00890C08" w:rsidRPr="006B328D" w:rsidRDefault="00890C08" w:rsidP="00890C08">
      <w:pPr>
        <w:spacing w:after="120"/>
        <w:rPr>
          <w:rStyle w:val="Hyperlink1"/>
          <w:color w:val="auto"/>
        </w:rPr>
      </w:pPr>
      <w:r w:rsidRPr="006B328D">
        <w:rPr>
          <w:b/>
          <w:bCs/>
        </w:rPr>
        <w:t>CONTATTI</w:t>
      </w:r>
      <w:r w:rsidRPr="006B328D">
        <w:rPr>
          <w:i/>
          <w:iCs/>
        </w:rPr>
        <w:br/>
      </w:r>
      <w:r w:rsidRPr="006B328D">
        <w:rPr>
          <w:b/>
          <w:bCs/>
        </w:rPr>
        <w:t>Fondazione GIMBE</w:t>
      </w:r>
      <w:r w:rsidRPr="006B328D">
        <w:rPr>
          <w:i/>
          <w:iCs/>
          <w:u w:val="single" w:color="0563C1"/>
        </w:rPr>
        <w:br/>
      </w:r>
      <w:r w:rsidRPr="006B328D">
        <w:rPr>
          <w:sz w:val="20"/>
          <w:szCs w:val="20"/>
        </w:rPr>
        <w:t>Via Amendola 2 - 40121 Bologna</w:t>
      </w:r>
      <w:r w:rsidRPr="006B328D">
        <w:rPr>
          <w:sz w:val="20"/>
          <w:szCs w:val="20"/>
        </w:rPr>
        <w:br/>
        <w:t>Tel. 051 5883920 - Fax 051 4075774</w:t>
      </w:r>
      <w:r w:rsidRPr="006B328D">
        <w:rPr>
          <w:sz w:val="20"/>
          <w:szCs w:val="20"/>
        </w:rPr>
        <w:br/>
        <w:t xml:space="preserve">E-mail: </w:t>
      </w:r>
      <w:hyperlink r:id="rId15" w:history="1">
        <w:r w:rsidRPr="006B328D">
          <w:rPr>
            <w:rStyle w:val="Collegamentoipertestuale"/>
            <w:rFonts w:eastAsia="Calibri" w:cs="Calibri"/>
            <w:sz w:val="20"/>
            <w:szCs w:val="20"/>
            <w:u w:color="0563C1"/>
          </w:rPr>
          <w:t>ufficio.stampa@gimbe.org</w:t>
        </w:r>
      </w:hyperlink>
    </w:p>
    <w:p w14:paraId="250831E7" w14:textId="77777777" w:rsidR="00890C08" w:rsidRDefault="00890C08">
      <w:r>
        <w:br w:type="page"/>
      </w:r>
    </w:p>
    <w:p w14:paraId="466F2FED" w14:textId="77777777" w:rsidR="00890C08" w:rsidRDefault="00890C08" w:rsidP="00ED23E5">
      <w:pPr>
        <w:jc w:val="both"/>
      </w:pPr>
    </w:p>
    <w:p w14:paraId="328E7C1A" w14:textId="77777777" w:rsidR="00890C08" w:rsidRPr="00890C08" w:rsidRDefault="00890C08" w:rsidP="00890C08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>Figura 1</w:t>
      </w:r>
    </w:p>
    <w:p w14:paraId="1F3BC598" w14:textId="3DB76F55" w:rsidR="0045216B" w:rsidRDefault="00C435A7" w:rsidP="00890C08">
      <w:pPr>
        <w:jc w:val="center"/>
      </w:pPr>
      <w:r>
        <w:rPr>
          <w:noProof/>
          <w:lang w:eastAsia="it-IT"/>
        </w:rPr>
        <w:pict w14:anchorId="61462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69.25pt">
            <v:imagedata r:id="rId16" o:title="Figura_01_20230919"/>
          </v:shape>
        </w:pict>
      </w:r>
    </w:p>
    <w:p w14:paraId="53180B05" w14:textId="77777777" w:rsidR="00890C08" w:rsidRDefault="00890C08" w:rsidP="00890C08">
      <w:pPr>
        <w:jc w:val="center"/>
      </w:pPr>
    </w:p>
    <w:p w14:paraId="5C6B9E80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2</w:t>
      </w:r>
    </w:p>
    <w:p w14:paraId="27AC6C9E" w14:textId="6112EB4B" w:rsidR="00890C08" w:rsidRDefault="00C435A7" w:rsidP="00890C08">
      <w:pPr>
        <w:jc w:val="center"/>
      </w:pPr>
      <w:r>
        <w:rPr>
          <w:noProof/>
          <w:lang w:eastAsia="it-IT"/>
        </w:rPr>
        <w:pict w14:anchorId="20FF2E40">
          <v:shape id="_x0000_i1026" type="#_x0000_t75" style="width:481.5pt;height:235.5pt">
            <v:imagedata r:id="rId17" o:title="Figura_02_20230919"/>
          </v:shape>
        </w:pict>
      </w:r>
    </w:p>
    <w:p w14:paraId="1CCFB441" w14:textId="77777777" w:rsidR="00890C08" w:rsidRDefault="00890C08">
      <w:r>
        <w:br w:type="page"/>
      </w:r>
    </w:p>
    <w:p w14:paraId="6742E6B2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3</w:t>
      </w:r>
    </w:p>
    <w:p w14:paraId="0C9926A4" w14:textId="4161741A" w:rsidR="00890C08" w:rsidRDefault="00C435A7" w:rsidP="00890C08">
      <w:pPr>
        <w:jc w:val="center"/>
      </w:pPr>
      <w:r>
        <w:rPr>
          <w:noProof/>
          <w:lang w:eastAsia="it-IT"/>
        </w:rPr>
        <w:pict w14:anchorId="0A34C185">
          <v:shape id="_x0000_i1027" type="#_x0000_t75" style="width:481.5pt;height:240.75pt">
            <v:imagedata r:id="rId18" o:title="Figura_03_20230919"/>
          </v:shape>
        </w:pict>
      </w:r>
    </w:p>
    <w:p w14:paraId="6A6C0B3C" w14:textId="77777777" w:rsidR="00890C08" w:rsidRDefault="00890C08" w:rsidP="00890C08">
      <w:pPr>
        <w:jc w:val="center"/>
      </w:pPr>
    </w:p>
    <w:p w14:paraId="4DF7FCB3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4</w:t>
      </w:r>
    </w:p>
    <w:p w14:paraId="3DA63B31" w14:textId="226C7869" w:rsidR="00890C08" w:rsidRDefault="00C435A7" w:rsidP="00890C08">
      <w:pPr>
        <w:spacing w:after="120" w:line="276" w:lineRule="auto"/>
        <w:jc w:val="center"/>
      </w:pPr>
      <w:r>
        <w:rPr>
          <w:noProof/>
          <w:lang w:eastAsia="it-IT"/>
        </w:rPr>
        <w:pict w14:anchorId="405CC625">
          <v:shape id="_x0000_i1028" type="#_x0000_t75" style="width:481.5pt;height:268.5pt">
            <v:imagedata r:id="rId19" o:title="Figura_04_20230919"/>
          </v:shape>
        </w:pict>
      </w:r>
    </w:p>
    <w:p w14:paraId="2D398A50" w14:textId="77777777" w:rsidR="00890C08" w:rsidRDefault="00890C08">
      <w:r>
        <w:br w:type="page"/>
      </w:r>
    </w:p>
    <w:p w14:paraId="137BEBCB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5</w:t>
      </w:r>
    </w:p>
    <w:p w14:paraId="14117E3A" w14:textId="545B6667" w:rsidR="00890C08" w:rsidRDefault="00C435A7" w:rsidP="00890C08">
      <w:pPr>
        <w:spacing w:after="120" w:line="276" w:lineRule="auto"/>
        <w:jc w:val="center"/>
      </w:pPr>
      <w:r>
        <w:rPr>
          <w:b/>
          <w:bCs/>
          <w:noProof/>
          <w:lang w:eastAsia="it-IT"/>
        </w:rPr>
        <w:pict w14:anchorId="68056DA2">
          <v:shape id="_x0000_i1029" type="#_x0000_t75" style="width:504.75pt;height:251.25pt">
            <v:imagedata r:id="rId20" o:title="Figura_05_20230919"/>
          </v:shape>
        </w:pict>
      </w:r>
    </w:p>
    <w:p w14:paraId="7E242260" w14:textId="77777777" w:rsidR="00890C08" w:rsidRDefault="00890C08">
      <w:r>
        <w:br w:type="page"/>
      </w:r>
    </w:p>
    <w:p w14:paraId="4B47BCA1" w14:textId="77777777" w:rsidR="00890C08" w:rsidRDefault="00890C08" w:rsidP="00890C08">
      <w:pPr>
        <w:spacing w:after="60" w:line="276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1. </w:t>
      </w:r>
      <w:r>
        <w:rPr>
          <w:b/>
          <w:bCs/>
          <w:color w:val="05457D"/>
          <w:sz w:val="24"/>
          <w:szCs w:val="24"/>
          <w:u w:color="00457D"/>
        </w:rPr>
        <w:t>Indicatori regionali: settimana</w:t>
      </w:r>
      <w:r w:rsidRPr="005D5D86">
        <w:rPr>
          <w:b/>
          <w:bCs/>
          <w:color w:val="05457D"/>
          <w:sz w:val="24"/>
          <w:szCs w:val="24"/>
          <w:u w:color="00457D"/>
        </w:rPr>
        <w:t xml:space="preserve"> </w:t>
      </w:r>
      <w:r>
        <w:rPr>
          <w:b/>
          <w:bCs/>
          <w:color w:val="05457D"/>
          <w:sz w:val="24"/>
          <w:szCs w:val="24"/>
          <w:u w:color="00457D"/>
        </w:rPr>
        <w:t>7-13 settembre 2023</w:t>
      </w:r>
    </w:p>
    <w:tbl>
      <w:tblPr>
        <w:tblW w:w="9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60"/>
        <w:gridCol w:w="1458"/>
        <w:gridCol w:w="1920"/>
        <w:gridCol w:w="2126"/>
        <w:gridCol w:w="13"/>
      </w:tblGrid>
      <w:tr w:rsidR="00890C08" w:rsidRPr="00C45978" w14:paraId="60C840EB" w14:textId="77777777" w:rsidTr="002815F1">
        <w:trPr>
          <w:gridAfter w:val="1"/>
          <w:wAfter w:w="13" w:type="dxa"/>
          <w:trHeight w:val="907"/>
          <w:jc w:val="center"/>
        </w:trPr>
        <w:tc>
          <w:tcPr>
            <w:tcW w:w="212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1A1C3ACA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1660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48082A1A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it-IT"/>
              </w:rPr>
              <w:t>Incidenza per 100.000 abitanti</w:t>
            </w:r>
          </w:p>
        </w:tc>
        <w:tc>
          <w:tcPr>
            <w:tcW w:w="1458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7C4415A9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Variazione </w:t>
            </w: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br/>
              <w:t>% nuovi casi</w:t>
            </w:r>
          </w:p>
        </w:tc>
        <w:tc>
          <w:tcPr>
            <w:tcW w:w="1920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5AFFFC03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Posti letto in area medica occupati da pazienti COVID−19</w:t>
            </w:r>
          </w:p>
        </w:tc>
        <w:tc>
          <w:tcPr>
            <w:tcW w:w="2126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2973F69A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Posti letto in terapia intensiva occupati da </w:t>
            </w: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br/>
              <w:t>pazienti COVID−19</w:t>
            </w:r>
          </w:p>
        </w:tc>
      </w:tr>
      <w:tr w:rsidR="00890C08" w:rsidRPr="00C45978" w14:paraId="31A1E87B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D6F6271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Abruzzo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520788C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58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9BD512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28,2%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EDE104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3,1%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823D4A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0,6%</w:t>
            </w:r>
          </w:p>
        </w:tc>
      </w:tr>
      <w:tr w:rsidR="00890C08" w:rsidRPr="00C45978" w14:paraId="5921C120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B607A0C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Basilicata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F36DD27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14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6CEDCE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37,7%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8FCC164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4,8%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393D367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0,0%</w:t>
            </w:r>
          </w:p>
        </w:tc>
      </w:tr>
      <w:tr w:rsidR="00890C08" w:rsidRPr="00C45978" w14:paraId="61ED676D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EFAD6FE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Calabria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816BD77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42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B6F6D5A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20,2%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CC2D78F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7,4%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9D455D3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4,2%</w:t>
            </w:r>
          </w:p>
        </w:tc>
      </w:tr>
      <w:tr w:rsidR="00890C08" w:rsidRPr="00C45978" w14:paraId="30A70530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BA5B077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Campania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E6FA656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68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C4D1AA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54,6%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504DB67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2,7%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661CA9F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0,4%</w:t>
            </w:r>
          </w:p>
        </w:tc>
      </w:tr>
      <w:tr w:rsidR="00890C08" w:rsidRPr="00C45978" w14:paraId="278E58D1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27ECA99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Emilia Romagna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52EFFF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45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71F4D6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29,4%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6EA1123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4,4%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CA02A94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1,3%</w:t>
            </w:r>
          </w:p>
        </w:tc>
      </w:tr>
      <w:tr w:rsidR="00890C08" w:rsidRPr="00C45978" w14:paraId="104E0DA1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AF216E1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Friuli Venezia Giulia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4647E1E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52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E47309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39,3%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C1F2B8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7,4%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2D6AA3F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0,0%</w:t>
            </w:r>
          </w:p>
        </w:tc>
      </w:tr>
      <w:tr w:rsidR="00890C08" w:rsidRPr="00C45978" w14:paraId="47674822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D6D8BB1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E94D39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64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E868DAA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45,4%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AF5A0F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2,9%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C2D782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0,8%</w:t>
            </w:r>
          </w:p>
        </w:tc>
      </w:tr>
      <w:tr w:rsidR="00890C08" w:rsidRPr="00C45978" w14:paraId="170E1E95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04723A1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Liguria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42ECB2E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49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235689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44,8%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5F9801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10,2%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FB46833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3,5%</w:t>
            </w:r>
          </w:p>
        </w:tc>
      </w:tr>
      <w:tr w:rsidR="00890C08" w:rsidRPr="00C45978" w14:paraId="302FC0E0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3B7FA7F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Lombardia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4118EB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66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09DAFC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64,2%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C6CDA81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1,9%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7075AB6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0,2%</w:t>
            </w:r>
          </w:p>
        </w:tc>
      </w:tr>
      <w:tr w:rsidR="00890C08" w:rsidRPr="00C45978" w14:paraId="6CE3761A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307132A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Marche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EB9C"/>
            <w:noWrap/>
            <w:vAlign w:val="center"/>
            <w:hideMark/>
          </w:tcPr>
          <w:p w14:paraId="3176F82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6500"/>
                <w:lang w:eastAsia="it-IT"/>
              </w:rPr>
              <w:t>36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C1B4F2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0,9%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EB87A9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7,7%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643AA2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2,0%</w:t>
            </w:r>
          </w:p>
        </w:tc>
      </w:tr>
      <w:tr w:rsidR="00890C08" w:rsidRPr="00C45978" w14:paraId="0027FFB6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D36BEC6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Molise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841B18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31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B44952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34,3%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11A145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4,5%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08A2E8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0,0%</w:t>
            </w:r>
          </w:p>
        </w:tc>
      </w:tr>
      <w:tr w:rsidR="00890C08" w:rsidRPr="00C45978" w14:paraId="6C17528F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989969A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Piemonte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E634F3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53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2E3AF5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96,8%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3CA299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2,5%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DA989C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1,0%</w:t>
            </w:r>
          </w:p>
        </w:tc>
      </w:tr>
      <w:tr w:rsidR="00890C08" w:rsidRPr="00C45978" w14:paraId="4AA78FD3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5C72BDD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Prov. Aut. Bolzano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4EA972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25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6B4784C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58,8%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477D50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2,4%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4332F39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0,0%</w:t>
            </w:r>
          </w:p>
        </w:tc>
      </w:tr>
      <w:tr w:rsidR="00890C08" w:rsidRPr="00C45978" w14:paraId="794EA6F5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9455DA2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Prov. Aut. Trento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525CA6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29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5D17307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42,3%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F36CF8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1,7%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4C51F4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0,0%</w:t>
            </w:r>
          </w:p>
        </w:tc>
      </w:tr>
      <w:tr w:rsidR="00890C08" w:rsidRPr="00C45978" w14:paraId="4C46B2BD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9680AF9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Puglia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779E9F9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34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B119E11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14,4%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DE9DD4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2,2%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FD9A97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0,6%</w:t>
            </w:r>
          </w:p>
        </w:tc>
      </w:tr>
      <w:tr w:rsidR="00890C08" w:rsidRPr="00C45978" w14:paraId="08681643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F43D034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Sardegna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797490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52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1D9B89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-4,9%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88A1B2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8,9%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5402214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0,5%</w:t>
            </w:r>
          </w:p>
        </w:tc>
      </w:tr>
      <w:tr w:rsidR="00890C08" w:rsidRPr="00C45978" w14:paraId="1E57FA7E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C2AB646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Sicilia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EB9C"/>
            <w:noWrap/>
            <w:vAlign w:val="center"/>
            <w:hideMark/>
          </w:tcPr>
          <w:p w14:paraId="2D9F5C2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6500"/>
                <w:lang w:eastAsia="it-IT"/>
              </w:rPr>
              <w:t>4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59FB51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4,1%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AF1FFA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6,9%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0EA7A05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1,2%</w:t>
            </w:r>
          </w:p>
        </w:tc>
      </w:tr>
      <w:tr w:rsidR="00890C08" w:rsidRPr="00C45978" w14:paraId="6EC2FE2A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0318419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Toscana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6A58221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50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67E1E07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39,7%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F52DE1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4,2%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91DFEC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1,1%</w:t>
            </w:r>
          </w:p>
        </w:tc>
      </w:tr>
      <w:tr w:rsidR="00890C08" w:rsidRPr="00C45978" w14:paraId="32B10565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99D791C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Umbria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93BF7B8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61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C9B31CC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81,1%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8D244C9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8,0%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5A5BF84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2,5%</w:t>
            </w:r>
          </w:p>
        </w:tc>
      </w:tr>
      <w:tr w:rsidR="00890C08" w:rsidRPr="00C45978" w14:paraId="0D1E7175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C28B062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0037E63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35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1146D3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87,0%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7ADA061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9,0%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AEE9030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0,0%</w:t>
            </w:r>
          </w:p>
        </w:tc>
      </w:tr>
      <w:tr w:rsidR="00890C08" w:rsidRPr="00C45978" w14:paraId="6DD4D00C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3F35E2F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0000"/>
                <w:lang w:eastAsia="it-IT"/>
              </w:rPr>
              <w:t>Veneto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A711243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83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ED6380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40,0%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B2F69E2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3,4%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4FDF60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006100"/>
                <w:lang w:eastAsia="it-IT"/>
              </w:rPr>
              <w:t>0,7%</w:t>
            </w:r>
          </w:p>
        </w:tc>
      </w:tr>
      <w:tr w:rsidR="00890C08" w:rsidRPr="00C45978" w14:paraId="38602476" w14:textId="77777777" w:rsidTr="002815F1">
        <w:trPr>
          <w:gridAfter w:val="1"/>
          <w:wAfter w:w="13" w:type="dxa"/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00457D"/>
            <w:noWrap/>
            <w:vAlign w:val="center"/>
            <w:hideMark/>
          </w:tcPr>
          <w:p w14:paraId="183E4436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ITALIA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7CB9C2B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color w:val="9C0006"/>
                <w:lang w:eastAsia="it-IT"/>
              </w:rPr>
              <w:t>52</w:t>
            </w:r>
          </w:p>
        </w:tc>
        <w:tc>
          <w:tcPr>
            <w:tcW w:w="145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932DB36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9C0006"/>
                <w:lang w:eastAsia="it-IT"/>
              </w:rPr>
              <w:t>44,4%</w:t>
            </w:r>
          </w:p>
        </w:tc>
        <w:tc>
          <w:tcPr>
            <w:tcW w:w="19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F108C4C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  <w:t>3,8%</w:t>
            </w:r>
          </w:p>
        </w:tc>
        <w:tc>
          <w:tcPr>
            <w:tcW w:w="2126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8E305BD" w14:textId="77777777" w:rsidR="00890C08" w:rsidRPr="00C45978" w:rsidRDefault="00890C08" w:rsidP="00281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b/>
                <w:bCs/>
                <w:color w:val="006100"/>
                <w:lang w:eastAsia="it-IT"/>
              </w:rPr>
              <w:t>0,9%</w:t>
            </w:r>
          </w:p>
        </w:tc>
      </w:tr>
      <w:tr w:rsidR="00890C08" w:rsidRPr="00C45978" w14:paraId="18E40D64" w14:textId="77777777" w:rsidTr="002815F1">
        <w:trPr>
          <w:trHeight w:val="1785"/>
          <w:jc w:val="center"/>
        </w:trPr>
        <w:tc>
          <w:tcPr>
            <w:tcW w:w="9299" w:type="dxa"/>
            <w:gridSpan w:val="6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B63A5FF" w14:textId="77777777" w:rsidR="00890C08" w:rsidRPr="00C45978" w:rsidRDefault="00890C08" w:rsidP="002815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4597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Nota: nella prima colonna i colori rosso, verde e giallo indicano rispettivamente una performance regionale in peggioramento, in miglioramento o stabile, rispetto alla settimana precedente.</w:t>
            </w:r>
            <w:r w:rsidRPr="00C4597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br/>
              <w:t>Nella seconda colonna i colori rosso e verde indicano rispettivamente un aumento o una diminuzione percentuale dei nuovi casi rispetto alla settimana precedente.</w:t>
            </w:r>
            <w:r w:rsidRPr="00C4597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br/>
              <w:t xml:space="preserve">Nelle ultime 2 colonne i colori rosso e verde indicano rispettivamente un valore superiore o inferiore rispetto alla media nazionale (dati Cabina di Regia ai sensi del DM Salute 30 aprile 2020. Ministero della Salute, ISS). </w:t>
            </w:r>
          </w:p>
        </w:tc>
      </w:tr>
    </w:tbl>
    <w:p w14:paraId="7FE2826D" w14:textId="77777777" w:rsidR="00890C08" w:rsidRDefault="00890C08" w:rsidP="00890C08">
      <w:pPr>
        <w:spacing w:after="120" w:line="276" w:lineRule="auto"/>
        <w:jc w:val="both"/>
      </w:pPr>
    </w:p>
    <w:p w14:paraId="2FB28C48" w14:textId="77777777" w:rsidR="00890C08" w:rsidRDefault="00890C08">
      <w:r>
        <w:br w:type="page"/>
      </w:r>
    </w:p>
    <w:p w14:paraId="6FBC6338" w14:textId="77777777" w:rsidR="0045216B" w:rsidRPr="008525BF" w:rsidRDefault="0045216B" w:rsidP="0045216B">
      <w:pPr>
        <w:spacing w:after="8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2. Nuovi casi nell’ultima </w:t>
      </w:r>
      <w:r w:rsidRPr="00B52252">
        <w:rPr>
          <w:b/>
          <w:bCs/>
          <w:color w:val="05457D"/>
          <w:sz w:val="24"/>
          <w:szCs w:val="24"/>
          <w:u w:color="00457D"/>
        </w:rPr>
        <w:t xml:space="preserve">settimana suddivisi per </w:t>
      </w:r>
      <w:r w:rsidRPr="008525BF">
        <w:rPr>
          <w:b/>
          <w:bCs/>
          <w:color w:val="05457D"/>
          <w:sz w:val="24"/>
          <w:szCs w:val="24"/>
          <w:u w:color="00457D"/>
        </w:rPr>
        <w:t>provincia</w:t>
      </w:r>
    </w:p>
    <w:tbl>
      <w:tblPr>
        <w:tblStyle w:val="TableNormal1"/>
        <w:tblW w:w="80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985"/>
        <w:gridCol w:w="2260"/>
        <w:gridCol w:w="2129"/>
        <w:gridCol w:w="1715"/>
      </w:tblGrid>
      <w:tr w:rsidR="0045216B" w:rsidRPr="0045216B" w14:paraId="6863FC69" w14:textId="77777777" w:rsidTr="00E000CE">
        <w:trPr>
          <w:trHeight w:val="481"/>
          <w:tblHeader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5CF9" w14:textId="77777777" w:rsidR="0045216B" w:rsidRPr="0045216B" w:rsidRDefault="0045216B" w:rsidP="00E000CE">
            <w:pPr>
              <w:rPr>
                <w:rFonts w:asciiTheme="minorHAnsi" w:hAnsiTheme="minorHAnsi" w:cs="Calibri"/>
                <w:color w:val="FFFFFF" w:themeColor="background1"/>
                <w:sz w:val="22"/>
                <w:szCs w:val="21"/>
              </w:rPr>
            </w:pPr>
            <w:r w:rsidRPr="0045216B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  <w:t>Regione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7939" w14:textId="77777777" w:rsidR="0045216B" w:rsidRPr="0045216B" w:rsidRDefault="0045216B" w:rsidP="00E000CE">
            <w:pPr>
              <w:rPr>
                <w:rFonts w:asciiTheme="minorHAnsi" w:hAnsiTheme="minorHAnsi" w:cs="Calibri"/>
                <w:color w:val="FFFFFF" w:themeColor="background1"/>
                <w:sz w:val="22"/>
                <w:szCs w:val="21"/>
              </w:rPr>
            </w:pPr>
            <w:r w:rsidRPr="0045216B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  <w:t>Provincia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5657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</w:pP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t xml:space="preserve">Nuovi casi per </w:t>
            </w: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br/>
              <w:t xml:space="preserve">100.000 abitanti </w:t>
            </w: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br/>
              <w:t>7-13 settembre 2023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03622CF9" w14:textId="77777777" w:rsidR="0045216B" w:rsidRPr="0045216B" w:rsidRDefault="0045216B" w:rsidP="00E000CE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</w:pPr>
            <w:r w:rsidRPr="0045216B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  <w:t>Variazione % nuovi casi</w:t>
            </w:r>
          </w:p>
        </w:tc>
      </w:tr>
      <w:tr w:rsidR="0045216B" w:rsidRPr="0045216B" w14:paraId="4A920089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D72B9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AF81A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Chieti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0E39B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BC9DF8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30,8%</w:t>
            </w:r>
          </w:p>
        </w:tc>
      </w:tr>
      <w:tr w:rsidR="0045216B" w:rsidRPr="0045216B" w14:paraId="312689B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2B593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0A7DD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Teramo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8A089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378ECE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19,3%</w:t>
            </w:r>
          </w:p>
        </w:tc>
      </w:tr>
      <w:tr w:rsidR="0045216B" w:rsidRPr="0045216B" w14:paraId="5DCC289A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7E9CE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563F2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L'Aquila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C2ABD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C463E2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30,3%</w:t>
            </w:r>
          </w:p>
        </w:tc>
      </w:tr>
      <w:tr w:rsidR="0045216B" w:rsidRPr="0045216B" w14:paraId="0773FE1C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3E774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72EF1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Pescara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4BB2A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211945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62,8%</w:t>
            </w:r>
          </w:p>
        </w:tc>
      </w:tr>
      <w:tr w:rsidR="0045216B" w:rsidRPr="0045216B" w14:paraId="0A0808FE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E8365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7A5E7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Potenza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87869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94292D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54,8%</w:t>
            </w:r>
          </w:p>
        </w:tc>
      </w:tr>
      <w:tr w:rsidR="0045216B" w:rsidRPr="0045216B" w14:paraId="689DEF3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4DA57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D1414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Matera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C267F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51B050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14,3%</w:t>
            </w:r>
          </w:p>
        </w:tc>
      </w:tr>
      <w:tr w:rsidR="0045216B" w:rsidRPr="0045216B" w14:paraId="6245735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EFA20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276FC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Catanzaro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F74C6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63BE17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4,3%</w:t>
            </w:r>
          </w:p>
        </w:tc>
      </w:tr>
      <w:tr w:rsidR="0045216B" w:rsidRPr="0045216B" w14:paraId="47F9AA99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6693A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3BD06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Cosenza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B6CB9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7AE623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77,3%</w:t>
            </w:r>
          </w:p>
        </w:tc>
      </w:tr>
      <w:tr w:rsidR="0045216B" w:rsidRPr="0045216B" w14:paraId="467B89F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127D4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5D1AD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Reggio di Calabria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DC2C6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F9F89F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4,9%</w:t>
            </w:r>
          </w:p>
        </w:tc>
      </w:tr>
      <w:tr w:rsidR="0045216B" w:rsidRPr="0045216B" w14:paraId="1764E98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68910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90EAF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Vibo Valentia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93311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5CF290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-36,4%</w:t>
            </w:r>
          </w:p>
        </w:tc>
      </w:tr>
      <w:tr w:rsidR="0045216B" w:rsidRPr="0045216B" w14:paraId="02997EB9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60861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03E45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Crotone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5C816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2DC258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-23,8%</w:t>
            </w:r>
          </w:p>
        </w:tc>
      </w:tr>
      <w:tr w:rsidR="0045216B" w:rsidRPr="0045216B" w14:paraId="1D88CFF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9F334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7F343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Avellino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02F16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9F3EAE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40,5%</w:t>
            </w:r>
          </w:p>
        </w:tc>
      </w:tr>
      <w:tr w:rsidR="0045216B" w:rsidRPr="0045216B" w14:paraId="5AA64DEE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9EAAA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06329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CFCE3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D268AC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55,9%</w:t>
            </w:r>
          </w:p>
        </w:tc>
      </w:tr>
      <w:tr w:rsidR="0045216B" w:rsidRPr="0045216B" w14:paraId="22CC9590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087D4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BBC4A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Caserta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73C75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7B2D61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54,7%</w:t>
            </w:r>
          </w:p>
        </w:tc>
      </w:tr>
      <w:tr w:rsidR="0045216B" w:rsidRPr="0045216B" w14:paraId="195912A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92815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79B4A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Napoli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13A19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C2BDA0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61,8%</w:t>
            </w:r>
          </w:p>
        </w:tc>
      </w:tr>
      <w:tr w:rsidR="0045216B" w:rsidRPr="0045216B" w14:paraId="109F6B3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2D095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CB96A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Benevento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5EAAC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AC9892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23,4%</w:t>
            </w:r>
          </w:p>
        </w:tc>
      </w:tr>
      <w:tr w:rsidR="0045216B" w:rsidRPr="0045216B" w14:paraId="5B07918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E20DB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34869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Rimini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1CEEC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C02306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38,9%</w:t>
            </w:r>
          </w:p>
        </w:tc>
      </w:tr>
      <w:tr w:rsidR="0045216B" w:rsidRPr="0045216B" w14:paraId="18B46AB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C676F3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2181A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Ferrara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775E6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D6E3A0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47,7%</w:t>
            </w:r>
          </w:p>
        </w:tc>
      </w:tr>
      <w:tr w:rsidR="0045216B" w:rsidRPr="0045216B" w14:paraId="0C89B60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6DEDD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49BC9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Ravenna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D4361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32BA5F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-24,9%</w:t>
            </w:r>
          </w:p>
        </w:tc>
      </w:tr>
      <w:tr w:rsidR="0045216B" w:rsidRPr="0045216B" w14:paraId="0B39E87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196CE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73E0D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Piacenza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865D4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1B5EC6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58,5%</w:t>
            </w:r>
          </w:p>
        </w:tc>
      </w:tr>
      <w:tr w:rsidR="0045216B" w:rsidRPr="0045216B" w14:paraId="7960E3B9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97923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D12D4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Bologna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C3132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9C36E0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59,6%</w:t>
            </w:r>
          </w:p>
        </w:tc>
      </w:tr>
      <w:tr w:rsidR="0045216B" w:rsidRPr="0045216B" w14:paraId="41A19090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0D209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A8791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Forlì-Cesena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3ACD6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7E61AD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93,2%</w:t>
            </w:r>
          </w:p>
        </w:tc>
      </w:tr>
      <w:tr w:rsidR="0045216B" w:rsidRPr="0045216B" w14:paraId="5CF39B6A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33BCF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E4B1E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Reggio nell'Emilia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8A066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32426D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36,1%</w:t>
            </w:r>
          </w:p>
        </w:tc>
      </w:tr>
      <w:tr w:rsidR="0045216B" w:rsidRPr="0045216B" w14:paraId="0698E7F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9E150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98F65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Parma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2E86A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9F0667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45,7%</w:t>
            </w:r>
          </w:p>
        </w:tc>
      </w:tr>
      <w:tr w:rsidR="0045216B" w:rsidRPr="0045216B" w14:paraId="1C5BC07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07895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2C47D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Modena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CDB5C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2C3CB5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137,3%</w:t>
            </w:r>
          </w:p>
        </w:tc>
      </w:tr>
      <w:tr w:rsidR="0045216B" w:rsidRPr="0045216B" w14:paraId="0D21D2B9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F3472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FCBC2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Udine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CA944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DA77AE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42,9%</w:t>
            </w:r>
          </w:p>
        </w:tc>
      </w:tr>
      <w:tr w:rsidR="0045216B" w:rsidRPr="0045216B" w14:paraId="099666F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9DB38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FD6EA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Trieste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8BCFD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B25C9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69,7%</w:t>
            </w:r>
          </w:p>
        </w:tc>
      </w:tr>
      <w:tr w:rsidR="0045216B" w:rsidRPr="0045216B" w14:paraId="5D65844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F808D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77D90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Pordenone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CEA35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55DDFF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15,4%</w:t>
            </w:r>
          </w:p>
        </w:tc>
      </w:tr>
      <w:tr w:rsidR="0045216B" w:rsidRPr="0045216B" w14:paraId="6EB2176E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8FB20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AE103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Gorizia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B0B4A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30EED4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37,8%</w:t>
            </w:r>
          </w:p>
        </w:tc>
      </w:tr>
      <w:tr w:rsidR="0045216B" w:rsidRPr="0045216B" w14:paraId="61AED36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39D83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288D1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Latina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BAC19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8A29EB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57,2%</w:t>
            </w:r>
          </w:p>
        </w:tc>
      </w:tr>
      <w:tr w:rsidR="0045216B" w:rsidRPr="0045216B" w14:paraId="04D816C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F0EDD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E1E9C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Roma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D2AE3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D71766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43,8%</w:t>
            </w:r>
          </w:p>
        </w:tc>
      </w:tr>
      <w:tr w:rsidR="0045216B" w:rsidRPr="0045216B" w14:paraId="3274F0D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EE7D2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44F99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Rieti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290D5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6F0E45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83,3%</w:t>
            </w:r>
          </w:p>
        </w:tc>
      </w:tr>
      <w:tr w:rsidR="0045216B" w:rsidRPr="0045216B" w14:paraId="0D99B3F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483F0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A697A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Frosinone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13DC2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3F15D6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24,1%</w:t>
            </w:r>
          </w:p>
        </w:tc>
      </w:tr>
      <w:tr w:rsidR="0045216B" w:rsidRPr="0045216B" w14:paraId="5CFF2B93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9968A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501C9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Viterbo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66A65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D08931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70,4%</w:t>
            </w:r>
          </w:p>
        </w:tc>
      </w:tr>
      <w:tr w:rsidR="0045216B" w:rsidRPr="0045216B" w14:paraId="58A485A3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3780E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597B0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La Spezia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D1BC9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03BFEA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28,4%</w:t>
            </w:r>
          </w:p>
        </w:tc>
      </w:tr>
      <w:tr w:rsidR="0045216B" w:rsidRPr="0045216B" w14:paraId="3340F33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A7909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61AFB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Genova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9DE8C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BF8CF9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38,3%</w:t>
            </w:r>
          </w:p>
        </w:tc>
      </w:tr>
      <w:tr w:rsidR="0045216B" w:rsidRPr="0045216B" w14:paraId="037A03FA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BFDF5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E7322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Savona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7C6C3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51717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39,8%</w:t>
            </w:r>
          </w:p>
        </w:tc>
      </w:tr>
      <w:tr w:rsidR="0045216B" w:rsidRPr="0045216B" w14:paraId="40E0047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AF72DF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AB33A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Imperia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E935C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6C00DD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103,0%</w:t>
            </w:r>
          </w:p>
        </w:tc>
      </w:tr>
      <w:tr w:rsidR="0045216B" w:rsidRPr="0045216B" w14:paraId="3E09D23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19145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2E1AC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Cremona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C6481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EC887A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66,2%</w:t>
            </w:r>
          </w:p>
        </w:tc>
      </w:tr>
      <w:tr w:rsidR="0045216B" w:rsidRPr="0045216B" w14:paraId="32DC294A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D23DB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96054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Pavia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56057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61C32F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75,0%</w:t>
            </w:r>
          </w:p>
        </w:tc>
      </w:tr>
      <w:tr w:rsidR="0045216B" w:rsidRPr="0045216B" w14:paraId="0A3CA271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28C39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E44B2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Mantova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24D69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2491F2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65,5%</w:t>
            </w:r>
          </w:p>
        </w:tc>
      </w:tr>
      <w:tr w:rsidR="0045216B" w:rsidRPr="0045216B" w14:paraId="7CE03D08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306DE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591F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Lodi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EC553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B8D0AB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14,2%</w:t>
            </w:r>
          </w:p>
        </w:tc>
      </w:tr>
      <w:tr w:rsidR="0045216B" w:rsidRPr="0045216B" w14:paraId="5CC1CCC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924B1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57ED3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Brescia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33A5A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67CA1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63,5%</w:t>
            </w:r>
          </w:p>
        </w:tc>
      </w:tr>
      <w:tr w:rsidR="0045216B" w:rsidRPr="0045216B" w14:paraId="13939E6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DA772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1A63E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Milano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780A2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82A8DE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68,2%</w:t>
            </w:r>
          </w:p>
        </w:tc>
      </w:tr>
      <w:tr w:rsidR="0045216B" w:rsidRPr="0045216B" w14:paraId="3589EB3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31BA0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B97C4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Monza e della Brianza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E06C7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DAD89B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67,5%</w:t>
            </w:r>
          </w:p>
        </w:tc>
      </w:tr>
      <w:tr w:rsidR="0045216B" w:rsidRPr="0045216B" w14:paraId="257D6BBC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11181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D6CB6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Lecco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470BF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CA29D6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48,8%</w:t>
            </w:r>
          </w:p>
        </w:tc>
      </w:tr>
      <w:tr w:rsidR="0045216B" w:rsidRPr="0045216B" w14:paraId="6D76704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9AD3A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B77F8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Como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A3EBD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E9B0E0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38,8%</w:t>
            </w:r>
          </w:p>
        </w:tc>
      </w:tr>
      <w:tr w:rsidR="0045216B" w:rsidRPr="0045216B" w14:paraId="39167DF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BEE53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6BF4B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Bergamo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99432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FB18A6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79,4%</w:t>
            </w:r>
          </w:p>
        </w:tc>
      </w:tr>
      <w:tr w:rsidR="0045216B" w:rsidRPr="0045216B" w14:paraId="6A950468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EB0E3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8D81F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Varese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BFB1B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21213F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94,2%</w:t>
            </w:r>
          </w:p>
        </w:tc>
      </w:tr>
      <w:tr w:rsidR="0045216B" w:rsidRPr="0045216B" w14:paraId="594A3E58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D6F88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09185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Sondrio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AF80F4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96F2E2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-8,1%</w:t>
            </w:r>
          </w:p>
        </w:tc>
      </w:tr>
      <w:tr w:rsidR="0045216B" w:rsidRPr="0045216B" w14:paraId="20E27DE1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46AE4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99B53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Ancona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CAA2E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1D8452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-5,5%</w:t>
            </w:r>
          </w:p>
        </w:tc>
      </w:tr>
      <w:tr w:rsidR="0045216B" w:rsidRPr="0045216B" w14:paraId="7B2EC684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03F2D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88BEC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Fermo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0AF45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24C7B9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25,0%</w:t>
            </w:r>
          </w:p>
        </w:tc>
      </w:tr>
      <w:tr w:rsidR="0045216B" w:rsidRPr="0045216B" w14:paraId="46109A40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C82B4A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5970D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Macerata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4BB45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252303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11,6%</w:t>
            </w:r>
          </w:p>
        </w:tc>
      </w:tr>
      <w:tr w:rsidR="0045216B" w:rsidRPr="0045216B" w14:paraId="136DF52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FA752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46CFBD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Pesaro e Urbino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07049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C47A41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5,4%</w:t>
            </w:r>
          </w:p>
        </w:tc>
      </w:tr>
      <w:tr w:rsidR="0045216B" w:rsidRPr="0045216B" w14:paraId="1856E050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6265A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E3AAD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Ascoli Piceno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1EB46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6FCB92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-15,3%</w:t>
            </w:r>
          </w:p>
        </w:tc>
      </w:tr>
      <w:tr w:rsidR="0045216B" w:rsidRPr="0045216B" w14:paraId="7143BB9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E80ED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8D32C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Campobasso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E1E7B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88429C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66,7%</w:t>
            </w:r>
          </w:p>
        </w:tc>
      </w:tr>
      <w:tr w:rsidR="0045216B" w:rsidRPr="0045216B" w14:paraId="7C64C9A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816DB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5A22A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Isernia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AF0241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9A5E59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-25,0%</w:t>
            </w:r>
          </w:p>
        </w:tc>
      </w:tr>
      <w:tr w:rsidR="0045216B" w:rsidRPr="0045216B" w14:paraId="5CB07043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98438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P.A. Bolzano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62D59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Bolzano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A8523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7665AA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53,8%</w:t>
            </w:r>
          </w:p>
        </w:tc>
      </w:tr>
      <w:tr w:rsidR="0045216B" w:rsidRPr="0045216B" w14:paraId="303C7EFC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CFB1F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P.A. Trento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EC86E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Trento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007B7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38DC14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42,3%</w:t>
            </w:r>
          </w:p>
        </w:tc>
      </w:tr>
      <w:tr w:rsidR="0045216B" w:rsidRPr="0045216B" w14:paraId="67BBA481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E05A3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F2EE6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Asti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B135F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B6F4BC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118,8%</w:t>
            </w:r>
          </w:p>
        </w:tc>
      </w:tr>
      <w:tr w:rsidR="0045216B" w:rsidRPr="0045216B" w14:paraId="49733204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A2C91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089A1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Alessandria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0B78E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82A4A5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105,8%</w:t>
            </w:r>
          </w:p>
        </w:tc>
      </w:tr>
      <w:tr w:rsidR="0045216B" w:rsidRPr="0045216B" w14:paraId="15EC0ADA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529CB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5218F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Torino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941CA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01B648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108,3%</w:t>
            </w:r>
          </w:p>
        </w:tc>
      </w:tr>
      <w:tr w:rsidR="0045216B" w:rsidRPr="0045216B" w14:paraId="048906A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68FA1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4EA38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Novara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E4A98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3490D1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77,6%</w:t>
            </w:r>
          </w:p>
        </w:tc>
      </w:tr>
      <w:tr w:rsidR="0045216B" w:rsidRPr="0045216B" w14:paraId="699F7ED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7D0E47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D9CB7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Vercelli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5EDE4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382526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57,4%</w:t>
            </w:r>
          </w:p>
        </w:tc>
      </w:tr>
      <w:tr w:rsidR="0045216B" w:rsidRPr="0045216B" w14:paraId="5B7C322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D13CF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1DBC0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Biella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C35DF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8F9A00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118,2%</w:t>
            </w:r>
          </w:p>
        </w:tc>
      </w:tr>
      <w:tr w:rsidR="0045216B" w:rsidRPr="0045216B" w14:paraId="2E22AEB1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9E1D8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DF7F7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Verbano-Cusio-Ossola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29AD4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8E96DB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22,9%</w:t>
            </w:r>
          </w:p>
        </w:tc>
      </w:tr>
      <w:tr w:rsidR="0045216B" w:rsidRPr="0045216B" w14:paraId="4D65DC3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94928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C6BAF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Cuneo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FF286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EBD40A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102,9%</w:t>
            </w:r>
          </w:p>
        </w:tc>
      </w:tr>
      <w:tr w:rsidR="0045216B" w:rsidRPr="0045216B" w14:paraId="7B3B6D9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BF42B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6F3A8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Lecce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26056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2AABDA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3,2%</w:t>
            </w:r>
          </w:p>
        </w:tc>
      </w:tr>
      <w:tr w:rsidR="0045216B" w:rsidRPr="0045216B" w14:paraId="4E70E9F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E8083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90994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Bari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54E41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6BF92D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28,0%</w:t>
            </w:r>
          </w:p>
        </w:tc>
      </w:tr>
      <w:tr w:rsidR="0045216B" w:rsidRPr="0045216B" w14:paraId="5AA4397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CC9AD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05D42D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Taranto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D8E01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F195A2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17,2%</w:t>
            </w:r>
          </w:p>
        </w:tc>
      </w:tr>
      <w:tr w:rsidR="0045216B" w:rsidRPr="0045216B" w14:paraId="59758FF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3CBBD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FF9A8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Barletta-Andria-Trani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D8CC7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128E8B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66,2%</w:t>
            </w:r>
          </w:p>
        </w:tc>
      </w:tr>
      <w:tr w:rsidR="0045216B" w:rsidRPr="0045216B" w14:paraId="6A40BA2B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2214B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C81533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Foggia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637C8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BACAB9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-7,4%</w:t>
            </w:r>
          </w:p>
        </w:tc>
      </w:tr>
      <w:tr w:rsidR="0045216B" w:rsidRPr="0045216B" w14:paraId="6A022C9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32E16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FF22A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Brindisi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E278B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33E59A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11,6%</w:t>
            </w:r>
          </w:p>
        </w:tc>
      </w:tr>
      <w:tr w:rsidR="0045216B" w:rsidRPr="0045216B" w14:paraId="3612B04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757D4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450F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Cagliari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B28F2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C2AEEA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-11,3%</w:t>
            </w:r>
          </w:p>
        </w:tc>
      </w:tr>
      <w:tr w:rsidR="0045216B" w:rsidRPr="0045216B" w14:paraId="00CC5D0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012FF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99FBF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Oristano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63CF0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C0B190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-13,3%</w:t>
            </w:r>
          </w:p>
        </w:tc>
      </w:tr>
      <w:tr w:rsidR="0045216B" w:rsidRPr="0045216B" w14:paraId="1B4129D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1927E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1CFE1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Sassari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4CCBF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B39962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23,6%</w:t>
            </w:r>
          </w:p>
        </w:tc>
      </w:tr>
      <w:tr w:rsidR="0045216B" w:rsidRPr="0045216B" w14:paraId="4A8B6538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EEB2E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52690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Nuoro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93862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B8EA63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6,8%</w:t>
            </w:r>
          </w:p>
        </w:tc>
      </w:tr>
      <w:tr w:rsidR="0045216B" w:rsidRPr="0045216B" w14:paraId="02B9592C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B6FBF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EE39A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Sud Sardegna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25C71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53323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-36,9%</w:t>
            </w:r>
          </w:p>
        </w:tc>
      </w:tr>
      <w:tr w:rsidR="0045216B" w:rsidRPr="0045216B" w14:paraId="58FC986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9E988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4DEE4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Trapani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B9E61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3CBDD0B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6500"/>
                <w:sz w:val="21"/>
                <w:szCs w:val="21"/>
              </w:rPr>
              <w:t>0,0%</w:t>
            </w:r>
          </w:p>
        </w:tc>
      </w:tr>
      <w:tr w:rsidR="0045216B" w:rsidRPr="0045216B" w14:paraId="3EE1203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70844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8FB39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Catania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E8B3C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1463EB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195,7%</w:t>
            </w:r>
          </w:p>
        </w:tc>
      </w:tr>
      <w:tr w:rsidR="0045216B" w:rsidRPr="0045216B" w14:paraId="1AA60C23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9EA69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6AC8C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Enna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A62C4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AFE58E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250,0%</w:t>
            </w:r>
          </w:p>
        </w:tc>
      </w:tr>
      <w:tr w:rsidR="0045216B" w:rsidRPr="0045216B" w14:paraId="781E5558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2C493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02C80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Palermo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BFD19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3D75D2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-36,6%</w:t>
            </w:r>
          </w:p>
        </w:tc>
      </w:tr>
      <w:tr w:rsidR="0045216B" w:rsidRPr="0045216B" w14:paraId="7063A2F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BD148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C9F0D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Messina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C29218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0F70AB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-11,8%</w:t>
            </w:r>
          </w:p>
        </w:tc>
      </w:tr>
      <w:tr w:rsidR="0045216B" w:rsidRPr="0045216B" w14:paraId="439E9911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6FC15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57DCF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Agrigento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C51E2A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D2305B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-9,1%</w:t>
            </w:r>
          </w:p>
        </w:tc>
      </w:tr>
      <w:tr w:rsidR="0045216B" w:rsidRPr="0045216B" w14:paraId="7CAC114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62F08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B22C3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Caltanissetta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57AE5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0C7664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-14,3%</w:t>
            </w:r>
          </w:p>
        </w:tc>
      </w:tr>
      <w:tr w:rsidR="0045216B" w:rsidRPr="0045216B" w14:paraId="3FA41C5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20B0C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2BC18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Ragusa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AD1BA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A0AE94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-68,8%</w:t>
            </w:r>
          </w:p>
        </w:tc>
      </w:tr>
      <w:tr w:rsidR="0045216B" w:rsidRPr="0045216B" w14:paraId="3C4D08D7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DFFD6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089941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Siracusa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EC27B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7BD17F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6100"/>
                <w:sz w:val="21"/>
                <w:szCs w:val="21"/>
              </w:rPr>
              <w:t>-33,3%</w:t>
            </w:r>
          </w:p>
        </w:tc>
      </w:tr>
      <w:tr w:rsidR="0045216B" w:rsidRPr="0045216B" w14:paraId="452C10C4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58FD1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AF24527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Massa Carrara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53D54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A2A55D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6,0%</w:t>
            </w:r>
          </w:p>
        </w:tc>
      </w:tr>
      <w:tr w:rsidR="0045216B" w:rsidRPr="0045216B" w14:paraId="558E732D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8C0C3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BC773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Pistoia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3724E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090295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62,6%</w:t>
            </w:r>
          </w:p>
        </w:tc>
      </w:tr>
      <w:tr w:rsidR="0045216B" w:rsidRPr="0045216B" w14:paraId="46AB92D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E56242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F760C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Siena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49AF1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CCE7000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26,3%</w:t>
            </w:r>
          </w:p>
        </w:tc>
      </w:tr>
      <w:tr w:rsidR="0045216B" w:rsidRPr="0045216B" w14:paraId="0116A93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2CBF55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B5046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Pisa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77E70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3E69CB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31,8%</w:t>
            </w:r>
          </w:p>
        </w:tc>
      </w:tr>
      <w:tr w:rsidR="0045216B" w:rsidRPr="0045216B" w14:paraId="2180B78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6583A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79A3F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Livorno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944CC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F51D5B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52,8%</w:t>
            </w:r>
          </w:p>
        </w:tc>
      </w:tr>
      <w:tr w:rsidR="0045216B" w:rsidRPr="0045216B" w14:paraId="7E5B87B5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0CAA8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F6CEA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Lucca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623C0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8A49E5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65,5%</w:t>
            </w:r>
          </w:p>
        </w:tc>
      </w:tr>
      <w:tr w:rsidR="0045216B" w:rsidRPr="0045216B" w14:paraId="468A2B00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72209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5A1C9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Arezzo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07F33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D09A84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36,4%</w:t>
            </w:r>
          </w:p>
        </w:tc>
      </w:tr>
      <w:tr w:rsidR="0045216B" w:rsidRPr="0045216B" w14:paraId="4886727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A06C1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5FF7C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Firenze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B0D74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53F4D54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40,7%</w:t>
            </w:r>
          </w:p>
        </w:tc>
      </w:tr>
      <w:tr w:rsidR="0045216B" w:rsidRPr="0045216B" w14:paraId="6EC5F4A6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E349F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98EAF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Grosseto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7B9B1D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3FA922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50,0%</w:t>
            </w:r>
          </w:p>
        </w:tc>
      </w:tr>
      <w:tr w:rsidR="0045216B" w:rsidRPr="0045216B" w14:paraId="43C337B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4788B4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5439BB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Prato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4379AB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436576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32,8%</w:t>
            </w:r>
          </w:p>
        </w:tc>
      </w:tr>
      <w:tr w:rsidR="0045216B" w:rsidRPr="0045216B" w14:paraId="0C3ED894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3C937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F2E47F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Perugia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34BDEB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C66BBC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93,3%</w:t>
            </w:r>
          </w:p>
        </w:tc>
      </w:tr>
      <w:tr w:rsidR="0045216B" w:rsidRPr="0045216B" w14:paraId="2E89B222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074F0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7082C8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Terni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56236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399CE3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50,7%</w:t>
            </w:r>
          </w:p>
        </w:tc>
      </w:tr>
      <w:tr w:rsidR="0045216B" w:rsidRPr="0045216B" w14:paraId="5C5D812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839020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Valle d'Aosta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3D0A4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Aosta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C0C40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F2CFFC8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110,5%</w:t>
            </w:r>
          </w:p>
        </w:tc>
      </w:tr>
      <w:tr w:rsidR="0045216B" w:rsidRPr="0045216B" w14:paraId="3BCDC50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31C6A3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9E178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Padova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F99EB6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44A91F3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30,8%</w:t>
            </w:r>
          </w:p>
        </w:tc>
      </w:tr>
      <w:tr w:rsidR="0045216B" w:rsidRPr="0045216B" w14:paraId="2D9888DE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0DA99D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30CBB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Venezia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0429F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8CA8D39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42,9%</w:t>
            </w:r>
          </w:p>
        </w:tc>
      </w:tr>
      <w:tr w:rsidR="0045216B" w:rsidRPr="0045216B" w14:paraId="3A407D70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C7793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8271F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Verona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5B375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368102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75,4%</w:t>
            </w:r>
          </w:p>
        </w:tc>
      </w:tr>
      <w:tr w:rsidR="0045216B" w:rsidRPr="0045216B" w14:paraId="498EB76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19004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2CDF1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Rovigo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783945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039EEE7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12,8%</w:t>
            </w:r>
          </w:p>
        </w:tc>
      </w:tr>
      <w:tr w:rsidR="0045216B" w:rsidRPr="0045216B" w14:paraId="3C37ADAA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1FFAE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E99FD9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Belluno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A6348F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83B0B91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37,1%</w:t>
            </w:r>
          </w:p>
        </w:tc>
      </w:tr>
      <w:tr w:rsidR="0045216B" w:rsidRPr="0045216B" w14:paraId="6845AC8E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0E337E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DA2F5C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Treviso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5793F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1D3753E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40,3%</w:t>
            </w:r>
          </w:p>
        </w:tc>
      </w:tr>
      <w:tr w:rsidR="0045216B" w:rsidRPr="0045216B" w14:paraId="33D56F1F" w14:textId="77777777" w:rsidTr="0045216B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F9A60A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63C166" w14:textId="77777777" w:rsidR="0045216B" w:rsidRPr="0045216B" w:rsidRDefault="0045216B" w:rsidP="0045216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Vicenza</w:t>
            </w:r>
          </w:p>
        </w:tc>
        <w:tc>
          <w:tcPr>
            <w:tcW w:w="212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FF31E2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1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5297E0C" w14:textId="77777777" w:rsidR="0045216B" w:rsidRPr="0045216B" w:rsidRDefault="0045216B" w:rsidP="0045216B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45216B">
              <w:rPr>
                <w:rFonts w:asciiTheme="minorHAnsi" w:hAnsiTheme="minorHAnsi"/>
                <w:color w:val="9C0006"/>
                <w:sz w:val="21"/>
                <w:szCs w:val="21"/>
              </w:rPr>
              <w:t>38,8%</w:t>
            </w:r>
          </w:p>
        </w:tc>
      </w:tr>
      <w:tr w:rsidR="0045216B" w:rsidRPr="0045216B" w14:paraId="1F0F49A8" w14:textId="77777777" w:rsidTr="00E000CE">
        <w:tblPrEx>
          <w:shd w:val="clear" w:color="auto" w:fill="CDD4E9"/>
        </w:tblPrEx>
        <w:trPr>
          <w:trHeight w:val="567"/>
          <w:jc w:val="center"/>
        </w:trPr>
        <w:tc>
          <w:tcPr>
            <w:tcW w:w="8089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E14CD28" w14:textId="77777777" w:rsidR="0045216B" w:rsidRPr="0045216B" w:rsidRDefault="0045216B" w:rsidP="00E000CE">
            <w:pPr>
              <w:contextualSpacing/>
              <w:rPr>
                <w:rFonts w:asciiTheme="minorHAnsi" w:hAnsiTheme="minorHAnsi" w:cs="Calibri"/>
                <w:szCs w:val="21"/>
              </w:rPr>
            </w:pPr>
            <w:r w:rsidRPr="0045216B">
              <w:rPr>
                <w:rFonts w:asciiTheme="minorHAnsi" w:eastAsia="Times New Roman" w:hAnsiTheme="minorHAnsi" w:cs="Calibri"/>
                <w:szCs w:val="21"/>
                <w:bdr w:val="none" w:sz="0" w:space="0" w:color="auto"/>
              </w:rPr>
              <w:t>Nella quarta colonna i colori rosso e verde indicano rispettivamente un aumento o una diminuzione percentuale dei nuovi casi rispetto alla settimana precedente. Il colore giallo indica l’assenza di variazione percentuale dei nuovi casi rispetto alla settimana precedente.</w:t>
            </w:r>
          </w:p>
        </w:tc>
      </w:tr>
    </w:tbl>
    <w:p w14:paraId="28896882" w14:textId="77777777" w:rsidR="0045216B" w:rsidRPr="00CF5B4E" w:rsidRDefault="0045216B" w:rsidP="0045216B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3A7AF8BA" w14:textId="77777777" w:rsidR="0045216B" w:rsidRDefault="0045216B" w:rsidP="00ED23E5">
      <w:pPr>
        <w:jc w:val="both"/>
      </w:pPr>
    </w:p>
    <w:sectPr w:rsidR="00452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906AE" w14:textId="77777777" w:rsidR="00446449" w:rsidRDefault="00446449" w:rsidP="00496547">
      <w:pPr>
        <w:spacing w:after="0" w:line="240" w:lineRule="auto"/>
      </w:pPr>
      <w:r>
        <w:separator/>
      </w:r>
    </w:p>
  </w:endnote>
  <w:endnote w:type="continuationSeparator" w:id="0">
    <w:p w14:paraId="07050B87" w14:textId="77777777" w:rsidR="00446449" w:rsidRDefault="00446449" w:rsidP="0049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0850F" w14:textId="77777777" w:rsidR="00446449" w:rsidRDefault="00446449" w:rsidP="00496547">
      <w:pPr>
        <w:spacing w:after="0" w:line="240" w:lineRule="auto"/>
      </w:pPr>
      <w:r>
        <w:separator/>
      </w:r>
    </w:p>
  </w:footnote>
  <w:footnote w:type="continuationSeparator" w:id="0">
    <w:p w14:paraId="41844E82" w14:textId="77777777" w:rsidR="00446449" w:rsidRDefault="00446449" w:rsidP="0049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21E1"/>
    <w:multiLevelType w:val="hybridMultilevel"/>
    <w:tmpl w:val="E3AAAA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73C8C"/>
    <w:multiLevelType w:val="hybridMultilevel"/>
    <w:tmpl w:val="2F5AD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56"/>
    <w:rsid w:val="00004568"/>
    <w:rsid w:val="00014CC3"/>
    <w:rsid w:val="00017635"/>
    <w:rsid w:val="000628E0"/>
    <w:rsid w:val="00094309"/>
    <w:rsid w:val="000E04DA"/>
    <w:rsid w:val="000F482F"/>
    <w:rsid w:val="00133AA5"/>
    <w:rsid w:val="00137F25"/>
    <w:rsid w:val="0016243C"/>
    <w:rsid w:val="001A4246"/>
    <w:rsid w:val="001B063A"/>
    <w:rsid w:val="001D033E"/>
    <w:rsid w:val="001F2E1A"/>
    <w:rsid w:val="002569AC"/>
    <w:rsid w:val="002815F1"/>
    <w:rsid w:val="002852AA"/>
    <w:rsid w:val="002B4E94"/>
    <w:rsid w:val="002C3B91"/>
    <w:rsid w:val="002C4FCE"/>
    <w:rsid w:val="002D1F98"/>
    <w:rsid w:val="002E6FF3"/>
    <w:rsid w:val="002F0AD3"/>
    <w:rsid w:val="002F6D78"/>
    <w:rsid w:val="003164FB"/>
    <w:rsid w:val="00320096"/>
    <w:rsid w:val="00344D70"/>
    <w:rsid w:val="003611CD"/>
    <w:rsid w:val="00372EB0"/>
    <w:rsid w:val="003A03B5"/>
    <w:rsid w:val="003A07ED"/>
    <w:rsid w:val="003C4DCE"/>
    <w:rsid w:val="003E663C"/>
    <w:rsid w:val="00420D02"/>
    <w:rsid w:val="0042332A"/>
    <w:rsid w:val="00446449"/>
    <w:rsid w:val="0045216B"/>
    <w:rsid w:val="00496547"/>
    <w:rsid w:val="004A3E07"/>
    <w:rsid w:val="004B4910"/>
    <w:rsid w:val="004E0C60"/>
    <w:rsid w:val="00505E2C"/>
    <w:rsid w:val="00512956"/>
    <w:rsid w:val="00515DA9"/>
    <w:rsid w:val="00520398"/>
    <w:rsid w:val="005313AF"/>
    <w:rsid w:val="005361F2"/>
    <w:rsid w:val="00547AC3"/>
    <w:rsid w:val="00555616"/>
    <w:rsid w:val="00556B7E"/>
    <w:rsid w:val="00561206"/>
    <w:rsid w:val="005A02AD"/>
    <w:rsid w:val="005B74E8"/>
    <w:rsid w:val="005D0A3E"/>
    <w:rsid w:val="005F5F55"/>
    <w:rsid w:val="006305B7"/>
    <w:rsid w:val="00662057"/>
    <w:rsid w:val="00686D06"/>
    <w:rsid w:val="0068780C"/>
    <w:rsid w:val="006A7383"/>
    <w:rsid w:val="006B1A50"/>
    <w:rsid w:val="006D6626"/>
    <w:rsid w:val="0070051D"/>
    <w:rsid w:val="007104C2"/>
    <w:rsid w:val="00714A19"/>
    <w:rsid w:val="00734235"/>
    <w:rsid w:val="007344BB"/>
    <w:rsid w:val="00756FBF"/>
    <w:rsid w:val="00781849"/>
    <w:rsid w:val="007A0C81"/>
    <w:rsid w:val="007C01D9"/>
    <w:rsid w:val="008421A9"/>
    <w:rsid w:val="00856757"/>
    <w:rsid w:val="00865356"/>
    <w:rsid w:val="00877DE7"/>
    <w:rsid w:val="00890C08"/>
    <w:rsid w:val="008B6A66"/>
    <w:rsid w:val="008C6241"/>
    <w:rsid w:val="00915892"/>
    <w:rsid w:val="00950175"/>
    <w:rsid w:val="00960E44"/>
    <w:rsid w:val="00966CBD"/>
    <w:rsid w:val="009811BE"/>
    <w:rsid w:val="00983956"/>
    <w:rsid w:val="009859F6"/>
    <w:rsid w:val="009A447A"/>
    <w:rsid w:val="009D66CC"/>
    <w:rsid w:val="009F72D5"/>
    <w:rsid w:val="00A055B7"/>
    <w:rsid w:val="00A211EC"/>
    <w:rsid w:val="00A54C30"/>
    <w:rsid w:val="00A81D1D"/>
    <w:rsid w:val="00A85B99"/>
    <w:rsid w:val="00A87CBF"/>
    <w:rsid w:val="00A90659"/>
    <w:rsid w:val="00AC7D6E"/>
    <w:rsid w:val="00AD5A00"/>
    <w:rsid w:val="00AE4C21"/>
    <w:rsid w:val="00B1478E"/>
    <w:rsid w:val="00B900CD"/>
    <w:rsid w:val="00B91BE4"/>
    <w:rsid w:val="00BC7C35"/>
    <w:rsid w:val="00BE1E04"/>
    <w:rsid w:val="00C435A7"/>
    <w:rsid w:val="00C45978"/>
    <w:rsid w:val="00C62DB5"/>
    <w:rsid w:val="00C71275"/>
    <w:rsid w:val="00C9109F"/>
    <w:rsid w:val="00C92A9C"/>
    <w:rsid w:val="00CB4269"/>
    <w:rsid w:val="00CB48F4"/>
    <w:rsid w:val="00CB5918"/>
    <w:rsid w:val="00CF1453"/>
    <w:rsid w:val="00CF69AF"/>
    <w:rsid w:val="00CF7551"/>
    <w:rsid w:val="00D03C3F"/>
    <w:rsid w:val="00D11BDC"/>
    <w:rsid w:val="00D24B14"/>
    <w:rsid w:val="00D37AD7"/>
    <w:rsid w:val="00D81041"/>
    <w:rsid w:val="00D94315"/>
    <w:rsid w:val="00DD6613"/>
    <w:rsid w:val="00DE1F46"/>
    <w:rsid w:val="00E000CE"/>
    <w:rsid w:val="00E010C5"/>
    <w:rsid w:val="00E11E06"/>
    <w:rsid w:val="00E12E96"/>
    <w:rsid w:val="00E13C72"/>
    <w:rsid w:val="00E15DCB"/>
    <w:rsid w:val="00E20773"/>
    <w:rsid w:val="00E4117A"/>
    <w:rsid w:val="00E505C9"/>
    <w:rsid w:val="00EA23C8"/>
    <w:rsid w:val="00ED23E5"/>
    <w:rsid w:val="00EE7E9B"/>
    <w:rsid w:val="00EF0E6C"/>
    <w:rsid w:val="00EF20B6"/>
    <w:rsid w:val="00EF7CA0"/>
    <w:rsid w:val="00F229E6"/>
    <w:rsid w:val="00F34499"/>
    <w:rsid w:val="00F35ED4"/>
    <w:rsid w:val="00F75B8E"/>
    <w:rsid w:val="00F80C07"/>
    <w:rsid w:val="00F94751"/>
    <w:rsid w:val="00F977D1"/>
    <w:rsid w:val="00FB7E55"/>
    <w:rsid w:val="00FC6A77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6C5B"/>
  <w15:chartTrackingRefBased/>
  <w15:docId w15:val="{513DA621-8924-4BF6-B5EF-68AE046B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C4D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4D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C4D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4D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4DC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9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5E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65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65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96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547"/>
  </w:style>
  <w:style w:type="paragraph" w:styleId="Pidipagina">
    <w:name w:val="footer"/>
    <w:basedOn w:val="Normale"/>
    <w:link w:val="PidipaginaCarattere"/>
    <w:uiPriority w:val="99"/>
    <w:unhideWhenUsed/>
    <w:rsid w:val="00496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547"/>
  </w:style>
  <w:style w:type="table" w:customStyle="1" w:styleId="TableNormal1">
    <w:name w:val="Table Normal1"/>
    <w:rsid w:val="004521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D1F98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1F98"/>
    <w:rPr>
      <w:color w:val="605E5C"/>
      <w:shd w:val="clear" w:color="auto" w:fill="E1DFDD"/>
    </w:rPr>
  </w:style>
  <w:style w:type="character" w:customStyle="1" w:styleId="Hyperlink1">
    <w:name w:val="Hyperlink.1"/>
    <w:basedOn w:val="Carpredefinitoparagrafo"/>
    <w:rsid w:val="00890C08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ui-provider">
    <w:name w:val="ui-provider"/>
    <w:basedOn w:val="Carpredefinitoparagrafo"/>
    <w:rsid w:val="005D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vanorme.salute.gov.it/norme/dettaglioAtto?id=79974&amp;articolo=33" TargetMode="External"/><Relationship Id="rId13" Type="http://schemas.openxmlformats.org/officeDocument/2006/relationships/hyperlink" Target="https://www.trovanorme.salute.gov.it/norme/renderNormsanPdf?anno=2023&amp;codLeg=95893&amp;parte=1%20&amp;serie=nul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ovanorme.salute.gov.it/norme/renderNormsanPdf?anno=2023&amp;codLeg=96184&amp;parte=1%20&amp;serie=nul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centro.iss.it/coronavirus/pdf/sars-cov-2-monitoraggio-varianti-indagini-rapide-agosto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ficio.stampa@gimbe.org" TargetMode="External"/><Relationship Id="rId10" Type="http://schemas.openxmlformats.org/officeDocument/2006/relationships/hyperlink" Target="https://www.ecdc.europa.eu/en/covid-19/variants-concer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epicentro.iss.it/coronavirus/bollettino/Bollettino-sorveglianza-integrata-COVID-19_13-settembre-2023.pdf" TargetMode="External"/><Relationship Id="rId14" Type="http://schemas.openxmlformats.org/officeDocument/2006/relationships/hyperlink" Target="https://coronavirus.gimbe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2914-587B-4045-881D-CC1A907A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Orsi</dc:creator>
  <cp:keywords/>
  <dc:description/>
  <cp:lastModifiedBy>Luca Bellusci</cp:lastModifiedBy>
  <cp:revision>7</cp:revision>
  <dcterms:created xsi:type="dcterms:W3CDTF">2023-09-18T13:21:00Z</dcterms:created>
  <dcterms:modified xsi:type="dcterms:W3CDTF">2023-09-19T07:58:00Z</dcterms:modified>
</cp:coreProperties>
</file>