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08DD" w14:textId="77777777" w:rsidR="00496547" w:rsidRDefault="00496547" w:rsidP="00496547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47CC94A6" w14:textId="56CFAFA6" w:rsidR="00663211" w:rsidRPr="008A2C08" w:rsidRDefault="00663211" w:rsidP="00663211">
      <w:pPr>
        <w:pStyle w:val="Testocommento"/>
        <w:spacing w:line="276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bookmarkStart w:id="0" w:name="_Hlk145938210"/>
      <w:r w:rsidRPr="008A2C08">
        <w:rPr>
          <w:rFonts w:ascii="Calibri" w:eastAsia="Calibri" w:hAnsi="Calibri" w:cs="Times New Roman"/>
          <w:b/>
          <w:bCs/>
          <w:sz w:val="36"/>
          <w:szCs w:val="36"/>
        </w:rPr>
        <w:t xml:space="preserve">CORONAVIRUS: </w:t>
      </w:r>
      <w:r w:rsidR="00C31E9C">
        <w:rPr>
          <w:rFonts w:ascii="Calibri" w:eastAsia="Calibri" w:hAnsi="Calibri" w:cs="Times New Roman"/>
          <w:b/>
          <w:bCs/>
          <w:sz w:val="36"/>
          <w:szCs w:val="36"/>
        </w:rPr>
        <w:t xml:space="preserve">NELLE ULTIME 3 SETTIMANE </w:t>
      </w:r>
      <w:r w:rsidRPr="008A2C08">
        <w:rPr>
          <w:rFonts w:ascii="Calibri" w:eastAsia="Calibri" w:hAnsi="Calibri" w:cs="Times New Roman"/>
          <w:b/>
          <w:bCs/>
          <w:sz w:val="36"/>
          <w:szCs w:val="36"/>
        </w:rPr>
        <w:t xml:space="preserve">CONTAGI 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SETTIMANALI </w:t>
      </w:r>
      <w:r w:rsidRPr="008A2C08">
        <w:rPr>
          <w:rFonts w:ascii="Calibri" w:eastAsia="Calibri" w:hAnsi="Calibri" w:cs="Times New Roman"/>
          <w:b/>
          <w:bCs/>
          <w:sz w:val="36"/>
          <w:szCs w:val="36"/>
        </w:rPr>
        <w:t>QUAS</w:t>
      </w:r>
      <w:bookmarkStart w:id="1" w:name="_GoBack"/>
      <w:bookmarkEnd w:id="1"/>
      <w:r w:rsidRPr="008A2C08">
        <w:rPr>
          <w:rFonts w:ascii="Calibri" w:eastAsia="Calibri" w:hAnsi="Calibri" w:cs="Times New Roman"/>
          <w:b/>
          <w:bCs/>
          <w:sz w:val="36"/>
          <w:szCs w:val="36"/>
        </w:rPr>
        <w:t xml:space="preserve">I RADDOPPIATI </w:t>
      </w:r>
      <w:r>
        <w:rPr>
          <w:rFonts w:ascii="Calibri" w:eastAsia="Calibri" w:hAnsi="Calibri" w:cs="Times New Roman"/>
          <w:b/>
          <w:bCs/>
          <w:sz w:val="36"/>
          <w:szCs w:val="36"/>
        </w:rPr>
        <w:t>(+94,3%)</w:t>
      </w:r>
      <w:r w:rsidR="00185CE7">
        <w:rPr>
          <w:rFonts w:ascii="Calibri" w:eastAsia="Calibri" w:hAnsi="Calibri" w:cs="Times New Roman"/>
          <w:b/>
          <w:bCs/>
          <w:sz w:val="36"/>
          <w:szCs w:val="36"/>
        </w:rPr>
        <w:t>, CRESCONO I</w:t>
      </w:r>
      <w:r w:rsidR="00220BAF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185CE7" w:rsidRPr="008A2C08">
        <w:rPr>
          <w:rFonts w:ascii="Calibri" w:eastAsia="Calibri" w:hAnsi="Calibri" w:cs="Times New Roman"/>
          <w:b/>
          <w:bCs/>
          <w:sz w:val="36"/>
          <w:szCs w:val="36"/>
        </w:rPr>
        <w:t>RICOVER</w:t>
      </w:r>
      <w:r w:rsidR="00185CE7">
        <w:rPr>
          <w:rFonts w:ascii="Calibri" w:eastAsia="Calibri" w:hAnsi="Calibri" w:cs="Times New Roman"/>
          <w:b/>
          <w:bCs/>
          <w:sz w:val="36"/>
          <w:szCs w:val="36"/>
        </w:rPr>
        <w:t xml:space="preserve">I </w:t>
      </w:r>
      <w:r w:rsidRPr="008A2C08">
        <w:rPr>
          <w:rFonts w:ascii="Calibri" w:eastAsia="Calibri" w:hAnsi="Calibri" w:cs="Times New Roman"/>
          <w:b/>
          <w:bCs/>
          <w:sz w:val="36"/>
          <w:szCs w:val="36"/>
        </w:rPr>
        <w:t xml:space="preserve">IN AREA MEDICA </w:t>
      </w:r>
      <w:r w:rsidR="00C31E9C">
        <w:rPr>
          <w:rFonts w:ascii="Calibri" w:eastAsia="Calibri" w:hAnsi="Calibri" w:cs="Times New Roman"/>
          <w:b/>
          <w:bCs/>
          <w:sz w:val="36"/>
          <w:szCs w:val="36"/>
        </w:rPr>
        <w:t>(+</w:t>
      </w:r>
      <w:r w:rsidR="00F606D9">
        <w:rPr>
          <w:rFonts w:ascii="Calibri" w:eastAsia="Calibri" w:hAnsi="Calibri" w:cs="Times New Roman"/>
          <w:b/>
          <w:bCs/>
          <w:sz w:val="36"/>
          <w:szCs w:val="36"/>
        </w:rPr>
        <w:t>58,1</w:t>
      </w:r>
      <w:r w:rsidR="00C31E9C">
        <w:rPr>
          <w:rFonts w:ascii="Calibri" w:eastAsia="Calibri" w:hAnsi="Calibri" w:cs="Times New Roman"/>
          <w:b/>
          <w:bCs/>
          <w:sz w:val="36"/>
          <w:szCs w:val="36"/>
        </w:rPr>
        <w:t>%)</w:t>
      </w:r>
      <w:r w:rsidR="003E622E">
        <w:rPr>
          <w:rFonts w:ascii="Calibri" w:eastAsia="Calibri" w:hAnsi="Calibri" w:cs="Times New Roman"/>
          <w:b/>
          <w:bCs/>
          <w:sz w:val="36"/>
          <w:szCs w:val="36"/>
        </w:rPr>
        <w:t>.</w:t>
      </w:r>
      <w:r w:rsidR="003E622E"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AC124E" w:rsidRPr="003E622E">
        <w:rPr>
          <w:rFonts w:ascii="Calibri" w:eastAsia="Calibri" w:hAnsi="Calibri" w:cs="Times New Roman"/>
          <w:b/>
          <w:bCs/>
          <w:spacing w:val="-4"/>
          <w:sz w:val="36"/>
          <w:szCs w:val="36"/>
        </w:rPr>
        <w:t xml:space="preserve">IN UN MESE </w:t>
      </w:r>
      <w:r w:rsidR="00214E74" w:rsidRPr="003E622E">
        <w:rPr>
          <w:rFonts w:ascii="Calibri" w:eastAsia="Calibri" w:hAnsi="Calibri" w:cs="Times New Roman"/>
          <w:b/>
          <w:bCs/>
          <w:spacing w:val="-4"/>
          <w:sz w:val="36"/>
          <w:szCs w:val="36"/>
        </w:rPr>
        <w:t xml:space="preserve"> </w:t>
      </w:r>
      <w:r w:rsidR="00DC5C88" w:rsidRPr="003E622E">
        <w:rPr>
          <w:rFonts w:ascii="Calibri" w:eastAsia="Calibri" w:hAnsi="Calibri" w:cs="Times New Roman"/>
          <w:b/>
          <w:bCs/>
          <w:spacing w:val="-4"/>
          <w:sz w:val="36"/>
          <w:szCs w:val="36"/>
        </w:rPr>
        <w:t xml:space="preserve">881 </w:t>
      </w:r>
      <w:r w:rsidR="00214E74" w:rsidRPr="003E622E">
        <w:rPr>
          <w:rFonts w:ascii="Calibri" w:eastAsia="Calibri" w:hAnsi="Calibri" w:cs="Times New Roman"/>
          <w:b/>
          <w:bCs/>
          <w:spacing w:val="-4"/>
          <w:sz w:val="36"/>
          <w:szCs w:val="36"/>
        </w:rPr>
        <w:t xml:space="preserve">DECESSI, </w:t>
      </w:r>
      <w:r w:rsidR="00AC124E" w:rsidRPr="003E622E">
        <w:rPr>
          <w:rFonts w:ascii="Calibri" w:eastAsia="Calibri" w:hAnsi="Calibri" w:cs="Times New Roman"/>
          <w:b/>
          <w:bCs/>
          <w:spacing w:val="-4"/>
          <w:sz w:val="36"/>
          <w:szCs w:val="36"/>
        </w:rPr>
        <w:t>QUASI TUTTI</w:t>
      </w:r>
      <w:r w:rsidR="00214E74" w:rsidRPr="003E622E">
        <w:rPr>
          <w:rFonts w:ascii="Calibri" w:eastAsia="Calibri" w:hAnsi="Calibri" w:cs="Times New Roman"/>
          <w:b/>
          <w:bCs/>
          <w:spacing w:val="-4"/>
          <w:sz w:val="36"/>
          <w:szCs w:val="36"/>
        </w:rPr>
        <w:t xml:space="preserve"> A CARICO DEGLI OVER 80</w:t>
      </w:r>
      <w:r w:rsidR="003E622E" w:rsidRPr="003E622E">
        <w:rPr>
          <w:rFonts w:ascii="Calibri" w:eastAsia="Calibri" w:hAnsi="Calibri" w:cs="Times New Roman"/>
          <w:b/>
          <w:bCs/>
          <w:spacing w:val="-4"/>
          <w:sz w:val="36"/>
          <w:szCs w:val="36"/>
        </w:rPr>
        <w:t>.</w:t>
      </w:r>
      <w:r w:rsidR="003E622E">
        <w:rPr>
          <w:rFonts w:ascii="Calibri" w:eastAsia="Calibri" w:hAnsi="Calibri" w:cs="Times New Roman"/>
          <w:b/>
          <w:bCs/>
          <w:spacing w:val="-2"/>
          <w:sz w:val="36"/>
          <w:szCs w:val="36"/>
        </w:rPr>
        <w:br/>
      </w:r>
      <w:r w:rsidR="00A6503F">
        <w:rPr>
          <w:rFonts w:ascii="Calibri" w:eastAsia="Calibri" w:hAnsi="Calibri" w:cs="Times New Roman"/>
          <w:b/>
          <w:bCs/>
          <w:sz w:val="36"/>
          <w:szCs w:val="36"/>
        </w:rPr>
        <w:t xml:space="preserve">AL PALO CAMPAGNA </w:t>
      </w:r>
      <w:r w:rsidRPr="008A2C08">
        <w:rPr>
          <w:rFonts w:ascii="Calibri" w:eastAsia="Calibri" w:hAnsi="Calibri" w:cs="Times New Roman"/>
          <w:b/>
          <w:bCs/>
          <w:sz w:val="36"/>
          <w:szCs w:val="36"/>
        </w:rPr>
        <w:t>VACCINAL</w:t>
      </w:r>
      <w:r w:rsidR="00A6503F">
        <w:rPr>
          <w:rFonts w:ascii="Calibri" w:eastAsia="Calibri" w:hAnsi="Calibri" w:cs="Times New Roman"/>
          <w:b/>
          <w:bCs/>
          <w:sz w:val="36"/>
          <w:szCs w:val="36"/>
        </w:rPr>
        <w:t>E</w:t>
      </w:r>
      <w:r w:rsidR="00DC5C88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A6503F">
        <w:rPr>
          <w:rFonts w:ascii="Calibri" w:eastAsia="Calibri" w:hAnsi="Calibri" w:cs="Times New Roman"/>
          <w:b/>
          <w:bCs/>
          <w:sz w:val="36"/>
          <w:szCs w:val="36"/>
        </w:rPr>
        <w:t>PER ANZIANI E FRAGILI, IN PARTICOLARE AL SUD</w:t>
      </w:r>
      <w:r w:rsidRPr="008A2C08">
        <w:rPr>
          <w:rFonts w:ascii="Calibri" w:eastAsia="Calibri" w:hAnsi="Calibri" w:cs="Times New Roman"/>
          <w:b/>
          <w:bCs/>
          <w:sz w:val="36"/>
          <w:szCs w:val="36"/>
        </w:rPr>
        <w:t>: COPERTO SOLO</w:t>
      </w:r>
      <w:r w:rsidR="00AC124E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Pr="00DC5C88">
        <w:rPr>
          <w:rFonts w:ascii="Calibri" w:eastAsia="Calibri" w:hAnsi="Calibri" w:cs="Times New Roman"/>
          <w:b/>
          <w:bCs/>
          <w:sz w:val="36"/>
          <w:szCs w:val="36"/>
        </w:rPr>
        <w:t xml:space="preserve">IL </w:t>
      </w:r>
      <w:r w:rsidR="00DC5C88" w:rsidRPr="00DC5C88">
        <w:rPr>
          <w:rFonts w:ascii="Calibri" w:eastAsia="Calibri" w:hAnsi="Calibri" w:cs="Times New Roman"/>
          <w:b/>
          <w:bCs/>
          <w:sz w:val="36"/>
          <w:szCs w:val="36"/>
        </w:rPr>
        <w:t>7,4</w:t>
      </w:r>
      <w:r w:rsidRPr="00DC5C88">
        <w:rPr>
          <w:rFonts w:ascii="Calibri" w:eastAsia="Calibri" w:hAnsi="Calibri" w:cs="Times New Roman"/>
          <w:b/>
          <w:bCs/>
          <w:sz w:val="36"/>
          <w:szCs w:val="36"/>
        </w:rPr>
        <w:t xml:space="preserve">% DEGLI </w:t>
      </w:r>
      <w:r>
        <w:rPr>
          <w:rFonts w:ascii="Calibri" w:eastAsia="Calibri" w:hAnsi="Calibri" w:cs="Times New Roman"/>
          <w:b/>
          <w:bCs/>
          <w:sz w:val="36"/>
          <w:szCs w:val="36"/>
        </w:rPr>
        <w:t>OVER 80</w:t>
      </w:r>
    </w:p>
    <w:bookmarkEnd w:id="0"/>
    <w:p w14:paraId="0E6F74DB" w14:textId="77777777" w:rsidR="00496547" w:rsidRPr="00496547" w:rsidRDefault="008A2C08" w:rsidP="0049654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5 dicembre </w:t>
      </w:r>
      <w:r w:rsidR="00496547" w:rsidRPr="00496547">
        <w:rPr>
          <w:rFonts w:ascii="Calibri" w:eastAsia="Calibri" w:hAnsi="Calibri" w:cs="Times New Roman"/>
          <w:b/>
          <w:bCs/>
          <w:sz w:val="24"/>
          <w:szCs w:val="24"/>
        </w:rPr>
        <w:t xml:space="preserve">2023 </w:t>
      </w:r>
      <w:r w:rsidR="00496547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="0049654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496547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64E2B326" w14:textId="7AE0E885" w:rsidR="00DA288A" w:rsidRDefault="00F35ED4" w:rsidP="00B900CD">
      <w:pPr>
        <w:spacing w:after="120" w:line="276" w:lineRule="auto"/>
        <w:jc w:val="both"/>
        <w:rPr>
          <w:bCs/>
        </w:rPr>
      </w:pPr>
      <w:r w:rsidRPr="00DE1F46">
        <w:rPr>
          <w:bCs/>
        </w:rPr>
        <w:t>Dopo</w:t>
      </w:r>
      <w:r w:rsidR="002C4FCE" w:rsidRPr="00DE1F46">
        <w:rPr>
          <w:bCs/>
        </w:rPr>
        <w:t xml:space="preserve"> </w:t>
      </w:r>
      <w:r w:rsidR="00214E74">
        <w:rPr>
          <w:bCs/>
        </w:rPr>
        <w:t xml:space="preserve">circa un mese </w:t>
      </w:r>
      <w:r w:rsidRPr="00DE1F46">
        <w:rPr>
          <w:bCs/>
        </w:rPr>
        <w:t>di sostanziale stabilità del numero dei nuovi casi settimanali</w:t>
      </w:r>
      <w:r w:rsidR="00214E74">
        <w:rPr>
          <w:bCs/>
        </w:rPr>
        <w:t>,</w:t>
      </w:r>
      <w:r w:rsidR="000E04DA" w:rsidRPr="00DE1F46">
        <w:rPr>
          <w:bCs/>
        </w:rPr>
        <w:t xml:space="preserve"> </w:t>
      </w:r>
      <w:r w:rsidRPr="00DE1F46">
        <w:rPr>
          <w:bCs/>
        </w:rPr>
        <w:t xml:space="preserve">da </w:t>
      </w:r>
      <w:r w:rsidR="00DA288A">
        <w:rPr>
          <w:bCs/>
        </w:rPr>
        <w:t>3</w:t>
      </w:r>
      <w:r w:rsidRPr="00DE1F46">
        <w:rPr>
          <w:bCs/>
        </w:rPr>
        <w:t xml:space="preserve"> settimane consecutive si rileva </w:t>
      </w:r>
      <w:r w:rsidR="007F0148">
        <w:rPr>
          <w:bCs/>
        </w:rPr>
        <w:t>l</w:t>
      </w:r>
      <w:r w:rsidRPr="00DE1F46">
        <w:rPr>
          <w:bCs/>
        </w:rPr>
        <w:t xml:space="preserve">a </w:t>
      </w:r>
      <w:r w:rsidR="000E04DA" w:rsidRPr="00DE1F46">
        <w:rPr>
          <w:bCs/>
        </w:rPr>
        <w:t xml:space="preserve">progressiva </w:t>
      </w:r>
      <w:r w:rsidRPr="00DE1F46">
        <w:rPr>
          <w:bCs/>
        </w:rPr>
        <w:t>ripresa della circolazione virale.</w:t>
      </w:r>
      <w:r w:rsidR="000E04DA" w:rsidRPr="00DE1F46">
        <w:rPr>
          <w:bCs/>
        </w:rPr>
        <w:t xml:space="preserve"> Infatti, dalla settimana </w:t>
      </w:r>
      <w:r w:rsidR="00DA288A">
        <w:rPr>
          <w:bCs/>
        </w:rPr>
        <w:t>2-8 novembre</w:t>
      </w:r>
      <w:r w:rsidR="000E04DA" w:rsidRPr="00DE1F46">
        <w:rPr>
          <w:bCs/>
        </w:rPr>
        <w:t xml:space="preserve"> a quella </w:t>
      </w:r>
      <w:r w:rsidR="00DA288A">
        <w:rPr>
          <w:bCs/>
        </w:rPr>
        <w:t xml:space="preserve">23-29 </w:t>
      </w:r>
      <w:r w:rsidR="00DA288A" w:rsidRPr="000C5C1F">
        <w:rPr>
          <w:bCs/>
        </w:rPr>
        <w:t xml:space="preserve">novembre </w:t>
      </w:r>
      <w:r w:rsidR="000E04DA" w:rsidRPr="000C5C1F">
        <w:rPr>
          <w:bCs/>
        </w:rPr>
        <w:t xml:space="preserve">il numero dei </w:t>
      </w:r>
      <w:r w:rsidRPr="000C5C1F">
        <w:rPr>
          <w:bCs/>
        </w:rPr>
        <w:t xml:space="preserve">nuovi casi settimanali </w:t>
      </w:r>
      <w:r w:rsidR="000E04DA" w:rsidRPr="000C5C1F">
        <w:rPr>
          <w:bCs/>
        </w:rPr>
        <w:t>è</w:t>
      </w:r>
      <w:r w:rsidRPr="000C5C1F">
        <w:rPr>
          <w:bCs/>
        </w:rPr>
        <w:t xml:space="preserve"> </w:t>
      </w:r>
      <w:r w:rsidR="000E04DA" w:rsidRPr="000C5C1F">
        <w:rPr>
          <w:bCs/>
        </w:rPr>
        <w:t>aumentato</w:t>
      </w:r>
      <w:r w:rsidRPr="000C5C1F">
        <w:rPr>
          <w:bCs/>
        </w:rPr>
        <w:t xml:space="preserve"> da </w:t>
      </w:r>
      <w:r w:rsidR="00DA288A" w:rsidRPr="000C5C1F">
        <w:rPr>
          <w:bCs/>
        </w:rPr>
        <w:t>26.855</w:t>
      </w:r>
      <w:r w:rsidR="000C5C1F" w:rsidRPr="000C5C1F">
        <w:rPr>
          <w:bCs/>
        </w:rPr>
        <w:t xml:space="preserve"> a 52.175</w:t>
      </w:r>
      <w:r w:rsidR="00DA288A" w:rsidRPr="000C5C1F">
        <w:rPr>
          <w:bCs/>
        </w:rPr>
        <w:t xml:space="preserve"> (+</w:t>
      </w:r>
      <w:r w:rsidR="000C5C1F" w:rsidRPr="000C5C1F">
        <w:rPr>
          <w:bCs/>
        </w:rPr>
        <w:t>94,3</w:t>
      </w:r>
      <w:r w:rsidR="00DA288A" w:rsidRPr="000C5C1F">
        <w:rPr>
          <w:bCs/>
        </w:rPr>
        <w:t>%)</w:t>
      </w:r>
      <w:r w:rsidRPr="000C5C1F">
        <w:rPr>
          <w:bCs/>
        </w:rPr>
        <w:t xml:space="preserve">, </w:t>
      </w:r>
      <w:r w:rsidR="006A7383" w:rsidRPr="000C5C1F">
        <w:t xml:space="preserve">il tasso di positività dei tamponi dal </w:t>
      </w:r>
      <w:r w:rsidR="00DA288A" w:rsidRPr="000C5C1F">
        <w:t>13,6</w:t>
      </w:r>
      <w:r w:rsidR="006A7383" w:rsidRPr="000C5C1F">
        <w:t xml:space="preserve">% al </w:t>
      </w:r>
      <w:r w:rsidR="000C5C1F" w:rsidRPr="000C5C1F">
        <w:t>18,8</w:t>
      </w:r>
      <w:r w:rsidR="00A211EC" w:rsidRPr="000C5C1F">
        <w:t>%</w:t>
      </w:r>
      <w:r w:rsidR="006A7383" w:rsidRPr="000C5C1F">
        <w:t xml:space="preserve"> </w:t>
      </w:r>
      <w:r w:rsidR="006A7383" w:rsidRPr="000C5C1F">
        <w:rPr>
          <w:bCs/>
        </w:rPr>
        <w:t>(</w:t>
      </w:r>
      <w:r w:rsidR="006A7383" w:rsidRPr="000C5C1F">
        <w:rPr>
          <w:bCs/>
          <w:highlight w:val="yellow"/>
        </w:rPr>
        <w:t>figura</w:t>
      </w:r>
      <w:r w:rsidR="00915892" w:rsidRPr="000C5C1F">
        <w:rPr>
          <w:bCs/>
          <w:highlight w:val="yellow"/>
        </w:rPr>
        <w:t xml:space="preserve"> 1</w:t>
      </w:r>
      <w:r w:rsidR="006A7383" w:rsidRPr="000C5C1F">
        <w:rPr>
          <w:bCs/>
        </w:rPr>
        <w:t xml:space="preserve">), </w:t>
      </w:r>
      <w:r w:rsidR="00CB187E" w:rsidRPr="000C5C1F">
        <w:rPr>
          <w:bCs/>
        </w:rPr>
        <w:t>l’incidenza</w:t>
      </w:r>
      <w:r w:rsidR="00CB187E">
        <w:rPr>
          <w:bCs/>
        </w:rPr>
        <w:t xml:space="preserve"> settimanale</w:t>
      </w:r>
      <w:r w:rsidR="00CB187E" w:rsidRPr="000C5C1F">
        <w:rPr>
          <w:bCs/>
        </w:rPr>
        <w:t xml:space="preserve"> </w:t>
      </w:r>
      <w:r w:rsidR="00CB187E" w:rsidRPr="00EF7CA0">
        <w:rPr>
          <w:bCs/>
        </w:rPr>
        <w:t xml:space="preserve">da </w:t>
      </w:r>
      <w:r w:rsidR="00CB187E">
        <w:rPr>
          <w:bCs/>
        </w:rPr>
        <w:t>46</w:t>
      </w:r>
      <w:r w:rsidR="00CB187E" w:rsidRPr="00DA288A">
        <w:rPr>
          <w:bCs/>
          <w:color w:val="FF0000"/>
        </w:rPr>
        <w:t xml:space="preserve"> </w:t>
      </w:r>
      <w:r w:rsidR="00CB187E">
        <w:rPr>
          <w:bCs/>
        </w:rPr>
        <w:t xml:space="preserve">casi </w:t>
      </w:r>
      <w:r w:rsidR="00CB187E" w:rsidRPr="00EF7CA0">
        <w:rPr>
          <w:bCs/>
        </w:rPr>
        <w:t xml:space="preserve">per 100 mila abitanti ha raggiunto </w:t>
      </w:r>
      <w:r w:rsidR="00CB187E">
        <w:rPr>
          <w:bCs/>
        </w:rPr>
        <w:t>89</w:t>
      </w:r>
      <w:r w:rsidR="00CB187E" w:rsidRPr="00EF7CA0">
        <w:rPr>
          <w:bCs/>
        </w:rPr>
        <w:t xml:space="preserve"> casi per 100 mila abitanti</w:t>
      </w:r>
      <w:r w:rsidR="00CB187E">
        <w:rPr>
          <w:bCs/>
        </w:rPr>
        <w:t xml:space="preserve">, </w:t>
      </w:r>
      <w:r w:rsidR="000E04DA" w:rsidRPr="000C5C1F">
        <w:rPr>
          <w:bCs/>
        </w:rPr>
        <w:t xml:space="preserve">la </w:t>
      </w:r>
      <w:r w:rsidRPr="000C5C1F">
        <w:rPr>
          <w:bCs/>
        </w:rPr>
        <w:t xml:space="preserve">media mobile a 7 giorni </w:t>
      </w:r>
      <w:r w:rsidR="000E04DA" w:rsidRPr="000C5C1F">
        <w:rPr>
          <w:bCs/>
        </w:rPr>
        <w:t xml:space="preserve">da </w:t>
      </w:r>
      <w:r w:rsidR="000C5C1F" w:rsidRPr="000C5C1F">
        <w:rPr>
          <w:bCs/>
        </w:rPr>
        <w:t xml:space="preserve">3.469 </w:t>
      </w:r>
      <w:r w:rsidR="002C3B91" w:rsidRPr="000C5C1F">
        <w:rPr>
          <w:bCs/>
        </w:rPr>
        <w:t>casi/die</w:t>
      </w:r>
      <w:r w:rsidR="000E04DA" w:rsidRPr="000C5C1F">
        <w:rPr>
          <w:bCs/>
        </w:rPr>
        <w:t xml:space="preserve"> </w:t>
      </w:r>
      <w:r w:rsidR="000C5C1F" w:rsidRPr="000C5C1F">
        <w:rPr>
          <w:bCs/>
        </w:rPr>
        <w:t xml:space="preserve">il 2 novembre </w:t>
      </w:r>
      <w:r w:rsidRPr="000C5C1F">
        <w:rPr>
          <w:bCs/>
        </w:rPr>
        <w:t xml:space="preserve">è </w:t>
      </w:r>
      <w:r w:rsidR="000E04DA" w:rsidRPr="000C5C1F">
        <w:rPr>
          <w:bCs/>
        </w:rPr>
        <w:t xml:space="preserve">salita </w:t>
      </w:r>
      <w:r w:rsidRPr="000C5C1F">
        <w:rPr>
          <w:bCs/>
        </w:rPr>
        <w:t xml:space="preserve">a </w:t>
      </w:r>
      <w:r w:rsidR="000C5C1F" w:rsidRPr="000C5C1F">
        <w:rPr>
          <w:bCs/>
        </w:rPr>
        <w:t xml:space="preserve">7.454 </w:t>
      </w:r>
      <w:r w:rsidRPr="000C5C1F">
        <w:rPr>
          <w:bCs/>
        </w:rPr>
        <w:t>casi/die</w:t>
      </w:r>
      <w:r w:rsidR="0027680A">
        <w:rPr>
          <w:bCs/>
        </w:rPr>
        <w:t xml:space="preserve"> il 29 novembre</w:t>
      </w:r>
      <w:r w:rsidRPr="000C5C1F">
        <w:rPr>
          <w:bCs/>
        </w:rPr>
        <w:t xml:space="preserve"> (</w:t>
      </w:r>
      <w:r w:rsidRPr="000C5C1F">
        <w:rPr>
          <w:bCs/>
          <w:highlight w:val="yellow"/>
        </w:rPr>
        <w:t xml:space="preserve">figura </w:t>
      </w:r>
      <w:r w:rsidR="00915892" w:rsidRPr="000C5C1F">
        <w:rPr>
          <w:bCs/>
          <w:highlight w:val="yellow"/>
        </w:rPr>
        <w:t>2</w:t>
      </w:r>
      <w:r w:rsidRPr="000C5C1F">
        <w:rPr>
          <w:bCs/>
        </w:rPr>
        <w:t>)</w:t>
      </w:r>
      <w:r w:rsidR="000679A3">
        <w:rPr>
          <w:bCs/>
        </w:rPr>
        <w:t>.</w:t>
      </w:r>
    </w:p>
    <w:p w14:paraId="67FF9E7B" w14:textId="77777777" w:rsidR="00915892" w:rsidRDefault="00F35ED4" w:rsidP="00B900CD">
      <w:pPr>
        <w:spacing w:after="120" w:line="276" w:lineRule="auto"/>
        <w:jc w:val="both"/>
      </w:pPr>
      <w:r w:rsidRPr="00DA288A">
        <w:t>«</w:t>
      </w:r>
      <w:r w:rsidR="00A74550">
        <w:t>R</w:t>
      </w:r>
      <w:r w:rsidR="000E04DA" w:rsidRPr="00DA288A">
        <w:t>ispetto al</w:t>
      </w:r>
      <w:r w:rsidR="00DA288A">
        <w:t>l</w:t>
      </w:r>
      <w:r w:rsidR="00A74550">
        <w:t xml:space="preserve">’effettiva </w:t>
      </w:r>
      <w:r w:rsidRPr="00DA288A">
        <w:t xml:space="preserve">circolazione virale </w:t>
      </w:r>
      <w:r w:rsidR="00FA17AD" w:rsidRPr="00DA288A">
        <w:t xml:space="preserve">– commenta Nino </w:t>
      </w:r>
      <w:proofErr w:type="spellStart"/>
      <w:r w:rsidR="00FA17AD" w:rsidRPr="00DA288A">
        <w:t>Cartabellotta</w:t>
      </w:r>
      <w:proofErr w:type="spellEnd"/>
      <w:r w:rsidR="00FA17AD" w:rsidRPr="00DA288A">
        <w:t>, Presidente della Fondazione GIMBE –</w:t>
      </w:r>
      <w:r w:rsidR="00FA17AD">
        <w:t xml:space="preserve"> </w:t>
      </w:r>
      <w:r w:rsidR="00A74550">
        <w:t>il n</w:t>
      </w:r>
      <w:r w:rsidR="00A74550" w:rsidRPr="00DA288A">
        <w:t>umer</w:t>
      </w:r>
      <w:r w:rsidR="00A74550">
        <w:t xml:space="preserve">o dei contagi è largamente sottostimato </w:t>
      </w:r>
      <w:r w:rsidR="000E04DA" w:rsidRPr="00DA288A">
        <w:t>perché il sistema di monitoraggio, dopo l</w:t>
      </w:r>
      <w:r w:rsidR="00F977D1" w:rsidRPr="00DA288A">
        <w:t xml:space="preserve">’abrogazione </w:t>
      </w:r>
      <w:r w:rsidR="000E04DA" w:rsidRPr="00DA288A">
        <w:t xml:space="preserve">dell’obbligo di isolamento per i soggetti positivi, </w:t>
      </w:r>
      <w:r w:rsidR="0016243C" w:rsidRPr="00DA288A">
        <w:t>poggia</w:t>
      </w:r>
      <w:r w:rsidR="006A7383" w:rsidRPr="00DA288A">
        <w:t xml:space="preserve"> in larga misura su </w:t>
      </w:r>
      <w:r w:rsidR="000E04DA" w:rsidRPr="00DA288A">
        <w:t xml:space="preserve">base volontaria. Infatti, da un lato </w:t>
      </w:r>
      <w:r w:rsidR="0016243C" w:rsidRPr="00DA288A">
        <w:t>la prescrizione di</w:t>
      </w:r>
      <w:r w:rsidRPr="00DA288A">
        <w:t xml:space="preserve"> tamponi nelle persone con sintomi respiratori</w:t>
      </w:r>
      <w:r w:rsidR="000E04DA" w:rsidRPr="00DA288A">
        <w:t xml:space="preserve"> è ormai residuale (</w:t>
      </w:r>
      <w:proofErr w:type="spellStart"/>
      <w:r w:rsidR="002852AA" w:rsidRPr="00DA288A">
        <w:rPr>
          <w:i/>
          <w:iCs/>
        </w:rPr>
        <w:t>undertesting</w:t>
      </w:r>
      <w:proofErr w:type="spellEnd"/>
      <w:r w:rsidR="000E04DA" w:rsidRPr="00DA288A">
        <w:rPr>
          <w:iCs/>
        </w:rPr>
        <w:t>)</w:t>
      </w:r>
      <w:r w:rsidR="002852AA" w:rsidRPr="00DA288A">
        <w:t xml:space="preserve">, dall’altro con </w:t>
      </w:r>
      <w:r w:rsidRPr="00DA288A">
        <w:t>l</w:t>
      </w:r>
      <w:r w:rsidR="00A74550">
        <w:t xml:space="preserve">’utilizzo diffuso </w:t>
      </w:r>
      <w:r w:rsidRPr="00DA288A">
        <w:t xml:space="preserve">dei </w:t>
      </w:r>
      <w:r w:rsidR="002C3B91" w:rsidRPr="00DA288A">
        <w:t xml:space="preserve">test </w:t>
      </w:r>
      <w:r w:rsidR="000E04DA" w:rsidRPr="00DA288A">
        <w:t xml:space="preserve">antigenici </w:t>
      </w:r>
      <w:r w:rsidRPr="00DA288A">
        <w:t>fai</w:t>
      </w:r>
      <w:r w:rsidR="000E04DA" w:rsidRPr="00DA288A">
        <w:t>-</w:t>
      </w:r>
      <w:r w:rsidRPr="00DA288A">
        <w:t>d</w:t>
      </w:r>
      <w:r w:rsidR="000E04DA" w:rsidRPr="00DA288A">
        <w:t>a-</w:t>
      </w:r>
      <w:r w:rsidRPr="00DA288A">
        <w:t>te</w:t>
      </w:r>
      <w:r w:rsidR="00B91BE4" w:rsidRPr="00DA288A">
        <w:t xml:space="preserve"> </w:t>
      </w:r>
      <w:r w:rsidRPr="00DA288A">
        <w:t xml:space="preserve">la positività </w:t>
      </w:r>
      <w:r w:rsidR="000E04DA" w:rsidRPr="00DA288A">
        <w:t xml:space="preserve">viene comunicata </w:t>
      </w:r>
      <w:r w:rsidR="00A74550" w:rsidRPr="00DA288A">
        <w:t xml:space="preserve">ai servizi epidemiologici </w:t>
      </w:r>
      <w:r w:rsidR="002852AA" w:rsidRPr="00DA288A">
        <w:t xml:space="preserve">solo occasionalmente </w:t>
      </w:r>
      <w:r w:rsidR="000E04DA" w:rsidRPr="00DA288A">
        <w:t>(</w:t>
      </w:r>
      <w:r w:rsidR="000E04DA" w:rsidRPr="00DA288A">
        <w:rPr>
          <w:i/>
          <w:iCs/>
        </w:rPr>
        <w:t>under</w:t>
      </w:r>
      <w:r w:rsidR="00DA288A">
        <w:rPr>
          <w:i/>
          <w:iCs/>
        </w:rPr>
        <w:t>-</w:t>
      </w:r>
      <w:r w:rsidR="000E04DA" w:rsidRPr="00DA288A">
        <w:rPr>
          <w:i/>
          <w:iCs/>
        </w:rPr>
        <w:t>reporting</w:t>
      </w:r>
      <w:r w:rsidR="000E04DA" w:rsidRPr="00DA288A">
        <w:rPr>
          <w:iCs/>
        </w:rPr>
        <w:t>)</w:t>
      </w:r>
      <w:r w:rsidRPr="00DA288A">
        <w:t>».</w:t>
      </w:r>
      <w:r w:rsidR="006D6626">
        <w:t xml:space="preserve"> </w:t>
      </w:r>
    </w:p>
    <w:p w14:paraId="546FC12E" w14:textId="702D483C" w:rsidR="00DA4EC0" w:rsidRDefault="00DA4EC0" w:rsidP="00DA4EC0">
      <w:pPr>
        <w:spacing w:after="120" w:line="276" w:lineRule="auto"/>
        <w:jc w:val="both"/>
      </w:pPr>
      <w:r>
        <w:t>N</w:t>
      </w:r>
      <w:r w:rsidR="00A87CBF" w:rsidRPr="0075264D">
        <w:t xml:space="preserve">ella settimana </w:t>
      </w:r>
      <w:r w:rsidR="003A20FC" w:rsidRPr="0075264D">
        <w:t xml:space="preserve">23-29 novembre </w:t>
      </w:r>
      <w:r w:rsidR="00A87CBF" w:rsidRPr="0075264D">
        <w:t xml:space="preserve">l’incidenza </w:t>
      </w:r>
      <w:r w:rsidR="0075264D" w:rsidRPr="0075264D">
        <w:t xml:space="preserve">dei nuovi casi </w:t>
      </w:r>
      <w:r w:rsidR="00D24B14" w:rsidRPr="0075264D">
        <w:t>oscilla da</w:t>
      </w:r>
      <w:r w:rsidR="003A20FC" w:rsidRPr="0075264D">
        <w:t xml:space="preserve"> </w:t>
      </w:r>
      <w:r w:rsidR="0075264D" w:rsidRPr="0075264D">
        <w:t>1</w:t>
      </w:r>
      <w:r w:rsidR="003A20FC" w:rsidRPr="0075264D">
        <w:t xml:space="preserve"> </w:t>
      </w:r>
      <w:r w:rsidR="0075264D" w:rsidRPr="0075264D">
        <w:t xml:space="preserve">caso per 100 mila abitanti </w:t>
      </w:r>
      <w:r w:rsidR="003A20FC" w:rsidRPr="0075264D">
        <w:t>d</w:t>
      </w:r>
      <w:r w:rsidR="0075264D" w:rsidRPr="0075264D">
        <w:t>ella Sicilia</w:t>
      </w:r>
      <w:r w:rsidR="003A20FC" w:rsidRPr="0075264D">
        <w:t xml:space="preserve"> a </w:t>
      </w:r>
      <w:r w:rsidR="0075264D" w:rsidRPr="0075264D">
        <w:t>183 del Veneto</w:t>
      </w:r>
      <w:r w:rsidR="00DA288A" w:rsidRPr="0075264D">
        <w:t>.</w:t>
      </w:r>
      <w:r>
        <w:t xml:space="preserve"> </w:t>
      </w:r>
      <w:r w:rsidR="00D275A6">
        <w:t>Rispetto alla settimana precedente i</w:t>
      </w:r>
      <w:r w:rsidRPr="00DA4EC0">
        <w:t xml:space="preserve"> nuovi casi aumentano in </w:t>
      </w:r>
      <w:r>
        <w:t>15</w:t>
      </w:r>
      <w:r w:rsidRPr="00DA4EC0">
        <w:t xml:space="preserve"> Regioni: dal +</w:t>
      </w:r>
      <w:r>
        <w:t>3</w:t>
      </w:r>
      <w:r w:rsidRPr="00DA4EC0">
        <w:t>,</w:t>
      </w:r>
      <w:r>
        <w:t>7</w:t>
      </w:r>
      <w:r w:rsidRPr="00DA4EC0">
        <w:t>% del</w:t>
      </w:r>
      <w:r>
        <w:t xml:space="preserve"> Veneto </w:t>
      </w:r>
      <w:r w:rsidRPr="00DA4EC0">
        <w:t>al +</w:t>
      </w:r>
      <w:r>
        <w:t>4</w:t>
      </w:r>
      <w:r w:rsidRPr="00DA4EC0">
        <w:t>3,</w:t>
      </w:r>
      <w:r>
        <w:t>4</w:t>
      </w:r>
      <w:r w:rsidRPr="00DA4EC0">
        <w:t xml:space="preserve">% della </w:t>
      </w:r>
      <w:r>
        <w:t>Sardegna</w:t>
      </w:r>
      <w:r w:rsidRPr="00DA4EC0">
        <w:t xml:space="preserve">. In calo le restanti </w:t>
      </w:r>
      <w:r>
        <w:t>6</w:t>
      </w:r>
      <w:r w:rsidRPr="00DA4EC0">
        <w:t xml:space="preserve"> Regioni: dal -</w:t>
      </w:r>
      <w:r>
        <w:t xml:space="preserve">3,5% della Provincia Autonoma di Trento </w:t>
      </w:r>
      <w:r w:rsidRPr="00DA4EC0">
        <w:t>al -</w:t>
      </w:r>
      <w:r>
        <w:t>32</w:t>
      </w:r>
      <w:r w:rsidRPr="00DA4EC0">
        <w:t>,</w:t>
      </w:r>
      <w:r>
        <w:t xml:space="preserve">3% dell’Umbria </w:t>
      </w:r>
      <w:r w:rsidRPr="00DA4EC0">
        <w:t>(</w:t>
      </w:r>
      <w:r w:rsidRPr="00DA4EC0">
        <w:rPr>
          <w:highlight w:val="yellow"/>
        </w:rPr>
        <w:t>tabella 1</w:t>
      </w:r>
      <w:r w:rsidRPr="00DA4EC0">
        <w:t xml:space="preserve">). In </w:t>
      </w:r>
      <w:r>
        <w:t>80</w:t>
      </w:r>
      <w:r w:rsidRPr="00DA4EC0">
        <w:t xml:space="preserve"> Province si registra u</w:t>
      </w:r>
      <w:r>
        <w:t>n aumento dei nuovi casi: dal +1</w:t>
      </w:r>
      <w:r w:rsidRPr="00DA4EC0">
        <w:t>,</w:t>
      </w:r>
      <w:r>
        <w:t>5</w:t>
      </w:r>
      <w:r w:rsidRPr="00DA4EC0">
        <w:t xml:space="preserve">% di </w:t>
      </w:r>
      <w:r>
        <w:t>Trieste</w:t>
      </w:r>
      <w:r w:rsidRPr="00DA4EC0">
        <w:t xml:space="preserve"> al +</w:t>
      </w:r>
      <w:r>
        <w:t>60</w:t>
      </w:r>
      <w:r w:rsidRPr="00DA4EC0">
        <w:t xml:space="preserve">% di </w:t>
      </w:r>
      <w:r>
        <w:t>Matera</w:t>
      </w:r>
      <w:r w:rsidRPr="00DA4EC0">
        <w:t xml:space="preserve">. Nelle restanti </w:t>
      </w:r>
      <w:r>
        <w:t>21</w:t>
      </w:r>
      <w:r w:rsidRPr="00DA4EC0">
        <w:t xml:space="preserve"> Province si rileva una dimi</w:t>
      </w:r>
      <w:r>
        <w:t>nuzione dei nuovi casi (dal -0,2</w:t>
      </w:r>
      <w:r w:rsidRPr="00DA4EC0">
        <w:t xml:space="preserve">% di </w:t>
      </w:r>
      <w:r>
        <w:t xml:space="preserve">Salerno </w:t>
      </w:r>
      <w:r w:rsidRPr="00DA4EC0">
        <w:t>al -</w:t>
      </w:r>
      <w:r>
        <w:t>50</w:t>
      </w:r>
      <w:r w:rsidRPr="00DA4EC0">
        <w:t xml:space="preserve">% di </w:t>
      </w:r>
      <w:r>
        <w:t>Messina</w:t>
      </w:r>
      <w:r w:rsidRPr="00DA4EC0">
        <w:t xml:space="preserve">); stabili le </w:t>
      </w:r>
      <w:r w:rsidR="007C0A7E">
        <w:t>P</w:t>
      </w:r>
      <w:r w:rsidRPr="00DA4EC0">
        <w:t xml:space="preserve">rovince di </w:t>
      </w:r>
      <w:r>
        <w:t xml:space="preserve">Cagliari, Catanzaro, Enna, Oristano, Siracusa, Sud Sardegna </w:t>
      </w:r>
      <w:r w:rsidRPr="00DA4EC0">
        <w:t>con una variazione dello 0% (</w:t>
      </w:r>
      <w:r w:rsidRPr="00DA4EC0">
        <w:rPr>
          <w:highlight w:val="yellow"/>
        </w:rPr>
        <w:t>tabella 2</w:t>
      </w:r>
      <w:r w:rsidRPr="00DA4EC0">
        <w:t>).</w:t>
      </w:r>
    </w:p>
    <w:p w14:paraId="5E52DC26" w14:textId="77777777" w:rsidR="002A751C" w:rsidRPr="002A751C" w:rsidRDefault="006A7383" w:rsidP="00890C08">
      <w:pPr>
        <w:spacing w:after="120" w:line="276" w:lineRule="auto"/>
        <w:jc w:val="both"/>
      </w:pPr>
      <w:r>
        <w:t xml:space="preserve">Secondo l’ultimo </w:t>
      </w:r>
      <w:hyperlink r:id="rId8" w:history="1">
        <w:r w:rsidRPr="007226E3">
          <w:rPr>
            <w:rStyle w:val="Collegamentoipertestuale"/>
          </w:rPr>
          <w:t>Aggiornamento nazionale dei dati della Sorveglianza Integrata COVID-19</w:t>
        </w:r>
      </w:hyperlink>
      <w:r w:rsidRPr="00DA288A">
        <w:rPr>
          <w:color w:val="FF0000"/>
        </w:rPr>
        <w:t xml:space="preserve"> </w:t>
      </w:r>
      <w:r>
        <w:t xml:space="preserve">dell’Istituto Superiore di Sanità, rispetto alla distribuzione per fasce di </w:t>
      </w:r>
      <w:r w:rsidRPr="002A751C">
        <w:t>età</w:t>
      </w:r>
      <w:r w:rsidR="0016243C" w:rsidRPr="002A751C">
        <w:t>,</w:t>
      </w:r>
      <w:r w:rsidR="00F977D1" w:rsidRPr="002A751C">
        <w:t xml:space="preserve"> </w:t>
      </w:r>
      <w:r w:rsidR="00B1478E" w:rsidRPr="002A751C">
        <w:t xml:space="preserve">fatta eccezione per la fascia 0-9 anni </w:t>
      </w:r>
      <w:r w:rsidR="0016243C" w:rsidRPr="002A751C">
        <w:t xml:space="preserve">in cui si registrano </w:t>
      </w:r>
      <w:r w:rsidR="00B1478E" w:rsidRPr="002A751C">
        <w:t>2</w:t>
      </w:r>
      <w:r w:rsidR="002A751C" w:rsidRPr="002A751C">
        <w:t>0</w:t>
      </w:r>
      <w:r w:rsidR="00B1478E" w:rsidRPr="002A751C">
        <w:t xml:space="preserve"> casi per 100</w:t>
      </w:r>
      <w:r w:rsidR="0016243C" w:rsidRPr="002A751C">
        <w:t xml:space="preserve"> </w:t>
      </w:r>
      <w:r w:rsidR="00B1478E" w:rsidRPr="002A751C">
        <w:t>mila</w:t>
      </w:r>
      <w:r w:rsidR="0016243C" w:rsidRPr="002A751C">
        <w:t xml:space="preserve"> abitanti</w:t>
      </w:r>
      <w:r w:rsidR="008C6241" w:rsidRPr="002A751C">
        <w:t xml:space="preserve">, l’incidenza </w:t>
      </w:r>
      <w:r w:rsidR="00B1478E" w:rsidRPr="002A751C">
        <w:t>aumenta progressivamente con le decadi: da 1</w:t>
      </w:r>
      <w:r w:rsidR="002A751C" w:rsidRPr="002A751C">
        <w:t>6</w:t>
      </w:r>
      <w:r w:rsidR="00B1478E" w:rsidRPr="002A751C">
        <w:t xml:space="preserve"> casi per 100</w:t>
      </w:r>
      <w:r w:rsidR="0016243C" w:rsidRPr="002A751C">
        <w:t xml:space="preserve"> </w:t>
      </w:r>
      <w:r w:rsidR="00B1478E" w:rsidRPr="002A751C">
        <w:t>mila</w:t>
      </w:r>
      <w:r w:rsidR="0016243C" w:rsidRPr="002A751C">
        <w:t xml:space="preserve"> abitanti</w:t>
      </w:r>
      <w:r w:rsidR="00B1478E" w:rsidRPr="002A751C">
        <w:t xml:space="preserve"> nella fascia 10-19 </w:t>
      </w:r>
      <w:r w:rsidR="0016243C" w:rsidRPr="002A751C">
        <w:t xml:space="preserve">anni </w:t>
      </w:r>
      <w:r w:rsidR="00B1478E" w:rsidRPr="002A751C">
        <w:t xml:space="preserve">a </w:t>
      </w:r>
      <w:r w:rsidR="002A751C" w:rsidRPr="002A751C">
        <w:t>177</w:t>
      </w:r>
      <w:r w:rsidR="00B1478E" w:rsidRPr="002A751C">
        <w:t xml:space="preserve"> per 100</w:t>
      </w:r>
      <w:r w:rsidR="0016243C" w:rsidRPr="002A751C">
        <w:t xml:space="preserve"> </w:t>
      </w:r>
      <w:r w:rsidR="00B1478E" w:rsidRPr="002A751C">
        <w:t>mila</w:t>
      </w:r>
      <w:r w:rsidR="0016243C" w:rsidRPr="002A751C">
        <w:t xml:space="preserve"> abitanti</w:t>
      </w:r>
      <w:r w:rsidR="00B1478E" w:rsidRPr="002A751C">
        <w:t xml:space="preserve"> nella fascia </w:t>
      </w:r>
      <w:r w:rsidR="002A751C" w:rsidRPr="002A751C">
        <w:t>8</w:t>
      </w:r>
      <w:r w:rsidR="00B1478E" w:rsidRPr="002A751C">
        <w:t>0-89</w:t>
      </w:r>
      <w:r w:rsidR="0016243C" w:rsidRPr="002A751C">
        <w:t xml:space="preserve"> anni, fino a</w:t>
      </w:r>
      <w:r w:rsidR="00B1478E" w:rsidRPr="002A751C">
        <w:t xml:space="preserve"> </w:t>
      </w:r>
      <w:r w:rsidR="002A751C" w:rsidRPr="002A751C">
        <w:t>221</w:t>
      </w:r>
      <w:r w:rsidR="00B1478E" w:rsidRPr="002A751C">
        <w:t xml:space="preserve"> </w:t>
      </w:r>
      <w:r w:rsidR="0016243C" w:rsidRPr="002A751C">
        <w:t xml:space="preserve">per 100 mila abitanti </w:t>
      </w:r>
      <w:r w:rsidR="00B1478E" w:rsidRPr="002A751C">
        <w:t>negli over</w:t>
      </w:r>
      <w:r w:rsidR="0016243C" w:rsidRPr="002A751C">
        <w:t xml:space="preserve"> </w:t>
      </w:r>
      <w:r w:rsidR="00B1478E" w:rsidRPr="002A751C">
        <w:t xml:space="preserve">90. </w:t>
      </w:r>
      <w:r w:rsidR="00B1478E" w:rsidRPr="00613221">
        <w:t>«</w:t>
      </w:r>
      <w:r w:rsidR="00B1478E">
        <w:t xml:space="preserve">Una distribuzione </w:t>
      </w:r>
      <w:r w:rsidR="00B1478E" w:rsidRPr="00613221">
        <w:t xml:space="preserve">– </w:t>
      </w:r>
      <w:r w:rsidR="00B1478E">
        <w:t xml:space="preserve">spiega il Presidente </w:t>
      </w:r>
      <w:r w:rsidR="00B1478E" w:rsidRPr="00613221">
        <w:t>–</w:t>
      </w:r>
      <w:r w:rsidR="00B1478E">
        <w:t xml:space="preserve"> che</w:t>
      </w:r>
      <w:r w:rsidR="00F977D1">
        <w:t xml:space="preserve"> </w:t>
      </w:r>
      <w:r w:rsidR="00B1478E">
        <w:t xml:space="preserve">riflette </w:t>
      </w:r>
      <w:r w:rsidR="00556B7E">
        <w:t>la</w:t>
      </w:r>
      <w:r w:rsidR="00B1478E">
        <w:t xml:space="preserve"> </w:t>
      </w:r>
      <w:r w:rsidR="00556B7E">
        <w:t xml:space="preserve">maggiore </w:t>
      </w:r>
      <w:r w:rsidR="00B1478E">
        <w:t xml:space="preserve">attitudine al </w:t>
      </w:r>
      <w:proofErr w:type="spellStart"/>
      <w:r w:rsidR="00B1478E">
        <w:t>testing</w:t>
      </w:r>
      <w:proofErr w:type="spellEnd"/>
      <w:r w:rsidR="00B1478E">
        <w:t xml:space="preserve"> </w:t>
      </w:r>
      <w:r w:rsidR="00556B7E">
        <w:t>con l’aumentare dell’età, conferma</w:t>
      </w:r>
      <w:r w:rsidR="00F977D1">
        <w:t>ndo</w:t>
      </w:r>
      <w:r w:rsidR="00556B7E">
        <w:t xml:space="preserve"> </w:t>
      </w:r>
      <w:r w:rsidR="002A751C">
        <w:t xml:space="preserve">la </w:t>
      </w:r>
      <w:r w:rsidR="00556B7E">
        <w:t xml:space="preserve">sottostima della </w:t>
      </w:r>
      <w:r w:rsidR="00B1478E">
        <w:t>circolazione virale</w:t>
      </w:r>
      <w:r w:rsidR="00B1478E" w:rsidRPr="00613221">
        <w:t>»</w:t>
      </w:r>
      <w:r w:rsidR="00B1478E">
        <w:t>.</w:t>
      </w:r>
    </w:p>
    <w:p w14:paraId="2BD480DD" w14:textId="16362474" w:rsidR="0041569E" w:rsidRPr="00F82D1B" w:rsidRDefault="009F72D5" w:rsidP="00017635">
      <w:pPr>
        <w:jc w:val="both"/>
        <w:rPr>
          <w:b/>
          <w:bCs/>
        </w:rPr>
      </w:pPr>
      <w:r>
        <w:rPr>
          <w:b/>
          <w:bCs/>
        </w:rPr>
        <w:t xml:space="preserve">Varianti. </w:t>
      </w:r>
      <w:r w:rsidR="003968C3">
        <w:t>Tutte l</w:t>
      </w:r>
      <w:r>
        <w:t xml:space="preserve">e varianti circolanti appartengono alla “famiglia” Omicron. </w:t>
      </w:r>
      <w:r w:rsidRPr="005F5F55">
        <w:t>Nell’</w:t>
      </w:r>
      <w:hyperlink r:id="rId9" w:history="1">
        <w:r w:rsidRPr="005F5F55">
          <w:rPr>
            <w:rStyle w:val="Collegamentoipertestuale"/>
          </w:rPr>
          <w:t xml:space="preserve">ultimo report </w:t>
        </w:r>
        <w:r w:rsidRPr="005F5F55">
          <w:rPr>
            <w:rStyle w:val="Collegamentoipertestuale"/>
            <w:i/>
            <w:iCs/>
          </w:rPr>
          <w:t>dell’</w:t>
        </w:r>
        <w:proofErr w:type="spellStart"/>
        <w:r w:rsidRPr="005F5F55">
          <w:rPr>
            <w:rStyle w:val="Collegamentoipertestuale"/>
            <w:i/>
            <w:iCs/>
          </w:rPr>
          <w:t>European</w:t>
        </w:r>
        <w:proofErr w:type="spellEnd"/>
        <w:r w:rsidRPr="005F5F55">
          <w:rPr>
            <w:rStyle w:val="Collegamentoipertestuale"/>
            <w:i/>
            <w:iCs/>
          </w:rPr>
          <w:t xml:space="preserve"> Centre for </w:t>
        </w:r>
        <w:proofErr w:type="spellStart"/>
        <w:r w:rsidRPr="005F5F55">
          <w:rPr>
            <w:rStyle w:val="Collegamentoipertestuale"/>
            <w:i/>
            <w:iCs/>
          </w:rPr>
          <w:t>Disease</w:t>
        </w:r>
        <w:proofErr w:type="spellEnd"/>
        <w:r w:rsidRPr="005F5F55">
          <w:rPr>
            <w:rStyle w:val="Collegamentoipertestuale"/>
            <w:i/>
            <w:iCs/>
          </w:rPr>
          <w:t xml:space="preserve"> </w:t>
        </w:r>
        <w:proofErr w:type="spellStart"/>
        <w:r w:rsidRPr="005F5F55">
          <w:rPr>
            <w:rStyle w:val="Collegamentoipertestuale"/>
            <w:i/>
            <w:iCs/>
          </w:rPr>
          <w:t>Prevention</w:t>
        </w:r>
        <w:proofErr w:type="spellEnd"/>
        <w:r w:rsidRPr="005F5F55">
          <w:rPr>
            <w:rStyle w:val="Collegamentoipertestuale"/>
            <w:i/>
            <w:iCs/>
          </w:rPr>
          <w:t xml:space="preserve"> and Control</w:t>
        </w:r>
      </w:hyperlink>
      <w:r w:rsidRPr="005F5F55">
        <w:t xml:space="preserve"> (ECDC)</w:t>
      </w:r>
      <w:r>
        <w:t xml:space="preserve"> </w:t>
      </w:r>
      <w:r w:rsidR="005F5F55">
        <w:t>del</w:t>
      </w:r>
      <w:r>
        <w:t xml:space="preserve"> </w:t>
      </w:r>
      <w:r w:rsidR="00214E74">
        <w:t xml:space="preserve">1 dicembre </w:t>
      </w:r>
      <w:r>
        <w:t xml:space="preserve">2023 non vengono segnalate “varianti di preoccupazione”, ma solo “varianti di interesse”. In Italia, </w:t>
      </w:r>
      <w:r w:rsidR="005F5F55" w:rsidRPr="005F5F55">
        <w:t>l’</w:t>
      </w:r>
      <w:hyperlink r:id="rId10" w:history="1">
        <w:r w:rsidR="005F5F55" w:rsidRPr="005F5F55">
          <w:rPr>
            <w:rStyle w:val="Collegamentoipertestuale"/>
          </w:rPr>
          <w:t>ultima indagine rapida</w:t>
        </w:r>
        <w:r w:rsidR="00F977D1" w:rsidRPr="005F5F55">
          <w:rPr>
            <w:rStyle w:val="Collegamentoipertestuale"/>
          </w:rPr>
          <w:t xml:space="preserve"> </w:t>
        </w:r>
        <w:r w:rsidRPr="005F5F55">
          <w:rPr>
            <w:rStyle w:val="Collegamentoipertestuale"/>
          </w:rPr>
          <w:t>dell’I</w:t>
        </w:r>
        <w:r w:rsidR="00F977D1" w:rsidRPr="005F5F55">
          <w:rPr>
            <w:rStyle w:val="Collegamentoipertestuale"/>
          </w:rPr>
          <w:t>SS</w:t>
        </w:r>
      </w:hyperlink>
      <w:r>
        <w:t xml:space="preserve">, effettuata su campioni notificati </w:t>
      </w:r>
      <w:r w:rsidR="00B269EE" w:rsidRPr="00B269EE">
        <w:t>dal 13 al 19 novembre 2023</w:t>
      </w:r>
      <w:r w:rsidR="00F977D1">
        <w:t>,</w:t>
      </w:r>
      <w:r>
        <w:t xml:space="preserve"> riporta come prevalente (</w:t>
      </w:r>
      <w:r w:rsidR="003968C3">
        <w:t>52</w:t>
      </w:r>
      <w:r>
        <w:t>,</w:t>
      </w:r>
      <w:r w:rsidR="003968C3">
        <w:t>1</w:t>
      </w:r>
      <w:r>
        <w:t xml:space="preserve">%) la variante EG.5 (cd. </w:t>
      </w:r>
      <w:proofErr w:type="spellStart"/>
      <w:r>
        <w:t>Eris</w:t>
      </w:r>
      <w:proofErr w:type="spellEnd"/>
      <w:r w:rsidR="00B269EE">
        <w:t>)</w:t>
      </w:r>
      <w:r w:rsidR="003968C3">
        <w:t xml:space="preserve"> </w:t>
      </w:r>
      <w:r w:rsidR="007C0A7E">
        <w:t xml:space="preserve">e </w:t>
      </w:r>
      <w:r w:rsidR="00EF53CB">
        <w:t>rileva, a</w:t>
      </w:r>
      <w:r w:rsidR="003968C3">
        <w:t>nalogamente a quanto segnalato da altri paesi</w:t>
      </w:r>
      <w:r w:rsidR="00EF53CB">
        <w:t>,</w:t>
      </w:r>
      <w:r w:rsidR="003968C3">
        <w:t xml:space="preserve"> un aumento (dall’1,3% al </w:t>
      </w:r>
      <w:r w:rsidR="003968C3" w:rsidRPr="003968C3">
        <w:t>10,8%</w:t>
      </w:r>
      <w:r w:rsidR="003968C3">
        <w:t>) del</w:t>
      </w:r>
      <w:r w:rsidR="00B269EE">
        <w:t xml:space="preserve">la variante </w:t>
      </w:r>
      <w:r w:rsidR="00B269EE" w:rsidRPr="00B269EE">
        <w:t>BA.2.86 (</w:t>
      </w:r>
      <w:r w:rsidR="00B269EE">
        <w:t xml:space="preserve">cd. </w:t>
      </w:r>
      <w:proofErr w:type="spellStart"/>
      <w:r w:rsidR="00B269EE" w:rsidRPr="00B269EE">
        <w:t>Pirola</w:t>
      </w:r>
      <w:proofErr w:type="spellEnd"/>
      <w:r w:rsidR="00B269EE" w:rsidRPr="00B269EE">
        <w:t>)</w:t>
      </w:r>
      <w:r w:rsidR="003968C3">
        <w:t>.</w:t>
      </w:r>
      <w:r w:rsidR="004614B3">
        <w:rPr>
          <w:b/>
          <w:bCs/>
        </w:rPr>
        <w:t xml:space="preserve"> </w:t>
      </w:r>
      <w:r w:rsidRPr="004614B3">
        <w:t>«</w:t>
      </w:r>
      <w:r w:rsidR="0025698C" w:rsidRPr="004614B3">
        <w:t xml:space="preserve">Secondo i report dell’Organizzazione Mondiale della Sanità – spiega il Presidente – </w:t>
      </w:r>
      <w:r w:rsidR="00EF53CB">
        <w:lastRenderedPageBreak/>
        <w:t xml:space="preserve">relativi ai </w:t>
      </w:r>
      <w:r w:rsidR="0025698C" w:rsidRPr="004614B3">
        <w:t>profili di rischio delle due varianti</w:t>
      </w:r>
      <w:r w:rsidR="00EF53CB">
        <w:t>,</w:t>
      </w:r>
      <w:r w:rsidR="0025698C" w:rsidRPr="004614B3">
        <w:t xml:space="preserve"> </w:t>
      </w:r>
      <w:hyperlink r:id="rId11" w:history="1">
        <w:proofErr w:type="spellStart"/>
        <w:r w:rsidR="0025698C" w:rsidRPr="004614B3">
          <w:rPr>
            <w:rStyle w:val="Collegamentoipertestuale"/>
          </w:rPr>
          <w:t>Eris</w:t>
        </w:r>
        <w:proofErr w:type="spellEnd"/>
      </w:hyperlink>
      <w:r w:rsidR="0049068C">
        <w:t xml:space="preserve"> e </w:t>
      </w:r>
      <w:hyperlink r:id="rId12" w:history="1">
        <w:proofErr w:type="spellStart"/>
        <w:r w:rsidR="004614B3" w:rsidRPr="004614B3">
          <w:rPr>
            <w:rStyle w:val="Collegamentoipertestuale"/>
          </w:rPr>
          <w:t>Pirola</w:t>
        </w:r>
        <w:proofErr w:type="spellEnd"/>
      </w:hyperlink>
      <w:r w:rsidR="00EF53CB">
        <w:t xml:space="preserve"> </w:t>
      </w:r>
      <w:r w:rsidR="0025698C" w:rsidRPr="004614B3">
        <w:t>ha</w:t>
      </w:r>
      <w:r w:rsidR="0049068C">
        <w:t>nno</w:t>
      </w:r>
      <w:r w:rsidR="0025698C" w:rsidRPr="004614B3">
        <w:t xml:space="preserve"> una </w:t>
      </w:r>
      <w:r w:rsidR="0049068C">
        <w:t>moderata</w:t>
      </w:r>
      <w:r w:rsidR="0025698C" w:rsidRPr="004614B3">
        <w:t xml:space="preserve"> capacità evasiva alla risposta immunitaria, da vaccinazione o infezione naturale, che ne favorisce la rapida diffusione. Per nessuna delle due varianti ci</w:t>
      </w:r>
      <w:r w:rsidR="004614B3" w:rsidRPr="004614B3">
        <w:t xml:space="preserve"> </w:t>
      </w:r>
      <w:r w:rsidR="0025698C" w:rsidRPr="004614B3">
        <w:t>sono evidenze sul maggior rischio di malattia grave».</w:t>
      </w:r>
      <w:r w:rsidR="0049068C">
        <w:rPr>
          <w:b/>
          <w:bCs/>
        </w:rPr>
        <w:t xml:space="preserve"> </w:t>
      </w:r>
    </w:p>
    <w:p w14:paraId="126056B6" w14:textId="77777777" w:rsidR="002A751C" w:rsidRPr="00A6503F" w:rsidRDefault="009F72D5" w:rsidP="00A6503F">
      <w:pPr>
        <w:jc w:val="both"/>
        <w:rPr>
          <w:b/>
          <w:bCs/>
        </w:rPr>
      </w:pPr>
      <w:r w:rsidRPr="009F72D5">
        <w:rPr>
          <w:b/>
          <w:bCs/>
        </w:rPr>
        <w:t>Reinfezioni</w:t>
      </w:r>
      <w:r>
        <w:t xml:space="preserve">. </w:t>
      </w:r>
      <w:r w:rsidR="00ED23E5">
        <w:t>Secondo l’Istituto Superiore di Sanità, l</w:t>
      </w:r>
      <w:r w:rsidR="00F229E6" w:rsidRPr="00F229E6">
        <w:t>a percentuale di infezioni riportate in soggetti con almeno un’infezio</w:t>
      </w:r>
      <w:r w:rsidR="00F229E6" w:rsidRPr="007226E3">
        <w:t xml:space="preserve">ne pregressa (reinfezioni) è lievemente aumentata nelle ultime settimane, </w:t>
      </w:r>
      <w:r w:rsidR="00666094" w:rsidRPr="007226E3">
        <w:t>sino a raggiungere il 44</w:t>
      </w:r>
      <w:r w:rsidR="00F229E6" w:rsidRPr="007226E3">
        <w:t>%.</w:t>
      </w:r>
    </w:p>
    <w:p w14:paraId="14EB2EFB" w14:textId="737E9326" w:rsidR="002A751C" w:rsidRPr="00A74550" w:rsidRDefault="00F35ED4" w:rsidP="005B74E8">
      <w:pPr>
        <w:spacing w:after="120" w:line="276" w:lineRule="auto"/>
        <w:jc w:val="both"/>
      </w:pPr>
      <w:r w:rsidRPr="0075264D">
        <w:rPr>
          <w:b/>
        </w:rPr>
        <w:t>Ospedalizzazioni.</w:t>
      </w:r>
      <w:r w:rsidR="007435B8">
        <w:rPr>
          <w:b/>
        </w:rPr>
        <w:t xml:space="preserve"> </w:t>
      </w:r>
      <w:r w:rsidR="007435B8" w:rsidRPr="007435B8">
        <w:t>D</w:t>
      </w:r>
      <w:r w:rsidR="00B900CD" w:rsidRPr="0075264D">
        <w:t xml:space="preserve">opo </w:t>
      </w:r>
      <w:r w:rsidR="00663211">
        <w:t>un mese di stabilità</w:t>
      </w:r>
      <w:r w:rsidR="007C0A7E">
        <w:t>,</w:t>
      </w:r>
      <w:r w:rsidR="007435B8">
        <w:t xml:space="preserve"> </w:t>
      </w:r>
      <w:r w:rsidR="007435B8" w:rsidRPr="0075264D">
        <w:t>i posti letto occupati da pazienti COVID-19</w:t>
      </w:r>
      <w:r w:rsidR="00B900CD" w:rsidRPr="0075264D">
        <w:t xml:space="preserve"> </w:t>
      </w:r>
      <w:r w:rsidR="007435B8">
        <w:t xml:space="preserve">dal 2 novembre al 29 novembre </w:t>
      </w:r>
      <w:r w:rsidR="005B74E8" w:rsidRPr="0075264D">
        <w:t xml:space="preserve">sono </w:t>
      </w:r>
      <w:r w:rsidR="005205D8" w:rsidRPr="0075264D">
        <w:t xml:space="preserve">aumentati </w:t>
      </w:r>
      <w:r w:rsidR="007435B8" w:rsidRPr="0075264D">
        <w:t xml:space="preserve">in area medica </w:t>
      </w:r>
      <w:r w:rsidR="00663211">
        <w:t>da 3.6</w:t>
      </w:r>
      <w:r w:rsidR="007435B8">
        <w:t>32</w:t>
      </w:r>
      <w:r w:rsidR="00663211">
        <w:t xml:space="preserve"> </w:t>
      </w:r>
      <w:r w:rsidR="0075264D" w:rsidRPr="0075264D">
        <w:t xml:space="preserve">fino </w:t>
      </w:r>
      <w:r w:rsidR="005205D8" w:rsidRPr="0075264D">
        <w:t>a 5.741</w:t>
      </w:r>
      <w:r w:rsidR="00663211">
        <w:t xml:space="preserve"> (+5</w:t>
      </w:r>
      <w:r w:rsidR="00F606D9">
        <w:t>8,1</w:t>
      </w:r>
      <w:r w:rsidR="00663211">
        <w:t>%)</w:t>
      </w:r>
      <w:r w:rsidR="007435B8">
        <w:t xml:space="preserve"> e </w:t>
      </w:r>
      <w:r w:rsidR="005B74E8" w:rsidRPr="0075264D">
        <w:t>in terapia intensiva da</w:t>
      </w:r>
      <w:r w:rsidR="005205D8" w:rsidRPr="0075264D">
        <w:t xml:space="preserve"> </w:t>
      </w:r>
      <w:r w:rsidR="007435B8">
        <w:t>99</w:t>
      </w:r>
      <w:r w:rsidR="0075264D" w:rsidRPr="0075264D">
        <w:t xml:space="preserve"> </w:t>
      </w:r>
      <w:r w:rsidR="005B74E8" w:rsidRPr="0075264D">
        <w:t>a</w:t>
      </w:r>
      <w:r w:rsidR="002D1F98" w:rsidRPr="0075264D">
        <w:t xml:space="preserve"> </w:t>
      </w:r>
      <w:r w:rsidR="005205D8" w:rsidRPr="0075264D">
        <w:t>170</w:t>
      </w:r>
      <w:r w:rsidR="001B063A" w:rsidRPr="0075264D">
        <w:t xml:space="preserve"> </w:t>
      </w:r>
      <w:r w:rsidR="00663211">
        <w:t>(+</w:t>
      </w:r>
      <w:r w:rsidR="00F606D9">
        <w:t>71</w:t>
      </w:r>
      <w:r w:rsidR="00663211">
        <w:t xml:space="preserve">,7%) </w:t>
      </w:r>
      <w:r w:rsidR="001B063A" w:rsidRPr="0075264D">
        <w:t>(</w:t>
      </w:r>
      <w:r w:rsidR="001B063A" w:rsidRPr="0075264D">
        <w:rPr>
          <w:highlight w:val="yellow"/>
        </w:rPr>
        <w:t xml:space="preserve">figura </w:t>
      </w:r>
      <w:r w:rsidR="00915892" w:rsidRPr="0075264D">
        <w:rPr>
          <w:highlight w:val="yellow"/>
        </w:rPr>
        <w:t>3</w:t>
      </w:r>
      <w:r w:rsidR="001B063A" w:rsidRPr="0075264D">
        <w:t>)</w:t>
      </w:r>
      <w:r w:rsidR="005B74E8" w:rsidRPr="0075264D">
        <w:t xml:space="preserve">. </w:t>
      </w:r>
      <w:r w:rsidR="004232BD" w:rsidRPr="00157BAD">
        <w:t xml:space="preserve">Al </w:t>
      </w:r>
      <w:r w:rsidR="004232BD">
        <w:t xml:space="preserve">29 novembre </w:t>
      </w:r>
      <w:r w:rsidR="004232BD" w:rsidRPr="00157BAD">
        <w:t>il tasso nazionale di occupazione da parte di pazienti COVID</w:t>
      </w:r>
      <w:r w:rsidR="004232BD">
        <w:t xml:space="preserve"> è del 9,2% in area medica (dall’</w:t>
      </w:r>
      <w:r w:rsidR="004232BD" w:rsidRPr="00157BAD">
        <w:t>1,8% della Basilic</w:t>
      </w:r>
      <w:r w:rsidR="004232BD">
        <w:t>ata al 10,1% dell'Umbria) e dell’1,9</w:t>
      </w:r>
      <w:r w:rsidR="004232BD" w:rsidRPr="00157BAD">
        <w:t>% in area critica (dal</w:t>
      </w:r>
      <w:r w:rsidR="004232BD">
        <w:t>lo 0</w:t>
      </w:r>
      <w:r w:rsidR="004232BD" w:rsidRPr="00157BAD">
        <w:t>% d</w:t>
      </w:r>
      <w:r w:rsidR="004232BD">
        <w:t>i</w:t>
      </w:r>
      <w:r w:rsidR="004232BD" w:rsidRPr="00157BAD">
        <w:t xml:space="preserve"> Basilicata</w:t>
      </w:r>
      <w:r w:rsidR="004232BD">
        <w:t>, Marche, Provincia Autonoma di Bolzano e Valle d’Aosta</w:t>
      </w:r>
      <w:r w:rsidR="004232BD" w:rsidRPr="00157BAD">
        <w:t xml:space="preserve"> al 2,8% dell</w:t>
      </w:r>
      <w:r w:rsidR="007C0A7E">
        <w:t>’</w:t>
      </w:r>
      <w:r w:rsidR="004232BD" w:rsidRPr="00157BAD">
        <w:t>Emilia</w:t>
      </w:r>
      <w:r w:rsidR="007C0A7E">
        <w:t>-</w:t>
      </w:r>
      <w:r w:rsidR="004232BD" w:rsidRPr="00157BAD">
        <w:t>Romagna) (</w:t>
      </w:r>
      <w:r w:rsidR="004232BD" w:rsidRPr="00157BAD">
        <w:rPr>
          <w:highlight w:val="yellow"/>
        </w:rPr>
        <w:t xml:space="preserve">figura </w:t>
      </w:r>
      <w:r w:rsidR="00D277CF">
        <w:rPr>
          <w:highlight w:val="yellow"/>
        </w:rPr>
        <w:t>4</w:t>
      </w:r>
      <w:r w:rsidR="004232BD">
        <w:t>)</w:t>
      </w:r>
      <w:r w:rsidR="005B74E8" w:rsidRPr="004232BD">
        <w:t>. «</w:t>
      </w:r>
      <w:r w:rsidR="005B74E8" w:rsidRPr="0075264D">
        <w:t xml:space="preserve">Se in </w:t>
      </w:r>
      <w:r w:rsidR="005B74E8">
        <w:t xml:space="preserve">terapia intensiva </w:t>
      </w:r>
      <w:r w:rsidR="005B74E8" w:rsidRPr="00613221">
        <w:t xml:space="preserve">– </w:t>
      </w:r>
      <w:r w:rsidR="005B74E8">
        <w:t xml:space="preserve">spiega il Presidente </w:t>
      </w:r>
      <w:r w:rsidR="005B74E8" w:rsidRPr="00613221">
        <w:t>–</w:t>
      </w:r>
      <w:r w:rsidR="005B74E8">
        <w:t xml:space="preserve"> i numeri sono esigui dimostrando che </w:t>
      </w:r>
      <w:r w:rsidR="006A7383">
        <w:t xml:space="preserve">oggi </w:t>
      </w:r>
      <w:r w:rsidR="005B74E8">
        <w:t xml:space="preserve">l’infezione da </w:t>
      </w:r>
      <w:r w:rsidR="007C0A7E">
        <w:t>SARS</w:t>
      </w:r>
      <w:r w:rsidR="005B74E8">
        <w:t xml:space="preserve">-CoV-2 solo raramente determina quadri severi, l’incremento dei posti letto occupati in area medica conferma </w:t>
      </w:r>
      <w:r w:rsidR="00AC7D6E">
        <w:t xml:space="preserve">che </w:t>
      </w:r>
      <w:r w:rsidR="005B74E8">
        <w:t xml:space="preserve">nelle persone anziane, fragili e con patologie multiple può aggravare </w:t>
      </w:r>
      <w:r w:rsidR="002D1F98">
        <w:t>lo</w:t>
      </w:r>
      <w:r w:rsidR="005B74E8">
        <w:t xml:space="preserve"> stato di salute richiedendo ospedalizzazione e/o peggiorando la prognosi delle malattie</w:t>
      </w:r>
      <w:r w:rsidR="00A74550">
        <w:t xml:space="preserve"> </w:t>
      </w:r>
      <w:r w:rsidR="005B74E8">
        <w:t>concomitanti</w:t>
      </w:r>
      <w:r w:rsidR="005B74E8" w:rsidRPr="00613221">
        <w:t>»</w:t>
      </w:r>
      <w:r w:rsidR="005B74E8">
        <w:t xml:space="preserve">. </w:t>
      </w:r>
      <w:r w:rsidR="005B74E8" w:rsidRPr="00A74550">
        <w:t xml:space="preserve">Infatti, </w:t>
      </w:r>
      <w:r w:rsidR="00E15DCB" w:rsidRPr="00A74550">
        <w:t xml:space="preserve">il tasso di ospedalizzazione in area medica cresce con l’aumentare dell’età: </w:t>
      </w:r>
      <w:r w:rsidR="00E15DCB" w:rsidRPr="002A751C">
        <w:t xml:space="preserve">in particolare, passa da </w:t>
      </w:r>
      <w:r w:rsidR="002A751C" w:rsidRPr="002A751C">
        <w:t>39</w:t>
      </w:r>
      <w:r w:rsidR="00E15DCB" w:rsidRPr="002A751C">
        <w:t xml:space="preserve"> per milione </w:t>
      </w:r>
      <w:r w:rsidR="002D1F98" w:rsidRPr="002A751C">
        <w:t xml:space="preserve">di abitanti </w:t>
      </w:r>
      <w:r w:rsidR="00E15DCB" w:rsidRPr="002A751C">
        <w:t xml:space="preserve">nella fascia 60-69 anni a </w:t>
      </w:r>
      <w:r w:rsidR="002A751C" w:rsidRPr="002A751C">
        <w:t>112</w:t>
      </w:r>
      <w:r w:rsidR="00E15DCB" w:rsidRPr="002A751C">
        <w:t xml:space="preserve"> </w:t>
      </w:r>
      <w:r w:rsidR="00AC7D6E" w:rsidRPr="002A751C">
        <w:t>per milione</w:t>
      </w:r>
      <w:r w:rsidR="002C4FCE" w:rsidRPr="002A751C">
        <w:t xml:space="preserve"> di abitanti</w:t>
      </w:r>
      <w:r w:rsidR="00AC7D6E" w:rsidRPr="002A751C">
        <w:t xml:space="preserve"> </w:t>
      </w:r>
      <w:r w:rsidR="00E15DCB" w:rsidRPr="002A751C">
        <w:t xml:space="preserve">nella fascia 70-79 anni, a </w:t>
      </w:r>
      <w:r w:rsidR="002A751C" w:rsidRPr="002A751C">
        <w:t>271</w:t>
      </w:r>
      <w:r w:rsidR="00E15DCB" w:rsidRPr="002A751C">
        <w:t xml:space="preserve"> </w:t>
      </w:r>
      <w:r w:rsidR="002D1F98" w:rsidRPr="002A751C">
        <w:t xml:space="preserve">per milione di abitanti </w:t>
      </w:r>
      <w:r w:rsidR="00E15DCB" w:rsidRPr="002A751C">
        <w:t xml:space="preserve">nella fascia 80-89 anni e a </w:t>
      </w:r>
      <w:r w:rsidR="002A751C" w:rsidRPr="002A751C">
        <w:t>421</w:t>
      </w:r>
      <w:r w:rsidR="00E15DCB" w:rsidRPr="002A751C">
        <w:t xml:space="preserve"> </w:t>
      </w:r>
      <w:r w:rsidR="00A81D1D" w:rsidRPr="002A751C">
        <w:t xml:space="preserve">per milione di abitanti </w:t>
      </w:r>
      <w:r w:rsidR="00E15DCB" w:rsidRPr="002A751C">
        <w:t xml:space="preserve">negli over 90. </w:t>
      </w:r>
    </w:p>
    <w:p w14:paraId="1D7602C4" w14:textId="59E00F0A" w:rsidR="002A751C" w:rsidRPr="00A74550" w:rsidRDefault="00F35ED4" w:rsidP="00F35ED4">
      <w:pPr>
        <w:spacing w:line="276" w:lineRule="auto"/>
        <w:jc w:val="both"/>
      </w:pPr>
      <w:r w:rsidRPr="006C03EE">
        <w:rPr>
          <w:b/>
        </w:rPr>
        <w:t>Decessi.</w:t>
      </w:r>
      <w:r w:rsidRPr="006C03EE">
        <w:t xml:space="preserve"> </w:t>
      </w:r>
      <w:r w:rsidR="00AC7D6E">
        <w:t>S</w:t>
      </w:r>
      <w:r w:rsidR="002C4FCE">
        <w:t xml:space="preserve">ono </w:t>
      </w:r>
      <w:r w:rsidR="002D1F98" w:rsidRPr="0075264D">
        <w:t>raddoppiati</w:t>
      </w:r>
      <w:r w:rsidR="00E15DCB" w:rsidRPr="0075264D">
        <w:t xml:space="preserve"> nelle ultime 4 settimane: da </w:t>
      </w:r>
      <w:r w:rsidR="005205D8" w:rsidRPr="0075264D">
        <w:t>148</w:t>
      </w:r>
      <w:r w:rsidR="00E15DCB" w:rsidRPr="0075264D">
        <w:t xml:space="preserve"> </w:t>
      </w:r>
      <w:r w:rsidR="00AC7D6E" w:rsidRPr="0075264D">
        <w:t xml:space="preserve">nella </w:t>
      </w:r>
      <w:r w:rsidR="00E15DCB" w:rsidRPr="0075264D">
        <w:t xml:space="preserve">settimana </w:t>
      </w:r>
      <w:r w:rsidR="005205D8" w:rsidRPr="0075264D">
        <w:t xml:space="preserve">26 ottobre-1 novembre </w:t>
      </w:r>
      <w:r w:rsidR="00663211">
        <w:t xml:space="preserve">a </w:t>
      </w:r>
      <w:r w:rsidR="005205D8" w:rsidRPr="0075264D">
        <w:t xml:space="preserve">291 </w:t>
      </w:r>
      <w:r w:rsidR="00AC7D6E" w:rsidRPr="0075264D">
        <w:t xml:space="preserve">nella </w:t>
      </w:r>
      <w:r w:rsidR="00E15DCB" w:rsidRPr="0075264D">
        <w:t xml:space="preserve">settimana </w:t>
      </w:r>
      <w:r w:rsidR="005205D8" w:rsidRPr="0075264D">
        <w:t>23-29 novembre</w:t>
      </w:r>
      <w:r w:rsidR="00ED23E5" w:rsidRPr="0075264D">
        <w:t xml:space="preserve"> (</w:t>
      </w:r>
      <w:r w:rsidR="00ED23E5" w:rsidRPr="0075264D">
        <w:rPr>
          <w:highlight w:val="yellow"/>
        </w:rPr>
        <w:t>figura</w:t>
      </w:r>
      <w:r w:rsidR="00915892" w:rsidRPr="0075264D">
        <w:rPr>
          <w:highlight w:val="yellow"/>
        </w:rPr>
        <w:t xml:space="preserve"> </w:t>
      </w:r>
      <w:r w:rsidR="00D277CF">
        <w:rPr>
          <w:highlight w:val="yellow"/>
        </w:rPr>
        <w:t>5</w:t>
      </w:r>
      <w:r w:rsidR="00ED23E5" w:rsidRPr="0075264D">
        <w:t>)</w:t>
      </w:r>
      <w:r w:rsidR="00AC124E">
        <w:t>, per un totale di 881 decessi</w:t>
      </w:r>
      <w:r w:rsidR="00E15DCB" w:rsidRPr="0075264D">
        <w:t xml:space="preserve">. </w:t>
      </w:r>
      <w:r w:rsidR="00ED23E5" w:rsidRPr="00A74550">
        <w:t>Secondo i dati dell’Istituto Superiore di Sanità, i</w:t>
      </w:r>
      <w:r w:rsidR="000628E0" w:rsidRPr="00A74550">
        <w:t xml:space="preserve"> decessi risultano quasi esclusivamente a carico </w:t>
      </w:r>
      <w:r w:rsidR="006430CF">
        <w:t>de</w:t>
      </w:r>
      <w:r w:rsidR="002C4FCE" w:rsidRPr="00A74550">
        <w:t xml:space="preserve">gli </w:t>
      </w:r>
      <w:r w:rsidR="00ED23E5" w:rsidRPr="00A74550">
        <w:t>over 80</w:t>
      </w:r>
      <w:r w:rsidR="009C336F">
        <w:t xml:space="preserve">. Infatti, a fronte di un tasso di </w:t>
      </w:r>
      <w:r w:rsidR="009C336F" w:rsidRPr="001D243B">
        <w:t xml:space="preserve">mortalità di </w:t>
      </w:r>
      <w:r w:rsidR="001D243B" w:rsidRPr="001D243B">
        <w:t>3</w:t>
      </w:r>
      <w:r w:rsidR="009C336F" w:rsidRPr="001D243B">
        <w:t xml:space="preserve"> </w:t>
      </w:r>
      <w:r w:rsidR="007C0A7E" w:rsidRPr="006430CF">
        <w:t xml:space="preserve">decessi </w:t>
      </w:r>
      <w:r w:rsidR="009C336F" w:rsidRPr="001D243B">
        <w:t xml:space="preserve">per milione di abitanti, sono </w:t>
      </w:r>
      <w:r w:rsidR="00ED23E5" w:rsidRPr="006430CF">
        <w:t>2</w:t>
      </w:r>
      <w:r w:rsidR="006430CF" w:rsidRPr="006430CF">
        <w:t>3</w:t>
      </w:r>
      <w:r w:rsidR="00ED23E5" w:rsidRPr="006430CF">
        <w:t xml:space="preserve"> </w:t>
      </w:r>
      <w:r w:rsidR="00ED23E5" w:rsidRPr="00A74550">
        <w:t xml:space="preserve">per milione di abitanti </w:t>
      </w:r>
      <w:r w:rsidR="006430CF">
        <w:t xml:space="preserve">nella fascia 80-89 anni e 46 per </w:t>
      </w:r>
      <w:r w:rsidR="002D1F98" w:rsidRPr="00A74550">
        <w:t>milione di abitanti</w:t>
      </w:r>
      <w:r w:rsidR="00ED23E5" w:rsidRPr="00A74550">
        <w:t xml:space="preserve"> </w:t>
      </w:r>
      <w:r w:rsidR="006430CF">
        <w:t>negli over 90</w:t>
      </w:r>
      <w:r w:rsidR="00ED23E5" w:rsidRPr="00A74550">
        <w:t>.</w:t>
      </w:r>
    </w:p>
    <w:p w14:paraId="5354D9CA" w14:textId="03ADE4C1" w:rsidR="00867F71" w:rsidRDefault="005A66AE" w:rsidP="005A66AE">
      <w:pPr>
        <w:jc w:val="both"/>
      </w:pPr>
      <w:bookmarkStart w:id="2" w:name="_Hlk152087119"/>
      <w:r>
        <w:rPr>
          <w:b/>
          <w:bCs/>
        </w:rPr>
        <w:t xml:space="preserve">Campagna </w:t>
      </w:r>
      <w:r w:rsidRPr="000628E0">
        <w:rPr>
          <w:b/>
          <w:bCs/>
        </w:rPr>
        <w:t>vaccina</w:t>
      </w:r>
      <w:r>
        <w:rPr>
          <w:b/>
          <w:bCs/>
        </w:rPr>
        <w:t>le</w:t>
      </w:r>
      <w:r w:rsidRPr="00F229E6">
        <w:t>.</w:t>
      </w:r>
      <w:r>
        <w:t xml:space="preserve"> </w:t>
      </w:r>
      <w:bookmarkStart w:id="3" w:name="_Hlk152150942"/>
      <w:r w:rsidR="007E005E">
        <w:t>D</w:t>
      </w:r>
      <w:r w:rsidR="00E765BA" w:rsidRPr="00E765BA">
        <w:t xml:space="preserve">al 20 novembre 2023 sulla </w:t>
      </w:r>
      <w:hyperlink r:id="rId13" w:history="1">
        <w:proofErr w:type="spellStart"/>
        <w:r w:rsidR="007C0A7E" w:rsidRPr="007C0A7E">
          <w:rPr>
            <w:rStyle w:val="Collegamentoipertestuale"/>
          </w:rPr>
          <w:t>dashboard</w:t>
        </w:r>
        <w:proofErr w:type="spellEnd"/>
        <w:r w:rsidR="00E765BA" w:rsidRPr="007C0A7E">
          <w:rPr>
            <w:rStyle w:val="Collegamentoipertestuale"/>
          </w:rPr>
          <w:t xml:space="preserve"> del Ministero della Salute</w:t>
        </w:r>
      </w:hyperlink>
      <w:r w:rsidR="00E765BA">
        <w:t xml:space="preserve"> </w:t>
      </w:r>
      <w:r w:rsidR="007E005E">
        <w:t>sono</w:t>
      </w:r>
      <w:r w:rsidR="00E765BA" w:rsidRPr="00E765BA">
        <w:t xml:space="preserve"> rendicontate esclusivamente le somministrazioni effettuate dal </w:t>
      </w:r>
      <w:r w:rsidR="00E765BA">
        <w:t>26 settembre</w:t>
      </w:r>
      <w:r w:rsidR="007C0A7E">
        <w:t xml:space="preserve"> 2023</w:t>
      </w:r>
      <w:r w:rsidR="00E765BA" w:rsidRPr="00E765BA">
        <w:t>, relative alla campagna vaccinale 2023-2024</w:t>
      </w:r>
      <w:r>
        <w:t xml:space="preserve">. </w:t>
      </w:r>
      <w:bookmarkEnd w:id="3"/>
      <w:r w:rsidR="007E005E">
        <w:t>L</w:t>
      </w:r>
      <w:r w:rsidR="00E765BA">
        <w:t>’ultimo aggiornamento dell</w:t>
      </w:r>
      <w:r>
        <w:t>a platea di riferimento</w:t>
      </w:r>
      <w:r w:rsidR="00E765BA">
        <w:t xml:space="preserve"> rimane quello de</w:t>
      </w:r>
      <w:r>
        <w:t>l 17 febbraio 2023, distint</w:t>
      </w:r>
      <w:r w:rsidR="00E765BA">
        <w:t>o</w:t>
      </w:r>
      <w:r>
        <w:t xml:space="preserve"> solo per fasce di età e non per </w:t>
      </w:r>
      <w:r w:rsidRPr="003401C5">
        <w:t>categoria vaccinale</w:t>
      </w:r>
      <w:r>
        <w:t xml:space="preserve">. Di conseguenza è possibile </w:t>
      </w:r>
      <w:r w:rsidR="007E005E">
        <w:t xml:space="preserve">solo </w:t>
      </w:r>
      <w:r w:rsidR="00A74550">
        <w:t>calcolare</w:t>
      </w:r>
      <w:r>
        <w:t xml:space="preserve"> i tassi di copertura per le fasce 60-69 anni, 70-79 anni e per gli over 80.</w:t>
      </w:r>
    </w:p>
    <w:p w14:paraId="79340A3F" w14:textId="77777777" w:rsidR="00900C12" w:rsidRDefault="001A0F91" w:rsidP="00A74550">
      <w:pPr>
        <w:spacing w:line="276" w:lineRule="auto"/>
        <w:jc w:val="both"/>
      </w:pPr>
      <w:r w:rsidRPr="000B13AC">
        <w:t xml:space="preserve">Al </w:t>
      </w:r>
      <w:r>
        <w:t>30 novembre</w:t>
      </w:r>
      <w:r w:rsidRPr="000B13AC">
        <w:t xml:space="preserve"> sono state somministrate</w:t>
      </w:r>
      <w:r>
        <w:t xml:space="preserve"> 1.042.541</w:t>
      </w:r>
      <w:r w:rsidRPr="000B13AC">
        <w:t xml:space="preserve"> </w:t>
      </w:r>
      <w:r>
        <w:t>dosi così suddivise: 190.467 (18,3% del totale) agli under 60 anni, 183.901 (17,6%) alla fascia 60-69 anni, 327.340 (31,4%) alla fascia 70-79 anni e 340.833 (32,7%) agli over 80 (</w:t>
      </w:r>
      <w:r w:rsidRPr="00F14FAD">
        <w:rPr>
          <w:highlight w:val="yellow"/>
        </w:rPr>
        <w:t xml:space="preserve">figura </w:t>
      </w:r>
      <w:r w:rsidR="00D277CF">
        <w:rPr>
          <w:highlight w:val="yellow"/>
        </w:rPr>
        <w:t>6</w:t>
      </w:r>
      <w:r>
        <w:t xml:space="preserve">). La </w:t>
      </w:r>
      <w:r w:rsidRPr="000B13AC">
        <w:t xml:space="preserve">media mobile </w:t>
      </w:r>
      <w:r>
        <w:t>a 7 giorni è pari a</w:t>
      </w:r>
      <w:r w:rsidRPr="000B13AC">
        <w:t xml:space="preserve"> </w:t>
      </w:r>
      <w:r>
        <w:t>23.854</w:t>
      </w:r>
      <w:r w:rsidRPr="000B13AC">
        <w:t xml:space="preserve"> somministrazioni al giorno, in </w:t>
      </w:r>
      <w:r>
        <w:t>calo</w:t>
      </w:r>
      <w:r w:rsidRPr="000B13AC">
        <w:t xml:space="preserve"> rispetto alle </w:t>
      </w:r>
      <w:r>
        <w:t>27.380</w:t>
      </w:r>
      <w:r w:rsidRPr="000B13AC">
        <w:t xml:space="preserve"> della settimana </w:t>
      </w:r>
      <w:r w:rsidR="007E7D15">
        <w:t xml:space="preserve">precedente </w:t>
      </w:r>
      <w:r w:rsidRPr="000B13AC">
        <w:t>(</w:t>
      </w:r>
      <w:r>
        <w:t>-12</w:t>
      </w:r>
      <w:r w:rsidRPr="000B13AC">
        <w:t>,</w:t>
      </w:r>
      <w:r>
        <w:t>9</w:t>
      </w:r>
      <w:r w:rsidRPr="000B13AC">
        <w:t>%) (</w:t>
      </w:r>
      <w:r w:rsidRPr="000B13AC">
        <w:rPr>
          <w:highlight w:val="yellow"/>
        </w:rPr>
        <w:t>figura</w:t>
      </w:r>
      <w:r w:rsidR="00544A94">
        <w:rPr>
          <w:highlight w:val="yellow"/>
        </w:rPr>
        <w:t xml:space="preserve"> </w:t>
      </w:r>
      <w:r w:rsidR="00D277CF">
        <w:rPr>
          <w:highlight w:val="yellow"/>
        </w:rPr>
        <w:t>7</w:t>
      </w:r>
      <w:r w:rsidRPr="000B13AC">
        <w:t xml:space="preserve">). </w:t>
      </w:r>
      <w:r w:rsidR="007E005E">
        <w:t>Facendo riferimento all’</w:t>
      </w:r>
      <w:r>
        <w:rPr>
          <w:noProof/>
        </w:rPr>
        <w:t xml:space="preserve">ultimo aggiornamento della </w:t>
      </w:r>
      <w:hyperlink r:id="rId14" w:history="1">
        <w:r w:rsidRPr="000B13AC">
          <w:rPr>
            <w:rStyle w:val="Collegamentoipertestuale"/>
          </w:rPr>
          <w:t>platea ufficiale</w:t>
        </w:r>
      </w:hyperlink>
      <w:r w:rsidRPr="000B13AC">
        <w:rPr>
          <w:noProof/>
        </w:rPr>
        <w:t xml:space="preserve">, </w:t>
      </w:r>
      <w:r w:rsidRPr="000B13AC">
        <w:t>il tasso di copertura nazionale</w:t>
      </w:r>
      <w:r>
        <w:t xml:space="preserve"> per gli over 60</w:t>
      </w:r>
      <w:r w:rsidRPr="000B13AC">
        <w:t xml:space="preserve"> </w:t>
      </w:r>
      <w:r>
        <w:t>è</w:t>
      </w:r>
      <w:r w:rsidRPr="000B13AC">
        <w:t xml:space="preserve"> </w:t>
      </w:r>
      <w:r>
        <w:t>de</w:t>
      </w:r>
      <w:r w:rsidRPr="000B13AC">
        <w:t xml:space="preserve">l </w:t>
      </w:r>
      <w:r>
        <w:t>4,9% (</w:t>
      </w:r>
      <w:r w:rsidRPr="000B13AC">
        <w:t>dal</w:t>
      </w:r>
      <w:r>
        <w:t>lo 0% dell’Abruzzo</w:t>
      </w:r>
      <w:r w:rsidRPr="000B13AC">
        <w:t xml:space="preserve"> al </w:t>
      </w:r>
      <w:r>
        <w:t>12% della Toscana)</w:t>
      </w:r>
      <w:r w:rsidRPr="000B13AC">
        <w:t xml:space="preserve"> (</w:t>
      </w:r>
      <w:r w:rsidRPr="000B13AC">
        <w:rPr>
          <w:highlight w:val="yellow"/>
        </w:rPr>
        <w:t>figura</w:t>
      </w:r>
      <w:r w:rsidR="00544A94">
        <w:rPr>
          <w:highlight w:val="yellow"/>
        </w:rPr>
        <w:t xml:space="preserve"> </w:t>
      </w:r>
      <w:r w:rsidR="00D277CF">
        <w:rPr>
          <w:highlight w:val="yellow"/>
        </w:rPr>
        <w:t>8</w:t>
      </w:r>
      <w:r w:rsidRPr="000B13AC">
        <w:t>).</w:t>
      </w:r>
      <w:r w:rsidR="001A3054">
        <w:t xml:space="preserve"> Quello degli over 80, la fascia di età più suscettibile a ricoveri e decessi, del 7,4%</w:t>
      </w:r>
      <w:r w:rsidR="007E7D15">
        <w:t xml:space="preserve"> </w:t>
      </w:r>
      <w:r w:rsidR="001A3054">
        <w:t>(</w:t>
      </w:r>
      <w:r w:rsidR="001A3054" w:rsidRPr="000B13AC">
        <w:t>dal</w:t>
      </w:r>
      <w:r w:rsidR="001A3054">
        <w:t>lo 0% dell’Abruzzo</w:t>
      </w:r>
      <w:r w:rsidR="001A3054" w:rsidRPr="000B13AC">
        <w:t xml:space="preserve"> al </w:t>
      </w:r>
      <w:r w:rsidR="001A3054">
        <w:t>17% della Toscana) (</w:t>
      </w:r>
      <w:r w:rsidR="001A3054" w:rsidRPr="001A3054">
        <w:rPr>
          <w:highlight w:val="yellow"/>
        </w:rPr>
        <w:t>figura</w:t>
      </w:r>
      <w:r w:rsidR="00D277CF">
        <w:rPr>
          <w:highlight w:val="yellow"/>
        </w:rPr>
        <w:t xml:space="preserve"> 9</w:t>
      </w:r>
      <w:r w:rsidR="001A3054">
        <w:t>)</w:t>
      </w:r>
      <w:bookmarkEnd w:id="2"/>
      <w:r w:rsidR="00D277CF">
        <w:t>.</w:t>
      </w:r>
    </w:p>
    <w:p w14:paraId="5C7A1A5B" w14:textId="7B92765F" w:rsidR="00900C12" w:rsidRDefault="00EF0E6C" w:rsidP="00017635">
      <w:pPr>
        <w:jc w:val="both"/>
      </w:pPr>
      <w:r w:rsidRPr="00900C12">
        <w:t>«</w:t>
      </w:r>
      <w:r w:rsidR="00900C12" w:rsidRPr="00900C12">
        <w:t>Nonostante le raccomandazioni del Ministero della Salute</w:t>
      </w:r>
      <w:r w:rsidR="00FA712E" w:rsidRPr="00900C12">
        <w:t xml:space="preserve"> </w:t>
      </w:r>
      <w:r w:rsidR="00A90659" w:rsidRPr="00900C12">
        <w:t>– commenta il Presidente –</w:t>
      </w:r>
      <w:r w:rsidR="005D1734">
        <w:t xml:space="preserve"> </w:t>
      </w:r>
      <w:r w:rsidR="00900C12">
        <w:t xml:space="preserve">i tassi di copertura </w:t>
      </w:r>
      <w:r w:rsidR="00EF53CB">
        <w:t xml:space="preserve">negli over 60, ed in particolare negli over 80, </w:t>
      </w:r>
      <w:r w:rsidR="00900C12">
        <w:t>rimangon</w:t>
      </w:r>
      <w:r w:rsidR="00EF53CB">
        <w:t>o</w:t>
      </w:r>
      <w:r w:rsidR="00900C12">
        <w:t xml:space="preserve"> molto bassi a livello nazionale</w:t>
      </w:r>
      <w:r w:rsidR="00EF53CB">
        <w:t xml:space="preserve"> e</w:t>
      </w:r>
      <w:r w:rsidR="00900C12">
        <w:t xml:space="preserve"> prossimi allo zero in quasi tutte le Regioni del Sud.</w:t>
      </w:r>
      <w:r w:rsidR="00EF53CB">
        <w:t xml:space="preserve"> Con un numero di somministrazioni che, invece di aumentare, si riduce. </w:t>
      </w:r>
      <w:r w:rsidR="00900C12">
        <w:t xml:space="preserve"> Purtroppo, al fenomeno della “stanchezza vaccinale” e </w:t>
      </w:r>
      <w:r w:rsidR="00EF53CB">
        <w:t>alla</w:t>
      </w:r>
      <w:r w:rsidR="00900C12">
        <w:t xml:space="preserve"> </w:t>
      </w:r>
      <w:r w:rsidR="00EF53CB">
        <w:t xml:space="preserve">continua </w:t>
      </w:r>
      <w:r w:rsidR="00900C12">
        <w:t xml:space="preserve">disinformazione sull’efficacia e sicurezza dei vaccini, si sono aggiunti vari problemi logistico-organizzativi: ritardo nella consegna e distribuzione </w:t>
      </w:r>
      <w:r w:rsidR="00EF53CB">
        <w:t xml:space="preserve">capillare </w:t>
      </w:r>
      <w:r w:rsidR="00900C12">
        <w:t>dei vaccini, insufficiente e tardivo coinvolgimento di farmacie e medici di medicina generale, mancata attivazione della chiamata attiva dei pazienti a rischio</w:t>
      </w:r>
      <w:r w:rsidR="00EF53CB">
        <w:t xml:space="preserve">, </w:t>
      </w:r>
      <w:r w:rsidR="009C336F">
        <w:t xml:space="preserve">difficoltà tecniche </w:t>
      </w:r>
      <w:r w:rsidR="00EF53CB">
        <w:t>dei portali web di prenotazione</w:t>
      </w:r>
      <w:r w:rsidR="00900C12">
        <w:t xml:space="preserve">. Con la tragica conseguenza che </w:t>
      </w:r>
      <w:r w:rsidR="007C0A7E">
        <w:t xml:space="preserve">l’attuale </w:t>
      </w:r>
      <w:r w:rsidR="00EB4D6D">
        <w:t xml:space="preserve">incremento </w:t>
      </w:r>
      <w:r w:rsidR="00900C12">
        <w:t xml:space="preserve">della circolazione virale </w:t>
      </w:r>
      <w:r w:rsidR="007C0A7E">
        <w:t xml:space="preserve">viene a coincidere </w:t>
      </w:r>
      <w:r w:rsidR="00900C12">
        <w:lastRenderedPageBreak/>
        <w:t xml:space="preserve">con </w:t>
      </w:r>
      <w:r w:rsidR="00EF53CB">
        <w:t>il</w:t>
      </w:r>
      <w:r w:rsidR="00900C12">
        <w:t xml:space="preserve"> </w:t>
      </w:r>
      <w:r w:rsidR="00EF53CB" w:rsidRPr="005D1734">
        <w:t>progressivo</w:t>
      </w:r>
      <w:r w:rsidR="00EF53CB" w:rsidRPr="007C0A7E">
        <w:t xml:space="preserve"> </w:t>
      </w:r>
      <w:r w:rsidR="00900C12">
        <w:t xml:space="preserve">declino della copertura immunitaria in un numero sempre più elevato di anziani e fragili, aumentando </w:t>
      </w:r>
      <w:r w:rsidR="00EF53CB">
        <w:t xml:space="preserve">inesorabilmente </w:t>
      </w:r>
      <w:r w:rsidR="00900C12">
        <w:t>ricoveri ordinari e decessi</w:t>
      </w:r>
      <w:r w:rsidR="00F80C07" w:rsidRPr="00420D02">
        <w:t>»</w:t>
      </w:r>
      <w:r w:rsidR="00FA712E">
        <w:t>.</w:t>
      </w:r>
      <w:r w:rsidR="00EF53CB">
        <w:t xml:space="preserve"> </w:t>
      </w:r>
    </w:p>
    <w:p w14:paraId="5351FE7B" w14:textId="3CD41D43" w:rsidR="00A74550" w:rsidRPr="000628E0" w:rsidRDefault="00A74550" w:rsidP="00765B70">
      <w:pPr>
        <w:spacing w:after="120"/>
        <w:jc w:val="both"/>
      </w:pPr>
      <w:r>
        <w:t xml:space="preserve">Le indicazioni per la campagna di vaccinazione anti-COVID-19 2023-2024 sono contenute nella </w:t>
      </w:r>
      <w:hyperlink r:id="rId15" w:history="1">
        <w:r w:rsidRPr="008F3EFF">
          <w:rPr>
            <w:rStyle w:val="Collegamentoipertestuale"/>
          </w:rPr>
          <w:t>Circolare del Ministero della Salute del 27 settembre</w:t>
        </w:r>
      </w:hyperlink>
      <w:r>
        <w:t xml:space="preserve"> che fa seguito </w:t>
      </w:r>
      <w:hyperlink r:id="rId16" w:history="1">
        <w:r w:rsidRPr="008F3EFF">
          <w:rPr>
            <w:rStyle w:val="Collegamentoipertestuale"/>
          </w:rPr>
          <w:t>quella del 14 agosto</w:t>
        </w:r>
      </w:hyperlink>
      <w:r>
        <w:t xml:space="preserve">. </w:t>
      </w:r>
      <w:r w:rsidRPr="00613221">
        <w:t>«</w:t>
      </w:r>
      <w:r>
        <w:t>Viene raccomandato un richiamo annuale</w:t>
      </w:r>
      <w:r w:rsidR="00765B70">
        <w:t xml:space="preserve"> </w:t>
      </w:r>
      <w:r w:rsidRPr="00613221">
        <w:t>–</w:t>
      </w:r>
      <w:r>
        <w:t xml:space="preserve"> spiega </w:t>
      </w:r>
      <w:proofErr w:type="spellStart"/>
      <w:r>
        <w:t>Cartabellotta</w:t>
      </w:r>
      <w:proofErr w:type="spellEnd"/>
      <w:r>
        <w:t xml:space="preserve"> </w:t>
      </w:r>
      <w:r w:rsidRPr="00613221">
        <w:t>–</w:t>
      </w:r>
      <w:r w:rsidR="00765B70">
        <w:t xml:space="preserve"> </w:t>
      </w:r>
      <w:r>
        <w:t xml:space="preserve">con la formulazione aggiornata monovalente XBB 1.5, già approvata da EMA. La somministrazione </w:t>
      </w:r>
      <w:r w:rsidR="00EB4D6D">
        <w:t xml:space="preserve">deve </w:t>
      </w:r>
      <w:r>
        <w:t>essere effettuata a distanza di almeno 6 mesi dall'ultimo richiamo (indipendentemente dal numero di richiami effettuati) o dall’ultima infezione diagnosticata</w:t>
      </w:r>
      <w:r w:rsidRPr="00613221">
        <w:t>»</w:t>
      </w:r>
      <w:r>
        <w:t>. L’obiettivo è quello di prevenire mortalità, ospedalizzazioni e forme gravi di COVID-19 nelle persone anziane e con elevata fragilità, oltre a proteggere le donne in gravidanza e gli operatori sanitari. In dettaglio, le categorie a cui è raccomandato il richiamo sono:</w:t>
      </w:r>
    </w:p>
    <w:p w14:paraId="0B9CA455" w14:textId="77777777" w:rsidR="00A74550" w:rsidRDefault="00A74550" w:rsidP="00A74550">
      <w:pPr>
        <w:pStyle w:val="Paragrafoelenco"/>
        <w:numPr>
          <w:ilvl w:val="0"/>
          <w:numId w:val="2"/>
        </w:numPr>
        <w:jc w:val="both"/>
      </w:pPr>
      <w:r>
        <w:t>Persone di età pari o superiore a 60 anni</w:t>
      </w:r>
    </w:p>
    <w:p w14:paraId="1358F6B9" w14:textId="77777777" w:rsidR="00A74550" w:rsidRDefault="00A74550" w:rsidP="00A74550">
      <w:pPr>
        <w:pStyle w:val="Paragrafoelenco"/>
        <w:numPr>
          <w:ilvl w:val="0"/>
          <w:numId w:val="2"/>
        </w:numPr>
        <w:jc w:val="both"/>
      </w:pPr>
      <w:r>
        <w:t>Ospiti delle strutture per lungodegenti</w:t>
      </w:r>
    </w:p>
    <w:p w14:paraId="56FDC044" w14:textId="77777777" w:rsidR="00A74550" w:rsidRDefault="00A74550" w:rsidP="00A74550">
      <w:pPr>
        <w:pStyle w:val="Paragrafoelenco"/>
        <w:numPr>
          <w:ilvl w:val="0"/>
          <w:numId w:val="2"/>
        </w:numPr>
        <w:jc w:val="both"/>
      </w:pPr>
      <w:r>
        <w:t>Donne gravide e nel periodo post-</w:t>
      </w:r>
      <w:proofErr w:type="spellStart"/>
      <w:r>
        <w:t>partum</w:t>
      </w:r>
      <w:proofErr w:type="spellEnd"/>
      <w:r>
        <w:t>, incluse le donne che allattano</w:t>
      </w:r>
    </w:p>
    <w:p w14:paraId="5FC5DF39" w14:textId="77777777" w:rsidR="00A74550" w:rsidRDefault="00A74550" w:rsidP="00A74550">
      <w:pPr>
        <w:pStyle w:val="Paragrafoelenco"/>
        <w:numPr>
          <w:ilvl w:val="0"/>
          <w:numId w:val="2"/>
        </w:numPr>
        <w:jc w:val="both"/>
      </w:pPr>
      <w:r>
        <w:t>Operatori sanitari e sociosanitari addetti all’assistenza negli ospedali, nel territorio e nelle strutture di lungodegenza; studenti di medicina, delle professioni sanitarie che effettuano tirocini in strutture assistenziali e tutto il personale sanitario e sociosanitario in formazione</w:t>
      </w:r>
    </w:p>
    <w:p w14:paraId="45116479" w14:textId="77777777" w:rsidR="00A74550" w:rsidRDefault="00A74550" w:rsidP="00A74550">
      <w:pPr>
        <w:pStyle w:val="Paragrafoelenco"/>
        <w:numPr>
          <w:ilvl w:val="0"/>
          <w:numId w:val="2"/>
        </w:numPr>
        <w:jc w:val="both"/>
      </w:pPr>
      <w:r>
        <w:t>Persone dai 6 mesi ai 59 anni di età, con elevata fragilità, in quanto affette da patologie o con condizioni che aumentano il rischio di COVID-19 grave identificate dalla circolare</w:t>
      </w:r>
    </w:p>
    <w:p w14:paraId="47485CD5" w14:textId="77777777" w:rsidR="00A74550" w:rsidRPr="00420D02" w:rsidRDefault="00A74550" w:rsidP="00017635">
      <w:pPr>
        <w:jc w:val="both"/>
      </w:pPr>
      <w:r>
        <w:t xml:space="preserve">La vaccinazione viene inoltre consigliata a familiari e conviventi di persone con gravi fragilità e può essere richiesta anche dalle persone che </w:t>
      </w:r>
      <w:r w:rsidRPr="00403A05">
        <w:t>non appart</w:t>
      </w:r>
      <w:r>
        <w:t xml:space="preserve">engono </w:t>
      </w:r>
      <w:r w:rsidRPr="00403A05">
        <w:t>alle categorie di cui sopra</w:t>
      </w:r>
      <w:r w:rsidR="00765B70">
        <w:t>.</w:t>
      </w:r>
    </w:p>
    <w:p w14:paraId="3E1E4047" w14:textId="326EC9F6" w:rsidR="00017635" w:rsidRDefault="00094309" w:rsidP="00ED23E5">
      <w:pPr>
        <w:jc w:val="both"/>
      </w:pPr>
      <w:r w:rsidRPr="00613221">
        <w:t>«</w:t>
      </w:r>
      <w:r>
        <w:t xml:space="preserve">I dati </w:t>
      </w:r>
      <w:r w:rsidRPr="00613221">
        <w:t>–</w:t>
      </w:r>
      <w:r>
        <w:t xml:space="preserve"> conclude </w:t>
      </w:r>
      <w:proofErr w:type="spellStart"/>
      <w:r>
        <w:t>Cartabellotta</w:t>
      </w:r>
      <w:proofErr w:type="spellEnd"/>
      <w:r>
        <w:t xml:space="preserve"> </w:t>
      </w:r>
      <w:r w:rsidRPr="00613221">
        <w:t>–</w:t>
      </w:r>
      <w:r>
        <w:t xml:space="preserve"> confermano una progressiva ripresa della circolazione virale</w:t>
      </w:r>
      <w:r w:rsidR="00F80C07">
        <w:t xml:space="preserve">, </w:t>
      </w:r>
      <w:r w:rsidR="00A54C30">
        <w:t>peraltro largamente sottostimata</w:t>
      </w:r>
      <w:r w:rsidR="00781849">
        <w:t>,</w:t>
      </w:r>
      <w:r w:rsidR="00A54C30">
        <w:t xml:space="preserve"> dovuta a fattori concomitanti: </w:t>
      </w:r>
      <w:r w:rsidR="00A74550">
        <w:t xml:space="preserve">arrivo della stagione invernale, </w:t>
      </w:r>
      <w:r w:rsidR="00FA17AD">
        <w:t>prevalenza</w:t>
      </w:r>
      <w:r w:rsidR="00A54C30">
        <w:t xml:space="preserve"> di variant</w:t>
      </w:r>
      <w:r w:rsidR="00EF53CB">
        <w:t>i</w:t>
      </w:r>
      <w:r w:rsidR="00A54C30">
        <w:t xml:space="preserve"> </w:t>
      </w:r>
      <w:proofErr w:type="spellStart"/>
      <w:r w:rsidR="00A54C30">
        <w:t>immunoevasiv</w:t>
      </w:r>
      <w:r w:rsidR="007E005E">
        <w:t>e</w:t>
      </w:r>
      <w:proofErr w:type="spellEnd"/>
      <w:r w:rsidR="00A54C30">
        <w:t>, progressiva riduzione dell’immunità da vaccino o da infezione naturale</w:t>
      </w:r>
      <w:r w:rsidR="00A74550">
        <w:t xml:space="preserve">, </w:t>
      </w:r>
      <w:r w:rsidR="00A54C30">
        <w:t xml:space="preserve">sostanziale assenza di misure di protezione individuale. D’altra parte i dati su ospedalizzazioni in area medica e i decessi confermano che la malattia grave colpisce prevalentemente </w:t>
      </w:r>
      <w:r w:rsidR="00EB4D6D">
        <w:t xml:space="preserve">le </w:t>
      </w:r>
      <w:r w:rsidR="00A54C30">
        <w:t xml:space="preserve">fasce di età </w:t>
      </w:r>
      <w:r w:rsidR="00EB4D6D">
        <w:t>avanzata</w:t>
      </w:r>
      <w:r w:rsidR="00A54C30">
        <w:t xml:space="preserve">, oltre che </w:t>
      </w:r>
      <w:r w:rsidR="00EB4D6D">
        <w:t xml:space="preserve">i </w:t>
      </w:r>
      <w:r w:rsidR="00A54C30">
        <w:t>soggetti fragili, ai quali è già indirizzata prioritariamente la campagna vaccinale 2023-2024</w:t>
      </w:r>
      <w:r w:rsidR="00AE4C21">
        <w:t>. Alla luce del quadro epidemiologico</w:t>
      </w:r>
      <w:r w:rsidR="00004568">
        <w:t xml:space="preserve">, </w:t>
      </w:r>
      <w:r w:rsidR="00F977D1">
        <w:t xml:space="preserve">della percentuale di reinfezioni, </w:t>
      </w:r>
      <w:r w:rsidR="00AE4C21">
        <w:t xml:space="preserve">dell’efficacia dei vaccini sulla malattia grave e delle rilevanti criticità che condizionano l’erogazione dei servizi sanitari, la Fondazione GIMBE invita le Istituzioni a </w:t>
      </w:r>
      <w:r w:rsidR="00A74550">
        <w:t xml:space="preserve">potenziare rapidamente la campagna vaccinale per </w:t>
      </w:r>
      <w:r w:rsidR="00004568">
        <w:t>anziani e fragili</w:t>
      </w:r>
      <w:r w:rsidR="00EF20B6">
        <w:t xml:space="preserve">, </w:t>
      </w:r>
      <w:r w:rsidR="00E505C9">
        <w:t>o</w:t>
      </w:r>
      <w:r w:rsidR="00EF20B6">
        <w:t xml:space="preserve">ltre </w:t>
      </w:r>
      <w:r w:rsidR="006A7383">
        <w:t>a</w:t>
      </w:r>
      <w:r w:rsidR="00781849">
        <w:t xml:space="preserve"> rimettere in campo</w:t>
      </w:r>
      <w:r w:rsidR="002C4FCE">
        <w:t xml:space="preserve"> </w:t>
      </w:r>
      <w:r w:rsidR="006A7383">
        <w:t xml:space="preserve">- </w:t>
      </w:r>
      <w:r w:rsidR="00EB4D6D">
        <w:t>ov</w:t>
      </w:r>
      <w:r w:rsidR="006A7383">
        <w:t xml:space="preserve">e necessario - </w:t>
      </w:r>
      <w:r w:rsidR="006A7383" w:rsidRPr="006A7383">
        <w:t>misure di contrasto alla diffusione del virus</w:t>
      </w:r>
      <w:r w:rsidR="00E505C9">
        <w:t xml:space="preserve">. </w:t>
      </w:r>
      <w:r w:rsidR="005D0A3E" w:rsidRPr="005D0A3E">
        <w:t>Alla popolazione rivolge l’invito a mantenere comportamenti responsabili: perché ne</w:t>
      </w:r>
      <w:r w:rsidR="00A74550">
        <w:t xml:space="preserve">i </w:t>
      </w:r>
      <w:r w:rsidR="007E005E">
        <w:t xml:space="preserve">prossimi </w:t>
      </w:r>
      <w:r w:rsidR="00A74550">
        <w:t xml:space="preserve">mesi </w:t>
      </w:r>
      <w:r w:rsidR="005D0A3E" w:rsidRPr="005D0A3E">
        <w:t>il vero rischio reale del COVID-19</w:t>
      </w:r>
      <w:r w:rsidR="00A74550">
        <w:t xml:space="preserve">, insieme all’epidemia influenzale, </w:t>
      </w:r>
      <w:r w:rsidR="005D0A3E" w:rsidRPr="005D0A3E">
        <w:t xml:space="preserve">è quello di compromettere la tenuta del Servizio Sanitario Nazionale, </w:t>
      </w:r>
      <w:r w:rsidR="007E005E">
        <w:t>già</w:t>
      </w:r>
      <w:r w:rsidR="005D0A3E" w:rsidRPr="005D0A3E">
        <w:t xml:space="preserve"> profondamente indebolito e molto meno resiliente</w:t>
      </w:r>
      <w:r w:rsidR="005D0A3E">
        <w:rPr>
          <w:rStyle w:val="ui-provider"/>
        </w:rPr>
        <w:t>, in particolare per la grave carenza di personale sanitario</w:t>
      </w:r>
      <w:r w:rsidRPr="00613221">
        <w:t>»</w:t>
      </w:r>
      <w:r>
        <w:t>.</w:t>
      </w:r>
    </w:p>
    <w:p w14:paraId="2994C906" w14:textId="77777777" w:rsidR="00890C08" w:rsidRDefault="00890C08" w:rsidP="00890C08">
      <w:pPr>
        <w:spacing w:after="120" w:line="276" w:lineRule="auto"/>
        <w:rPr>
          <w:i/>
          <w:iCs/>
        </w:rPr>
      </w:pPr>
      <w:r w:rsidRPr="006B328D">
        <w:rPr>
          <w:i/>
          <w:iCs/>
        </w:rPr>
        <w:t>Il monitoraggio GIMBE della pandemia COVID-19 è disponibile a:</w:t>
      </w:r>
      <w:r w:rsidRPr="006B328D">
        <w:t xml:space="preserve"> </w:t>
      </w:r>
      <w:hyperlink r:id="rId17" w:history="1">
        <w:r w:rsidRPr="006B328D">
          <w:rPr>
            <w:rStyle w:val="Collegamentoipertestuale"/>
            <w:i/>
            <w:iCs/>
          </w:rPr>
          <w:t>https://coronavirus.gimbe.org</w:t>
        </w:r>
      </w:hyperlink>
      <w:r w:rsidRPr="006B328D">
        <w:rPr>
          <w:i/>
          <w:iCs/>
        </w:rPr>
        <w:t xml:space="preserve"> </w:t>
      </w:r>
    </w:p>
    <w:p w14:paraId="4BF0ADDE" w14:textId="77777777" w:rsidR="00890C08" w:rsidRPr="006729F0" w:rsidRDefault="00890C08" w:rsidP="00890C08">
      <w:pPr>
        <w:spacing w:after="120"/>
        <w:rPr>
          <w:b/>
          <w:bCs/>
          <w:sz w:val="16"/>
        </w:rPr>
      </w:pPr>
    </w:p>
    <w:p w14:paraId="6B4AEA73" w14:textId="77777777" w:rsidR="00890C08" w:rsidRPr="006B328D" w:rsidRDefault="00890C08" w:rsidP="00890C08">
      <w:pPr>
        <w:spacing w:after="120"/>
        <w:rPr>
          <w:rStyle w:val="Hyperlink1"/>
          <w:color w:val="auto"/>
        </w:rPr>
      </w:pPr>
      <w:r w:rsidRPr="006B328D">
        <w:rPr>
          <w:b/>
          <w:bCs/>
        </w:rPr>
        <w:t>CONTATTI</w:t>
      </w:r>
      <w:r w:rsidRPr="006B328D">
        <w:rPr>
          <w:i/>
          <w:iCs/>
        </w:rPr>
        <w:br/>
      </w:r>
      <w:r w:rsidRPr="006B328D">
        <w:rPr>
          <w:b/>
          <w:bCs/>
        </w:rPr>
        <w:t>Fondazione GIMBE</w:t>
      </w:r>
      <w:r w:rsidRPr="006B328D">
        <w:rPr>
          <w:i/>
          <w:iCs/>
          <w:u w:val="single" w:color="0563C1"/>
        </w:rPr>
        <w:br/>
      </w:r>
      <w:r w:rsidRPr="006B328D">
        <w:rPr>
          <w:sz w:val="20"/>
          <w:szCs w:val="20"/>
        </w:rPr>
        <w:t>Via Amendola 2 - 40121 Bologna</w:t>
      </w:r>
      <w:r w:rsidRPr="006B328D">
        <w:rPr>
          <w:sz w:val="20"/>
          <w:szCs w:val="20"/>
        </w:rPr>
        <w:br/>
        <w:t>Tel. 051 5883920 - Fax 051 4075774</w:t>
      </w:r>
      <w:r w:rsidRPr="006B328D">
        <w:rPr>
          <w:sz w:val="20"/>
          <w:szCs w:val="20"/>
        </w:rPr>
        <w:br/>
        <w:t xml:space="preserve">E-mail: </w:t>
      </w:r>
      <w:hyperlink r:id="rId18" w:history="1">
        <w:r w:rsidRPr="006B328D">
          <w:rPr>
            <w:rStyle w:val="Collegamentoipertestuale"/>
            <w:rFonts w:eastAsia="Calibri" w:cs="Calibri"/>
            <w:sz w:val="20"/>
            <w:szCs w:val="20"/>
            <w:u w:color="0563C1"/>
          </w:rPr>
          <w:t>ufficio.stampa@gimbe.org</w:t>
        </w:r>
      </w:hyperlink>
    </w:p>
    <w:p w14:paraId="34111E96" w14:textId="77777777" w:rsidR="00890C08" w:rsidRDefault="00890C08">
      <w:r>
        <w:br w:type="page"/>
      </w:r>
    </w:p>
    <w:p w14:paraId="0FCF2E0C" w14:textId="77777777" w:rsidR="00890C08" w:rsidRDefault="00890C08" w:rsidP="00ED23E5">
      <w:pPr>
        <w:jc w:val="both"/>
      </w:pPr>
    </w:p>
    <w:p w14:paraId="1A2635C3" w14:textId="77777777" w:rsidR="00544A94" w:rsidRDefault="00890C08" w:rsidP="00890C08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>Figura 1</w:t>
      </w:r>
    </w:p>
    <w:p w14:paraId="46E9448B" w14:textId="3AC417BB" w:rsidR="00544A94" w:rsidRPr="00890C08" w:rsidRDefault="00A44632" w:rsidP="00890C08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noProof/>
          <w:color w:val="05457D"/>
          <w:sz w:val="24"/>
          <w:szCs w:val="24"/>
          <w:u w:color="00457D"/>
          <w:lang w:eastAsia="it-IT"/>
        </w:rPr>
        <w:pict w14:anchorId="13941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5pt;height:269.8pt">
            <v:imagedata r:id="rId19" o:title="Figura01-20231205-min"/>
          </v:shape>
        </w:pict>
      </w:r>
    </w:p>
    <w:p w14:paraId="7DF76601" w14:textId="77777777" w:rsidR="00890C08" w:rsidRDefault="00890C08" w:rsidP="00544A94"/>
    <w:p w14:paraId="17112894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>
        <w:rPr>
          <w:b/>
          <w:bCs/>
          <w:color w:val="05457D"/>
          <w:sz w:val="24"/>
          <w:szCs w:val="24"/>
          <w:u w:color="00457D"/>
        </w:rPr>
        <w:t>2</w:t>
      </w:r>
    </w:p>
    <w:p w14:paraId="084E851E" w14:textId="321C7B5C" w:rsidR="00890C08" w:rsidRDefault="00A44632" w:rsidP="00890C08">
      <w:pPr>
        <w:jc w:val="center"/>
      </w:pPr>
      <w:r>
        <w:rPr>
          <w:noProof/>
          <w:lang w:eastAsia="it-IT"/>
        </w:rPr>
        <w:pict w14:anchorId="5B7F9360">
          <v:shape id="_x0000_i1026" type="#_x0000_t75" style="width:480.85pt;height:240.85pt">
            <v:imagedata r:id="rId20" o:title="Figura02-20231205-min"/>
          </v:shape>
        </w:pict>
      </w:r>
    </w:p>
    <w:p w14:paraId="47559116" w14:textId="77777777" w:rsidR="00890C08" w:rsidRDefault="00890C08">
      <w:r>
        <w:br w:type="page"/>
      </w:r>
    </w:p>
    <w:p w14:paraId="38ABD3E2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>
        <w:rPr>
          <w:b/>
          <w:bCs/>
          <w:color w:val="05457D"/>
          <w:sz w:val="24"/>
          <w:szCs w:val="24"/>
          <w:u w:color="00457D"/>
        </w:rPr>
        <w:t>3</w:t>
      </w:r>
    </w:p>
    <w:p w14:paraId="32EC453E" w14:textId="06B75BC6" w:rsidR="00890C08" w:rsidRDefault="00A44632" w:rsidP="00890C08">
      <w:pPr>
        <w:jc w:val="center"/>
      </w:pPr>
      <w:r>
        <w:rPr>
          <w:noProof/>
          <w:lang w:eastAsia="it-IT"/>
        </w:rPr>
        <w:pict w14:anchorId="1DD3ADB5">
          <v:shape id="_x0000_i1027" type="#_x0000_t75" style="width:456.85pt;height:228.4pt">
            <v:imagedata r:id="rId21" o:title="Figura03-20231205-min"/>
          </v:shape>
        </w:pict>
      </w:r>
    </w:p>
    <w:p w14:paraId="2D292195" w14:textId="77777777" w:rsidR="00D277CF" w:rsidRDefault="00D277CF" w:rsidP="00D277CF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1DFA249A" w14:textId="77777777" w:rsidR="00D277CF" w:rsidRDefault="00D277CF" w:rsidP="00D277CF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>
        <w:rPr>
          <w:b/>
          <w:bCs/>
          <w:color w:val="05457D"/>
          <w:sz w:val="24"/>
          <w:szCs w:val="24"/>
          <w:u w:color="00457D"/>
        </w:rPr>
        <w:t>4</w:t>
      </w:r>
    </w:p>
    <w:p w14:paraId="205AE8C3" w14:textId="471E439F" w:rsidR="004232BD" w:rsidRPr="003401C5" w:rsidRDefault="00A44632" w:rsidP="003401C5">
      <w:pPr>
        <w:jc w:val="center"/>
      </w:pPr>
      <w:r>
        <w:rPr>
          <w:noProof/>
          <w:lang w:eastAsia="it-IT"/>
        </w:rPr>
        <w:pict w14:anchorId="0E18D0B4">
          <v:shape id="_x0000_i1028" type="#_x0000_t75" style="width:453.5pt;height:425.4pt">
            <v:imagedata r:id="rId22" o:title="Figura04-20231205-min"/>
          </v:shape>
        </w:pict>
      </w:r>
    </w:p>
    <w:p w14:paraId="5AA038E3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D277CF">
        <w:rPr>
          <w:b/>
          <w:bCs/>
          <w:color w:val="05457D"/>
          <w:sz w:val="24"/>
          <w:szCs w:val="24"/>
          <w:u w:color="00457D"/>
        </w:rPr>
        <w:t>5</w:t>
      </w:r>
    </w:p>
    <w:p w14:paraId="4FB33135" w14:textId="4BD34DBB" w:rsidR="00890C08" w:rsidRDefault="00A44632" w:rsidP="00663211">
      <w:pPr>
        <w:spacing w:after="120" w:line="276" w:lineRule="auto"/>
        <w:jc w:val="center"/>
      </w:pPr>
      <w:r>
        <w:rPr>
          <w:noProof/>
          <w:lang w:eastAsia="it-IT"/>
        </w:rPr>
        <w:pict w14:anchorId="11380B11">
          <v:shape id="_x0000_i1029" type="#_x0000_t75" style="width:480.85pt;height:267.3pt">
            <v:imagedata r:id="rId23" o:title="Figura05-20231205-min"/>
          </v:shape>
        </w:pict>
      </w:r>
    </w:p>
    <w:p w14:paraId="2873A8CE" w14:textId="77777777" w:rsidR="00890C08" w:rsidRDefault="00890C08"/>
    <w:p w14:paraId="781FA58C" w14:textId="77777777" w:rsidR="00890C08" w:rsidRDefault="00890C08" w:rsidP="00890C08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D277CF">
        <w:rPr>
          <w:b/>
          <w:bCs/>
          <w:color w:val="05457D"/>
          <w:sz w:val="24"/>
          <w:szCs w:val="24"/>
          <w:u w:color="00457D"/>
        </w:rPr>
        <w:t>6</w:t>
      </w:r>
    </w:p>
    <w:p w14:paraId="711EED55" w14:textId="3F1C4183" w:rsidR="00544A94" w:rsidRDefault="00A44632" w:rsidP="00D277CF">
      <w:pPr>
        <w:spacing w:line="276" w:lineRule="auto"/>
        <w:jc w:val="center"/>
        <w:rPr>
          <w:color w:val="FF0000"/>
        </w:rPr>
      </w:pPr>
      <w:r>
        <w:rPr>
          <w:noProof/>
          <w:color w:val="FF0000"/>
          <w:lang w:eastAsia="it-IT"/>
        </w:rPr>
        <w:pict w14:anchorId="5823842C">
          <v:shape id="_x0000_i1030" type="#_x0000_t75" style="width:481.65pt;height:323.6pt">
            <v:imagedata r:id="rId24" o:title="Figura06-20231205-min"/>
          </v:shape>
        </w:pict>
      </w:r>
    </w:p>
    <w:p w14:paraId="4A83D149" w14:textId="77777777" w:rsidR="00D277CF" w:rsidRDefault="00D277CF">
      <w:pPr>
        <w:rPr>
          <w:color w:val="FF0000"/>
        </w:rPr>
      </w:pPr>
      <w:r>
        <w:rPr>
          <w:color w:val="FF0000"/>
        </w:rPr>
        <w:br w:type="page"/>
      </w:r>
    </w:p>
    <w:p w14:paraId="3E00BDA7" w14:textId="77777777" w:rsidR="00544A94" w:rsidRDefault="00544A94" w:rsidP="00544A94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D277CF">
        <w:rPr>
          <w:b/>
          <w:bCs/>
          <w:color w:val="05457D"/>
          <w:sz w:val="24"/>
          <w:szCs w:val="24"/>
          <w:u w:color="00457D"/>
        </w:rPr>
        <w:t>7</w:t>
      </w:r>
    </w:p>
    <w:p w14:paraId="3D788B3B" w14:textId="17A00ABC" w:rsidR="00544A94" w:rsidRDefault="0027740C" w:rsidP="004244D5">
      <w:pPr>
        <w:jc w:val="center"/>
      </w:pPr>
      <w:r>
        <w:rPr>
          <w:noProof/>
          <w:lang w:eastAsia="it-IT"/>
        </w:rPr>
        <w:pict w14:anchorId="5A6A0FD9">
          <v:shape id="_x0000_i1031" type="#_x0000_t75" style="width:451.05pt;height:292.15pt">
            <v:imagedata r:id="rId25" o:title="Figura07-20231205-min"/>
          </v:shape>
        </w:pict>
      </w:r>
    </w:p>
    <w:p w14:paraId="54822EEC" w14:textId="77777777" w:rsidR="00D277CF" w:rsidRPr="00D277CF" w:rsidRDefault="00D277CF" w:rsidP="00544A94">
      <w:pPr>
        <w:spacing w:after="0" w:line="240" w:lineRule="auto"/>
        <w:jc w:val="center"/>
        <w:rPr>
          <w:b/>
          <w:bCs/>
          <w:color w:val="05457D"/>
          <w:sz w:val="12"/>
          <w:szCs w:val="12"/>
          <w:u w:color="00457D"/>
        </w:rPr>
      </w:pPr>
    </w:p>
    <w:p w14:paraId="214F016E" w14:textId="77777777" w:rsidR="00544A94" w:rsidRDefault="00544A94" w:rsidP="00544A94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t>Figura</w:t>
      </w:r>
      <w:r w:rsidR="00D277CF">
        <w:rPr>
          <w:b/>
          <w:bCs/>
          <w:color w:val="05457D"/>
          <w:sz w:val="24"/>
          <w:szCs w:val="24"/>
          <w:u w:color="00457D"/>
        </w:rPr>
        <w:t xml:space="preserve"> 8</w:t>
      </w:r>
    </w:p>
    <w:p w14:paraId="6EF6AFCD" w14:textId="5F27DF61" w:rsidR="00544A94" w:rsidRDefault="0027740C" w:rsidP="00544A94">
      <w:pPr>
        <w:jc w:val="center"/>
        <w:rPr>
          <w:color w:val="FF0000"/>
        </w:rPr>
      </w:pPr>
      <w:r>
        <w:rPr>
          <w:noProof/>
          <w:color w:val="FF0000"/>
          <w:lang w:eastAsia="it-IT"/>
        </w:rPr>
        <w:pict w14:anchorId="20E78886">
          <v:shape id="_x0000_i1032" type="#_x0000_t75" style="width:440.3pt;height:362.5pt">
            <v:imagedata r:id="rId26" o:title="Figura08-20231205-min"/>
          </v:shape>
        </w:pict>
      </w:r>
    </w:p>
    <w:p w14:paraId="08C33952" w14:textId="77777777" w:rsidR="001A3054" w:rsidRPr="001A3054" w:rsidRDefault="001A3054" w:rsidP="001A3054">
      <w:pPr>
        <w:spacing w:after="0" w:line="240" w:lineRule="auto"/>
        <w:jc w:val="center"/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D277CF">
        <w:rPr>
          <w:b/>
          <w:bCs/>
          <w:color w:val="05457D"/>
          <w:sz w:val="24"/>
          <w:szCs w:val="24"/>
          <w:u w:color="00457D"/>
        </w:rPr>
        <w:t>9</w:t>
      </w:r>
    </w:p>
    <w:p w14:paraId="447ABD5B" w14:textId="4002EB23" w:rsidR="001A3054" w:rsidRDefault="0027740C" w:rsidP="00544A94">
      <w:pPr>
        <w:jc w:val="center"/>
        <w:rPr>
          <w:color w:val="FF0000"/>
        </w:rPr>
      </w:pPr>
      <w:r>
        <w:rPr>
          <w:noProof/>
          <w:lang w:eastAsia="it-IT"/>
        </w:rPr>
        <w:pict w14:anchorId="3764919C">
          <v:shape id="_x0000_i1033" type="#_x0000_t75" style="width:481.65pt;height:395.6pt">
            <v:imagedata r:id="rId27" o:title="Figura09-20231205-min"/>
          </v:shape>
        </w:pict>
      </w:r>
    </w:p>
    <w:p w14:paraId="33BF193C" w14:textId="77777777" w:rsidR="00890C08" w:rsidRDefault="00890C08" w:rsidP="00890C08">
      <w:pPr>
        <w:spacing w:after="120" w:line="276" w:lineRule="auto"/>
        <w:jc w:val="center"/>
      </w:pPr>
    </w:p>
    <w:p w14:paraId="4537F015" w14:textId="77777777" w:rsidR="00890C08" w:rsidRDefault="00890C08">
      <w:r>
        <w:br w:type="page"/>
      </w:r>
    </w:p>
    <w:p w14:paraId="0E0234F1" w14:textId="77777777" w:rsidR="00890C08" w:rsidRDefault="00890C08" w:rsidP="00890C08">
      <w:pPr>
        <w:spacing w:after="60" w:line="276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1. </w:t>
      </w:r>
      <w:r>
        <w:rPr>
          <w:b/>
          <w:bCs/>
          <w:color w:val="05457D"/>
          <w:sz w:val="24"/>
          <w:szCs w:val="24"/>
          <w:u w:color="00457D"/>
        </w:rPr>
        <w:t>Indicatori regionali: settimana</w:t>
      </w:r>
      <w:r w:rsidRPr="005D5D86">
        <w:rPr>
          <w:b/>
          <w:bCs/>
          <w:color w:val="05457D"/>
          <w:sz w:val="24"/>
          <w:szCs w:val="24"/>
          <w:u w:color="00457D"/>
        </w:rPr>
        <w:t xml:space="preserve"> </w:t>
      </w:r>
      <w:r w:rsidR="00A82F5B" w:rsidRPr="00A82F5B">
        <w:rPr>
          <w:b/>
          <w:bCs/>
          <w:color w:val="05457D"/>
          <w:sz w:val="24"/>
          <w:szCs w:val="24"/>
          <w:u w:color="00457D"/>
        </w:rPr>
        <w:t>23-29 novembre</w:t>
      </w:r>
      <w:r w:rsidRPr="00A82F5B">
        <w:rPr>
          <w:b/>
          <w:bCs/>
          <w:color w:val="05457D"/>
          <w:sz w:val="24"/>
          <w:szCs w:val="24"/>
          <w:u w:color="00457D"/>
        </w:rPr>
        <w:t xml:space="preserve"> 2023</w:t>
      </w: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60"/>
        <w:gridCol w:w="1454"/>
        <w:gridCol w:w="1989"/>
        <w:gridCol w:w="2111"/>
        <w:gridCol w:w="16"/>
      </w:tblGrid>
      <w:tr w:rsidR="00DA4EC0" w:rsidRPr="00DA4EC0" w14:paraId="32DE0D3E" w14:textId="77777777" w:rsidTr="00DA4EC0">
        <w:trPr>
          <w:gridAfter w:val="1"/>
          <w:wAfter w:w="16" w:type="dxa"/>
          <w:trHeight w:val="907"/>
        </w:trPr>
        <w:tc>
          <w:tcPr>
            <w:tcW w:w="212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05B5B6D4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1660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27339C1D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it-IT"/>
              </w:rPr>
              <w:t>Incidenza per 100.000 abitanti</w:t>
            </w:r>
          </w:p>
        </w:tc>
        <w:tc>
          <w:tcPr>
            <w:tcW w:w="1454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01F8C7C0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Variazione </w:t>
            </w: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br/>
              <w:t>% nuovi casi</w:t>
            </w:r>
          </w:p>
        </w:tc>
        <w:tc>
          <w:tcPr>
            <w:tcW w:w="1989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4013C19B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Posti letto in area medica occupati da pazienti COVID−19</w:t>
            </w:r>
          </w:p>
        </w:tc>
        <w:tc>
          <w:tcPr>
            <w:tcW w:w="2111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50F71B4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Posti letto in terapia intensiva occupati da </w:t>
            </w: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br/>
              <w:t>pazienti COVID−19</w:t>
            </w:r>
          </w:p>
        </w:tc>
      </w:tr>
      <w:tr w:rsidR="00DA4EC0" w:rsidRPr="00DA4EC0" w14:paraId="6B632165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BAEE1F0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F1E6291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151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BB83F39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30,5%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65E52C9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13,4%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B9AC42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0,6%</w:t>
            </w:r>
          </w:p>
        </w:tc>
      </w:tr>
      <w:tr w:rsidR="00DA4EC0" w:rsidRPr="00DA4EC0" w14:paraId="631037E2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504FFC0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BD43D7F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15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847F55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35,0%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5B9B2FDE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6,9%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B8832C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0,0%</w:t>
            </w:r>
          </w:p>
        </w:tc>
      </w:tr>
      <w:tr w:rsidR="00DA4EC0" w:rsidRPr="00DA4EC0" w14:paraId="7021F943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03CB93D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49B0E5C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23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B82B7E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17,6%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0D661B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8,0%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B6FEE9E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3,8%</w:t>
            </w:r>
          </w:p>
        </w:tc>
      </w:tr>
      <w:tr w:rsidR="00DA4EC0" w:rsidRPr="00DA4EC0" w14:paraId="74EF4241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26485AF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5697EA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45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B2C1AE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11,9%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6116BD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2,8%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562A8B7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1,2%</w:t>
            </w:r>
          </w:p>
        </w:tc>
      </w:tr>
      <w:tr w:rsidR="00DA4EC0" w:rsidRPr="00DA4EC0" w14:paraId="2FBA18F8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9CDA649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Emilia Romagna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170FCF0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87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6A4426D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5,0%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6953520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13,7%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523F6A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2,9%</w:t>
            </w:r>
          </w:p>
        </w:tc>
      </w:tr>
      <w:tr w:rsidR="00DA4EC0" w:rsidRPr="00DA4EC0" w14:paraId="59C0754C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15CB3B2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Friuli Venezia Giulia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C665FB9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92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E730E8D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14,3%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F0228F7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17,4%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0EA5B6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2,9%</w:t>
            </w:r>
          </w:p>
        </w:tc>
      </w:tr>
      <w:tr w:rsidR="00DA4EC0" w:rsidRPr="00DA4EC0" w14:paraId="2D347295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760D560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8E6ABE0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91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45C8EB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20,7%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DDBA9E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7,2%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F117EA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1,6%</w:t>
            </w:r>
          </w:p>
        </w:tc>
      </w:tr>
      <w:tr w:rsidR="00DA4EC0" w:rsidRPr="00DA4EC0" w14:paraId="35E529CB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01C9485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37A9CB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86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1DAEF9F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13,9%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7278A3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20,7%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2ED5511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1,1%</w:t>
            </w:r>
          </w:p>
        </w:tc>
      </w:tr>
      <w:tr w:rsidR="00DA4EC0" w:rsidRPr="00DA4EC0" w14:paraId="28EE4F2E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3812890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CFDF1A7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141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52C8F9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24,0%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98DCB3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5,3%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FB975F1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1,4%</w:t>
            </w:r>
          </w:p>
        </w:tc>
      </w:tr>
      <w:tr w:rsidR="00DA4EC0" w:rsidRPr="00DA4EC0" w14:paraId="3A4D350F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9606D21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347678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81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55B6608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22,2%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E661F64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17,7%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0ECF1B0B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1,0%</w:t>
            </w:r>
          </w:p>
        </w:tc>
      </w:tr>
      <w:tr w:rsidR="00DA4EC0" w:rsidRPr="00DA4EC0" w14:paraId="4876F1F7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EF965E7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00C7268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32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31D300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-10,5%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1C85E7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5,1%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EDD3CEC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0,0%</w:t>
            </w:r>
          </w:p>
        </w:tc>
      </w:tr>
      <w:tr w:rsidR="00DA4EC0" w:rsidRPr="00DA4EC0" w14:paraId="75AC6D4D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62D6E78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7F3ADFC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128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A6685D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32,4%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A28AB00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9,4%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2534CD1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2,4%</w:t>
            </w:r>
          </w:p>
        </w:tc>
      </w:tr>
      <w:tr w:rsidR="00DA4EC0" w:rsidRPr="00DA4EC0" w14:paraId="68BD9C85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2EA1888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proofErr w:type="spellEnd"/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. Aut. Bolzano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19BC197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57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02987AD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-9,3%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446E07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8,6%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E1D652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2,0%</w:t>
            </w:r>
          </w:p>
        </w:tc>
      </w:tr>
      <w:tr w:rsidR="00DA4EC0" w:rsidRPr="00DA4EC0" w14:paraId="7374642C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D2A8BFB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proofErr w:type="spellEnd"/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. Aut. Trento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74490B1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106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13AD18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-3,5%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88460F0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17,0%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987A291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0,0%</w:t>
            </w:r>
          </w:p>
        </w:tc>
      </w:tr>
      <w:tr w:rsidR="00DA4EC0" w:rsidRPr="00DA4EC0" w14:paraId="4D617DD2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333E179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85DB19B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53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D73483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20,4%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AA58B8B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5,7%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BE7241E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2,3%</w:t>
            </w:r>
          </w:p>
        </w:tc>
      </w:tr>
      <w:tr w:rsidR="00DA4EC0" w:rsidRPr="00DA4EC0" w14:paraId="1B5C59EC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024C2D9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D53C558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9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1C6718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43,4%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4FDF02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9,7%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CF202A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0,0%</w:t>
            </w:r>
          </w:p>
        </w:tc>
      </w:tr>
      <w:tr w:rsidR="00DA4EC0" w:rsidRPr="00DA4EC0" w14:paraId="4B7EBC72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0F26E74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2F842911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C282B3E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-18,4%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2C0FE0F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4,8%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7836058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0,7%</w:t>
            </w:r>
          </w:p>
        </w:tc>
      </w:tr>
      <w:tr w:rsidR="00DA4EC0" w:rsidRPr="00DA4EC0" w14:paraId="5D628BB6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8104870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3B7E787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68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4139DCA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18,6%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63D34F8E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7,6%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C9FE6B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3,2%</w:t>
            </w:r>
          </w:p>
        </w:tc>
      </w:tr>
      <w:tr w:rsidR="00DA4EC0" w:rsidRPr="00DA4EC0" w14:paraId="5C0B0EA8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896BCC8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39D4FB34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56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AB5DCB9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-32,3%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6DE16F15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20,2%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7C6F7C9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7,5%</w:t>
            </w:r>
          </w:p>
        </w:tc>
      </w:tr>
      <w:tr w:rsidR="00DA4EC0" w:rsidRPr="00DA4EC0" w14:paraId="6B21674E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F3E3B98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center"/>
            <w:hideMark/>
          </w:tcPr>
          <w:p w14:paraId="0180F3A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58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B10722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-10,1%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0F77717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16,4%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40A0928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6100"/>
                <w:lang w:eastAsia="it-IT"/>
              </w:rPr>
              <w:t>0,0%</w:t>
            </w:r>
          </w:p>
        </w:tc>
      </w:tr>
      <w:tr w:rsidR="00DA4EC0" w:rsidRPr="00DA4EC0" w14:paraId="155F021A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B85129E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3B283E32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183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11E6D551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3,7%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F922D09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12,0%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05D69D59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color w:val="9C0006"/>
                <w:lang w:eastAsia="it-IT"/>
              </w:rPr>
              <w:t>2,7%</w:t>
            </w:r>
          </w:p>
        </w:tc>
      </w:tr>
      <w:tr w:rsidR="00DA4EC0" w:rsidRPr="00DA4EC0" w14:paraId="0A744C6D" w14:textId="77777777" w:rsidTr="00DA4EC0">
        <w:trPr>
          <w:gridAfter w:val="1"/>
          <w:wAfter w:w="16" w:type="dxa"/>
          <w:trHeight w:val="340"/>
        </w:trPr>
        <w:tc>
          <w:tcPr>
            <w:tcW w:w="2122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00457D"/>
            <w:noWrap/>
            <w:vAlign w:val="center"/>
            <w:hideMark/>
          </w:tcPr>
          <w:p w14:paraId="78E05DB5" w14:textId="77777777" w:rsidR="00DA4EC0" w:rsidRPr="00DA4EC0" w:rsidRDefault="00DA4EC0" w:rsidP="00DA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ITALIA</w:t>
            </w:r>
          </w:p>
        </w:tc>
        <w:tc>
          <w:tcPr>
            <w:tcW w:w="16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277E6C8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color w:val="9C0006"/>
                <w:lang w:eastAsia="it-IT"/>
              </w:rPr>
              <w:t>89</w:t>
            </w:r>
          </w:p>
        </w:tc>
        <w:tc>
          <w:tcPr>
            <w:tcW w:w="145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14:paraId="5CDD7493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9C0006"/>
                <w:lang w:eastAsia="it-IT"/>
              </w:rPr>
              <w:t>16,1%</w:t>
            </w:r>
          </w:p>
        </w:tc>
        <w:tc>
          <w:tcPr>
            <w:tcW w:w="198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36CE1726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  <w:t>9,2%</w:t>
            </w:r>
          </w:p>
        </w:tc>
        <w:tc>
          <w:tcPr>
            <w:tcW w:w="211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14:paraId="1B5AEE4A" w14:textId="77777777" w:rsidR="00DA4EC0" w:rsidRPr="00DA4EC0" w:rsidRDefault="00DA4EC0" w:rsidP="00DA4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  <w:t>1,9%</w:t>
            </w:r>
          </w:p>
        </w:tc>
      </w:tr>
      <w:tr w:rsidR="00DA4EC0" w:rsidRPr="00DA4EC0" w14:paraId="0D172E1E" w14:textId="77777777" w:rsidTr="004232BD">
        <w:trPr>
          <w:trHeight w:val="2494"/>
        </w:trPr>
        <w:tc>
          <w:tcPr>
            <w:tcW w:w="9352" w:type="dxa"/>
            <w:gridSpan w:val="6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2AA4A646" w14:textId="77777777" w:rsidR="004232BD" w:rsidRDefault="00DA4EC0" w:rsidP="004232BD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Nota: nella prima colonna i colori rosso, verde e giallo indicano rispettivamente una performance regionale in peggioramento, in miglioramento o stabile, rispetto alla settimana precedente.</w:t>
            </w:r>
          </w:p>
          <w:p w14:paraId="098B9982" w14:textId="77777777" w:rsidR="004232BD" w:rsidRDefault="00DA4EC0" w:rsidP="004232BD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Nella seconda colonna i colori rosso e verde indicano rispettivamente un aumento o una diminuzione percentuale dei nuovi casi risp</w:t>
            </w:r>
            <w:r w:rsidR="004232B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 alla settimana precedente.</w:t>
            </w:r>
          </w:p>
          <w:p w14:paraId="4B8CCE0B" w14:textId="77777777" w:rsidR="00DA4EC0" w:rsidRDefault="00DA4EC0" w:rsidP="004232BD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A4EC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Nelle ultime 2 colonne i colori rosso e verde indicano rispettivamente un valore superiore o inferiore rispetto alla media nazionale (dati Cabina di Regia ai sensi del DM Salute 30 aprile 2020. Ministero della </w:t>
            </w:r>
            <w:r w:rsidR="004232B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Salute, ISS).</w:t>
            </w:r>
          </w:p>
          <w:p w14:paraId="73C95036" w14:textId="77777777" w:rsidR="004232BD" w:rsidRPr="00DA4EC0" w:rsidRDefault="004232BD" w:rsidP="004232BD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 tassi di occupazione in area medica e terapia intensiva sono calcolati con il dato dei ricoverati al 29 novembre 2023 e il dato dei posti letto disponibili al 15 novembre 2023, data dell’ultimo aggiornamento disponibile sul sito del Ministero della Salute.</w:t>
            </w:r>
          </w:p>
        </w:tc>
      </w:tr>
    </w:tbl>
    <w:p w14:paraId="4D50EA2C" w14:textId="77777777" w:rsidR="00DA4EC0" w:rsidRDefault="00DA4EC0" w:rsidP="00890C08">
      <w:pPr>
        <w:spacing w:after="120" w:line="276" w:lineRule="auto"/>
        <w:jc w:val="both"/>
      </w:pPr>
    </w:p>
    <w:p w14:paraId="34347972" w14:textId="77777777" w:rsidR="00890C08" w:rsidRDefault="00890C08">
      <w:r>
        <w:br w:type="page"/>
      </w:r>
    </w:p>
    <w:p w14:paraId="5C23CDA0" w14:textId="77777777" w:rsidR="0045216B" w:rsidRPr="008525BF" w:rsidRDefault="0045216B" w:rsidP="0045216B">
      <w:pPr>
        <w:spacing w:after="8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2. Nuovi casi nell’ultima </w:t>
      </w:r>
      <w:r w:rsidRPr="00B52252">
        <w:rPr>
          <w:b/>
          <w:bCs/>
          <w:color w:val="05457D"/>
          <w:sz w:val="24"/>
          <w:szCs w:val="24"/>
          <w:u w:color="00457D"/>
        </w:rPr>
        <w:t xml:space="preserve">settimana suddivisi per </w:t>
      </w:r>
      <w:r w:rsidRPr="008525BF">
        <w:rPr>
          <w:b/>
          <w:bCs/>
          <w:color w:val="05457D"/>
          <w:sz w:val="24"/>
          <w:szCs w:val="24"/>
          <w:u w:color="00457D"/>
        </w:rPr>
        <w:t>provincia</w:t>
      </w:r>
    </w:p>
    <w:tbl>
      <w:tblPr>
        <w:tblStyle w:val="TableNormal1"/>
        <w:tblW w:w="82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985"/>
        <w:gridCol w:w="2260"/>
        <w:gridCol w:w="2271"/>
        <w:gridCol w:w="1701"/>
      </w:tblGrid>
      <w:tr w:rsidR="0045216B" w:rsidRPr="0045216B" w14:paraId="42C11383" w14:textId="77777777" w:rsidTr="004232BD">
        <w:trPr>
          <w:trHeight w:val="481"/>
          <w:tblHeader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44A57" w14:textId="77777777" w:rsidR="0045216B" w:rsidRPr="0045216B" w:rsidRDefault="0045216B" w:rsidP="00E000CE">
            <w:pPr>
              <w:rPr>
                <w:rFonts w:asciiTheme="minorHAnsi" w:hAnsiTheme="minorHAnsi" w:cs="Calibri"/>
                <w:color w:val="FFFFFF" w:themeColor="background1"/>
                <w:sz w:val="22"/>
                <w:szCs w:val="21"/>
              </w:rPr>
            </w:pPr>
            <w:r w:rsidRPr="0045216B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  <w:t>Regione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4D5EE" w14:textId="77777777" w:rsidR="0045216B" w:rsidRPr="0045216B" w:rsidRDefault="0045216B" w:rsidP="00E000CE">
            <w:pPr>
              <w:rPr>
                <w:rFonts w:asciiTheme="minorHAnsi" w:hAnsiTheme="minorHAnsi" w:cs="Calibri"/>
                <w:color w:val="FFFFFF" w:themeColor="background1"/>
                <w:sz w:val="22"/>
                <w:szCs w:val="21"/>
              </w:rPr>
            </w:pPr>
            <w:r w:rsidRPr="0045216B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  <w:t>Provincia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DBA2" w14:textId="77777777" w:rsidR="0045216B" w:rsidRPr="0045216B" w:rsidRDefault="0045216B" w:rsidP="00A82F5B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</w:pPr>
            <w:r w:rsidRPr="0045216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t xml:space="preserve">Nuovi casi per </w:t>
            </w:r>
            <w:r w:rsidRPr="0045216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br/>
              <w:t xml:space="preserve">100.000 abitanti </w:t>
            </w:r>
            <w:r w:rsidRPr="0045216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br/>
            </w:r>
            <w:r w:rsidR="00A82F5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t>23-29 novembre</w:t>
            </w:r>
            <w:r w:rsidRPr="0045216B">
              <w:rPr>
                <w:rFonts w:asciiTheme="minorHAnsi" w:hAnsiTheme="minorHAnsi" w:cs="Calibri"/>
                <w:b/>
                <w:bCs/>
                <w:sz w:val="22"/>
                <w:szCs w:val="21"/>
                <w:u w:color="FFFFFF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</w:tcPr>
          <w:p w14:paraId="3959BD54" w14:textId="77777777" w:rsidR="0045216B" w:rsidRPr="0045216B" w:rsidRDefault="0045216B" w:rsidP="00E000CE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</w:pPr>
            <w:r w:rsidRPr="0045216B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1"/>
                <w:u w:color="FFFFFF"/>
              </w:rPr>
              <w:t>Variazione % nuovi casi</w:t>
            </w:r>
          </w:p>
        </w:tc>
      </w:tr>
      <w:tr w:rsidR="00E07F48" w:rsidRPr="0045216B" w14:paraId="4070DF8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1653D2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9A60D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Teramo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82629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D0C003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33,1%</w:t>
            </w:r>
          </w:p>
        </w:tc>
      </w:tr>
      <w:tr w:rsidR="00E07F48" w:rsidRPr="0045216B" w14:paraId="324AF3AF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3CE61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C53A6D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Chieti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357A6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EA6710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17,7%</w:t>
            </w:r>
          </w:p>
        </w:tc>
      </w:tr>
      <w:tr w:rsidR="00E07F48" w:rsidRPr="0045216B" w14:paraId="69681691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7347C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194A66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L'Aquila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BFCD5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F34D8A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69,8%</w:t>
            </w:r>
          </w:p>
        </w:tc>
      </w:tr>
      <w:tr w:rsidR="00E07F48" w:rsidRPr="0045216B" w14:paraId="5ECB5FB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36B6B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0C052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Pescara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2ED3B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27C8A1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24,0%</w:t>
            </w:r>
          </w:p>
        </w:tc>
      </w:tr>
      <w:tr w:rsidR="00E07F48" w:rsidRPr="0045216B" w14:paraId="5F2108C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22C50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ED21B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Potenza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34301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825D9C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35,4%</w:t>
            </w:r>
          </w:p>
        </w:tc>
      </w:tr>
      <w:tr w:rsidR="00E07F48" w:rsidRPr="0045216B" w14:paraId="1E0A5D83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599D0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E9988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Matera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8DCA2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391738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60,0%</w:t>
            </w:r>
          </w:p>
        </w:tc>
      </w:tr>
      <w:tr w:rsidR="00E07F48" w:rsidRPr="0045216B" w14:paraId="02A2A161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B21F0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5DA22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Cosenza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2315C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6082C9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24,0%</w:t>
            </w:r>
          </w:p>
        </w:tc>
      </w:tr>
      <w:tr w:rsidR="00E07F48" w:rsidRPr="0045216B" w14:paraId="4E067997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415AC8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8889E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Reggio di Calabria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71FC2C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88128C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7,5%</w:t>
            </w:r>
          </w:p>
        </w:tc>
      </w:tr>
      <w:tr w:rsidR="00E07F48" w:rsidRPr="0045216B" w14:paraId="62CB76C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73762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88063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Crotone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633C3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80A6B8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125,0%</w:t>
            </w:r>
          </w:p>
        </w:tc>
      </w:tr>
      <w:tr w:rsidR="00E07F48" w:rsidRPr="0045216B" w14:paraId="75CFFF37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978EC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4C1DE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Catanzaro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245C6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37F9662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6500"/>
                <w:sz w:val="21"/>
                <w:szCs w:val="21"/>
              </w:rPr>
              <w:t>0,0%</w:t>
            </w:r>
          </w:p>
        </w:tc>
      </w:tr>
      <w:tr w:rsidR="00E07F48" w:rsidRPr="0045216B" w14:paraId="177908D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7ECB2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447FD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Vibo Valentia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E951C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DF3A7C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-43,8%</w:t>
            </w:r>
          </w:p>
        </w:tc>
      </w:tr>
      <w:tr w:rsidR="00E07F48" w:rsidRPr="0045216B" w14:paraId="2661858F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55D24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70353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Benevento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B6A03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2DA6B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29,6%</w:t>
            </w:r>
          </w:p>
        </w:tc>
      </w:tr>
      <w:tr w:rsidR="00E07F48" w:rsidRPr="0045216B" w14:paraId="79A90059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4D98F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F10EC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Caserta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D1794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225A7F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29,6%</w:t>
            </w:r>
          </w:p>
        </w:tc>
      </w:tr>
      <w:tr w:rsidR="00E07F48" w:rsidRPr="0045216B" w14:paraId="366FF6B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7F45D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A6AB5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Salerno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08BDF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6D7D6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-0,2%</w:t>
            </w:r>
          </w:p>
        </w:tc>
      </w:tr>
      <w:tr w:rsidR="00E07F48" w:rsidRPr="0045216B" w14:paraId="13C53075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58835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B3E85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Avellino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E61B5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4B4B65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25,2%</w:t>
            </w:r>
          </w:p>
        </w:tc>
      </w:tr>
      <w:tr w:rsidR="00E07F48" w:rsidRPr="0045216B" w14:paraId="37C5ED4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E0B91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29973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Napoli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9B46D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BF882F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8,8%</w:t>
            </w:r>
          </w:p>
        </w:tc>
      </w:tr>
      <w:tr w:rsidR="00E07F48" w:rsidRPr="0045216B" w14:paraId="6D4037B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2C1CF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5F688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Piacenza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3AADA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B23F37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42,1%</w:t>
            </w:r>
          </w:p>
        </w:tc>
      </w:tr>
      <w:tr w:rsidR="00E07F48" w:rsidRPr="0045216B" w14:paraId="11098E1F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A5F0E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18636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Ferrara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A94B5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3BB3C6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18,2%</w:t>
            </w:r>
          </w:p>
        </w:tc>
      </w:tr>
      <w:tr w:rsidR="00E07F48" w:rsidRPr="0045216B" w14:paraId="2F90AB3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9DE60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8F295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Ravenna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318CF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CF935C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14,8%</w:t>
            </w:r>
          </w:p>
        </w:tc>
      </w:tr>
      <w:tr w:rsidR="00E07F48" w:rsidRPr="0045216B" w14:paraId="4AE34F2F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0474E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05B6A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Forlì-Cesena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3D24B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4B690F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42,0%</w:t>
            </w:r>
          </w:p>
        </w:tc>
      </w:tr>
      <w:tr w:rsidR="00E07F48" w:rsidRPr="0045216B" w14:paraId="6DB5AADA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618B8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33730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Rimini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D055A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57251B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10,5%</w:t>
            </w:r>
          </w:p>
        </w:tc>
      </w:tr>
      <w:tr w:rsidR="00E07F48" w:rsidRPr="0045216B" w14:paraId="0E6E619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68511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FB24B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Bologna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BB453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15BEBB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4,9%</w:t>
            </w:r>
          </w:p>
        </w:tc>
      </w:tr>
      <w:tr w:rsidR="00E07F48" w:rsidRPr="0045216B" w14:paraId="01D2F68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A2815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49F71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Reggio nell'Emilia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994EE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874BF1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-37,1%</w:t>
            </w:r>
          </w:p>
        </w:tc>
      </w:tr>
      <w:tr w:rsidR="00E07F48" w:rsidRPr="0045216B" w14:paraId="66C09E59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4741A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AD68A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Parma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C948AC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99C283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9,1%</w:t>
            </w:r>
          </w:p>
        </w:tc>
      </w:tr>
      <w:tr w:rsidR="00E07F48" w:rsidRPr="0045216B" w14:paraId="5DD2F399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87B5A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50315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Modena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81AB7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39D1FA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-9,8%</w:t>
            </w:r>
          </w:p>
        </w:tc>
      </w:tr>
      <w:tr w:rsidR="00E07F48" w:rsidRPr="0045216B" w14:paraId="16B6EBE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D8107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FBB36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Udine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1EC6B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1BA64B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21,6%</w:t>
            </w:r>
          </w:p>
        </w:tc>
      </w:tr>
      <w:tr w:rsidR="00E07F48" w:rsidRPr="0045216B" w14:paraId="2B713DFB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8577B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4E0C5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Trieste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3CE25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0C407E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1,5%</w:t>
            </w:r>
          </w:p>
        </w:tc>
      </w:tr>
      <w:tr w:rsidR="00E07F48" w:rsidRPr="0045216B" w14:paraId="4DB82CB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639E3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B9DAF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Gorizia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11B23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4EE86D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9,3%</w:t>
            </w:r>
          </w:p>
        </w:tc>
      </w:tr>
      <w:tr w:rsidR="00E07F48" w:rsidRPr="0045216B" w14:paraId="4DEDDC3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993CC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BE851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Pordenone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05F1B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117ED0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11,4%</w:t>
            </w:r>
          </w:p>
        </w:tc>
      </w:tr>
      <w:tr w:rsidR="00E07F48" w:rsidRPr="0045216B" w14:paraId="7520900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25472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27669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Roma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980E1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460802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23,5%</w:t>
            </w:r>
          </w:p>
        </w:tc>
      </w:tr>
      <w:tr w:rsidR="00E07F48" w:rsidRPr="0045216B" w14:paraId="2BD2170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419FF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A402D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Latina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0D6F5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274F47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13,8%</w:t>
            </w:r>
          </w:p>
        </w:tc>
      </w:tr>
      <w:tr w:rsidR="00E07F48" w:rsidRPr="0045216B" w14:paraId="4452B14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CA0CB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56593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Frosinone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A873A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36AD3F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-0,4%</w:t>
            </w:r>
          </w:p>
        </w:tc>
      </w:tr>
      <w:tr w:rsidR="00E07F48" w:rsidRPr="0045216B" w14:paraId="3AD1EF51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68B98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A15E3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Rieti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A8EB8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B5F873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29,2%</w:t>
            </w:r>
          </w:p>
        </w:tc>
      </w:tr>
      <w:tr w:rsidR="00E07F48" w:rsidRPr="0045216B" w14:paraId="35C0D163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D6B6B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2C5E7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Viterbo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31398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A7997C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-4,1%</w:t>
            </w:r>
          </w:p>
        </w:tc>
      </w:tr>
      <w:tr w:rsidR="00E07F48" w:rsidRPr="0045216B" w14:paraId="42CF07C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2D94D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B4AA3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Genova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F2E83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6C3062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38,1%</w:t>
            </w:r>
          </w:p>
        </w:tc>
      </w:tr>
      <w:tr w:rsidR="00E07F48" w:rsidRPr="0045216B" w14:paraId="72D58ADE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69B3A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1D27F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Savona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94027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72F0B6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-16,4%</w:t>
            </w:r>
          </w:p>
        </w:tc>
      </w:tr>
      <w:tr w:rsidR="00E07F48" w:rsidRPr="0045216B" w14:paraId="1B26FA23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3D4AA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66BB92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La Spezia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36990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C992B8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54,7%</w:t>
            </w:r>
          </w:p>
        </w:tc>
      </w:tr>
      <w:tr w:rsidR="00E07F48" w:rsidRPr="0045216B" w14:paraId="3891902A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56D75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913C5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Imperia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C5A85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2D88C7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-34,2%</w:t>
            </w:r>
          </w:p>
        </w:tc>
      </w:tr>
      <w:tr w:rsidR="00E07F48" w:rsidRPr="0045216B" w14:paraId="71A0B261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547A6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E9289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Lodi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C650B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C144B7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23,2%</w:t>
            </w:r>
          </w:p>
        </w:tc>
      </w:tr>
      <w:tr w:rsidR="00E07F48" w:rsidRPr="0045216B" w14:paraId="60A9F2F3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CE8276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3B7CB2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Pavia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2B84F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A97E7F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13,9%</w:t>
            </w:r>
          </w:p>
        </w:tc>
      </w:tr>
      <w:tr w:rsidR="00E07F48" w:rsidRPr="0045216B" w14:paraId="3DB091B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DA2B6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C08B3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Cremona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3AA048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C7C0AA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38,6%</w:t>
            </w:r>
          </w:p>
        </w:tc>
      </w:tr>
      <w:tr w:rsidR="00E07F48" w:rsidRPr="0045216B" w14:paraId="1FAA196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D1E6A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89723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Mantova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EFD65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6FE951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36,0%</w:t>
            </w:r>
          </w:p>
        </w:tc>
      </w:tr>
      <w:tr w:rsidR="00E07F48" w:rsidRPr="0045216B" w14:paraId="18586A6A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9E397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10A13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Monza e della Brianza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90694C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C86543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18,2%</w:t>
            </w:r>
          </w:p>
        </w:tc>
      </w:tr>
      <w:tr w:rsidR="00E07F48" w:rsidRPr="0045216B" w14:paraId="354A27C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F7281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C9F46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Brescia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B25C3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988EF1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21,2%</w:t>
            </w:r>
          </w:p>
        </w:tc>
      </w:tr>
      <w:tr w:rsidR="00E07F48" w:rsidRPr="0045216B" w14:paraId="657244CE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E46A2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CA811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Como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C6238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84E788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28,2%</w:t>
            </w:r>
          </w:p>
        </w:tc>
      </w:tr>
      <w:tr w:rsidR="00E07F48" w:rsidRPr="0045216B" w14:paraId="103EF53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BC67F6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129A3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Lecco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B2026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D11D5A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14,6%</w:t>
            </w:r>
          </w:p>
        </w:tc>
      </w:tr>
      <w:tr w:rsidR="00E07F48" w:rsidRPr="0045216B" w14:paraId="55628BBE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A50F3C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A4DBC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Milano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8F596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7647ED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21,7%</w:t>
            </w:r>
          </w:p>
        </w:tc>
      </w:tr>
      <w:tr w:rsidR="00E07F48" w:rsidRPr="0045216B" w14:paraId="1AAFCC59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97D41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B1191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Varese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41BE51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D3162F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46,5%</w:t>
            </w:r>
          </w:p>
        </w:tc>
      </w:tr>
      <w:tr w:rsidR="00E07F48" w:rsidRPr="0045216B" w14:paraId="47495908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3F219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F94F1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Bergamo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5CE58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ADE254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20,5%</w:t>
            </w:r>
          </w:p>
        </w:tc>
      </w:tr>
      <w:tr w:rsidR="00E07F48" w:rsidRPr="0045216B" w14:paraId="5676F82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E956E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B6E0D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Sondrio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DB54B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4CEEE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38,1%</w:t>
            </w:r>
          </w:p>
        </w:tc>
      </w:tr>
      <w:tr w:rsidR="00E07F48" w:rsidRPr="0045216B" w14:paraId="4312A601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19D16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82ED8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Ancona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DE313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E133CD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22,1%</w:t>
            </w:r>
          </w:p>
        </w:tc>
      </w:tr>
      <w:tr w:rsidR="00E07F48" w:rsidRPr="0045216B" w14:paraId="018ECD9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77455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ACC1D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Fermo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94889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E496AB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51,3%</w:t>
            </w:r>
          </w:p>
        </w:tc>
      </w:tr>
      <w:tr w:rsidR="00E07F48" w:rsidRPr="0045216B" w14:paraId="7FD24D1B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72B42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177591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Ascoli Piceno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A1FA3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308B34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15,3%</w:t>
            </w:r>
          </w:p>
        </w:tc>
      </w:tr>
      <w:tr w:rsidR="00E07F48" w:rsidRPr="0045216B" w14:paraId="79483B8E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E50C5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17E01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Pesaro e Urbino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FCB4D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2B15CF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27,4%</w:t>
            </w:r>
          </w:p>
        </w:tc>
      </w:tr>
      <w:tr w:rsidR="00E07F48" w:rsidRPr="0045216B" w14:paraId="6F24B9D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21AFE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65C10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Macerata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AB056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BFB34C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8,5%</w:t>
            </w:r>
          </w:p>
        </w:tc>
      </w:tr>
      <w:tr w:rsidR="00E07F48" w:rsidRPr="0045216B" w14:paraId="2D3CA977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FB51F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8536B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Isernia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91FD2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2A98AC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3,1%</w:t>
            </w:r>
          </w:p>
        </w:tc>
      </w:tr>
      <w:tr w:rsidR="00E07F48" w:rsidRPr="0045216B" w14:paraId="37C7E9E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3DF92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8CD6A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Campobasso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131A4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0E3372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-16,4%</w:t>
            </w:r>
          </w:p>
        </w:tc>
      </w:tr>
      <w:tr w:rsidR="00E07F48" w:rsidRPr="0045216B" w14:paraId="2A6312CB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65EE4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P.A. Bolzano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72268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Bolzano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3DE17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F00525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-8,4%</w:t>
            </w:r>
          </w:p>
        </w:tc>
      </w:tr>
      <w:tr w:rsidR="00E07F48" w:rsidRPr="0045216B" w14:paraId="6C03D0A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D4CB0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P.A. Trento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7D270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Trento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500C5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CF55D2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-3,5%</w:t>
            </w:r>
          </w:p>
        </w:tc>
      </w:tr>
      <w:tr w:rsidR="00E07F48" w:rsidRPr="0045216B" w14:paraId="596906D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6859B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47244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Alessandria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47FE0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3EA2A6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17,4%</w:t>
            </w:r>
          </w:p>
        </w:tc>
      </w:tr>
      <w:tr w:rsidR="00E07F48" w:rsidRPr="0045216B" w14:paraId="555D694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38F92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BBB8E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Verbano-Cusio-Ossola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B0ED9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F9800A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41,6%</w:t>
            </w:r>
          </w:p>
        </w:tc>
      </w:tr>
      <w:tr w:rsidR="00E07F48" w:rsidRPr="0045216B" w14:paraId="5983492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9D5AA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ABB4E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Torino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47BBA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6F82A7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33,9%</w:t>
            </w:r>
          </w:p>
        </w:tc>
      </w:tr>
      <w:tr w:rsidR="00E07F48" w:rsidRPr="0045216B" w14:paraId="3E3D7D0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99BF5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4E87E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Asti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CC1A40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BBF8AD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34,7%</w:t>
            </w:r>
          </w:p>
        </w:tc>
      </w:tr>
      <w:tr w:rsidR="00E07F48" w:rsidRPr="0045216B" w14:paraId="147FCD6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F2F84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2B50C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Novara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C6905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B9D818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115,5%</w:t>
            </w:r>
          </w:p>
        </w:tc>
      </w:tr>
      <w:tr w:rsidR="00E07F48" w:rsidRPr="0045216B" w14:paraId="032A767A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F881E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9D24D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Biella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9AE10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CB6FD9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11,2%</w:t>
            </w:r>
          </w:p>
        </w:tc>
      </w:tr>
      <w:tr w:rsidR="00E07F48" w:rsidRPr="0045216B" w14:paraId="7C7E634E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0FCEC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7CABC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Vercelli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D7732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568472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15,5%</w:t>
            </w:r>
          </w:p>
        </w:tc>
      </w:tr>
      <w:tr w:rsidR="00E07F48" w:rsidRPr="0045216B" w14:paraId="7DE7D325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7B493C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954D0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Cuneo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B8A6F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5EA05A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19,8%</w:t>
            </w:r>
          </w:p>
        </w:tc>
      </w:tr>
      <w:tr w:rsidR="00E07F48" w:rsidRPr="0045216B" w14:paraId="3A3A6BA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9C3FD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499EE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Lecce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62CE0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287AE6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9,9%</w:t>
            </w:r>
          </w:p>
        </w:tc>
      </w:tr>
      <w:tr w:rsidR="00E07F48" w:rsidRPr="0045216B" w14:paraId="51722D8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3FBA8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E3D25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Brindisi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0932D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3F036C7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7,3%</w:t>
            </w:r>
          </w:p>
        </w:tc>
      </w:tr>
      <w:tr w:rsidR="00E07F48" w:rsidRPr="0045216B" w14:paraId="2F1FB84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48BD6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97D95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Bari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7990C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BB5238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30,6%</w:t>
            </w:r>
          </w:p>
        </w:tc>
      </w:tr>
      <w:tr w:rsidR="00E07F48" w:rsidRPr="0045216B" w14:paraId="4B1FD53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EE0A6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13217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Foggia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F77D5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E8F50E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25,7%</w:t>
            </w:r>
          </w:p>
        </w:tc>
      </w:tr>
      <w:tr w:rsidR="00E07F48" w:rsidRPr="0045216B" w14:paraId="062558DF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44296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F6112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Barletta-Andria-Trani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FC640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397159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9,7%</w:t>
            </w:r>
          </w:p>
        </w:tc>
      </w:tr>
      <w:tr w:rsidR="00E07F48" w:rsidRPr="0045216B" w14:paraId="39049FC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1CF09E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BBA0C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Taranto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15006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3BCB1F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33,6%</w:t>
            </w:r>
          </w:p>
        </w:tc>
      </w:tr>
      <w:tr w:rsidR="00E07F48" w:rsidRPr="0045216B" w14:paraId="09307D07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171AA7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A4B082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Nuoro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141D9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3BF9E81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69,0%</w:t>
            </w:r>
          </w:p>
        </w:tc>
      </w:tr>
      <w:tr w:rsidR="00E07F48" w:rsidRPr="0045216B" w14:paraId="74A73935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3937E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237CC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Sassari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75C30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EC8490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110,0%</w:t>
            </w:r>
          </w:p>
        </w:tc>
      </w:tr>
      <w:tr w:rsidR="00E07F48" w:rsidRPr="0045216B" w14:paraId="558196E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4A9D0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76788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Sud Sardegna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FB616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2CD3D43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6500"/>
                <w:sz w:val="21"/>
                <w:szCs w:val="21"/>
              </w:rPr>
              <w:t>0,0%</w:t>
            </w:r>
          </w:p>
        </w:tc>
      </w:tr>
      <w:tr w:rsidR="00E07F48" w:rsidRPr="0045216B" w14:paraId="395C55B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87E47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355091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Cagliari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4B93D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7E73BE6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6500"/>
                <w:sz w:val="21"/>
                <w:szCs w:val="21"/>
              </w:rPr>
              <w:t>0,0%</w:t>
            </w:r>
          </w:p>
        </w:tc>
      </w:tr>
      <w:tr w:rsidR="00E07F48" w:rsidRPr="0045216B" w14:paraId="3BDFFE4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509D9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BAF42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Oristano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35B33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0F293B9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6500"/>
                <w:sz w:val="21"/>
                <w:szCs w:val="21"/>
              </w:rPr>
              <w:t>0,0%</w:t>
            </w:r>
          </w:p>
        </w:tc>
      </w:tr>
      <w:tr w:rsidR="00E07F48" w:rsidRPr="0045216B" w14:paraId="0A1EC60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2B9FC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9D339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Ragusa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D003D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730119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42,9%</w:t>
            </w:r>
          </w:p>
        </w:tc>
      </w:tr>
      <w:tr w:rsidR="00E07F48" w:rsidRPr="0045216B" w14:paraId="5C4291F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9F2EF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D8A2D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Trapani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EB593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6CB31C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-21,4%</w:t>
            </w:r>
          </w:p>
        </w:tc>
      </w:tr>
      <w:tr w:rsidR="00E07F48" w:rsidRPr="0045216B" w14:paraId="4CEEDAF9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E67A5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EF10C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Caltanissetta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63613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9960FF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20,0%</w:t>
            </w:r>
          </w:p>
        </w:tc>
      </w:tr>
      <w:tr w:rsidR="00E07F48" w:rsidRPr="0045216B" w14:paraId="3F61E568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5354A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E36E7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Palermo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11EFB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4258B6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-21,1%</w:t>
            </w:r>
          </w:p>
        </w:tc>
      </w:tr>
      <w:tr w:rsidR="00E07F48" w:rsidRPr="0045216B" w14:paraId="3C327CB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AA8B5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B06A2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Agrigento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E593C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2629D1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300,0%</w:t>
            </w:r>
          </w:p>
        </w:tc>
      </w:tr>
      <w:tr w:rsidR="00E07F48" w:rsidRPr="0045216B" w14:paraId="41549D2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E732C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93BBE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Catania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9C955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B1AE1C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-47,4%</w:t>
            </w:r>
          </w:p>
        </w:tc>
      </w:tr>
      <w:tr w:rsidR="00E07F48" w:rsidRPr="0045216B" w14:paraId="3211624B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1CF54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FA42B0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Messina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DD45F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9D2ABB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-50,0%</w:t>
            </w:r>
          </w:p>
        </w:tc>
      </w:tr>
      <w:tr w:rsidR="00E07F48" w:rsidRPr="0045216B" w14:paraId="3D9A7A5B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F4AB8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65B43C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Siracusa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C0393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6960B20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6500"/>
                <w:sz w:val="21"/>
                <w:szCs w:val="21"/>
              </w:rPr>
              <w:t>0,0%</w:t>
            </w:r>
          </w:p>
        </w:tc>
      </w:tr>
      <w:tr w:rsidR="00E07F48" w:rsidRPr="0045216B" w14:paraId="3CC778B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54C2C2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C0742D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Enna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35CB2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64C0353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6500"/>
                <w:sz w:val="21"/>
                <w:szCs w:val="21"/>
              </w:rPr>
              <w:t>0,0%</w:t>
            </w:r>
          </w:p>
        </w:tc>
      </w:tr>
      <w:tr w:rsidR="00E07F48" w:rsidRPr="0045216B" w14:paraId="7C8CCC3E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6E281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04FBF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Pisa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43AF2A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DA3B61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58,4%</w:t>
            </w:r>
          </w:p>
        </w:tc>
      </w:tr>
      <w:tr w:rsidR="00E07F48" w:rsidRPr="0045216B" w14:paraId="42C9AEFF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84627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C1E6C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Lucca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BEB2E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CE1857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14,3%</w:t>
            </w:r>
          </w:p>
        </w:tc>
      </w:tr>
      <w:tr w:rsidR="00E07F48" w:rsidRPr="0045216B" w14:paraId="287074E7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4B502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4E574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Massa Carrara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78508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4B75624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-6,9%</w:t>
            </w:r>
          </w:p>
        </w:tc>
      </w:tr>
      <w:tr w:rsidR="00E07F48" w:rsidRPr="0045216B" w14:paraId="15C50B5C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4182E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46DE15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Livorno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C2BEA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C1892D0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33,3%</w:t>
            </w:r>
          </w:p>
        </w:tc>
      </w:tr>
      <w:tr w:rsidR="00E07F48" w:rsidRPr="0045216B" w14:paraId="158ABE6A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517B1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EB59A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Pistoia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DB15A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1DAE4D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20,9%</w:t>
            </w:r>
          </w:p>
        </w:tc>
      </w:tr>
      <w:tr w:rsidR="00E07F48" w:rsidRPr="0045216B" w14:paraId="59689AC0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B7B0F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0CC002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Grosseto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2EE31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5CBE04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5,2%</w:t>
            </w:r>
          </w:p>
        </w:tc>
      </w:tr>
      <w:tr w:rsidR="00E07F48" w:rsidRPr="0045216B" w14:paraId="7F9EC3D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059B1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1C2F1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Arezzo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47DF8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757D54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27,3%</w:t>
            </w:r>
          </w:p>
        </w:tc>
      </w:tr>
      <w:tr w:rsidR="00E07F48" w:rsidRPr="0045216B" w14:paraId="00DEF1A4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CBE9F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DC9BD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Firenze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53C73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0EA50E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7,8%</w:t>
            </w:r>
          </w:p>
        </w:tc>
      </w:tr>
      <w:tr w:rsidR="00E07F48" w:rsidRPr="0045216B" w14:paraId="4C9B1CE7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E8D51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442CF4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Siena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7D37D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ED3C0D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-0,8%</w:t>
            </w:r>
          </w:p>
        </w:tc>
      </w:tr>
      <w:tr w:rsidR="00E07F48" w:rsidRPr="0045216B" w14:paraId="6B62439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B0A75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1114F2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Prato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5D3518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1CAC7DD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27,2%</w:t>
            </w:r>
          </w:p>
        </w:tc>
      </w:tr>
      <w:tr w:rsidR="00E07F48" w:rsidRPr="0045216B" w14:paraId="62CAEACF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C7338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105C5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Terni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AB36C7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054082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-10,2%</w:t>
            </w:r>
          </w:p>
        </w:tc>
      </w:tr>
      <w:tr w:rsidR="00E07F48" w:rsidRPr="0045216B" w14:paraId="574A57EA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9EEB3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4B2FCB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Perugia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95E0D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DE00C7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-38,0%</w:t>
            </w:r>
          </w:p>
        </w:tc>
      </w:tr>
      <w:tr w:rsidR="00E07F48" w:rsidRPr="0045216B" w14:paraId="2F1A673E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A1B986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Valle d'Aosta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B3876E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Aosta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5F6E2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9111333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-12,8%</w:t>
            </w:r>
          </w:p>
        </w:tc>
      </w:tr>
      <w:tr w:rsidR="00E07F48" w:rsidRPr="0045216B" w14:paraId="311D5DB1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F77597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66E0F3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Padova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D07B82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41EEAA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8,3%</w:t>
            </w:r>
          </w:p>
        </w:tc>
      </w:tr>
      <w:tr w:rsidR="00E07F48" w:rsidRPr="0045216B" w14:paraId="7282C98B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A0124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EA633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Vicenza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EC457C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A329B76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4,1%</w:t>
            </w:r>
          </w:p>
        </w:tc>
      </w:tr>
      <w:tr w:rsidR="00E07F48" w:rsidRPr="0045216B" w14:paraId="18B97E76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7AC4DF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DF5DB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Belluno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1B83A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497A59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8,9%</w:t>
            </w:r>
          </w:p>
        </w:tc>
      </w:tr>
      <w:tr w:rsidR="00E07F48" w:rsidRPr="0045216B" w14:paraId="24FAC2B7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35231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9052B1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Treviso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FC13D9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365D71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6100"/>
                <w:sz w:val="21"/>
                <w:szCs w:val="21"/>
              </w:rPr>
              <w:t>-20,2%</w:t>
            </w:r>
          </w:p>
        </w:tc>
      </w:tr>
      <w:tr w:rsidR="00E07F48" w:rsidRPr="0045216B" w14:paraId="495635E2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0CA319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D9CDE6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Rovigo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BCC5E5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100DE1F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17,2%</w:t>
            </w:r>
          </w:p>
        </w:tc>
      </w:tr>
      <w:tr w:rsidR="00E07F48" w:rsidRPr="0045216B" w14:paraId="3722C87D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5E0B3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E167AB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Venezia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52DC6B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8DED1C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25,4%</w:t>
            </w:r>
          </w:p>
        </w:tc>
      </w:tr>
      <w:tr w:rsidR="00E07F48" w:rsidRPr="0045216B" w14:paraId="4469DE5A" w14:textId="77777777" w:rsidTr="004232BD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C722D4A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404D78" w14:textId="77777777" w:rsidR="00E07F48" w:rsidRPr="00E07F48" w:rsidRDefault="00E07F48" w:rsidP="00E07F4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Verona</w:t>
            </w:r>
          </w:p>
        </w:tc>
        <w:tc>
          <w:tcPr>
            <w:tcW w:w="227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E8C96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183B2A9" w14:textId="77777777" w:rsidR="00E07F48" w:rsidRPr="00E07F48" w:rsidRDefault="00E07F48" w:rsidP="00E07F48">
            <w:pPr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E07F48">
              <w:rPr>
                <w:rFonts w:ascii="Calibri" w:hAnsi="Calibri" w:cs="Calibri"/>
                <w:color w:val="9C0006"/>
                <w:sz w:val="21"/>
                <w:szCs w:val="21"/>
              </w:rPr>
              <w:t>7,9%</w:t>
            </w:r>
          </w:p>
        </w:tc>
      </w:tr>
      <w:tr w:rsidR="0045216B" w:rsidRPr="0045216B" w14:paraId="5EBB2298" w14:textId="77777777" w:rsidTr="004232BD">
        <w:tblPrEx>
          <w:shd w:val="clear" w:color="auto" w:fill="CDD4E9"/>
        </w:tblPrEx>
        <w:trPr>
          <w:trHeight w:val="567"/>
          <w:jc w:val="center"/>
        </w:trPr>
        <w:tc>
          <w:tcPr>
            <w:tcW w:w="8217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C83FE2F" w14:textId="77777777" w:rsidR="0045216B" w:rsidRPr="0045216B" w:rsidRDefault="0045216B" w:rsidP="00E000CE">
            <w:pPr>
              <w:contextualSpacing/>
              <w:rPr>
                <w:rFonts w:asciiTheme="minorHAnsi" w:hAnsiTheme="minorHAnsi" w:cs="Calibri"/>
                <w:szCs w:val="21"/>
              </w:rPr>
            </w:pPr>
            <w:r w:rsidRPr="0045216B">
              <w:rPr>
                <w:rFonts w:asciiTheme="minorHAnsi" w:eastAsia="Times New Roman" w:hAnsiTheme="minorHAnsi" w:cs="Calibri"/>
                <w:szCs w:val="21"/>
                <w:bdr w:val="none" w:sz="0" w:space="0" w:color="auto"/>
              </w:rPr>
              <w:t>Nella quarta colonna i colori rosso e verde indicano rispettivamente un aumento o una diminuzione percentuale dei nuovi casi rispetto alla settimana precedente. Il colore giallo indica l’assenza di variazione percentuale dei nuovi casi rispetto alla settimana precedente.</w:t>
            </w:r>
          </w:p>
        </w:tc>
      </w:tr>
    </w:tbl>
    <w:p w14:paraId="4C2B1309" w14:textId="77777777" w:rsidR="0045216B" w:rsidRPr="00CF5B4E" w:rsidRDefault="0045216B" w:rsidP="0045216B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2B8616BD" w14:textId="77777777" w:rsidR="0045216B" w:rsidRDefault="0045216B" w:rsidP="00ED23E5">
      <w:pPr>
        <w:jc w:val="both"/>
      </w:pPr>
    </w:p>
    <w:sectPr w:rsidR="00452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7E8687" w16cid:durableId="29183C6F"/>
  <w16cid:commentId w16cid:paraId="0CFBC06A" w16cid:durableId="29183C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FA38" w14:textId="77777777" w:rsidR="0027740C" w:rsidRDefault="0027740C" w:rsidP="00496547">
      <w:pPr>
        <w:spacing w:after="0" w:line="240" w:lineRule="auto"/>
      </w:pPr>
      <w:r>
        <w:separator/>
      </w:r>
    </w:p>
  </w:endnote>
  <w:endnote w:type="continuationSeparator" w:id="0">
    <w:p w14:paraId="537707F6" w14:textId="77777777" w:rsidR="0027740C" w:rsidRDefault="0027740C" w:rsidP="0049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38C6" w14:textId="77777777" w:rsidR="0027740C" w:rsidRDefault="0027740C" w:rsidP="00496547">
      <w:pPr>
        <w:spacing w:after="0" w:line="240" w:lineRule="auto"/>
      </w:pPr>
      <w:r>
        <w:separator/>
      </w:r>
    </w:p>
  </w:footnote>
  <w:footnote w:type="continuationSeparator" w:id="0">
    <w:p w14:paraId="7243F655" w14:textId="77777777" w:rsidR="0027740C" w:rsidRDefault="0027740C" w:rsidP="0049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D21E1"/>
    <w:multiLevelType w:val="hybridMultilevel"/>
    <w:tmpl w:val="E3AAAA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73C8C"/>
    <w:multiLevelType w:val="hybridMultilevel"/>
    <w:tmpl w:val="2F5AD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56"/>
    <w:rsid w:val="00004568"/>
    <w:rsid w:val="00014CC3"/>
    <w:rsid w:val="00017635"/>
    <w:rsid w:val="00020C7E"/>
    <w:rsid w:val="000628E0"/>
    <w:rsid w:val="000679A3"/>
    <w:rsid w:val="00094309"/>
    <w:rsid w:val="000C344F"/>
    <w:rsid w:val="000C5C1F"/>
    <w:rsid w:val="000D14C8"/>
    <w:rsid w:val="000E04DA"/>
    <w:rsid w:val="000F482F"/>
    <w:rsid w:val="00133AA5"/>
    <w:rsid w:val="0013514F"/>
    <w:rsid w:val="00137F25"/>
    <w:rsid w:val="00156E77"/>
    <w:rsid w:val="0016243C"/>
    <w:rsid w:val="001821BB"/>
    <w:rsid w:val="00185CE7"/>
    <w:rsid w:val="001A0F91"/>
    <w:rsid w:val="001A3054"/>
    <w:rsid w:val="001A4246"/>
    <w:rsid w:val="001B063A"/>
    <w:rsid w:val="001D033E"/>
    <w:rsid w:val="001D243B"/>
    <w:rsid w:val="001F2E1A"/>
    <w:rsid w:val="00214E74"/>
    <w:rsid w:val="00220BAF"/>
    <w:rsid w:val="002254A4"/>
    <w:rsid w:val="00234D81"/>
    <w:rsid w:val="0025698C"/>
    <w:rsid w:val="002569AC"/>
    <w:rsid w:val="0027680A"/>
    <w:rsid w:val="0027740C"/>
    <w:rsid w:val="002815F1"/>
    <w:rsid w:val="002852AA"/>
    <w:rsid w:val="002A751C"/>
    <w:rsid w:val="002B4E94"/>
    <w:rsid w:val="002C3B91"/>
    <w:rsid w:val="002C4FCE"/>
    <w:rsid w:val="002D1F98"/>
    <w:rsid w:val="002E6FF3"/>
    <w:rsid w:val="002F0AD3"/>
    <w:rsid w:val="002F6D78"/>
    <w:rsid w:val="003164FB"/>
    <w:rsid w:val="00320096"/>
    <w:rsid w:val="0032328C"/>
    <w:rsid w:val="00335734"/>
    <w:rsid w:val="003401C5"/>
    <w:rsid w:val="00344D70"/>
    <w:rsid w:val="00351E8F"/>
    <w:rsid w:val="00357319"/>
    <w:rsid w:val="003611CD"/>
    <w:rsid w:val="00372EB0"/>
    <w:rsid w:val="00376B52"/>
    <w:rsid w:val="0039157E"/>
    <w:rsid w:val="003968C3"/>
    <w:rsid w:val="003A03B5"/>
    <w:rsid w:val="003A07ED"/>
    <w:rsid w:val="003A08EC"/>
    <w:rsid w:val="003A20FC"/>
    <w:rsid w:val="003B0337"/>
    <w:rsid w:val="003C4DCE"/>
    <w:rsid w:val="003E622E"/>
    <w:rsid w:val="003E663C"/>
    <w:rsid w:val="0041569E"/>
    <w:rsid w:val="00420D02"/>
    <w:rsid w:val="004232BD"/>
    <w:rsid w:val="0042332A"/>
    <w:rsid w:val="004244D5"/>
    <w:rsid w:val="00426588"/>
    <w:rsid w:val="00437971"/>
    <w:rsid w:val="0045216B"/>
    <w:rsid w:val="004614B3"/>
    <w:rsid w:val="0049068C"/>
    <w:rsid w:val="00496547"/>
    <w:rsid w:val="004A3E07"/>
    <w:rsid w:val="004A4F54"/>
    <w:rsid w:val="004B4910"/>
    <w:rsid w:val="004C49A9"/>
    <w:rsid w:val="004D0A59"/>
    <w:rsid w:val="004E0C60"/>
    <w:rsid w:val="004E30EA"/>
    <w:rsid w:val="00505E2C"/>
    <w:rsid w:val="00512956"/>
    <w:rsid w:val="00515DA9"/>
    <w:rsid w:val="00520398"/>
    <w:rsid w:val="005205D8"/>
    <w:rsid w:val="00527A10"/>
    <w:rsid w:val="005313AF"/>
    <w:rsid w:val="005361F2"/>
    <w:rsid w:val="00544A94"/>
    <w:rsid w:val="00547AC3"/>
    <w:rsid w:val="00555616"/>
    <w:rsid w:val="00556B7E"/>
    <w:rsid w:val="00561206"/>
    <w:rsid w:val="005A02AD"/>
    <w:rsid w:val="005A66AE"/>
    <w:rsid w:val="005B0B28"/>
    <w:rsid w:val="005B74E8"/>
    <w:rsid w:val="005D0A3E"/>
    <w:rsid w:val="005D1734"/>
    <w:rsid w:val="005F5F55"/>
    <w:rsid w:val="005F7A6F"/>
    <w:rsid w:val="006305B7"/>
    <w:rsid w:val="006430CF"/>
    <w:rsid w:val="00662057"/>
    <w:rsid w:val="00663211"/>
    <w:rsid w:val="00666094"/>
    <w:rsid w:val="00686D06"/>
    <w:rsid w:val="0068780C"/>
    <w:rsid w:val="006A7383"/>
    <w:rsid w:val="006B1A50"/>
    <w:rsid w:val="006D6626"/>
    <w:rsid w:val="006F2EC7"/>
    <w:rsid w:val="0070051D"/>
    <w:rsid w:val="007104C2"/>
    <w:rsid w:val="00714A19"/>
    <w:rsid w:val="007226E3"/>
    <w:rsid w:val="00734235"/>
    <w:rsid w:val="007344BB"/>
    <w:rsid w:val="00741BB6"/>
    <w:rsid w:val="007435B8"/>
    <w:rsid w:val="0075264D"/>
    <w:rsid w:val="00756FBF"/>
    <w:rsid w:val="00765B70"/>
    <w:rsid w:val="00781849"/>
    <w:rsid w:val="007A0C81"/>
    <w:rsid w:val="007C01D9"/>
    <w:rsid w:val="007C0A7E"/>
    <w:rsid w:val="007E005E"/>
    <w:rsid w:val="007E7D15"/>
    <w:rsid w:val="007F0148"/>
    <w:rsid w:val="008254EC"/>
    <w:rsid w:val="008421A9"/>
    <w:rsid w:val="008535B1"/>
    <w:rsid w:val="00856757"/>
    <w:rsid w:val="00865356"/>
    <w:rsid w:val="00867F71"/>
    <w:rsid w:val="00877DE7"/>
    <w:rsid w:val="0089017D"/>
    <w:rsid w:val="00890C08"/>
    <w:rsid w:val="008A2C08"/>
    <w:rsid w:val="008B37AE"/>
    <w:rsid w:val="008B6A66"/>
    <w:rsid w:val="008C6241"/>
    <w:rsid w:val="00900C12"/>
    <w:rsid w:val="00915892"/>
    <w:rsid w:val="00950175"/>
    <w:rsid w:val="00960E44"/>
    <w:rsid w:val="00966CBD"/>
    <w:rsid w:val="009811BE"/>
    <w:rsid w:val="00983956"/>
    <w:rsid w:val="009859F6"/>
    <w:rsid w:val="009A447A"/>
    <w:rsid w:val="009C336F"/>
    <w:rsid w:val="009D66CC"/>
    <w:rsid w:val="009F72D5"/>
    <w:rsid w:val="00A055B7"/>
    <w:rsid w:val="00A211EC"/>
    <w:rsid w:val="00A3019C"/>
    <w:rsid w:val="00A44632"/>
    <w:rsid w:val="00A54C30"/>
    <w:rsid w:val="00A6503F"/>
    <w:rsid w:val="00A74550"/>
    <w:rsid w:val="00A81D1D"/>
    <w:rsid w:val="00A82F5B"/>
    <w:rsid w:val="00A85B99"/>
    <w:rsid w:val="00A869BD"/>
    <w:rsid w:val="00A87CBF"/>
    <w:rsid w:val="00A90659"/>
    <w:rsid w:val="00AC124E"/>
    <w:rsid w:val="00AC7D6E"/>
    <w:rsid w:val="00AD5A00"/>
    <w:rsid w:val="00AE4C21"/>
    <w:rsid w:val="00B1478E"/>
    <w:rsid w:val="00B269EE"/>
    <w:rsid w:val="00B900CD"/>
    <w:rsid w:val="00B91BE4"/>
    <w:rsid w:val="00BC7C35"/>
    <w:rsid w:val="00BE1E04"/>
    <w:rsid w:val="00BF4FF7"/>
    <w:rsid w:val="00C31E9C"/>
    <w:rsid w:val="00C356CD"/>
    <w:rsid w:val="00C45978"/>
    <w:rsid w:val="00C62DB5"/>
    <w:rsid w:val="00C65DDF"/>
    <w:rsid w:val="00C71275"/>
    <w:rsid w:val="00C9109F"/>
    <w:rsid w:val="00C92A9C"/>
    <w:rsid w:val="00CB187E"/>
    <w:rsid w:val="00CB4269"/>
    <w:rsid w:val="00CB48F4"/>
    <w:rsid w:val="00CB5918"/>
    <w:rsid w:val="00CF1453"/>
    <w:rsid w:val="00CF69AF"/>
    <w:rsid w:val="00CF7551"/>
    <w:rsid w:val="00D03C3F"/>
    <w:rsid w:val="00D11BDC"/>
    <w:rsid w:val="00D24B14"/>
    <w:rsid w:val="00D275A6"/>
    <w:rsid w:val="00D277CF"/>
    <w:rsid w:val="00D37AD7"/>
    <w:rsid w:val="00D459D1"/>
    <w:rsid w:val="00D81041"/>
    <w:rsid w:val="00D94315"/>
    <w:rsid w:val="00DA288A"/>
    <w:rsid w:val="00DA4EC0"/>
    <w:rsid w:val="00DA6DE0"/>
    <w:rsid w:val="00DC5C88"/>
    <w:rsid w:val="00DD6613"/>
    <w:rsid w:val="00DE1F46"/>
    <w:rsid w:val="00E000CE"/>
    <w:rsid w:val="00E010C5"/>
    <w:rsid w:val="00E012DF"/>
    <w:rsid w:val="00E07F48"/>
    <w:rsid w:val="00E11E06"/>
    <w:rsid w:val="00E12E96"/>
    <w:rsid w:val="00E13C72"/>
    <w:rsid w:val="00E15DCB"/>
    <w:rsid w:val="00E20773"/>
    <w:rsid w:val="00E4117A"/>
    <w:rsid w:val="00E505C9"/>
    <w:rsid w:val="00E51C8E"/>
    <w:rsid w:val="00E5445F"/>
    <w:rsid w:val="00E765BA"/>
    <w:rsid w:val="00E768D9"/>
    <w:rsid w:val="00E84A8A"/>
    <w:rsid w:val="00EA1CE6"/>
    <w:rsid w:val="00EA23C8"/>
    <w:rsid w:val="00EB4D6D"/>
    <w:rsid w:val="00EB7BAF"/>
    <w:rsid w:val="00ED23E5"/>
    <w:rsid w:val="00EE7E9B"/>
    <w:rsid w:val="00EF0E6C"/>
    <w:rsid w:val="00EF20B6"/>
    <w:rsid w:val="00EF53CB"/>
    <w:rsid w:val="00EF7CA0"/>
    <w:rsid w:val="00F229E6"/>
    <w:rsid w:val="00F34499"/>
    <w:rsid w:val="00F35ED4"/>
    <w:rsid w:val="00F552A4"/>
    <w:rsid w:val="00F606D9"/>
    <w:rsid w:val="00F75B8E"/>
    <w:rsid w:val="00F80C07"/>
    <w:rsid w:val="00F82D1B"/>
    <w:rsid w:val="00F94751"/>
    <w:rsid w:val="00F977D1"/>
    <w:rsid w:val="00FA17AD"/>
    <w:rsid w:val="00FA712E"/>
    <w:rsid w:val="00FB7E55"/>
    <w:rsid w:val="00FC6A77"/>
    <w:rsid w:val="00FE1B36"/>
    <w:rsid w:val="00FE652D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7B20"/>
  <w15:chartTrackingRefBased/>
  <w15:docId w15:val="{513DA621-8924-4BF6-B5EF-68AE046B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C4D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C4D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C4D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4D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4DC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9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5E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65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65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96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547"/>
  </w:style>
  <w:style w:type="paragraph" w:styleId="Pidipagina">
    <w:name w:val="footer"/>
    <w:basedOn w:val="Normale"/>
    <w:link w:val="PidipaginaCarattere"/>
    <w:uiPriority w:val="99"/>
    <w:unhideWhenUsed/>
    <w:rsid w:val="00496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547"/>
  </w:style>
  <w:style w:type="table" w:customStyle="1" w:styleId="TableNormal1">
    <w:name w:val="Table Normal1"/>
    <w:rsid w:val="004521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D1F98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1F98"/>
    <w:rPr>
      <w:color w:val="605E5C"/>
      <w:shd w:val="clear" w:color="auto" w:fill="E1DFDD"/>
    </w:rPr>
  </w:style>
  <w:style w:type="character" w:customStyle="1" w:styleId="Hyperlink1">
    <w:name w:val="Hyperlink.1"/>
    <w:basedOn w:val="Carpredefinitoparagrafo"/>
    <w:rsid w:val="00890C08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ui-provider">
    <w:name w:val="ui-provider"/>
    <w:basedOn w:val="Carpredefinitoparagrafo"/>
    <w:rsid w:val="005D0A3E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614B3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7226E3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centro.iss.it/coronavirus/bollettino/Bollettino-sorveglianza-integrata-COVID-19_29-novembre-2023.pdf" TargetMode="External"/><Relationship Id="rId13" Type="http://schemas.openxmlformats.org/officeDocument/2006/relationships/hyperlink" Target="https://www.governo.it/it/cscovid19/report-vaccini/" TargetMode="External"/><Relationship Id="rId18" Type="http://schemas.openxmlformats.org/officeDocument/2006/relationships/hyperlink" Target="mailto:ufficio.stampa@gimbe.org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who.int/docs/default-source/coronaviruse/21112023_ba.2.86_ire.pdf" TargetMode="External"/><Relationship Id="rId17" Type="http://schemas.openxmlformats.org/officeDocument/2006/relationships/hyperlink" Target="https://coronavirus.gimbe.org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trovanorme.salute.gov.it/norme/renderNormsanPdf?anno=2023&amp;codLeg=95893&amp;parte=1%20&amp;serie=null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docs/default-source/coronaviruse/21112023_eg.5_ure.pdf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trovanorme.salute.gov.it/norme/renderNormsanPdf?anno=2023&amp;codLeg=96278&amp;parte=1%20&amp;serie=null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s://www.iss.it/-/covid-19-online-la-flash-survey-varianti-di-novembre-2023" TargetMode="External"/><Relationship Id="rId19" Type="http://schemas.openxmlformats.org/officeDocument/2006/relationships/image" Target="media/image1.png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ecdc.europa.eu/en/covid-19/variants-concern" TargetMode="External"/><Relationship Id="rId14" Type="http://schemas.openxmlformats.org/officeDocument/2006/relationships/hyperlink" Target="https://github.com/italia/covid19-opendata-vaccini/blob/master/dati/platea.csv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671A-8F00-45B6-BF98-895D6096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Orsi</dc:creator>
  <cp:keywords/>
  <dc:description/>
  <cp:lastModifiedBy>Roberto Luceri</cp:lastModifiedBy>
  <cp:revision>9</cp:revision>
  <dcterms:created xsi:type="dcterms:W3CDTF">2023-12-04T10:54:00Z</dcterms:created>
  <dcterms:modified xsi:type="dcterms:W3CDTF">2023-12-04T15:10:00Z</dcterms:modified>
</cp:coreProperties>
</file>