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32" w:rsidRDefault="00124E32" w:rsidP="00124E32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B1EBE" w:rsidRPr="007824DB" w:rsidRDefault="00160C48" w:rsidP="007824D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CORONAVIRUS: PIANIFICAZIONE SCIENTIFICA DELLA FASE 2.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OSSERVARE REGIONI E PROVINCE SOTTO LA STESSA LENTE </w:t>
      </w:r>
    </w:p>
    <w:p w:rsidR="007824DB" w:rsidRDefault="00810786" w:rsidP="007824DB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LA </w:t>
      </w:r>
      <w:r w:rsidR="007824DB">
        <w:rPr>
          <w:b/>
          <w:sz w:val="23"/>
          <w:szCs w:val="23"/>
          <w:lang w:eastAsia="it-IT"/>
        </w:rPr>
        <w:t xml:space="preserve">GRADUALE RIAPERTURA DEL PAESE DOVREBBE ESSERE </w:t>
      </w:r>
      <w:r w:rsidR="002B0E1C">
        <w:rPr>
          <w:b/>
          <w:sz w:val="23"/>
          <w:szCs w:val="23"/>
          <w:lang w:eastAsia="it-IT"/>
        </w:rPr>
        <w:t>GUIDATA DA</w:t>
      </w:r>
      <w:r w:rsidR="007824DB">
        <w:rPr>
          <w:b/>
          <w:sz w:val="23"/>
          <w:szCs w:val="23"/>
          <w:lang w:eastAsia="it-IT"/>
        </w:rPr>
        <w:t xml:space="preserve"> CRITERI SCIENTIFICI </w:t>
      </w:r>
      <w:r w:rsidR="00490728">
        <w:rPr>
          <w:b/>
          <w:sz w:val="23"/>
          <w:szCs w:val="23"/>
          <w:lang w:eastAsia="it-IT"/>
        </w:rPr>
        <w:t xml:space="preserve">CHE TENGANO CONTO DI NUMEROSE VARIABILI AL FINE DI RIDURRE AL MINIMO IL RISCHIO DI UNA NUOVA IMPENNATA DI CASI. </w:t>
      </w:r>
      <w:r w:rsidR="002B0E1C">
        <w:rPr>
          <w:b/>
          <w:sz w:val="23"/>
          <w:szCs w:val="23"/>
          <w:lang w:eastAsia="it-IT"/>
        </w:rPr>
        <w:t>PER LA</w:t>
      </w:r>
      <w:r w:rsidR="00490728">
        <w:rPr>
          <w:b/>
          <w:sz w:val="23"/>
          <w:szCs w:val="23"/>
          <w:lang w:eastAsia="it-IT"/>
        </w:rPr>
        <w:t xml:space="preserve"> SUDDIVISIONE DEL PAESE IN AREE GEOGRAFICHE A DIFFERENTE LIVELLO DI RISCHIO, </w:t>
      </w:r>
      <w:bookmarkStart w:id="0" w:name="_Hlk38262050"/>
      <w:r w:rsidR="009C0EBF">
        <w:rPr>
          <w:b/>
          <w:sz w:val="23"/>
          <w:szCs w:val="23"/>
          <w:lang w:eastAsia="it-IT"/>
        </w:rPr>
        <w:t>LA FONDAZIONE GIMBE PUBBLICA</w:t>
      </w:r>
      <w:r w:rsidR="00D80FE1">
        <w:rPr>
          <w:b/>
          <w:sz w:val="23"/>
          <w:szCs w:val="23"/>
          <w:lang w:eastAsia="it-IT"/>
        </w:rPr>
        <w:t xml:space="preserve"> </w:t>
      </w:r>
      <w:r w:rsidR="007824DB">
        <w:rPr>
          <w:b/>
          <w:sz w:val="23"/>
          <w:szCs w:val="23"/>
          <w:lang w:eastAsia="it-IT"/>
        </w:rPr>
        <w:t xml:space="preserve">UN </w:t>
      </w:r>
      <w:r w:rsidR="00D27C5B" w:rsidRPr="00A551A6">
        <w:rPr>
          <w:b/>
          <w:sz w:val="23"/>
          <w:szCs w:val="23"/>
          <w:lang w:eastAsia="it-IT"/>
        </w:rPr>
        <w:t xml:space="preserve">MODELLO </w:t>
      </w:r>
      <w:r w:rsidR="007824DB">
        <w:rPr>
          <w:b/>
          <w:sz w:val="23"/>
          <w:szCs w:val="23"/>
          <w:lang w:eastAsia="it-IT"/>
        </w:rPr>
        <w:t>UNIVOCO PER MAPPARE E MONITORARE L’EVOLUZIONE DEL</w:t>
      </w:r>
      <w:r w:rsidR="00D80FE1">
        <w:rPr>
          <w:b/>
          <w:sz w:val="23"/>
          <w:szCs w:val="23"/>
          <w:lang w:eastAsia="it-IT"/>
        </w:rPr>
        <w:t xml:space="preserve"> CONTAGIO A LIVELLO REGIONALE E </w:t>
      </w:r>
      <w:r w:rsidR="007824DB">
        <w:rPr>
          <w:b/>
          <w:sz w:val="23"/>
          <w:szCs w:val="23"/>
          <w:lang w:eastAsia="it-IT"/>
        </w:rPr>
        <w:t>PROVINCIALE</w:t>
      </w:r>
      <w:bookmarkEnd w:id="0"/>
      <w:r w:rsidR="009016F2">
        <w:rPr>
          <w:b/>
          <w:sz w:val="23"/>
          <w:szCs w:val="23"/>
          <w:lang w:eastAsia="it-IT"/>
        </w:rPr>
        <w:t>.</w:t>
      </w:r>
      <w:r w:rsidR="00CD234B">
        <w:rPr>
          <w:b/>
          <w:sz w:val="23"/>
          <w:szCs w:val="23"/>
          <w:lang w:eastAsia="it-IT"/>
        </w:rPr>
        <w:t xml:space="preserve"> </w:t>
      </w:r>
      <w:r w:rsidR="005A6F89">
        <w:rPr>
          <w:b/>
          <w:sz w:val="23"/>
          <w:szCs w:val="23"/>
          <w:lang w:eastAsia="it-IT"/>
        </w:rPr>
        <w:t xml:space="preserve">LA FOTOGRAFIA </w:t>
      </w:r>
      <w:r w:rsidR="00487FF1">
        <w:rPr>
          <w:b/>
          <w:sz w:val="23"/>
          <w:szCs w:val="23"/>
          <w:lang w:eastAsia="it-IT"/>
        </w:rPr>
        <w:t xml:space="preserve">SCATTATA IL </w:t>
      </w:r>
      <w:r w:rsidR="005A6F89">
        <w:rPr>
          <w:b/>
          <w:sz w:val="23"/>
          <w:szCs w:val="23"/>
          <w:lang w:eastAsia="it-IT"/>
        </w:rPr>
        <w:t>19 APRILE</w:t>
      </w:r>
      <w:r w:rsidR="00487FF1">
        <w:rPr>
          <w:b/>
          <w:sz w:val="23"/>
          <w:szCs w:val="23"/>
          <w:lang w:eastAsia="it-IT"/>
        </w:rPr>
        <w:t xml:space="preserve"> INVITA </w:t>
      </w:r>
      <w:r w:rsidR="00D80FE1">
        <w:rPr>
          <w:b/>
          <w:sz w:val="23"/>
          <w:szCs w:val="23"/>
          <w:lang w:eastAsia="it-IT"/>
        </w:rPr>
        <w:t xml:space="preserve">A MANTENERE </w:t>
      </w:r>
      <w:r w:rsidR="002B0E1C">
        <w:rPr>
          <w:b/>
          <w:sz w:val="23"/>
          <w:szCs w:val="23"/>
          <w:lang w:eastAsia="it-IT"/>
        </w:rPr>
        <w:t>ALTA L’ALLERTA</w:t>
      </w:r>
      <w:r w:rsidR="00DA45E1">
        <w:rPr>
          <w:b/>
          <w:sz w:val="23"/>
          <w:szCs w:val="23"/>
          <w:lang w:eastAsia="it-IT"/>
        </w:rPr>
        <w:t xml:space="preserve"> </w:t>
      </w:r>
      <w:r w:rsidR="002B0E1C">
        <w:rPr>
          <w:b/>
          <w:sz w:val="23"/>
          <w:szCs w:val="23"/>
          <w:lang w:eastAsia="it-IT"/>
        </w:rPr>
        <w:t>AUSPICANDO</w:t>
      </w:r>
      <w:r w:rsidR="00DA45E1">
        <w:rPr>
          <w:b/>
          <w:sz w:val="23"/>
          <w:szCs w:val="23"/>
          <w:lang w:eastAsia="it-IT"/>
        </w:rPr>
        <w:t xml:space="preserve"> UN CONSISTENTE RALLENTAMENTO</w:t>
      </w:r>
      <w:r w:rsidR="002B0E1C">
        <w:rPr>
          <w:b/>
          <w:sz w:val="23"/>
          <w:szCs w:val="23"/>
          <w:lang w:eastAsia="it-IT"/>
        </w:rPr>
        <w:t xml:space="preserve"> DEL CONTAGIO</w:t>
      </w:r>
      <w:r w:rsidR="00DA45E1">
        <w:rPr>
          <w:b/>
          <w:sz w:val="23"/>
          <w:szCs w:val="23"/>
          <w:lang w:eastAsia="it-IT"/>
        </w:rPr>
        <w:t xml:space="preserve"> NELLE PROSSIME DUE SETTIMANE.</w:t>
      </w:r>
    </w:p>
    <w:p w:rsidR="007824DB" w:rsidRPr="007824DB" w:rsidRDefault="007824DB" w:rsidP="007824DB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20 aprile 2020 - </w:t>
      </w:r>
      <w:r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7824DB" w:rsidRDefault="007824DB" w:rsidP="000618E4">
      <w:pPr>
        <w:spacing w:after="120"/>
        <w:jc w:val="both"/>
      </w:pPr>
      <w:r>
        <w:t>Il Governo sta pianificando l’avvio della “fase 2” che dovrebbe partire dal 4 maggio</w:t>
      </w:r>
      <w:r w:rsidR="00A551A6">
        <w:t xml:space="preserve">. </w:t>
      </w:r>
      <w:r w:rsidR="000E5AD3">
        <w:t>Il</w:t>
      </w:r>
      <w:r w:rsidR="00CD234B">
        <w:t xml:space="preserve"> Premier Conte </w:t>
      </w:r>
      <w:r w:rsidR="000E5AD3">
        <w:t xml:space="preserve">ha annunciato </w:t>
      </w:r>
      <w:r w:rsidR="00A551A6">
        <w:t>un</w:t>
      </w:r>
      <w:r w:rsidR="00CD234B" w:rsidRPr="00CD234B">
        <w:t xml:space="preserve"> </w:t>
      </w:r>
      <w:r w:rsidR="00CD234B">
        <w:t>piano nazionale</w:t>
      </w:r>
      <w:r w:rsidR="000E5AD3">
        <w:t>,</w:t>
      </w:r>
      <w:r w:rsidR="00A551A6">
        <w:t xml:space="preserve"> con linee guida omogenee per tutte le Regioni, </w:t>
      </w:r>
      <w:r w:rsidR="00CD234B" w:rsidRPr="00CD234B">
        <w:t xml:space="preserve">che </w:t>
      </w:r>
      <w:r w:rsidR="000E5AD3">
        <w:t xml:space="preserve">prenda in considerazione </w:t>
      </w:r>
      <w:r w:rsidR="00CD234B" w:rsidRPr="00CD234B">
        <w:t>tutela della salute e</w:t>
      </w:r>
      <w:r w:rsidR="00A551A6">
        <w:t>d</w:t>
      </w:r>
      <w:r w:rsidR="00CD234B" w:rsidRPr="00CD234B">
        <w:t xml:space="preserve"> esigenze </w:t>
      </w:r>
      <w:r w:rsidR="00A551A6">
        <w:t>produttive</w:t>
      </w:r>
      <w:r>
        <w:t xml:space="preserve">. </w:t>
      </w:r>
    </w:p>
    <w:p w:rsidR="000E5AD3" w:rsidRDefault="000E5AD3" w:rsidP="000618E4">
      <w:pPr>
        <w:spacing w:after="120"/>
        <w:jc w:val="both"/>
      </w:pPr>
      <w:r w:rsidRPr="00A24080">
        <w:t>«</w:t>
      </w:r>
      <w:r w:rsidR="0062538D">
        <w:t xml:space="preserve">La fase 2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afferma </w:t>
      </w:r>
      <w:r w:rsidRPr="00A24080">
        <w:rPr>
          <w:lang w:eastAsia="it-IT"/>
        </w:rPr>
        <w:t>Nino Cartabellotta</w:t>
      </w:r>
      <w:r>
        <w:rPr>
          <w:lang w:eastAsia="it-IT"/>
        </w:rPr>
        <w:t xml:space="preserve">, presidente della Fondazione GIMBE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</w:t>
      </w:r>
      <w:r w:rsidR="0062538D">
        <w:rPr>
          <w:lang w:eastAsia="it-IT"/>
        </w:rPr>
        <w:t>deve essere</w:t>
      </w:r>
      <w:r w:rsidR="002B0E1C">
        <w:rPr>
          <w:lang w:eastAsia="it-IT"/>
        </w:rPr>
        <w:t xml:space="preserve"> guidata da </w:t>
      </w:r>
      <w:r>
        <w:rPr>
          <w:lang w:eastAsia="it-IT"/>
        </w:rPr>
        <w:t>criteri scientifici oggettivi condivisi tra Governo, Regioni ed enti locali, ten</w:t>
      </w:r>
      <w:r w:rsidR="00487FF1">
        <w:rPr>
          <w:lang w:eastAsia="it-IT"/>
        </w:rPr>
        <w:t xml:space="preserve">endo </w:t>
      </w:r>
      <w:r>
        <w:rPr>
          <w:lang w:eastAsia="it-IT"/>
        </w:rPr>
        <w:t>in considerazione i rischi</w:t>
      </w:r>
      <w:r w:rsidR="00487FF1">
        <w:rPr>
          <w:lang w:eastAsia="it-IT"/>
        </w:rPr>
        <w:t xml:space="preserve"> </w:t>
      </w:r>
      <w:r>
        <w:rPr>
          <w:lang w:eastAsia="it-IT"/>
        </w:rPr>
        <w:t xml:space="preserve">legati a </w:t>
      </w:r>
      <w:r w:rsidR="00D80FE1">
        <w:rPr>
          <w:lang w:eastAsia="it-IT"/>
        </w:rPr>
        <w:t>cinque</w:t>
      </w:r>
      <w:r>
        <w:rPr>
          <w:lang w:eastAsia="it-IT"/>
        </w:rPr>
        <w:t xml:space="preserve"> variabili: attività produttive, libertà individuali,</w:t>
      </w:r>
      <w:r w:rsidR="00490728" w:rsidRPr="00490728">
        <w:t xml:space="preserve"> </w:t>
      </w:r>
      <w:r w:rsidR="00490728">
        <w:rPr>
          <w:lang w:eastAsia="it-IT"/>
        </w:rPr>
        <w:t xml:space="preserve">mezzi di trasporto, </w:t>
      </w:r>
      <w:r w:rsidR="00D80FE1">
        <w:rPr>
          <w:lang w:eastAsia="it-IT"/>
        </w:rPr>
        <w:t xml:space="preserve">rischio di </w:t>
      </w:r>
      <w:r>
        <w:rPr>
          <w:lang w:eastAsia="it-IT"/>
        </w:rPr>
        <w:t>specifici sottogruppi di</w:t>
      </w:r>
      <w:r w:rsidR="00487FF1">
        <w:rPr>
          <w:lang w:eastAsia="it-IT"/>
        </w:rPr>
        <w:t xml:space="preserve"> popolazione in relazione all’</w:t>
      </w:r>
      <w:r>
        <w:rPr>
          <w:lang w:eastAsia="it-IT"/>
        </w:rPr>
        <w:t>età</w:t>
      </w:r>
      <w:r w:rsidR="00487FF1">
        <w:rPr>
          <w:lang w:eastAsia="it-IT"/>
        </w:rPr>
        <w:t xml:space="preserve"> e patologie concomitanti</w:t>
      </w:r>
      <w:r>
        <w:rPr>
          <w:lang w:eastAsia="it-IT"/>
        </w:rPr>
        <w:t xml:space="preserve"> e</w:t>
      </w:r>
      <w:r w:rsidR="002B0E1C">
        <w:rPr>
          <w:lang w:eastAsia="it-IT"/>
        </w:rPr>
        <w:t xml:space="preserve">d evoluzione </w:t>
      </w:r>
      <w:r>
        <w:rPr>
          <w:lang w:eastAsia="it-IT"/>
        </w:rPr>
        <w:t>del contagio nelle diverse aree geografiche</w:t>
      </w:r>
      <w:r w:rsidRPr="00A24080">
        <w:rPr>
          <w:rFonts w:cstheme="minorHAnsi"/>
        </w:rPr>
        <w:t>»</w:t>
      </w:r>
      <w:r w:rsidRPr="00A24080">
        <w:rPr>
          <w:lang w:eastAsia="it-IT"/>
        </w:rPr>
        <w:t>.</w:t>
      </w:r>
      <w:r>
        <w:rPr>
          <w:lang w:eastAsia="it-IT"/>
        </w:rPr>
        <w:t xml:space="preserve"> </w:t>
      </w:r>
      <w:r w:rsidR="00D80FE1">
        <w:rPr>
          <w:lang w:eastAsia="it-IT"/>
        </w:rPr>
        <w:t xml:space="preserve">Su quest’ultimo aspetto, </w:t>
      </w:r>
      <w:r>
        <w:t xml:space="preserve">dalle prime indiscrezioni le riaperture sarebbero differenziate in relazione alla diffusione </w:t>
      </w:r>
      <w:r w:rsidR="002B0E1C">
        <w:t xml:space="preserve">dei casi in </w:t>
      </w:r>
      <w:r w:rsidR="0062538D">
        <w:t xml:space="preserve">tre </w:t>
      </w:r>
      <w:r>
        <w:t>macro-aree: Nord, Centro e Sud.</w:t>
      </w:r>
    </w:p>
    <w:p w:rsidR="00D80FE1" w:rsidRDefault="000618E4" w:rsidP="00CD5CAF">
      <w:pPr>
        <w:spacing w:after="120"/>
        <w:jc w:val="both"/>
        <w:rPr>
          <w:lang w:eastAsia="it-IT"/>
        </w:rPr>
      </w:pPr>
      <w:r w:rsidRPr="00A24080">
        <w:t>«</w:t>
      </w:r>
      <w:r>
        <w:t xml:space="preserve">La Fondazione GIMBE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dichiara </w:t>
      </w:r>
      <w:r w:rsidRPr="00A24080">
        <w:rPr>
          <w:lang w:eastAsia="it-IT"/>
        </w:rPr>
        <w:t>Cartabellotta –</w:t>
      </w:r>
      <w:r>
        <w:rPr>
          <w:lang w:eastAsia="it-IT"/>
        </w:rPr>
        <w:t xml:space="preserve"> pubblica </w:t>
      </w:r>
      <w:r w:rsidR="0062538D">
        <w:rPr>
          <w:lang w:eastAsia="it-IT"/>
        </w:rPr>
        <w:t xml:space="preserve">oggi </w:t>
      </w:r>
      <w:r w:rsidR="002B0E1C">
        <w:rPr>
          <w:lang w:eastAsia="it-IT"/>
        </w:rPr>
        <w:t xml:space="preserve">un </w:t>
      </w:r>
      <w:r w:rsidR="00D27C5B" w:rsidRPr="00DC7BD0">
        <w:rPr>
          <w:lang w:eastAsia="it-IT"/>
        </w:rPr>
        <w:t xml:space="preserve">modello </w:t>
      </w:r>
      <w:r w:rsidR="0060147D">
        <w:rPr>
          <w:lang w:eastAsia="it-IT"/>
        </w:rPr>
        <w:t xml:space="preserve">dinamico </w:t>
      </w:r>
      <w:r>
        <w:rPr>
          <w:lang w:eastAsia="it-IT"/>
        </w:rPr>
        <w:t xml:space="preserve">per mappare e monitorare </w:t>
      </w:r>
      <w:r w:rsidR="0062538D">
        <w:rPr>
          <w:lang w:eastAsia="it-IT"/>
        </w:rPr>
        <w:t xml:space="preserve">l’evoluzione del contagio </w:t>
      </w:r>
      <w:r w:rsidR="00D80FE1">
        <w:rPr>
          <w:lang w:eastAsia="it-IT"/>
        </w:rPr>
        <w:t xml:space="preserve">a livello regionale e provinciale, </w:t>
      </w:r>
      <w:r w:rsidR="00977664">
        <w:rPr>
          <w:lang w:eastAsia="it-IT"/>
        </w:rPr>
        <w:t>al fine di fornire uno strumento univoco</w:t>
      </w:r>
      <w:r w:rsidR="0060147D">
        <w:rPr>
          <w:lang w:eastAsia="it-IT"/>
        </w:rPr>
        <w:t xml:space="preserve"> </w:t>
      </w:r>
      <w:r w:rsidR="00977664">
        <w:rPr>
          <w:lang w:eastAsia="it-IT"/>
        </w:rPr>
        <w:t xml:space="preserve">per </w:t>
      </w:r>
      <w:r w:rsidR="002B0E1C">
        <w:rPr>
          <w:lang w:eastAsia="it-IT"/>
        </w:rPr>
        <w:t xml:space="preserve">informare </w:t>
      </w:r>
      <w:r w:rsidR="00977664">
        <w:rPr>
          <w:lang w:eastAsia="it-IT"/>
        </w:rPr>
        <w:t xml:space="preserve">le decisioni di Governo e </w:t>
      </w:r>
      <w:r w:rsidR="00D80FE1">
        <w:rPr>
          <w:lang w:eastAsia="it-IT"/>
        </w:rPr>
        <w:t>Regioni</w:t>
      </w:r>
      <w:r w:rsidR="007B6D42">
        <w:rPr>
          <w:lang w:eastAsia="it-IT"/>
        </w:rPr>
        <w:t xml:space="preserve"> troppo spesso concentrate sulle variazioni giornalier</w:t>
      </w:r>
      <w:r w:rsidR="00E90B6F">
        <w:rPr>
          <w:lang w:eastAsia="it-IT"/>
        </w:rPr>
        <w:t>e</w:t>
      </w:r>
      <w:r w:rsidR="007B6D42">
        <w:rPr>
          <w:lang w:eastAsia="it-IT"/>
        </w:rPr>
        <w:t xml:space="preserve"> che alimentano facili ottimismi sui tempi di riapertura</w:t>
      </w:r>
      <w:r w:rsidR="00331FCC">
        <w:rPr>
          <w:lang w:eastAsia="it-IT"/>
        </w:rPr>
        <w:t xml:space="preserve"> e sottostimano i rischi in aree </w:t>
      </w:r>
      <w:r w:rsidR="00E90B6F">
        <w:rPr>
          <w:lang w:eastAsia="it-IT"/>
        </w:rPr>
        <w:t xml:space="preserve">con pochi casi ma </w:t>
      </w:r>
      <w:r w:rsidR="00331FCC">
        <w:rPr>
          <w:lang w:eastAsia="it-IT"/>
        </w:rPr>
        <w:t>ad elevata prevalenza</w:t>
      </w:r>
      <w:r w:rsidRPr="00A24080">
        <w:rPr>
          <w:rFonts w:cstheme="minorHAnsi"/>
        </w:rPr>
        <w:t>»</w:t>
      </w:r>
      <w:r w:rsidRPr="00A24080">
        <w:rPr>
          <w:lang w:eastAsia="it-IT"/>
        </w:rPr>
        <w:t>.</w:t>
      </w:r>
      <w:r w:rsidR="005A6F89">
        <w:rPr>
          <w:lang w:eastAsia="it-IT"/>
        </w:rPr>
        <w:t xml:space="preserve"> </w:t>
      </w:r>
    </w:p>
    <w:p w:rsidR="004173E1" w:rsidRPr="00822D33" w:rsidRDefault="007B6D42" w:rsidP="00CD5CAF">
      <w:pPr>
        <w:spacing w:after="120"/>
        <w:jc w:val="both"/>
        <w:rPr>
          <w:lang w:eastAsia="it-IT"/>
        </w:rPr>
      </w:pPr>
      <w:r>
        <w:rPr>
          <w:lang w:eastAsia="it-IT"/>
        </w:rPr>
        <w:t>Considerato che per rallentare</w:t>
      </w:r>
      <w:r w:rsidR="00D80FE1" w:rsidRPr="00D80FE1">
        <w:rPr>
          <w:lang w:eastAsia="it-IT"/>
        </w:rPr>
        <w:t xml:space="preserve"> la diffusione del virus </w:t>
      </w:r>
      <w:r w:rsidR="002B0E1C">
        <w:rPr>
          <w:lang w:eastAsia="it-IT"/>
        </w:rPr>
        <w:t xml:space="preserve">occorre </w:t>
      </w:r>
      <w:r w:rsidR="00D80FE1">
        <w:rPr>
          <w:lang w:eastAsia="it-IT"/>
        </w:rPr>
        <w:t xml:space="preserve">ridurre in maniera </w:t>
      </w:r>
      <w:r w:rsidR="00D80FE1" w:rsidRPr="00D80FE1">
        <w:rPr>
          <w:lang w:eastAsia="it-IT"/>
        </w:rPr>
        <w:t xml:space="preserve">costante </w:t>
      </w:r>
      <w:r w:rsidR="00D80FE1">
        <w:rPr>
          <w:lang w:eastAsia="it-IT"/>
        </w:rPr>
        <w:t xml:space="preserve">la </w:t>
      </w:r>
      <w:r w:rsidR="00D80FE1" w:rsidRPr="00D80FE1">
        <w:rPr>
          <w:lang w:eastAsia="it-IT"/>
        </w:rPr>
        <w:t>crescita</w:t>
      </w:r>
      <w:r w:rsidR="00D80FE1">
        <w:rPr>
          <w:lang w:eastAsia="it-IT"/>
        </w:rPr>
        <w:t xml:space="preserve"> </w:t>
      </w:r>
      <w:r>
        <w:rPr>
          <w:lang w:eastAsia="it-IT"/>
        </w:rPr>
        <w:t xml:space="preserve">percentuale </w:t>
      </w:r>
      <w:r w:rsidR="00D80FE1">
        <w:rPr>
          <w:lang w:eastAsia="it-IT"/>
        </w:rPr>
        <w:t xml:space="preserve">dei casi, in particolare </w:t>
      </w:r>
      <w:r w:rsidR="002562D7">
        <w:rPr>
          <w:lang w:eastAsia="it-IT"/>
        </w:rPr>
        <w:t xml:space="preserve">se </w:t>
      </w:r>
      <w:r w:rsidR="00D80FE1">
        <w:rPr>
          <w:lang w:eastAsia="it-IT"/>
        </w:rPr>
        <w:t>la prevalenza</w:t>
      </w:r>
      <w:r w:rsidR="002562D7" w:rsidRPr="002562D7">
        <w:rPr>
          <w:lang w:eastAsia="it-IT"/>
        </w:rPr>
        <w:t xml:space="preserve"> </w:t>
      </w:r>
      <w:r w:rsidR="002562D7">
        <w:rPr>
          <w:lang w:eastAsia="it-IT"/>
        </w:rPr>
        <w:t>aumenta</w:t>
      </w:r>
      <w:r w:rsidR="00D80FE1">
        <w:rPr>
          <w:lang w:eastAsia="it-IT"/>
        </w:rPr>
        <w:t>, i</w:t>
      </w:r>
      <w:r w:rsidR="0003229A" w:rsidRPr="00822D33">
        <w:rPr>
          <w:lang w:eastAsia="it-IT"/>
        </w:rPr>
        <w:t xml:space="preserve">l </w:t>
      </w:r>
      <w:r w:rsidR="00CD5CAF" w:rsidRPr="00C75B44">
        <w:rPr>
          <w:b/>
          <w:lang w:eastAsia="it-IT"/>
        </w:rPr>
        <w:t>m</w:t>
      </w:r>
      <w:r w:rsidR="00A9007E" w:rsidRPr="00C75B44">
        <w:rPr>
          <w:b/>
          <w:lang w:eastAsia="it-IT"/>
        </w:rPr>
        <w:t>odello GIMBE</w:t>
      </w:r>
      <w:r w:rsidR="00A9007E" w:rsidRPr="00822D33">
        <w:rPr>
          <w:lang w:eastAsia="it-IT"/>
        </w:rPr>
        <w:t xml:space="preserve"> </w:t>
      </w:r>
      <w:r w:rsidR="00977664">
        <w:rPr>
          <w:lang w:eastAsia="it-IT"/>
        </w:rPr>
        <w:t xml:space="preserve">si basa su </w:t>
      </w:r>
      <w:r w:rsidR="000038B3" w:rsidRPr="00822D33">
        <w:t xml:space="preserve">due </w:t>
      </w:r>
      <w:r>
        <w:t>variabili</w:t>
      </w:r>
      <w:r w:rsidR="00A9007E" w:rsidRPr="00822D33">
        <w:t>:</w:t>
      </w:r>
    </w:p>
    <w:p w:rsidR="00CD5CAF" w:rsidRDefault="000038B3" w:rsidP="00CD5CAF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C75B44">
        <w:rPr>
          <w:b/>
        </w:rPr>
        <w:t>P</w:t>
      </w:r>
      <w:r w:rsidR="00A9007E" w:rsidRPr="00C75B44">
        <w:rPr>
          <w:b/>
        </w:rPr>
        <w:t>revalenza</w:t>
      </w:r>
      <w:r w:rsidR="00F54394" w:rsidRPr="00C75B44">
        <w:rPr>
          <w:b/>
        </w:rPr>
        <w:t xml:space="preserve"> (</w:t>
      </w:r>
      <w:r w:rsidR="00A9007E" w:rsidRPr="00C75B44">
        <w:rPr>
          <w:b/>
        </w:rPr>
        <w:t>casi totali per 100.000 a</w:t>
      </w:r>
      <w:r w:rsidRPr="00C75B44">
        <w:rPr>
          <w:b/>
        </w:rPr>
        <w:t>bitanti</w:t>
      </w:r>
      <w:r w:rsidR="00F54394" w:rsidRPr="00C75B44">
        <w:rPr>
          <w:b/>
        </w:rPr>
        <w:t>)</w:t>
      </w:r>
      <w:r>
        <w:t xml:space="preserve">: misura </w:t>
      </w:r>
      <w:r w:rsidR="00A9007E">
        <w:t xml:space="preserve">la “densità” </w:t>
      </w:r>
      <w:r w:rsidR="00F54394">
        <w:t xml:space="preserve">dei casi </w:t>
      </w:r>
      <w:r w:rsidR="00192B69">
        <w:t xml:space="preserve">confermati </w:t>
      </w:r>
      <w:r w:rsidR="00A9007E">
        <w:t xml:space="preserve">nella popolazione </w:t>
      </w:r>
      <w:r w:rsidR="005A6F89">
        <w:t xml:space="preserve">e </w:t>
      </w:r>
      <w:r w:rsidR="00A9007E">
        <w:t>rappresenta</w:t>
      </w:r>
      <w:r w:rsidR="005A6F89">
        <w:t xml:space="preserve"> </w:t>
      </w:r>
      <w:r w:rsidR="00D80FE1">
        <w:t xml:space="preserve">anche </w:t>
      </w:r>
      <w:r w:rsidR="005A6F89">
        <w:t>una stima indiretta</w:t>
      </w:r>
      <w:r w:rsidR="00977664">
        <w:t xml:space="preserve"> dei</w:t>
      </w:r>
      <w:r w:rsidR="00A9007E">
        <w:t xml:space="preserve"> </w:t>
      </w:r>
      <w:r w:rsidR="00977664">
        <w:t>contagi</w:t>
      </w:r>
      <w:r w:rsidR="00DC7BD0">
        <w:t xml:space="preserve"> non noti</w:t>
      </w:r>
      <w:r w:rsidR="00CD5CAF">
        <w:t>.</w:t>
      </w:r>
    </w:p>
    <w:p w:rsidR="00A9007E" w:rsidRDefault="000038B3" w:rsidP="00CD5CAF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C75B44">
        <w:rPr>
          <w:b/>
        </w:rPr>
        <w:t>I</w:t>
      </w:r>
      <w:r w:rsidR="00A9007E" w:rsidRPr="00C75B44">
        <w:rPr>
          <w:b/>
        </w:rPr>
        <w:t>ncremento percentual</w:t>
      </w:r>
      <w:r w:rsidRPr="00C75B44">
        <w:rPr>
          <w:b/>
        </w:rPr>
        <w:t>e dei casi totali</w:t>
      </w:r>
      <w:r>
        <w:t xml:space="preserve">: misura </w:t>
      </w:r>
      <w:r w:rsidR="00A9007E">
        <w:t>la “velocità” con cui si diffonde il virus</w:t>
      </w:r>
      <w:r w:rsidR="00D80FE1">
        <w:t>. Tale valore viene</w:t>
      </w:r>
      <w:r>
        <w:t xml:space="preserve"> calcolato </w:t>
      </w:r>
      <w:r w:rsidR="002C76BA">
        <w:t xml:space="preserve">su un arco </w:t>
      </w:r>
      <w:r w:rsidR="005A6F89">
        <w:t xml:space="preserve">temporale </w:t>
      </w:r>
      <w:r>
        <w:t>settimana</w:t>
      </w:r>
      <w:r w:rsidR="005A6F89">
        <w:t>le</w:t>
      </w:r>
      <w:r w:rsidR="00A9007E">
        <w:t>, vist</w:t>
      </w:r>
      <w:r w:rsidR="00977664">
        <w:t xml:space="preserve">e le notevoli fluttuazioni </w:t>
      </w:r>
      <w:r w:rsidR="00A9007E">
        <w:t>dei dati giornalieri</w:t>
      </w:r>
      <w:r w:rsidR="002C76BA">
        <w:t xml:space="preserve">. </w:t>
      </w:r>
    </w:p>
    <w:p w:rsidR="000038B3" w:rsidRDefault="00DC7BD0" w:rsidP="00F25F97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Utilizzando </w:t>
      </w:r>
      <w:r w:rsidR="000C0C22">
        <w:rPr>
          <w:lang w:eastAsia="it-IT"/>
        </w:rPr>
        <w:t xml:space="preserve">come “spartiacque” </w:t>
      </w:r>
      <w:r>
        <w:rPr>
          <w:lang w:eastAsia="it-IT"/>
        </w:rPr>
        <w:t>i</w:t>
      </w:r>
      <w:r w:rsidR="005A6F89">
        <w:rPr>
          <w:lang w:eastAsia="it-IT"/>
        </w:rPr>
        <w:t xml:space="preserve"> </w:t>
      </w:r>
      <w:r w:rsidR="00CD5CAF" w:rsidRPr="00CD5CAF">
        <w:rPr>
          <w:lang w:eastAsia="it-IT"/>
        </w:rPr>
        <w:t>valori medi nazionali di prev</w:t>
      </w:r>
      <w:r w:rsidR="00CD5CAF">
        <w:rPr>
          <w:lang w:eastAsia="it-IT"/>
        </w:rPr>
        <w:t xml:space="preserve">alenza e incremento percentuale </w:t>
      </w:r>
      <w:r w:rsidR="0062538D">
        <w:rPr>
          <w:lang w:eastAsia="it-IT"/>
        </w:rPr>
        <w:t xml:space="preserve">le </w:t>
      </w:r>
      <w:r w:rsidR="00CD5CAF">
        <w:rPr>
          <w:lang w:eastAsia="it-IT"/>
        </w:rPr>
        <w:t xml:space="preserve">Regioni </w:t>
      </w:r>
      <w:r>
        <w:t xml:space="preserve">si posizionano in un grafico suddiviso </w:t>
      </w:r>
      <w:r w:rsidRPr="00CD5CAF">
        <w:rPr>
          <w:lang w:eastAsia="it-IT"/>
        </w:rPr>
        <w:t xml:space="preserve">in quattro </w:t>
      </w:r>
      <w:r w:rsidR="00DF2332">
        <w:rPr>
          <w:lang w:eastAsia="it-IT"/>
        </w:rPr>
        <w:t>quadranti</w:t>
      </w:r>
      <w:r>
        <w:rPr>
          <w:lang w:eastAsia="it-IT"/>
        </w:rPr>
        <w:t xml:space="preserve"> </w:t>
      </w:r>
      <w:r w:rsidR="008269FA">
        <w:t>(</w:t>
      </w:r>
      <w:hyperlink r:id="rId8" w:history="1">
        <w:r w:rsidR="008269FA" w:rsidRPr="00F173E2">
          <w:rPr>
            <w:rStyle w:val="Collegamentoipertestuale"/>
          </w:rPr>
          <w:t>figura 1</w:t>
        </w:r>
      </w:hyperlink>
      <w:r>
        <w:t>):</w:t>
      </w:r>
    </w:p>
    <w:p w:rsidR="00D94FEE" w:rsidRPr="008269FA" w:rsidRDefault="00D94FEE" w:rsidP="00D94FEE">
      <w:pPr>
        <w:pStyle w:val="Paragrafoelenco"/>
        <w:numPr>
          <w:ilvl w:val="0"/>
          <w:numId w:val="16"/>
        </w:numPr>
        <w:spacing w:after="120" w:line="276" w:lineRule="auto"/>
        <w:jc w:val="both"/>
      </w:pPr>
      <w:r w:rsidRPr="008269FA">
        <w:t xml:space="preserve">Verde: </w:t>
      </w:r>
      <w:r>
        <w:t xml:space="preserve">rappresenta l’area “fredda” con </w:t>
      </w:r>
      <w:r w:rsidRPr="008269FA">
        <w:t xml:space="preserve">bassa </w:t>
      </w:r>
      <w:r w:rsidRPr="00A551A6">
        <w:t>prevalenza</w:t>
      </w:r>
      <w:r>
        <w:t xml:space="preserve"> e</w:t>
      </w:r>
      <w:r w:rsidRPr="008269FA">
        <w:t xml:space="preserve"> basso incremento %</w:t>
      </w:r>
      <w:r>
        <w:t xml:space="preserve">. </w:t>
      </w:r>
    </w:p>
    <w:p w:rsidR="00C4147F" w:rsidRPr="008269FA" w:rsidRDefault="00CD5CAF" w:rsidP="00C4147F">
      <w:pPr>
        <w:pStyle w:val="Paragrafoelenco"/>
        <w:numPr>
          <w:ilvl w:val="0"/>
          <w:numId w:val="16"/>
        </w:numPr>
        <w:spacing w:after="120" w:line="276" w:lineRule="auto"/>
        <w:jc w:val="both"/>
      </w:pPr>
      <w:r w:rsidRPr="008269FA">
        <w:t>A</w:t>
      </w:r>
      <w:r w:rsidR="00C4147F" w:rsidRPr="008269FA">
        <w:t>rancione:</w:t>
      </w:r>
      <w:r w:rsidR="00E11D59" w:rsidRPr="008269FA">
        <w:t xml:space="preserve"> </w:t>
      </w:r>
      <w:r w:rsidR="00D94FEE">
        <w:t>è l’area in corso di “riscaldamento</w:t>
      </w:r>
      <w:r w:rsidR="002B0E1C">
        <w:t xml:space="preserve">”, con una </w:t>
      </w:r>
      <w:r w:rsidR="00D94FEE">
        <w:t xml:space="preserve">prevalenza ancora bassa, ma </w:t>
      </w:r>
      <w:r w:rsidR="002B0E1C">
        <w:t xml:space="preserve">un </w:t>
      </w:r>
      <w:r w:rsidR="00D94FEE">
        <w:t>incremento percentuale elevato</w:t>
      </w:r>
      <w:r w:rsidR="002B0E1C">
        <w:t>.</w:t>
      </w:r>
    </w:p>
    <w:p w:rsidR="00D94FEE" w:rsidRPr="008269FA" w:rsidRDefault="00D94FEE" w:rsidP="00D94FEE">
      <w:pPr>
        <w:pStyle w:val="Paragrafoelenco"/>
        <w:numPr>
          <w:ilvl w:val="0"/>
          <w:numId w:val="16"/>
        </w:numPr>
        <w:spacing w:after="120" w:line="276" w:lineRule="auto"/>
        <w:jc w:val="both"/>
      </w:pPr>
      <w:r w:rsidRPr="008269FA">
        <w:t>Ross</w:t>
      </w:r>
      <w:r>
        <w:t>o</w:t>
      </w:r>
      <w:r w:rsidRPr="008269FA">
        <w:t xml:space="preserve">: </w:t>
      </w:r>
      <w:r>
        <w:t xml:space="preserve">rappresenta l’area “calda” caratterizzata da alta prevalenza che viene alimentata dall’elevato incremento % dei casi. </w:t>
      </w:r>
      <w:bookmarkStart w:id="1" w:name="_GoBack"/>
      <w:bookmarkEnd w:id="1"/>
    </w:p>
    <w:p w:rsidR="00C4147F" w:rsidRPr="008269FA" w:rsidRDefault="00CD5CAF" w:rsidP="00C4147F">
      <w:pPr>
        <w:pStyle w:val="Paragrafoelenco"/>
        <w:numPr>
          <w:ilvl w:val="0"/>
          <w:numId w:val="16"/>
        </w:numPr>
        <w:spacing w:after="120" w:line="276" w:lineRule="auto"/>
        <w:jc w:val="both"/>
      </w:pPr>
      <w:r w:rsidRPr="008269FA">
        <w:lastRenderedPageBreak/>
        <w:t>G</w:t>
      </w:r>
      <w:r w:rsidR="00DF2332">
        <w:t>iallo</w:t>
      </w:r>
      <w:r w:rsidR="00C4147F" w:rsidRPr="008269FA">
        <w:t>:</w:t>
      </w:r>
      <w:r w:rsidR="00E11D59" w:rsidRPr="008269FA">
        <w:t xml:space="preserve"> </w:t>
      </w:r>
      <w:r w:rsidR="00D94FEE">
        <w:t>rappresenta l’area in corso di “raffreddamento”</w:t>
      </w:r>
      <w:r w:rsidR="002B0E1C">
        <w:t>, caratterizzata da un’</w:t>
      </w:r>
      <w:r w:rsidR="00D94FEE">
        <w:t>alta prevalenza</w:t>
      </w:r>
      <w:r w:rsidR="002562D7">
        <w:t xml:space="preserve"> </w:t>
      </w:r>
      <w:r w:rsidR="00D94FEE">
        <w:t xml:space="preserve">alimentata nelle settimane precedenti </w:t>
      </w:r>
      <w:r w:rsidR="002B0E1C">
        <w:t xml:space="preserve">e </w:t>
      </w:r>
      <w:r w:rsidR="00D94FEE">
        <w:t>da un incremento percentuale</w:t>
      </w:r>
      <w:r w:rsidR="002562D7">
        <w:t xml:space="preserve"> in corso di </w:t>
      </w:r>
      <w:r w:rsidR="00D94FEE">
        <w:t xml:space="preserve">riduzione. </w:t>
      </w:r>
    </w:p>
    <w:p w:rsidR="000C0C22" w:rsidRDefault="000C0C22" w:rsidP="00F25F97">
      <w:pPr>
        <w:spacing w:after="120"/>
        <w:jc w:val="both"/>
      </w:pPr>
      <w:r>
        <w:t>Considerato che la posizione di ciascuna Regione consegue a differenti dinamiche locali, la Fondazione GIMBE ha elaborato analoghi grafici regionali, che vedono le province distribuirsi in relazione ai valori medi regionali di prevalenza e di incremento percentuale (es. Regione Lombardia</w:t>
      </w:r>
      <w:r w:rsidR="009D1A04">
        <w:t xml:space="preserve">: </w:t>
      </w:r>
      <w:hyperlink r:id="rId9" w:history="1">
        <w:r w:rsidRPr="00F173E2">
          <w:rPr>
            <w:rStyle w:val="Collegamentoipertestuale"/>
          </w:rPr>
          <w:t>figura 2</w:t>
        </w:r>
      </w:hyperlink>
      <w:r>
        <w:t>).</w:t>
      </w:r>
    </w:p>
    <w:p w:rsidR="0003229A" w:rsidRDefault="00F942E0" w:rsidP="00D80FE1">
      <w:pPr>
        <w:spacing w:after="120"/>
        <w:jc w:val="both"/>
      </w:pPr>
      <w:r w:rsidRPr="00A24080">
        <w:t>«</w:t>
      </w:r>
      <w:r w:rsidR="009D1A04">
        <w:t xml:space="preserve">Questo modello </w:t>
      </w:r>
      <w:r w:rsidRPr="00A24080">
        <w:t>–</w:t>
      </w:r>
      <w:r>
        <w:t xml:space="preserve"> continua Cartabellotta</w:t>
      </w:r>
      <w:r w:rsidRPr="00A24080">
        <w:t xml:space="preserve"> –</w:t>
      </w:r>
      <w:r w:rsidR="009D1A04">
        <w:t xml:space="preserve"> </w:t>
      </w:r>
      <w:r>
        <w:t xml:space="preserve">non </w:t>
      </w:r>
      <w:r w:rsidR="007B6D42">
        <w:t xml:space="preserve">ha l’obiettivo </w:t>
      </w:r>
      <w:r w:rsidR="00DF2332">
        <w:t xml:space="preserve">di </w:t>
      </w:r>
      <w:r>
        <w:t xml:space="preserve">stilare </w:t>
      </w:r>
      <w:r w:rsidR="009D1A04">
        <w:t xml:space="preserve">una </w:t>
      </w:r>
      <w:r w:rsidR="00DF2332">
        <w:t>classifica</w:t>
      </w:r>
      <w:r>
        <w:t xml:space="preserve"> tra Regioni, ma </w:t>
      </w:r>
      <w:r w:rsidR="000C0C22">
        <w:t xml:space="preserve">solo </w:t>
      </w:r>
      <w:r>
        <w:t xml:space="preserve">di </w:t>
      </w:r>
      <w:r w:rsidR="000C0C22">
        <w:t xml:space="preserve">posizionarle </w:t>
      </w:r>
      <w:r w:rsidR="0060147D">
        <w:t xml:space="preserve">e monitorarle nel tempo </w:t>
      </w:r>
      <w:r w:rsidR="00DF2332">
        <w:t xml:space="preserve">rispetto alla media nazionale di </w:t>
      </w:r>
      <w:r>
        <w:t>due variabili che condizionano l’evoluzione dell’epidemia</w:t>
      </w:r>
      <w:r w:rsidRPr="00A24080">
        <w:rPr>
          <w:rFonts w:cstheme="minorHAnsi"/>
        </w:rPr>
        <w:t>»</w:t>
      </w:r>
      <w:r>
        <w:t xml:space="preserve">. </w:t>
      </w:r>
      <w:r w:rsidR="002562D7">
        <w:t xml:space="preserve">Ovvero, </w:t>
      </w:r>
      <w:r w:rsidR="00D80FE1">
        <w:t>l</w:t>
      </w:r>
      <w:r w:rsidR="000C0C22">
        <w:t>a distribuzione delle Regioni secondo il modello GIMBE dimostra</w:t>
      </w:r>
      <w:r w:rsidR="00CD5CAF">
        <w:t xml:space="preserve"> </w:t>
      </w:r>
      <w:r w:rsidR="00E11D59">
        <w:t xml:space="preserve">che </w:t>
      </w:r>
      <w:r w:rsidR="0060147D">
        <w:t xml:space="preserve">ad oggi </w:t>
      </w:r>
      <w:r w:rsidR="005A6F89">
        <w:t>l</w:t>
      </w:r>
      <w:r w:rsidR="0062538D">
        <w:t xml:space="preserve">a suddivisione del </w:t>
      </w:r>
      <w:r w:rsidR="008269FA">
        <w:t xml:space="preserve">Paese </w:t>
      </w:r>
      <w:r w:rsidR="0062538D">
        <w:t xml:space="preserve">in </w:t>
      </w:r>
      <w:r w:rsidR="008269FA">
        <w:t>tre</w:t>
      </w:r>
      <w:r w:rsidR="00F54394">
        <w:t xml:space="preserve"> </w:t>
      </w:r>
      <w:r w:rsidR="00E11D59">
        <w:t xml:space="preserve">macro-aree </w:t>
      </w:r>
      <w:r w:rsidR="00CD5CAF">
        <w:t xml:space="preserve">(Nord, Centro, </w:t>
      </w:r>
      <w:r w:rsidR="00E11D59" w:rsidRPr="000038B3">
        <w:t>Sud</w:t>
      </w:r>
      <w:r w:rsidR="00CD5CAF">
        <w:t>)</w:t>
      </w:r>
      <w:r w:rsidR="00E11D59">
        <w:t xml:space="preserve"> non </w:t>
      </w:r>
      <w:r w:rsidR="00DC7BD0">
        <w:t xml:space="preserve">riflette il </w:t>
      </w:r>
      <w:r w:rsidR="00E11D59">
        <w:t xml:space="preserve">rischio </w:t>
      </w:r>
      <w:r w:rsidR="00DC7BD0">
        <w:t xml:space="preserve">di </w:t>
      </w:r>
      <w:r w:rsidR="00E11D59">
        <w:t>evoluzione del contagio. Infatti</w:t>
      </w:r>
      <w:r w:rsidR="0003229A">
        <w:t>:</w:t>
      </w:r>
    </w:p>
    <w:p w:rsidR="0003229A" w:rsidRDefault="00E11D59" w:rsidP="00087B65">
      <w:pPr>
        <w:pStyle w:val="Paragrafoelenco"/>
        <w:numPr>
          <w:ilvl w:val="0"/>
          <w:numId w:val="17"/>
        </w:numPr>
        <w:spacing w:after="120" w:line="276" w:lineRule="auto"/>
        <w:jc w:val="both"/>
      </w:pPr>
      <w:r w:rsidRPr="00365F40">
        <w:rPr>
          <w:b/>
        </w:rPr>
        <w:t>Regioni del Nord</w:t>
      </w:r>
      <w:r w:rsidR="00365F40">
        <w:t>:</w:t>
      </w:r>
      <w:r w:rsidRPr="000038B3">
        <w:t xml:space="preserve"> si posizionano </w:t>
      </w:r>
      <w:r w:rsidR="00822D33">
        <w:t xml:space="preserve">quasi </w:t>
      </w:r>
      <w:r w:rsidRPr="000038B3">
        <w:t xml:space="preserve">tutte nei due quadranti di destra </w:t>
      </w:r>
      <w:r w:rsidR="00832D04">
        <w:t xml:space="preserve">(rosso, giallo) </w:t>
      </w:r>
      <w:r w:rsidR="008C481B">
        <w:t xml:space="preserve">per </w:t>
      </w:r>
      <w:r w:rsidRPr="000038B3">
        <w:t>l’elevata prevalenza</w:t>
      </w:r>
      <w:r w:rsidR="0003229A">
        <w:t xml:space="preserve">, </w:t>
      </w:r>
      <w:r>
        <w:t xml:space="preserve">ma </w:t>
      </w:r>
      <w:r w:rsidR="0003229A">
        <w:t xml:space="preserve">presentano </w:t>
      </w:r>
      <w:r w:rsidR="00822D33">
        <w:t xml:space="preserve">diversi </w:t>
      </w:r>
      <w:r w:rsidR="0003229A">
        <w:t>valori di incremento</w:t>
      </w:r>
      <w:r w:rsidR="00DF2332">
        <w:t xml:space="preserve"> percentuale</w:t>
      </w:r>
      <w:r w:rsidR="00822D33">
        <w:t>: dal</w:t>
      </w:r>
      <w:r w:rsidR="00F77492">
        <w:t xml:space="preserve"> 12</w:t>
      </w:r>
      <w:r w:rsidR="0095095E">
        <w:t>,2</w:t>
      </w:r>
      <w:r w:rsidR="00DF2332">
        <w:t>%</w:t>
      </w:r>
      <w:r w:rsidR="0095095E">
        <w:t xml:space="preserve"> d</w:t>
      </w:r>
      <w:r w:rsidR="00452A29">
        <w:t xml:space="preserve">i </w:t>
      </w:r>
      <w:r w:rsidR="00F77492">
        <w:t xml:space="preserve">Lombardia </w:t>
      </w:r>
      <w:r w:rsidR="00452A29">
        <w:t xml:space="preserve">ed </w:t>
      </w:r>
      <w:r w:rsidR="009D1A04">
        <w:t>Emilia-Romagna</w:t>
      </w:r>
      <w:r w:rsidR="00452A29">
        <w:t xml:space="preserve"> </w:t>
      </w:r>
      <w:r w:rsidR="00F77492">
        <w:t>a</w:t>
      </w:r>
      <w:r w:rsidR="00365F40">
        <w:t xml:space="preserve">l </w:t>
      </w:r>
      <w:r w:rsidR="0095095E">
        <w:t xml:space="preserve">26,4% </w:t>
      </w:r>
      <w:r w:rsidR="00822D33">
        <w:t>del Piemonte. Il</w:t>
      </w:r>
      <w:r w:rsidR="0003229A">
        <w:t xml:space="preserve"> </w:t>
      </w:r>
      <w:r w:rsidR="008269FA">
        <w:t>Friuli-Venezia Giulia</w:t>
      </w:r>
      <w:r w:rsidR="0003229A">
        <w:t xml:space="preserve"> si </w:t>
      </w:r>
      <w:r w:rsidR="008C481B">
        <w:t xml:space="preserve">colloca </w:t>
      </w:r>
      <w:r w:rsidR="008269FA">
        <w:t xml:space="preserve">invece </w:t>
      </w:r>
      <w:r w:rsidR="0003229A">
        <w:t>nell’area verde</w:t>
      </w:r>
      <w:r w:rsidR="00822D33">
        <w:t>.</w:t>
      </w:r>
    </w:p>
    <w:p w:rsidR="0003229A" w:rsidRDefault="0003229A" w:rsidP="00087B65">
      <w:pPr>
        <w:pStyle w:val="Paragrafoelenco"/>
        <w:numPr>
          <w:ilvl w:val="0"/>
          <w:numId w:val="17"/>
        </w:numPr>
        <w:spacing w:after="120" w:line="276" w:lineRule="auto"/>
        <w:jc w:val="both"/>
      </w:pPr>
      <w:r w:rsidRPr="00365F40">
        <w:rPr>
          <w:b/>
        </w:rPr>
        <w:t>Regioni del Centro</w:t>
      </w:r>
      <w:r w:rsidR="00365F40">
        <w:t>:</w:t>
      </w:r>
      <w:r>
        <w:t xml:space="preserve"> </w:t>
      </w:r>
      <w:r w:rsidR="00C75B44">
        <w:t xml:space="preserve">si </w:t>
      </w:r>
      <w:r w:rsidR="00D80FE1">
        <w:t>collocano quasi</w:t>
      </w:r>
      <w:r w:rsidR="00C75B44">
        <w:t xml:space="preserve"> tutte nei due quadranti di sinistra (</w:t>
      </w:r>
      <w:r>
        <w:t>arancione</w:t>
      </w:r>
      <w:r w:rsidR="00C75B44">
        <w:t>, verde</w:t>
      </w:r>
      <w:r w:rsidR="00822D33">
        <w:t>)</w:t>
      </w:r>
      <w:r>
        <w:t xml:space="preserve"> con incre</w:t>
      </w:r>
      <w:r w:rsidR="00DF2332">
        <w:t xml:space="preserve">menti percentuali che vanno dal 2,2% </w:t>
      </w:r>
      <w:r w:rsidR="00822D33">
        <w:t>dell’Umbria al</w:t>
      </w:r>
      <w:r w:rsidR="00DF2332">
        <w:t xml:space="preserve"> 18,8% del Lazio</w:t>
      </w:r>
      <w:r w:rsidR="008269FA">
        <w:t xml:space="preserve">. </w:t>
      </w:r>
      <w:r w:rsidR="00C75B44">
        <w:t>Le Marche si collocano invece nell’area gialla.</w:t>
      </w:r>
    </w:p>
    <w:p w:rsidR="007C0BED" w:rsidRDefault="0003229A" w:rsidP="00F25F97">
      <w:pPr>
        <w:pStyle w:val="Paragrafoelenco"/>
        <w:numPr>
          <w:ilvl w:val="0"/>
          <w:numId w:val="17"/>
        </w:numPr>
        <w:spacing w:after="120" w:line="276" w:lineRule="auto"/>
        <w:jc w:val="both"/>
      </w:pPr>
      <w:r w:rsidRPr="00365F40">
        <w:rPr>
          <w:b/>
        </w:rPr>
        <w:t>Regioni</w:t>
      </w:r>
      <w:r w:rsidR="00F54718">
        <w:rPr>
          <w:b/>
        </w:rPr>
        <w:t xml:space="preserve"> del Sud, isole incluse</w:t>
      </w:r>
      <w:r w:rsidR="00365F40">
        <w:t>:</w:t>
      </w:r>
      <w:r w:rsidR="008C481B">
        <w:t xml:space="preserve"> </w:t>
      </w:r>
      <w:r w:rsidR="00E11D59" w:rsidRPr="000038B3">
        <w:t xml:space="preserve">si trovano </w:t>
      </w:r>
      <w:r>
        <w:t>tutte nel quadrante verde</w:t>
      </w:r>
      <w:r w:rsidR="00365F40">
        <w:t>,</w:t>
      </w:r>
      <w:r>
        <w:t xml:space="preserve"> ad eccezione della Puglia</w:t>
      </w:r>
      <w:r w:rsidR="00DF2332">
        <w:t xml:space="preserve"> che si posiziona nel quadrante </w:t>
      </w:r>
      <w:r w:rsidR="003F414B">
        <w:t xml:space="preserve">arancione </w:t>
      </w:r>
      <w:r w:rsidR="009D1A04">
        <w:t>con</w:t>
      </w:r>
      <w:r w:rsidR="00DF2332">
        <w:t xml:space="preserve"> un incremento percentuale del 18,1%</w:t>
      </w:r>
      <w:r w:rsidR="00B85706">
        <w:t xml:space="preserve">. </w:t>
      </w:r>
    </w:p>
    <w:p w:rsidR="00F942E0" w:rsidRDefault="007C0BED" w:rsidP="007C0BED">
      <w:pPr>
        <w:spacing w:after="120"/>
        <w:jc w:val="both"/>
        <w:rPr>
          <w:lang w:eastAsia="it-IT"/>
        </w:rPr>
      </w:pPr>
      <w:r w:rsidRPr="00A24080">
        <w:t>«</w:t>
      </w:r>
      <w:r w:rsidR="006B6E88">
        <w:t>I</w:t>
      </w:r>
      <w:r>
        <w:t xml:space="preserve">n generale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continua </w:t>
      </w:r>
      <w:r w:rsidR="004F69A0">
        <w:rPr>
          <w:lang w:eastAsia="it-IT"/>
        </w:rPr>
        <w:t>Cartabellotta</w:t>
      </w:r>
      <w:r>
        <w:rPr>
          <w:lang w:eastAsia="it-IT"/>
        </w:rPr>
        <w:t xml:space="preserve">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</w:t>
      </w:r>
      <w:r>
        <w:t xml:space="preserve">la fotografia scattata a 2 settimane dalla </w:t>
      </w:r>
      <w:r w:rsidR="005A6F89">
        <w:t xml:space="preserve">possibile </w:t>
      </w:r>
      <w:r>
        <w:t>riapertura non è affatto rassicurante</w:t>
      </w:r>
      <w:r w:rsidR="005A6F89">
        <w:t xml:space="preserve"> perché </w:t>
      </w:r>
      <w:r>
        <w:t xml:space="preserve">gli incrementi percentuali </w:t>
      </w:r>
      <w:r w:rsidR="00F942E0">
        <w:t xml:space="preserve">negli ultimi 7 giorni </w:t>
      </w:r>
      <w:r>
        <w:t xml:space="preserve">sono ancora </w:t>
      </w:r>
      <w:r w:rsidR="00AC67F4">
        <w:t xml:space="preserve">molto </w:t>
      </w:r>
      <w:r>
        <w:t xml:space="preserve">elevati anche nelle Regioni </w:t>
      </w:r>
      <w:r w:rsidR="00DF2332">
        <w:t xml:space="preserve">che si trovano </w:t>
      </w:r>
      <w:r w:rsidR="004F69A0">
        <w:t xml:space="preserve">nel </w:t>
      </w:r>
      <w:r>
        <w:t>quadrante verde</w:t>
      </w:r>
      <w:r w:rsidR="00F942E0">
        <w:t>, fatta eccezione per l’Umbria</w:t>
      </w:r>
      <w:r w:rsidRPr="00A24080">
        <w:rPr>
          <w:rFonts w:cstheme="minorHAnsi"/>
        </w:rPr>
        <w:t>»</w:t>
      </w:r>
      <w:r>
        <w:rPr>
          <w:lang w:eastAsia="it-IT"/>
        </w:rPr>
        <w:t>.</w:t>
      </w:r>
    </w:p>
    <w:p w:rsidR="00F25F97" w:rsidRPr="00A24080" w:rsidRDefault="00B443D8" w:rsidP="00E74431">
      <w:pPr>
        <w:spacing w:after="120"/>
        <w:jc w:val="both"/>
        <w:rPr>
          <w:lang w:eastAsia="it-IT"/>
        </w:rPr>
      </w:pPr>
      <w:r w:rsidRPr="00A24080">
        <w:t>«</w:t>
      </w:r>
      <w:r w:rsidR="007C7CA4">
        <w:t xml:space="preserve">Al di là </w:t>
      </w:r>
      <w:r w:rsidR="008269FA">
        <w:t xml:space="preserve">delle </w:t>
      </w:r>
      <w:r w:rsidR="007C7CA4">
        <w:t xml:space="preserve">indiscrezioni </w:t>
      </w:r>
      <w:r w:rsidR="008269FA">
        <w:t xml:space="preserve">trapelate negli ultimi giorni </w:t>
      </w:r>
      <w:r w:rsidR="00BA3DDE" w:rsidRPr="00A24080">
        <w:rPr>
          <w:lang w:eastAsia="it-IT"/>
        </w:rPr>
        <w:t xml:space="preserve">– </w:t>
      </w:r>
      <w:r w:rsidRPr="00A24080">
        <w:rPr>
          <w:lang w:eastAsia="it-IT"/>
        </w:rPr>
        <w:t>conclude Cartabellotta –</w:t>
      </w:r>
      <w:r w:rsidR="007C7CA4">
        <w:rPr>
          <w:lang w:eastAsia="it-IT"/>
        </w:rPr>
        <w:t xml:space="preserve"> i criteri </w:t>
      </w:r>
      <w:r w:rsidR="00DC7BD0">
        <w:rPr>
          <w:lang w:eastAsia="it-IT"/>
        </w:rPr>
        <w:t>con cui il Governo ridisegnerà</w:t>
      </w:r>
      <w:r w:rsidR="007C7CA4">
        <w:rPr>
          <w:lang w:eastAsia="it-IT"/>
        </w:rPr>
        <w:t xml:space="preserve"> la mappa dell’Italia per l’avvio e il monitoraggio della “fase 2” non sono </w:t>
      </w:r>
      <w:r w:rsidR="00DC7BD0">
        <w:rPr>
          <w:lang w:eastAsia="it-IT"/>
        </w:rPr>
        <w:t xml:space="preserve">ancora </w:t>
      </w:r>
      <w:r w:rsidR="007C7CA4">
        <w:rPr>
          <w:lang w:eastAsia="it-IT"/>
        </w:rPr>
        <w:t xml:space="preserve">noti. </w:t>
      </w:r>
      <w:r w:rsidR="000C0C22">
        <w:rPr>
          <w:lang w:eastAsia="it-IT"/>
        </w:rPr>
        <w:t xml:space="preserve">Il modello proposto dalla </w:t>
      </w:r>
      <w:r w:rsidR="0062538D">
        <w:rPr>
          <w:lang w:eastAsia="it-IT"/>
        </w:rPr>
        <w:t xml:space="preserve">Fondazione GIMBE </w:t>
      </w:r>
      <w:r w:rsidR="005A6F89">
        <w:rPr>
          <w:lang w:eastAsia="it-IT"/>
        </w:rPr>
        <w:t xml:space="preserve">permette di applicare </w:t>
      </w:r>
      <w:r w:rsidR="00832D04">
        <w:rPr>
          <w:lang w:eastAsia="it-IT"/>
        </w:rPr>
        <w:t xml:space="preserve">la </w:t>
      </w:r>
      <w:r w:rsidR="00F518F6">
        <w:rPr>
          <w:lang w:eastAsia="it-IT"/>
        </w:rPr>
        <w:t xml:space="preserve">stessa unità di misura </w:t>
      </w:r>
      <w:r w:rsidR="007C7CA4">
        <w:t xml:space="preserve">a livello nazionale, regionale e provinciale, </w:t>
      </w:r>
      <w:r w:rsidR="00F518F6">
        <w:t xml:space="preserve">sia al fine di </w:t>
      </w:r>
      <w:r w:rsidR="007C7CA4">
        <w:t xml:space="preserve">consentire </w:t>
      </w:r>
      <w:r w:rsidR="008269FA">
        <w:t xml:space="preserve">una </w:t>
      </w:r>
      <w:r w:rsidR="007C7CA4">
        <w:t>“personalizzazione” degli interventi di allentamento</w:t>
      </w:r>
      <w:r w:rsidR="009727D6">
        <w:t xml:space="preserve"> o </w:t>
      </w:r>
      <w:r w:rsidR="007C7CA4">
        <w:t>restrizione</w:t>
      </w:r>
      <w:r w:rsidR="00F518F6">
        <w:t xml:space="preserve">, sia di evitare valutazioni </w:t>
      </w:r>
      <w:r w:rsidR="008269FA">
        <w:t>locali</w:t>
      </w:r>
      <w:r w:rsidR="00F518F6">
        <w:t xml:space="preserve"> finalizzate a improprie fughe in avanti che rischiano di danneggiare la salute pubblica</w:t>
      </w:r>
      <w:r w:rsidRPr="00A24080">
        <w:rPr>
          <w:rFonts w:cstheme="minorHAnsi"/>
        </w:rPr>
        <w:t>»</w:t>
      </w:r>
      <w:r w:rsidR="005879F9">
        <w:rPr>
          <w:lang w:eastAsia="it-IT"/>
        </w:rPr>
        <w:t>.</w:t>
      </w:r>
    </w:p>
    <w:p w:rsidR="0025387F" w:rsidRPr="00A24080" w:rsidRDefault="00B443D8" w:rsidP="00E74431">
      <w:pPr>
        <w:spacing w:after="120"/>
        <w:jc w:val="both"/>
        <w:rPr>
          <w:i/>
          <w:lang w:eastAsia="it-IT"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10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124E32" w:rsidRPr="00A24080" w:rsidRDefault="00423ED3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 w:rsidRPr="00A24080">
        <w:rPr>
          <w:rFonts w:ascii="Calibri" w:eastAsia="Calibri" w:hAnsi="Calibri" w:cs="Times New Roman"/>
          <w:b/>
          <w:bCs/>
        </w:rPr>
        <w:br/>
      </w:r>
      <w:r w:rsidR="00124E32" w:rsidRPr="00A24080">
        <w:rPr>
          <w:rFonts w:ascii="Calibri" w:eastAsia="Calibri" w:hAnsi="Calibri" w:cs="Times New Roman"/>
          <w:b/>
          <w:bCs/>
        </w:rPr>
        <w:t>CONTATTI</w:t>
      </w:r>
    </w:p>
    <w:p w:rsidR="007B6D42" w:rsidRDefault="00124E32" w:rsidP="00E74431">
      <w:pPr>
        <w:spacing w:after="120"/>
        <w:rPr>
          <w:rFonts w:ascii="Calibri" w:eastAsia="Calibri" w:hAnsi="Calibri" w:cs="Times New Roman"/>
          <w:color w:val="0000FF" w:themeColor="hyperlink"/>
          <w:u w:val="single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A24080">
        <w:rPr>
          <w:rFonts w:ascii="Calibri" w:eastAsia="Calibri" w:hAnsi="Calibri" w:cs="Times New Roman"/>
        </w:rPr>
        <w:t>Via Amendola 2 - 40121 Bologna</w:t>
      </w:r>
      <w:r w:rsidR="00423ED3" w:rsidRPr="00A24080">
        <w:rPr>
          <w:rFonts w:ascii="Calibri" w:eastAsia="Calibri" w:hAnsi="Calibri" w:cs="Times New Roman"/>
        </w:rPr>
        <w:br/>
      </w:r>
      <w:r w:rsidRPr="00A24080">
        <w:rPr>
          <w:rFonts w:ascii="Calibri" w:eastAsia="Calibri" w:hAnsi="Calibri" w:cs="Times New Roman"/>
        </w:rPr>
        <w:t>Tel. 051 5883920 - Fax 051 4075774</w:t>
      </w:r>
      <w:r w:rsidR="00423ED3" w:rsidRPr="00A24080">
        <w:rPr>
          <w:rFonts w:ascii="Calibri" w:eastAsia="Calibri" w:hAnsi="Calibri" w:cs="Times New Roman"/>
        </w:rPr>
        <w:br/>
      </w:r>
      <w:r w:rsidRPr="00A24080">
        <w:rPr>
          <w:rFonts w:ascii="Calibri" w:eastAsia="Calibri" w:hAnsi="Calibri" w:cs="Times New Roman"/>
        </w:rPr>
        <w:t xml:space="preserve">E-mail: </w:t>
      </w:r>
      <w:hyperlink r:id="rId11" w:history="1">
        <w:r w:rsidR="005E6366" w:rsidRPr="00A24080">
          <w:rPr>
            <w:rStyle w:val="Collegamentoipertestuale"/>
            <w:rFonts w:ascii="Calibri" w:eastAsia="Calibri" w:hAnsi="Calibri" w:cs="Times New Roman"/>
          </w:rPr>
          <w:t>ufficio.stampa@gimbe.org</w:t>
        </w:r>
      </w:hyperlink>
      <w:r w:rsidR="005E6366" w:rsidRPr="00A24080">
        <w:rPr>
          <w:rFonts w:ascii="Calibri" w:eastAsia="Calibri" w:hAnsi="Calibri" w:cs="Times New Roman"/>
          <w:color w:val="0000FF" w:themeColor="hyperlink"/>
          <w:u w:val="single"/>
        </w:rPr>
        <w:t xml:space="preserve"> </w:t>
      </w:r>
    </w:p>
    <w:sectPr w:rsidR="007B6D42" w:rsidSect="00F851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09B3B" w16cid:durableId="2247D4A7"/>
  <w16cid:commentId w16cid:paraId="7C8024D6" w16cid:durableId="2247D4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FD" w:rsidRDefault="001D2EFD">
      <w:pPr>
        <w:spacing w:after="0" w:line="240" w:lineRule="auto"/>
      </w:pPr>
      <w:r>
        <w:separator/>
      </w:r>
    </w:p>
  </w:endnote>
  <w:endnote w:type="continuationSeparator" w:id="0">
    <w:p w:rsidR="001D2EFD" w:rsidRDefault="001D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48" w:rsidRDefault="00160C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48" w:rsidRDefault="00160C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48" w:rsidRDefault="00160C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FD" w:rsidRDefault="001D2EFD">
      <w:pPr>
        <w:spacing w:after="0" w:line="240" w:lineRule="auto"/>
      </w:pPr>
      <w:r>
        <w:separator/>
      </w:r>
    </w:p>
  </w:footnote>
  <w:footnote w:type="continuationSeparator" w:id="0">
    <w:p w:rsidR="001D2EFD" w:rsidRDefault="001D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48" w:rsidRDefault="00160C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86" w:rsidRPr="005F6D87" w:rsidRDefault="00810786" w:rsidP="00F8519A">
    <w:pPr>
      <w:pStyle w:val="Intestazione"/>
      <w:jc w:val="center"/>
      <w:rPr>
        <w:b/>
        <w:color w:val="FF0000"/>
        <w:sz w:val="40"/>
        <w:szCs w:val="4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7AED2" wp14:editId="43DA8EB9">
              <wp:simplePos x="0" y="0"/>
              <wp:positionH relativeFrom="page">
                <wp:posOffset>10415641</wp:posOffset>
              </wp:positionH>
              <wp:positionV relativeFrom="page">
                <wp:posOffset>-29617</wp:posOffset>
              </wp:positionV>
              <wp:extent cx="179705" cy="10691495"/>
              <wp:effectExtent l="0" t="0" r="10795" b="146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691495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118F5" id="Rectangle 3" o:spid="_x0000_s1026" style="position:absolute;margin-left:820.15pt;margin-top:-2.35pt;width:14.15pt;height:8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" fillcolor="#00457d" strokecolor="#00457d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48" w:rsidRDefault="00160C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0601A"/>
    <w:multiLevelType w:val="hybridMultilevel"/>
    <w:tmpl w:val="02D031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7526D"/>
    <w:multiLevelType w:val="hybridMultilevel"/>
    <w:tmpl w:val="CAE2FA7C"/>
    <w:lvl w:ilvl="0" w:tplc="46989DCA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391319"/>
    <w:multiLevelType w:val="hybridMultilevel"/>
    <w:tmpl w:val="AF723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705FD5"/>
    <w:multiLevelType w:val="hybridMultilevel"/>
    <w:tmpl w:val="95DEE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25F3161"/>
    <w:multiLevelType w:val="hybridMultilevel"/>
    <w:tmpl w:val="3A32F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E747E"/>
    <w:multiLevelType w:val="hybridMultilevel"/>
    <w:tmpl w:val="CDCC9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5"/>
  </w:num>
  <w:num w:numId="5">
    <w:abstractNumId w:val="17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0"/>
  </w:num>
  <w:num w:numId="15">
    <w:abstractNumId w:val="19"/>
  </w:num>
  <w:num w:numId="16">
    <w:abstractNumId w:val="6"/>
  </w:num>
  <w:num w:numId="17">
    <w:abstractNumId w:val="13"/>
  </w:num>
  <w:num w:numId="18">
    <w:abstractNumId w:val="16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C62"/>
    <w:rsid w:val="000038B3"/>
    <w:rsid w:val="00007E2D"/>
    <w:rsid w:val="000177CD"/>
    <w:rsid w:val="000179EC"/>
    <w:rsid w:val="000200E1"/>
    <w:rsid w:val="0003229A"/>
    <w:rsid w:val="000458F7"/>
    <w:rsid w:val="000548AC"/>
    <w:rsid w:val="00061564"/>
    <w:rsid w:val="000618E4"/>
    <w:rsid w:val="000648AF"/>
    <w:rsid w:val="00071F3F"/>
    <w:rsid w:val="000720D7"/>
    <w:rsid w:val="00087B65"/>
    <w:rsid w:val="00090BE2"/>
    <w:rsid w:val="00091C99"/>
    <w:rsid w:val="000943CF"/>
    <w:rsid w:val="0009633C"/>
    <w:rsid w:val="000A7474"/>
    <w:rsid w:val="000B0330"/>
    <w:rsid w:val="000B53D9"/>
    <w:rsid w:val="000B6E50"/>
    <w:rsid w:val="000C0C22"/>
    <w:rsid w:val="000C22C6"/>
    <w:rsid w:val="000D1769"/>
    <w:rsid w:val="000E2B65"/>
    <w:rsid w:val="000E5AD3"/>
    <w:rsid w:val="000F23C9"/>
    <w:rsid w:val="000F2E5C"/>
    <w:rsid w:val="000F41B1"/>
    <w:rsid w:val="000F4E69"/>
    <w:rsid w:val="000F655E"/>
    <w:rsid w:val="00104BCE"/>
    <w:rsid w:val="001059AD"/>
    <w:rsid w:val="00124E32"/>
    <w:rsid w:val="00126676"/>
    <w:rsid w:val="001320B9"/>
    <w:rsid w:val="00156186"/>
    <w:rsid w:val="00160C48"/>
    <w:rsid w:val="00183566"/>
    <w:rsid w:val="0018358D"/>
    <w:rsid w:val="00192B69"/>
    <w:rsid w:val="001A0964"/>
    <w:rsid w:val="001C07D8"/>
    <w:rsid w:val="001D1D83"/>
    <w:rsid w:val="001D2EFD"/>
    <w:rsid w:val="001D59FE"/>
    <w:rsid w:val="001D7BC3"/>
    <w:rsid w:val="001E06CF"/>
    <w:rsid w:val="001F69E0"/>
    <w:rsid w:val="00202760"/>
    <w:rsid w:val="00210F6C"/>
    <w:rsid w:val="00213097"/>
    <w:rsid w:val="002149D9"/>
    <w:rsid w:val="00223CBF"/>
    <w:rsid w:val="002419BE"/>
    <w:rsid w:val="002442BE"/>
    <w:rsid w:val="00250140"/>
    <w:rsid w:val="0025387F"/>
    <w:rsid w:val="002562D7"/>
    <w:rsid w:val="0025799B"/>
    <w:rsid w:val="00260A99"/>
    <w:rsid w:val="002666F4"/>
    <w:rsid w:val="002837E8"/>
    <w:rsid w:val="002941DB"/>
    <w:rsid w:val="002A59D9"/>
    <w:rsid w:val="002A5FA2"/>
    <w:rsid w:val="002B0E1C"/>
    <w:rsid w:val="002C76BA"/>
    <w:rsid w:val="002D5800"/>
    <w:rsid w:val="002D63E0"/>
    <w:rsid w:val="002D76E0"/>
    <w:rsid w:val="002E182B"/>
    <w:rsid w:val="00306D88"/>
    <w:rsid w:val="003158E1"/>
    <w:rsid w:val="00317538"/>
    <w:rsid w:val="00327AF6"/>
    <w:rsid w:val="00331FCC"/>
    <w:rsid w:val="003430EA"/>
    <w:rsid w:val="00343D23"/>
    <w:rsid w:val="00365F40"/>
    <w:rsid w:val="00375555"/>
    <w:rsid w:val="00376B13"/>
    <w:rsid w:val="00384F8E"/>
    <w:rsid w:val="003A6639"/>
    <w:rsid w:val="003B0406"/>
    <w:rsid w:val="003B4B8E"/>
    <w:rsid w:val="003B7ED5"/>
    <w:rsid w:val="003C6EB4"/>
    <w:rsid w:val="003D1749"/>
    <w:rsid w:val="003E318E"/>
    <w:rsid w:val="003F414B"/>
    <w:rsid w:val="003F5F94"/>
    <w:rsid w:val="003F66ED"/>
    <w:rsid w:val="00410301"/>
    <w:rsid w:val="0041302D"/>
    <w:rsid w:val="004173E1"/>
    <w:rsid w:val="00417C1C"/>
    <w:rsid w:val="00420CC8"/>
    <w:rsid w:val="004214E3"/>
    <w:rsid w:val="00423ED3"/>
    <w:rsid w:val="00425C3A"/>
    <w:rsid w:val="00435198"/>
    <w:rsid w:val="004421F3"/>
    <w:rsid w:val="00452A29"/>
    <w:rsid w:val="00456FB9"/>
    <w:rsid w:val="004632F5"/>
    <w:rsid w:val="00467C46"/>
    <w:rsid w:val="0047278C"/>
    <w:rsid w:val="00476F10"/>
    <w:rsid w:val="00480A85"/>
    <w:rsid w:val="00480D72"/>
    <w:rsid w:val="00487FF1"/>
    <w:rsid w:val="00490381"/>
    <w:rsid w:val="00490728"/>
    <w:rsid w:val="004B1845"/>
    <w:rsid w:val="004C5456"/>
    <w:rsid w:val="004D0D9D"/>
    <w:rsid w:val="004E7D1A"/>
    <w:rsid w:val="004F173B"/>
    <w:rsid w:val="004F2759"/>
    <w:rsid w:val="004F61AA"/>
    <w:rsid w:val="004F69A0"/>
    <w:rsid w:val="00503976"/>
    <w:rsid w:val="00510BB8"/>
    <w:rsid w:val="00523087"/>
    <w:rsid w:val="0052545F"/>
    <w:rsid w:val="00525538"/>
    <w:rsid w:val="00546091"/>
    <w:rsid w:val="00547577"/>
    <w:rsid w:val="0055176F"/>
    <w:rsid w:val="005531F6"/>
    <w:rsid w:val="00565896"/>
    <w:rsid w:val="00572631"/>
    <w:rsid w:val="0057683A"/>
    <w:rsid w:val="00582B47"/>
    <w:rsid w:val="005879F9"/>
    <w:rsid w:val="00596FA8"/>
    <w:rsid w:val="005A6F89"/>
    <w:rsid w:val="005B1EBE"/>
    <w:rsid w:val="005D08B3"/>
    <w:rsid w:val="005E3CCE"/>
    <w:rsid w:val="005E6366"/>
    <w:rsid w:val="005F6212"/>
    <w:rsid w:val="005F7A93"/>
    <w:rsid w:val="0060068A"/>
    <w:rsid w:val="0060147D"/>
    <w:rsid w:val="0060663D"/>
    <w:rsid w:val="0062113D"/>
    <w:rsid w:val="0062538D"/>
    <w:rsid w:val="006344FF"/>
    <w:rsid w:val="00636004"/>
    <w:rsid w:val="006477D2"/>
    <w:rsid w:val="00652B1A"/>
    <w:rsid w:val="00653022"/>
    <w:rsid w:val="006532E3"/>
    <w:rsid w:val="00656B65"/>
    <w:rsid w:val="00661B15"/>
    <w:rsid w:val="006804AF"/>
    <w:rsid w:val="006A3B33"/>
    <w:rsid w:val="006B6E88"/>
    <w:rsid w:val="006C458D"/>
    <w:rsid w:val="006D127C"/>
    <w:rsid w:val="006F6445"/>
    <w:rsid w:val="006F7297"/>
    <w:rsid w:val="00706AE0"/>
    <w:rsid w:val="00711A1B"/>
    <w:rsid w:val="00716D6F"/>
    <w:rsid w:val="00716E9B"/>
    <w:rsid w:val="00732E2F"/>
    <w:rsid w:val="007476C5"/>
    <w:rsid w:val="007606A9"/>
    <w:rsid w:val="0076281B"/>
    <w:rsid w:val="007762D0"/>
    <w:rsid w:val="00780B6B"/>
    <w:rsid w:val="00780CCA"/>
    <w:rsid w:val="007824DB"/>
    <w:rsid w:val="007836E4"/>
    <w:rsid w:val="00787430"/>
    <w:rsid w:val="00797683"/>
    <w:rsid w:val="007A5918"/>
    <w:rsid w:val="007A5CE7"/>
    <w:rsid w:val="007A70DF"/>
    <w:rsid w:val="007B16AC"/>
    <w:rsid w:val="007B6D42"/>
    <w:rsid w:val="007C0BED"/>
    <w:rsid w:val="007C3065"/>
    <w:rsid w:val="007C7CA4"/>
    <w:rsid w:val="007D7805"/>
    <w:rsid w:val="007E0214"/>
    <w:rsid w:val="007E2BA6"/>
    <w:rsid w:val="007E2C64"/>
    <w:rsid w:val="007E56E8"/>
    <w:rsid w:val="007E6483"/>
    <w:rsid w:val="00805F05"/>
    <w:rsid w:val="00807B71"/>
    <w:rsid w:val="00810786"/>
    <w:rsid w:val="00813DA2"/>
    <w:rsid w:val="008149C5"/>
    <w:rsid w:val="00815132"/>
    <w:rsid w:val="008202A1"/>
    <w:rsid w:val="00822D33"/>
    <w:rsid w:val="008269FA"/>
    <w:rsid w:val="00832D04"/>
    <w:rsid w:val="00837010"/>
    <w:rsid w:val="008376AC"/>
    <w:rsid w:val="0084133F"/>
    <w:rsid w:val="00855916"/>
    <w:rsid w:val="00873715"/>
    <w:rsid w:val="00882A5C"/>
    <w:rsid w:val="00886B2E"/>
    <w:rsid w:val="00891E62"/>
    <w:rsid w:val="00893E02"/>
    <w:rsid w:val="008A4A25"/>
    <w:rsid w:val="008A55F7"/>
    <w:rsid w:val="008A6587"/>
    <w:rsid w:val="008A7D9C"/>
    <w:rsid w:val="008B321A"/>
    <w:rsid w:val="008C481B"/>
    <w:rsid w:val="008D2AAD"/>
    <w:rsid w:val="008E35DE"/>
    <w:rsid w:val="008E5187"/>
    <w:rsid w:val="008E6971"/>
    <w:rsid w:val="008F4115"/>
    <w:rsid w:val="00900D84"/>
    <w:rsid w:val="009016F2"/>
    <w:rsid w:val="00901A6B"/>
    <w:rsid w:val="0090383F"/>
    <w:rsid w:val="00911D2E"/>
    <w:rsid w:val="00913C78"/>
    <w:rsid w:val="00921D60"/>
    <w:rsid w:val="00924E31"/>
    <w:rsid w:val="0093426F"/>
    <w:rsid w:val="00936453"/>
    <w:rsid w:val="00941121"/>
    <w:rsid w:val="009435DE"/>
    <w:rsid w:val="00943DE0"/>
    <w:rsid w:val="00945E9B"/>
    <w:rsid w:val="00946221"/>
    <w:rsid w:val="009475F0"/>
    <w:rsid w:val="0095095E"/>
    <w:rsid w:val="00954287"/>
    <w:rsid w:val="00955E2A"/>
    <w:rsid w:val="009727D6"/>
    <w:rsid w:val="00975612"/>
    <w:rsid w:val="00977664"/>
    <w:rsid w:val="00984DF6"/>
    <w:rsid w:val="009956AF"/>
    <w:rsid w:val="009B0507"/>
    <w:rsid w:val="009B7B66"/>
    <w:rsid w:val="009C0EBF"/>
    <w:rsid w:val="009D1A04"/>
    <w:rsid w:val="009D5834"/>
    <w:rsid w:val="009E0E19"/>
    <w:rsid w:val="009F2B01"/>
    <w:rsid w:val="00A10912"/>
    <w:rsid w:val="00A12F39"/>
    <w:rsid w:val="00A148E1"/>
    <w:rsid w:val="00A208E0"/>
    <w:rsid w:val="00A24080"/>
    <w:rsid w:val="00A26440"/>
    <w:rsid w:val="00A4525F"/>
    <w:rsid w:val="00A45A8E"/>
    <w:rsid w:val="00A551A6"/>
    <w:rsid w:val="00A55E2A"/>
    <w:rsid w:val="00A60230"/>
    <w:rsid w:val="00A651A2"/>
    <w:rsid w:val="00A6607A"/>
    <w:rsid w:val="00A67218"/>
    <w:rsid w:val="00A67B4E"/>
    <w:rsid w:val="00A8160A"/>
    <w:rsid w:val="00A833AA"/>
    <w:rsid w:val="00A9007E"/>
    <w:rsid w:val="00A9203F"/>
    <w:rsid w:val="00AB152D"/>
    <w:rsid w:val="00AB7A6D"/>
    <w:rsid w:val="00AC2A51"/>
    <w:rsid w:val="00AC67F4"/>
    <w:rsid w:val="00AD510C"/>
    <w:rsid w:val="00AE3EA3"/>
    <w:rsid w:val="00AF55DD"/>
    <w:rsid w:val="00AF71E2"/>
    <w:rsid w:val="00B04792"/>
    <w:rsid w:val="00B23F66"/>
    <w:rsid w:val="00B278D9"/>
    <w:rsid w:val="00B27A9C"/>
    <w:rsid w:val="00B3670B"/>
    <w:rsid w:val="00B443D8"/>
    <w:rsid w:val="00B552B6"/>
    <w:rsid w:val="00B639F9"/>
    <w:rsid w:val="00B661A5"/>
    <w:rsid w:val="00B73CBB"/>
    <w:rsid w:val="00B85706"/>
    <w:rsid w:val="00B8711E"/>
    <w:rsid w:val="00B92C45"/>
    <w:rsid w:val="00BA095D"/>
    <w:rsid w:val="00BA3DDE"/>
    <w:rsid w:val="00BC1400"/>
    <w:rsid w:val="00BC29E2"/>
    <w:rsid w:val="00BD2441"/>
    <w:rsid w:val="00BD689A"/>
    <w:rsid w:val="00BE03DF"/>
    <w:rsid w:val="00BE2807"/>
    <w:rsid w:val="00BF22E3"/>
    <w:rsid w:val="00BF656A"/>
    <w:rsid w:val="00C078E5"/>
    <w:rsid w:val="00C1065A"/>
    <w:rsid w:val="00C12018"/>
    <w:rsid w:val="00C249E7"/>
    <w:rsid w:val="00C24BC8"/>
    <w:rsid w:val="00C276DD"/>
    <w:rsid w:val="00C4147F"/>
    <w:rsid w:val="00C44FA0"/>
    <w:rsid w:val="00C6226B"/>
    <w:rsid w:val="00C7252C"/>
    <w:rsid w:val="00C75B44"/>
    <w:rsid w:val="00C801DD"/>
    <w:rsid w:val="00C97145"/>
    <w:rsid w:val="00CA71BA"/>
    <w:rsid w:val="00CC01C7"/>
    <w:rsid w:val="00CC6930"/>
    <w:rsid w:val="00CD234B"/>
    <w:rsid w:val="00CD5CAF"/>
    <w:rsid w:val="00CD625C"/>
    <w:rsid w:val="00CE10AB"/>
    <w:rsid w:val="00CE6335"/>
    <w:rsid w:val="00D10DBB"/>
    <w:rsid w:val="00D15123"/>
    <w:rsid w:val="00D152EE"/>
    <w:rsid w:val="00D17AA3"/>
    <w:rsid w:val="00D218D6"/>
    <w:rsid w:val="00D227C8"/>
    <w:rsid w:val="00D27C5B"/>
    <w:rsid w:val="00D31C5A"/>
    <w:rsid w:val="00D332DE"/>
    <w:rsid w:val="00D350D5"/>
    <w:rsid w:val="00D40BC4"/>
    <w:rsid w:val="00D40DE5"/>
    <w:rsid w:val="00D648FE"/>
    <w:rsid w:val="00D67259"/>
    <w:rsid w:val="00D7556D"/>
    <w:rsid w:val="00D75B91"/>
    <w:rsid w:val="00D80343"/>
    <w:rsid w:val="00D80FE1"/>
    <w:rsid w:val="00D914F7"/>
    <w:rsid w:val="00D94FEE"/>
    <w:rsid w:val="00D96620"/>
    <w:rsid w:val="00DA45E1"/>
    <w:rsid w:val="00DC7BD0"/>
    <w:rsid w:val="00DD0598"/>
    <w:rsid w:val="00DD24D5"/>
    <w:rsid w:val="00DE3A69"/>
    <w:rsid w:val="00DF2332"/>
    <w:rsid w:val="00DF7EF2"/>
    <w:rsid w:val="00E0214D"/>
    <w:rsid w:val="00E02ACD"/>
    <w:rsid w:val="00E04696"/>
    <w:rsid w:val="00E11D59"/>
    <w:rsid w:val="00E23B0B"/>
    <w:rsid w:val="00E23DCC"/>
    <w:rsid w:val="00E243CC"/>
    <w:rsid w:val="00E244E2"/>
    <w:rsid w:val="00E34B7A"/>
    <w:rsid w:val="00E37F8D"/>
    <w:rsid w:val="00E45DC4"/>
    <w:rsid w:val="00E46C79"/>
    <w:rsid w:val="00E474D3"/>
    <w:rsid w:val="00E51A21"/>
    <w:rsid w:val="00E53E33"/>
    <w:rsid w:val="00E712C5"/>
    <w:rsid w:val="00E74431"/>
    <w:rsid w:val="00E90B6F"/>
    <w:rsid w:val="00E92D33"/>
    <w:rsid w:val="00EA2F90"/>
    <w:rsid w:val="00EC3885"/>
    <w:rsid w:val="00EC7463"/>
    <w:rsid w:val="00ED32C5"/>
    <w:rsid w:val="00ED6961"/>
    <w:rsid w:val="00EE2B8E"/>
    <w:rsid w:val="00EE4E87"/>
    <w:rsid w:val="00EF50D7"/>
    <w:rsid w:val="00F072AF"/>
    <w:rsid w:val="00F173E2"/>
    <w:rsid w:val="00F22252"/>
    <w:rsid w:val="00F25F97"/>
    <w:rsid w:val="00F518F6"/>
    <w:rsid w:val="00F53D98"/>
    <w:rsid w:val="00F54394"/>
    <w:rsid w:val="00F54718"/>
    <w:rsid w:val="00F66FD8"/>
    <w:rsid w:val="00F769EE"/>
    <w:rsid w:val="00F77492"/>
    <w:rsid w:val="00F821E9"/>
    <w:rsid w:val="00F84B69"/>
    <w:rsid w:val="00F8519A"/>
    <w:rsid w:val="00F90BF9"/>
    <w:rsid w:val="00F90E89"/>
    <w:rsid w:val="00F942E0"/>
    <w:rsid w:val="00FB3E94"/>
    <w:rsid w:val="00FC5603"/>
    <w:rsid w:val="00FC7925"/>
    <w:rsid w:val="00FD2C21"/>
    <w:rsid w:val="00FE25D1"/>
    <w:rsid w:val="00FE3A84"/>
    <w:rsid w:val="00FE6830"/>
    <w:rsid w:val="00FF02D1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16EB2-74D0-4991-A3C6-F1534DC2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download/CS_GIMBE_COVID-19_mappa_rischio_regioni_figur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ronavirus.gimb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mbe.org/download/CS_GIMBE_COVID-19_mappa_rischio_regioni_figur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35C7-F9CF-4A40-B4D1-140CD72D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Cartabellotta</dc:creator>
  <cp:lastModifiedBy>Roberto Luceri</cp:lastModifiedBy>
  <cp:revision>14</cp:revision>
  <dcterms:created xsi:type="dcterms:W3CDTF">2020-04-20T06:14:00Z</dcterms:created>
  <dcterms:modified xsi:type="dcterms:W3CDTF">2020-04-30T10:06:00Z</dcterms:modified>
</cp:coreProperties>
</file>