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867AEB" w:rsidP="008340F1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DEF 2016: </w:t>
      </w:r>
      <w:r w:rsidR="0082609D">
        <w:rPr>
          <w:b/>
          <w:bCs/>
          <w:sz w:val="32"/>
          <w:szCs w:val="36"/>
        </w:rPr>
        <w:t>DA</w:t>
      </w:r>
      <w:r w:rsidR="00CE5CEA">
        <w:rPr>
          <w:b/>
          <w:bCs/>
          <w:sz w:val="32"/>
          <w:szCs w:val="36"/>
        </w:rPr>
        <w:t xml:space="preserve"> UNA PERFETTA SINTONIA TRA STATO E REGIONI </w:t>
      </w:r>
      <w:r>
        <w:rPr>
          <w:b/>
          <w:bCs/>
          <w:sz w:val="32"/>
          <w:szCs w:val="36"/>
        </w:rPr>
        <w:t>SEMPRE MENO RISORSE PER LA SANIT</w:t>
      </w:r>
      <w:r w:rsidR="001A640C">
        <w:rPr>
          <w:b/>
          <w:bCs/>
          <w:sz w:val="32"/>
          <w:szCs w:val="36"/>
        </w:rPr>
        <w:t>À</w:t>
      </w:r>
      <w:r w:rsidR="00616235">
        <w:rPr>
          <w:b/>
          <w:bCs/>
          <w:sz w:val="32"/>
          <w:szCs w:val="36"/>
        </w:rPr>
        <w:t xml:space="preserve"> PUBBLICA</w:t>
      </w:r>
    </w:p>
    <w:p w:rsidR="00AD436F" w:rsidRPr="008340F1" w:rsidRDefault="00FD1399" w:rsidP="008340F1">
      <w:pPr>
        <w:jc w:val="both"/>
        <w:rPr>
          <w:b/>
          <w:bCs/>
          <w:sz w:val="32"/>
          <w:szCs w:val="36"/>
        </w:rPr>
      </w:pPr>
      <w:r>
        <w:rPr>
          <w:b/>
        </w:rPr>
        <w:t xml:space="preserve">IL DOCUMENTO DI ECONOMIA E FINANZA 2016 CONFERMA IL TREND SUL </w:t>
      </w:r>
      <w:r w:rsidR="00CE6911">
        <w:rPr>
          <w:b/>
        </w:rPr>
        <w:t xml:space="preserve">PROGRESSIVO </w:t>
      </w:r>
      <w:r>
        <w:rPr>
          <w:b/>
        </w:rPr>
        <w:t xml:space="preserve">DEFINANZIAMENTO </w:t>
      </w:r>
      <w:r w:rsidR="00A7213D">
        <w:rPr>
          <w:b/>
        </w:rPr>
        <w:t xml:space="preserve">DEL SERVIZIO SANITARIO NAZIONALE </w:t>
      </w:r>
      <w:r w:rsidR="00A71FF1">
        <w:rPr>
          <w:b/>
        </w:rPr>
        <w:t>CHE</w:t>
      </w:r>
      <w:r>
        <w:rPr>
          <w:b/>
        </w:rPr>
        <w:t xml:space="preserve"> </w:t>
      </w:r>
      <w:r w:rsidR="00A71FF1">
        <w:rPr>
          <w:b/>
        </w:rPr>
        <w:t xml:space="preserve">NEL </w:t>
      </w:r>
      <w:r w:rsidR="00A71FF1" w:rsidRPr="00452A5B">
        <w:rPr>
          <w:b/>
        </w:rPr>
        <w:t xml:space="preserve">2019 </w:t>
      </w:r>
      <w:r w:rsidR="00CE5CEA" w:rsidRPr="002E3609">
        <w:rPr>
          <w:b/>
        </w:rPr>
        <w:t>SCENDERÀ</w:t>
      </w:r>
      <w:r w:rsidR="00A71FF1" w:rsidRPr="002E3609">
        <w:rPr>
          <w:b/>
        </w:rPr>
        <w:t xml:space="preserve"> </w:t>
      </w:r>
      <w:r w:rsidR="00A71FF1">
        <w:rPr>
          <w:b/>
        </w:rPr>
        <w:t xml:space="preserve">AL </w:t>
      </w:r>
      <w:r>
        <w:rPr>
          <w:b/>
        </w:rPr>
        <w:t xml:space="preserve">6.5% </w:t>
      </w:r>
      <w:r w:rsidR="00A71FF1">
        <w:rPr>
          <w:b/>
        </w:rPr>
        <w:t xml:space="preserve">DEL </w:t>
      </w:r>
      <w:r>
        <w:rPr>
          <w:b/>
        </w:rPr>
        <w:t>PIL</w:t>
      </w:r>
      <w:r w:rsidR="00CE5CEA">
        <w:rPr>
          <w:b/>
        </w:rPr>
        <w:t>,</w:t>
      </w:r>
      <w:r>
        <w:rPr>
          <w:b/>
        </w:rPr>
        <w:t xml:space="preserve"> </w:t>
      </w:r>
      <w:r w:rsidR="00A71FF1">
        <w:rPr>
          <w:b/>
        </w:rPr>
        <w:t xml:space="preserve">COLLOCANDO </w:t>
      </w:r>
      <w:r>
        <w:rPr>
          <w:b/>
        </w:rPr>
        <w:t>L’ITALIA IN FONDO AI PAESI OCSE CON IL RISCHIO CONCRETO DI RIDURRE L’ASPETTATIVA DI VITA</w:t>
      </w:r>
      <w:r w:rsidR="00CE5CEA">
        <w:rPr>
          <w:b/>
        </w:rPr>
        <w:t xml:space="preserve"> DEI CITTADINI</w:t>
      </w:r>
      <w:r w:rsidR="00A71FF1">
        <w:rPr>
          <w:b/>
        </w:rPr>
        <w:t>.</w:t>
      </w:r>
      <w:r w:rsidR="00B242B8">
        <w:rPr>
          <w:b/>
        </w:rPr>
        <w:t xml:space="preserve"> STATO E REGIONI </w:t>
      </w:r>
      <w:r w:rsidR="00CE5CEA">
        <w:rPr>
          <w:b/>
        </w:rPr>
        <w:t>PER UNA VOLTA A BRACCETTO</w:t>
      </w:r>
      <w:r w:rsidR="0001439D">
        <w:rPr>
          <w:b/>
        </w:rPr>
        <w:t xml:space="preserve"> </w:t>
      </w:r>
      <w:r w:rsidR="007A6D9A">
        <w:rPr>
          <w:b/>
        </w:rPr>
        <w:t xml:space="preserve">CON </w:t>
      </w:r>
      <w:r w:rsidR="0001439D">
        <w:rPr>
          <w:b/>
        </w:rPr>
        <w:t xml:space="preserve">UN’INTESA </w:t>
      </w:r>
      <w:r w:rsidR="007A6D9A">
        <w:rPr>
          <w:b/>
        </w:rPr>
        <w:t>“</w:t>
      </w:r>
      <w:r w:rsidR="0001439D">
        <w:rPr>
          <w:b/>
        </w:rPr>
        <w:t>CARBONARA</w:t>
      </w:r>
      <w:r w:rsidR="007A6D9A">
        <w:rPr>
          <w:b/>
        </w:rPr>
        <w:t>”</w:t>
      </w:r>
      <w:r w:rsidR="0001439D">
        <w:rPr>
          <w:b/>
        </w:rPr>
        <w:t xml:space="preserve"> </w:t>
      </w:r>
      <w:r w:rsidR="00BF5DF9">
        <w:rPr>
          <w:b/>
        </w:rPr>
        <w:t xml:space="preserve">CHE ASSESTA IL COLPO DI GRAZIA </w:t>
      </w:r>
      <w:r w:rsidR="0001439D">
        <w:rPr>
          <w:b/>
        </w:rPr>
        <w:t xml:space="preserve">AL </w:t>
      </w:r>
      <w:r w:rsidR="00BF5DF9">
        <w:rPr>
          <w:b/>
        </w:rPr>
        <w:t>SSN</w:t>
      </w:r>
      <w:r w:rsidR="00265B05">
        <w:rPr>
          <w:b/>
        </w:rPr>
        <w:t>.</w:t>
      </w:r>
    </w:p>
    <w:p w:rsidR="005B4F61" w:rsidRDefault="00867AE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aprile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A71D3F" w:rsidRDefault="00CE6911" w:rsidP="00391AD2">
      <w:r>
        <w:t>Secondo le previsioni del DEF</w:t>
      </w:r>
      <w:r w:rsidR="00CE5CEA">
        <w:t>,</w:t>
      </w:r>
      <w:r>
        <w:t xml:space="preserve"> n</w:t>
      </w:r>
      <w:r w:rsidRPr="00CE6911">
        <w:t>el triennio 2017-2019 il PIL</w:t>
      </w:r>
      <w:r>
        <w:t xml:space="preserve"> crescerà</w:t>
      </w:r>
      <w:r w:rsidRPr="00CE6911">
        <w:t xml:space="preserve"> in media del 2,8</w:t>
      </w:r>
      <w:r>
        <w:t xml:space="preserve">% per anno, mentre </w:t>
      </w:r>
      <w:r w:rsidRPr="00CE6911">
        <w:t>la spesa sanitaria</w:t>
      </w:r>
      <w:r>
        <w:t xml:space="preserve"> </w:t>
      </w:r>
      <w:r w:rsidR="00CE5CEA">
        <w:t xml:space="preserve">aumenterà annualmente </w:t>
      </w:r>
      <w:r>
        <w:t>a</w:t>
      </w:r>
      <w:r w:rsidRPr="00CE6911">
        <w:t xml:space="preserve"> un tasso medio dell’1,5</w:t>
      </w:r>
      <w:r>
        <w:t>%</w:t>
      </w:r>
      <w:r w:rsidR="00A71FF1">
        <w:t xml:space="preserve">: in </w:t>
      </w:r>
      <w:r>
        <w:t xml:space="preserve">dettaglio, </w:t>
      </w:r>
      <w:r w:rsidR="001A6181">
        <w:t xml:space="preserve">dai </w:t>
      </w:r>
      <w:r w:rsidRPr="00CE6911">
        <w:t>113,3</w:t>
      </w:r>
      <w:r>
        <w:t xml:space="preserve"> m</w:t>
      </w:r>
      <w:r w:rsidRPr="00CE6911">
        <w:t>iliardi</w:t>
      </w:r>
      <w:r w:rsidR="001A6181">
        <w:t xml:space="preserve"> stimati per il 2016</w:t>
      </w:r>
      <w:r w:rsidRPr="00CE6911">
        <w:t xml:space="preserve">, </w:t>
      </w:r>
      <w:r w:rsidR="001A6181">
        <w:t xml:space="preserve">la spesa sanitaria dovrebbe </w:t>
      </w:r>
      <w:r w:rsidR="0036304D">
        <w:t>arrivare a</w:t>
      </w:r>
      <w:r w:rsidR="001A6181">
        <w:t xml:space="preserve"> </w:t>
      </w:r>
      <w:r>
        <w:t>114,7 miliardi</w:t>
      </w:r>
      <w:r w:rsidR="001A6181">
        <w:t xml:space="preserve"> nel 2017</w:t>
      </w:r>
      <w:r>
        <w:t xml:space="preserve">, </w:t>
      </w:r>
      <w:r w:rsidR="0036304D">
        <w:t xml:space="preserve">a </w:t>
      </w:r>
      <w:r w:rsidRPr="00CE6911">
        <w:t xml:space="preserve">116,1 </w:t>
      </w:r>
      <w:r w:rsidR="001A6181">
        <w:t xml:space="preserve">nel 2018 </w:t>
      </w:r>
      <w:r w:rsidRPr="00CE6911">
        <w:t xml:space="preserve">e </w:t>
      </w:r>
      <w:r w:rsidR="0036304D">
        <w:t>118,</w:t>
      </w:r>
      <w:r w:rsidRPr="00CE6911">
        <w:t>5</w:t>
      </w:r>
      <w:r w:rsidR="001A6181">
        <w:t xml:space="preserve"> </w:t>
      </w:r>
      <w:r w:rsidR="001A6181" w:rsidRPr="00CE6911">
        <w:t>nel 2019</w:t>
      </w:r>
      <w:r w:rsidRPr="00CE6911">
        <w:t xml:space="preserve">. </w:t>
      </w:r>
    </w:p>
    <w:p w:rsidR="00550C9C" w:rsidRDefault="00550C9C" w:rsidP="00391AD2">
      <w:r>
        <w:t>«</w:t>
      </w:r>
      <w:r w:rsidR="00A71D3F">
        <w:t>Le previsioni del</w:t>
      </w:r>
      <w:r w:rsidR="00CE6911">
        <w:t xml:space="preserve"> DEF – spiega Nino Cartabellotta, Presidente della Fondazione GIMBE –</w:t>
      </w:r>
      <w:r w:rsidR="00616235">
        <w:t xml:space="preserve"> </w:t>
      </w:r>
      <w:r w:rsidR="00A71D3F">
        <w:t>sono un</w:t>
      </w:r>
      <w:r w:rsidR="00CE6911">
        <w:t>o specchietto per le allodole</w:t>
      </w:r>
      <w:r w:rsidR="00A66062">
        <w:t>,</w:t>
      </w:r>
      <w:r w:rsidR="00EB2C5F">
        <w:t xml:space="preserve"> perché negli ultimi anni la sanità ha ricevuto sempre meno di quanto </w:t>
      </w:r>
      <w:r w:rsidR="00A66062">
        <w:t>previsto</w:t>
      </w:r>
      <w:r w:rsidR="00EB2C5F">
        <w:t xml:space="preserve"> dal </w:t>
      </w:r>
      <w:r w:rsidR="00CE5CEA">
        <w:t>documento programmatico del Tesoro</w:t>
      </w:r>
      <w:r w:rsidR="00EB2C5F">
        <w:t xml:space="preserve">. L’esempio del 2016 è paradigmatico: </w:t>
      </w:r>
      <w:r w:rsidR="00C10CA2">
        <w:t>dai 117,6 m</w:t>
      </w:r>
      <w:r w:rsidR="0036304D">
        <w:t>iliardi</w:t>
      </w:r>
      <w:r w:rsidR="00C10CA2">
        <w:t xml:space="preserve"> stimati dal DEF 2013, siamo scesi a 116,1 con il DEF 2014 e a 113,4</w:t>
      </w:r>
      <w:r w:rsidR="00616235">
        <w:t xml:space="preserve"> con il DEF 2015</w:t>
      </w:r>
      <w:r w:rsidR="00CE5CEA">
        <w:t>,</w:t>
      </w:r>
      <w:r w:rsidR="00616235">
        <w:t xml:space="preserve"> per arrivare a un</w:t>
      </w:r>
      <w:r w:rsidR="00C10CA2">
        <w:t xml:space="preserve"> finanziamento reale di 111 m</w:t>
      </w:r>
      <w:r w:rsidR="00573388">
        <w:t>iliardi</w:t>
      </w:r>
      <w:r w:rsidR="00C10CA2">
        <w:t>, comprensivi di 800 milioni da destinare ai nuovi LEA</w:t>
      </w:r>
      <w:r>
        <w:t>».</w:t>
      </w:r>
    </w:p>
    <w:p w:rsidR="00EB2C5F" w:rsidRDefault="00EB2C5F" w:rsidP="0067402D">
      <w:r>
        <w:t xml:space="preserve">«Se </w:t>
      </w:r>
      <w:r w:rsidR="00452A5B">
        <w:t xml:space="preserve">le </w:t>
      </w:r>
      <w:r w:rsidR="002E3609">
        <w:t xml:space="preserve">stime </w:t>
      </w:r>
      <w:r w:rsidR="00452A5B">
        <w:t xml:space="preserve">del DEF </w:t>
      </w:r>
      <w:r w:rsidR="00586657">
        <w:t xml:space="preserve"> </w:t>
      </w:r>
      <w:r w:rsidR="00452A5B">
        <w:t xml:space="preserve">su aumento del PIL e spesa sanitaria sono corrette </w:t>
      </w:r>
      <w:r w:rsidR="00586657">
        <w:t xml:space="preserve">– continua il Presidente – </w:t>
      </w:r>
      <w:r w:rsidR="00C10CA2">
        <w:t xml:space="preserve"> al di </w:t>
      </w:r>
      <w:r w:rsidR="00586657">
        <w:t xml:space="preserve">là </w:t>
      </w:r>
      <w:r w:rsidR="00C10CA2">
        <w:t>d</w:t>
      </w:r>
      <w:r w:rsidR="0036304D">
        <w:t xml:space="preserve">i slogan populisti </w:t>
      </w:r>
      <w:r w:rsidR="00C10CA2">
        <w:t>e</w:t>
      </w:r>
      <w:r w:rsidR="0036304D">
        <w:t xml:space="preserve"> </w:t>
      </w:r>
      <w:r w:rsidR="00C10CA2">
        <w:t xml:space="preserve">promesse </w:t>
      </w:r>
      <w:r w:rsidR="00616235">
        <w:t xml:space="preserve">vane, la chiave di lettura </w:t>
      </w:r>
      <w:r w:rsidR="00C10CA2">
        <w:t xml:space="preserve">è solo una: </w:t>
      </w:r>
      <w:r w:rsidR="00452A5B">
        <w:t>crescendo</w:t>
      </w:r>
      <w:r w:rsidR="00586657" w:rsidRPr="009650B3">
        <w:t xml:space="preserve"> meno del PIL nominale</w:t>
      </w:r>
      <w:r w:rsidR="00586657">
        <w:t>,</w:t>
      </w:r>
      <w:r w:rsidR="00586657" w:rsidRPr="009650B3">
        <w:t xml:space="preserve"> </w:t>
      </w:r>
      <w:r w:rsidR="009650B3" w:rsidRPr="009650B3">
        <w:t>la spesa sanitaria non cop</w:t>
      </w:r>
      <w:r w:rsidR="009650B3">
        <w:t xml:space="preserve">rirà </w:t>
      </w:r>
      <w:r w:rsidR="009650B3" w:rsidRPr="009650B3">
        <w:t>nemmeno l'aumento dei prezzi</w:t>
      </w:r>
      <w:r w:rsidR="009650B3">
        <w:t>. Di conseguenza</w:t>
      </w:r>
      <w:r w:rsidR="009650B3" w:rsidRPr="009650B3">
        <w:t xml:space="preserve"> </w:t>
      </w:r>
      <w:r>
        <w:t xml:space="preserve">la sanità pubblica, a parità di potere di acquisto, </w:t>
      </w:r>
      <w:r w:rsidR="00616235">
        <w:t xml:space="preserve">nel prossimo triennio disporrà </w:t>
      </w:r>
      <w:r>
        <w:t xml:space="preserve">delle stesse risorse solo se </w:t>
      </w:r>
      <w:r w:rsidR="00C10CA2">
        <w:t>la ripresa economica del P</w:t>
      </w:r>
      <w:r>
        <w:t>aese raggiungerà previsioni</w:t>
      </w:r>
      <w:r w:rsidR="00616235">
        <w:t xml:space="preserve"> più</w:t>
      </w:r>
      <w:r>
        <w:t xml:space="preserve"> che ambiziose</w:t>
      </w:r>
      <w:r w:rsidR="00C10CA2">
        <w:t xml:space="preserve">. In </w:t>
      </w:r>
      <w:r>
        <w:t xml:space="preserve">caso negativo, </w:t>
      </w:r>
      <w:r w:rsidR="00616235">
        <w:t xml:space="preserve">sul </w:t>
      </w:r>
      <w:r>
        <w:t xml:space="preserve">SSN </w:t>
      </w:r>
      <w:r w:rsidR="00452A5B">
        <w:t>non potranno che abbattersi</w:t>
      </w:r>
      <w:r w:rsidR="00616235">
        <w:t xml:space="preserve"> </w:t>
      </w:r>
      <w:r>
        <w:t>ulteriori tagli».</w:t>
      </w:r>
    </w:p>
    <w:p w:rsidR="0067402D" w:rsidRDefault="0036304D" w:rsidP="0067402D">
      <w:r>
        <w:t>Ma il dato più preoccupante è che, s</w:t>
      </w:r>
      <w:r w:rsidR="0067402D">
        <w:t>econdo le stime del DEF</w:t>
      </w:r>
      <w:r>
        <w:t>,</w:t>
      </w:r>
      <w:r w:rsidR="0067402D">
        <w:t xml:space="preserve"> n</w:t>
      </w:r>
      <w:r w:rsidR="0067402D" w:rsidRPr="00CE6911">
        <w:t>el triennio 2017-2019</w:t>
      </w:r>
      <w:r w:rsidR="0067402D">
        <w:t xml:space="preserve"> </w:t>
      </w:r>
      <w:r w:rsidR="0067402D" w:rsidRPr="0067402D">
        <w:t xml:space="preserve">il rapporto </w:t>
      </w:r>
      <w:r w:rsidR="0067402D">
        <w:t>tra</w:t>
      </w:r>
      <w:r w:rsidR="0067402D" w:rsidRPr="0067402D">
        <w:t xml:space="preserve"> spesa sanitaria e PIL decresce</w:t>
      </w:r>
      <w:r w:rsidR="0067402D">
        <w:t>rà</w:t>
      </w:r>
      <w:r w:rsidR="0067402D" w:rsidRPr="0067402D">
        <w:t xml:space="preserve"> </w:t>
      </w:r>
      <w:r w:rsidR="0067402D">
        <w:t xml:space="preserve">dello 0,1% anno, </w:t>
      </w:r>
      <w:r w:rsidR="0067402D" w:rsidRPr="0067402D">
        <w:t>attesta</w:t>
      </w:r>
      <w:r w:rsidR="0067402D">
        <w:t xml:space="preserve">ndosi </w:t>
      </w:r>
      <w:r w:rsidR="00452A5B" w:rsidRPr="0067402D">
        <w:t>al 6,5</w:t>
      </w:r>
      <w:r w:rsidR="00452A5B">
        <w:t xml:space="preserve">% </w:t>
      </w:r>
      <w:r w:rsidR="0067402D">
        <w:t>nel 2019</w:t>
      </w:r>
      <w:r w:rsidR="00452A5B">
        <w:t>.</w:t>
      </w:r>
      <w:r w:rsidR="0067402D">
        <w:t xml:space="preserve"> </w:t>
      </w:r>
    </w:p>
    <w:p w:rsidR="00CF7D0F" w:rsidRDefault="00550C9C" w:rsidP="00CF7D0F">
      <w:pPr>
        <w:rPr>
          <w:color w:val="000000" w:themeColor="text1"/>
        </w:rPr>
      </w:pPr>
      <w:r>
        <w:t>«</w:t>
      </w:r>
      <w:r w:rsidR="0067402D">
        <w:t xml:space="preserve">Il 6,5% </w:t>
      </w:r>
      <w:r w:rsidR="0076053B">
        <w:t xml:space="preserve">è una soglia </w:t>
      </w:r>
      <w:r w:rsidR="0036304D">
        <w:t>d’allarme</w:t>
      </w:r>
      <w:r w:rsidR="0067402D">
        <w:t xml:space="preserve"> </w:t>
      </w:r>
      <w:r w:rsidR="00A71D3F">
        <w:t xml:space="preserve">– </w:t>
      </w:r>
      <w:r w:rsidR="00616235">
        <w:t xml:space="preserve">precisa Cartabellotta </w:t>
      </w:r>
      <w:r w:rsidR="00A71D3F">
        <w:t xml:space="preserve"> –</w:t>
      </w:r>
      <w:r w:rsidR="00EB2C5F">
        <w:t xml:space="preserve"> </w:t>
      </w:r>
      <w:r w:rsidR="00706682">
        <w:t xml:space="preserve">che desta </w:t>
      </w:r>
      <w:r w:rsidR="0067402D">
        <w:t>enormi preoccupazioni per la salute de</w:t>
      </w:r>
      <w:r w:rsidR="00616235">
        <w:t>i cittadini</w:t>
      </w:r>
      <w:r w:rsidR="00706682">
        <w:t>, al di sotto della quale secondo le stime del</w:t>
      </w:r>
      <w:r w:rsidR="00A71D3F">
        <w:t>l’</w:t>
      </w:r>
      <w:r w:rsidR="0076053B">
        <w:t xml:space="preserve">OMS </w:t>
      </w:r>
      <w:r w:rsidR="00A71D3F">
        <w:t>si riduce l’aspettativa di vita</w:t>
      </w:r>
      <w:r w:rsidR="00706682">
        <w:t xml:space="preserve">. Finiremmo </w:t>
      </w:r>
      <w:r w:rsidR="0076053B">
        <w:t xml:space="preserve"> in fondo ai paesi OCSE</w:t>
      </w:r>
      <w:r w:rsidR="00706682">
        <w:t xml:space="preserve">, dopo essere già stati richiamati, con la </w:t>
      </w:r>
      <w:r w:rsidR="00EB2C5F">
        <w:t xml:space="preserve">revisione del SSN </w:t>
      </w:r>
      <w:r w:rsidR="00706682">
        <w:t xml:space="preserve">di </w:t>
      </w:r>
      <w:r w:rsidR="00EB2C5F">
        <w:t>gennaio 2015</w:t>
      </w:r>
      <w:r w:rsidR="00706682">
        <w:t>,</w:t>
      </w:r>
      <w:r w:rsidR="00EB2C5F">
        <w:t xml:space="preserve"> a “g</w:t>
      </w:r>
      <w:r w:rsidR="00EB2C5F" w:rsidRPr="00EB2C5F">
        <w:t>arantire che gli sforzi in atto per contenere la spesa sanitaria non vadano a intaccare la qualità dell'assistenza</w:t>
      </w:r>
      <w:r w:rsidR="00EB2C5F">
        <w:t>”</w:t>
      </w:r>
      <w:r w:rsidRPr="00B20DA5">
        <w:rPr>
          <w:color w:val="000000" w:themeColor="text1"/>
        </w:rPr>
        <w:t>».</w:t>
      </w:r>
    </w:p>
    <w:p w:rsidR="00F12BB1" w:rsidRDefault="00FD47E8" w:rsidP="00F12BB1">
      <w:r>
        <w:rPr>
          <w:color w:val="000000" w:themeColor="text1"/>
        </w:rPr>
        <w:t xml:space="preserve">Tutto questo avviene in un clima di </w:t>
      </w:r>
      <w:r w:rsidR="00EF462D">
        <w:rPr>
          <w:color w:val="000000" w:themeColor="text1"/>
        </w:rPr>
        <w:t xml:space="preserve">grande sintonia tra </w:t>
      </w:r>
      <w:r w:rsidR="00C20338">
        <w:rPr>
          <w:color w:val="000000" w:themeColor="text1"/>
        </w:rPr>
        <w:t>Stato</w:t>
      </w:r>
      <w:r w:rsidR="00EF462D">
        <w:rPr>
          <w:color w:val="000000" w:themeColor="text1"/>
        </w:rPr>
        <w:t xml:space="preserve"> e </w:t>
      </w:r>
      <w:r w:rsidR="00C20338">
        <w:rPr>
          <w:color w:val="000000" w:themeColor="text1"/>
        </w:rPr>
        <w:t>Regioni: infatti l</w:t>
      </w:r>
      <w:r w:rsidR="00CF7D0F">
        <w:rPr>
          <w:color w:val="000000" w:themeColor="text1"/>
        </w:rPr>
        <w:t xml:space="preserve">e previsioni del DEF tengono conto </w:t>
      </w:r>
      <w:r>
        <w:rPr>
          <w:color w:val="000000" w:themeColor="text1"/>
        </w:rPr>
        <w:t>dell’intesa</w:t>
      </w:r>
      <w:r w:rsidR="00906DD1">
        <w:t xml:space="preserve"> Stato-Regioni del</w:t>
      </w:r>
      <w:r w:rsidR="00573388">
        <w:t>lo</w:t>
      </w:r>
      <w:r w:rsidR="00906DD1">
        <w:t xml:space="preserve"> </w:t>
      </w:r>
      <w:r w:rsidR="00573388">
        <w:t xml:space="preserve">scorso </w:t>
      </w:r>
      <w:r w:rsidR="00906DD1">
        <w:t>11 febbraio</w:t>
      </w:r>
      <w:r>
        <w:t>,</w:t>
      </w:r>
      <w:r w:rsidR="00F12BB1">
        <w:t xml:space="preserve"> </w:t>
      </w:r>
      <w:r w:rsidR="00A364A1">
        <w:t xml:space="preserve">che ha permesso al </w:t>
      </w:r>
      <w:r w:rsidR="00F12BB1">
        <w:t xml:space="preserve">“contributo alla finanza pubblica […] nel rispetto dei livelli essenziali di assistenza” previsto dal comma 680 della Legge di Stabilità </w:t>
      </w:r>
      <w:r w:rsidR="00A364A1">
        <w:t>di trasformarsi</w:t>
      </w:r>
      <w:r w:rsidR="00F12BB1">
        <w:t xml:space="preserve"> nel DEF 2016 in “</w:t>
      </w:r>
      <w:r w:rsidR="00C20338">
        <w:t>contributo del Servizio S</w:t>
      </w:r>
      <w:r w:rsidR="00F12BB1">
        <w:t xml:space="preserve">anitario </w:t>
      </w:r>
      <w:r w:rsidR="00C20338">
        <w:t>N</w:t>
      </w:r>
      <w:r w:rsidR="00F12BB1">
        <w:t>azionale alla complessiva manovra a carico delle Regioni definita dalla Legge di Stabilità 2016”</w:t>
      </w:r>
      <w:r w:rsidR="00347CD5">
        <w:t xml:space="preserve">, </w:t>
      </w:r>
      <w:r>
        <w:t xml:space="preserve">concretizzando </w:t>
      </w:r>
      <w:r w:rsidR="008B3494">
        <w:t>anche</w:t>
      </w:r>
      <w:r>
        <w:t xml:space="preserve"> i desiderata delle</w:t>
      </w:r>
      <w:r w:rsidR="00347CD5" w:rsidRPr="00347CD5">
        <w:t xml:space="preserve"> Regioni</w:t>
      </w:r>
      <w:r>
        <w:t>.</w:t>
      </w:r>
    </w:p>
    <w:p w:rsidR="00C76D3F" w:rsidRDefault="00FD47E8" w:rsidP="00391AD2">
      <w:r>
        <w:t>In</w:t>
      </w:r>
      <w:r w:rsidR="008B3494">
        <w:t xml:space="preserve">fatti, il comma </w:t>
      </w:r>
      <w:r w:rsidR="00C76D3F">
        <w:t xml:space="preserve"> 680 della Legge di Stabilità rimandava al 31 gennaio di ogni anno la proposta delle Regioni sul contributo alla finanza pubblica, lasciando </w:t>
      </w:r>
      <w:r w:rsidR="00EC5C09">
        <w:t>ulteriori</w:t>
      </w:r>
      <w:r w:rsidR="00C76D3F">
        <w:t xml:space="preserve"> </w:t>
      </w:r>
      <w:r w:rsidR="00EC5C09">
        <w:t>margini</w:t>
      </w:r>
      <w:r w:rsidR="00C76D3F">
        <w:t xml:space="preserve"> di recupero di risorse per </w:t>
      </w:r>
      <w:r w:rsidR="00A364A1">
        <w:t>la Sanità</w:t>
      </w:r>
      <w:r w:rsidR="008B3494">
        <w:t>. L</w:t>
      </w:r>
      <w:r w:rsidR="00C76D3F">
        <w:t>’Intesa Stato-Regioni dell’11 febbraio</w:t>
      </w:r>
      <w:r w:rsidR="006B2505">
        <w:t xml:space="preserve">, </w:t>
      </w:r>
      <w:r w:rsidR="00C76D3F">
        <w:t xml:space="preserve">rideterminando il fabbisogno sanitario nazionale in </w:t>
      </w:r>
      <w:r>
        <w:t>113 miliardi</w:t>
      </w:r>
      <w:r w:rsidR="00C76D3F">
        <w:t xml:space="preserve"> per il 2017 e </w:t>
      </w:r>
      <w:r w:rsidR="00C76D3F">
        <w:lastRenderedPageBreak/>
        <w:t xml:space="preserve">in </w:t>
      </w:r>
      <w:r>
        <w:t>115 miliardi</w:t>
      </w:r>
      <w:r w:rsidR="00C76D3F">
        <w:t xml:space="preserve"> per il 2018</w:t>
      </w:r>
      <w:r>
        <w:t>,</w:t>
      </w:r>
      <w:r w:rsidR="00B64FD7">
        <w:t xml:space="preserve"> </w:t>
      </w:r>
      <w:r>
        <w:t xml:space="preserve">da un lato </w:t>
      </w:r>
      <w:r w:rsidR="00B64FD7">
        <w:t xml:space="preserve">ha fornito ragionevoli certezze alle Regioni, dall’altro </w:t>
      </w:r>
      <w:r w:rsidR="00C76D3F">
        <w:t xml:space="preserve">ha sancito che il contributo alla finanza pubblica per gli anni 2017-2019 </w:t>
      </w:r>
      <w:r>
        <w:t>graverà quasi del tutto sulle spalle</w:t>
      </w:r>
      <w:r w:rsidR="00C76D3F">
        <w:t xml:space="preserve"> </w:t>
      </w:r>
      <w:r>
        <w:t xml:space="preserve">della </w:t>
      </w:r>
      <w:r w:rsidR="00C76D3F">
        <w:t>Sanità</w:t>
      </w:r>
      <w:r w:rsidR="003A72AE">
        <w:t xml:space="preserve"> (</w:t>
      </w:r>
      <w:r w:rsidR="00C76D3F">
        <w:t xml:space="preserve">3,5 miliardi per il 2017 e 5 miliardi </w:t>
      </w:r>
      <w:r w:rsidR="003A72AE">
        <w:t xml:space="preserve">per il </w:t>
      </w:r>
      <w:r w:rsidR="00C76D3F">
        <w:t>2018</w:t>
      </w:r>
      <w:r w:rsidR="003A72AE">
        <w:t xml:space="preserve"> e 2019)</w:t>
      </w:r>
      <w:r w:rsidR="00B64FD7">
        <w:t xml:space="preserve">, </w:t>
      </w:r>
      <w:r w:rsidR="00BB1F05">
        <w:t xml:space="preserve">assolvendo le Regioni </w:t>
      </w:r>
      <w:r>
        <w:t xml:space="preserve">dal compito di presentare </w:t>
      </w:r>
      <w:r w:rsidR="00EF462D">
        <w:t>proposte</w:t>
      </w:r>
      <w:r w:rsidR="00EC5C09">
        <w:t xml:space="preserve"> e il Governo d</w:t>
      </w:r>
      <w:r>
        <w:t xml:space="preserve">a quello di </w:t>
      </w:r>
      <w:r w:rsidR="00EC5C09">
        <w:t xml:space="preserve"> valutarle</w:t>
      </w:r>
      <w:r w:rsidR="00EF462D">
        <w:t>, fatta eccezione per i residuali 480 milioni</w:t>
      </w:r>
      <w:r w:rsidR="00C76D3F">
        <w:t>.</w:t>
      </w:r>
    </w:p>
    <w:p w:rsidR="00B64FD7" w:rsidRDefault="00B64FD7" w:rsidP="00391AD2">
      <w:r>
        <w:t>«</w:t>
      </w:r>
      <w:r w:rsidR="00BB1F05">
        <w:t xml:space="preserve">In un ottica di finanza pubblica </w:t>
      </w:r>
      <w:r w:rsidR="006B2505">
        <w:t xml:space="preserve">– conclude Cartabellotta – </w:t>
      </w:r>
      <w:r w:rsidR="00EF462D">
        <w:t xml:space="preserve">siamo </w:t>
      </w:r>
      <w:r w:rsidR="006B2505">
        <w:t xml:space="preserve">indubbiamente </w:t>
      </w:r>
      <w:r w:rsidR="00EF462D">
        <w:t xml:space="preserve">di fronte </w:t>
      </w:r>
      <w:r w:rsidR="00251AC2">
        <w:t>a</w:t>
      </w:r>
      <w:r w:rsidR="008340F1">
        <w:t>d</w:t>
      </w:r>
      <w:r w:rsidR="00251AC2">
        <w:t xml:space="preserve"> </w:t>
      </w:r>
      <w:r w:rsidR="00BB1F05">
        <w:t>u</w:t>
      </w:r>
      <w:r>
        <w:t>n</w:t>
      </w:r>
      <w:r w:rsidR="008340F1">
        <w:t>a</w:t>
      </w:r>
      <w:r>
        <w:t xml:space="preserve"> </w:t>
      </w:r>
      <w:r w:rsidR="00FD47E8">
        <w:t>strategic</w:t>
      </w:r>
      <w:r w:rsidR="002E3609">
        <w:t>a intesa</w:t>
      </w:r>
      <w:r w:rsidR="00FD47E8">
        <w:t xml:space="preserve"> </w:t>
      </w:r>
      <w:r>
        <w:t>Stato-Regioni</w:t>
      </w:r>
      <w:r w:rsidR="00FD47E8">
        <w:t xml:space="preserve">, </w:t>
      </w:r>
      <w:r w:rsidR="008340F1">
        <w:t>oculatamente non dat</w:t>
      </w:r>
      <w:r w:rsidR="0082609D">
        <w:t>a</w:t>
      </w:r>
      <w:r w:rsidR="008340F1">
        <w:t xml:space="preserve"> in pasto</w:t>
      </w:r>
      <w:r w:rsidR="00530B7D">
        <w:t xml:space="preserve"> </w:t>
      </w:r>
      <w:r w:rsidR="008340F1">
        <w:t>ai media</w:t>
      </w:r>
      <w:r w:rsidR="00530B7D">
        <w:t>. S</w:t>
      </w:r>
      <w:r w:rsidR="00BB1F05">
        <w:t xml:space="preserve">econdo una prospettiva di sanità pubblica, </w:t>
      </w:r>
      <w:r w:rsidR="006B2505">
        <w:t xml:space="preserve"> l’11 febbraio 2016 rischia di passare alla storia come la data in cui Stato e Regioni hanno assestato </w:t>
      </w:r>
      <w:r w:rsidR="00BB1F05">
        <w:t xml:space="preserve">il colpo di grazia </w:t>
      </w:r>
      <w:r w:rsidR="007D1B67">
        <w:t xml:space="preserve">al </w:t>
      </w:r>
      <w:r w:rsidR="00BB1F05">
        <w:t>SSN</w:t>
      </w:r>
      <w:r>
        <w:t>».</w:t>
      </w:r>
    </w:p>
    <w:p w:rsidR="006B2505" w:rsidRDefault="006B2505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BC" w:rsidRDefault="00F163BC" w:rsidP="00ED0CFD">
      <w:pPr>
        <w:spacing w:after="0" w:line="240" w:lineRule="auto"/>
      </w:pPr>
      <w:r>
        <w:separator/>
      </w:r>
    </w:p>
  </w:endnote>
  <w:endnote w:type="continuationSeparator" w:id="0">
    <w:p w:rsidR="00F163BC" w:rsidRDefault="00F163BC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BC" w:rsidRDefault="00F163BC" w:rsidP="00ED0CFD">
      <w:pPr>
        <w:spacing w:after="0" w:line="240" w:lineRule="auto"/>
      </w:pPr>
      <w:r>
        <w:separator/>
      </w:r>
    </w:p>
  </w:footnote>
  <w:footnote w:type="continuationSeparator" w:id="0">
    <w:p w:rsidR="00F163BC" w:rsidRDefault="00F163BC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D8A"/>
    <w:rsid w:val="00035404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90A39"/>
    <w:rsid w:val="00090B7E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F94"/>
    <w:rsid w:val="001458FE"/>
    <w:rsid w:val="001471AF"/>
    <w:rsid w:val="00150EF3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A3E0D"/>
    <w:rsid w:val="001A3E96"/>
    <w:rsid w:val="001A6181"/>
    <w:rsid w:val="001A640C"/>
    <w:rsid w:val="001C51E2"/>
    <w:rsid w:val="001D0E41"/>
    <w:rsid w:val="001D153D"/>
    <w:rsid w:val="001D19F1"/>
    <w:rsid w:val="001D4CE8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23F01"/>
    <w:rsid w:val="00224E88"/>
    <w:rsid w:val="00233EF5"/>
    <w:rsid w:val="002349C3"/>
    <w:rsid w:val="0023771D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2F663E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4012A"/>
    <w:rsid w:val="00441D52"/>
    <w:rsid w:val="00442312"/>
    <w:rsid w:val="004432F6"/>
    <w:rsid w:val="00446F85"/>
    <w:rsid w:val="004522B4"/>
    <w:rsid w:val="00452891"/>
    <w:rsid w:val="00452900"/>
    <w:rsid w:val="00452A5B"/>
    <w:rsid w:val="00452CED"/>
    <w:rsid w:val="00456AC9"/>
    <w:rsid w:val="00461BFF"/>
    <w:rsid w:val="0046775E"/>
    <w:rsid w:val="00470D92"/>
    <w:rsid w:val="00475510"/>
    <w:rsid w:val="0047586E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60786"/>
    <w:rsid w:val="0056268F"/>
    <w:rsid w:val="00565C3C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4CFB"/>
    <w:rsid w:val="006A71A2"/>
    <w:rsid w:val="006B2505"/>
    <w:rsid w:val="006B4075"/>
    <w:rsid w:val="006B5E7A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38CC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728E"/>
    <w:rsid w:val="007E784C"/>
    <w:rsid w:val="007F130A"/>
    <w:rsid w:val="007F3D4F"/>
    <w:rsid w:val="007F46C8"/>
    <w:rsid w:val="007F5D18"/>
    <w:rsid w:val="00802069"/>
    <w:rsid w:val="008025DC"/>
    <w:rsid w:val="00803C62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B3494"/>
    <w:rsid w:val="008B7022"/>
    <w:rsid w:val="008C0A82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401BC"/>
    <w:rsid w:val="00A40F25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B03791"/>
    <w:rsid w:val="00B047F1"/>
    <w:rsid w:val="00B051CC"/>
    <w:rsid w:val="00B17FF8"/>
    <w:rsid w:val="00B20DA5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3529"/>
    <w:rsid w:val="00BE3538"/>
    <w:rsid w:val="00BE4EA8"/>
    <w:rsid w:val="00BE56ED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74B4"/>
    <w:rsid w:val="00C74392"/>
    <w:rsid w:val="00C74422"/>
    <w:rsid w:val="00C75948"/>
    <w:rsid w:val="00C76D3F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D1B"/>
    <w:rsid w:val="00CB79A7"/>
    <w:rsid w:val="00CC1780"/>
    <w:rsid w:val="00CC4A07"/>
    <w:rsid w:val="00CC7BDF"/>
    <w:rsid w:val="00CD671E"/>
    <w:rsid w:val="00CD7ACC"/>
    <w:rsid w:val="00CE202C"/>
    <w:rsid w:val="00CE5CEA"/>
    <w:rsid w:val="00CE6911"/>
    <w:rsid w:val="00CF1C62"/>
    <w:rsid w:val="00CF540D"/>
    <w:rsid w:val="00CF7D0F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CFD"/>
    <w:rsid w:val="00ED26C2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3BC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C7BD-7EF2-48F5-91B1-2C050CBF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2016-04-11T08:14:00Z</dcterms:created>
  <dcterms:modified xsi:type="dcterms:W3CDTF">2016-04-11T08:14:00Z</dcterms:modified>
</cp:coreProperties>
</file>