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68" w:rsidRDefault="00C8624C" w:rsidP="00E17D68">
      <w:pPr>
        <w:jc w:val="center"/>
        <w:rPr>
          <w:rFonts w:ascii="Calibri" w:eastAsia="Calibri" w:hAnsi="Calibri" w:cs="Times New Roman"/>
          <w:b/>
          <w:bCs/>
          <w:sz w:val="36"/>
          <w:szCs w:val="36"/>
        </w:rPr>
      </w:pPr>
      <w:r w:rsidRPr="00C8624C">
        <w:rPr>
          <w:rFonts w:ascii="Calibri" w:eastAsia="Calibri" w:hAnsi="Calibri" w:cs="Times New Roman"/>
          <w:b/>
          <w:bCs/>
          <w:sz w:val="36"/>
          <w:szCs w:val="36"/>
        </w:rPr>
        <w:t>COMUNICATO STAMPA</w:t>
      </w:r>
    </w:p>
    <w:p w:rsidR="003B4F0F" w:rsidRDefault="003B4F0F" w:rsidP="008340F1">
      <w:pPr>
        <w:jc w:val="both"/>
        <w:rPr>
          <w:b/>
          <w:bCs/>
          <w:sz w:val="32"/>
          <w:szCs w:val="36"/>
        </w:rPr>
      </w:pPr>
      <w:r w:rsidRPr="003B4F0F">
        <w:rPr>
          <w:b/>
          <w:bCs/>
          <w:sz w:val="32"/>
          <w:szCs w:val="36"/>
        </w:rPr>
        <w:t>DEF 2019</w:t>
      </w:r>
      <w:r>
        <w:rPr>
          <w:b/>
          <w:bCs/>
          <w:sz w:val="32"/>
          <w:szCs w:val="36"/>
        </w:rPr>
        <w:t>:</w:t>
      </w:r>
      <w:r w:rsidRPr="003B4F0F">
        <w:rPr>
          <w:b/>
          <w:bCs/>
          <w:sz w:val="32"/>
          <w:szCs w:val="36"/>
        </w:rPr>
        <w:t xml:space="preserve"> SOLO INCONGRUENZE E GRANDI INCERTEZZE PER LA SANITÀ</w:t>
      </w:r>
      <w:r w:rsidRPr="003B4F0F" w:rsidDel="003B4F0F">
        <w:rPr>
          <w:b/>
          <w:bCs/>
          <w:sz w:val="32"/>
          <w:szCs w:val="36"/>
        </w:rPr>
        <w:t xml:space="preserve"> </w:t>
      </w:r>
    </w:p>
    <w:p w:rsidR="00AD436F" w:rsidRPr="008340F1" w:rsidRDefault="001E3647" w:rsidP="008340F1">
      <w:pPr>
        <w:jc w:val="both"/>
        <w:rPr>
          <w:b/>
          <w:bCs/>
          <w:sz w:val="32"/>
          <w:szCs w:val="36"/>
        </w:rPr>
      </w:pPr>
      <w:r>
        <w:rPr>
          <w:b/>
        </w:rPr>
        <w:t>DAL</w:t>
      </w:r>
      <w:r w:rsidR="0075721B">
        <w:rPr>
          <w:b/>
        </w:rPr>
        <w:t xml:space="preserve">L’ANALISI </w:t>
      </w:r>
      <w:r>
        <w:rPr>
          <w:b/>
        </w:rPr>
        <w:t xml:space="preserve">INDIPENDENTE DELL’OSSERVATORIO </w:t>
      </w:r>
      <w:r w:rsidR="0075721B">
        <w:rPr>
          <w:b/>
        </w:rPr>
        <w:t xml:space="preserve">GIMBE SUL </w:t>
      </w:r>
      <w:r w:rsidR="00FD1399">
        <w:rPr>
          <w:b/>
        </w:rPr>
        <w:t>DOCU</w:t>
      </w:r>
      <w:r w:rsidR="00F17CAF">
        <w:rPr>
          <w:b/>
        </w:rPr>
        <w:t>MENTO DI ECONOMIA E FINANZA 2019</w:t>
      </w:r>
      <w:r w:rsidR="00FD1399">
        <w:rPr>
          <w:b/>
        </w:rPr>
        <w:t xml:space="preserve"> </w:t>
      </w:r>
      <w:r>
        <w:rPr>
          <w:b/>
        </w:rPr>
        <w:t xml:space="preserve">EMERGONO </w:t>
      </w:r>
      <w:r w:rsidR="00974F6D">
        <w:rPr>
          <w:b/>
        </w:rPr>
        <w:t xml:space="preserve">CONTRADDIZIONI E INCERTEZZE </w:t>
      </w:r>
      <w:r w:rsidR="005A1219" w:rsidRPr="005A1219">
        <w:rPr>
          <w:b/>
        </w:rPr>
        <w:t xml:space="preserve">PER </w:t>
      </w:r>
      <w:r>
        <w:rPr>
          <w:b/>
        </w:rPr>
        <w:t xml:space="preserve">IL FUTURO DEL </w:t>
      </w:r>
      <w:r w:rsidR="005A1219">
        <w:rPr>
          <w:b/>
        </w:rPr>
        <w:t>SERVIZIO SANITARIO NAZIONALE. RISPETTO ALLE RISORSE ASSEGNATE DALLA LEGGE DI BILANCIO</w:t>
      </w:r>
      <w:r w:rsidR="006A5914">
        <w:rPr>
          <w:b/>
        </w:rPr>
        <w:t>,</w:t>
      </w:r>
      <w:r w:rsidR="005A1219">
        <w:rPr>
          <w:b/>
        </w:rPr>
        <w:t xml:space="preserve"> LE STIME SULLA SPESA SANITARIA </w:t>
      </w:r>
      <w:r w:rsidR="005A1219" w:rsidRPr="005A1219">
        <w:rPr>
          <w:b/>
        </w:rPr>
        <w:t xml:space="preserve">SONO INCONGRUENTI </w:t>
      </w:r>
      <w:r w:rsidR="001B7D31">
        <w:rPr>
          <w:b/>
        </w:rPr>
        <w:t xml:space="preserve">CON LE RISORSE GIÀ ASSEGNATE </w:t>
      </w:r>
      <w:r w:rsidR="005A1219">
        <w:rPr>
          <w:b/>
        </w:rPr>
        <w:t xml:space="preserve">PER </w:t>
      </w:r>
      <w:r>
        <w:rPr>
          <w:b/>
        </w:rPr>
        <w:t>IL</w:t>
      </w:r>
      <w:r w:rsidR="005A1219">
        <w:rPr>
          <w:b/>
        </w:rPr>
        <w:t xml:space="preserve"> </w:t>
      </w:r>
      <w:r w:rsidR="005A1219" w:rsidRPr="005A1219">
        <w:rPr>
          <w:b/>
        </w:rPr>
        <w:t>2019</w:t>
      </w:r>
      <w:r w:rsidR="005A1219">
        <w:rPr>
          <w:b/>
        </w:rPr>
        <w:t>, MENTRE</w:t>
      </w:r>
      <w:r w:rsidR="005A1219" w:rsidRPr="005A1219">
        <w:rPr>
          <w:b/>
        </w:rPr>
        <w:t xml:space="preserve"> PER </w:t>
      </w:r>
      <w:r w:rsidR="005A1219">
        <w:rPr>
          <w:b/>
        </w:rPr>
        <w:t xml:space="preserve">GLI ANNI </w:t>
      </w:r>
      <w:r w:rsidR="005A1219" w:rsidRPr="005A1219">
        <w:rPr>
          <w:b/>
        </w:rPr>
        <w:t xml:space="preserve">2020-2021 </w:t>
      </w:r>
      <w:r w:rsidR="006A5914">
        <w:rPr>
          <w:b/>
        </w:rPr>
        <w:t>CONTINUANO A DIPENDERE</w:t>
      </w:r>
      <w:r w:rsidR="005A1219">
        <w:rPr>
          <w:b/>
        </w:rPr>
        <w:t xml:space="preserve"> DA </w:t>
      </w:r>
      <w:r w:rsidR="006A5914">
        <w:rPr>
          <w:b/>
        </w:rPr>
        <w:t>UTOPISTICHE</w:t>
      </w:r>
      <w:r w:rsidR="006A5914" w:rsidRPr="005A1219">
        <w:rPr>
          <w:b/>
        </w:rPr>
        <w:t xml:space="preserve"> </w:t>
      </w:r>
      <w:r w:rsidR="005A1219" w:rsidRPr="005A1219">
        <w:rPr>
          <w:b/>
        </w:rPr>
        <w:t>PR</w:t>
      </w:r>
      <w:r w:rsidR="005A1219">
        <w:rPr>
          <w:b/>
        </w:rPr>
        <w:t xml:space="preserve">EVISIONI DI CRESCITA ECONOMICA. </w:t>
      </w:r>
      <w:r w:rsidR="006A5914">
        <w:rPr>
          <w:b/>
        </w:rPr>
        <w:t>SU TUTTO</w:t>
      </w:r>
      <w:r w:rsidR="005A1219" w:rsidRPr="005A1219">
        <w:rPr>
          <w:b/>
        </w:rPr>
        <w:t xml:space="preserve"> ALEGGIA LO SPETTRO DELLA CLAUSOLA DI SALVAGUARDIA</w:t>
      </w:r>
      <w:r w:rsidR="005A1219">
        <w:rPr>
          <w:b/>
        </w:rPr>
        <w:t>, OVVERO</w:t>
      </w:r>
      <w:r w:rsidR="005A1219" w:rsidRPr="005A1219">
        <w:rPr>
          <w:b/>
        </w:rPr>
        <w:t xml:space="preserve"> </w:t>
      </w:r>
      <w:r w:rsidR="005A1219">
        <w:rPr>
          <w:b/>
        </w:rPr>
        <w:t xml:space="preserve">IL </w:t>
      </w:r>
      <w:r w:rsidR="005A1219" w:rsidRPr="005A1219">
        <w:rPr>
          <w:b/>
        </w:rPr>
        <w:t xml:space="preserve">BLOCCO </w:t>
      </w:r>
      <w:r w:rsidR="007F2ABD">
        <w:rPr>
          <w:b/>
        </w:rPr>
        <w:t>DI 2 MILIARDI DI SPESA PUBBLICA</w:t>
      </w:r>
      <w:r w:rsidR="005A1219">
        <w:rPr>
          <w:b/>
        </w:rPr>
        <w:t xml:space="preserve"> </w:t>
      </w:r>
      <w:r w:rsidR="005A1219" w:rsidRPr="005A1219">
        <w:rPr>
          <w:b/>
        </w:rPr>
        <w:t xml:space="preserve">CHE </w:t>
      </w:r>
      <w:r w:rsidR="004A3B6F">
        <w:rPr>
          <w:b/>
        </w:rPr>
        <w:t xml:space="preserve">SICURAMENTE </w:t>
      </w:r>
      <w:r w:rsidR="007F2ABD">
        <w:rPr>
          <w:b/>
        </w:rPr>
        <w:t>COLPIR</w:t>
      </w:r>
      <w:r w:rsidR="004A3B6F">
        <w:rPr>
          <w:b/>
        </w:rPr>
        <w:t xml:space="preserve">À </w:t>
      </w:r>
      <w:r w:rsidR="005A1219">
        <w:rPr>
          <w:b/>
        </w:rPr>
        <w:t>LA SANITÀ</w:t>
      </w:r>
      <w:r w:rsidR="005A1219" w:rsidRPr="005A1219">
        <w:rPr>
          <w:b/>
        </w:rPr>
        <w:t>.</w:t>
      </w:r>
    </w:p>
    <w:p w:rsidR="005B4F61" w:rsidRDefault="00867AEB" w:rsidP="00EA3C71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F17CAF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CC4A07">
        <w:rPr>
          <w:rFonts w:ascii="Calibri" w:eastAsia="Calibri" w:hAnsi="Calibri" w:cs="Times New Roman"/>
          <w:b/>
          <w:bCs/>
          <w:sz w:val="24"/>
          <w:szCs w:val="24"/>
        </w:rPr>
        <w:t xml:space="preserve"> aprile</w:t>
      </w:r>
      <w:r w:rsidR="009B2E68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AE0F77">
        <w:rPr>
          <w:rFonts w:ascii="Calibri" w:eastAsia="Calibri" w:hAnsi="Calibri" w:cs="Times New Roman"/>
          <w:b/>
          <w:bCs/>
          <w:sz w:val="24"/>
          <w:szCs w:val="24"/>
        </w:rPr>
        <w:t>201</w:t>
      </w:r>
      <w:r w:rsidR="000E37AA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="005B4F61">
        <w:rPr>
          <w:rFonts w:ascii="Calibri" w:eastAsia="Calibri" w:hAnsi="Calibri" w:cs="Times New Roman"/>
          <w:b/>
          <w:bCs/>
          <w:sz w:val="24"/>
          <w:szCs w:val="24"/>
        </w:rPr>
        <w:t xml:space="preserve"> - </w:t>
      </w:r>
      <w:r w:rsidR="005B4F61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1E3647" w:rsidRDefault="001F38F6" w:rsidP="001E3647">
      <w:pPr>
        <w:spacing w:after="120"/>
      </w:pPr>
      <w:r>
        <w:t>Il Consiglio dei Ministri ha</w:t>
      </w:r>
      <w:r w:rsidR="00604B41">
        <w:t xml:space="preserve"> approvato</w:t>
      </w:r>
      <w:r>
        <w:t xml:space="preserve"> i</w:t>
      </w:r>
      <w:r w:rsidR="007F2BD9" w:rsidRPr="007F2BD9">
        <w:t xml:space="preserve">l </w:t>
      </w:r>
      <w:r w:rsidR="007F2BD9">
        <w:t>Documento di Economia e Finanza (DEF) 201</w:t>
      </w:r>
      <w:r>
        <w:t>9</w:t>
      </w:r>
      <w:r w:rsidR="007F2BD9" w:rsidRPr="007F2BD9">
        <w:t xml:space="preserve">, </w:t>
      </w:r>
      <w:r w:rsidR="007F2BD9">
        <w:t>s</w:t>
      </w:r>
      <w:r w:rsidR="00CE6911">
        <w:t xml:space="preserve">econdo </w:t>
      </w:r>
      <w:r w:rsidR="007F2BD9">
        <w:t xml:space="preserve">il quale </w:t>
      </w:r>
      <w:r w:rsidR="00CE6911">
        <w:t>n</w:t>
      </w:r>
      <w:r>
        <w:t>el triennio 2020-2022</w:t>
      </w:r>
      <w:r w:rsidRPr="0035547A">
        <w:t xml:space="preserve"> </w:t>
      </w:r>
      <w:r w:rsidR="00CE6911" w:rsidRPr="0035547A">
        <w:t xml:space="preserve">il PIL </w:t>
      </w:r>
      <w:r w:rsidR="004B3935" w:rsidRPr="0035547A">
        <w:t xml:space="preserve">nominale </w:t>
      </w:r>
      <w:r w:rsidR="00C102A5" w:rsidRPr="0035547A">
        <w:t>dovrebbe crescere</w:t>
      </w:r>
      <w:r w:rsidR="00CE6911" w:rsidRPr="0035547A">
        <w:t xml:space="preserve"> in media del </w:t>
      </w:r>
      <w:r w:rsidR="004B3935" w:rsidRPr="0035547A">
        <w:t>2</w:t>
      </w:r>
      <w:r w:rsidR="00CE4A36" w:rsidRPr="0035547A">
        <w:t>,</w:t>
      </w:r>
      <w:r w:rsidRPr="0035547A">
        <w:t>5</w:t>
      </w:r>
      <w:r w:rsidR="00CE6911" w:rsidRPr="0035547A">
        <w:t>% per anno</w:t>
      </w:r>
      <w:r w:rsidR="001E3647">
        <w:t xml:space="preserve"> e</w:t>
      </w:r>
      <w:r w:rsidR="00CE6911">
        <w:t xml:space="preserve"> </w:t>
      </w:r>
      <w:r w:rsidR="00CE6911" w:rsidRPr="00CE6911">
        <w:t>l</w:t>
      </w:r>
      <w:r w:rsidR="00D0205F">
        <w:t>’</w:t>
      </w:r>
      <w:r w:rsidR="001E3647">
        <w:t xml:space="preserve">aumento </w:t>
      </w:r>
      <w:r w:rsidR="00D0205F">
        <w:t>dell</w:t>
      </w:r>
      <w:r w:rsidR="00CE6911" w:rsidRPr="00CE6911">
        <w:t>a spesa sanitaria</w:t>
      </w:r>
      <w:r w:rsidR="00CE6911">
        <w:t xml:space="preserve"> </w:t>
      </w:r>
      <w:r w:rsidR="00D0205F">
        <w:t>attestarsi su</w:t>
      </w:r>
      <w:r w:rsidR="0035547A">
        <w:t>l</w:t>
      </w:r>
      <w:r w:rsidR="004B3935">
        <w:t xml:space="preserve"> tasso medio</w:t>
      </w:r>
      <w:r w:rsidR="00605C92">
        <w:t xml:space="preserve"> annuo </w:t>
      </w:r>
      <w:r>
        <w:t>dell’1,4</w:t>
      </w:r>
      <w:r w:rsidR="00CE6911">
        <w:t>%</w:t>
      </w:r>
      <w:r w:rsidR="007F2BD9">
        <w:t>. I</w:t>
      </w:r>
      <w:r w:rsidR="00A71FF1">
        <w:t xml:space="preserve">n </w:t>
      </w:r>
      <w:r w:rsidR="00C102A5">
        <w:t xml:space="preserve">termini </w:t>
      </w:r>
      <w:r w:rsidR="00437569" w:rsidRPr="001E5245">
        <w:t xml:space="preserve">finanziari </w:t>
      </w:r>
      <w:r w:rsidR="00F80CA0">
        <w:t xml:space="preserve">la </w:t>
      </w:r>
      <w:r>
        <w:t xml:space="preserve">spesa sanitaria </w:t>
      </w:r>
      <w:r w:rsidR="00F80CA0">
        <w:t>aumenterebbe</w:t>
      </w:r>
      <w:r w:rsidR="001916E9">
        <w:t xml:space="preserve"> così </w:t>
      </w:r>
      <w:r>
        <w:t>d</w:t>
      </w:r>
      <w:r w:rsidR="00F80CA0">
        <w:t>a</w:t>
      </w:r>
      <w:r>
        <w:t xml:space="preserve">i </w:t>
      </w:r>
      <w:r w:rsidR="00605C92">
        <w:t xml:space="preserve">€ </w:t>
      </w:r>
      <w:r>
        <w:t>119</w:t>
      </w:r>
      <w:r w:rsidR="001E3647">
        <w:t>.</w:t>
      </w:r>
      <w:r>
        <w:t>953</w:t>
      </w:r>
      <w:r w:rsidR="00954B63">
        <w:t xml:space="preserve"> </w:t>
      </w:r>
      <w:r w:rsidR="00CE6911">
        <w:t>m</w:t>
      </w:r>
      <w:r w:rsidR="001E3647">
        <w:t>ilioni</w:t>
      </w:r>
      <w:r w:rsidR="00954B63">
        <w:t xml:space="preserve"> stimati per il 20</w:t>
      </w:r>
      <w:r>
        <w:t>20</w:t>
      </w:r>
      <w:r w:rsidR="007F2BD9">
        <w:t xml:space="preserve"> </w:t>
      </w:r>
      <w:r w:rsidR="0036304D">
        <w:t>a</w:t>
      </w:r>
      <w:r>
        <w:t>i</w:t>
      </w:r>
      <w:r w:rsidR="001A6181">
        <w:t xml:space="preserve"> </w:t>
      </w:r>
      <w:r w:rsidR="00F80CA0">
        <w:t xml:space="preserve">€ 121.358 nel 2021 ai </w:t>
      </w:r>
      <w:r w:rsidR="00CE4A36">
        <w:t xml:space="preserve">€ </w:t>
      </w:r>
      <w:r w:rsidR="001E3647">
        <w:t>123.</w:t>
      </w:r>
      <w:r w:rsidR="00954B63" w:rsidRPr="00954B63">
        <w:t>0</w:t>
      </w:r>
      <w:r>
        <w:t>52</w:t>
      </w:r>
      <w:r w:rsidR="00954B63">
        <w:t xml:space="preserve"> </w:t>
      </w:r>
      <w:r w:rsidR="00CE6911">
        <w:t>mili</w:t>
      </w:r>
      <w:r w:rsidR="001E3647">
        <w:t xml:space="preserve">oni </w:t>
      </w:r>
      <w:r w:rsidR="00954B63">
        <w:t xml:space="preserve">nel </w:t>
      </w:r>
      <w:r>
        <w:t>2022</w:t>
      </w:r>
      <w:r w:rsidR="00CE6911" w:rsidRPr="00CE6911">
        <w:t xml:space="preserve">. </w:t>
      </w:r>
      <w:r w:rsidR="004C195F">
        <w:t xml:space="preserve">Per l’anno in corso, </w:t>
      </w:r>
      <w:r w:rsidR="003A179E">
        <w:t xml:space="preserve">invece, </w:t>
      </w:r>
      <w:r w:rsidR="00F80CA0">
        <w:t xml:space="preserve">a fronte di </w:t>
      </w:r>
      <w:r w:rsidR="004C195F" w:rsidRPr="004C195F">
        <w:t xml:space="preserve">una </w:t>
      </w:r>
      <w:r w:rsidR="00F80CA0">
        <w:t xml:space="preserve">crescita del PIL </w:t>
      </w:r>
      <w:r w:rsidR="003A179E">
        <w:t>nominale dell’1</w:t>
      </w:r>
      <w:r w:rsidR="00AD6ECE">
        <w:t>,2</w:t>
      </w:r>
      <w:r w:rsidR="003A179E">
        <w:t>%</w:t>
      </w:r>
      <w:r w:rsidR="001916E9">
        <w:t>,</w:t>
      </w:r>
      <w:r w:rsidR="003A179E">
        <w:t xml:space="preserve"> il DEF 2019 </w:t>
      </w:r>
      <w:r w:rsidR="00F80CA0">
        <w:t xml:space="preserve">stima </w:t>
      </w:r>
      <w:r w:rsidR="003A179E">
        <w:t xml:space="preserve">una </w:t>
      </w:r>
      <w:r w:rsidR="004C195F" w:rsidRPr="004C195F">
        <w:t xml:space="preserve">spesa </w:t>
      </w:r>
      <w:r w:rsidR="001E3647">
        <w:t>sanitaria di € 118.</w:t>
      </w:r>
      <w:r w:rsidR="004C195F">
        <w:t xml:space="preserve">061 </w:t>
      </w:r>
      <w:r w:rsidR="00F80CA0">
        <w:t>mili</w:t>
      </w:r>
      <w:r w:rsidR="001E3647">
        <w:t xml:space="preserve">oni </w:t>
      </w:r>
      <w:r w:rsidR="004C195F">
        <w:t>che</w:t>
      </w:r>
      <w:r w:rsidR="001916E9">
        <w:t xml:space="preserve"> </w:t>
      </w:r>
      <w:r w:rsidR="004C195F">
        <w:t>corrispond</w:t>
      </w:r>
      <w:r w:rsidR="00F57AF9">
        <w:t xml:space="preserve">e </w:t>
      </w:r>
      <w:r w:rsidR="004C195F">
        <w:t xml:space="preserve">ad </w:t>
      </w:r>
      <w:r w:rsidR="004C195F" w:rsidRPr="004C195F">
        <w:t>un</w:t>
      </w:r>
      <w:r w:rsidR="00F57AF9">
        <w:t>a</w:t>
      </w:r>
      <w:r w:rsidR="004C195F" w:rsidRPr="004C195F">
        <w:t xml:space="preserve"> cre</w:t>
      </w:r>
      <w:r w:rsidR="004C195F">
        <w:t>scita del 2,3%</w:t>
      </w:r>
      <w:r w:rsidR="001916E9">
        <w:t xml:space="preserve"> rispetto ai € 115.410 del 2018</w:t>
      </w:r>
      <w:r w:rsidR="00F80CA0">
        <w:t>.</w:t>
      </w:r>
    </w:p>
    <w:p w:rsidR="00D81E5D" w:rsidRPr="001E3647" w:rsidRDefault="00D81E5D" w:rsidP="001E3647">
      <w:pPr>
        <w:spacing w:after="120"/>
      </w:pPr>
      <w:r>
        <w:t>«</w:t>
      </w:r>
      <w:r w:rsidR="00E061F3">
        <w:t>Le</w:t>
      </w:r>
      <w:r w:rsidR="00AD6ECE">
        <w:t xml:space="preserve"> </w:t>
      </w:r>
      <w:r>
        <w:t xml:space="preserve">previsioni di crescita </w:t>
      </w:r>
      <w:r w:rsidR="00AD6ECE">
        <w:t xml:space="preserve">economica </w:t>
      </w:r>
      <w:r>
        <w:t xml:space="preserve">del Paese – afferma Nino Cartabellotta, Presidente della Fondazione GIMBE – </w:t>
      </w:r>
      <w:r w:rsidR="00E061F3">
        <w:t xml:space="preserve">emergono </w:t>
      </w:r>
      <w:r w:rsidR="00AD6ECE">
        <w:t xml:space="preserve">in tutta </w:t>
      </w:r>
      <w:r w:rsidR="00E061F3">
        <w:t>la loro evanescenza</w:t>
      </w:r>
      <w:r w:rsidR="001916E9" w:rsidRPr="00124DB0">
        <w:rPr>
          <w:color w:val="FF0000"/>
        </w:rPr>
        <w:t xml:space="preserve"> </w:t>
      </w:r>
      <w:r w:rsidR="001916E9">
        <w:t xml:space="preserve">se si confrontano le stime </w:t>
      </w:r>
      <w:r w:rsidR="00AD6ECE">
        <w:t xml:space="preserve">messe nero su bianco </w:t>
      </w:r>
      <w:r w:rsidR="001E3647">
        <w:t xml:space="preserve">appena </w:t>
      </w:r>
      <w:r w:rsidR="001916E9">
        <w:t xml:space="preserve">6 </w:t>
      </w:r>
      <w:r w:rsidR="00AD6ECE">
        <w:t>mesi fa»</w:t>
      </w:r>
      <w:r w:rsidR="00AD6ECE">
        <w:rPr>
          <w:rFonts w:cstheme="minorHAnsi"/>
        </w:rPr>
        <w:t>.</w:t>
      </w:r>
      <w:r w:rsidR="001E3647">
        <w:rPr>
          <w:rFonts w:cstheme="minorHAnsi"/>
        </w:rPr>
        <w:t xml:space="preserve"> </w:t>
      </w:r>
      <w:r w:rsidR="00AD6ECE">
        <w:rPr>
          <w:rFonts w:cstheme="minorHAnsi"/>
        </w:rPr>
        <w:t xml:space="preserve">La </w:t>
      </w:r>
      <w:r w:rsidR="001916E9" w:rsidRPr="00D81E5D">
        <w:rPr>
          <w:rFonts w:cstheme="minorHAnsi"/>
        </w:rPr>
        <w:t>N</w:t>
      </w:r>
      <w:r w:rsidR="001916E9">
        <w:rPr>
          <w:rFonts w:cstheme="minorHAnsi"/>
        </w:rPr>
        <w:t xml:space="preserve">ota di </w:t>
      </w:r>
      <w:r w:rsidR="001916E9" w:rsidRPr="00D81E5D">
        <w:rPr>
          <w:rFonts w:cstheme="minorHAnsi"/>
        </w:rPr>
        <w:t>a</w:t>
      </w:r>
      <w:r w:rsidR="001916E9">
        <w:rPr>
          <w:rFonts w:cstheme="minorHAnsi"/>
        </w:rPr>
        <w:t xml:space="preserve">ggiornamento del </w:t>
      </w:r>
      <w:r w:rsidR="001916E9" w:rsidRPr="00D81E5D">
        <w:rPr>
          <w:rFonts w:cstheme="minorHAnsi"/>
        </w:rPr>
        <w:t>DEF 2018</w:t>
      </w:r>
      <w:r w:rsidR="001916E9">
        <w:rPr>
          <w:rFonts w:cstheme="minorHAnsi"/>
        </w:rPr>
        <w:t xml:space="preserve"> (</w:t>
      </w:r>
      <w:r w:rsidR="00AD6ECE">
        <w:rPr>
          <w:rFonts w:cstheme="minorHAnsi"/>
        </w:rPr>
        <w:t>NaDEF</w:t>
      </w:r>
      <w:r w:rsidR="001916E9">
        <w:rPr>
          <w:rFonts w:cstheme="minorHAnsi"/>
        </w:rPr>
        <w:t>)</w:t>
      </w:r>
      <w:r w:rsidR="00AD6ECE">
        <w:rPr>
          <w:rFonts w:cstheme="minorHAnsi"/>
        </w:rPr>
        <w:t xml:space="preserve"> infatti </w:t>
      </w:r>
      <w:r>
        <w:rPr>
          <w:rFonts w:cstheme="minorHAnsi"/>
        </w:rPr>
        <w:t xml:space="preserve">aveva </w:t>
      </w:r>
      <w:r w:rsidRPr="00D81E5D">
        <w:rPr>
          <w:rFonts w:cstheme="minorHAnsi"/>
        </w:rPr>
        <w:t>azzarda</w:t>
      </w:r>
      <w:r>
        <w:rPr>
          <w:rFonts w:cstheme="minorHAnsi"/>
        </w:rPr>
        <w:t>to</w:t>
      </w:r>
      <w:r w:rsidRPr="00D81E5D">
        <w:rPr>
          <w:rFonts w:cstheme="minorHAnsi"/>
        </w:rPr>
        <w:t xml:space="preserve"> </w:t>
      </w:r>
      <w:r w:rsidR="00F97B45">
        <w:rPr>
          <w:rFonts w:cstheme="minorHAnsi"/>
        </w:rPr>
        <w:t xml:space="preserve">per il 2019 </w:t>
      </w:r>
      <w:r w:rsidRPr="00D81E5D">
        <w:rPr>
          <w:rFonts w:cstheme="minorHAnsi"/>
        </w:rPr>
        <w:t>una crescita del PIL del 3,1%</w:t>
      </w:r>
      <w:r w:rsidR="001916E9">
        <w:rPr>
          <w:rFonts w:cstheme="minorHAnsi"/>
        </w:rPr>
        <w:t>,</w:t>
      </w:r>
      <w:r w:rsidRPr="00D81E5D">
        <w:rPr>
          <w:rFonts w:cstheme="minorHAnsi"/>
        </w:rPr>
        <w:t xml:space="preserve"> che </w:t>
      </w:r>
      <w:r w:rsidR="001916E9">
        <w:rPr>
          <w:rFonts w:cstheme="minorHAnsi"/>
        </w:rPr>
        <w:t>sarebbe dovuto schizzare</w:t>
      </w:r>
      <w:r w:rsidR="001916E9" w:rsidRPr="00D81E5D">
        <w:rPr>
          <w:rFonts w:cstheme="minorHAnsi"/>
        </w:rPr>
        <w:t xml:space="preserve"> </w:t>
      </w:r>
      <w:r w:rsidRPr="00D81E5D">
        <w:rPr>
          <w:rFonts w:cstheme="minorHAnsi"/>
        </w:rPr>
        <w:t>al 3,5% nel 2020 per poi tornare al 3,1% nel 2021</w:t>
      </w:r>
      <w:r w:rsidR="00AD6ECE">
        <w:rPr>
          <w:rFonts w:cstheme="minorHAnsi"/>
        </w:rPr>
        <w:t>: tali previsioni sono precipitate al</w:t>
      </w:r>
      <w:r w:rsidR="00E7158F">
        <w:rPr>
          <w:rFonts w:cstheme="minorHAnsi"/>
        </w:rPr>
        <w:t>l’</w:t>
      </w:r>
      <w:r w:rsidR="00AD6ECE">
        <w:rPr>
          <w:rFonts w:cstheme="minorHAnsi"/>
        </w:rPr>
        <w:t>1,2% per il 2019 (-1,9%), al 2,6% per il 2020 (-0,9%) ed al 2,5% per il 2021 (-0,6%)</w:t>
      </w:r>
      <w:r w:rsidR="00AD6ECE">
        <w:t>.</w:t>
      </w:r>
    </w:p>
    <w:p w:rsidR="007B4C9D" w:rsidRDefault="00604B41" w:rsidP="001E3647">
      <w:pPr>
        <w:spacing w:after="120"/>
      </w:pPr>
      <w:r>
        <w:t xml:space="preserve">Anche </w:t>
      </w:r>
      <w:r w:rsidR="004C195F">
        <w:t xml:space="preserve">se </w:t>
      </w:r>
      <w:r w:rsidR="00452A5B">
        <w:t xml:space="preserve">le </w:t>
      </w:r>
      <w:r w:rsidR="002E3609">
        <w:t xml:space="preserve">stime </w:t>
      </w:r>
      <w:r w:rsidR="00C102A5">
        <w:t>fossero</w:t>
      </w:r>
      <w:r w:rsidR="00452A5B">
        <w:t xml:space="preserve"> corrette</w:t>
      </w:r>
      <w:r w:rsidR="0023012E">
        <w:t>,</w:t>
      </w:r>
      <w:r w:rsidR="002206B0">
        <w:t xml:space="preserve"> </w:t>
      </w:r>
      <w:r w:rsidR="009650B3" w:rsidRPr="009650B3">
        <w:t xml:space="preserve">la spesa sanitaria non </w:t>
      </w:r>
      <w:r>
        <w:t xml:space="preserve">potrà </w:t>
      </w:r>
      <w:r w:rsidR="009650B3" w:rsidRPr="009650B3">
        <w:t>cop</w:t>
      </w:r>
      <w:r>
        <w:t>rire</w:t>
      </w:r>
      <w:r w:rsidR="009650B3">
        <w:t xml:space="preserve"> </w:t>
      </w:r>
      <w:r w:rsidR="009650B3" w:rsidRPr="009650B3">
        <w:t>nemmeno l'aumento dei prezzi</w:t>
      </w:r>
      <w:r w:rsidR="001E3647">
        <w:t xml:space="preserve"> </w:t>
      </w:r>
      <w:r w:rsidR="00F97B45">
        <w:t xml:space="preserve">sia perché </w:t>
      </w:r>
      <w:r w:rsidR="00E7158F">
        <w:t>cresce</w:t>
      </w:r>
      <w:r w:rsidR="00E7158F" w:rsidRPr="009650B3">
        <w:t xml:space="preserve"> meno del PIL nominale</w:t>
      </w:r>
      <w:r w:rsidR="00E7158F">
        <w:t xml:space="preserve">, </w:t>
      </w:r>
      <w:r w:rsidR="00F97B45">
        <w:t xml:space="preserve">sia perché </w:t>
      </w:r>
      <w:r w:rsidR="00D81E5D" w:rsidRPr="00D81E5D">
        <w:rPr>
          <w:rFonts w:cstheme="minorHAnsi"/>
        </w:rPr>
        <w:t>l’indice dei prezzi del settore sanitario è superiore all’indice generale dei prezzi al consumo</w:t>
      </w:r>
      <w:r w:rsidR="00124DB0">
        <w:rPr>
          <w:rFonts w:cstheme="minorHAnsi"/>
        </w:rPr>
        <w:t xml:space="preserve"> e che </w:t>
      </w:r>
      <w:r>
        <w:t xml:space="preserve">l’inflazione media </w:t>
      </w:r>
      <w:r w:rsidR="00F97B45">
        <w:t xml:space="preserve">si è attestata oltre </w:t>
      </w:r>
      <w:r>
        <w:t xml:space="preserve">l’1% (1,2% </w:t>
      </w:r>
      <w:r w:rsidR="008F7C0C">
        <w:t xml:space="preserve">nel 2017 e nel </w:t>
      </w:r>
      <w:r>
        <w:t xml:space="preserve">1,1% nel </w:t>
      </w:r>
      <w:r w:rsidR="008F7C0C">
        <w:t>2018</w:t>
      </w:r>
      <w:r>
        <w:t>)</w:t>
      </w:r>
      <w:r w:rsidR="005F77A2" w:rsidRPr="008F7C0C">
        <w:t>.</w:t>
      </w:r>
      <w:r w:rsidR="005F77A2" w:rsidRPr="008F7C0C">
        <w:rPr>
          <w:color w:val="FF0000"/>
        </w:rPr>
        <w:t xml:space="preserve"> </w:t>
      </w:r>
      <w:r w:rsidR="008F7C0C">
        <w:t xml:space="preserve">«In altre parole – </w:t>
      </w:r>
      <w:r w:rsidR="004F2231">
        <w:t xml:space="preserve">puntualizza Cartabellotta </w:t>
      </w:r>
      <w:r w:rsidR="008F7C0C">
        <w:t>–</w:t>
      </w:r>
      <w:r w:rsidR="00E7158F">
        <w:t xml:space="preserve"> la </w:t>
      </w:r>
      <w:r w:rsidR="005F77A2">
        <w:t xml:space="preserve">crescita media della spesa sanitaria dell’1,4% </w:t>
      </w:r>
      <w:r w:rsidR="00191F59">
        <w:t xml:space="preserve">nel </w:t>
      </w:r>
      <w:r w:rsidR="00B82B47">
        <w:t>triennio</w:t>
      </w:r>
      <w:r w:rsidR="00191F59">
        <w:t xml:space="preserve"> </w:t>
      </w:r>
      <w:r w:rsidR="004C195F">
        <w:t xml:space="preserve">2020-2021 </w:t>
      </w:r>
      <w:r w:rsidR="00F97B45">
        <w:t>stimata</w:t>
      </w:r>
      <w:r w:rsidR="00E7158F">
        <w:t xml:space="preserve"> dal DEF 2019 </w:t>
      </w:r>
      <w:r w:rsidR="00001559">
        <w:t xml:space="preserve">nella migliore delle ipotesi </w:t>
      </w:r>
      <w:r>
        <w:t>p</w:t>
      </w:r>
      <w:r w:rsidR="00F97B45">
        <w:t xml:space="preserve">otrà </w:t>
      </w:r>
      <w:r w:rsidR="008F7C0C">
        <w:t>garanti</w:t>
      </w:r>
      <w:r>
        <w:t>re</w:t>
      </w:r>
      <w:r w:rsidR="008F7C0C">
        <w:t xml:space="preserve"> </w:t>
      </w:r>
      <w:r w:rsidR="005F77A2">
        <w:t xml:space="preserve">al SSN </w:t>
      </w:r>
      <w:r w:rsidR="00EB2C5F">
        <w:t>l</w:t>
      </w:r>
      <w:r>
        <w:t xml:space="preserve">o stesso </w:t>
      </w:r>
      <w:r w:rsidR="00191F59">
        <w:t>potere di acquisto</w:t>
      </w:r>
      <w:r>
        <w:t xml:space="preserve"> </w:t>
      </w:r>
      <w:r w:rsidR="00EB2C5F">
        <w:t xml:space="preserve">solo se </w:t>
      </w:r>
      <w:r w:rsidR="00C10CA2">
        <w:t xml:space="preserve">la ripresa economica </w:t>
      </w:r>
      <w:r w:rsidR="00F97B45">
        <w:t xml:space="preserve">rispetterà </w:t>
      </w:r>
      <w:r w:rsidR="00EB2C5F">
        <w:t>previsioni</w:t>
      </w:r>
      <w:r w:rsidR="00616235">
        <w:t xml:space="preserve"> più</w:t>
      </w:r>
      <w:r w:rsidR="00EB2C5F">
        <w:t xml:space="preserve"> che</w:t>
      </w:r>
      <w:r w:rsidR="009F6B11">
        <w:t xml:space="preserve"> ottimistiche</w:t>
      </w:r>
      <w:r w:rsidR="00191F59">
        <w:t xml:space="preserve">, </w:t>
      </w:r>
      <w:r>
        <w:t xml:space="preserve">ovvero una </w:t>
      </w:r>
      <w:r w:rsidR="009F6B11">
        <w:t xml:space="preserve">crescita </w:t>
      </w:r>
      <w:r w:rsidR="0035547A">
        <w:t xml:space="preserve">media </w:t>
      </w:r>
      <w:r w:rsidR="009F6B11">
        <w:t xml:space="preserve">del </w:t>
      </w:r>
      <w:r w:rsidR="00191F59">
        <w:t xml:space="preserve">PIL </w:t>
      </w:r>
      <w:r w:rsidR="009F6B11">
        <w:t xml:space="preserve">del </w:t>
      </w:r>
      <w:r w:rsidR="0035547A">
        <w:t>2,5</w:t>
      </w:r>
      <w:r w:rsidR="00014FDE">
        <w:t>%</w:t>
      </w:r>
      <w:r>
        <w:t xml:space="preserve"> per il triennio 2020-2021</w:t>
      </w:r>
      <w:r w:rsidR="008F7C0C">
        <w:t>».</w:t>
      </w:r>
    </w:p>
    <w:p w:rsidR="00AD6ECE" w:rsidRDefault="00AD6ECE" w:rsidP="001E3647">
      <w:pPr>
        <w:spacing w:after="120"/>
      </w:pPr>
      <w:r>
        <w:t>«</w:t>
      </w:r>
      <w:r w:rsidR="00F57AF9">
        <w:t xml:space="preserve">Delle </w:t>
      </w:r>
      <w:r>
        <w:t xml:space="preserve">cifre assolute </w:t>
      </w:r>
      <w:r w:rsidR="00F57AF9">
        <w:t xml:space="preserve">riportate nel DEF </w:t>
      </w:r>
      <w:r>
        <w:t xml:space="preserve">– </w:t>
      </w:r>
      <w:r w:rsidR="004F2231">
        <w:t xml:space="preserve">continua il Presidente </w:t>
      </w:r>
      <w:r>
        <w:t xml:space="preserve">– </w:t>
      </w:r>
      <w:r w:rsidR="00E7158F">
        <w:t xml:space="preserve">è bene non </w:t>
      </w:r>
      <w:r>
        <w:t>fidarsi</w:t>
      </w:r>
      <w:r w:rsidR="00974F6D">
        <w:t>, soprattutto nel medio termine,</w:t>
      </w:r>
      <w:r>
        <w:t xml:space="preserve"> perché </w:t>
      </w:r>
      <w:r w:rsidR="00974F6D">
        <w:t>le risorse assegnate alla sanità dalle Leggi</w:t>
      </w:r>
      <w:r>
        <w:t xml:space="preserve"> di Bilancio </w:t>
      </w:r>
      <w:r w:rsidR="001916E9">
        <w:t xml:space="preserve">risultano </w:t>
      </w:r>
      <w:r w:rsidR="00974F6D">
        <w:t>sempre inferiori alle stime del DEF sulla spesa sanitaria</w:t>
      </w:r>
      <w:r w:rsidR="00F97B45">
        <w:t>»</w:t>
      </w:r>
      <w:r>
        <w:t xml:space="preserve">. Ad esempio, per l’anno 2018 </w:t>
      </w:r>
      <w:r w:rsidR="00974F6D">
        <w:t xml:space="preserve">la stima di </w:t>
      </w:r>
      <w:r>
        <w:t xml:space="preserve">€ 121,3 miliardi di spesa sanitaria </w:t>
      </w:r>
      <w:r w:rsidR="00974F6D">
        <w:t>de</w:t>
      </w:r>
      <w:r>
        <w:t xml:space="preserve">l DEF 2014 </w:t>
      </w:r>
      <w:r w:rsidR="00974F6D">
        <w:t xml:space="preserve">è </w:t>
      </w:r>
      <w:r>
        <w:t>pre</w:t>
      </w:r>
      <w:r w:rsidR="00974F6D">
        <w:t>cipitata</w:t>
      </w:r>
      <w:r>
        <w:t xml:space="preserve"> a € 117,7 con il DEF 2015, quindi a € 116,2 con il DEF 2016 e a € 115,1 con il DEF 2017</w:t>
      </w:r>
      <w:r w:rsidR="00974F6D">
        <w:t>,</w:t>
      </w:r>
      <w:r>
        <w:t xml:space="preserve"> per arrivare ad un finanziamento reale di € 113,4 miliardi con la Legge di Bilancio 2018».</w:t>
      </w:r>
    </w:p>
    <w:p w:rsidR="00CF7D0F" w:rsidRDefault="00974F6D" w:rsidP="001E3647">
      <w:pPr>
        <w:spacing w:after="120"/>
        <w:rPr>
          <w:color w:val="000000" w:themeColor="text1"/>
        </w:rPr>
      </w:pPr>
      <w:r>
        <w:t>Nel DEF 2019 i</w:t>
      </w:r>
      <w:r w:rsidR="00604B41">
        <w:t xml:space="preserve">l rapporto spesa sanitaria/PIL rimane </w:t>
      </w:r>
      <w:r w:rsidR="00E7158F">
        <w:t>identico al</w:t>
      </w:r>
      <w:r w:rsidR="00604B41">
        <w:t xml:space="preserve"> 2018 (6,6%) per gli anni 2019 e 2020, </w:t>
      </w:r>
      <w:r w:rsidR="00F57AF9">
        <w:t xml:space="preserve">per </w:t>
      </w:r>
      <w:r w:rsidR="00604B41">
        <w:t xml:space="preserve">poi </w:t>
      </w:r>
      <w:r w:rsidR="00F57AF9">
        <w:t xml:space="preserve">ridursi </w:t>
      </w:r>
      <w:r w:rsidR="00604B41">
        <w:t xml:space="preserve">al 6,5% nel 2021 e al 6,4% nel 2022. «Queste previsioni – </w:t>
      </w:r>
      <w:r w:rsidR="004F2231">
        <w:t xml:space="preserve">afferma Cartabellotta </w:t>
      </w:r>
      <w:r w:rsidR="00562521">
        <w:t xml:space="preserve">– smentiscono </w:t>
      </w:r>
      <w:r w:rsidR="00562521" w:rsidRPr="00562521">
        <w:rPr>
          <w:color w:val="000000" w:themeColor="text1"/>
        </w:rPr>
        <w:t xml:space="preserve">l’inversione di tendenza </w:t>
      </w:r>
      <w:r w:rsidR="00562521">
        <w:rPr>
          <w:color w:val="000000" w:themeColor="text1"/>
        </w:rPr>
        <w:t xml:space="preserve">incautamente </w:t>
      </w:r>
      <w:r w:rsidR="00562521" w:rsidRPr="00562521">
        <w:rPr>
          <w:color w:val="000000" w:themeColor="text1"/>
        </w:rPr>
        <w:t xml:space="preserve">annunciata dal Premier Conte </w:t>
      </w:r>
      <w:r w:rsidR="00F97B45">
        <w:rPr>
          <w:color w:val="000000" w:themeColor="text1"/>
        </w:rPr>
        <w:t xml:space="preserve">nel giugno 2018 </w:t>
      </w:r>
      <w:r w:rsidR="00562521" w:rsidRPr="00562521">
        <w:rPr>
          <w:color w:val="000000" w:themeColor="text1"/>
        </w:rPr>
        <w:t>in occasione del discorso per la fiducia</w:t>
      </w:r>
      <w:r w:rsidR="00562521">
        <w:rPr>
          <w:color w:val="000000" w:themeColor="text1"/>
        </w:rPr>
        <w:t xml:space="preserve"> e </w:t>
      </w:r>
      <w:r w:rsidR="00604B41">
        <w:t xml:space="preserve">sono </w:t>
      </w:r>
      <w:r w:rsidR="00E7158F">
        <w:t>identiche</w:t>
      </w:r>
      <w:r w:rsidR="00604B41">
        <w:t xml:space="preserve"> </w:t>
      </w:r>
      <w:r w:rsidR="00E7158F">
        <w:t xml:space="preserve">a </w:t>
      </w:r>
      <w:r w:rsidR="00604B41">
        <w:t xml:space="preserve">quelle dei </w:t>
      </w:r>
      <w:r w:rsidR="00562521">
        <w:t xml:space="preserve">DEF </w:t>
      </w:r>
      <w:r w:rsidR="00E7158F">
        <w:t xml:space="preserve">(e dei Governi) </w:t>
      </w:r>
      <w:r w:rsidR="00562521">
        <w:t xml:space="preserve">precedenti, dove </w:t>
      </w:r>
      <w:r w:rsidR="001916E9">
        <w:t>al</w:t>
      </w:r>
      <w:r w:rsidR="00F97B45">
        <w:t>l’</w:t>
      </w:r>
      <w:r w:rsidR="00604B41">
        <w:t xml:space="preserve">incremento atteso della crescita economica </w:t>
      </w:r>
      <w:r w:rsidR="00F97B45">
        <w:t xml:space="preserve">corrisponde sempre una riduzione del </w:t>
      </w:r>
      <w:r w:rsidR="00F57AF9">
        <w:t>rapporto spesa sanitaria/PIL</w:t>
      </w:r>
      <w:r w:rsidR="00604B41">
        <w:t xml:space="preserve">. </w:t>
      </w:r>
      <w:r w:rsidR="00E7158F">
        <w:t xml:space="preserve">Questa </w:t>
      </w:r>
      <w:r w:rsidR="00F57AF9" w:rsidRPr="00001559">
        <w:t xml:space="preserve">strategia </w:t>
      </w:r>
      <w:r w:rsidR="00001559">
        <w:t xml:space="preserve">di finanza pubblica </w:t>
      </w:r>
      <w:r w:rsidR="00F57AF9">
        <w:t xml:space="preserve">documenta </w:t>
      </w:r>
      <w:r w:rsidR="005E57D9">
        <w:t xml:space="preserve">inequivocabilmente </w:t>
      </w:r>
      <w:r w:rsidR="00E7158F">
        <w:t xml:space="preserve">che </w:t>
      </w:r>
      <w:r w:rsidR="001916E9">
        <w:t xml:space="preserve">per tutti i Governi che si sono succeduti negli anni, compreso il cosiddetto Governo del Cambiamento, </w:t>
      </w:r>
      <w:r w:rsidR="00E7158F">
        <w:t>la sanità non</w:t>
      </w:r>
      <w:r w:rsidR="001916E9">
        <w:t xml:space="preserve"> ha mai</w:t>
      </w:r>
      <w:r w:rsidR="00E7158F">
        <w:t xml:space="preserve"> rappresenta</w:t>
      </w:r>
      <w:r w:rsidR="001916E9">
        <w:t>to</w:t>
      </w:r>
      <w:r w:rsidR="00E7158F">
        <w:t xml:space="preserve"> una </w:t>
      </w:r>
      <w:r w:rsidR="00E7158F">
        <w:lastRenderedPageBreak/>
        <w:t>priorità politica</w:t>
      </w:r>
      <w:r w:rsidR="00124DB0">
        <w:t>. I</w:t>
      </w:r>
      <w:r w:rsidR="00E7158F">
        <w:t xml:space="preserve">nfatti, </w:t>
      </w:r>
      <w:r w:rsidR="00562521">
        <w:t xml:space="preserve">quando </w:t>
      </w:r>
      <w:r w:rsidR="00945074">
        <w:t xml:space="preserve">l’economia è stagnante </w:t>
      </w:r>
      <w:r w:rsidR="00E7158F">
        <w:t>la sanità</w:t>
      </w:r>
      <w:r w:rsidR="00F57AF9">
        <w:t xml:space="preserve"> </w:t>
      </w:r>
      <w:r w:rsidR="001916E9">
        <w:t xml:space="preserve">si trasforma automaticamente in </w:t>
      </w:r>
      <w:r w:rsidR="00F57AF9">
        <w:t>un bancomat al portatore</w:t>
      </w:r>
      <w:r w:rsidR="00E7158F">
        <w:t xml:space="preserve">, mentre </w:t>
      </w:r>
      <w:r w:rsidR="00F57AF9">
        <w:t xml:space="preserve">in caso di </w:t>
      </w:r>
      <w:r w:rsidR="00562521">
        <w:t xml:space="preserve">crescita </w:t>
      </w:r>
      <w:r w:rsidR="005E57D9">
        <w:t>economica i benefici</w:t>
      </w:r>
      <w:r w:rsidR="00E7158F">
        <w:t xml:space="preserve"> </w:t>
      </w:r>
      <w:r w:rsidR="005E57D9">
        <w:t>per il SSN non sono proporzionali, rendendo di fatto impossibile un rilancio del finanziamento pubblico</w:t>
      </w:r>
      <w:r w:rsidR="00550C9C" w:rsidRPr="00B20DA5">
        <w:rPr>
          <w:color w:val="000000" w:themeColor="text1"/>
        </w:rPr>
        <w:t>».</w:t>
      </w:r>
    </w:p>
    <w:p w:rsidR="00562521" w:rsidRDefault="005E57D9" w:rsidP="001E3647">
      <w:pPr>
        <w:spacing w:after="120"/>
        <w:rPr>
          <w:color w:val="000000" w:themeColor="text1"/>
        </w:rPr>
      </w:pPr>
      <w:r>
        <w:rPr>
          <w:color w:val="000000" w:themeColor="text1"/>
        </w:rPr>
        <w:t>A</w:t>
      </w:r>
      <w:r w:rsidR="00562521">
        <w:rPr>
          <w:color w:val="000000" w:themeColor="text1"/>
        </w:rPr>
        <w:t>nali</w:t>
      </w:r>
      <w:r w:rsidR="00E7158F">
        <w:rPr>
          <w:color w:val="000000" w:themeColor="text1"/>
        </w:rPr>
        <w:t xml:space="preserve">zzando </w:t>
      </w:r>
      <w:r w:rsidR="00562521">
        <w:rPr>
          <w:color w:val="000000" w:themeColor="text1"/>
        </w:rPr>
        <w:t>le previsioni per l’a</w:t>
      </w:r>
      <w:r w:rsidR="00562521" w:rsidRPr="00562521">
        <w:rPr>
          <w:color w:val="000000" w:themeColor="text1"/>
        </w:rPr>
        <w:t>nno 2019</w:t>
      </w:r>
      <w:r w:rsidR="0047771B">
        <w:rPr>
          <w:color w:val="000000" w:themeColor="text1"/>
        </w:rPr>
        <w:t>,</w:t>
      </w:r>
      <w:r w:rsidR="0047771B" w:rsidRPr="0047771B">
        <w:rPr>
          <w:color w:val="000000" w:themeColor="text1"/>
        </w:rPr>
        <w:t xml:space="preserve"> </w:t>
      </w:r>
      <w:r w:rsidR="0047771B">
        <w:rPr>
          <w:color w:val="000000" w:themeColor="text1"/>
        </w:rPr>
        <w:t xml:space="preserve">emergono </w:t>
      </w:r>
      <w:r>
        <w:rPr>
          <w:color w:val="000000" w:themeColor="text1"/>
        </w:rPr>
        <w:t xml:space="preserve">infine </w:t>
      </w:r>
      <w:r w:rsidR="0047771B">
        <w:rPr>
          <w:color w:val="000000" w:themeColor="text1"/>
        </w:rPr>
        <w:t xml:space="preserve">alcune </w:t>
      </w:r>
      <w:r>
        <w:rPr>
          <w:color w:val="000000" w:themeColor="text1"/>
        </w:rPr>
        <w:t>incongruenze</w:t>
      </w:r>
      <w:r w:rsidR="0047771B">
        <w:rPr>
          <w:color w:val="000000" w:themeColor="text1"/>
        </w:rPr>
        <w:t xml:space="preserve">, visto che </w:t>
      </w:r>
      <w:r w:rsidR="00562521" w:rsidRPr="00562521">
        <w:rPr>
          <w:color w:val="000000" w:themeColor="text1"/>
        </w:rPr>
        <w:t>il DEF stima una spesa sanitaria di € 118.061 milioni</w:t>
      </w:r>
      <w:r w:rsidR="00562521">
        <w:rPr>
          <w:color w:val="000000" w:themeColor="text1"/>
        </w:rPr>
        <w:t xml:space="preserve"> con </w:t>
      </w:r>
      <w:r w:rsidR="00562521" w:rsidRPr="00562521">
        <w:rPr>
          <w:color w:val="000000" w:themeColor="text1"/>
        </w:rPr>
        <w:t xml:space="preserve">un aumento </w:t>
      </w:r>
      <w:r w:rsidR="0075721B">
        <w:rPr>
          <w:color w:val="000000" w:themeColor="text1"/>
        </w:rPr>
        <w:t xml:space="preserve">rispetto al 2018 </w:t>
      </w:r>
      <w:r w:rsidR="00562521" w:rsidRPr="00562521">
        <w:rPr>
          <w:color w:val="000000" w:themeColor="text1"/>
        </w:rPr>
        <w:t xml:space="preserve">di </w:t>
      </w:r>
      <w:r w:rsidR="00A80422">
        <w:rPr>
          <w:color w:val="000000" w:themeColor="text1"/>
        </w:rPr>
        <w:t xml:space="preserve">ben </w:t>
      </w:r>
      <w:r w:rsidR="00562521" w:rsidRPr="00562521">
        <w:rPr>
          <w:color w:val="000000" w:themeColor="text1"/>
        </w:rPr>
        <w:t>€ 2.651 milioni</w:t>
      </w:r>
      <w:r w:rsidR="0075721B">
        <w:rPr>
          <w:color w:val="000000" w:themeColor="text1"/>
        </w:rPr>
        <w:t>, in buona parte da destinare</w:t>
      </w:r>
      <w:r w:rsidR="00A45EA3">
        <w:rPr>
          <w:color w:val="000000" w:themeColor="text1"/>
        </w:rPr>
        <w:t xml:space="preserve"> al personale sanitario</w:t>
      </w:r>
      <w:r w:rsidR="0075721B">
        <w:rPr>
          <w:color w:val="000000" w:themeColor="text1"/>
        </w:rPr>
        <w:t>. I</w:t>
      </w:r>
      <w:r w:rsidR="00A45EA3">
        <w:rPr>
          <w:color w:val="000000" w:themeColor="text1"/>
        </w:rPr>
        <w:t xml:space="preserve">l DEF 2019 precisa </w:t>
      </w:r>
      <w:r w:rsidR="0075721B">
        <w:rPr>
          <w:color w:val="000000" w:themeColor="text1"/>
        </w:rPr>
        <w:t xml:space="preserve">infatti </w:t>
      </w:r>
      <w:r w:rsidR="00A45EA3">
        <w:rPr>
          <w:color w:val="000000" w:themeColor="text1"/>
        </w:rPr>
        <w:t xml:space="preserve">che per </w:t>
      </w:r>
      <w:r w:rsidR="009D2044">
        <w:rPr>
          <w:color w:val="000000" w:themeColor="text1"/>
        </w:rPr>
        <w:t xml:space="preserve">i </w:t>
      </w:r>
      <w:r w:rsidR="00A45EA3" w:rsidRPr="005B2D50">
        <w:rPr>
          <w:color w:val="000000" w:themeColor="text1"/>
        </w:rPr>
        <w:t xml:space="preserve">redditi da lavoro dipendente </w:t>
      </w:r>
      <w:r w:rsidR="00A45EA3">
        <w:rPr>
          <w:color w:val="000000" w:themeColor="text1"/>
        </w:rPr>
        <w:t xml:space="preserve">si stima </w:t>
      </w:r>
      <w:r w:rsidR="00A45EA3" w:rsidRPr="005B2D50">
        <w:rPr>
          <w:color w:val="000000" w:themeColor="text1"/>
        </w:rPr>
        <w:t>un livello</w:t>
      </w:r>
      <w:r w:rsidR="00A45EA3">
        <w:rPr>
          <w:color w:val="000000" w:themeColor="text1"/>
        </w:rPr>
        <w:t xml:space="preserve"> di spesa pari a € 36.502 milioni, ovvero quasi un miliardo </w:t>
      </w:r>
      <w:r w:rsidR="004A44E7">
        <w:rPr>
          <w:color w:val="000000" w:themeColor="text1"/>
        </w:rPr>
        <w:t xml:space="preserve">di euro </w:t>
      </w:r>
      <w:r w:rsidR="00A45EA3">
        <w:rPr>
          <w:color w:val="000000" w:themeColor="text1"/>
        </w:rPr>
        <w:t xml:space="preserve">in più rispetto al 2018, </w:t>
      </w:r>
      <w:r>
        <w:rPr>
          <w:color w:val="000000" w:themeColor="text1"/>
        </w:rPr>
        <w:t>quando</w:t>
      </w:r>
      <w:r w:rsidR="0075721B">
        <w:rPr>
          <w:color w:val="000000" w:themeColor="text1"/>
        </w:rPr>
        <w:t xml:space="preserve"> </w:t>
      </w:r>
      <w:r w:rsidR="00A45EA3">
        <w:rPr>
          <w:color w:val="000000" w:themeColor="text1"/>
        </w:rPr>
        <w:t xml:space="preserve">la spesa </w:t>
      </w:r>
      <w:r w:rsidR="0075721B">
        <w:rPr>
          <w:color w:val="000000" w:themeColor="text1"/>
        </w:rPr>
        <w:t xml:space="preserve">era di </w:t>
      </w:r>
      <w:r w:rsidR="00A45EA3">
        <w:rPr>
          <w:color w:val="000000" w:themeColor="text1"/>
        </w:rPr>
        <w:t>€ 35.540 mili</w:t>
      </w:r>
      <w:r w:rsidR="0047771B">
        <w:rPr>
          <w:color w:val="000000" w:themeColor="text1"/>
        </w:rPr>
        <w:t>oni.</w:t>
      </w:r>
      <w:r w:rsidR="00A45EA3">
        <w:rPr>
          <w:color w:val="000000" w:themeColor="text1"/>
        </w:rPr>
        <w:t xml:space="preserve"> </w:t>
      </w:r>
      <w:r w:rsidR="00562521">
        <w:t>«</w:t>
      </w:r>
      <w:r w:rsidR="00A45EA3">
        <w:t xml:space="preserve">Tuttavia </w:t>
      </w:r>
      <w:r w:rsidR="00562521">
        <w:t xml:space="preserve">– </w:t>
      </w:r>
      <w:r w:rsidR="00A45EA3">
        <w:t xml:space="preserve">puntualizza </w:t>
      </w:r>
      <w:r w:rsidR="00562521">
        <w:t>Cartabellotta –</w:t>
      </w:r>
      <w:r w:rsidR="00A45EA3">
        <w:t xml:space="preserve"> </w:t>
      </w:r>
      <w:r w:rsidR="009D2044">
        <w:t>se</w:t>
      </w:r>
      <w:r w:rsidR="00A45EA3">
        <w:t xml:space="preserve"> </w:t>
      </w:r>
      <w:r w:rsidR="00A45EA3" w:rsidRPr="00562521">
        <w:rPr>
          <w:color w:val="000000" w:themeColor="text1"/>
        </w:rPr>
        <w:t>la Legge di Bilancio 2019</w:t>
      </w:r>
      <w:r w:rsidR="00A45EA3">
        <w:rPr>
          <w:color w:val="000000" w:themeColor="text1"/>
        </w:rPr>
        <w:t xml:space="preserve"> </w:t>
      </w:r>
      <w:r w:rsidR="00562521" w:rsidRPr="00562521">
        <w:rPr>
          <w:color w:val="000000" w:themeColor="text1"/>
        </w:rPr>
        <w:t xml:space="preserve">ha </w:t>
      </w:r>
      <w:r>
        <w:rPr>
          <w:color w:val="000000" w:themeColor="text1"/>
        </w:rPr>
        <w:t xml:space="preserve">già </w:t>
      </w:r>
      <w:r w:rsidR="00A80422">
        <w:rPr>
          <w:color w:val="000000" w:themeColor="text1"/>
        </w:rPr>
        <w:t>destinato al</w:t>
      </w:r>
      <w:r>
        <w:rPr>
          <w:color w:val="000000" w:themeColor="text1"/>
        </w:rPr>
        <w:t xml:space="preserve">la sanità </w:t>
      </w:r>
      <w:r w:rsidR="00A80422">
        <w:rPr>
          <w:color w:val="000000" w:themeColor="text1"/>
        </w:rPr>
        <w:t xml:space="preserve">solo </w:t>
      </w:r>
      <w:r w:rsidR="00562521" w:rsidRPr="00562521">
        <w:rPr>
          <w:color w:val="000000" w:themeColor="text1"/>
        </w:rPr>
        <w:t xml:space="preserve">€ 1 miliardo, </w:t>
      </w:r>
      <w:r w:rsidR="00A45EA3">
        <w:rPr>
          <w:color w:val="000000" w:themeColor="text1"/>
        </w:rPr>
        <w:t xml:space="preserve">peraltro </w:t>
      </w:r>
      <w:r w:rsidR="009D2044">
        <w:rPr>
          <w:color w:val="000000" w:themeColor="text1"/>
        </w:rPr>
        <w:t>senza alcun vincolo</w:t>
      </w:r>
      <w:r w:rsidR="00A45EA3">
        <w:rPr>
          <w:color w:val="000000" w:themeColor="text1"/>
        </w:rPr>
        <w:t xml:space="preserve"> </w:t>
      </w:r>
      <w:r w:rsidR="009D2044">
        <w:rPr>
          <w:color w:val="000000" w:themeColor="text1"/>
        </w:rPr>
        <w:t xml:space="preserve">sul </w:t>
      </w:r>
      <w:r w:rsidR="00A45EA3">
        <w:rPr>
          <w:color w:val="000000" w:themeColor="text1"/>
        </w:rPr>
        <w:t>personale, da tali previsioni emergono due legittimi interrogativi. Il</w:t>
      </w:r>
      <w:r w:rsidR="00562521" w:rsidRPr="00562521">
        <w:rPr>
          <w:color w:val="000000" w:themeColor="text1"/>
        </w:rPr>
        <w:t xml:space="preserve"> DEF </w:t>
      </w:r>
      <w:r w:rsidR="00001559">
        <w:rPr>
          <w:color w:val="000000" w:themeColor="text1"/>
        </w:rPr>
        <w:t>intende certificare</w:t>
      </w:r>
      <w:r w:rsidR="00562521" w:rsidRPr="00562521">
        <w:rPr>
          <w:color w:val="000000" w:themeColor="text1"/>
        </w:rPr>
        <w:t xml:space="preserve"> </w:t>
      </w:r>
      <w:r w:rsidR="009D2044" w:rsidRPr="00562521">
        <w:rPr>
          <w:color w:val="000000" w:themeColor="text1"/>
        </w:rPr>
        <w:t>p</w:t>
      </w:r>
      <w:r w:rsidR="009D2044">
        <w:rPr>
          <w:color w:val="000000" w:themeColor="text1"/>
        </w:rPr>
        <w:t xml:space="preserve">er </w:t>
      </w:r>
      <w:r w:rsidR="00A80422">
        <w:rPr>
          <w:color w:val="000000" w:themeColor="text1"/>
        </w:rPr>
        <w:t xml:space="preserve">l’anno 2019 </w:t>
      </w:r>
      <w:r w:rsidR="00562521" w:rsidRPr="00562521">
        <w:rPr>
          <w:color w:val="000000" w:themeColor="text1"/>
        </w:rPr>
        <w:t xml:space="preserve">un aumento del deficit </w:t>
      </w:r>
      <w:r w:rsidR="00A80422">
        <w:rPr>
          <w:color w:val="000000" w:themeColor="text1"/>
        </w:rPr>
        <w:t xml:space="preserve">per la sanità </w:t>
      </w:r>
      <w:r w:rsidR="00A45EA3">
        <w:rPr>
          <w:color w:val="000000" w:themeColor="text1"/>
        </w:rPr>
        <w:t xml:space="preserve">di € 1.651 milioni? Con quali modalità il Governo intende convincere le Regioni a destinare </w:t>
      </w:r>
      <w:r w:rsidR="00A80422">
        <w:rPr>
          <w:color w:val="000000" w:themeColor="text1"/>
        </w:rPr>
        <w:t xml:space="preserve">un </w:t>
      </w:r>
      <w:r w:rsidR="009D2044">
        <w:rPr>
          <w:color w:val="000000" w:themeColor="text1"/>
        </w:rPr>
        <w:t>miliardo</w:t>
      </w:r>
      <w:r w:rsidR="00A80422">
        <w:rPr>
          <w:color w:val="000000" w:themeColor="text1"/>
        </w:rPr>
        <w:t>, di fatto quello previsto dall’</w:t>
      </w:r>
      <w:r w:rsidR="009D2044">
        <w:rPr>
          <w:color w:val="000000" w:themeColor="text1"/>
        </w:rPr>
        <w:t>aumento del FSN</w:t>
      </w:r>
      <w:r w:rsidR="00001559">
        <w:rPr>
          <w:color w:val="000000" w:themeColor="text1"/>
        </w:rPr>
        <w:t xml:space="preserve"> 2019</w:t>
      </w:r>
      <w:r w:rsidR="00A80422">
        <w:rPr>
          <w:color w:val="000000" w:themeColor="text1"/>
        </w:rPr>
        <w:t>,</w:t>
      </w:r>
      <w:r w:rsidR="009D2044">
        <w:rPr>
          <w:color w:val="000000" w:themeColor="text1"/>
        </w:rPr>
        <w:t xml:space="preserve"> </w:t>
      </w:r>
      <w:r w:rsidR="0075721B">
        <w:rPr>
          <w:color w:val="000000" w:themeColor="text1"/>
        </w:rPr>
        <w:t>interamente a</w:t>
      </w:r>
      <w:r w:rsidR="00A80422">
        <w:rPr>
          <w:color w:val="000000" w:themeColor="text1"/>
        </w:rPr>
        <w:t>l personale sanitario</w:t>
      </w:r>
      <w:r w:rsidR="00A45EA3">
        <w:rPr>
          <w:color w:val="000000" w:themeColor="text1"/>
        </w:rPr>
        <w:t>?</w:t>
      </w:r>
      <w:r w:rsidR="00562521" w:rsidRPr="00B20DA5">
        <w:rPr>
          <w:color w:val="000000" w:themeColor="text1"/>
        </w:rPr>
        <w:t>».</w:t>
      </w:r>
    </w:p>
    <w:p w:rsidR="00A45EA3" w:rsidRDefault="00A45EA3" w:rsidP="001E3647">
      <w:pPr>
        <w:spacing w:after="120"/>
        <w:rPr>
          <w:color w:val="000000" w:themeColor="text1"/>
        </w:rPr>
      </w:pPr>
      <w:r>
        <w:rPr>
          <w:color w:val="000000" w:themeColor="text1"/>
        </w:rPr>
        <w:t xml:space="preserve">In conclusione, dalle analisi GIMBE del DEF 2019 emergono alcune ragionevoli (e preoccupanti) certezze per il </w:t>
      </w:r>
      <w:r w:rsidR="004A44E7">
        <w:rPr>
          <w:color w:val="000000" w:themeColor="text1"/>
        </w:rPr>
        <w:t>Servizio Sanitario N</w:t>
      </w:r>
      <w:r>
        <w:rPr>
          <w:color w:val="000000" w:themeColor="text1"/>
        </w:rPr>
        <w:t>azionale:</w:t>
      </w:r>
    </w:p>
    <w:p w:rsidR="009D2044" w:rsidRDefault="009D2044" w:rsidP="001E3647">
      <w:pPr>
        <w:pStyle w:val="Paragrafoelenco"/>
        <w:numPr>
          <w:ilvl w:val="0"/>
          <w:numId w:val="20"/>
        </w:num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>La crescita ec</w:t>
      </w:r>
      <w:r w:rsidR="005A1219">
        <w:rPr>
          <w:color w:val="000000" w:themeColor="text1"/>
        </w:rPr>
        <w:t>onomica del Paese, rispetto alle previsioni della</w:t>
      </w:r>
      <w:r>
        <w:rPr>
          <w:color w:val="000000" w:themeColor="text1"/>
        </w:rPr>
        <w:t xml:space="preserve"> NaDEF 2018 è stata </w:t>
      </w:r>
      <w:r w:rsidR="0047771B">
        <w:rPr>
          <w:color w:val="000000" w:themeColor="text1"/>
        </w:rPr>
        <w:t xml:space="preserve">drammaticamente </w:t>
      </w:r>
      <w:r>
        <w:rPr>
          <w:color w:val="000000" w:themeColor="text1"/>
        </w:rPr>
        <w:t>ridimensionata, in particolare per il 2019 (-1,9%)</w:t>
      </w:r>
      <w:r w:rsidR="00DB51ED">
        <w:rPr>
          <w:color w:val="000000" w:themeColor="text1"/>
        </w:rPr>
        <w:t>.</w:t>
      </w:r>
    </w:p>
    <w:p w:rsidR="00A45EA3" w:rsidRDefault="00EE59EC" w:rsidP="001E3647">
      <w:pPr>
        <w:pStyle w:val="Paragrafoelenco"/>
        <w:numPr>
          <w:ilvl w:val="0"/>
          <w:numId w:val="20"/>
        </w:num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Non </w:t>
      </w:r>
      <w:r w:rsidR="004A44E7">
        <w:rPr>
          <w:color w:val="000000" w:themeColor="text1"/>
        </w:rPr>
        <w:t xml:space="preserve">viene </w:t>
      </w:r>
      <w:r w:rsidR="00E061F3" w:rsidRPr="003B4F0F">
        <w:t xml:space="preserve">definita </w:t>
      </w:r>
      <w:r>
        <w:rPr>
          <w:color w:val="000000" w:themeColor="text1"/>
        </w:rPr>
        <w:t xml:space="preserve">alcuna inversione </w:t>
      </w:r>
      <w:r w:rsidR="0047771B">
        <w:rPr>
          <w:color w:val="000000" w:themeColor="text1"/>
        </w:rPr>
        <w:t xml:space="preserve">di tendenza </w:t>
      </w:r>
      <w:r>
        <w:rPr>
          <w:color w:val="000000" w:themeColor="text1"/>
        </w:rPr>
        <w:t>del rapporto s</w:t>
      </w:r>
      <w:r w:rsidR="009D2044">
        <w:rPr>
          <w:color w:val="000000" w:themeColor="text1"/>
        </w:rPr>
        <w:t xml:space="preserve">pesa sanitaria/PIL, che </w:t>
      </w:r>
      <w:r w:rsidR="0047771B">
        <w:rPr>
          <w:color w:val="000000" w:themeColor="text1"/>
        </w:rPr>
        <w:t xml:space="preserve">rimane stabile sino al 2020 e </w:t>
      </w:r>
      <w:r w:rsidR="009D2044">
        <w:rPr>
          <w:color w:val="000000" w:themeColor="text1"/>
        </w:rPr>
        <w:t>inizia a ridursi</w:t>
      </w:r>
      <w:r w:rsidR="0047771B">
        <w:rPr>
          <w:color w:val="000000" w:themeColor="text1"/>
        </w:rPr>
        <w:t xml:space="preserve"> dal 2021.</w:t>
      </w:r>
    </w:p>
    <w:p w:rsidR="009D2044" w:rsidRDefault="009D2044" w:rsidP="001E3647">
      <w:pPr>
        <w:pStyle w:val="Paragrafoelenco"/>
        <w:numPr>
          <w:ilvl w:val="0"/>
          <w:numId w:val="20"/>
        </w:num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 xml:space="preserve">Per il 2019 </w:t>
      </w:r>
      <w:r w:rsidR="005E57D9">
        <w:rPr>
          <w:color w:val="000000" w:themeColor="text1"/>
        </w:rPr>
        <w:t xml:space="preserve">si stima, rispetto al 2018, </w:t>
      </w:r>
      <w:r w:rsidR="0047771B">
        <w:rPr>
          <w:color w:val="000000" w:themeColor="text1"/>
        </w:rPr>
        <w:t xml:space="preserve">un aumento di </w:t>
      </w:r>
      <w:r>
        <w:rPr>
          <w:color w:val="000000" w:themeColor="text1"/>
        </w:rPr>
        <w:t>spesa sanitaria</w:t>
      </w:r>
      <w:r w:rsidR="0047771B">
        <w:rPr>
          <w:color w:val="000000" w:themeColor="text1"/>
        </w:rPr>
        <w:t xml:space="preserve"> di € 2</w:t>
      </w:r>
      <w:r>
        <w:rPr>
          <w:color w:val="000000" w:themeColor="text1"/>
        </w:rPr>
        <w:t xml:space="preserve">,65 miliardi </w:t>
      </w:r>
      <w:r w:rsidR="00DB51ED">
        <w:rPr>
          <w:color w:val="000000" w:themeColor="text1"/>
        </w:rPr>
        <w:t>prevede</w:t>
      </w:r>
      <w:r w:rsidR="0047771B">
        <w:rPr>
          <w:color w:val="000000" w:themeColor="text1"/>
        </w:rPr>
        <w:t>ndo</w:t>
      </w:r>
      <w:r w:rsidR="00DB51ED">
        <w:rPr>
          <w:color w:val="000000" w:themeColor="text1"/>
        </w:rPr>
        <w:t xml:space="preserve"> di destinare quasi un miliardo </w:t>
      </w:r>
      <w:r>
        <w:rPr>
          <w:color w:val="000000" w:themeColor="text1"/>
        </w:rPr>
        <w:t>a</w:t>
      </w:r>
      <w:r w:rsidR="0047771B">
        <w:rPr>
          <w:color w:val="000000" w:themeColor="text1"/>
        </w:rPr>
        <w:t>l personale dipendente</w:t>
      </w:r>
      <w:r w:rsidR="00001559">
        <w:rPr>
          <w:color w:val="000000" w:themeColor="text1"/>
        </w:rPr>
        <w:t>; t</w:t>
      </w:r>
      <w:r w:rsidR="0047771B">
        <w:rPr>
          <w:color w:val="000000" w:themeColor="text1"/>
        </w:rPr>
        <w:t>ali previsioni sono incongruenti con le risorse assegnate dalla Legge di Bilancio 2019, sia rispetto all’entità, sia rispetto alla destinazione.</w:t>
      </w:r>
    </w:p>
    <w:p w:rsidR="00DB51ED" w:rsidRPr="00001559" w:rsidRDefault="005E57D9" w:rsidP="001E3647">
      <w:pPr>
        <w:pStyle w:val="Paragrafoelenco"/>
        <w:numPr>
          <w:ilvl w:val="0"/>
          <w:numId w:val="20"/>
        </w:numPr>
        <w:spacing w:after="120" w:line="276" w:lineRule="auto"/>
        <w:rPr>
          <w:color w:val="000000" w:themeColor="text1"/>
        </w:rPr>
      </w:pPr>
      <w:r>
        <w:rPr>
          <w:color w:val="000000" w:themeColor="text1"/>
        </w:rPr>
        <w:t>Gli aumenti</w:t>
      </w:r>
      <w:r w:rsidR="00DB51ED">
        <w:rPr>
          <w:color w:val="000000" w:themeColor="text1"/>
        </w:rPr>
        <w:t xml:space="preserve"> </w:t>
      </w:r>
      <w:r w:rsidR="00DB51ED" w:rsidRPr="00DB51ED">
        <w:rPr>
          <w:color w:val="000000" w:themeColor="text1"/>
        </w:rPr>
        <w:t>della spesa sanitaria</w:t>
      </w:r>
      <w:r w:rsidR="00DB51E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stimati </w:t>
      </w:r>
      <w:r w:rsidR="00DB51ED">
        <w:rPr>
          <w:color w:val="000000" w:themeColor="text1"/>
        </w:rPr>
        <w:t>p</w:t>
      </w:r>
      <w:r w:rsidR="00DB51ED" w:rsidRPr="00DB51ED">
        <w:rPr>
          <w:color w:val="000000" w:themeColor="text1"/>
        </w:rPr>
        <w:t xml:space="preserve">er </w:t>
      </w:r>
      <w:r w:rsidR="00DB51ED">
        <w:rPr>
          <w:color w:val="000000" w:themeColor="text1"/>
        </w:rPr>
        <w:t xml:space="preserve">il </w:t>
      </w:r>
      <w:r w:rsidR="00DB51ED" w:rsidRPr="00DB51ED">
        <w:rPr>
          <w:color w:val="000000" w:themeColor="text1"/>
        </w:rPr>
        <w:t xml:space="preserve">2020 </w:t>
      </w:r>
      <w:r w:rsidR="00DB51ED">
        <w:rPr>
          <w:color w:val="000000" w:themeColor="text1"/>
        </w:rPr>
        <w:t xml:space="preserve">(+ </w:t>
      </w:r>
      <w:r w:rsidR="00DB51ED" w:rsidRPr="00DB51ED">
        <w:rPr>
          <w:color w:val="000000" w:themeColor="text1"/>
        </w:rPr>
        <w:t>€ 1.892 milioni</w:t>
      </w:r>
      <w:r w:rsidR="00DB51ED">
        <w:rPr>
          <w:color w:val="000000" w:themeColor="text1"/>
        </w:rPr>
        <w:t>)</w:t>
      </w:r>
      <w:r w:rsidR="00DB51ED" w:rsidRPr="00DB51ED">
        <w:rPr>
          <w:color w:val="000000" w:themeColor="text1"/>
        </w:rPr>
        <w:t xml:space="preserve"> e </w:t>
      </w:r>
      <w:r w:rsidR="00DB51ED">
        <w:rPr>
          <w:color w:val="000000" w:themeColor="text1"/>
        </w:rPr>
        <w:t xml:space="preserve">per il </w:t>
      </w:r>
      <w:r w:rsidR="00DB51ED" w:rsidRPr="00DB51ED">
        <w:rPr>
          <w:color w:val="000000" w:themeColor="text1"/>
        </w:rPr>
        <w:t xml:space="preserve">2021 </w:t>
      </w:r>
      <w:r w:rsidR="00DB51ED">
        <w:rPr>
          <w:color w:val="000000" w:themeColor="text1"/>
        </w:rPr>
        <w:t xml:space="preserve">(+ </w:t>
      </w:r>
      <w:r w:rsidR="00DB51ED" w:rsidRPr="00DB51ED">
        <w:rPr>
          <w:color w:val="000000" w:themeColor="text1"/>
        </w:rPr>
        <w:t>€ 1.405 milioni</w:t>
      </w:r>
      <w:r w:rsidR="00DB51ED">
        <w:rPr>
          <w:color w:val="000000" w:themeColor="text1"/>
        </w:rPr>
        <w:t>)</w:t>
      </w:r>
      <w:r w:rsidR="00DB51ED" w:rsidRPr="00DB51ED">
        <w:rPr>
          <w:color w:val="000000" w:themeColor="text1"/>
        </w:rPr>
        <w:t xml:space="preserve"> </w:t>
      </w:r>
      <w:r w:rsidR="00DB51ED">
        <w:rPr>
          <w:color w:val="000000" w:themeColor="text1"/>
        </w:rPr>
        <w:t xml:space="preserve">sono in linea con l’incremento del FSN previsto dalla Legge di Bilancio 2019, rispettivamente </w:t>
      </w:r>
      <w:r w:rsidR="00DB51ED" w:rsidRPr="00DB51ED">
        <w:rPr>
          <w:color w:val="000000" w:themeColor="text1"/>
        </w:rPr>
        <w:t xml:space="preserve">€ 2.000 milioni </w:t>
      </w:r>
      <w:r w:rsidR="00DB51ED">
        <w:rPr>
          <w:color w:val="000000" w:themeColor="text1"/>
        </w:rPr>
        <w:t>per il 2020 e € 1.500 milioni per il 2021</w:t>
      </w:r>
      <w:r w:rsidR="0075721B">
        <w:rPr>
          <w:color w:val="000000" w:themeColor="text1"/>
        </w:rPr>
        <w:t>.</w:t>
      </w:r>
    </w:p>
    <w:p w:rsidR="00001559" w:rsidRDefault="00B64FD7" w:rsidP="00001559">
      <w:pPr>
        <w:spacing w:after="120"/>
      </w:pPr>
      <w:r>
        <w:t>«</w:t>
      </w:r>
      <w:r w:rsidR="000F09CF">
        <w:t xml:space="preserve">Il DEF 2019 </w:t>
      </w:r>
      <w:r w:rsidR="006B2505">
        <w:t>–</w:t>
      </w:r>
      <w:r w:rsidR="00DB51ED">
        <w:t xml:space="preserve"> conclude </w:t>
      </w:r>
      <w:r w:rsidR="006B2505">
        <w:t>Cartabellotta –</w:t>
      </w:r>
      <w:r w:rsidR="00DB51ED">
        <w:t xml:space="preserve"> </w:t>
      </w:r>
      <w:r w:rsidR="000F09CF">
        <w:t>se da un lato mette a nudo tutte le incertezze sulla crescita economica del Paese, dall’altro aumenta le preoccupazioni per la sanità per tre ragioni</w:t>
      </w:r>
      <w:r w:rsidR="00E3741F">
        <w:t xml:space="preserve"> fondamentali</w:t>
      </w:r>
      <w:r w:rsidR="000F09CF">
        <w:t xml:space="preserve">: innanzitutto, </w:t>
      </w:r>
      <w:r w:rsidR="0075721B">
        <w:t xml:space="preserve">per </w:t>
      </w:r>
      <w:r w:rsidR="00D61C4B">
        <w:t xml:space="preserve">il 2019 le </w:t>
      </w:r>
      <w:r w:rsidR="005A1219">
        <w:t>stime</w:t>
      </w:r>
      <w:r w:rsidR="0075721B">
        <w:t xml:space="preserve"> </w:t>
      </w:r>
      <w:r w:rsidR="00D61C4B">
        <w:t xml:space="preserve">sono incongruenti con </w:t>
      </w:r>
      <w:r w:rsidR="0075721B">
        <w:t>le risors</w:t>
      </w:r>
      <w:r w:rsidR="00D61C4B">
        <w:t>e assegnate dalla Legge di Bilancio</w:t>
      </w:r>
      <w:r w:rsidR="000F09CF">
        <w:t>; in secondo luogo</w:t>
      </w:r>
      <w:r w:rsidR="0047771B">
        <w:t xml:space="preserve">, </w:t>
      </w:r>
      <w:r w:rsidR="005A1219">
        <w:t>se le stime per il 2020-2021 sono allineate con gli incrementi previsti</w:t>
      </w:r>
      <w:r w:rsidR="005E57D9" w:rsidRPr="005E57D9">
        <w:t xml:space="preserve"> </w:t>
      </w:r>
      <w:r w:rsidR="005E57D9">
        <w:t>del FSN</w:t>
      </w:r>
      <w:r w:rsidR="000F09CF">
        <w:t xml:space="preserve">, </w:t>
      </w:r>
      <w:r w:rsidR="005A1219">
        <w:t xml:space="preserve">questi </w:t>
      </w:r>
      <w:r w:rsidR="000F09CF">
        <w:t>oltre che alla sottoscriz</w:t>
      </w:r>
      <w:r w:rsidR="00E3741F">
        <w:t xml:space="preserve">ione di un </w:t>
      </w:r>
      <w:r w:rsidR="000F09CF">
        <w:t>Patto per la Salute</w:t>
      </w:r>
      <w:r w:rsidR="00E3741F">
        <w:t xml:space="preserve"> </w:t>
      </w:r>
      <w:r w:rsidR="007209B4">
        <w:t xml:space="preserve">ancora </w:t>
      </w:r>
      <w:r w:rsidR="00E3741F">
        <w:t>in stallo</w:t>
      </w:r>
      <w:r w:rsidR="000F09CF">
        <w:t xml:space="preserve">, sono </w:t>
      </w:r>
      <w:r w:rsidR="004A44E7">
        <w:t xml:space="preserve">legati </w:t>
      </w:r>
      <w:r w:rsidR="000F09CF">
        <w:t xml:space="preserve">ad </w:t>
      </w:r>
      <w:r w:rsidR="004A44E7">
        <w:t xml:space="preserve">utopistiche </w:t>
      </w:r>
      <w:r w:rsidR="000F09CF">
        <w:t>previsioni di crescita</w:t>
      </w:r>
      <w:r w:rsidR="00E3741F">
        <w:t xml:space="preserve"> economica</w:t>
      </w:r>
      <w:r w:rsidR="000F09CF">
        <w:t xml:space="preserve">; infine, </w:t>
      </w:r>
      <w:r w:rsidR="004A44E7">
        <w:t xml:space="preserve">su tutto </w:t>
      </w:r>
      <w:r w:rsidR="005A1219">
        <w:t xml:space="preserve">aleggia </w:t>
      </w:r>
      <w:r w:rsidR="00E3741F">
        <w:t xml:space="preserve">lo spettro della </w:t>
      </w:r>
      <w:r w:rsidR="00E3741F" w:rsidRPr="00E3741F">
        <w:t>clausola di salvaguardia</w:t>
      </w:r>
      <w:r w:rsidR="00124DB0">
        <w:t xml:space="preserve">, ovvero il </w:t>
      </w:r>
      <w:r w:rsidR="000F09CF" w:rsidRPr="000F09CF">
        <w:t xml:space="preserve">blocco di </w:t>
      </w:r>
      <w:r w:rsidR="004A44E7">
        <w:t xml:space="preserve">€ </w:t>
      </w:r>
      <w:r w:rsidR="00E3741F">
        <w:t xml:space="preserve">2 </w:t>
      </w:r>
      <w:r w:rsidR="000F09CF" w:rsidRPr="000F09CF">
        <w:t>miliardi di spesa pubblica in caso di deviazione dall’obiettivo di indebitamento netto</w:t>
      </w:r>
      <w:r w:rsidR="00124DB0">
        <w:t xml:space="preserve">, </w:t>
      </w:r>
      <w:r w:rsidR="00E3741F">
        <w:t xml:space="preserve">che </w:t>
      </w:r>
      <w:r w:rsidR="00B81958">
        <w:t xml:space="preserve">sicuramente </w:t>
      </w:r>
      <w:r w:rsidR="007F2ABD">
        <w:t>colpirà</w:t>
      </w:r>
      <w:bookmarkStart w:id="0" w:name="_GoBack"/>
      <w:bookmarkEnd w:id="0"/>
      <w:r w:rsidR="000F09CF">
        <w:t xml:space="preserve"> la sanità</w:t>
      </w:r>
      <w:r>
        <w:t>».</w:t>
      </w:r>
    </w:p>
    <w:p w:rsidR="001B7D31" w:rsidRDefault="001B7D31" w:rsidP="00001559">
      <w:pPr>
        <w:spacing w:after="120"/>
      </w:pPr>
    </w:p>
    <w:p w:rsid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b/>
          <w:bCs/>
        </w:rPr>
        <w:t>Fondazione GIMBE</w:t>
      </w:r>
      <w:r w:rsidRPr="00E3755B">
        <w:rPr>
          <w:rFonts w:ascii="Trebuchet MS" w:eastAsia="Calibri" w:hAnsi="Trebuchet MS" w:cs="Times New Roman"/>
        </w:rPr>
        <w:br/>
      </w:r>
      <w:r w:rsidRPr="00E3755B">
        <w:rPr>
          <w:rFonts w:ascii="Calibri" w:eastAsia="Calibri" w:hAnsi="Calibri" w:cs="Times New Roman"/>
          <w:sz w:val="20"/>
          <w:szCs w:val="20"/>
        </w:rPr>
        <w:t>Via Amendola 2 - 40121 Bologna</w:t>
      </w:r>
    </w:p>
    <w:p w:rsidR="001E3647" w:rsidRPr="00001559" w:rsidRDefault="001E3647" w:rsidP="00001559">
      <w:pPr>
        <w:spacing w:after="0"/>
      </w:pPr>
      <w:r w:rsidRPr="00E3755B">
        <w:rPr>
          <w:rFonts w:ascii="Calibri" w:eastAsia="Calibri" w:hAnsi="Calibri" w:cs="Times New Roman"/>
          <w:sz w:val="20"/>
          <w:szCs w:val="20"/>
        </w:rPr>
        <w:t>Tel. 051 5883920 - Fax 051 4075774</w:t>
      </w:r>
    </w:p>
    <w:p w:rsidR="001E3647" w:rsidRPr="006B4075" w:rsidRDefault="001E3647" w:rsidP="00001559">
      <w:pPr>
        <w:spacing w:after="0"/>
        <w:rPr>
          <w:rFonts w:ascii="Calibri" w:eastAsia="Calibri" w:hAnsi="Calibri" w:cs="Times New Roman"/>
          <w:sz w:val="20"/>
          <w:szCs w:val="20"/>
        </w:rPr>
      </w:pPr>
      <w:r w:rsidRPr="00E3755B">
        <w:rPr>
          <w:rFonts w:ascii="Calibri" w:eastAsia="Calibri" w:hAnsi="Calibri" w:cs="Times New Roman"/>
          <w:sz w:val="20"/>
          <w:szCs w:val="20"/>
        </w:rPr>
        <w:t xml:space="preserve">E-mail: </w:t>
      </w:r>
      <w:hyperlink r:id="rId9" w:history="1">
        <w:r w:rsidRPr="00E3755B">
          <w:rPr>
            <w:rFonts w:ascii="Calibri" w:eastAsia="Calibri" w:hAnsi="Calibri" w:cs="Times New Roman"/>
            <w:sz w:val="20"/>
            <w:szCs w:val="20"/>
          </w:rPr>
          <w:t>ufficio.stampa@gimbe.org</w:t>
        </w:r>
      </w:hyperlink>
    </w:p>
    <w:p w:rsidR="008F6E1D" w:rsidRDefault="008F6E1D" w:rsidP="00266F7E"/>
    <w:p w:rsidR="00001559" w:rsidRDefault="00001559" w:rsidP="00266F7E"/>
    <w:p w:rsidR="004C195F" w:rsidRDefault="004C195F" w:rsidP="00F17CAF"/>
    <w:p w:rsidR="00F17CAF" w:rsidRDefault="00F17CAF" w:rsidP="00F17CAF"/>
    <w:sectPr w:rsidR="00F17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6F" w:rsidRDefault="0056306F" w:rsidP="00ED0CFD">
      <w:pPr>
        <w:spacing w:after="0" w:line="240" w:lineRule="auto"/>
      </w:pPr>
      <w:r>
        <w:separator/>
      </w:r>
    </w:p>
  </w:endnote>
  <w:endnote w:type="continuationSeparator" w:id="0">
    <w:p w:rsidR="0056306F" w:rsidRDefault="0056306F" w:rsidP="00ED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6F" w:rsidRDefault="0056306F" w:rsidP="00ED0CFD">
      <w:pPr>
        <w:spacing w:after="0" w:line="240" w:lineRule="auto"/>
      </w:pPr>
      <w:r>
        <w:separator/>
      </w:r>
    </w:p>
  </w:footnote>
  <w:footnote w:type="continuationSeparator" w:id="0">
    <w:p w:rsidR="0056306F" w:rsidRDefault="0056306F" w:rsidP="00ED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606"/>
    <w:multiLevelType w:val="hybridMultilevel"/>
    <w:tmpl w:val="6AF47F8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073A8"/>
    <w:multiLevelType w:val="hybridMultilevel"/>
    <w:tmpl w:val="72908F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0603F"/>
    <w:multiLevelType w:val="hybridMultilevel"/>
    <w:tmpl w:val="518CF2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259EF"/>
    <w:multiLevelType w:val="hybridMultilevel"/>
    <w:tmpl w:val="D61ED1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829D7"/>
    <w:multiLevelType w:val="hybridMultilevel"/>
    <w:tmpl w:val="8C3C6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C53A8"/>
    <w:multiLevelType w:val="hybridMultilevel"/>
    <w:tmpl w:val="5B9269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028A0"/>
    <w:multiLevelType w:val="hybridMultilevel"/>
    <w:tmpl w:val="C9FEBD5A"/>
    <w:lvl w:ilvl="0" w:tplc="A914E83C">
      <w:start w:val="16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28E5"/>
    <w:multiLevelType w:val="hybridMultilevel"/>
    <w:tmpl w:val="2ABA6530"/>
    <w:lvl w:ilvl="0" w:tplc="FC6C4C0E">
      <w:start w:val="2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E916EA"/>
    <w:multiLevelType w:val="hybridMultilevel"/>
    <w:tmpl w:val="A16428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F1232A"/>
    <w:multiLevelType w:val="multilevel"/>
    <w:tmpl w:val="5AA4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64247"/>
    <w:multiLevelType w:val="hybridMultilevel"/>
    <w:tmpl w:val="A0A2ED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229DE"/>
    <w:multiLevelType w:val="hybridMultilevel"/>
    <w:tmpl w:val="E900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B37EA"/>
    <w:multiLevelType w:val="hybridMultilevel"/>
    <w:tmpl w:val="BB8C9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E2BA6"/>
    <w:multiLevelType w:val="hybridMultilevel"/>
    <w:tmpl w:val="9B20C57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0C3AF4"/>
    <w:multiLevelType w:val="hybridMultilevel"/>
    <w:tmpl w:val="E8D49A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B46163"/>
    <w:multiLevelType w:val="hybridMultilevel"/>
    <w:tmpl w:val="B51EB5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854BC"/>
    <w:multiLevelType w:val="multilevel"/>
    <w:tmpl w:val="E098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63460"/>
    <w:multiLevelType w:val="hybridMultilevel"/>
    <w:tmpl w:val="1152D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591BA8"/>
    <w:multiLevelType w:val="hybridMultilevel"/>
    <w:tmpl w:val="BFA0DF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79B0"/>
    <w:multiLevelType w:val="hybridMultilevel"/>
    <w:tmpl w:val="41CA39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6"/>
  </w:num>
  <w:num w:numId="5">
    <w:abstractNumId w:val="9"/>
  </w:num>
  <w:num w:numId="6">
    <w:abstractNumId w:val="6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91"/>
    <w:rsid w:val="000007FC"/>
    <w:rsid w:val="00001559"/>
    <w:rsid w:val="00002C1B"/>
    <w:rsid w:val="00003744"/>
    <w:rsid w:val="00003F78"/>
    <w:rsid w:val="00004B0A"/>
    <w:rsid w:val="00005B25"/>
    <w:rsid w:val="00006555"/>
    <w:rsid w:val="00010498"/>
    <w:rsid w:val="0001384A"/>
    <w:rsid w:val="00013DFA"/>
    <w:rsid w:val="0001439D"/>
    <w:rsid w:val="00014FDE"/>
    <w:rsid w:val="00015D8E"/>
    <w:rsid w:val="00017968"/>
    <w:rsid w:val="00017FB4"/>
    <w:rsid w:val="00021D7F"/>
    <w:rsid w:val="00023462"/>
    <w:rsid w:val="00023D8A"/>
    <w:rsid w:val="000314E4"/>
    <w:rsid w:val="00035404"/>
    <w:rsid w:val="00035633"/>
    <w:rsid w:val="0004410A"/>
    <w:rsid w:val="00051F7A"/>
    <w:rsid w:val="0005402C"/>
    <w:rsid w:val="00054250"/>
    <w:rsid w:val="00055180"/>
    <w:rsid w:val="00055AE9"/>
    <w:rsid w:val="00055D27"/>
    <w:rsid w:val="000602AA"/>
    <w:rsid w:val="0006440E"/>
    <w:rsid w:val="000657A8"/>
    <w:rsid w:val="000662E3"/>
    <w:rsid w:val="00067B8F"/>
    <w:rsid w:val="000707B3"/>
    <w:rsid w:val="000715A9"/>
    <w:rsid w:val="00071F0A"/>
    <w:rsid w:val="00073870"/>
    <w:rsid w:val="00074788"/>
    <w:rsid w:val="000771A4"/>
    <w:rsid w:val="00082EDA"/>
    <w:rsid w:val="000905D1"/>
    <w:rsid w:val="00090A39"/>
    <w:rsid w:val="00090B7E"/>
    <w:rsid w:val="000927C7"/>
    <w:rsid w:val="000935F1"/>
    <w:rsid w:val="000A05CF"/>
    <w:rsid w:val="000A0FC3"/>
    <w:rsid w:val="000A1367"/>
    <w:rsid w:val="000A2084"/>
    <w:rsid w:val="000A62A9"/>
    <w:rsid w:val="000A7B66"/>
    <w:rsid w:val="000B07B0"/>
    <w:rsid w:val="000B185F"/>
    <w:rsid w:val="000B1C52"/>
    <w:rsid w:val="000B7985"/>
    <w:rsid w:val="000C344B"/>
    <w:rsid w:val="000C544C"/>
    <w:rsid w:val="000C6130"/>
    <w:rsid w:val="000D02E4"/>
    <w:rsid w:val="000D17FB"/>
    <w:rsid w:val="000D25AC"/>
    <w:rsid w:val="000D44D4"/>
    <w:rsid w:val="000D5771"/>
    <w:rsid w:val="000D5893"/>
    <w:rsid w:val="000D7252"/>
    <w:rsid w:val="000E2E4F"/>
    <w:rsid w:val="000E37AA"/>
    <w:rsid w:val="000E7CC2"/>
    <w:rsid w:val="000F09CF"/>
    <w:rsid w:val="000F0BBD"/>
    <w:rsid w:val="000F10F8"/>
    <w:rsid w:val="000F39EF"/>
    <w:rsid w:val="000F5C0F"/>
    <w:rsid w:val="0010059E"/>
    <w:rsid w:val="001033BE"/>
    <w:rsid w:val="00107096"/>
    <w:rsid w:val="0011205F"/>
    <w:rsid w:val="001139A6"/>
    <w:rsid w:val="00113D4A"/>
    <w:rsid w:val="00113F3C"/>
    <w:rsid w:val="001167D9"/>
    <w:rsid w:val="00124DB0"/>
    <w:rsid w:val="00125C6A"/>
    <w:rsid w:val="001262A5"/>
    <w:rsid w:val="001317CF"/>
    <w:rsid w:val="00134C8C"/>
    <w:rsid w:val="00143689"/>
    <w:rsid w:val="00144F94"/>
    <w:rsid w:val="001458FE"/>
    <w:rsid w:val="00145BA6"/>
    <w:rsid w:val="001471AF"/>
    <w:rsid w:val="00150EF3"/>
    <w:rsid w:val="0015229D"/>
    <w:rsid w:val="001608BE"/>
    <w:rsid w:val="00162FBC"/>
    <w:rsid w:val="0016375C"/>
    <w:rsid w:val="001654A5"/>
    <w:rsid w:val="00170760"/>
    <w:rsid w:val="00170B46"/>
    <w:rsid w:val="00171767"/>
    <w:rsid w:val="00173764"/>
    <w:rsid w:val="0017405D"/>
    <w:rsid w:val="001748BA"/>
    <w:rsid w:val="001916E9"/>
    <w:rsid w:val="00191F59"/>
    <w:rsid w:val="00192DAD"/>
    <w:rsid w:val="00192F75"/>
    <w:rsid w:val="00193F19"/>
    <w:rsid w:val="001A3CDB"/>
    <w:rsid w:val="001A3E0D"/>
    <w:rsid w:val="001A3E96"/>
    <w:rsid w:val="001A6181"/>
    <w:rsid w:val="001B39C4"/>
    <w:rsid w:val="001B7D31"/>
    <w:rsid w:val="001C51E2"/>
    <w:rsid w:val="001D0E41"/>
    <w:rsid w:val="001D153D"/>
    <w:rsid w:val="001D19F1"/>
    <w:rsid w:val="001D4CE8"/>
    <w:rsid w:val="001E3647"/>
    <w:rsid w:val="001E5245"/>
    <w:rsid w:val="001E6902"/>
    <w:rsid w:val="001F1C35"/>
    <w:rsid w:val="001F20B8"/>
    <w:rsid w:val="001F38F6"/>
    <w:rsid w:val="002020DB"/>
    <w:rsid w:val="00202A01"/>
    <w:rsid w:val="0020435A"/>
    <w:rsid w:val="00206047"/>
    <w:rsid w:val="002073BD"/>
    <w:rsid w:val="00207B90"/>
    <w:rsid w:val="00210158"/>
    <w:rsid w:val="0021155E"/>
    <w:rsid w:val="002137D4"/>
    <w:rsid w:val="002206B0"/>
    <w:rsid w:val="00223F01"/>
    <w:rsid w:val="00224E88"/>
    <w:rsid w:val="0023012E"/>
    <w:rsid w:val="00233EF5"/>
    <w:rsid w:val="002349C3"/>
    <w:rsid w:val="0023771D"/>
    <w:rsid w:val="00241E9C"/>
    <w:rsid w:val="00242077"/>
    <w:rsid w:val="0025100A"/>
    <w:rsid w:val="00251AC2"/>
    <w:rsid w:val="002551A1"/>
    <w:rsid w:val="00265B05"/>
    <w:rsid w:val="00266561"/>
    <w:rsid w:val="00266E0C"/>
    <w:rsid w:val="00266E1A"/>
    <w:rsid w:val="00266F7E"/>
    <w:rsid w:val="002723FC"/>
    <w:rsid w:val="0027468B"/>
    <w:rsid w:val="00282655"/>
    <w:rsid w:val="00282DAE"/>
    <w:rsid w:val="00287105"/>
    <w:rsid w:val="00291602"/>
    <w:rsid w:val="0029392F"/>
    <w:rsid w:val="00297583"/>
    <w:rsid w:val="002A2034"/>
    <w:rsid w:val="002A3232"/>
    <w:rsid w:val="002B12E6"/>
    <w:rsid w:val="002B1329"/>
    <w:rsid w:val="002B7295"/>
    <w:rsid w:val="002B7C26"/>
    <w:rsid w:val="002B7F03"/>
    <w:rsid w:val="002C0B56"/>
    <w:rsid w:val="002C0B93"/>
    <w:rsid w:val="002C0F1B"/>
    <w:rsid w:val="002C433C"/>
    <w:rsid w:val="002C5187"/>
    <w:rsid w:val="002C5517"/>
    <w:rsid w:val="002D1A9D"/>
    <w:rsid w:val="002D2C39"/>
    <w:rsid w:val="002D4D2D"/>
    <w:rsid w:val="002D61E1"/>
    <w:rsid w:val="002D63B4"/>
    <w:rsid w:val="002D7409"/>
    <w:rsid w:val="002E2D66"/>
    <w:rsid w:val="002E33A2"/>
    <w:rsid w:val="002E3609"/>
    <w:rsid w:val="002E5382"/>
    <w:rsid w:val="002E5E3C"/>
    <w:rsid w:val="002F07F4"/>
    <w:rsid w:val="002F2E6A"/>
    <w:rsid w:val="002F323D"/>
    <w:rsid w:val="002F605D"/>
    <w:rsid w:val="00300EF7"/>
    <w:rsid w:val="00305113"/>
    <w:rsid w:val="00310511"/>
    <w:rsid w:val="00310654"/>
    <w:rsid w:val="00310E98"/>
    <w:rsid w:val="00313AD1"/>
    <w:rsid w:val="00315407"/>
    <w:rsid w:val="00315734"/>
    <w:rsid w:val="0031648A"/>
    <w:rsid w:val="0031755E"/>
    <w:rsid w:val="00321C3D"/>
    <w:rsid w:val="00323A55"/>
    <w:rsid w:val="00325E98"/>
    <w:rsid w:val="003268D1"/>
    <w:rsid w:val="00327AF0"/>
    <w:rsid w:val="00331B49"/>
    <w:rsid w:val="00331F29"/>
    <w:rsid w:val="00333A1D"/>
    <w:rsid w:val="0033460B"/>
    <w:rsid w:val="00334F92"/>
    <w:rsid w:val="0033752D"/>
    <w:rsid w:val="0034291E"/>
    <w:rsid w:val="003456F8"/>
    <w:rsid w:val="00347675"/>
    <w:rsid w:val="00347BD4"/>
    <w:rsid w:val="00347CD5"/>
    <w:rsid w:val="00350B80"/>
    <w:rsid w:val="00351462"/>
    <w:rsid w:val="00353E36"/>
    <w:rsid w:val="0035547A"/>
    <w:rsid w:val="003554E0"/>
    <w:rsid w:val="00355DBF"/>
    <w:rsid w:val="003576FF"/>
    <w:rsid w:val="00357F80"/>
    <w:rsid w:val="0036304D"/>
    <w:rsid w:val="003631B2"/>
    <w:rsid w:val="00363764"/>
    <w:rsid w:val="0036462F"/>
    <w:rsid w:val="00367A4B"/>
    <w:rsid w:val="00370768"/>
    <w:rsid w:val="00380A73"/>
    <w:rsid w:val="00382F29"/>
    <w:rsid w:val="00384AF1"/>
    <w:rsid w:val="00385A79"/>
    <w:rsid w:val="00386385"/>
    <w:rsid w:val="00387555"/>
    <w:rsid w:val="0039006E"/>
    <w:rsid w:val="00391AD2"/>
    <w:rsid w:val="00393B9D"/>
    <w:rsid w:val="00394823"/>
    <w:rsid w:val="003955A0"/>
    <w:rsid w:val="003978DA"/>
    <w:rsid w:val="003A13B4"/>
    <w:rsid w:val="003A179E"/>
    <w:rsid w:val="003A72AE"/>
    <w:rsid w:val="003B4A8D"/>
    <w:rsid w:val="003B4F0F"/>
    <w:rsid w:val="003B5D7A"/>
    <w:rsid w:val="003B72C4"/>
    <w:rsid w:val="003C2417"/>
    <w:rsid w:val="003C276B"/>
    <w:rsid w:val="003C34C9"/>
    <w:rsid w:val="003C48B6"/>
    <w:rsid w:val="003D4318"/>
    <w:rsid w:val="003D66C8"/>
    <w:rsid w:val="003E0375"/>
    <w:rsid w:val="003E4422"/>
    <w:rsid w:val="003E4FF7"/>
    <w:rsid w:val="003F1AAC"/>
    <w:rsid w:val="003F35EF"/>
    <w:rsid w:val="003F3B35"/>
    <w:rsid w:val="003F470F"/>
    <w:rsid w:val="004052B2"/>
    <w:rsid w:val="00405C0C"/>
    <w:rsid w:val="00412253"/>
    <w:rsid w:val="00415770"/>
    <w:rsid w:val="00415FC6"/>
    <w:rsid w:val="00430270"/>
    <w:rsid w:val="00432B9B"/>
    <w:rsid w:val="00434060"/>
    <w:rsid w:val="00436E44"/>
    <w:rsid w:val="00437569"/>
    <w:rsid w:val="0044012A"/>
    <w:rsid w:val="00441D52"/>
    <w:rsid w:val="00442312"/>
    <w:rsid w:val="00442E37"/>
    <w:rsid w:val="004432F6"/>
    <w:rsid w:val="00444478"/>
    <w:rsid w:val="00446F85"/>
    <w:rsid w:val="004522B4"/>
    <w:rsid w:val="00452338"/>
    <w:rsid w:val="00452891"/>
    <w:rsid w:val="00452900"/>
    <w:rsid w:val="00452A5B"/>
    <w:rsid w:val="00452CED"/>
    <w:rsid w:val="00456AC9"/>
    <w:rsid w:val="00461BFF"/>
    <w:rsid w:val="0046775E"/>
    <w:rsid w:val="0047038B"/>
    <w:rsid w:val="00470D92"/>
    <w:rsid w:val="0047196C"/>
    <w:rsid w:val="0047354E"/>
    <w:rsid w:val="00475510"/>
    <w:rsid w:val="0047586E"/>
    <w:rsid w:val="0047771B"/>
    <w:rsid w:val="00477873"/>
    <w:rsid w:val="00480E9D"/>
    <w:rsid w:val="004853B4"/>
    <w:rsid w:val="0048588A"/>
    <w:rsid w:val="00490397"/>
    <w:rsid w:val="00490692"/>
    <w:rsid w:val="004952D7"/>
    <w:rsid w:val="00496108"/>
    <w:rsid w:val="004A0830"/>
    <w:rsid w:val="004A0E05"/>
    <w:rsid w:val="004A11C7"/>
    <w:rsid w:val="004A18D7"/>
    <w:rsid w:val="004A1B26"/>
    <w:rsid w:val="004A3B6F"/>
    <w:rsid w:val="004A44E7"/>
    <w:rsid w:val="004A5489"/>
    <w:rsid w:val="004B3935"/>
    <w:rsid w:val="004B4D21"/>
    <w:rsid w:val="004C17CB"/>
    <w:rsid w:val="004C195F"/>
    <w:rsid w:val="004D0248"/>
    <w:rsid w:val="004D0BDF"/>
    <w:rsid w:val="004D3A0B"/>
    <w:rsid w:val="004D469E"/>
    <w:rsid w:val="004D4B67"/>
    <w:rsid w:val="004E4BBD"/>
    <w:rsid w:val="004E5018"/>
    <w:rsid w:val="004E5EFE"/>
    <w:rsid w:val="004F064A"/>
    <w:rsid w:val="004F0FD3"/>
    <w:rsid w:val="004F2231"/>
    <w:rsid w:val="004F3FEB"/>
    <w:rsid w:val="0050104B"/>
    <w:rsid w:val="005014CD"/>
    <w:rsid w:val="00501793"/>
    <w:rsid w:val="00505BFD"/>
    <w:rsid w:val="00510AA1"/>
    <w:rsid w:val="00511E6F"/>
    <w:rsid w:val="00512879"/>
    <w:rsid w:val="005204CB"/>
    <w:rsid w:val="00520DE3"/>
    <w:rsid w:val="00524F37"/>
    <w:rsid w:val="00525AEA"/>
    <w:rsid w:val="00525FA8"/>
    <w:rsid w:val="005272D8"/>
    <w:rsid w:val="00530B7D"/>
    <w:rsid w:val="00531EA2"/>
    <w:rsid w:val="00532D90"/>
    <w:rsid w:val="005334CB"/>
    <w:rsid w:val="00533D48"/>
    <w:rsid w:val="005419E9"/>
    <w:rsid w:val="00541DC9"/>
    <w:rsid w:val="00542475"/>
    <w:rsid w:val="005440CF"/>
    <w:rsid w:val="00550C9C"/>
    <w:rsid w:val="005516A8"/>
    <w:rsid w:val="00560786"/>
    <w:rsid w:val="00562521"/>
    <w:rsid w:val="0056268F"/>
    <w:rsid w:val="0056306F"/>
    <w:rsid w:val="0056476B"/>
    <w:rsid w:val="00565C3C"/>
    <w:rsid w:val="0057085B"/>
    <w:rsid w:val="00570C6B"/>
    <w:rsid w:val="00572DF6"/>
    <w:rsid w:val="00573388"/>
    <w:rsid w:val="00573AB6"/>
    <w:rsid w:val="00577D77"/>
    <w:rsid w:val="00580725"/>
    <w:rsid w:val="005824D3"/>
    <w:rsid w:val="00586657"/>
    <w:rsid w:val="00586FDE"/>
    <w:rsid w:val="00587C9B"/>
    <w:rsid w:val="00590E5A"/>
    <w:rsid w:val="005940D1"/>
    <w:rsid w:val="00594E34"/>
    <w:rsid w:val="005A1219"/>
    <w:rsid w:val="005A2BB7"/>
    <w:rsid w:val="005A3A8D"/>
    <w:rsid w:val="005A4ADA"/>
    <w:rsid w:val="005A6F2F"/>
    <w:rsid w:val="005B283E"/>
    <w:rsid w:val="005B2D50"/>
    <w:rsid w:val="005B3A18"/>
    <w:rsid w:val="005B41AA"/>
    <w:rsid w:val="005B4F61"/>
    <w:rsid w:val="005B57EF"/>
    <w:rsid w:val="005C5968"/>
    <w:rsid w:val="005C7707"/>
    <w:rsid w:val="005D133C"/>
    <w:rsid w:val="005D33D4"/>
    <w:rsid w:val="005D5CF2"/>
    <w:rsid w:val="005D7FCA"/>
    <w:rsid w:val="005E1232"/>
    <w:rsid w:val="005E485F"/>
    <w:rsid w:val="005E57D9"/>
    <w:rsid w:val="005F77A2"/>
    <w:rsid w:val="006002AA"/>
    <w:rsid w:val="006032BF"/>
    <w:rsid w:val="00604B41"/>
    <w:rsid w:val="00605C92"/>
    <w:rsid w:val="00611C67"/>
    <w:rsid w:val="00614076"/>
    <w:rsid w:val="00614E5A"/>
    <w:rsid w:val="00616235"/>
    <w:rsid w:val="00620244"/>
    <w:rsid w:val="00620B8A"/>
    <w:rsid w:val="0062275E"/>
    <w:rsid w:val="0062554E"/>
    <w:rsid w:val="006258B1"/>
    <w:rsid w:val="00630230"/>
    <w:rsid w:val="00630E03"/>
    <w:rsid w:val="00631233"/>
    <w:rsid w:val="0063197E"/>
    <w:rsid w:val="00632042"/>
    <w:rsid w:val="00636EB6"/>
    <w:rsid w:val="00640B8B"/>
    <w:rsid w:val="00641990"/>
    <w:rsid w:val="00643E28"/>
    <w:rsid w:val="00645153"/>
    <w:rsid w:val="00646223"/>
    <w:rsid w:val="00650304"/>
    <w:rsid w:val="006529FA"/>
    <w:rsid w:val="006535F8"/>
    <w:rsid w:val="00653B45"/>
    <w:rsid w:val="00662123"/>
    <w:rsid w:val="00663B7B"/>
    <w:rsid w:val="006640FF"/>
    <w:rsid w:val="00667145"/>
    <w:rsid w:val="006673BB"/>
    <w:rsid w:val="00670AD9"/>
    <w:rsid w:val="006713C2"/>
    <w:rsid w:val="00671713"/>
    <w:rsid w:val="00673AE4"/>
    <w:rsid w:val="0067402D"/>
    <w:rsid w:val="00675E56"/>
    <w:rsid w:val="0067632C"/>
    <w:rsid w:val="00677A85"/>
    <w:rsid w:val="006805A5"/>
    <w:rsid w:val="00680B51"/>
    <w:rsid w:val="006821E3"/>
    <w:rsid w:val="00693518"/>
    <w:rsid w:val="00693F2B"/>
    <w:rsid w:val="00694C51"/>
    <w:rsid w:val="006955E7"/>
    <w:rsid w:val="00695FCF"/>
    <w:rsid w:val="00696965"/>
    <w:rsid w:val="00696DDA"/>
    <w:rsid w:val="006A135C"/>
    <w:rsid w:val="006A4CFB"/>
    <w:rsid w:val="006A5914"/>
    <w:rsid w:val="006A71A2"/>
    <w:rsid w:val="006B2505"/>
    <w:rsid w:val="006B4075"/>
    <w:rsid w:val="006B5E7A"/>
    <w:rsid w:val="006B6817"/>
    <w:rsid w:val="006B6956"/>
    <w:rsid w:val="006C09E3"/>
    <w:rsid w:val="006C41FF"/>
    <w:rsid w:val="006C4E62"/>
    <w:rsid w:val="006D30E8"/>
    <w:rsid w:val="006D502F"/>
    <w:rsid w:val="006D5067"/>
    <w:rsid w:val="006E1EA3"/>
    <w:rsid w:val="006E265E"/>
    <w:rsid w:val="006E27FD"/>
    <w:rsid w:val="006E4DAD"/>
    <w:rsid w:val="006E6CC2"/>
    <w:rsid w:val="006F5C05"/>
    <w:rsid w:val="006F5E1D"/>
    <w:rsid w:val="006F6ADA"/>
    <w:rsid w:val="006F707F"/>
    <w:rsid w:val="00701CC2"/>
    <w:rsid w:val="0070382E"/>
    <w:rsid w:val="0070621C"/>
    <w:rsid w:val="00706682"/>
    <w:rsid w:val="00707993"/>
    <w:rsid w:val="0071123A"/>
    <w:rsid w:val="00711E25"/>
    <w:rsid w:val="00712A2C"/>
    <w:rsid w:val="007138CC"/>
    <w:rsid w:val="0071439B"/>
    <w:rsid w:val="007209B4"/>
    <w:rsid w:val="0072122E"/>
    <w:rsid w:val="00723B85"/>
    <w:rsid w:val="007257B8"/>
    <w:rsid w:val="00727A83"/>
    <w:rsid w:val="0073174A"/>
    <w:rsid w:val="007333BE"/>
    <w:rsid w:val="007335A8"/>
    <w:rsid w:val="00737013"/>
    <w:rsid w:val="0073764E"/>
    <w:rsid w:val="00737DDD"/>
    <w:rsid w:val="0075099D"/>
    <w:rsid w:val="007544BE"/>
    <w:rsid w:val="00756B84"/>
    <w:rsid w:val="0075721B"/>
    <w:rsid w:val="00757A75"/>
    <w:rsid w:val="00760136"/>
    <w:rsid w:val="00760496"/>
    <w:rsid w:val="0076053B"/>
    <w:rsid w:val="00763FB0"/>
    <w:rsid w:val="00770D2D"/>
    <w:rsid w:val="00772C0B"/>
    <w:rsid w:val="007738D0"/>
    <w:rsid w:val="00773EC0"/>
    <w:rsid w:val="00774E33"/>
    <w:rsid w:val="0077567A"/>
    <w:rsid w:val="00775DA1"/>
    <w:rsid w:val="00780533"/>
    <w:rsid w:val="0078737D"/>
    <w:rsid w:val="00790464"/>
    <w:rsid w:val="007939B6"/>
    <w:rsid w:val="007964C7"/>
    <w:rsid w:val="007A4969"/>
    <w:rsid w:val="007A6D9A"/>
    <w:rsid w:val="007B01D2"/>
    <w:rsid w:val="007B05F7"/>
    <w:rsid w:val="007B1924"/>
    <w:rsid w:val="007B199A"/>
    <w:rsid w:val="007B1BA6"/>
    <w:rsid w:val="007B48F8"/>
    <w:rsid w:val="007B4C9D"/>
    <w:rsid w:val="007B55B5"/>
    <w:rsid w:val="007B5624"/>
    <w:rsid w:val="007C0C20"/>
    <w:rsid w:val="007C3D92"/>
    <w:rsid w:val="007C5420"/>
    <w:rsid w:val="007D1008"/>
    <w:rsid w:val="007D1B67"/>
    <w:rsid w:val="007D2672"/>
    <w:rsid w:val="007D4B6B"/>
    <w:rsid w:val="007D62DC"/>
    <w:rsid w:val="007D7930"/>
    <w:rsid w:val="007E0965"/>
    <w:rsid w:val="007E728E"/>
    <w:rsid w:val="007E784C"/>
    <w:rsid w:val="007F130A"/>
    <w:rsid w:val="007F2ABD"/>
    <w:rsid w:val="007F2BD9"/>
    <w:rsid w:val="007F3D4F"/>
    <w:rsid w:val="007F46C8"/>
    <w:rsid w:val="007F5D18"/>
    <w:rsid w:val="00802069"/>
    <w:rsid w:val="008025DC"/>
    <w:rsid w:val="00803C62"/>
    <w:rsid w:val="00804056"/>
    <w:rsid w:val="00804F6E"/>
    <w:rsid w:val="00806EC8"/>
    <w:rsid w:val="00814CE9"/>
    <w:rsid w:val="00815D73"/>
    <w:rsid w:val="008176D9"/>
    <w:rsid w:val="00825BCB"/>
    <w:rsid w:val="0082609D"/>
    <w:rsid w:val="008270A6"/>
    <w:rsid w:val="00827BB7"/>
    <w:rsid w:val="00831988"/>
    <w:rsid w:val="00832233"/>
    <w:rsid w:val="00832BDC"/>
    <w:rsid w:val="0083364D"/>
    <w:rsid w:val="008340F1"/>
    <w:rsid w:val="00834A4A"/>
    <w:rsid w:val="0083539A"/>
    <w:rsid w:val="0083564F"/>
    <w:rsid w:val="008356C6"/>
    <w:rsid w:val="0083673F"/>
    <w:rsid w:val="008409F8"/>
    <w:rsid w:val="00844028"/>
    <w:rsid w:val="0084493B"/>
    <w:rsid w:val="00845D51"/>
    <w:rsid w:val="008469EE"/>
    <w:rsid w:val="008506DB"/>
    <w:rsid w:val="008513F9"/>
    <w:rsid w:val="008521CA"/>
    <w:rsid w:val="00856033"/>
    <w:rsid w:val="008566B3"/>
    <w:rsid w:val="00856765"/>
    <w:rsid w:val="00867AEB"/>
    <w:rsid w:val="008775A4"/>
    <w:rsid w:val="00881122"/>
    <w:rsid w:val="00881634"/>
    <w:rsid w:val="00881AF4"/>
    <w:rsid w:val="008834FE"/>
    <w:rsid w:val="00883BC1"/>
    <w:rsid w:val="00884474"/>
    <w:rsid w:val="00884AE7"/>
    <w:rsid w:val="0088656A"/>
    <w:rsid w:val="00890405"/>
    <w:rsid w:val="008920DC"/>
    <w:rsid w:val="008956D1"/>
    <w:rsid w:val="008957EF"/>
    <w:rsid w:val="008972B2"/>
    <w:rsid w:val="008976A1"/>
    <w:rsid w:val="008A0E25"/>
    <w:rsid w:val="008A1766"/>
    <w:rsid w:val="008B2BA7"/>
    <w:rsid w:val="008B3494"/>
    <w:rsid w:val="008B7022"/>
    <w:rsid w:val="008C0A82"/>
    <w:rsid w:val="008C29D7"/>
    <w:rsid w:val="008C4980"/>
    <w:rsid w:val="008C5798"/>
    <w:rsid w:val="008D2BDD"/>
    <w:rsid w:val="008D33F8"/>
    <w:rsid w:val="008D4BC6"/>
    <w:rsid w:val="008E4AD4"/>
    <w:rsid w:val="008F1906"/>
    <w:rsid w:val="008F2550"/>
    <w:rsid w:val="008F2E54"/>
    <w:rsid w:val="008F6975"/>
    <w:rsid w:val="008F6E1D"/>
    <w:rsid w:val="008F72C4"/>
    <w:rsid w:val="008F7C0C"/>
    <w:rsid w:val="00900A5F"/>
    <w:rsid w:val="00902865"/>
    <w:rsid w:val="00904A76"/>
    <w:rsid w:val="00906DD1"/>
    <w:rsid w:val="009171F5"/>
    <w:rsid w:val="00917BA0"/>
    <w:rsid w:val="00917D94"/>
    <w:rsid w:val="00920E58"/>
    <w:rsid w:val="00921057"/>
    <w:rsid w:val="00921E42"/>
    <w:rsid w:val="009221E2"/>
    <w:rsid w:val="00924122"/>
    <w:rsid w:val="009241E0"/>
    <w:rsid w:val="00930CCE"/>
    <w:rsid w:val="00931A17"/>
    <w:rsid w:val="009353AC"/>
    <w:rsid w:val="009360C0"/>
    <w:rsid w:val="0093653B"/>
    <w:rsid w:val="00936FF7"/>
    <w:rsid w:val="00937550"/>
    <w:rsid w:val="00945074"/>
    <w:rsid w:val="00947084"/>
    <w:rsid w:val="00947FBD"/>
    <w:rsid w:val="009519A7"/>
    <w:rsid w:val="00954B63"/>
    <w:rsid w:val="00957526"/>
    <w:rsid w:val="00957D24"/>
    <w:rsid w:val="009630B4"/>
    <w:rsid w:val="009650B3"/>
    <w:rsid w:val="00965964"/>
    <w:rsid w:val="0097162D"/>
    <w:rsid w:val="009722DB"/>
    <w:rsid w:val="00973B94"/>
    <w:rsid w:val="00974F6D"/>
    <w:rsid w:val="00976F80"/>
    <w:rsid w:val="009805F2"/>
    <w:rsid w:val="00986052"/>
    <w:rsid w:val="00987C74"/>
    <w:rsid w:val="00996FA7"/>
    <w:rsid w:val="009A2DA3"/>
    <w:rsid w:val="009A3ADF"/>
    <w:rsid w:val="009A662A"/>
    <w:rsid w:val="009A6C03"/>
    <w:rsid w:val="009A7F2E"/>
    <w:rsid w:val="009B0C1D"/>
    <w:rsid w:val="009B2E68"/>
    <w:rsid w:val="009B5BF8"/>
    <w:rsid w:val="009C1A22"/>
    <w:rsid w:val="009C2C3C"/>
    <w:rsid w:val="009C7037"/>
    <w:rsid w:val="009C7943"/>
    <w:rsid w:val="009D1A5C"/>
    <w:rsid w:val="009D2044"/>
    <w:rsid w:val="009D4F4F"/>
    <w:rsid w:val="009D6E1C"/>
    <w:rsid w:val="009D7945"/>
    <w:rsid w:val="009E30A5"/>
    <w:rsid w:val="009E3CEE"/>
    <w:rsid w:val="009E3EAC"/>
    <w:rsid w:val="009E4342"/>
    <w:rsid w:val="009E6BE3"/>
    <w:rsid w:val="009F03B6"/>
    <w:rsid w:val="009F0432"/>
    <w:rsid w:val="009F2842"/>
    <w:rsid w:val="009F2CAA"/>
    <w:rsid w:val="009F4B17"/>
    <w:rsid w:val="009F691A"/>
    <w:rsid w:val="009F6B11"/>
    <w:rsid w:val="00A04DE3"/>
    <w:rsid w:val="00A04E54"/>
    <w:rsid w:val="00A061EB"/>
    <w:rsid w:val="00A0698F"/>
    <w:rsid w:val="00A12E53"/>
    <w:rsid w:val="00A13DFC"/>
    <w:rsid w:val="00A16B16"/>
    <w:rsid w:val="00A23E03"/>
    <w:rsid w:val="00A364A1"/>
    <w:rsid w:val="00A36649"/>
    <w:rsid w:val="00A36D32"/>
    <w:rsid w:val="00A401BC"/>
    <w:rsid w:val="00A40F25"/>
    <w:rsid w:val="00A42A7F"/>
    <w:rsid w:val="00A44F7D"/>
    <w:rsid w:val="00A45EA3"/>
    <w:rsid w:val="00A63606"/>
    <w:rsid w:val="00A650B3"/>
    <w:rsid w:val="00A65B9D"/>
    <w:rsid w:val="00A66062"/>
    <w:rsid w:val="00A66317"/>
    <w:rsid w:val="00A66E9E"/>
    <w:rsid w:val="00A710F1"/>
    <w:rsid w:val="00A71D3F"/>
    <w:rsid w:val="00A71FF1"/>
    <w:rsid w:val="00A7213D"/>
    <w:rsid w:val="00A76386"/>
    <w:rsid w:val="00A7781C"/>
    <w:rsid w:val="00A80422"/>
    <w:rsid w:val="00A86DA7"/>
    <w:rsid w:val="00A91E49"/>
    <w:rsid w:val="00A9205A"/>
    <w:rsid w:val="00A96450"/>
    <w:rsid w:val="00AA2A57"/>
    <w:rsid w:val="00AA5738"/>
    <w:rsid w:val="00AB0FBF"/>
    <w:rsid w:val="00AB5A9E"/>
    <w:rsid w:val="00AC18D7"/>
    <w:rsid w:val="00AC2611"/>
    <w:rsid w:val="00AC2E6A"/>
    <w:rsid w:val="00AD05A6"/>
    <w:rsid w:val="00AD436F"/>
    <w:rsid w:val="00AD6ECE"/>
    <w:rsid w:val="00AE0F77"/>
    <w:rsid w:val="00AE4C5E"/>
    <w:rsid w:val="00AE52B8"/>
    <w:rsid w:val="00AE7BCB"/>
    <w:rsid w:val="00AE7C72"/>
    <w:rsid w:val="00AF0726"/>
    <w:rsid w:val="00AF24B2"/>
    <w:rsid w:val="00AF529C"/>
    <w:rsid w:val="00AF5345"/>
    <w:rsid w:val="00AF5B03"/>
    <w:rsid w:val="00AF60B7"/>
    <w:rsid w:val="00AF6AB3"/>
    <w:rsid w:val="00B01613"/>
    <w:rsid w:val="00B03791"/>
    <w:rsid w:val="00B047F1"/>
    <w:rsid w:val="00B051CC"/>
    <w:rsid w:val="00B07636"/>
    <w:rsid w:val="00B15995"/>
    <w:rsid w:val="00B16885"/>
    <w:rsid w:val="00B17FF8"/>
    <w:rsid w:val="00B20DA5"/>
    <w:rsid w:val="00B22FEF"/>
    <w:rsid w:val="00B235F7"/>
    <w:rsid w:val="00B242B8"/>
    <w:rsid w:val="00B24831"/>
    <w:rsid w:val="00B265A5"/>
    <w:rsid w:val="00B30840"/>
    <w:rsid w:val="00B30A72"/>
    <w:rsid w:val="00B30CF7"/>
    <w:rsid w:val="00B30F3E"/>
    <w:rsid w:val="00B3280B"/>
    <w:rsid w:val="00B34570"/>
    <w:rsid w:val="00B365C9"/>
    <w:rsid w:val="00B375D7"/>
    <w:rsid w:val="00B40BD6"/>
    <w:rsid w:val="00B43BAA"/>
    <w:rsid w:val="00B46F5D"/>
    <w:rsid w:val="00B510D1"/>
    <w:rsid w:val="00B516F4"/>
    <w:rsid w:val="00B53695"/>
    <w:rsid w:val="00B6021A"/>
    <w:rsid w:val="00B61CD8"/>
    <w:rsid w:val="00B63F07"/>
    <w:rsid w:val="00B64FD7"/>
    <w:rsid w:val="00B65FD9"/>
    <w:rsid w:val="00B6634F"/>
    <w:rsid w:val="00B67FDC"/>
    <w:rsid w:val="00B708CF"/>
    <w:rsid w:val="00B71781"/>
    <w:rsid w:val="00B7222E"/>
    <w:rsid w:val="00B7336C"/>
    <w:rsid w:val="00B7548C"/>
    <w:rsid w:val="00B76C6A"/>
    <w:rsid w:val="00B77794"/>
    <w:rsid w:val="00B80677"/>
    <w:rsid w:val="00B81958"/>
    <w:rsid w:val="00B82437"/>
    <w:rsid w:val="00B829A8"/>
    <w:rsid w:val="00B829B3"/>
    <w:rsid w:val="00B82B47"/>
    <w:rsid w:val="00B83749"/>
    <w:rsid w:val="00B860F7"/>
    <w:rsid w:val="00B87617"/>
    <w:rsid w:val="00B92684"/>
    <w:rsid w:val="00B95065"/>
    <w:rsid w:val="00B96E93"/>
    <w:rsid w:val="00B971AE"/>
    <w:rsid w:val="00B97AE8"/>
    <w:rsid w:val="00BA2289"/>
    <w:rsid w:val="00BA3745"/>
    <w:rsid w:val="00BB01C4"/>
    <w:rsid w:val="00BB1DDF"/>
    <w:rsid w:val="00BB1F05"/>
    <w:rsid w:val="00BB4665"/>
    <w:rsid w:val="00BB4A4E"/>
    <w:rsid w:val="00BC1CC8"/>
    <w:rsid w:val="00BC2D7C"/>
    <w:rsid w:val="00BD1BA8"/>
    <w:rsid w:val="00BD3529"/>
    <w:rsid w:val="00BE3538"/>
    <w:rsid w:val="00BE4166"/>
    <w:rsid w:val="00BE4EA8"/>
    <w:rsid w:val="00BE56ED"/>
    <w:rsid w:val="00BE722E"/>
    <w:rsid w:val="00BE77A5"/>
    <w:rsid w:val="00BF158F"/>
    <w:rsid w:val="00BF2E71"/>
    <w:rsid w:val="00BF5106"/>
    <w:rsid w:val="00BF5D19"/>
    <w:rsid w:val="00BF5DF9"/>
    <w:rsid w:val="00C032E9"/>
    <w:rsid w:val="00C04E50"/>
    <w:rsid w:val="00C053AA"/>
    <w:rsid w:val="00C05572"/>
    <w:rsid w:val="00C102A5"/>
    <w:rsid w:val="00C10CA2"/>
    <w:rsid w:val="00C1154C"/>
    <w:rsid w:val="00C11CA8"/>
    <w:rsid w:val="00C17B97"/>
    <w:rsid w:val="00C20338"/>
    <w:rsid w:val="00C2114D"/>
    <w:rsid w:val="00C24B34"/>
    <w:rsid w:val="00C343BD"/>
    <w:rsid w:val="00C3561A"/>
    <w:rsid w:val="00C36730"/>
    <w:rsid w:val="00C374D4"/>
    <w:rsid w:val="00C4141D"/>
    <w:rsid w:val="00C46721"/>
    <w:rsid w:val="00C46EC8"/>
    <w:rsid w:val="00C52FF7"/>
    <w:rsid w:val="00C546FF"/>
    <w:rsid w:val="00C56178"/>
    <w:rsid w:val="00C63CEE"/>
    <w:rsid w:val="00C674B4"/>
    <w:rsid w:val="00C72455"/>
    <w:rsid w:val="00C74392"/>
    <w:rsid w:val="00C74422"/>
    <w:rsid w:val="00C75948"/>
    <w:rsid w:val="00C76D3F"/>
    <w:rsid w:val="00C7759C"/>
    <w:rsid w:val="00C777C6"/>
    <w:rsid w:val="00C8337E"/>
    <w:rsid w:val="00C83CDE"/>
    <w:rsid w:val="00C8624C"/>
    <w:rsid w:val="00C92B2B"/>
    <w:rsid w:val="00C93F32"/>
    <w:rsid w:val="00C94775"/>
    <w:rsid w:val="00C947A9"/>
    <w:rsid w:val="00C94D3F"/>
    <w:rsid w:val="00C95D73"/>
    <w:rsid w:val="00CA492E"/>
    <w:rsid w:val="00CA4C09"/>
    <w:rsid w:val="00CA4FA9"/>
    <w:rsid w:val="00CA6DEF"/>
    <w:rsid w:val="00CB09A1"/>
    <w:rsid w:val="00CB146D"/>
    <w:rsid w:val="00CB4302"/>
    <w:rsid w:val="00CB4D1B"/>
    <w:rsid w:val="00CB79A7"/>
    <w:rsid w:val="00CC1780"/>
    <w:rsid w:val="00CC4A07"/>
    <w:rsid w:val="00CC7BDF"/>
    <w:rsid w:val="00CD671E"/>
    <w:rsid w:val="00CD7ACC"/>
    <w:rsid w:val="00CE202C"/>
    <w:rsid w:val="00CE4A36"/>
    <w:rsid w:val="00CE5CEA"/>
    <w:rsid w:val="00CE6911"/>
    <w:rsid w:val="00CF1C62"/>
    <w:rsid w:val="00CF540D"/>
    <w:rsid w:val="00CF7D0F"/>
    <w:rsid w:val="00D0086F"/>
    <w:rsid w:val="00D01B22"/>
    <w:rsid w:val="00D0205F"/>
    <w:rsid w:val="00D02682"/>
    <w:rsid w:val="00D03E15"/>
    <w:rsid w:val="00D05FE2"/>
    <w:rsid w:val="00D07DF0"/>
    <w:rsid w:val="00D13147"/>
    <w:rsid w:val="00D14818"/>
    <w:rsid w:val="00D15111"/>
    <w:rsid w:val="00D167ED"/>
    <w:rsid w:val="00D20341"/>
    <w:rsid w:val="00D21751"/>
    <w:rsid w:val="00D21F6E"/>
    <w:rsid w:val="00D22CFE"/>
    <w:rsid w:val="00D23A72"/>
    <w:rsid w:val="00D23AB2"/>
    <w:rsid w:val="00D27104"/>
    <w:rsid w:val="00D27C8C"/>
    <w:rsid w:val="00D301D2"/>
    <w:rsid w:val="00D31C1B"/>
    <w:rsid w:val="00D33A1A"/>
    <w:rsid w:val="00D353A8"/>
    <w:rsid w:val="00D37882"/>
    <w:rsid w:val="00D42242"/>
    <w:rsid w:val="00D45208"/>
    <w:rsid w:val="00D45568"/>
    <w:rsid w:val="00D51C6E"/>
    <w:rsid w:val="00D609E5"/>
    <w:rsid w:val="00D61C4B"/>
    <w:rsid w:val="00D636FC"/>
    <w:rsid w:val="00D651BC"/>
    <w:rsid w:val="00D66971"/>
    <w:rsid w:val="00D708B7"/>
    <w:rsid w:val="00D70E8C"/>
    <w:rsid w:val="00D755A7"/>
    <w:rsid w:val="00D77B37"/>
    <w:rsid w:val="00D80173"/>
    <w:rsid w:val="00D81E5D"/>
    <w:rsid w:val="00D823A9"/>
    <w:rsid w:val="00D83FB6"/>
    <w:rsid w:val="00D90217"/>
    <w:rsid w:val="00D91F7D"/>
    <w:rsid w:val="00D95224"/>
    <w:rsid w:val="00D95989"/>
    <w:rsid w:val="00D96C89"/>
    <w:rsid w:val="00D97320"/>
    <w:rsid w:val="00DA52E8"/>
    <w:rsid w:val="00DA6836"/>
    <w:rsid w:val="00DB51ED"/>
    <w:rsid w:val="00DC1C87"/>
    <w:rsid w:val="00DC2A0C"/>
    <w:rsid w:val="00DC54A4"/>
    <w:rsid w:val="00DD2C65"/>
    <w:rsid w:val="00DD491D"/>
    <w:rsid w:val="00DD7BB6"/>
    <w:rsid w:val="00DE5012"/>
    <w:rsid w:val="00DE591C"/>
    <w:rsid w:val="00DE68E0"/>
    <w:rsid w:val="00DF20F8"/>
    <w:rsid w:val="00DF274C"/>
    <w:rsid w:val="00DF3C21"/>
    <w:rsid w:val="00DF5824"/>
    <w:rsid w:val="00DF6487"/>
    <w:rsid w:val="00E00E5A"/>
    <w:rsid w:val="00E0203D"/>
    <w:rsid w:val="00E061F3"/>
    <w:rsid w:val="00E102BB"/>
    <w:rsid w:val="00E102ED"/>
    <w:rsid w:val="00E126E0"/>
    <w:rsid w:val="00E146FE"/>
    <w:rsid w:val="00E1655E"/>
    <w:rsid w:val="00E17D68"/>
    <w:rsid w:val="00E21DED"/>
    <w:rsid w:val="00E22F11"/>
    <w:rsid w:val="00E25FA6"/>
    <w:rsid w:val="00E263F2"/>
    <w:rsid w:val="00E27E4C"/>
    <w:rsid w:val="00E301EE"/>
    <w:rsid w:val="00E36BE2"/>
    <w:rsid w:val="00E3741F"/>
    <w:rsid w:val="00E3755B"/>
    <w:rsid w:val="00E37CC9"/>
    <w:rsid w:val="00E43930"/>
    <w:rsid w:val="00E44E3C"/>
    <w:rsid w:val="00E45CD7"/>
    <w:rsid w:val="00E4759B"/>
    <w:rsid w:val="00E544CF"/>
    <w:rsid w:val="00E5485A"/>
    <w:rsid w:val="00E568E1"/>
    <w:rsid w:val="00E574FC"/>
    <w:rsid w:val="00E60695"/>
    <w:rsid w:val="00E61043"/>
    <w:rsid w:val="00E61CF3"/>
    <w:rsid w:val="00E61E4D"/>
    <w:rsid w:val="00E6515F"/>
    <w:rsid w:val="00E65AAE"/>
    <w:rsid w:val="00E65BF2"/>
    <w:rsid w:val="00E7158F"/>
    <w:rsid w:val="00E73406"/>
    <w:rsid w:val="00E75B91"/>
    <w:rsid w:val="00E76BC5"/>
    <w:rsid w:val="00E7781F"/>
    <w:rsid w:val="00E824FD"/>
    <w:rsid w:val="00E83879"/>
    <w:rsid w:val="00E8596C"/>
    <w:rsid w:val="00E865C0"/>
    <w:rsid w:val="00E87C2E"/>
    <w:rsid w:val="00E900AF"/>
    <w:rsid w:val="00E93334"/>
    <w:rsid w:val="00E9460D"/>
    <w:rsid w:val="00E94FC2"/>
    <w:rsid w:val="00E95C92"/>
    <w:rsid w:val="00E964EE"/>
    <w:rsid w:val="00E97CC8"/>
    <w:rsid w:val="00EA09B5"/>
    <w:rsid w:val="00EA37A2"/>
    <w:rsid w:val="00EA39DF"/>
    <w:rsid w:val="00EA3C71"/>
    <w:rsid w:val="00EA5DD7"/>
    <w:rsid w:val="00EB0134"/>
    <w:rsid w:val="00EB14C9"/>
    <w:rsid w:val="00EB2C5F"/>
    <w:rsid w:val="00EB33E2"/>
    <w:rsid w:val="00EC1E91"/>
    <w:rsid w:val="00EC3A18"/>
    <w:rsid w:val="00EC55CB"/>
    <w:rsid w:val="00EC5C09"/>
    <w:rsid w:val="00ED073D"/>
    <w:rsid w:val="00ED07ED"/>
    <w:rsid w:val="00ED0CFD"/>
    <w:rsid w:val="00ED26C2"/>
    <w:rsid w:val="00EE59EC"/>
    <w:rsid w:val="00EE6DB9"/>
    <w:rsid w:val="00EF462D"/>
    <w:rsid w:val="00EF4908"/>
    <w:rsid w:val="00EF4E04"/>
    <w:rsid w:val="00EF5B96"/>
    <w:rsid w:val="00EF67C4"/>
    <w:rsid w:val="00F00618"/>
    <w:rsid w:val="00F01ED5"/>
    <w:rsid w:val="00F048A4"/>
    <w:rsid w:val="00F1028E"/>
    <w:rsid w:val="00F11576"/>
    <w:rsid w:val="00F115AA"/>
    <w:rsid w:val="00F117D2"/>
    <w:rsid w:val="00F12BB1"/>
    <w:rsid w:val="00F12BCE"/>
    <w:rsid w:val="00F16B41"/>
    <w:rsid w:val="00F17700"/>
    <w:rsid w:val="00F17CAF"/>
    <w:rsid w:val="00F2429D"/>
    <w:rsid w:val="00F245C8"/>
    <w:rsid w:val="00F275D7"/>
    <w:rsid w:val="00F320EE"/>
    <w:rsid w:val="00F33584"/>
    <w:rsid w:val="00F33B5B"/>
    <w:rsid w:val="00F36DEA"/>
    <w:rsid w:val="00F4050E"/>
    <w:rsid w:val="00F4071A"/>
    <w:rsid w:val="00F416C6"/>
    <w:rsid w:val="00F4406F"/>
    <w:rsid w:val="00F57AF9"/>
    <w:rsid w:val="00F61E47"/>
    <w:rsid w:val="00F61E7A"/>
    <w:rsid w:val="00F6436F"/>
    <w:rsid w:val="00F6596E"/>
    <w:rsid w:val="00F6679F"/>
    <w:rsid w:val="00F67CAA"/>
    <w:rsid w:val="00F72F47"/>
    <w:rsid w:val="00F75017"/>
    <w:rsid w:val="00F80CA0"/>
    <w:rsid w:val="00F82796"/>
    <w:rsid w:val="00F83A61"/>
    <w:rsid w:val="00F8448B"/>
    <w:rsid w:val="00F86243"/>
    <w:rsid w:val="00F87942"/>
    <w:rsid w:val="00F948AD"/>
    <w:rsid w:val="00F97B45"/>
    <w:rsid w:val="00FA028D"/>
    <w:rsid w:val="00FA1D06"/>
    <w:rsid w:val="00FA4086"/>
    <w:rsid w:val="00FA68F1"/>
    <w:rsid w:val="00FA6B98"/>
    <w:rsid w:val="00FB028A"/>
    <w:rsid w:val="00FB3E48"/>
    <w:rsid w:val="00FB41F7"/>
    <w:rsid w:val="00FC01D2"/>
    <w:rsid w:val="00FC183E"/>
    <w:rsid w:val="00FC4E8E"/>
    <w:rsid w:val="00FC7166"/>
    <w:rsid w:val="00FD1399"/>
    <w:rsid w:val="00FD146A"/>
    <w:rsid w:val="00FD1DDA"/>
    <w:rsid w:val="00FD22E1"/>
    <w:rsid w:val="00FD47E8"/>
    <w:rsid w:val="00FD4B4C"/>
    <w:rsid w:val="00FE09E6"/>
    <w:rsid w:val="00FE277E"/>
    <w:rsid w:val="00FE38BE"/>
    <w:rsid w:val="00FE63F6"/>
    <w:rsid w:val="00FE7C89"/>
    <w:rsid w:val="00FF4296"/>
    <w:rsid w:val="00FF4DD0"/>
    <w:rsid w:val="00FF59C8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31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B97A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7AE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7AE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7AE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7AE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AE8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501793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E544CF"/>
    <w:rPr>
      <w:color w:val="0000FF" w:themeColor="hyperlink"/>
      <w:u w:val="single"/>
    </w:rPr>
  </w:style>
  <w:style w:type="paragraph" w:customStyle="1" w:styleId="Paragrafobase">
    <w:name w:val="[Paragrafo base]"/>
    <w:basedOn w:val="Normale"/>
    <w:uiPriority w:val="99"/>
    <w:rsid w:val="001C51E2"/>
    <w:pPr>
      <w:autoSpaceDE w:val="0"/>
      <w:autoSpaceDN w:val="0"/>
      <w:adjustRightInd w:val="0"/>
      <w:spacing w:after="0" w:line="240" w:lineRule="atLeast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805A5"/>
    <w:rPr>
      <w:i/>
      <w:iCs/>
    </w:rPr>
  </w:style>
  <w:style w:type="table" w:styleId="Grigliatabella">
    <w:name w:val="Table Grid"/>
    <w:basedOn w:val="Tabellanormale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83539A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01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16673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6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4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4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43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38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89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00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4409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7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00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383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3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fficio.stampa@gimb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F8A8-B38C-48BE-88DD-04601229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</dc:creator>
  <cp:lastModifiedBy>Nino Cartabellotta</cp:lastModifiedBy>
  <cp:revision>6</cp:revision>
  <cp:lastPrinted>2014-01-27T14:53:00Z</cp:lastPrinted>
  <dcterms:created xsi:type="dcterms:W3CDTF">2019-04-12T07:34:00Z</dcterms:created>
  <dcterms:modified xsi:type="dcterms:W3CDTF">2019-04-12T07:44:00Z</dcterms:modified>
</cp:coreProperties>
</file>