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948C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153FACC8" w14:textId="2DBE2BC9" w:rsidR="00E03F52" w:rsidRDefault="007708B5" w:rsidP="00D75B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SPESA SANITARIA: </w:t>
      </w:r>
      <w:r w:rsidR="00F63D3A" w:rsidRPr="00F63D3A">
        <w:rPr>
          <w:b/>
          <w:bCs/>
          <w:sz w:val="36"/>
          <w:szCs w:val="36"/>
        </w:rPr>
        <w:t>IL D</w:t>
      </w:r>
      <w:r>
        <w:rPr>
          <w:b/>
          <w:bCs/>
          <w:sz w:val="36"/>
          <w:szCs w:val="36"/>
        </w:rPr>
        <w:t xml:space="preserve">OCUMENTO DI FINANZA PUBBLICA </w:t>
      </w:r>
      <w:r w:rsidR="00F63D3A" w:rsidRPr="00F63D3A">
        <w:rPr>
          <w:b/>
          <w:bCs/>
          <w:sz w:val="36"/>
          <w:szCs w:val="36"/>
        </w:rPr>
        <w:t xml:space="preserve">2025 </w:t>
      </w:r>
      <w:r w:rsidR="00F27477">
        <w:rPr>
          <w:b/>
          <w:bCs/>
          <w:sz w:val="36"/>
          <w:szCs w:val="36"/>
        </w:rPr>
        <w:t>PREVEDE</w:t>
      </w:r>
      <w:r w:rsidR="00F63D3A" w:rsidRPr="00F63D3A">
        <w:rPr>
          <w:b/>
          <w:bCs/>
          <w:sz w:val="36"/>
          <w:szCs w:val="36"/>
        </w:rPr>
        <w:t xml:space="preserve"> </w:t>
      </w:r>
      <w:r w:rsidR="00D23759">
        <w:rPr>
          <w:b/>
          <w:bCs/>
          <w:sz w:val="36"/>
          <w:szCs w:val="36"/>
        </w:rPr>
        <w:t xml:space="preserve">TIMIDI SEGNALI DI </w:t>
      </w:r>
      <w:r w:rsidR="00F63D3A" w:rsidRPr="00F63D3A">
        <w:rPr>
          <w:b/>
          <w:bCs/>
          <w:sz w:val="36"/>
          <w:szCs w:val="36"/>
        </w:rPr>
        <w:t>CRESCITA</w:t>
      </w:r>
      <w:bookmarkStart w:id="0" w:name="_GoBack"/>
      <w:bookmarkEnd w:id="0"/>
      <w:r>
        <w:rPr>
          <w:b/>
          <w:bCs/>
          <w:sz w:val="36"/>
          <w:szCs w:val="36"/>
        </w:rPr>
        <w:t xml:space="preserve">, </w:t>
      </w:r>
      <w:r w:rsidR="0066640F">
        <w:rPr>
          <w:b/>
          <w:bCs/>
          <w:sz w:val="36"/>
          <w:szCs w:val="36"/>
        </w:rPr>
        <w:t xml:space="preserve">MA </w:t>
      </w:r>
      <w:r w:rsidR="00F63D3A" w:rsidRPr="00F63D3A">
        <w:rPr>
          <w:b/>
          <w:bCs/>
          <w:sz w:val="36"/>
          <w:szCs w:val="36"/>
        </w:rPr>
        <w:t xml:space="preserve">IL RAPPORTO CON IL PIL RESTA </w:t>
      </w:r>
      <w:r>
        <w:rPr>
          <w:b/>
          <w:bCs/>
          <w:sz w:val="36"/>
          <w:szCs w:val="36"/>
        </w:rPr>
        <w:t>INCHIODATO AL 6,4%</w:t>
      </w:r>
      <w:r w:rsidR="00D75BDB">
        <w:rPr>
          <w:b/>
          <w:bCs/>
          <w:sz w:val="36"/>
          <w:szCs w:val="36"/>
        </w:rPr>
        <w:t xml:space="preserve"> SINO AL 2028.</w:t>
      </w:r>
      <w:r w:rsidR="00D75BDB">
        <w:rPr>
          <w:b/>
          <w:bCs/>
          <w:sz w:val="36"/>
          <w:szCs w:val="36"/>
        </w:rPr>
        <w:br/>
      </w:r>
      <w:r w:rsidRPr="009A5084">
        <w:rPr>
          <w:b/>
          <w:bCs/>
          <w:sz w:val="36"/>
          <w:szCs w:val="36"/>
        </w:rPr>
        <w:t>IL S</w:t>
      </w:r>
      <w:r w:rsidR="00F63D3A" w:rsidRPr="009A5084">
        <w:rPr>
          <w:b/>
          <w:bCs/>
          <w:sz w:val="36"/>
          <w:szCs w:val="36"/>
        </w:rPr>
        <w:t xml:space="preserve">SN </w:t>
      </w:r>
      <w:r w:rsidR="00404B04">
        <w:rPr>
          <w:b/>
          <w:bCs/>
          <w:sz w:val="36"/>
          <w:szCs w:val="36"/>
        </w:rPr>
        <w:t xml:space="preserve">RIMANE </w:t>
      </w:r>
      <w:r w:rsidRPr="009A5084">
        <w:rPr>
          <w:b/>
          <w:bCs/>
          <w:sz w:val="36"/>
          <w:szCs w:val="36"/>
        </w:rPr>
        <w:t>LARGAMENTE SOTTO</w:t>
      </w:r>
      <w:r w:rsidR="00F63D3A" w:rsidRPr="009A5084">
        <w:rPr>
          <w:b/>
          <w:bCs/>
          <w:sz w:val="36"/>
          <w:szCs w:val="36"/>
        </w:rPr>
        <w:t>FINANZIATO</w:t>
      </w:r>
    </w:p>
    <w:p w14:paraId="46D43A0A" w14:textId="77777777" w:rsidR="005B4F61" w:rsidRDefault="00665307" w:rsidP="007E6B12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65307"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F11517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CC4A07">
        <w:rPr>
          <w:rFonts w:ascii="Calibri" w:eastAsia="Calibri" w:hAnsi="Calibri" w:cs="Times New Roman"/>
          <w:b/>
          <w:bCs/>
          <w:sz w:val="24"/>
          <w:szCs w:val="24"/>
        </w:rPr>
        <w:t xml:space="preserve"> aprile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E96196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56C3731D" w14:textId="0E0A689E" w:rsidR="00673243" w:rsidRPr="00512869" w:rsidRDefault="000E7A0E" w:rsidP="00673243">
      <w:pPr>
        <w:spacing w:after="120"/>
        <w:jc w:val="both"/>
      </w:pPr>
      <w:r w:rsidRPr="000E7A0E">
        <w:rPr>
          <w:rStyle w:val="Enfasigrassetto"/>
          <w:b w:val="0"/>
        </w:rPr>
        <w:t>«</w:t>
      </w:r>
      <w:r w:rsidR="00404B04">
        <w:rPr>
          <w:rStyle w:val="Enfasigrassetto"/>
          <w:b w:val="0"/>
        </w:rPr>
        <w:t>Si</w:t>
      </w:r>
      <w:r w:rsidR="00C74A53">
        <w:t xml:space="preserve"> intravede </w:t>
      </w:r>
      <w:r w:rsidR="00C74A53" w:rsidRPr="00C74A53">
        <w:t xml:space="preserve">una lieve crescita della spesa sanitaria, ma si tratta di stime previsionali che non modificano la sostanza: </w:t>
      </w:r>
      <w:r w:rsidR="00E33A81" w:rsidRPr="00E33A81">
        <w:t xml:space="preserve">la quota di ricchezza nazionale destinata alla sanità, già insufficiente, resta </w:t>
      </w:r>
      <w:r w:rsidR="00673243">
        <w:t>invariata</w:t>
      </w:r>
      <w:r w:rsidR="00673243" w:rsidRPr="00E33A81">
        <w:t xml:space="preserve"> </w:t>
      </w:r>
      <w:r w:rsidR="00E33A81" w:rsidRPr="00E33A81">
        <w:t>nei prossimi anni, confermando il cronico sottofinanziamento del Servizio Sanitario Nazionale</w:t>
      </w:r>
      <w:r w:rsidRPr="000E7A0E">
        <w:rPr>
          <w:rStyle w:val="Enfasigrassetto"/>
          <w:b w:val="0"/>
        </w:rPr>
        <w:t>»</w:t>
      </w:r>
      <w:r w:rsidRPr="000E7A0E">
        <w:t xml:space="preserve">. </w:t>
      </w:r>
      <w:r>
        <w:t xml:space="preserve">Così Nino Cartabellotta, </w:t>
      </w:r>
      <w:r w:rsidR="00673243">
        <w:t xml:space="preserve">Presidente </w:t>
      </w:r>
      <w:r>
        <w:t xml:space="preserve">della Fondazione GIMBE, commenta i dati sulla spesa sanitaria contenuti nel </w:t>
      </w:r>
      <w:r w:rsidRPr="00512869">
        <w:t>Documento di Finanza Pubblica (DFP)</w:t>
      </w:r>
      <w:r>
        <w:t xml:space="preserve"> approvato lo scorso 9 aprile dal Consiglio dei Ministri e</w:t>
      </w:r>
      <w:r w:rsidR="00BB6E34">
        <w:t xml:space="preserve"> </w:t>
      </w:r>
      <w:r w:rsidR="00BF42B9">
        <w:t>incentrato</w:t>
      </w:r>
      <w:r w:rsidR="00BF42B9" w:rsidRPr="00512869">
        <w:t xml:space="preserve"> </w:t>
      </w:r>
      <w:r w:rsidR="00E96196" w:rsidRPr="00512869">
        <w:t xml:space="preserve">sulla verifica dei risultati </w:t>
      </w:r>
      <w:r w:rsidR="00BF42B9">
        <w:t>conseguiti</w:t>
      </w:r>
      <w:r w:rsidR="00BF42B9" w:rsidRPr="00512869">
        <w:t xml:space="preserve"> </w:t>
      </w:r>
      <w:r w:rsidR="00BF42B9">
        <w:t>nell’</w:t>
      </w:r>
      <w:r w:rsidR="00E96196" w:rsidRPr="00512869">
        <w:t xml:space="preserve">attuazione del Piano </w:t>
      </w:r>
      <w:r w:rsidR="00E16FCF" w:rsidRPr="00512869">
        <w:t>S</w:t>
      </w:r>
      <w:r w:rsidR="00E96196" w:rsidRPr="00512869">
        <w:t xml:space="preserve">trutturale di </w:t>
      </w:r>
      <w:r w:rsidR="00E16FCF" w:rsidRPr="00512869">
        <w:t>B</w:t>
      </w:r>
      <w:r w:rsidR="00E96196" w:rsidRPr="00512869">
        <w:t xml:space="preserve">ilancio di </w:t>
      </w:r>
      <w:r w:rsidR="00E16FCF" w:rsidRPr="00512869">
        <w:t>M</w:t>
      </w:r>
      <w:r w:rsidR="00E96196" w:rsidRPr="00512869">
        <w:t xml:space="preserve">edio </w:t>
      </w:r>
      <w:r w:rsidR="00E16FCF" w:rsidRPr="00512869">
        <w:t>T</w:t>
      </w:r>
      <w:r w:rsidR="00E96196" w:rsidRPr="00512869">
        <w:t>ermine</w:t>
      </w:r>
      <w:r w:rsidR="00E16FCF" w:rsidRPr="00512869">
        <w:t xml:space="preserve"> (PSBMT)</w:t>
      </w:r>
      <w:r w:rsidR="00E96196" w:rsidRPr="00512869">
        <w:t xml:space="preserve"> 2025-2029</w:t>
      </w:r>
      <w:r w:rsidR="00BF42B9">
        <w:t>,</w:t>
      </w:r>
      <w:r w:rsidR="00487A81" w:rsidRPr="00512869">
        <w:t xml:space="preserve"> </w:t>
      </w:r>
      <w:r w:rsidR="00512869" w:rsidRPr="00512869">
        <w:t xml:space="preserve">deliberato </w:t>
      </w:r>
      <w:r w:rsidR="00487A81" w:rsidRPr="00512869">
        <w:t xml:space="preserve">lo scorso </w:t>
      </w:r>
      <w:r w:rsidR="00512869" w:rsidRPr="00512869">
        <w:t>27</w:t>
      </w:r>
      <w:r w:rsidR="00487A81" w:rsidRPr="00512869">
        <w:t xml:space="preserve"> settembre. </w:t>
      </w:r>
    </w:p>
    <w:p w14:paraId="23240571" w14:textId="02256BDE" w:rsidR="00673243" w:rsidRPr="00900A60" w:rsidRDefault="009D0F1D" w:rsidP="00BF42B9">
      <w:pPr>
        <w:spacing w:after="120"/>
        <w:jc w:val="both"/>
        <w:rPr>
          <w:rFonts w:cstheme="minorHAnsi"/>
        </w:rPr>
      </w:pPr>
      <w:r w:rsidRPr="00487A81">
        <w:t>«</w:t>
      </w:r>
      <w:r w:rsidR="00512869">
        <w:t>A</w:t>
      </w:r>
      <w:r w:rsidR="00512869" w:rsidRPr="00836C86">
        <w:rPr>
          <w:rFonts w:cstheme="minorHAnsi"/>
        </w:rPr>
        <w:t xml:space="preserve">l fine di </w:t>
      </w:r>
      <w:r w:rsidR="00673243">
        <w:rPr>
          <w:rFonts w:cstheme="minorHAnsi"/>
        </w:rPr>
        <w:t>offrire</w:t>
      </w:r>
      <w:r w:rsidR="00673243" w:rsidRPr="00836C86">
        <w:rPr>
          <w:rFonts w:cstheme="minorHAnsi"/>
        </w:rPr>
        <w:t xml:space="preserve"> </w:t>
      </w:r>
      <w:r w:rsidR="00512869" w:rsidRPr="00836C86">
        <w:rPr>
          <w:rFonts w:cstheme="minorHAnsi"/>
        </w:rPr>
        <w:t xml:space="preserve">dati oggettivi </w:t>
      </w:r>
      <w:r w:rsidR="00673243">
        <w:rPr>
          <w:rFonts w:cstheme="minorHAnsi"/>
        </w:rPr>
        <w:t>utili al</w:t>
      </w:r>
      <w:r w:rsidR="00512869" w:rsidRPr="00836C86">
        <w:rPr>
          <w:rFonts w:cstheme="minorHAnsi"/>
        </w:rPr>
        <w:t xml:space="preserve"> confronto politico e </w:t>
      </w:r>
      <w:r w:rsidR="00673243">
        <w:rPr>
          <w:rFonts w:cstheme="minorHAnsi"/>
        </w:rPr>
        <w:t>al</w:t>
      </w:r>
      <w:r w:rsidR="00673243" w:rsidRPr="00836C86">
        <w:rPr>
          <w:rFonts w:cstheme="minorHAnsi"/>
        </w:rPr>
        <w:t xml:space="preserve"> </w:t>
      </w:r>
      <w:r w:rsidR="00512869" w:rsidRPr="00836C86">
        <w:rPr>
          <w:rFonts w:cstheme="minorHAnsi"/>
        </w:rPr>
        <w:t>dibattito pubblico</w:t>
      </w:r>
      <w:r w:rsidR="00BF42B9">
        <w:rPr>
          <w:rFonts w:cstheme="minorHAnsi"/>
        </w:rPr>
        <w:t>, evitando</w:t>
      </w:r>
      <w:r w:rsidR="00512869" w:rsidRPr="00836C86">
        <w:rPr>
          <w:rFonts w:cstheme="minorHAnsi"/>
        </w:rPr>
        <w:t xml:space="preserve"> ogni strumentalizzazione</w:t>
      </w:r>
      <w:r w:rsidRPr="009D0F1D">
        <w:rPr>
          <w:color w:val="FF0000"/>
        </w:rPr>
        <w:t xml:space="preserve"> </w:t>
      </w:r>
      <w:r w:rsidRPr="00487A81">
        <w:t xml:space="preserve">– </w:t>
      </w:r>
      <w:r>
        <w:t xml:space="preserve">spiega </w:t>
      </w:r>
      <w:r w:rsidRPr="00401A87">
        <w:t>Cartabellotta</w:t>
      </w:r>
      <w:r w:rsidR="00FD6001">
        <w:t xml:space="preserve"> </w:t>
      </w:r>
      <w:r w:rsidRPr="00487A81">
        <w:t>–</w:t>
      </w:r>
      <w:r>
        <w:t xml:space="preserve"> la Fondazione GIMBE ha </w:t>
      </w:r>
      <w:r w:rsidR="00BF42B9">
        <w:t xml:space="preserve">condotto </w:t>
      </w:r>
      <w:r>
        <w:t xml:space="preserve">analisi indipendenti </w:t>
      </w:r>
      <w:r w:rsidR="00BF42B9">
        <w:t>sulla</w:t>
      </w:r>
      <w:r>
        <w:t xml:space="preserve"> </w:t>
      </w:r>
      <w:r w:rsidRPr="0043536F">
        <w:rPr>
          <w:rFonts w:cstheme="minorHAnsi"/>
        </w:rPr>
        <w:t xml:space="preserve">spesa sanitaria sul </w:t>
      </w:r>
      <w:r>
        <w:rPr>
          <w:rFonts w:cstheme="minorHAnsi"/>
        </w:rPr>
        <w:t xml:space="preserve">DFP 2025, </w:t>
      </w:r>
      <w:r w:rsidR="00BF42B9">
        <w:rPr>
          <w:rFonts w:cstheme="minorHAnsi"/>
        </w:rPr>
        <w:t>includendo anche</w:t>
      </w:r>
      <w:r w:rsidR="00B91E6F">
        <w:rPr>
          <w:rFonts w:cstheme="minorHAnsi"/>
        </w:rPr>
        <w:t xml:space="preserve"> </w:t>
      </w:r>
      <w:r>
        <w:rPr>
          <w:rFonts w:cstheme="minorHAnsi"/>
        </w:rPr>
        <w:t xml:space="preserve">un confronto con le stime </w:t>
      </w:r>
      <w:r w:rsidR="00673243">
        <w:rPr>
          <w:rFonts w:cstheme="minorHAnsi"/>
        </w:rPr>
        <w:t xml:space="preserve">contenute nel </w:t>
      </w:r>
      <w:r>
        <w:rPr>
          <w:rFonts w:cstheme="minorHAnsi"/>
        </w:rPr>
        <w:t>PSBMT</w:t>
      </w:r>
      <w:r w:rsidRPr="00487A81">
        <w:rPr>
          <w:rFonts w:cstheme="minorHAnsi"/>
        </w:rPr>
        <w:t>».</w:t>
      </w:r>
      <w:r>
        <w:rPr>
          <w:rFonts w:cstheme="minorHAnsi"/>
        </w:rPr>
        <w:t xml:space="preserve"> Le analisi riguardano il</w:t>
      </w:r>
      <w:r w:rsidRPr="0043536F">
        <w:rPr>
          <w:rFonts w:cstheme="minorHAnsi"/>
        </w:rPr>
        <w:t xml:space="preserve"> consuntivo 2024</w:t>
      </w:r>
      <w:r>
        <w:rPr>
          <w:rFonts w:cstheme="minorHAnsi"/>
        </w:rPr>
        <w:t>,</w:t>
      </w:r>
      <w:r w:rsidRPr="0043536F">
        <w:rPr>
          <w:rFonts w:cstheme="minorHAnsi"/>
        </w:rPr>
        <w:t xml:space="preserve"> </w:t>
      </w:r>
      <w:r>
        <w:rPr>
          <w:rFonts w:cstheme="minorHAnsi"/>
        </w:rPr>
        <w:t>le</w:t>
      </w:r>
      <w:r w:rsidRPr="0043536F">
        <w:rPr>
          <w:rFonts w:cstheme="minorHAnsi"/>
        </w:rPr>
        <w:t xml:space="preserve"> </w:t>
      </w:r>
      <w:r w:rsidR="00673243">
        <w:rPr>
          <w:rFonts w:cstheme="minorHAnsi"/>
        </w:rPr>
        <w:t>previsioni</w:t>
      </w:r>
      <w:r w:rsidR="00673243" w:rsidRPr="0043536F">
        <w:rPr>
          <w:rFonts w:cstheme="minorHAnsi"/>
        </w:rPr>
        <w:t xml:space="preserve"> </w:t>
      </w:r>
      <w:r w:rsidRPr="0043536F">
        <w:rPr>
          <w:rFonts w:cstheme="minorHAnsi"/>
        </w:rPr>
        <w:t xml:space="preserve">per </w:t>
      </w:r>
      <w:r w:rsidR="00673243">
        <w:rPr>
          <w:rFonts w:cstheme="minorHAnsi"/>
        </w:rPr>
        <w:t>il</w:t>
      </w:r>
      <w:r w:rsidR="00673243" w:rsidRPr="0043536F">
        <w:rPr>
          <w:rFonts w:cstheme="minorHAnsi"/>
        </w:rPr>
        <w:t xml:space="preserve"> </w:t>
      </w:r>
      <w:r w:rsidRPr="0043536F">
        <w:rPr>
          <w:rFonts w:cstheme="minorHAnsi"/>
        </w:rPr>
        <w:t xml:space="preserve">2025 e per </w:t>
      </w:r>
      <w:r>
        <w:rPr>
          <w:rFonts w:cstheme="minorHAnsi"/>
        </w:rPr>
        <w:t>il b</w:t>
      </w:r>
      <w:r w:rsidRPr="0043536F">
        <w:rPr>
          <w:rFonts w:cstheme="minorHAnsi"/>
        </w:rPr>
        <w:t>iennio 202</w:t>
      </w:r>
      <w:r>
        <w:rPr>
          <w:rFonts w:cstheme="minorHAnsi"/>
        </w:rPr>
        <w:t>6</w:t>
      </w:r>
      <w:r w:rsidRPr="0043536F">
        <w:rPr>
          <w:rFonts w:cstheme="minorHAnsi"/>
        </w:rPr>
        <w:t>-2027</w:t>
      </w:r>
      <w:r w:rsidR="00673243">
        <w:rPr>
          <w:rFonts w:cstheme="minorHAnsi"/>
        </w:rPr>
        <w:t>. P</w:t>
      </w:r>
      <w:r>
        <w:rPr>
          <w:rFonts w:cstheme="minorHAnsi"/>
        </w:rPr>
        <w:t xml:space="preserve">er </w:t>
      </w:r>
      <w:r w:rsidR="00673243">
        <w:rPr>
          <w:rFonts w:cstheme="minorHAnsi"/>
        </w:rPr>
        <w:t xml:space="preserve">il </w:t>
      </w:r>
      <w:r>
        <w:rPr>
          <w:rFonts w:cstheme="minorHAnsi"/>
        </w:rPr>
        <w:t xml:space="preserve">2028, </w:t>
      </w:r>
      <w:r w:rsidR="00BF42B9">
        <w:rPr>
          <w:rFonts w:cstheme="minorHAnsi"/>
        </w:rPr>
        <w:t xml:space="preserve">pur </w:t>
      </w:r>
      <w:r w:rsidR="00673243">
        <w:rPr>
          <w:rFonts w:cstheme="minorHAnsi"/>
        </w:rPr>
        <w:t>rientrando nel</w:t>
      </w:r>
      <w:r>
        <w:rPr>
          <w:rFonts w:cstheme="minorHAnsi"/>
        </w:rPr>
        <w:t xml:space="preserve"> triennio di riferimento della prossima Legge di Bilancio</w:t>
      </w:r>
      <w:r w:rsidR="00673243">
        <w:rPr>
          <w:rFonts w:cstheme="minorHAnsi"/>
        </w:rPr>
        <w:t xml:space="preserve"> (2026-2028)</w:t>
      </w:r>
      <w:r>
        <w:rPr>
          <w:rFonts w:cstheme="minorHAnsi"/>
        </w:rPr>
        <w:t xml:space="preserve">, il DFP </w:t>
      </w:r>
      <w:r w:rsidR="00BF42B9">
        <w:rPr>
          <w:rFonts w:cstheme="minorHAnsi"/>
        </w:rPr>
        <w:t>si limita a fornire</w:t>
      </w:r>
      <w:r>
        <w:rPr>
          <w:rFonts w:cstheme="minorHAnsi"/>
        </w:rPr>
        <w:t xml:space="preserve"> </w:t>
      </w:r>
      <w:r w:rsidR="00BF42B9">
        <w:rPr>
          <w:rFonts w:cstheme="minorHAnsi"/>
        </w:rPr>
        <w:t>indicazioni descrittive,</w:t>
      </w:r>
      <w:r>
        <w:rPr>
          <w:rFonts w:cstheme="minorHAnsi"/>
        </w:rPr>
        <w:t xml:space="preserve"> senza </w:t>
      </w:r>
      <w:r w:rsidR="00673243">
        <w:rPr>
          <w:rFonts w:cstheme="minorHAnsi"/>
        </w:rPr>
        <w:t xml:space="preserve">riportare </w:t>
      </w:r>
      <w:r w:rsidR="00B91E6F">
        <w:rPr>
          <w:rFonts w:cstheme="minorHAnsi"/>
        </w:rPr>
        <w:t xml:space="preserve">le stime di </w:t>
      </w:r>
      <w:r>
        <w:rPr>
          <w:rFonts w:cstheme="minorHAnsi"/>
        </w:rPr>
        <w:t>dettagli</w:t>
      </w:r>
      <w:r w:rsidR="00B91E6F">
        <w:rPr>
          <w:rFonts w:cstheme="minorHAnsi"/>
        </w:rPr>
        <w:t>o</w:t>
      </w:r>
      <w:r>
        <w:rPr>
          <w:rFonts w:cstheme="minorHAnsi"/>
        </w:rPr>
        <w:t xml:space="preserve"> nelle tabelle </w:t>
      </w:r>
      <w:r w:rsidR="00900A60" w:rsidRPr="008129FA">
        <w:rPr>
          <w:rFonts w:cstheme="minorHAnsi"/>
        </w:rPr>
        <w:t>analitiche</w:t>
      </w:r>
      <w:r w:rsidRPr="008129FA">
        <w:rPr>
          <w:rFonts w:cstheme="minorHAnsi"/>
        </w:rPr>
        <w:t xml:space="preserve"> (</w:t>
      </w:r>
      <w:r w:rsidRPr="00165B75">
        <w:rPr>
          <w:rFonts w:cstheme="minorHAnsi"/>
          <w:highlight w:val="yellow"/>
        </w:rPr>
        <w:t>Tabella</w:t>
      </w:r>
      <w:r w:rsidR="00165B75" w:rsidRPr="00165B75">
        <w:rPr>
          <w:rFonts w:cstheme="minorHAnsi"/>
          <w:highlight w:val="yellow"/>
        </w:rPr>
        <w:t xml:space="preserve"> 1</w:t>
      </w:r>
      <w:r w:rsidRPr="008129FA">
        <w:rPr>
          <w:rFonts w:cstheme="minorHAnsi"/>
        </w:rPr>
        <w:t>).</w:t>
      </w:r>
    </w:p>
    <w:p w14:paraId="37F174BA" w14:textId="13383AC2" w:rsidR="007801D6" w:rsidRDefault="0030199D" w:rsidP="007801D6">
      <w:pPr>
        <w:jc w:val="both"/>
        <w:rPr>
          <w:rFonts w:cstheme="minorHAnsi"/>
        </w:rPr>
      </w:pPr>
      <w:r w:rsidRPr="006B5625">
        <w:rPr>
          <w:rFonts w:cstheme="minorHAnsi"/>
          <w:b/>
          <w:bCs/>
        </w:rPr>
        <w:t>Stime PIL</w:t>
      </w:r>
      <w:r w:rsidR="00825861">
        <w:rPr>
          <w:rFonts w:cstheme="minorHAnsi"/>
          <w:b/>
          <w:bCs/>
        </w:rPr>
        <w:t xml:space="preserve"> reale</w:t>
      </w:r>
      <w:r>
        <w:rPr>
          <w:rFonts w:cstheme="minorHAnsi"/>
        </w:rPr>
        <w:t xml:space="preserve">. </w:t>
      </w:r>
      <w:r w:rsidR="00825861">
        <w:rPr>
          <w:rFonts w:cstheme="minorHAnsi"/>
        </w:rPr>
        <w:t xml:space="preserve">Secondo quanto riportato nel DFP, </w:t>
      </w:r>
      <w:r w:rsidR="005923F3">
        <w:rPr>
          <w:rFonts w:cstheme="minorHAnsi"/>
        </w:rPr>
        <w:t xml:space="preserve">l’aumento </w:t>
      </w:r>
      <w:r w:rsidRPr="00775ED0">
        <w:rPr>
          <w:rFonts w:cstheme="minorHAnsi"/>
        </w:rPr>
        <w:t>consuntivo del PIL</w:t>
      </w:r>
      <w:r w:rsidR="003F2EB0">
        <w:rPr>
          <w:rFonts w:cstheme="minorHAnsi"/>
        </w:rPr>
        <w:t xml:space="preserve"> </w:t>
      </w:r>
      <w:r w:rsidR="00BF42B9">
        <w:rPr>
          <w:rFonts w:cstheme="minorHAnsi"/>
        </w:rPr>
        <w:t>p</w:t>
      </w:r>
      <w:r w:rsidR="00BF42B9" w:rsidRPr="00775ED0">
        <w:rPr>
          <w:rFonts w:cstheme="minorHAnsi"/>
        </w:rPr>
        <w:t xml:space="preserve">er </w:t>
      </w:r>
      <w:r w:rsidR="007801D6">
        <w:rPr>
          <w:rFonts w:cstheme="minorHAnsi"/>
        </w:rPr>
        <w:t>il</w:t>
      </w:r>
      <w:r w:rsidR="00BF42B9" w:rsidRPr="00775ED0">
        <w:rPr>
          <w:rFonts w:cstheme="minorHAnsi"/>
        </w:rPr>
        <w:t xml:space="preserve"> 2024</w:t>
      </w:r>
      <w:r w:rsidR="00BF42B9">
        <w:rPr>
          <w:rFonts w:cstheme="minorHAnsi"/>
        </w:rPr>
        <w:t xml:space="preserve"> </w:t>
      </w:r>
      <w:r w:rsidRPr="00775ED0">
        <w:rPr>
          <w:rFonts w:cstheme="minorHAnsi"/>
        </w:rPr>
        <w:t>è inferiore di 0,</w:t>
      </w:r>
      <w:r w:rsidR="00A26AB2">
        <w:rPr>
          <w:rFonts w:cstheme="minorHAnsi"/>
        </w:rPr>
        <w:t>3</w:t>
      </w:r>
      <w:r w:rsidR="00A26AB2" w:rsidRPr="00775ED0">
        <w:rPr>
          <w:rFonts w:cstheme="minorHAnsi"/>
        </w:rPr>
        <w:t xml:space="preserve"> </w:t>
      </w:r>
      <w:r w:rsidRPr="00775ED0">
        <w:rPr>
          <w:rFonts w:cstheme="minorHAnsi"/>
        </w:rPr>
        <w:t>punti percentuali rispetto</w:t>
      </w:r>
      <w:r>
        <w:rPr>
          <w:rFonts w:cstheme="minorHAnsi"/>
        </w:rPr>
        <w:t xml:space="preserve"> </w:t>
      </w:r>
      <w:r w:rsidRPr="00775ED0">
        <w:rPr>
          <w:rFonts w:cstheme="minorHAnsi"/>
        </w:rPr>
        <w:t>al</w:t>
      </w:r>
      <w:r w:rsidR="00BF42B9">
        <w:rPr>
          <w:rFonts w:cstheme="minorHAnsi"/>
        </w:rPr>
        <w:t xml:space="preserve">le previsioni del </w:t>
      </w:r>
      <w:r w:rsidRPr="006B5625">
        <w:rPr>
          <w:rFonts w:cstheme="minorHAnsi"/>
        </w:rPr>
        <w:t>PSBMT</w:t>
      </w:r>
      <w:r w:rsidR="00A26AB2">
        <w:rPr>
          <w:rFonts w:cstheme="minorHAnsi"/>
        </w:rPr>
        <w:t xml:space="preserve"> (0,7% vs 1,0%).</w:t>
      </w:r>
      <w:r>
        <w:rPr>
          <w:rFonts w:cstheme="minorHAnsi"/>
        </w:rPr>
        <w:t xml:space="preserve"> Per </w:t>
      </w:r>
      <w:r w:rsidR="003F2EB0">
        <w:rPr>
          <w:rFonts w:cstheme="minorHAnsi"/>
        </w:rPr>
        <w:t xml:space="preserve">il </w:t>
      </w:r>
      <w:r>
        <w:rPr>
          <w:rFonts w:cstheme="minorHAnsi"/>
        </w:rPr>
        <w:t>2025</w:t>
      </w:r>
      <w:r w:rsidR="00BF42B9">
        <w:rPr>
          <w:rFonts w:cstheme="minorHAnsi"/>
        </w:rPr>
        <w:t>,</w:t>
      </w:r>
      <w:r>
        <w:rPr>
          <w:rFonts w:cstheme="minorHAnsi"/>
        </w:rPr>
        <w:t xml:space="preserve"> la stima </w:t>
      </w:r>
      <w:r w:rsidR="00BF42B9">
        <w:rPr>
          <w:rFonts w:cstheme="minorHAnsi"/>
        </w:rPr>
        <w:t xml:space="preserve">di </w:t>
      </w:r>
      <w:r>
        <w:rPr>
          <w:rFonts w:cstheme="minorHAnsi"/>
        </w:rPr>
        <w:t xml:space="preserve">crescita </w:t>
      </w:r>
      <w:r w:rsidR="00BF42B9">
        <w:rPr>
          <w:rFonts w:cstheme="minorHAnsi"/>
        </w:rPr>
        <w:t xml:space="preserve">del PIL si dimezza: </w:t>
      </w:r>
      <w:r w:rsidR="007801D6" w:rsidRPr="007801D6">
        <w:rPr>
          <w:rFonts w:cstheme="minorHAnsi"/>
        </w:rPr>
        <w:t>il DFP prevede un +0,6%, a fronte</w:t>
      </w:r>
      <w:r w:rsidR="007801D6" w:rsidDel="007801D6">
        <w:rPr>
          <w:rFonts w:cstheme="minorHAnsi"/>
        </w:rPr>
        <w:t xml:space="preserve"> </w:t>
      </w:r>
      <w:r w:rsidR="00A26AB2">
        <w:rPr>
          <w:rFonts w:cstheme="minorHAnsi"/>
        </w:rPr>
        <w:t xml:space="preserve">dell’1,2% </w:t>
      </w:r>
      <w:r w:rsidR="007801D6">
        <w:rPr>
          <w:rFonts w:cstheme="minorHAnsi"/>
        </w:rPr>
        <w:t>previsto dal</w:t>
      </w:r>
      <w:r w:rsidR="007801D6" w:rsidRPr="006B5625">
        <w:rPr>
          <w:rFonts w:cstheme="minorHAnsi"/>
        </w:rPr>
        <w:t xml:space="preserve"> </w:t>
      </w:r>
      <w:r w:rsidRPr="006B5625">
        <w:rPr>
          <w:rFonts w:cstheme="minorHAnsi"/>
        </w:rPr>
        <w:t>PSBMT (</w:t>
      </w:r>
      <w:r w:rsidR="00A26AB2">
        <w:rPr>
          <w:rFonts w:cstheme="minorHAnsi"/>
        </w:rPr>
        <w:t>-0,6 punti percentuali</w:t>
      </w:r>
      <w:r w:rsidRPr="006B5625">
        <w:rPr>
          <w:rFonts w:cstheme="minorHAnsi"/>
        </w:rPr>
        <w:t xml:space="preserve">). </w:t>
      </w:r>
      <w:r>
        <w:rPr>
          <w:rFonts w:cstheme="minorHAnsi"/>
        </w:rPr>
        <w:t>Per il 2026</w:t>
      </w:r>
      <w:r w:rsidR="00BF42B9">
        <w:rPr>
          <w:rFonts w:cstheme="minorHAnsi"/>
        </w:rPr>
        <w:t>,</w:t>
      </w:r>
      <w:r>
        <w:rPr>
          <w:rFonts w:cstheme="minorHAnsi"/>
        </w:rPr>
        <w:t xml:space="preserve"> il DFP stima </w:t>
      </w:r>
      <w:r w:rsidR="007801D6">
        <w:rPr>
          <w:rFonts w:cstheme="minorHAnsi"/>
        </w:rPr>
        <w:t>un incremento</w:t>
      </w:r>
      <w:r>
        <w:rPr>
          <w:rFonts w:cstheme="minorHAnsi"/>
        </w:rPr>
        <w:t xml:space="preserve"> dello 0,8%, </w:t>
      </w:r>
      <w:r w:rsidR="007801D6" w:rsidRPr="007801D6">
        <w:rPr>
          <w:rFonts w:cstheme="minorHAnsi"/>
        </w:rPr>
        <w:t xml:space="preserve">inferiore di 0,3 punti </w:t>
      </w:r>
      <w:r w:rsidR="007801D6">
        <w:rPr>
          <w:rFonts w:cstheme="minorHAnsi"/>
        </w:rPr>
        <w:t xml:space="preserve">percentuali </w:t>
      </w:r>
      <w:r>
        <w:rPr>
          <w:rFonts w:cstheme="minorHAnsi"/>
        </w:rPr>
        <w:t>rispetto all’1,1% del PS</w:t>
      </w:r>
      <w:r w:rsidR="00165B75">
        <w:rPr>
          <w:rFonts w:cstheme="minorHAnsi"/>
        </w:rPr>
        <w:t>B</w:t>
      </w:r>
      <w:r>
        <w:rPr>
          <w:rFonts w:cstheme="minorHAnsi"/>
        </w:rPr>
        <w:t>MT</w:t>
      </w:r>
      <w:r w:rsidR="007801D6">
        <w:rPr>
          <w:rFonts w:cstheme="minorHAnsi"/>
        </w:rPr>
        <w:t>. Per</w:t>
      </w:r>
      <w:r w:rsidR="00BF42B9">
        <w:rPr>
          <w:rFonts w:cstheme="minorHAnsi"/>
        </w:rPr>
        <w:t xml:space="preserve"> </w:t>
      </w:r>
      <w:r>
        <w:rPr>
          <w:rFonts w:cstheme="minorHAnsi"/>
        </w:rPr>
        <w:t>il 2027</w:t>
      </w:r>
      <w:r w:rsidR="007801D6">
        <w:rPr>
          <w:rFonts w:cstheme="minorHAnsi"/>
        </w:rPr>
        <w:t xml:space="preserve">, </w:t>
      </w:r>
      <w:r w:rsidR="00404B04">
        <w:rPr>
          <w:rFonts w:cstheme="minorHAnsi"/>
        </w:rPr>
        <w:t>invece</w:t>
      </w:r>
      <w:r w:rsidR="007801D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F42B9">
        <w:rPr>
          <w:rFonts w:cstheme="minorHAnsi"/>
        </w:rPr>
        <w:t>le due previsioni risultano allineate</w:t>
      </w:r>
      <w:r>
        <w:rPr>
          <w:rFonts w:cstheme="minorHAnsi"/>
        </w:rPr>
        <w:t xml:space="preserve"> (+0,8%)</w:t>
      </w:r>
      <w:r w:rsidR="00BB6E34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825861">
        <w:rPr>
          <w:rFonts w:cstheme="minorHAnsi"/>
          <w:highlight w:val="yellow"/>
        </w:rPr>
        <w:t>T</w:t>
      </w:r>
      <w:r w:rsidRPr="0030199D">
        <w:rPr>
          <w:rFonts w:cstheme="minorHAnsi"/>
          <w:highlight w:val="yellow"/>
        </w:rPr>
        <w:t xml:space="preserve">abella </w:t>
      </w:r>
      <w:r w:rsidR="00825861">
        <w:rPr>
          <w:rFonts w:cstheme="minorHAnsi"/>
          <w:highlight w:val="yellow"/>
        </w:rPr>
        <w:t>2</w:t>
      </w:r>
      <w:r>
        <w:rPr>
          <w:rFonts w:cstheme="minorHAnsi"/>
        </w:rPr>
        <w:t xml:space="preserve">). </w:t>
      </w:r>
      <w:r w:rsidR="00487A81" w:rsidRPr="00487A81">
        <w:t>«</w:t>
      </w:r>
      <w:r w:rsidR="00883F2C">
        <w:t xml:space="preserve">Le stime </w:t>
      </w:r>
      <w:r w:rsidR="00563CD1">
        <w:t xml:space="preserve">del PIL in termini reali </w:t>
      </w:r>
      <w:r w:rsidR="00487A81" w:rsidRPr="00487A81">
        <w:t xml:space="preserve">– commenta </w:t>
      </w:r>
      <w:r w:rsidR="007801D6">
        <w:t>il Presidente</w:t>
      </w:r>
      <w:r w:rsidR="007801D6" w:rsidRPr="00487A81">
        <w:t xml:space="preserve"> </w:t>
      </w:r>
      <w:r w:rsidR="00487A81" w:rsidRPr="00487A81">
        <w:t>–</w:t>
      </w:r>
      <w:r w:rsidR="00883F2C">
        <w:t xml:space="preserve"> restituiscono prospettive di crescita economica </w:t>
      </w:r>
      <w:r w:rsidR="00900A60">
        <w:t>riviste</w:t>
      </w:r>
      <w:r w:rsidR="00883F2C">
        <w:t xml:space="preserve"> nettamente al ribasso </w:t>
      </w:r>
      <w:r w:rsidR="00BF42B9">
        <w:t>a soli</w:t>
      </w:r>
      <w:r w:rsidR="00BF42B9" w:rsidRPr="00384DF7">
        <w:t xml:space="preserve"> </w:t>
      </w:r>
      <w:r w:rsidR="007801D6">
        <w:t>sette</w:t>
      </w:r>
      <w:r w:rsidR="007801D6" w:rsidRPr="00384DF7">
        <w:t xml:space="preserve"> </w:t>
      </w:r>
      <w:r w:rsidR="00883F2C" w:rsidRPr="00384DF7">
        <w:t xml:space="preserve">mesi </w:t>
      </w:r>
      <w:r w:rsidR="00BF42B9">
        <w:t xml:space="preserve">di distanza </w:t>
      </w:r>
      <w:r w:rsidR="00883F2C">
        <w:t xml:space="preserve">e, soprattutto, </w:t>
      </w:r>
      <w:r w:rsidR="007801D6">
        <w:t>gravate</w:t>
      </w:r>
      <w:r w:rsidR="005923F3">
        <w:t xml:space="preserve"> </w:t>
      </w:r>
      <w:r w:rsidR="00BF42B9">
        <w:t xml:space="preserve">da forti </w:t>
      </w:r>
      <w:r w:rsidR="00883F2C">
        <w:t xml:space="preserve">incertezze </w:t>
      </w:r>
      <w:r w:rsidR="00BF42B9">
        <w:t xml:space="preserve">legate </w:t>
      </w:r>
      <w:r w:rsidR="00883F2C">
        <w:t>al piano di riarmo</w:t>
      </w:r>
      <w:r w:rsidR="00027E1C">
        <w:t xml:space="preserve"> europeo</w:t>
      </w:r>
      <w:r w:rsidR="00BF42B9">
        <w:t xml:space="preserve"> </w:t>
      </w:r>
      <w:r w:rsidR="00883F2C">
        <w:t>e a</w:t>
      </w:r>
      <w:r w:rsidR="00C7072C">
        <w:t>lle politiche su</w:t>
      </w:r>
      <w:r w:rsidR="00883F2C">
        <w:t xml:space="preserve">i dazi </w:t>
      </w:r>
      <w:r w:rsidR="00BF42B9">
        <w:t>degli Stati Uniti</w:t>
      </w:r>
      <w:r w:rsidR="00487A81" w:rsidRPr="00487A81">
        <w:rPr>
          <w:rFonts w:cstheme="minorHAnsi"/>
        </w:rPr>
        <w:t>».</w:t>
      </w:r>
    </w:p>
    <w:p w14:paraId="4517D1A5" w14:textId="77777777" w:rsidR="00825861" w:rsidRPr="009A5084" w:rsidRDefault="002230A2" w:rsidP="002A3D34">
      <w:pPr>
        <w:spacing w:after="120"/>
        <w:jc w:val="both"/>
        <w:rPr>
          <w:b/>
          <w:bCs/>
        </w:rPr>
      </w:pPr>
      <w:r>
        <w:rPr>
          <w:b/>
          <w:bCs/>
        </w:rPr>
        <w:t>SPESA SANITARIA</w:t>
      </w:r>
      <w:r w:rsidR="009A5084">
        <w:rPr>
          <w:b/>
          <w:bCs/>
        </w:rPr>
        <w:t xml:space="preserve">. </w:t>
      </w:r>
      <w:r w:rsidR="00BF42B9">
        <w:t>Di</w:t>
      </w:r>
      <w:r w:rsidR="00825861" w:rsidRPr="00825861">
        <w:t xml:space="preserve"> seguito </w:t>
      </w:r>
      <w:r w:rsidR="00BF42B9">
        <w:t xml:space="preserve">sono </w:t>
      </w:r>
      <w:r w:rsidR="00825861" w:rsidRPr="00825861">
        <w:t xml:space="preserve">riportati i dati consuntivi </w:t>
      </w:r>
      <w:r w:rsidR="00673243">
        <w:t xml:space="preserve">per il </w:t>
      </w:r>
      <w:r w:rsidR="00825861" w:rsidRPr="00825861">
        <w:t>2024 e le stime per l’anno 2025 e il triennio 2026-2028 (</w:t>
      </w:r>
      <w:r w:rsidR="00825861" w:rsidRPr="00825861">
        <w:rPr>
          <w:highlight w:val="yellow"/>
        </w:rPr>
        <w:t>Tabella 3</w:t>
      </w:r>
      <w:r w:rsidR="00825861" w:rsidRPr="00825861">
        <w:t>).</w:t>
      </w:r>
    </w:p>
    <w:p w14:paraId="3DD28B1F" w14:textId="1316AA78" w:rsidR="00BF42B9" w:rsidRDefault="00A253B0" w:rsidP="00BF42B9">
      <w:pPr>
        <w:spacing w:after="120"/>
        <w:jc w:val="both"/>
      </w:pPr>
      <w:r w:rsidRPr="0043536F">
        <w:rPr>
          <w:b/>
          <w:bCs/>
        </w:rPr>
        <w:t>Consuntivo 202</w:t>
      </w:r>
      <w:r w:rsidR="0043536F" w:rsidRPr="0043536F">
        <w:rPr>
          <w:b/>
          <w:bCs/>
        </w:rPr>
        <w:t>4</w:t>
      </w:r>
      <w:r w:rsidRPr="0043536F">
        <w:t>. Il D</w:t>
      </w:r>
      <w:r w:rsidR="0043536F" w:rsidRPr="0043536F">
        <w:t>FP</w:t>
      </w:r>
      <w:r w:rsidRPr="0043536F">
        <w:t xml:space="preserve"> 202</w:t>
      </w:r>
      <w:r w:rsidR="0043536F" w:rsidRPr="0043536F">
        <w:t>5</w:t>
      </w:r>
      <w:r w:rsidRPr="0043536F">
        <w:t xml:space="preserve"> certifica</w:t>
      </w:r>
      <w:r w:rsidR="00BF42B9">
        <w:t>,</w:t>
      </w:r>
      <w:r w:rsidRPr="0043536F">
        <w:t xml:space="preserve"> per l’anno 202</w:t>
      </w:r>
      <w:r w:rsidR="0043536F" w:rsidRPr="0043536F">
        <w:t>4</w:t>
      </w:r>
      <w:r w:rsidR="00BF42B9">
        <w:t>,</w:t>
      </w:r>
      <w:r w:rsidRPr="0043536F">
        <w:t xml:space="preserve"> </w:t>
      </w:r>
      <w:r w:rsidR="00595456">
        <w:t xml:space="preserve">un </w:t>
      </w:r>
      <w:r w:rsidR="00595456" w:rsidRPr="0043536F">
        <w:t xml:space="preserve">rapporto spesa sanitaria/PIL </w:t>
      </w:r>
      <w:r w:rsidR="00BF42B9">
        <w:t>pari al</w:t>
      </w:r>
      <w:r w:rsidR="00BF42B9" w:rsidRPr="0043536F">
        <w:t xml:space="preserve"> </w:t>
      </w:r>
      <w:r w:rsidR="00595456" w:rsidRPr="0043536F">
        <w:t>6,</w:t>
      </w:r>
      <w:r w:rsidR="00595456">
        <w:t>3%</w:t>
      </w:r>
      <w:r w:rsidR="00BF42B9">
        <w:t>, in lieve aumento rispetto al 2023</w:t>
      </w:r>
      <w:r w:rsidR="00595456">
        <w:t xml:space="preserve"> (+0,1</w:t>
      </w:r>
      <w:r w:rsidR="001F2688">
        <w:t xml:space="preserve"> punti percentuali</w:t>
      </w:r>
      <w:r w:rsidR="00595456">
        <w:t>)</w:t>
      </w:r>
      <w:r w:rsidR="00BF42B9">
        <w:t xml:space="preserve">. La </w:t>
      </w:r>
      <w:r w:rsidR="005E09FF">
        <w:t xml:space="preserve">spesa sanitaria </w:t>
      </w:r>
      <w:r w:rsidR="00BF42B9">
        <w:t xml:space="preserve">ammonta </w:t>
      </w:r>
      <w:r w:rsidR="005E09FF">
        <w:t xml:space="preserve">a </w:t>
      </w:r>
      <w:r w:rsidR="005E09FF" w:rsidRPr="0043536F">
        <w:t>€ 138.335 milioni</w:t>
      </w:r>
      <w:r w:rsidR="00595456">
        <w:t>,</w:t>
      </w:r>
      <w:r w:rsidR="005E09FF">
        <w:t xml:space="preserve"> </w:t>
      </w:r>
      <w:r w:rsidR="00BF42B9">
        <w:t xml:space="preserve">con </w:t>
      </w:r>
      <w:r w:rsidR="00673243">
        <w:t>una crescita</w:t>
      </w:r>
      <w:r w:rsidR="005E09FF">
        <w:t xml:space="preserve"> del 4,9% rispetto </w:t>
      </w:r>
      <w:r w:rsidR="00673243">
        <w:t xml:space="preserve">ai </w:t>
      </w:r>
      <w:r w:rsidR="001F2688">
        <w:t>€ 131.842 milioni</w:t>
      </w:r>
      <w:r w:rsidR="00673243">
        <w:t xml:space="preserve"> del 2023</w:t>
      </w:r>
      <w:r w:rsidR="005E09FF">
        <w:t>.</w:t>
      </w:r>
      <w:r w:rsidR="00BE3ADD">
        <w:t xml:space="preserve"> </w:t>
      </w:r>
      <w:r w:rsidR="003F2EB0">
        <w:t xml:space="preserve"> </w:t>
      </w:r>
      <w:r w:rsidR="00C52C02" w:rsidRPr="00D75BDB">
        <w:t>«</w:t>
      </w:r>
      <w:r w:rsidR="00296843" w:rsidRPr="00D75BDB">
        <w:t xml:space="preserve">Tuttavia </w:t>
      </w:r>
      <w:r w:rsidR="00C52C02" w:rsidRPr="00D75BDB">
        <w:t xml:space="preserve">– </w:t>
      </w:r>
      <w:r w:rsidR="00BF42B9" w:rsidRPr="00D75BDB">
        <w:t xml:space="preserve">osserva </w:t>
      </w:r>
      <w:r w:rsidR="00C52C02" w:rsidRPr="00D75BDB">
        <w:t xml:space="preserve">Cartabellotta – </w:t>
      </w:r>
      <w:r w:rsidR="0024353A" w:rsidRPr="00D75BDB">
        <w:t>l’</w:t>
      </w:r>
      <w:r w:rsidR="00296843" w:rsidRPr="00D75BDB">
        <w:t xml:space="preserve">incremento di € </w:t>
      </w:r>
      <w:r w:rsidR="001F2688" w:rsidRPr="00D75BDB">
        <w:t>6.493</w:t>
      </w:r>
      <w:r w:rsidR="00296843" w:rsidRPr="00D75BDB">
        <w:t xml:space="preserve"> milioni </w:t>
      </w:r>
      <w:r w:rsidR="00BF42B9" w:rsidRPr="00D75BDB">
        <w:t xml:space="preserve">tra il </w:t>
      </w:r>
      <w:r w:rsidR="00296843" w:rsidRPr="00D75BDB">
        <w:t xml:space="preserve">2023 </w:t>
      </w:r>
      <w:r w:rsidR="00BF42B9" w:rsidRPr="00D75BDB">
        <w:t xml:space="preserve">e il </w:t>
      </w:r>
      <w:r w:rsidR="00296843" w:rsidRPr="00D75BDB">
        <w:t>2024</w:t>
      </w:r>
      <w:r w:rsidR="00BF42B9" w:rsidRPr="00D75BDB">
        <w:t xml:space="preserve"> è dovuto per</w:t>
      </w:r>
      <w:r w:rsidR="0024353A" w:rsidRPr="00D75BDB">
        <w:t xml:space="preserve"> oltre la metà</w:t>
      </w:r>
      <w:r w:rsidR="00C52C02" w:rsidRPr="00D75BDB">
        <w:t xml:space="preserve"> </w:t>
      </w:r>
      <w:r w:rsidR="00296843" w:rsidRPr="00D75BDB">
        <w:t xml:space="preserve">(€ 3.257 milioni) </w:t>
      </w:r>
      <w:r w:rsidR="00027E1C" w:rsidRPr="00D75BDB">
        <w:t>alla spesa per il personale dipendente</w:t>
      </w:r>
      <w:r w:rsidR="00D75BDB" w:rsidRPr="00D75BDB">
        <w:t xml:space="preserve">. Un aumento </w:t>
      </w:r>
      <w:r w:rsidR="007801D6">
        <w:t>in gran parte riconducibile</w:t>
      </w:r>
      <w:r w:rsidR="00027E1C" w:rsidRPr="00D75BDB">
        <w:t xml:space="preserve"> </w:t>
      </w:r>
      <w:r w:rsidR="0024353A" w:rsidRPr="00D75BDB">
        <w:t>agli</w:t>
      </w:r>
      <w:r w:rsidR="00C52C02" w:rsidRPr="00D75BDB">
        <w:t xml:space="preserve"> oneri accantonati per i rinnov</w:t>
      </w:r>
      <w:r w:rsidR="0044317C" w:rsidRPr="00D75BDB">
        <w:t>i</w:t>
      </w:r>
      <w:r w:rsidR="00C52C02" w:rsidRPr="00D75BDB">
        <w:t xml:space="preserve"> contratt</w:t>
      </w:r>
      <w:r w:rsidR="0044317C" w:rsidRPr="00D75BDB">
        <w:t>uali</w:t>
      </w:r>
      <w:r w:rsidR="00C52C02" w:rsidRPr="00D75BDB">
        <w:t xml:space="preserve"> del </w:t>
      </w:r>
      <w:r w:rsidR="0044317C" w:rsidRPr="00D75BDB">
        <w:t xml:space="preserve">personale sanitario </w:t>
      </w:r>
      <w:r w:rsidR="006421A5" w:rsidRPr="00D75BDB">
        <w:t xml:space="preserve">relativi al </w:t>
      </w:r>
      <w:r w:rsidR="00B52183" w:rsidRPr="00D75BDB">
        <w:t>triennio 2022-2024</w:t>
      </w:r>
      <w:r w:rsidR="00834554" w:rsidRPr="00D75BDB">
        <w:rPr>
          <w:rFonts w:cstheme="minorHAnsi"/>
        </w:rPr>
        <w:t>»</w:t>
      </w:r>
      <w:r w:rsidR="0044317C" w:rsidRPr="00D75BDB">
        <w:t>.</w:t>
      </w:r>
    </w:p>
    <w:p w14:paraId="512FF87B" w14:textId="77777777" w:rsidR="00673243" w:rsidRPr="00027E1C" w:rsidRDefault="00673243" w:rsidP="00673243">
      <w:pPr>
        <w:spacing w:after="120"/>
        <w:jc w:val="both"/>
        <w:rPr>
          <w:color w:val="FF0000"/>
        </w:rPr>
      </w:pPr>
    </w:p>
    <w:p w14:paraId="385C66D1" w14:textId="09115E5E" w:rsidR="0083307C" w:rsidRDefault="00A253B0" w:rsidP="00EB5DC6">
      <w:pPr>
        <w:spacing w:after="120"/>
        <w:jc w:val="both"/>
      </w:pPr>
      <w:r w:rsidRPr="0043536F">
        <w:rPr>
          <w:b/>
          <w:bCs/>
        </w:rPr>
        <w:t xml:space="preserve">Previsionale </w:t>
      </w:r>
      <w:r w:rsidR="00A4592F" w:rsidRPr="0043536F">
        <w:rPr>
          <w:b/>
          <w:bCs/>
        </w:rPr>
        <w:t>202</w:t>
      </w:r>
      <w:r w:rsidR="0043536F" w:rsidRPr="0043536F">
        <w:rPr>
          <w:b/>
          <w:bCs/>
        </w:rPr>
        <w:t>5</w:t>
      </w:r>
      <w:r w:rsidR="00EB5DC6">
        <w:rPr>
          <w:b/>
          <w:bCs/>
        </w:rPr>
        <w:t xml:space="preserve"> e 2026-202</w:t>
      </w:r>
      <w:r w:rsidR="00384DF7">
        <w:rPr>
          <w:b/>
          <w:bCs/>
        </w:rPr>
        <w:t>8</w:t>
      </w:r>
      <w:r w:rsidR="00A4592F" w:rsidRPr="0043536F">
        <w:t xml:space="preserve">. </w:t>
      </w:r>
      <w:r w:rsidR="006421A5">
        <w:t>Nel 2025, i</w:t>
      </w:r>
      <w:r w:rsidR="00D31237" w:rsidRPr="0043536F">
        <w:t xml:space="preserve">l rapporto spesa sanitaria/PIL </w:t>
      </w:r>
      <w:r w:rsidR="006421A5">
        <w:t>è stimato</w:t>
      </w:r>
      <w:r w:rsidR="00D31237" w:rsidRPr="0043536F">
        <w:t xml:space="preserve"> </w:t>
      </w:r>
      <w:r w:rsidR="002015C9" w:rsidRPr="0043536F">
        <w:t>a</w:t>
      </w:r>
      <w:r w:rsidR="002127C4" w:rsidRPr="0043536F">
        <w:t>l</w:t>
      </w:r>
      <w:r w:rsidR="002015C9" w:rsidRPr="0043536F">
        <w:t xml:space="preserve"> </w:t>
      </w:r>
      <w:r w:rsidR="00D31237" w:rsidRPr="0043536F">
        <w:t>6,</w:t>
      </w:r>
      <w:r w:rsidR="00470E96" w:rsidRPr="0043536F">
        <w:t>4</w:t>
      </w:r>
      <w:r w:rsidR="00D31237" w:rsidRPr="0043536F">
        <w:t>%</w:t>
      </w:r>
      <w:r w:rsidR="006421A5">
        <w:t xml:space="preserve">, in lieve aumento </w:t>
      </w:r>
      <w:r w:rsidR="002015C9" w:rsidRPr="0043536F">
        <w:t xml:space="preserve">rispetto </w:t>
      </w:r>
      <w:r w:rsidR="00D31237" w:rsidRPr="0043536F">
        <w:t>al 6,</w:t>
      </w:r>
      <w:r w:rsidR="00DE04F2">
        <w:t>3</w:t>
      </w:r>
      <w:r w:rsidR="00D31237" w:rsidRPr="0043536F">
        <w:t>%</w:t>
      </w:r>
      <w:r w:rsidR="002015C9" w:rsidRPr="0043536F">
        <w:t xml:space="preserve"> del 202</w:t>
      </w:r>
      <w:r w:rsidR="0043536F" w:rsidRPr="0043536F">
        <w:t>4</w:t>
      </w:r>
      <w:r w:rsidR="006421A5">
        <w:t>. In</w:t>
      </w:r>
      <w:r w:rsidR="00D31237" w:rsidRPr="0043536F">
        <w:t xml:space="preserve"> termini </w:t>
      </w:r>
      <w:r w:rsidR="00D31237" w:rsidRPr="00DE04F2">
        <w:t>assoluti</w:t>
      </w:r>
      <w:r w:rsidR="006421A5">
        <w:t>,</w:t>
      </w:r>
      <w:r w:rsidR="00D31237" w:rsidRPr="00DE04F2">
        <w:t xml:space="preserve"> </w:t>
      </w:r>
      <w:r w:rsidR="007801D6">
        <w:t>la</w:t>
      </w:r>
      <w:r w:rsidR="00A4592F" w:rsidRPr="00DE04F2">
        <w:t xml:space="preserve"> spesa sanitaria </w:t>
      </w:r>
      <w:r w:rsidR="007801D6">
        <w:t>prevista ammonta</w:t>
      </w:r>
      <w:r w:rsidR="006421A5">
        <w:t xml:space="preserve"> a</w:t>
      </w:r>
      <w:r w:rsidR="006421A5" w:rsidRPr="00DE04F2">
        <w:t xml:space="preserve"> </w:t>
      </w:r>
      <w:r w:rsidR="00A4592F" w:rsidRPr="00DE04F2">
        <w:t xml:space="preserve">€ </w:t>
      </w:r>
      <w:r w:rsidR="0043536F" w:rsidRPr="00DE04F2">
        <w:t xml:space="preserve">143.372 </w:t>
      </w:r>
      <w:r w:rsidR="00A4592F" w:rsidRPr="00DE04F2">
        <w:t xml:space="preserve">milioni, </w:t>
      </w:r>
      <w:r w:rsidR="006421A5">
        <w:t xml:space="preserve">con un </w:t>
      </w:r>
      <w:r w:rsidR="006421A5">
        <w:lastRenderedPageBreak/>
        <w:t>incremento di</w:t>
      </w:r>
      <w:r w:rsidR="006421A5" w:rsidRPr="00DE04F2">
        <w:t xml:space="preserve"> </w:t>
      </w:r>
      <w:r w:rsidR="00A4592F" w:rsidRPr="00DE04F2">
        <w:t xml:space="preserve">€ </w:t>
      </w:r>
      <w:r w:rsidR="00DE04F2" w:rsidRPr="00DE04F2">
        <w:t>5.037</w:t>
      </w:r>
      <w:r w:rsidR="00A4592F" w:rsidRPr="00DE04F2">
        <w:t xml:space="preserve"> milioni</w:t>
      </w:r>
      <w:r w:rsidR="007801D6">
        <w:t xml:space="preserve"> (</w:t>
      </w:r>
      <w:r w:rsidR="007801D6" w:rsidRPr="00DE04F2">
        <w:t>+3,6%</w:t>
      </w:r>
      <w:r w:rsidR="007801D6">
        <w:t>)</w:t>
      </w:r>
      <w:r w:rsidR="00A4592F" w:rsidRPr="00DE04F2">
        <w:t xml:space="preserve"> rispetto </w:t>
      </w:r>
      <w:r w:rsidR="007801D6">
        <w:t>all’anno precedente</w:t>
      </w:r>
      <w:r w:rsidR="00A4592F" w:rsidRPr="00DE04F2">
        <w:t>.</w:t>
      </w:r>
      <w:r w:rsidR="00993AA6">
        <w:t xml:space="preserve"> </w:t>
      </w:r>
      <w:r w:rsidR="006421A5">
        <w:t xml:space="preserve">Per il </w:t>
      </w:r>
      <w:r w:rsidR="00F50247">
        <w:t>b</w:t>
      </w:r>
      <w:r w:rsidR="0043536F">
        <w:t>iennio</w:t>
      </w:r>
      <w:r w:rsidR="00B34775" w:rsidRPr="0043536F">
        <w:t xml:space="preserve"> 202</w:t>
      </w:r>
      <w:r w:rsidR="00F50247">
        <w:t>6</w:t>
      </w:r>
      <w:r w:rsidR="00B34775" w:rsidRPr="0043536F">
        <w:t>-</w:t>
      </w:r>
      <w:r w:rsidR="00B34775" w:rsidRPr="008B1660">
        <w:t xml:space="preserve">2027, a fronte di una crescita media annua del PIL nominale del </w:t>
      </w:r>
      <w:r w:rsidR="00F50247">
        <w:t>2,</w:t>
      </w:r>
      <w:r w:rsidR="002E59E5">
        <w:t>75</w:t>
      </w:r>
      <w:r w:rsidR="00B34775" w:rsidRPr="008B1660">
        <w:t xml:space="preserve">%, il </w:t>
      </w:r>
      <w:r w:rsidR="008B1660">
        <w:t>D</w:t>
      </w:r>
      <w:r w:rsidR="008B1660" w:rsidRPr="008B1660">
        <w:t>FP 2025</w:t>
      </w:r>
      <w:r w:rsidR="00B34775" w:rsidRPr="008B1660">
        <w:t xml:space="preserve"> </w:t>
      </w:r>
      <w:r w:rsidR="007801D6">
        <w:t>prevede</w:t>
      </w:r>
      <w:r w:rsidR="007801D6" w:rsidRPr="008B1660">
        <w:t xml:space="preserve"> </w:t>
      </w:r>
      <w:r w:rsidR="007801D6">
        <w:t>un incremento</w:t>
      </w:r>
      <w:r w:rsidR="003443B6" w:rsidRPr="008B1660">
        <w:t xml:space="preserve"> </w:t>
      </w:r>
      <w:r w:rsidR="007801D6" w:rsidRPr="008B1660">
        <w:t>medi</w:t>
      </w:r>
      <w:r w:rsidR="007801D6">
        <w:t>o</w:t>
      </w:r>
      <w:r w:rsidR="007801D6" w:rsidRPr="008B1660">
        <w:t xml:space="preserve"> </w:t>
      </w:r>
      <w:r w:rsidR="003443B6" w:rsidRPr="008B1660">
        <w:t xml:space="preserve">della </w:t>
      </w:r>
      <w:r w:rsidR="00B34775" w:rsidRPr="008B1660">
        <w:t>spesa sanitaria</w:t>
      </w:r>
      <w:r w:rsidR="006421A5">
        <w:t xml:space="preserve"> </w:t>
      </w:r>
      <w:r w:rsidR="007801D6">
        <w:t>del</w:t>
      </w:r>
      <w:r w:rsidR="006421A5" w:rsidRPr="008B1660">
        <w:t xml:space="preserve"> </w:t>
      </w:r>
      <w:r w:rsidR="006421A5">
        <w:t>2,85</w:t>
      </w:r>
      <w:r w:rsidR="006421A5" w:rsidRPr="008B1660">
        <w:t xml:space="preserve">% </w:t>
      </w:r>
      <w:r w:rsidR="006421A5">
        <w:t>l’anno</w:t>
      </w:r>
      <w:r w:rsidR="002E59E5">
        <w:t xml:space="preserve">, </w:t>
      </w:r>
      <w:r w:rsidR="006421A5">
        <w:t>mantenendo invariato il</w:t>
      </w:r>
      <w:r w:rsidR="002E59E5">
        <w:t xml:space="preserve"> rapporto spesa sanitaria/PIL al 6,4%</w:t>
      </w:r>
      <w:r w:rsidR="00B34775" w:rsidRPr="008B1660">
        <w:t>.</w:t>
      </w:r>
      <w:r w:rsidR="00B34775" w:rsidRPr="00F50247">
        <w:t xml:space="preserve"> </w:t>
      </w:r>
      <w:r w:rsidR="00EB5DC6">
        <w:t>I</w:t>
      </w:r>
      <w:r w:rsidR="00B34775" w:rsidRPr="00280536">
        <w:t xml:space="preserve">n </w:t>
      </w:r>
      <w:r w:rsidR="006421A5">
        <w:t>valore</w:t>
      </w:r>
      <w:r w:rsidR="006421A5" w:rsidRPr="00280536">
        <w:t xml:space="preserve"> assolut</w:t>
      </w:r>
      <w:r w:rsidR="006421A5">
        <w:t>o,</w:t>
      </w:r>
      <w:r w:rsidR="006421A5" w:rsidRPr="00280536">
        <w:t xml:space="preserve"> </w:t>
      </w:r>
      <w:r w:rsidR="00B34775" w:rsidRPr="00280536">
        <w:t xml:space="preserve">la spesa sanitaria sale a € </w:t>
      </w:r>
      <w:r w:rsidR="00280536" w:rsidRPr="00280536">
        <w:t>149.820</w:t>
      </w:r>
      <w:r w:rsidR="00B34775" w:rsidRPr="00280536">
        <w:t xml:space="preserve"> milioni </w:t>
      </w:r>
      <w:r w:rsidR="006421A5" w:rsidRPr="00280536">
        <w:t xml:space="preserve">nel 2026 </w:t>
      </w:r>
      <w:r w:rsidR="00B34775" w:rsidRPr="00DE04F2">
        <w:t>(+</w:t>
      </w:r>
      <w:r w:rsidR="00DE04F2" w:rsidRPr="00DE04F2">
        <w:t>4,5</w:t>
      </w:r>
      <w:r w:rsidR="00EB5DC6" w:rsidRPr="00DE04F2">
        <w:t>%</w:t>
      </w:r>
      <w:r w:rsidR="00EB5DC6">
        <w:t xml:space="preserve"> rispetto al 2025</w:t>
      </w:r>
      <w:r w:rsidR="00EB5DC6" w:rsidRPr="00DE04F2">
        <w:t>)</w:t>
      </w:r>
      <w:r w:rsidR="00EB5DC6">
        <w:t xml:space="preserve"> e</w:t>
      </w:r>
      <w:r w:rsidR="00EB5DC6" w:rsidRPr="00DE04F2">
        <w:t xml:space="preserve"> </w:t>
      </w:r>
      <w:r w:rsidR="00B34775" w:rsidRPr="00280536">
        <w:t xml:space="preserve">a € </w:t>
      </w:r>
      <w:r w:rsidR="00280536" w:rsidRPr="00280536">
        <w:t>151.635</w:t>
      </w:r>
      <w:r w:rsidR="00B34775" w:rsidRPr="00280536">
        <w:t xml:space="preserve"> </w:t>
      </w:r>
      <w:r w:rsidR="00B34775" w:rsidRPr="00826BCF">
        <w:t xml:space="preserve">milioni </w:t>
      </w:r>
      <w:r w:rsidR="006421A5">
        <w:t xml:space="preserve">nel 2027 </w:t>
      </w:r>
      <w:r w:rsidR="00B34775" w:rsidRPr="00826BCF">
        <w:t>(+</w:t>
      </w:r>
      <w:r w:rsidR="00826BCF" w:rsidRPr="00826BCF">
        <w:t>1,2</w:t>
      </w:r>
      <w:r w:rsidR="00B34775" w:rsidRPr="00826BCF">
        <w:t>%</w:t>
      </w:r>
      <w:r w:rsidR="00EB5DC6">
        <w:t xml:space="preserve"> rispetto al 2026</w:t>
      </w:r>
      <w:r w:rsidR="00B34775" w:rsidRPr="00826BCF">
        <w:t>)</w:t>
      </w:r>
      <w:r w:rsidR="003443B6" w:rsidRPr="00280536">
        <w:t>.</w:t>
      </w:r>
      <w:r w:rsidR="0087602C" w:rsidRPr="00280536">
        <w:t xml:space="preserve"> </w:t>
      </w:r>
      <w:r w:rsidR="00977E2E">
        <w:t>Per il 2028</w:t>
      </w:r>
      <w:r w:rsidR="006421A5">
        <w:t>,</w:t>
      </w:r>
      <w:r w:rsidR="00977E2E">
        <w:t xml:space="preserve"> il DFP </w:t>
      </w:r>
      <w:r w:rsidR="007801D6">
        <w:t>stima un ulteriore incremento</w:t>
      </w:r>
      <w:r w:rsidR="00977E2E">
        <w:t xml:space="preserve"> della spesa</w:t>
      </w:r>
      <w:r w:rsidR="001D621C">
        <w:t xml:space="preserve"> </w:t>
      </w:r>
      <w:r w:rsidR="007801D6">
        <w:t xml:space="preserve">del </w:t>
      </w:r>
      <w:r w:rsidR="00977E2E">
        <w:t>2,6%</w:t>
      </w:r>
      <w:r w:rsidR="007801D6">
        <w:t xml:space="preserve"> rispetto al 2027</w:t>
      </w:r>
      <w:r w:rsidR="006421A5">
        <w:t>,</w:t>
      </w:r>
      <w:r w:rsidR="00977E2E">
        <w:t xml:space="preserve"> con </w:t>
      </w:r>
      <w:r w:rsidR="007801D6">
        <w:t xml:space="preserve">il </w:t>
      </w:r>
      <w:r w:rsidR="00977E2E">
        <w:t>rapporto spesa sanitaria/PIL</w:t>
      </w:r>
      <w:r w:rsidR="006421A5">
        <w:t xml:space="preserve"> </w:t>
      </w:r>
      <w:r w:rsidR="007801D6">
        <w:t>ancora</w:t>
      </w:r>
      <w:r w:rsidR="00977E2E">
        <w:t xml:space="preserve"> </w:t>
      </w:r>
      <w:r w:rsidR="007801D6">
        <w:t xml:space="preserve">fermo </w:t>
      </w:r>
      <w:r w:rsidR="00977E2E">
        <w:t>al 6,4%.</w:t>
      </w:r>
      <w:r w:rsidR="0083307C">
        <w:t xml:space="preserve"> </w:t>
      </w:r>
    </w:p>
    <w:p w14:paraId="4BE13B7D" w14:textId="77777777" w:rsidR="007801D6" w:rsidRDefault="00214E8B" w:rsidP="007801D6">
      <w:pPr>
        <w:spacing w:after="120"/>
        <w:jc w:val="both"/>
      </w:pPr>
      <w:r w:rsidRPr="00214E8B">
        <w:t>«</w:t>
      </w:r>
      <w:r>
        <w:t>S</w:t>
      </w:r>
      <w:r w:rsidRPr="00214E8B">
        <w:t xml:space="preserve">e da un lato le previsioni </w:t>
      </w:r>
      <w:r w:rsidR="006421A5">
        <w:t>per il</w:t>
      </w:r>
      <w:r w:rsidR="006421A5" w:rsidRPr="00214E8B">
        <w:t xml:space="preserve"> </w:t>
      </w:r>
      <w:r w:rsidRPr="00214E8B">
        <w:t>triennio 2025-</w:t>
      </w:r>
      <w:r w:rsidR="002E59E5" w:rsidRPr="00214E8B">
        <w:t>202</w:t>
      </w:r>
      <w:r w:rsidR="002E59E5">
        <w:t>8</w:t>
      </w:r>
      <w:r w:rsidR="002E59E5" w:rsidRPr="00214E8B">
        <w:t xml:space="preserve"> </w:t>
      </w:r>
      <w:r w:rsidR="006421A5">
        <w:t>indicano</w:t>
      </w:r>
      <w:r w:rsidR="006421A5" w:rsidRPr="00214E8B">
        <w:t xml:space="preserve"> </w:t>
      </w:r>
      <w:r>
        <w:t xml:space="preserve">un </w:t>
      </w:r>
      <w:r w:rsidRPr="00214E8B">
        <w:t>rapporto spesa sanitaria/PIL</w:t>
      </w:r>
      <w:r>
        <w:t xml:space="preserve"> sostanzialmente stabile</w:t>
      </w:r>
      <w:r w:rsidR="006421A5">
        <w:t xml:space="preserve"> </w:t>
      </w:r>
      <w:r w:rsidR="006421A5" w:rsidRPr="00214E8B">
        <w:t>– commenta il Presidente –</w:t>
      </w:r>
      <w:r w:rsidRPr="00214E8B">
        <w:t xml:space="preserve"> dall’altro non si possono escludere riduzioni </w:t>
      </w:r>
      <w:r w:rsidR="007801D6">
        <w:t xml:space="preserve">effettive </w:t>
      </w:r>
      <w:r w:rsidRPr="00214E8B">
        <w:t>della spesa sanitaria</w:t>
      </w:r>
      <w:r w:rsidR="006421A5">
        <w:t xml:space="preserve">, alla luce della stagnazione </w:t>
      </w:r>
      <w:r w:rsidR="00D10B77">
        <w:t xml:space="preserve">economica </w:t>
      </w:r>
      <w:r>
        <w:t xml:space="preserve">e </w:t>
      </w:r>
      <w:r w:rsidR="006421A5">
        <w:t>del</w:t>
      </w:r>
      <w:r>
        <w:t xml:space="preserve">le incertezze legate al </w:t>
      </w:r>
      <w:r w:rsidR="006421A5">
        <w:t xml:space="preserve">contesto </w:t>
      </w:r>
      <w:r>
        <w:t>macroeconomico globale</w:t>
      </w:r>
      <w:r w:rsidRPr="00214E8B">
        <w:t xml:space="preserve">. In </w:t>
      </w:r>
      <w:r w:rsidR="006421A5">
        <w:t>quest’ottica</w:t>
      </w:r>
      <w:r w:rsidRPr="00214E8B">
        <w:t xml:space="preserve"> </w:t>
      </w:r>
      <w:r w:rsidR="006421A5">
        <w:t>appaiono</w:t>
      </w:r>
      <w:r w:rsidR="006421A5" w:rsidRPr="00214E8B">
        <w:t xml:space="preserve"> </w:t>
      </w:r>
      <w:r w:rsidRPr="00214E8B">
        <w:t>azzardate le stime di</w:t>
      </w:r>
      <w:r w:rsidR="002E59E5">
        <w:t xml:space="preserve"> un </w:t>
      </w:r>
      <w:r w:rsidR="006421A5">
        <w:t xml:space="preserve">aumento </w:t>
      </w:r>
      <w:r w:rsidR="002E59E5">
        <w:t>della spesa di</w:t>
      </w:r>
      <w:r w:rsidRPr="00214E8B">
        <w:t xml:space="preserve"> € </w:t>
      </w:r>
      <w:r w:rsidR="00D10B77">
        <w:t>5</w:t>
      </w:r>
      <w:r w:rsidRPr="00214E8B">
        <w:t>.</w:t>
      </w:r>
      <w:r w:rsidR="00D10B77">
        <w:t xml:space="preserve">037 </w:t>
      </w:r>
      <w:r w:rsidRPr="00214E8B">
        <w:t xml:space="preserve">milioni nel 2025 e di </w:t>
      </w:r>
      <w:r w:rsidR="00993AA6">
        <w:t xml:space="preserve">ulteriori </w:t>
      </w:r>
      <w:r w:rsidRPr="00214E8B">
        <w:t xml:space="preserve">€ </w:t>
      </w:r>
      <w:r w:rsidR="002E59E5">
        <w:t>6.448</w:t>
      </w:r>
      <w:r w:rsidRPr="00214E8B">
        <w:t xml:space="preserve"> milioni nel 2026</w:t>
      </w:r>
      <w:r w:rsidRPr="00EF51FE">
        <w:t xml:space="preserve">, </w:t>
      </w:r>
      <w:r w:rsidR="006421A5">
        <w:t>considerando</w:t>
      </w:r>
      <w:r w:rsidR="006421A5" w:rsidRPr="00B41572">
        <w:t xml:space="preserve"> </w:t>
      </w:r>
      <w:r w:rsidRPr="00B41572">
        <w:t xml:space="preserve">che il Fabbisogno Sanitario Nazionale fissato dalla Legge di Bilancio 2025 è pari a € </w:t>
      </w:r>
      <w:r w:rsidRPr="00993AA6">
        <w:t>13</w:t>
      </w:r>
      <w:r w:rsidR="00DD6D8B" w:rsidRPr="00993AA6">
        <w:t>6</w:t>
      </w:r>
      <w:r w:rsidRPr="00993AA6">
        <w:t>.</w:t>
      </w:r>
      <w:r w:rsidR="00EF51FE" w:rsidRPr="00993AA6">
        <w:t xml:space="preserve">533 </w:t>
      </w:r>
      <w:r w:rsidRPr="00EF51FE">
        <w:t xml:space="preserve">milioni per il 2025 e € </w:t>
      </w:r>
      <w:r w:rsidRPr="00993AA6">
        <w:t>1</w:t>
      </w:r>
      <w:r w:rsidR="00DD6D8B" w:rsidRPr="00993AA6">
        <w:t>40</w:t>
      </w:r>
      <w:r w:rsidRPr="00993AA6">
        <w:t>.</w:t>
      </w:r>
      <w:r w:rsidR="00EF51FE" w:rsidRPr="00993AA6">
        <w:t xml:space="preserve">533 </w:t>
      </w:r>
      <w:r w:rsidRPr="00EF51FE">
        <w:t>milioni per il 2026».</w:t>
      </w:r>
    </w:p>
    <w:p w14:paraId="1AB402E7" w14:textId="7A5DE6C8" w:rsidR="007801D6" w:rsidRPr="00C61360" w:rsidRDefault="00C61360" w:rsidP="007801D6">
      <w:pPr>
        <w:spacing w:after="120"/>
        <w:jc w:val="both"/>
      </w:pPr>
      <w:r>
        <w:rPr>
          <w:b/>
          <w:bCs/>
        </w:rPr>
        <w:t>D</w:t>
      </w:r>
      <w:r w:rsidRPr="00C61360">
        <w:rPr>
          <w:b/>
          <w:bCs/>
        </w:rPr>
        <w:t xml:space="preserve">ifferenza tra le stime </w:t>
      </w:r>
      <w:r>
        <w:rPr>
          <w:b/>
          <w:bCs/>
        </w:rPr>
        <w:t xml:space="preserve">del </w:t>
      </w:r>
      <w:r w:rsidRPr="00C61360">
        <w:rPr>
          <w:b/>
          <w:bCs/>
        </w:rPr>
        <w:t xml:space="preserve">DFP </w:t>
      </w:r>
      <w:r>
        <w:rPr>
          <w:b/>
          <w:bCs/>
        </w:rPr>
        <w:t>e quelle del PSBMT</w:t>
      </w:r>
      <w:r>
        <w:t xml:space="preserve">. </w:t>
      </w:r>
      <w:r w:rsidR="00723658">
        <w:t xml:space="preserve">Rispetto alle previsioni del PSBMT </w:t>
      </w:r>
      <w:r w:rsidR="007801D6">
        <w:t xml:space="preserve">approvato a </w:t>
      </w:r>
      <w:r w:rsidR="00B41572">
        <w:t>settembre</w:t>
      </w:r>
      <w:r w:rsidR="006421A5">
        <w:t>,</w:t>
      </w:r>
      <w:r w:rsidR="00B41572">
        <w:t xml:space="preserve"> </w:t>
      </w:r>
      <w:r w:rsidR="00723658">
        <w:t xml:space="preserve">le stime </w:t>
      </w:r>
      <w:r w:rsidR="00B41572">
        <w:t xml:space="preserve">sulla spesa sanitaria contenute nel </w:t>
      </w:r>
      <w:r w:rsidR="00723658">
        <w:t xml:space="preserve">DFP 2025 </w:t>
      </w:r>
      <w:r w:rsidR="006421A5">
        <w:t xml:space="preserve">risultano </w:t>
      </w:r>
      <w:r w:rsidR="00B41572">
        <w:t xml:space="preserve">superiori </w:t>
      </w:r>
      <w:r w:rsidR="00723658">
        <w:t xml:space="preserve">sia </w:t>
      </w:r>
      <w:r w:rsidR="006421A5">
        <w:t xml:space="preserve">in termini di </w:t>
      </w:r>
      <w:r w:rsidR="00723658">
        <w:t xml:space="preserve">rapporto spesa sanitaria/PIL, sia in </w:t>
      </w:r>
      <w:r w:rsidR="006421A5">
        <w:t>valore assoluto</w:t>
      </w:r>
      <w:r w:rsidR="00723658">
        <w:t xml:space="preserve">. </w:t>
      </w:r>
      <w:r w:rsidR="00723658" w:rsidRPr="00BE4374">
        <w:t>«</w:t>
      </w:r>
      <w:r w:rsidR="00723658">
        <w:t xml:space="preserve">Un dato che </w:t>
      </w:r>
      <w:r w:rsidR="00723658" w:rsidRPr="00BE4374">
        <w:t xml:space="preserve">– </w:t>
      </w:r>
      <w:r w:rsidR="00723658">
        <w:t xml:space="preserve">commenta Cartabellotta </w:t>
      </w:r>
      <w:r w:rsidR="00723658" w:rsidRPr="00BE4374">
        <w:t>–</w:t>
      </w:r>
      <w:r w:rsidR="00723658">
        <w:t xml:space="preserve"> rappresent</w:t>
      </w:r>
      <w:r w:rsidR="00595456">
        <w:t>a</w:t>
      </w:r>
      <w:r w:rsidR="00723658">
        <w:t xml:space="preserve"> un timido segnale </w:t>
      </w:r>
      <w:r w:rsidR="006421A5">
        <w:t>d</w:t>
      </w:r>
      <w:r w:rsidR="007801D6">
        <w:t>i apertura d</w:t>
      </w:r>
      <w:r w:rsidR="006421A5">
        <w:t xml:space="preserve">a parte </w:t>
      </w:r>
      <w:r w:rsidR="00CD5123">
        <w:t xml:space="preserve">dell’Esecutivo per </w:t>
      </w:r>
      <w:r w:rsidR="006421A5">
        <w:t xml:space="preserve">scongiurare </w:t>
      </w:r>
      <w:r w:rsidR="00723658">
        <w:t xml:space="preserve">ulteriori tagli alla sanità, </w:t>
      </w:r>
      <w:r w:rsidR="006421A5">
        <w:t>alla luce del</w:t>
      </w:r>
      <w:r w:rsidR="00723658">
        <w:t xml:space="preserve"> peggioramento del quadro economico generale</w:t>
      </w:r>
      <w:r w:rsidR="00723658" w:rsidRPr="00BE4374">
        <w:t>».</w:t>
      </w:r>
    </w:p>
    <w:p w14:paraId="06E01F41" w14:textId="6EE3FB9A" w:rsidR="006421A5" w:rsidRDefault="002B307F" w:rsidP="0087602C">
      <w:pPr>
        <w:spacing w:after="120"/>
        <w:jc w:val="both"/>
      </w:pPr>
      <w:r w:rsidRPr="002F2DED">
        <w:rPr>
          <w:b/>
          <w:bCs/>
        </w:rPr>
        <w:t>Riforme</w:t>
      </w:r>
      <w:r w:rsidRPr="002F2DED">
        <w:t xml:space="preserve">. A completamento della prossima Legge di Bilancio, il </w:t>
      </w:r>
      <w:r w:rsidR="00F90047" w:rsidRPr="002F2DED">
        <w:t>D</w:t>
      </w:r>
      <w:r w:rsidRPr="002F2DED">
        <w:t xml:space="preserve">FP </w:t>
      </w:r>
      <w:r w:rsidR="00A10F06">
        <w:t xml:space="preserve">2025 </w:t>
      </w:r>
      <w:r w:rsidRPr="002F2DED">
        <w:t xml:space="preserve">indica 32 provvedimenti collegati, tra cui </w:t>
      </w:r>
      <w:r w:rsidR="001D621C">
        <w:t xml:space="preserve">due direttamente riferiti alla sanità: </w:t>
      </w:r>
      <w:r w:rsidRPr="002F2DED">
        <w:t xml:space="preserve">la “Riorganizzazione e potenziamento dell’assistenza territoriale nel Servizio Sanitario </w:t>
      </w:r>
      <w:r w:rsidR="00FD6001">
        <w:t>N</w:t>
      </w:r>
      <w:r w:rsidRPr="002F2DED">
        <w:t>azionale e dell’assistenza ospedaliera” e la “Delega in materia di riordino delle professioni sanitarie e degli enti vigilati dal Ministero della Salute”.</w:t>
      </w:r>
      <w:r w:rsidR="003063C1" w:rsidRPr="002F2DED">
        <w:t xml:space="preserve"> «Indubbiamente – chiosa il Presidente – </w:t>
      </w:r>
      <w:r w:rsidR="002F2DED" w:rsidRPr="002F2DED">
        <w:t xml:space="preserve">le riforme </w:t>
      </w:r>
      <w:r w:rsidR="006421A5">
        <w:t>affrontano i nodi strutturali</w:t>
      </w:r>
      <w:r w:rsidR="006421A5" w:rsidRPr="002F2DED">
        <w:t xml:space="preserve"> </w:t>
      </w:r>
      <w:r w:rsidR="002F2DED" w:rsidRPr="002F2DED">
        <w:t>più critici, ma la riorganizzazione dell’assistenza territoriale è fortemente condizionata dalla gravissima carenza di personale infermieristico</w:t>
      </w:r>
      <w:r w:rsidR="003A3F7E">
        <w:t xml:space="preserve"> e da un</w:t>
      </w:r>
      <w:r w:rsidR="002F2DED" w:rsidRPr="002F2DED">
        <w:t xml:space="preserve"> ruolo del medico di famiglia ancora </w:t>
      </w:r>
      <w:r w:rsidR="00404B04">
        <w:t>non ben definito</w:t>
      </w:r>
      <w:r w:rsidR="002F2DED" w:rsidRPr="002F2DED">
        <w:t xml:space="preserve">. </w:t>
      </w:r>
      <w:r w:rsidR="003A3F7E">
        <w:t>Inoltre</w:t>
      </w:r>
      <w:r w:rsidR="002F2DED" w:rsidRPr="002F2DED">
        <w:t xml:space="preserve">, al di là del “riordino” delle professioni sanitarie, </w:t>
      </w:r>
      <w:r w:rsidR="003A3F7E">
        <w:t xml:space="preserve">la vera emergenza </w:t>
      </w:r>
      <w:r w:rsidR="00A10F06">
        <w:t>resta</w:t>
      </w:r>
      <w:r w:rsidR="00A10F06" w:rsidRPr="002F2DED">
        <w:t xml:space="preserve"> </w:t>
      </w:r>
      <w:r w:rsidR="002F2DED" w:rsidRPr="002F2DED">
        <w:t>la fuga dei professionisti dal SSN</w:t>
      </w:r>
      <w:r w:rsidR="003A3F7E">
        <w:t xml:space="preserve">: </w:t>
      </w:r>
      <w:r w:rsidR="002F2DED" w:rsidRPr="002F2DED">
        <w:t xml:space="preserve">per restituire attrattività servono anche (ma non solo) risorse </w:t>
      </w:r>
      <w:r w:rsidR="003A3F7E" w:rsidRPr="002F2DED">
        <w:t>consistenti</w:t>
      </w:r>
      <w:r w:rsidR="003A3F7E">
        <w:t xml:space="preserve">, </w:t>
      </w:r>
      <w:r w:rsidR="00A10F06">
        <w:t>che attualmente non sono</w:t>
      </w:r>
      <w:r w:rsidR="002F2DED" w:rsidRPr="002F2DED">
        <w:t xml:space="preserve"> disponibili</w:t>
      </w:r>
      <w:r w:rsidR="003063C1" w:rsidRPr="002F2DED">
        <w:t>».</w:t>
      </w:r>
    </w:p>
    <w:p w14:paraId="5F1BB117" w14:textId="6D633476" w:rsidR="007801D6" w:rsidRDefault="008F2D8F" w:rsidP="002A3D34">
      <w:pPr>
        <w:spacing w:after="120"/>
        <w:jc w:val="both"/>
      </w:pPr>
      <w:r w:rsidRPr="00BE4374">
        <w:t>«Il D</w:t>
      </w:r>
      <w:r w:rsidR="00826BCF" w:rsidRPr="00BE4374">
        <w:t>FP</w:t>
      </w:r>
      <w:r w:rsidRPr="00BE4374">
        <w:t xml:space="preserve"> 202</w:t>
      </w:r>
      <w:r w:rsidR="00826BCF" w:rsidRPr="00BE4374">
        <w:t>5</w:t>
      </w:r>
      <w:r w:rsidRPr="00BE4374">
        <w:t xml:space="preserve"> – </w:t>
      </w:r>
      <w:r w:rsidR="0068369D">
        <w:t>conclude</w:t>
      </w:r>
      <w:r w:rsidR="00C211D2" w:rsidRPr="00BE4374">
        <w:t xml:space="preserve"> </w:t>
      </w:r>
      <w:r w:rsidRPr="00BE4374">
        <w:t>il Presidente –</w:t>
      </w:r>
      <w:r w:rsidR="00BC2D35" w:rsidRPr="00BE4374">
        <w:t xml:space="preserve"> </w:t>
      </w:r>
      <w:r w:rsidRPr="00BE4374">
        <w:t xml:space="preserve">conferma che, in linea con quanto accaduto negli ultimi 15 anni, la sanità pubblica </w:t>
      </w:r>
      <w:r w:rsidR="00BE4374">
        <w:t xml:space="preserve">continua a non </w:t>
      </w:r>
      <w:r w:rsidRPr="00BE4374">
        <w:t>rappresenta</w:t>
      </w:r>
      <w:r w:rsidR="00BE4374">
        <w:t xml:space="preserve">re </w:t>
      </w:r>
      <w:r w:rsidRPr="00BE4374">
        <w:t xml:space="preserve">una priorità </w:t>
      </w:r>
      <w:r w:rsidR="00BE4374">
        <w:t>per il Paese, nonostante la grave crisi di sostenibilità del SSN</w:t>
      </w:r>
      <w:r w:rsidR="005466CD">
        <w:t xml:space="preserve"> e il progressivo sgretolamento del diritto alla tutela della salute.</w:t>
      </w:r>
      <w:r w:rsidR="005466CD" w:rsidRPr="005466CD">
        <w:t xml:space="preserve"> </w:t>
      </w:r>
      <w:r w:rsidR="00A10F06">
        <w:t>Alla luce del</w:t>
      </w:r>
      <w:r w:rsidR="005466CD">
        <w:t xml:space="preserve">le stime al ribasso del PIL e </w:t>
      </w:r>
      <w:r w:rsidR="00A10F06">
        <w:t xml:space="preserve">del </w:t>
      </w:r>
      <w:r w:rsidR="005466CD">
        <w:t>quadro macroeconomico,</w:t>
      </w:r>
      <w:r w:rsidR="005466CD" w:rsidRPr="005466CD">
        <w:t xml:space="preserve"> </w:t>
      </w:r>
      <w:r w:rsidR="005466CD">
        <w:t xml:space="preserve">va riconosciuto all’Esecutivo il merito di aver scongiurato ulteriori e drammatici tagli alla spesa sanitaria. Tuttavia, </w:t>
      </w:r>
      <w:r w:rsidR="00BE4374" w:rsidRPr="00BE4374">
        <w:t xml:space="preserve">nonostante </w:t>
      </w:r>
      <w:r w:rsidR="00A10F06">
        <w:t>l’incremento previsto in valore assoluto</w:t>
      </w:r>
      <w:r w:rsidR="00BE4374" w:rsidRPr="00BE4374">
        <w:t xml:space="preserve">, il peso della sanità sul PIL </w:t>
      </w:r>
      <w:r w:rsidR="00A10F06">
        <w:t>resta</w:t>
      </w:r>
      <w:r w:rsidR="0068369D">
        <w:t xml:space="preserve"> inchiodato al 6,4%</w:t>
      </w:r>
      <w:r w:rsidR="00F90047">
        <w:t xml:space="preserve"> fino al 2028</w:t>
      </w:r>
      <w:r w:rsidR="005466CD">
        <w:t xml:space="preserve">, lasciando </w:t>
      </w:r>
      <w:r w:rsidR="00A10F06">
        <w:t xml:space="preserve">il SSN </w:t>
      </w:r>
      <w:r w:rsidR="005466CD">
        <w:t>largamente sottofinanziato</w:t>
      </w:r>
      <w:r w:rsidR="00D75BDB" w:rsidRPr="00BE4374">
        <w:t>».</w:t>
      </w:r>
    </w:p>
    <w:p w14:paraId="4465AD33" w14:textId="77777777" w:rsidR="00F02BB8" w:rsidRDefault="00F02BB8" w:rsidP="003A3F7E">
      <w:pPr>
        <w:spacing w:after="120"/>
        <w:jc w:val="both"/>
      </w:pPr>
    </w:p>
    <w:p w14:paraId="0BB2624F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5722FF0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18A5EFB8" w14:textId="77777777" w:rsidR="001E3647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8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30EA1E0B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08F4851" w14:textId="77777777" w:rsidR="00A26AB2" w:rsidRDefault="00A26AB2" w:rsidP="00E96196">
      <w:pPr>
        <w:spacing w:after="0"/>
        <w:jc w:val="center"/>
        <w:rPr>
          <w:rFonts w:ascii="Calibri" w:eastAsia="Calibri" w:hAnsi="Calibri" w:cs="Calibri"/>
          <w:b/>
          <w:bCs/>
          <w:color w:val="00457D"/>
        </w:rPr>
      </w:pPr>
    </w:p>
    <w:p w14:paraId="33D6075F" w14:textId="77777777" w:rsidR="00A26AB2" w:rsidRDefault="00A26AB2" w:rsidP="00E96196">
      <w:pPr>
        <w:spacing w:after="0"/>
        <w:jc w:val="center"/>
        <w:rPr>
          <w:rFonts w:ascii="Calibri" w:eastAsia="Calibri" w:hAnsi="Calibri" w:cs="Calibri"/>
          <w:b/>
          <w:bCs/>
          <w:color w:val="00457D"/>
        </w:rPr>
      </w:pPr>
    </w:p>
    <w:p w14:paraId="34E586FA" w14:textId="77777777" w:rsidR="00D75BDB" w:rsidRDefault="00D75BDB" w:rsidP="00E96196">
      <w:pPr>
        <w:spacing w:after="0"/>
        <w:jc w:val="center"/>
        <w:rPr>
          <w:rFonts w:ascii="Calibri" w:eastAsia="Calibri" w:hAnsi="Calibri" w:cs="Calibri"/>
          <w:b/>
          <w:bCs/>
          <w:color w:val="00457D"/>
        </w:rPr>
      </w:pPr>
    </w:p>
    <w:p w14:paraId="6477F8E3" w14:textId="77777777" w:rsidR="00D75BDB" w:rsidRDefault="00D75BDB" w:rsidP="00E96196">
      <w:pPr>
        <w:spacing w:after="0"/>
        <w:jc w:val="center"/>
        <w:rPr>
          <w:rFonts w:ascii="Calibri" w:eastAsia="Calibri" w:hAnsi="Calibri" w:cs="Calibri"/>
          <w:b/>
          <w:bCs/>
          <w:color w:val="00457D"/>
        </w:rPr>
      </w:pPr>
    </w:p>
    <w:p w14:paraId="69941506" w14:textId="77777777" w:rsidR="00A831F3" w:rsidRDefault="00A831F3" w:rsidP="00E96196">
      <w:pPr>
        <w:spacing w:after="0"/>
        <w:jc w:val="center"/>
        <w:rPr>
          <w:rFonts w:ascii="Calibri" w:eastAsia="Calibri" w:hAnsi="Calibri" w:cs="Calibri"/>
          <w:b/>
          <w:bCs/>
          <w:color w:val="00457D"/>
        </w:rPr>
      </w:pPr>
    </w:p>
    <w:p w14:paraId="5ED01D49" w14:textId="77777777" w:rsidR="00A26AB2" w:rsidRDefault="00A26AB2" w:rsidP="00E96196">
      <w:pPr>
        <w:spacing w:after="0"/>
        <w:jc w:val="center"/>
        <w:rPr>
          <w:rFonts w:ascii="Calibri" w:eastAsia="Calibri" w:hAnsi="Calibri" w:cs="Calibri"/>
          <w:b/>
          <w:bCs/>
          <w:color w:val="00457D"/>
        </w:rPr>
      </w:pPr>
    </w:p>
    <w:p w14:paraId="71006E54" w14:textId="77777777" w:rsidR="00E96196" w:rsidRPr="00E96196" w:rsidRDefault="00E96196" w:rsidP="00D03532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457D"/>
        </w:rPr>
      </w:pPr>
      <w:r w:rsidRPr="00D437FC">
        <w:rPr>
          <w:rFonts w:ascii="Calibri" w:eastAsia="Calibri" w:hAnsi="Calibri" w:cs="Calibri"/>
          <w:b/>
          <w:bCs/>
          <w:color w:val="00457D"/>
        </w:rPr>
        <w:lastRenderedPageBreak/>
        <w:t>Tabella</w:t>
      </w:r>
      <w:r w:rsidR="00CC702A">
        <w:rPr>
          <w:rFonts w:ascii="Calibri" w:eastAsia="Calibri" w:hAnsi="Calibri" w:cs="Calibri"/>
          <w:b/>
          <w:bCs/>
          <w:color w:val="00457D"/>
        </w:rPr>
        <w:t xml:space="preserve"> </w:t>
      </w:r>
      <w:r w:rsidR="008129FA">
        <w:rPr>
          <w:rFonts w:ascii="Calibri" w:eastAsia="Calibri" w:hAnsi="Calibri" w:cs="Calibri"/>
          <w:b/>
          <w:bCs/>
          <w:color w:val="00457D"/>
        </w:rPr>
        <w:t>1</w:t>
      </w:r>
      <w:r w:rsidRPr="00D437FC">
        <w:rPr>
          <w:rFonts w:ascii="Calibri" w:eastAsia="Calibri" w:hAnsi="Calibri" w:cs="Calibri"/>
          <w:b/>
          <w:bCs/>
          <w:color w:val="00457D"/>
        </w:rPr>
        <w:t>.</w:t>
      </w:r>
      <w:r>
        <w:rPr>
          <w:rFonts w:ascii="Calibri" w:eastAsia="Calibri" w:hAnsi="Calibri" w:cs="Calibri"/>
          <w:b/>
          <w:bCs/>
          <w:color w:val="00457D"/>
        </w:rPr>
        <w:t xml:space="preserve"> La spesa sanitaria nel DFP</w:t>
      </w:r>
      <w:r w:rsidR="008C2E27">
        <w:rPr>
          <w:rFonts w:ascii="Calibri" w:eastAsia="Calibri" w:hAnsi="Calibri" w:cs="Calibri"/>
          <w:b/>
          <w:bCs/>
          <w:color w:val="00457D"/>
        </w:rPr>
        <w:t xml:space="preserve"> 2025</w:t>
      </w:r>
      <w:r>
        <w:rPr>
          <w:rFonts w:ascii="Calibri" w:eastAsia="Calibri" w:hAnsi="Calibri" w:cs="Calibri"/>
          <w:b/>
          <w:bCs/>
          <w:color w:val="00457D"/>
        </w:rPr>
        <w:t>: consuntivo 2024 e stime 2025-202</w:t>
      </w:r>
      <w:r w:rsidR="008C2E27">
        <w:rPr>
          <w:rFonts w:ascii="Calibri" w:eastAsia="Calibri" w:hAnsi="Calibri" w:cs="Calibri"/>
          <w:b/>
          <w:bCs/>
          <w:color w:val="00457D"/>
        </w:rPr>
        <w:t>8</w:t>
      </w:r>
    </w:p>
    <w:tbl>
      <w:tblPr>
        <w:tblW w:w="4202" w:type="pct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1029"/>
        <w:gridCol w:w="1029"/>
        <w:gridCol w:w="1155"/>
        <w:gridCol w:w="1021"/>
        <w:gridCol w:w="1026"/>
      </w:tblGrid>
      <w:tr w:rsidR="009A1173" w:rsidRPr="00CC702A" w14:paraId="2FD163D8" w14:textId="77777777" w:rsidTr="008129FA">
        <w:trPr>
          <w:trHeight w:val="293"/>
          <w:jc w:val="center"/>
        </w:trPr>
        <w:tc>
          <w:tcPr>
            <w:tcW w:w="1749" w:type="pct"/>
            <w:tcBorders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3895938A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bookmarkStart w:id="1" w:name="_Hlk181349053"/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63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5D49D4E5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2024</w:t>
            </w:r>
          </w:p>
        </w:tc>
        <w:tc>
          <w:tcPr>
            <w:tcW w:w="63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74794522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2025</w:t>
            </w: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6B5E116D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2026</w:t>
            </w:r>
          </w:p>
        </w:tc>
        <w:tc>
          <w:tcPr>
            <w:tcW w:w="6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12CF67FB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2027</w:t>
            </w:r>
          </w:p>
        </w:tc>
        <w:tc>
          <w:tcPr>
            <w:tcW w:w="631" w:type="pct"/>
            <w:tcBorders>
              <w:left w:val="single" w:sz="4" w:space="0" w:color="FFFFFF" w:themeColor="background1"/>
            </w:tcBorders>
            <w:shd w:val="clear" w:color="000000" w:fill="00457D"/>
          </w:tcPr>
          <w:p w14:paraId="39D4B285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2028</w:t>
            </w:r>
          </w:p>
        </w:tc>
      </w:tr>
      <w:tr w:rsidR="009A1173" w:rsidRPr="00CC702A" w14:paraId="63A6DE5F" w14:textId="77777777" w:rsidTr="008129FA">
        <w:trPr>
          <w:trHeight w:val="293"/>
          <w:jc w:val="center"/>
        </w:trPr>
        <w:tc>
          <w:tcPr>
            <w:tcW w:w="1749" w:type="pct"/>
            <w:shd w:val="clear" w:color="auto" w:fill="auto"/>
            <w:noWrap/>
            <w:vAlign w:val="center"/>
            <w:hideMark/>
          </w:tcPr>
          <w:p w14:paraId="0EF032E8" w14:textId="77777777" w:rsidR="009A1173" w:rsidRPr="00CC702A" w:rsidRDefault="009A1173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Spesa sanitaria (milioni di €)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FDDB52A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138.335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77BDFA7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143.372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63FE9E1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149.820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14:paraId="2CFC18E8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151.635</w:t>
            </w:r>
          </w:p>
        </w:tc>
        <w:tc>
          <w:tcPr>
            <w:tcW w:w="631" w:type="pct"/>
          </w:tcPr>
          <w:p w14:paraId="5E5450A6" w14:textId="77777777" w:rsidR="009A1173" w:rsidRPr="00CC702A" w:rsidRDefault="00CC702A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155.</w:t>
            </w:r>
            <w:r w:rsidR="00384DF7" w:rsidRPr="00CC702A">
              <w:rPr>
                <w:rFonts w:eastAsia="Times New Roman" w:cstheme="minorHAnsi"/>
                <w:color w:val="000000"/>
                <w:lang w:eastAsia="it-IT"/>
              </w:rPr>
              <w:t>55</w:t>
            </w:r>
            <w:r w:rsidR="00384DF7">
              <w:rPr>
                <w:rFonts w:eastAsia="Times New Roman" w:cstheme="minorHAnsi"/>
                <w:color w:val="000000"/>
                <w:lang w:eastAsia="it-IT"/>
              </w:rPr>
              <w:t>8</w:t>
            </w:r>
            <w:r w:rsidRPr="008129FA">
              <w:rPr>
                <w:rFonts w:eastAsia="Times New Roman" w:cstheme="minorHAnsi"/>
                <w:color w:val="000000"/>
                <w:vertAlign w:val="superscript"/>
                <w:lang w:eastAsia="it-IT"/>
              </w:rPr>
              <w:t>*</w:t>
            </w:r>
          </w:p>
        </w:tc>
      </w:tr>
      <w:tr w:rsidR="009A1173" w:rsidRPr="00CC702A" w14:paraId="29088EAE" w14:textId="77777777" w:rsidTr="008129FA">
        <w:trPr>
          <w:trHeight w:val="293"/>
          <w:jc w:val="center"/>
        </w:trPr>
        <w:tc>
          <w:tcPr>
            <w:tcW w:w="1749" w:type="pct"/>
            <w:shd w:val="clear" w:color="auto" w:fill="auto"/>
            <w:noWrap/>
            <w:vAlign w:val="center"/>
            <w:hideMark/>
          </w:tcPr>
          <w:p w14:paraId="13ADDC33" w14:textId="77777777" w:rsidR="009A1173" w:rsidRPr="00CC702A" w:rsidRDefault="009A1173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Spesa sanitaria (% PIL)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FE54368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6,3%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957AD11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6,4%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3975F88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6,4%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14:paraId="4138D5FF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6,4%</w:t>
            </w:r>
          </w:p>
        </w:tc>
        <w:tc>
          <w:tcPr>
            <w:tcW w:w="631" w:type="pct"/>
          </w:tcPr>
          <w:p w14:paraId="3C767F90" w14:textId="77777777" w:rsidR="009A1173" w:rsidRPr="00CC702A" w:rsidRDefault="00CC702A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6,4%</w:t>
            </w:r>
          </w:p>
        </w:tc>
      </w:tr>
      <w:tr w:rsidR="009A1173" w:rsidRPr="00CC702A" w14:paraId="01E9D426" w14:textId="77777777" w:rsidTr="008129FA">
        <w:trPr>
          <w:trHeight w:val="293"/>
          <w:jc w:val="center"/>
        </w:trPr>
        <w:tc>
          <w:tcPr>
            <w:tcW w:w="1749" w:type="pct"/>
            <w:shd w:val="clear" w:color="auto" w:fill="auto"/>
            <w:noWrap/>
            <w:vAlign w:val="center"/>
          </w:tcPr>
          <w:p w14:paraId="48567B1B" w14:textId="77777777" w:rsidR="009A1173" w:rsidRPr="00CC702A" w:rsidRDefault="009A1173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Tasso di variazione in %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14:paraId="38BDA91B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4,9%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14:paraId="5F0D32AB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CC702A">
              <w:rPr>
                <w:rFonts w:eastAsia="Times New Roman" w:cstheme="minorHAnsi"/>
                <w:lang w:eastAsia="it-IT"/>
              </w:rPr>
              <w:t>3,6%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85DBD5D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CC702A">
              <w:rPr>
                <w:rFonts w:eastAsia="Times New Roman" w:cstheme="minorHAnsi"/>
                <w:lang w:eastAsia="it-IT"/>
              </w:rPr>
              <w:t>4,5%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F365A32" w14:textId="77777777" w:rsidR="009A1173" w:rsidRPr="00CC702A" w:rsidRDefault="009A1173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1,2%</w:t>
            </w:r>
          </w:p>
        </w:tc>
        <w:tc>
          <w:tcPr>
            <w:tcW w:w="631" w:type="pct"/>
          </w:tcPr>
          <w:p w14:paraId="432F1FF5" w14:textId="77777777" w:rsidR="009A1173" w:rsidRPr="00CC702A" w:rsidRDefault="00CC702A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C702A">
              <w:rPr>
                <w:rFonts w:eastAsia="Times New Roman" w:cstheme="minorHAnsi"/>
                <w:color w:val="000000"/>
                <w:lang w:eastAsia="it-IT"/>
              </w:rPr>
              <w:t>2,6%</w:t>
            </w:r>
          </w:p>
        </w:tc>
      </w:tr>
      <w:bookmarkEnd w:id="1"/>
      <w:tr w:rsidR="00CC702A" w:rsidRPr="00CC702A" w14:paraId="77140108" w14:textId="77777777" w:rsidTr="008129FA">
        <w:trPr>
          <w:trHeight w:val="293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27C56A1" w14:textId="77777777" w:rsidR="00CC702A" w:rsidRPr="00CC702A" w:rsidRDefault="00CC702A" w:rsidP="00B415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129FA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it-IT"/>
              </w:rPr>
              <w:t>*</w:t>
            </w:r>
            <w:r w:rsidRPr="00CC70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dato calcolato</w:t>
            </w:r>
          </w:p>
        </w:tc>
      </w:tr>
    </w:tbl>
    <w:p w14:paraId="557876A1" w14:textId="11E092FF" w:rsidR="00E96196" w:rsidRDefault="00E96196" w:rsidP="002F6B16">
      <w:pPr>
        <w:rPr>
          <w:rFonts w:cstheme="minorHAnsi"/>
          <w:color w:val="00457D"/>
        </w:rPr>
      </w:pPr>
    </w:p>
    <w:p w14:paraId="6F740B7D" w14:textId="77777777" w:rsidR="00D03532" w:rsidRDefault="00D03532" w:rsidP="002F6B16">
      <w:pPr>
        <w:rPr>
          <w:rFonts w:cstheme="minorHAnsi"/>
          <w:color w:val="00457D"/>
        </w:rPr>
      </w:pPr>
    </w:p>
    <w:p w14:paraId="096BD1E3" w14:textId="7BE4116D" w:rsidR="008129FA" w:rsidRPr="00E96196" w:rsidRDefault="008129FA" w:rsidP="00D03532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457D"/>
        </w:rPr>
      </w:pPr>
      <w:r w:rsidRPr="00D437FC">
        <w:rPr>
          <w:rFonts w:ascii="Calibri" w:eastAsia="Calibri" w:hAnsi="Calibri" w:cs="Calibri"/>
          <w:b/>
          <w:bCs/>
          <w:color w:val="00457D"/>
        </w:rPr>
        <w:t>Tabella</w:t>
      </w:r>
      <w:r>
        <w:rPr>
          <w:rFonts w:ascii="Calibri" w:eastAsia="Calibri" w:hAnsi="Calibri" w:cs="Calibri"/>
          <w:b/>
          <w:bCs/>
          <w:color w:val="00457D"/>
        </w:rPr>
        <w:t xml:space="preserve"> 2</w:t>
      </w:r>
      <w:r w:rsidRPr="00D437FC">
        <w:rPr>
          <w:rFonts w:ascii="Calibri" w:eastAsia="Calibri" w:hAnsi="Calibri" w:cs="Calibri"/>
          <w:b/>
          <w:bCs/>
          <w:color w:val="00457D"/>
        </w:rPr>
        <w:t>.</w:t>
      </w:r>
      <w:r>
        <w:rPr>
          <w:rFonts w:ascii="Calibri" w:eastAsia="Calibri" w:hAnsi="Calibri" w:cs="Calibri"/>
          <w:b/>
          <w:bCs/>
          <w:color w:val="00457D"/>
        </w:rPr>
        <w:t xml:space="preserve"> PIL re</w:t>
      </w:r>
      <w:r w:rsidR="004F2EB2">
        <w:rPr>
          <w:rFonts w:ascii="Calibri" w:eastAsia="Calibri" w:hAnsi="Calibri" w:cs="Calibri"/>
          <w:b/>
          <w:bCs/>
          <w:color w:val="00457D"/>
        </w:rPr>
        <w:t xml:space="preserve">ale: differenze tra DFP </w:t>
      </w:r>
      <w:r w:rsidR="00D03532">
        <w:rPr>
          <w:rFonts w:ascii="Calibri" w:eastAsia="Calibri" w:hAnsi="Calibri" w:cs="Calibri"/>
          <w:b/>
          <w:bCs/>
          <w:color w:val="00457D"/>
        </w:rPr>
        <w:t xml:space="preserve">2025 </w:t>
      </w:r>
      <w:r w:rsidR="004F2EB2">
        <w:rPr>
          <w:rFonts w:ascii="Calibri" w:eastAsia="Calibri" w:hAnsi="Calibri" w:cs="Calibri"/>
          <w:b/>
          <w:bCs/>
          <w:color w:val="00457D"/>
        </w:rPr>
        <w:t>e PSBMT</w:t>
      </w:r>
      <w:r w:rsidR="00D03532">
        <w:rPr>
          <w:rFonts w:ascii="Calibri" w:eastAsia="Calibri" w:hAnsi="Calibri" w:cs="Calibri"/>
          <w:b/>
          <w:bCs/>
          <w:color w:val="00457D"/>
        </w:rPr>
        <w:t xml:space="preserve"> </w:t>
      </w:r>
      <w:r w:rsidR="00D03532" w:rsidRPr="00CC702A">
        <w:rPr>
          <w:rFonts w:ascii="Calibri" w:eastAsia="Calibri" w:hAnsi="Calibri" w:cs="Calibri"/>
          <w:b/>
          <w:bCs/>
          <w:color w:val="00457D"/>
        </w:rPr>
        <w:t>2025-2029</w:t>
      </w:r>
    </w:p>
    <w:tbl>
      <w:tblPr>
        <w:tblW w:w="3906" w:type="pct"/>
        <w:jc w:val="center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939"/>
        <w:gridCol w:w="939"/>
        <w:gridCol w:w="939"/>
        <w:gridCol w:w="939"/>
        <w:gridCol w:w="937"/>
      </w:tblGrid>
      <w:tr w:rsidR="008129FA" w:rsidRPr="00CC702A" w14:paraId="4E46C0E9" w14:textId="77777777" w:rsidTr="004F2EB2">
        <w:trPr>
          <w:trHeight w:val="293"/>
          <w:jc w:val="center"/>
        </w:trPr>
        <w:tc>
          <w:tcPr>
            <w:tcW w:w="1881" w:type="pct"/>
            <w:tcBorders>
              <w:top w:val="single" w:sz="4" w:space="0" w:color="00457D"/>
              <w:left w:val="single" w:sz="4" w:space="0" w:color="00457D"/>
              <w:bottom w:val="single" w:sz="8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085FAB50" w14:textId="77777777" w:rsidR="008129FA" w:rsidRPr="00CC702A" w:rsidRDefault="001D621C" w:rsidP="009A4E8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Tasso di variazione PIL reale</w:t>
            </w:r>
            <w:r w:rsidR="008129FA"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FFFFFF" w:themeColor="background1"/>
              <w:bottom w:val="single" w:sz="8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593BD83B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</w:t>
            </w:r>
            <w:r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3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FFFFFF" w:themeColor="background1"/>
              <w:bottom w:val="single" w:sz="8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67E323CD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</w:t>
            </w:r>
            <w:r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4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FFFFFF" w:themeColor="background1"/>
              <w:bottom w:val="single" w:sz="8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0FE15D8C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</w:t>
            </w:r>
            <w:r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5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FFFFFF" w:themeColor="background1"/>
              <w:bottom w:val="single" w:sz="8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53CE70D1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</w:t>
            </w:r>
            <w:r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6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FFFFFF" w:themeColor="background1"/>
              <w:bottom w:val="single" w:sz="8" w:space="0" w:color="00457D"/>
              <w:right w:val="single" w:sz="4" w:space="0" w:color="00457D"/>
            </w:tcBorders>
            <w:shd w:val="clear" w:color="000000" w:fill="00457D"/>
          </w:tcPr>
          <w:p w14:paraId="31CADB2B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CC702A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202</w:t>
            </w:r>
            <w:r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7</w:t>
            </w:r>
          </w:p>
        </w:tc>
      </w:tr>
      <w:tr w:rsidR="008129FA" w:rsidRPr="00CC702A" w14:paraId="750092A1" w14:textId="77777777" w:rsidTr="004F2EB2">
        <w:trPr>
          <w:trHeight w:val="293"/>
          <w:jc w:val="center"/>
        </w:trPr>
        <w:tc>
          <w:tcPr>
            <w:tcW w:w="1881" w:type="pct"/>
            <w:tcBorders>
              <w:top w:val="single" w:sz="8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B637EA5" w14:textId="77777777" w:rsidR="008129FA" w:rsidRPr="00CC702A" w:rsidRDefault="008129FA" w:rsidP="00905EE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PSBMT 2025-2029</w:t>
            </w:r>
          </w:p>
        </w:tc>
        <w:tc>
          <w:tcPr>
            <w:tcW w:w="624" w:type="pct"/>
            <w:tcBorders>
              <w:top w:val="single" w:sz="8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02FE24CF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0,7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  <w:tc>
          <w:tcPr>
            <w:tcW w:w="624" w:type="pct"/>
            <w:tcBorders>
              <w:top w:val="single" w:sz="8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6AD6DAC2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1,0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  <w:tc>
          <w:tcPr>
            <w:tcW w:w="624" w:type="pct"/>
            <w:tcBorders>
              <w:top w:val="single" w:sz="8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4F934235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1,2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  <w:tc>
          <w:tcPr>
            <w:tcW w:w="624" w:type="pct"/>
            <w:tcBorders>
              <w:top w:val="single" w:sz="8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5F5FD43A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1,1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  <w:tc>
          <w:tcPr>
            <w:tcW w:w="624" w:type="pct"/>
            <w:tcBorders>
              <w:top w:val="single" w:sz="8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</w:tcPr>
          <w:p w14:paraId="7A5DA143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0,8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</w:tr>
      <w:tr w:rsidR="008129FA" w:rsidRPr="00CC702A" w14:paraId="4DDA2C7D" w14:textId="77777777" w:rsidTr="004F2EB2">
        <w:trPr>
          <w:trHeight w:val="293"/>
          <w:jc w:val="center"/>
        </w:trPr>
        <w:tc>
          <w:tcPr>
            <w:tcW w:w="1881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2061E1B" w14:textId="77777777" w:rsidR="008129FA" w:rsidRPr="00CC702A" w:rsidRDefault="008129FA" w:rsidP="00905EE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DFP 2025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2FBDAFC7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0,7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1B0D2117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0,7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61BB20E2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0,6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62E95A69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0,8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</w:tcPr>
          <w:p w14:paraId="2D3E65F5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0,8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%</w:t>
            </w:r>
          </w:p>
        </w:tc>
      </w:tr>
      <w:tr w:rsidR="008129FA" w:rsidRPr="00CC702A" w14:paraId="0AB5B90B" w14:textId="77777777" w:rsidTr="004F2EB2">
        <w:trPr>
          <w:trHeight w:val="293"/>
          <w:jc w:val="center"/>
        </w:trPr>
        <w:tc>
          <w:tcPr>
            <w:tcW w:w="1881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45E99200" w14:textId="77777777" w:rsidR="008129FA" w:rsidRPr="00CC702A" w:rsidRDefault="008129FA" w:rsidP="00905EE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Differenza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 xml:space="preserve"> (</w:t>
            </w:r>
            <w:r w:rsidR="004F2EB2" w:rsidRPr="004D56E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punti percentuali</w:t>
            </w:r>
            <w:r w:rsidR="004F2EB2">
              <w:rPr>
                <w:rFonts w:eastAsia="Times New Roman" w:cstheme="minorHAnsi"/>
                <w:color w:val="000000"/>
                <w:lang w:eastAsia="it-IT"/>
              </w:rPr>
              <w:t>)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2C92D4A1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-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17F3FB09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-0,3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05F233E2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-0,6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</w:tcPr>
          <w:p w14:paraId="37BD0DA3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-0,3</w:t>
            </w:r>
          </w:p>
        </w:tc>
        <w:tc>
          <w:tcPr>
            <w:tcW w:w="624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</w:tcPr>
          <w:p w14:paraId="6AC10A51" w14:textId="77777777" w:rsidR="008129FA" w:rsidRPr="00CC702A" w:rsidRDefault="008129FA" w:rsidP="00905E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-</w:t>
            </w:r>
          </w:p>
        </w:tc>
      </w:tr>
    </w:tbl>
    <w:p w14:paraId="788898E2" w14:textId="77777777" w:rsidR="008129FA" w:rsidRDefault="008129FA" w:rsidP="002F6B16">
      <w:pPr>
        <w:rPr>
          <w:rFonts w:cstheme="minorHAnsi"/>
          <w:color w:val="00457D"/>
        </w:rPr>
      </w:pPr>
    </w:p>
    <w:p w14:paraId="2B5E17A7" w14:textId="777D716A" w:rsidR="00CA0470" w:rsidRPr="002230A2" w:rsidRDefault="00CC702A" w:rsidP="00D03532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457D"/>
        </w:rPr>
      </w:pPr>
      <w:r w:rsidRPr="00CC702A">
        <w:rPr>
          <w:rFonts w:ascii="Calibri" w:eastAsia="Calibri" w:hAnsi="Calibri" w:cs="Calibri"/>
          <w:b/>
          <w:bCs/>
          <w:color w:val="00457D"/>
        </w:rPr>
        <w:t xml:space="preserve">Tabella </w:t>
      </w:r>
      <w:r w:rsidR="00825861">
        <w:rPr>
          <w:rFonts w:ascii="Calibri" w:eastAsia="Calibri" w:hAnsi="Calibri" w:cs="Calibri"/>
          <w:b/>
          <w:bCs/>
          <w:color w:val="00457D"/>
        </w:rPr>
        <w:t>3</w:t>
      </w:r>
      <w:r w:rsidRPr="00CC702A">
        <w:rPr>
          <w:rFonts w:ascii="Calibri" w:eastAsia="Calibri" w:hAnsi="Calibri" w:cs="Calibri"/>
          <w:b/>
          <w:bCs/>
          <w:color w:val="00457D"/>
        </w:rPr>
        <w:t xml:space="preserve">. Spesa sanitaria: differenza tra le stime del PSB 2025-2029 e quelle del DFP 2025 </w:t>
      </w:r>
    </w:p>
    <w:tbl>
      <w:tblPr>
        <w:tblW w:w="7320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1029"/>
        <w:gridCol w:w="1030"/>
        <w:gridCol w:w="1030"/>
        <w:gridCol w:w="1030"/>
      </w:tblGrid>
      <w:tr w:rsidR="00CA0470" w:rsidRPr="004D04A0" w14:paraId="08845B8E" w14:textId="77777777" w:rsidTr="00B41572">
        <w:trPr>
          <w:trHeight w:val="334"/>
          <w:jc w:val="center"/>
        </w:trPr>
        <w:tc>
          <w:tcPr>
            <w:tcW w:w="3201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3BE3DC1" w14:textId="77777777" w:rsidR="00CA0470" w:rsidRPr="004D04A0" w:rsidRDefault="00CA0470" w:rsidP="00B4157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>Spesa sanitaria (milioni di €)</w:t>
            </w:r>
          </w:p>
        </w:tc>
        <w:tc>
          <w:tcPr>
            <w:tcW w:w="10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453F805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>2024</w:t>
            </w: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45EA8AA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>2025</w:t>
            </w: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E795B39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>2026</w:t>
            </w: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auto" w:fill="00457D"/>
            <w:vAlign w:val="center"/>
          </w:tcPr>
          <w:p w14:paraId="30AD6EE7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>2027</w:t>
            </w:r>
          </w:p>
        </w:tc>
      </w:tr>
      <w:tr w:rsidR="007764FA" w:rsidRPr="004D04A0" w14:paraId="6306FAA8" w14:textId="77777777" w:rsidTr="00B41572">
        <w:trPr>
          <w:trHeight w:val="334"/>
          <w:jc w:val="center"/>
        </w:trPr>
        <w:tc>
          <w:tcPr>
            <w:tcW w:w="3201" w:type="dxa"/>
            <w:shd w:val="clear" w:color="auto" w:fill="auto"/>
            <w:noWrap/>
            <w:vAlign w:val="center"/>
            <w:hideMark/>
          </w:tcPr>
          <w:p w14:paraId="58B8FC93" w14:textId="77777777" w:rsidR="007764FA" w:rsidRPr="004D04A0" w:rsidRDefault="007764FA" w:rsidP="00B41572">
            <w:pPr>
              <w:spacing w:after="0" w:line="240" w:lineRule="auto"/>
              <w:rPr>
                <w:rFonts w:eastAsia="Times New Roman" w:cstheme="minorHAnsi"/>
                <w:color w:val="FF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PSB 2025-2029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4BBE70C3" w14:textId="77777777" w:rsidR="007764FA" w:rsidRPr="004D04A0" w:rsidRDefault="007764FA" w:rsidP="00B4157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it-IT"/>
              </w:rPr>
            </w:pPr>
            <w:r w:rsidRPr="004D04A0">
              <w:rPr>
                <w:rFonts w:cstheme="minorHAnsi"/>
              </w:rPr>
              <w:t>137.934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3F8CF1D" w14:textId="77777777" w:rsidR="007764FA" w:rsidRPr="004D04A0" w:rsidRDefault="007764FA" w:rsidP="00B4157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it-IT"/>
              </w:rPr>
            </w:pPr>
            <w:r w:rsidRPr="004D04A0">
              <w:rPr>
                <w:rFonts w:cstheme="minorHAnsi"/>
              </w:rPr>
              <w:t>141.929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B2E896A" w14:textId="77777777" w:rsidR="007764FA" w:rsidRPr="004D04A0" w:rsidRDefault="007764FA" w:rsidP="00B4157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it-IT"/>
              </w:rPr>
            </w:pPr>
            <w:r w:rsidRPr="004D04A0">
              <w:rPr>
                <w:rFonts w:cstheme="minorHAnsi"/>
              </w:rPr>
              <w:t>144.969</w:t>
            </w:r>
          </w:p>
        </w:tc>
        <w:tc>
          <w:tcPr>
            <w:tcW w:w="1030" w:type="dxa"/>
            <w:vAlign w:val="center"/>
          </w:tcPr>
          <w:p w14:paraId="235A8758" w14:textId="77777777" w:rsidR="007764FA" w:rsidRPr="004D04A0" w:rsidRDefault="007764FA" w:rsidP="00B415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lang w:eastAsia="it-IT"/>
              </w:rPr>
            </w:pPr>
            <w:r w:rsidRPr="004D04A0">
              <w:rPr>
                <w:rFonts w:cstheme="minorHAnsi"/>
              </w:rPr>
              <w:t>147.506</w:t>
            </w:r>
          </w:p>
        </w:tc>
      </w:tr>
      <w:tr w:rsidR="007764FA" w:rsidRPr="004D04A0" w14:paraId="10AD4A8F" w14:textId="77777777" w:rsidTr="00B41572">
        <w:trPr>
          <w:trHeight w:val="334"/>
          <w:jc w:val="center"/>
        </w:trPr>
        <w:tc>
          <w:tcPr>
            <w:tcW w:w="3201" w:type="dxa"/>
            <w:shd w:val="clear" w:color="auto" w:fill="auto"/>
            <w:noWrap/>
            <w:vAlign w:val="center"/>
          </w:tcPr>
          <w:p w14:paraId="1DCAE802" w14:textId="77777777" w:rsidR="007764FA" w:rsidRPr="004D04A0" w:rsidRDefault="007764FA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DFP 2025</w:t>
            </w:r>
          </w:p>
        </w:tc>
        <w:tc>
          <w:tcPr>
            <w:tcW w:w="1029" w:type="dxa"/>
            <w:shd w:val="clear" w:color="auto" w:fill="auto"/>
            <w:noWrap/>
          </w:tcPr>
          <w:p w14:paraId="0C335A90" w14:textId="77777777" w:rsidR="007764FA" w:rsidRPr="004D04A0" w:rsidRDefault="007764FA" w:rsidP="00B41572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138.335</w:t>
            </w:r>
          </w:p>
        </w:tc>
        <w:tc>
          <w:tcPr>
            <w:tcW w:w="1030" w:type="dxa"/>
            <w:shd w:val="clear" w:color="auto" w:fill="auto"/>
            <w:noWrap/>
          </w:tcPr>
          <w:p w14:paraId="292604E1" w14:textId="77777777" w:rsidR="007764FA" w:rsidRPr="004D04A0" w:rsidRDefault="007764FA" w:rsidP="00B41572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143.372</w:t>
            </w:r>
          </w:p>
        </w:tc>
        <w:tc>
          <w:tcPr>
            <w:tcW w:w="1030" w:type="dxa"/>
            <w:shd w:val="clear" w:color="auto" w:fill="auto"/>
            <w:noWrap/>
          </w:tcPr>
          <w:p w14:paraId="3295F8EA" w14:textId="77777777" w:rsidR="007764FA" w:rsidRPr="004D04A0" w:rsidRDefault="007764FA" w:rsidP="00B41572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149.820</w:t>
            </w:r>
          </w:p>
        </w:tc>
        <w:tc>
          <w:tcPr>
            <w:tcW w:w="1030" w:type="dxa"/>
          </w:tcPr>
          <w:p w14:paraId="3E7B064B" w14:textId="77777777" w:rsidR="007764FA" w:rsidRPr="004D04A0" w:rsidRDefault="007764FA" w:rsidP="00B415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151.635</w:t>
            </w:r>
          </w:p>
        </w:tc>
      </w:tr>
      <w:tr w:rsidR="001E7AA4" w:rsidRPr="004D04A0" w14:paraId="1A3972AC" w14:textId="77777777" w:rsidTr="00B41572">
        <w:trPr>
          <w:trHeight w:val="334"/>
          <w:jc w:val="center"/>
        </w:trPr>
        <w:tc>
          <w:tcPr>
            <w:tcW w:w="320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63120539" w14:textId="77777777" w:rsidR="001E7AA4" w:rsidRPr="004D04A0" w:rsidRDefault="001E7AA4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bookmarkStart w:id="2" w:name="_Hlk147044877"/>
            <w:r w:rsidRPr="004D04A0">
              <w:rPr>
                <w:rFonts w:eastAsia="Times New Roman" w:cstheme="minorHAnsi"/>
                <w:color w:val="000000"/>
                <w:lang w:eastAsia="it-IT"/>
              </w:rPr>
              <w:t>Differenza</w:t>
            </w:r>
          </w:p>
        </w:tc>
        <w:tc>
          <w:tcPr>
            <w:tcW w:w="1029" w:type="dxa"/>
            <w:tcBorders>
              <w:bottom w:val="single" w:sz="4" w:space="0" w:color="00457D"/>
            </w:tcBorders>
            <w:shd w:val="clear" w:color="auto" w:fill="auto"/>
            <w:noWrap/>
          </w:tcPr>
          <w:p w14:paraId="455F3B2A" w14:textId="77777777" w:rsidR="001E7AA4" w:rsidRPr="004D04A0" w:rsidRDefault="00B41572" w:rsidP="00B415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+</w:t>
            </w:r>
            <w:r w:rsidR="001E7AA4" w:rsidRPr="004D04A0">
              <w:rPr>
                <w:rFonts w:eastAsia="Times New Roman" w:cstheme="minorHAnsi"/>
                <w:color w:val="000000"/>
                <w:lang w:eastAsia="it-IT"/>
              </w:rPr>
              <w:t>401</w:t>
            </w:r>
          </w:p>
        </w:tc>
        <w:tc>
          <w:tcPr>
            <w:tcW w:w="1030" w:type="dxa"/>
            <w:tcBorders>
              <w:bottom w:val="single" w:sz="4" w:space="0" w:color="00457D"/>
            </w:tcBorders>
            <w:shd w:val="clear" w:color="auto" w:fill="auto"/>
            <w:noWrap/>
          </w:tcPr>
          <w:p w14:paraId="716DA3D4" w14:textId="77777777" w:rsidR="001E7AA4" w:rsidRPr="004D04A0" w:rsidRDefault="00B41572" w:rsidP="00B415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+</w:t>
            </w:r>
            <w:r w:rsidR="001E7AA4" w:rsidRPr="004D04A0">
              <w:rPr>
                <w:rFonts w:eastAsia="Times New Roman" w:cstheme="minorHAnsi"/>
                <w:color w:val="000000"/>
                <w:lang w:eastAsia="it-IT"/>
              </w:rPr>
              <w:t>1.443</w:t>
            </w:r>
          </w:p>
        </w:tc>
        <w:tc>
          <w:tcPr>
            <w:tcW w:w="1030" w:type="dxa"/>
            <w:tcBorders>
              <w:bottom w:val="single" w:sz="4" w:space="0" w:color="00457D"/>
            </w:tcBorders>
            <w:shd w:val="clear" w:color="auto" w:fill="auto"/>
            <w:noWrap/>
          </w:tcPr>
          <w:p w14:paraId="1632F999" w14:textId="77777777" w:rsidR="001E7AA4" w:rsidRPr="004D04A0" w:rsidRDefault="00B41572" w:rsidP="00B415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+</w:t>
            </w:r>
            <w:r w:rsidR="001E7AA4" w:rsidRPr="004D04A0">
              <w:rPr>
                <w:rFonts w:eastAsia="Times New Roman" w:cstheme="minorHAnsi"/>
                <w:color w:val="000000"/>
                <w:lang w:eastAsia="it-IT"/>
              </w:rPr>
              <w:t>4.851</w:t>
            </w:r>
          </w:p>
        </w:tc>
        <w:tc>
          <w:tcPr>
            <w:tcW w:w="1030" w:type="dxa"/>
            <w:tcBorders>
              <w:bottom w:val="single" w:sz="4" w:space="0" w:color="00457D"/>
            </w:tcBorders>
          </w:tcPr>
          <w:p w14:paraId="3C9E268B" w14:textId="77777777" w:rsidR="001E7AA4" w:rsidRPr="004D04A0" w:rsidRDefault="00B41572" w:rsidP="00B415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+</w:t>
            </w:r>
            <w:r w:rsidR="001E7AA4" w:rsidRPr="004D04A0">
              <w:rPr>
                <w:rFonts w:eastAsia="Times New Roman" w:cstheme="minorHAnsi"/>
                <w:color w:val="000000"/>
                <w:lang w:eastAsia="it-IT"/>
              </w:rPr>
              <w:t>4.129</w:t>
            </w:r>
          </w:p>
        </w:tc>
      </w:tr>
      <w:bookmarkEnd w:id="2"/>
      <w:tr w:rsidR="00CA0470" w:rsidRPr="004D04A0" w14:paraId="0BAF38B9" w14:textId="77777777" w:rsidTr="00B41572">
        <w:trPr>
          <w:trHeight w:val="334"/>
          <w:jc w:val="center"/>
        </w:trPr>
        <w:tc>
          <w:tcPr>
            <w:tcW w:w="3201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8F0F199" w14:textId="77777777" w:rsidR="00CA0470" w:rsidRPr="004D04A0" w:rsidRDefault="00CA0470" w:rsidP="00B4157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>Spesa sanitaria (% PIL)</w:t>
            </w:r>
          </w:p>
        </w:tc>
        <w:tc>
          <w:tcPr>
            <w:tcW w:w="10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E714E81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lang w:eastAsia="it-IT"/>
              </w:rPr>
              <w:t>2024</w:t>
            </w: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BDD6F20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lang w:eastAsia="it-IT"/>
              </w:rPr>
              <w:t>2025</w:t>
            </w: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8FCE450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lang w:eastAsia="it-IT"/>
              </w:rPr>
              <w:t>2026</w:t>
            </w: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auto" w:fill="00457D"/>
            <w:vAlign w:val="center"/>
          </w:tcPr>
          <w:p w14:paraId="38CF81B1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lang w:eastAsia="it-IT"/>
              </w:rPr>
              <w:t>2027</w:t>
            </w:r>
          </w:p>
        </w:tc>
      </w:tr>
      <w:tr w:rsidR="007764FA" w:rsidRPr="004D04A0" w14:paraId="4788F7A6" w14:textId="77777777" w:rsidTr="00B41572">
        <w:trPr>
          <w:trHeight w:val="334"/>
          <w:jc w:val="center"/>
        </w:trPr>
        <w:tc>
          <w:tcPr>
            <w:tcW w:w="3201" w:type="dxa"/>
            <w:shd w:val="clear" w:color="auto" w:fill="auto"/>
            <w:noWrap/>
            <w:vAlign w:val="center"/>
            <w:hideMark/>
          </w:tcPr>
          <w:p w14:paraId="5C1FC761" w14:textId="77777777" w:rsidR="007764FA" w:rsidRPr="004D04A0" w:rsidRDefault="007764FA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PSB 2025-2029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4A30BA97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cstheme="minorHAnsi"/>
              </w:rPr>
              <w:t>6,3%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A731157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cstheme="minorHAnsi"/>
              </w:rPr>
              <w:t>6,3%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B6D1251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cstheme="minorHAnsi"/>
              </w:rPr>
              <w:t>6,2%</w:t>
            </w:r>
          </w:p>
        </w:tc>
        <w:tc>
          <w:tcPr>
            <w:tcW w:w="1030" w:type="dxa"/>
            <w:vAlign w:val="center"/>
          </w:tcPr>
          <w:p w14:paraId="626493DA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cstheme="minorHAnsi"/>
              </w:rPr>
              <w:t>6,2%</w:t>
            </w:r>
          </w:p>
        </w:tc>
      </w:tr>
      <w:tr w:rsidR="007764FA" w:rsidRPr="004D04A0" w14:paraId="3A36BD24" w14:textId="77777777" w:rsidTr="00B41572">
        <w:trPr>
          <w:trHeight w:val="334"/>
          <w:jc w:val="center"/>
        </w:trPr>
        <w:tc>
          <w:tcPr>
            <w:tcW w:w="3201" w:type="dxa"/>
            <w:shd w:val="clear" w:color="auto" w:fill="auto"/>
            <w:noWrap/>
            <w:vAlign w:val="center"/>
          </w:tcPr>
          <w:p w14:paraId="6C9172E5" w14:textId="77777777" w:rsidR="007764FA" w:rsidRPr="004D04A0" w:rsidRDefault="007764FA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DFP 2025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2F1A1FF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6,3%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AE06F35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6,4%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F17073C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6,4%</w:t>
            </w:r>
          </w:p>
        </w:tc>
        <w:tc>
          <w:tcPr>
            <w:tcW w:w="1030" w:type="dxa"/>
            <w:vAlign w:val="center"/>
          </w:tcPr>
          <w:p w14:paraId="317D97D6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6,4%</w:t>
            </w:r>
          </w:p>
        </w:tc>
      </w:tr>
      <w:tr w:rsidR="0012309E" w:rsidRPr="004D04A0" w14:paraId="2FB7E957" w14:textId="77777777" w:rsidTr="00B41572">
        <w:trPr>
          <w:trHeight w:val="334"/>
          <w:jc w:val="center"/>
        </w:trPr>
        <w:tc>
          <w:tcPr>
            <w:tcW w:w="320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6102E418" w14:textId="77777777" w:rsidR="0012309E" w:rsidRPr="004D04A0" w:rsidRDefault="0012309E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Differenza</w:t>
            </w:r>
            <w:r w:rsidR="008C2E27">
              <w:rPr>
                <w:rFonts w:eastAsia="Times New Roman" w:cstheme="minorHAnsi"/>
                <w:color w:val="000000"/>
                <w:lang w:eastAsia="it-IT"/>
              </w:rPr>
              <w:t xml:space="preserve"> (</w:t>
            </w:r>
            <w:r w:rsidR="008C2E27" w:rsidRPr="004D56E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punti percentuali</w:t>
            </w:r>
            <w:r w:rsidR="008C2E27">
              <w:rPr>
                <w:rFonts w:eastAsia="Times New Roman" w:cstheme="minorHAnsi"/>
                <w:color w:val="000000"/>
                <w:lang w:eastAsia="it-IT"/>
              </w:rPr>
              <w:t>)</w:t>
            </w:r>
          </w:p>
        </w:tc>
        <w:tc>
          <w:tcPr>
            <w:tcW w:w="102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46F55AA3" w14:textId="77777777" w:rsidR="0012309E" w:rsidRPr="004D04A0" w:rsidRDefault="008C2E27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0</w:t>
            </w:r>
          </w:p>
        </w:tc>
        <w:tc>
          <w:tcPr>
            <w:tcW w:w="1030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4DA30AF6" w14:textId="77777777" w:rsidR="0012309E" w:rsidRPr="004D04A0" w:rsidRDefault="00B41572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+</w:t>
            </w:r>
            <w:r w:rsidR="0012309E" w:rsidRPr="004D04A0">
              <w:rPr>
                <w:rFonts w:eastAsia="Times New Roman" w:cstheme="minorHAnsi"/>
                <w:color w:val="000000"/>
                <w:lang w:eastAsia="it-IT"/>
              </w:rPr>
              <w:t>0,1</w:t>
            </w:r>
          </w:p>
        </w:tc>
        <w:tc>
          <w:tcPr>
            <w:tcW w:w="1030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02E860DA" w14:textId="77777777" w:rsidR="0012309E" w:rsidRPr="004D04A0" w:rsidRDefault="00B41572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+</w:t>
            </w:r>
            <w:r w:rsidR="0012309E" w:rsidRPr="004D04A0">
              <w:rPr>
                <w:rFonts w:eastAsia="Times New Roman" w:cstheme="minorHAnsi"/>
                <w:color w:val="000000"/>
                <w:lang w:eastAsia="it-IT"/>
              </w:rPr>
              <w:t>0,2</w:t>
            </w:r>
          </w:p>
        </w:tc>
        <w:tc>
          <w:tcPr>
            <w:tcW w:w="1030" w:type="dxa"/>
            <w:tcBorders>
              <w:bottom w:val="single" w:sz="4" w:space="0" w:color="00457D"/>
            </w:tcBorders>
            <w:vAlign w:val="center"/>
          </w:tcPr>
          <w:p w14:paraId="27D84ABC" w14:textId="77777777" w:rsidR="0012309E" w:rsidRPr="004D04A0" w:rsidRDefault="00B41572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+0</w:t>
            </w:r>
            <w:r w:rsidR="0012309E" w:rsidRPr="004D04A0">
              <w:rPr>
                <w:rFonts w:eastAsia="Times New Roman" w:cstheme="minorHAnsi"/>
                <w:color w:val="000000"/>
                <w:lang w:eastAsia="it-IT"/>
              </w:rPr>
              <w:t>,</w:t>
            </w:r>
            <w:r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</w:tr>
      <w:tr w:rsidR="00CA0470" w:rsidRPr="004D04A0" w14:paraId="4382626A" w14:textId="77777777" w:rsidTr="00B41572">
        <w:trPr>
          <w:trHeight w:val="334"/>
          <w:jc w:val="center"/>
        </w:trPr>
        <w:tc>
          <w:tcPr>
            <w:tcW w:w="3201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D7F6D52" w14:textId="77777777" w:rsidR="00CA0470" w:rsidRPr="004D04A0" w:rsidRDefault="00CA0470" w:rsidP="00B4157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>Tasso di variazione in %</w:t>
            </w:r>
          </w:p>
        </w:tc>
        <w:tc>
          <w:tcPr>
            <w:tcW w:w="10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C91BDE7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lang w:eastAsia="it-IT"/>
              </w:rPr>
              <w:t>2024</w:t>
            </w: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E2F1BF6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lang w:eastAsia="it-IT"/>
              </w:rPr>
              <w:t>2025</w:t>
            </w: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0508C6D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lang w:eastAsia="it-IT"/>
              </w:rPr>
              <w:t>2026</w:t>
            </w: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auto" w:fill="00457D"/>
            <w:vAlign w:val="center"/>
          </w:tcPr>
          <w:p w14:paraId="3D280631" w14:textId="77777777" w:rsidR="00CA0470" w:rsidRPr="004D04A0" w:rsidRDefault="00CA0470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b/>
                <w:bCs/>
                <w:lang w:eastAsia="it-IT"/>
              </w:rPr>
              <w:t>2027</w:t>
            </w:r>
          </w:p>
        </w:tc>
      </w:tr>
      <w:tr w:rsidR="007764FA" w:rsidRPr="004D04A0" w14:paraId="621010D8" w14:textId="77777777" w:rsidTr="00B41572">
        <w:trPr>
          <w:trHeight w:val="334"/>
          <w:jc w:val="center"/>
        </w:trPr>
        <w:tc>
          <w:tcPr>
            <w:tcW w:w="3201" w:type="dxa"/>
            <w:shd w:val="clear" w:color="auto" w:fill="auto"/>
            <w:noWrap/>
            <w:vAlign w:val="center"/>
            <w:hideMark/>
          </w:tcPr>
          <w:p w14:paraId="7C064376" w14:textId="77777777" w:rsidR="007764FA" w:rsidRPr="004D04A0" w:rsidRDefault="007764FA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PSB 2025-2029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17570699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cstheme="minorHAnsi"/>
              </w:rPr>
              <w:t>5,2%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0A4D176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cstheme="minorHAnsi"/>
              </w:rPr>
              <w:t>2,9%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E043FFB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cstheme="minorHAnsi"/>
              </w:rPr>
              <w:t>2,1%</w:t>
            </w:r>
          </w:p>
        </w:tc>
        <w:tc>
          <w:tcPr>
            <w:tcW w:w="1030" w:type="dxa"/>
            <w:vAlign w:val="center"/>
          </w:tcPr>
          <w:p w14:paraId="14176F28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cstheme="minorHAnsi"/>
              </w:rPr>
              <w:t>1,7%</w:t>
            </w:r>
          </w:p>
        </w:tc>
      </w:tr>
      <w:tr w:rsidR="007764FA" w:rsidRPr="004D04A0" w14:paraId="48DA91A0" w14:textId="77777777" w:rsidTr="00B41572">
        <w:trPr>
          <w:trHeight w:val="334"/>
          <w:jc w:val="center"/>
        </w:trPr>
        <w:tc>
          <w:tcPr>
            <w:tcW w:w="3201" w:type="dxa"/>
            <w:shd w:val="clear" w:color="auto" w:fill="auto"/>
            <w:noWrap/>
            <w:vAlign w:val="center"/>
          </w:tcPr>
          <w:p w14:paraId="1D631AF8" w14:textId="77777777" w:rsidR="007764FA" w:rsidRPr="004D04A0" w:rsidRDefault="007764FA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DFP 2025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E0E502A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4,9%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62664AE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eastAsia="Times New Roman" w:cstheme="minorHAnsi"/>
                <w:lang w:eastAsia="it-IT"/>
              </w:rPr>
              <w:t>3,6%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9F11FC9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D04A0">
              <w:rPr>
                <w:rFonts w:eastAsia="Times New Roman" w:cstheme="minorHAnsi"/>
                <w:lang w:eastAsia="it-IT"/>
              </w:rPr>
              <w:t>4,5%</w:t>
            </w:r>
          </w:p>
        </w:tc>
        <w:tc>
          <w:tcPr>
            <w:tcW w:w="1030" w:type="dxa"/>
            <w:vAlign w:val="center"/>
          </w:tcPr>
          <w:p w14:paraId="025D1AD2" w14:textId="77777777" w:rsidR="007764FA" w:rsidRPr="004D04A0" w:rsidRDefault="007764FA" w:rsidP="00B415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1,2%</w:t>
            </w:r>
          </w:p>
        </w:tc>
      </w:tr>
      <w:tr w:rsidR="00B67C60" w:rsidRPr="004D04A0" w14:paraId="1FF05DA6" w14:textId="77777777" w:rsidTr="00B41572">
        <w:trPr>
          <w:trHeight w:val="334"/>
          <w:jc w:val="center"/>
        </w:trPr>
        <w:tc>
          <w:tcPr>
            <w:tcW w:w="3201" w:type="dxa"/>
            <w:shd w:val="clear" w:color="auto" w:fill="auto"/>
            <w:noWrap/>
            <w:vAlign w:val="center"/>
          </w:tcPr>
          <w:p w14:paraId="04118ED5" w14:textId="77777777" w:rsidR="00B67C60" w:rsidRPr="004D04A0" w:rsidRDefault="008C2E27" w:rsidP="00B41572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Differenza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(</w:t>
            </w:r>
            <w:r w:rsidRPr="004D56E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punti percentuali</w:t>
            </w:r>
            <w:r>
              <w:rPr>
                <w:rFonts w:eastAsia="Times New Roman" w:cstheme="minorHAnsi"/>
                <w:color w:val="000000"/>
                <w:lang w:eastAsia="it-IT"/>
              </w:rPr>
              <w:t>)</w:t>
            </w:r>
          </w:p>
        </w:tc>
        <w:tc>
          <w:tcPr>
            <w:tcW w:w="1029" w:type="dxa"/>
            <w:shd w:val="clear" w:color="auto" w:fill="auto"/>
            <w:noWrap/>
          </w:tcPr>
          <w:p w14:paraId="30A1347B" w14:textId="77777777" w:rsidR="00B67C60" w:rsidRPr="004D04A0" w:rsidRDefault="00B67C60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-0,3</w:t>
            </w:r>
          </w:p>
        </w:tc>
        <w:tc>
          <w:tcPr>
            <w:tcW w:w="1030" w:type="dxa"/>
            <w:shd w:val="clear" w:color="auto" w:fill="auto"/>
            <w:noWrap/>
          </w:tcPr>
          <w:p w14:paraId="336727E1" w14:textId="77777777" w:rsidR="00B67C60" w:rsidRPr="004D04A0" w:rsidRDefault="00B41572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+</w:t>
            </w:r>
            <w:r w:rsidR="00B67C60" w:rsidRPr="004D04A0">
              <w:rPr>
                <w:rFonts w:eastAsia="Times New Roman" w:cstheme="minorHAnsi"/>
                <w:color w:val="000000"/>
                <w:lang w:eastAsia="it-IT"/>
              </w:rPr>
              <w:t>0,7</w:t>
            </w:r>
          </w:p>
        </w:tc>
        <w:tc>
          <w:tcPr>
            <w:tcW w:w="1030" w:type="dxa"/>
            <w:shd w:val="clear" w:color="auto" w:fill="auto"/>
            <w:noWrap/>
          </w:tcPr>
          <w:p w14:paraId="1771AA5F" w14:textId="77777777" w:rsidR="00B67C60" w:rsidRPr="004D04A0" w:rsidRDefault="00B41572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+</w:t>
            </w:r>
            <w:r w:rsidR="00B67C60" w:rsidRPr="004D04A0">
              <w:rPr>
                <w:rFonts w:eastAsia="Times New Roman" w:cstheme="minorHAnsi"/>
                <w:color w:val="000000"/>
                <w:lang w:eastAsia="it-IT"/>
              </w:rPr>
              <w:t>2,4</w:t>
            </w:r>
          </w:p>
        </w:tc>
        <w:tc>
          <w:tcPr>
            <w:tcW w:w="1030" w:type="dxa"/>
          </w:tcPr>
          <w:p w14:paraId="7EA1CADC" w14:textId="77777777" w:rsidR="00B67C60" w:rsidRPr="004D04A0" w:rsidRDefault="00B67C60" w:rsidP="00B415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D04A0">
              <w:rPr>
                <w:rFonts w:eastAsia="Times New Roman" w:cstheme="minorHAnsi"/>
                <w:color w:val="000000"/>
                <w:lang w:eastAsia="it-IT"/>
              </w:rPr>
              <w:t>-0,5</w:t>
            </w:r>
          </w:p>
        </w:tc>
      </w:tr>
    </w:tbl>
    <w:p w14:paraId="6345695E" w14:textId="77777777" w:rsidR="00775ED0" w:rsidRPr="006B5625" w:rsidRDefault="00775ED0">
      <w:pPr>
        <w:rPr>
          <w:rFonts w:cstheme="minorHAnsi"/>
        </w:rPr>
      </w:pPr>
    </w:p>
    <w:sectPr w:rsidR="00775ED0" w:rsidRPr="006B5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8FE26" w16cex:dateUtc="2025-04-15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5C1FB3" w16cid:durableId="2BA8FE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57A34" w14:textId="77777777" w:rsidR="00B738FB" w:rsidRDefault="00B738FB" w:rsidP="00ED0CFD">
      <w:pPr>
        <w:spacing w:after="0" w:line="240" w:lineRule="auto"/>
      </w:pPr>
      <w:r>
        <w:separator/>
      </w:r>
    </w:p>
  </w:endnote>
  <w:endnote w:type="continuationSeparator" w:id="0">
    <w:p w14:paraId="2FD1C49C" w14:textId="77777777" w:rsidR="00B738FB" w:rsidRDefault="00B738FB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31722" w14:textId="77777777" w:rsidR="00B738FB" w:rsidRDefault="00B738FB" w:rsidP="00ED0CFD">
      <w:pPr>
        <w:spacing w:after="0" w:line="240" w:lineRule="auto"/>
      </w:pPr>
      <w:r>
        <w:separator/>
      </w:r>
    </w:p>
  </w:footnote>
  <w:footnote w:type="continuationSeparator" w:id="0">
    <w:p w14:paraId="575C29B7" w14:textId="77777777" w:rsidR="00B738FB" w:rsidRDefault="00B738FB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2159"/>
    <w:multiLevelType w:val="hybridMultilevel"/>
    <w:tmpl w:val="EE56F0CC"/>
    <w:lvl w:ilvl="0" w:tplc="EF88D30C">
      <w:start w:val="1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8"/>
  </w:num>
  <w:num w:numId="5">
    <w:abstractNumId w:val="9"/>
  </w:num>
  <w:num w:numId="6">
    <w:abstractNumId w:val="6"/>
  </w:num>
  <w:num w:numId="7">
    <w:abstractNumId w:val="16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13"/>
  </w:num>
  <w:num w:numId="20">
    <w:abstractNumId w:val="19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744"/>
    <w:rsid w:val="00003F78"/>
    <w:rsid w:val="00004B0A"/>
    <w:rsid w:val="00005B25"/>
    <w:rsid w:val="00006555"/>
    <w:rsid w:val="00010498"/>
    <w:rsid w:val="0001214A"/>
    <w:rsid w:val="0001384A"/>
    <w:rsid w:val="00013DFA"/>
    <w:rsid w:val="0001439D"/>
    <w:rsid w:val="00014FDE"/>
    <w:rsid w:val="00015D8E"/>
    <w:rsid w:val="00017968"/>
    <w:rsid w:val="00017FB4"/>
    <w:rsid w:val="00021518"/>
    <w:rsid w:val="00021D7F"/>
    <w:rsid w:val="00023462"/>
    <w:rsid w:val="00023D8A"/>
    <w:rsid w:val="00025E28"/>
    <w:rsid w:val="00027E1C"/>
    <w:rsid w:val="000314E4"/>
    <w:rsid w:val="00035404"/>
    <w:rsid w:val="00035633"/>
    <w:rsid w:val="0004410A"/>
    <w:rsid w:val="000464FA"/>
    <w:rsid w:val="00051F7A"/>
    <w:rsid w:val="0005402C"/>
    <w:rsid w:val="00054250"/>
    <w:rsid w:val="00055180"/>
    <w:rsid w:val="00055AE9"/>
    <w:rsid w:val="00055D27"/>
    <w:rsid w:val="00057D1B"/>
    <w:rsid w:val="000602AA"/>
    <w:rsid w:val="00062B9F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B30"/>
    <w:rsid w:val="00082EDA"/>
    <w:rsid w:val="00086372"/>
    <w:rsid w:val="000905D1"/>
    <w:rsid w:val="00090A39"/>
    <w:rsid w:val="00090B7E"/>
    <w:rsid w:val="000927C7"/>
    <w:rsid w:val="00092872"/>
    <w:rsid w:val="000935F1"/>
    <w:rsid w:val="000956A4"/>
    <w:rsid w:val="00095DE9"/>
    <w:rsid w:val="00096F09"/>
    <w:rsid w:val="000A05CF"/>
    <w:rsid w:val="000A0FC3"/>
    <w:rsid w:val="000A1367"/>
    <w:rsid w:val="000A2084"/>
    <w:rsid w:val="000A459B"/>
    <w:rsid w:val="000A62A9"/>
    <w:rsid w:val="000A7B66"/>
    <w:rsid w:val="000B07B0"/>
    <w:rsid w:val="000B185F"/>
    <w:rsid w:val="000B1C52"/>
    <w:rsid w:val="000B3D51"/>
    <w:rsid w:val="000B7985"/>
    <w:rsid w:val="000C23AE"/>
    <w:rsid w:val="000C344B"/>
    <w:rsid w:val="000C544C"/>
    <w:rsid w:val="000C6130"/>
    <w:rsid w:val="000C6500"/>
    <w:rsid w:val="000C7220"/>
    <w:rsid w:val="000D02E4"/>
    <w:rsid w:val="000D0F16"/>
    <w:rsid w:val="000D17FB"/>
    <w:rsid w:val="000D25AC"/>
    <w:rsid w:val="000D3AA7"/>
    <w:rsid w:val="000D44D4"/>
    <w:rsid w:val="000D5771"/>
    <w:rsid w:val="000D5893"/>
    <w:rsid w:val="000D7252"/>
    <w:rsid w:val="000E2E4F"/>
    <w:rsid w:val="000E37AA"/>
    <w:rsid w:val="000E5798"/>
    <w:rsid w:val="000E7A0E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2EC1"/>
    <w:rsid w:val="001033BE"/>
    <w:rsid w:val="00107096"/>
    <w:rsid w:val="0011205F"/>
    <w:rsid w:val="0011270A"/>
    <w:rsid w:val="00112E9A"/>
    <w:rsid w:val="001139A6"/>
    <w:rsid w:val="00113D4A"/>
    <w:rsid w:val="00113F3C"/>
    <w:rsid w:val="001167D9"/>
    <w:rsid w:val="0012309E"/>
    <w:rsid w:val="0012393A"/>
    <w:rsid w:val="00124DB0"/>
    <w:rsid w:val="00125C6A"/>
    <w:rsid w:val="001262A5"/>
    <w:rsid w:val="001317CF"/>
    <w:rsid w:val="00134C8C"/>
    <w:rsid w:val="00143689"/>
    <w:rsid w:val="00144F94"/>
    <w:rsid w:val="001458FE"/>
    <w:rsid w:val="00145BA6"/>
    <w:rsid w:val="001471AF"/>
    <w:rsid w:val="00150EF3"/>
    <w:rsid w:val="0015229D"/>
    <w:rsid w:val="00155E32"/>
    <w:rsid w:val="00156FE7"/>
    <w:rsid w:val="001576D0"/>
    <w:rsid w:val="001601B9"/>
    <w:rsid w:val="001608BE"/>
    <w:rsid w:val="00162FBC"/>
    <w:rsid w:val="0016375C"/>
    <w:rsid w:val="001654A5"/>
    <w:rsid w:val="00165B75"/>
    <w:rsid w:val="00166A2F"/>
    <w:rsid w:val="00170760"/>
    <w:rsid w:val="00170B46"/>
    <w:rsid w:val="00171767"/>
    <w:rsid w:val="00173764"/>
    <w:rsid w:val="0017405D"/>
    <w:rsid w:val="001748BA"/>
    <w:rsid w:val="001916E9"/>
    <w:rsid w:val="00191F59"/>
    <w:rsid w:val="00192DAD"/>
    <w:rsid w:val="00192F75"/>
    <w:rsid w:val="00193F19"/>
    <w:rsid w:val="001A0BEF"/>
    <w:rsid w:val="001A3CDB"/>
    <w:rsid w:val="001A3E0D"/>
    <w:rsid w:val="001A3E96"/>
    <w:rsid w:val="001A6181"/>
    <w:rsid w:val="001B3295"/>
    <w:rsid w:val="001B39C4"/>
    <w:rsid w:val="001B6C63"/>
    <w:rsid w:val="001B7D31"/>
    <w:rsid w:val="001C294E"/>
    <w:rsid w:val="001C51E2"/>
    <w:rsid w:val="001D0E41"/>
    <w:rsid w:val="001D153D"/>
    <w:rsid w:val="001D19F1"/>
    <w:rsid w:val="001D1BCE"/>
    <w:rsid w:val="001D457E"/>
    <w:rsid w:val="001D4CE8"/>
    <w:rsid w:val="001D621C"/>
    <w:rsid w:val="001E3647"/>
    <w:rsid w:val="001E4F36"/>
    <w:rsid w:val="001E5245"/>
    <w:rsid w:val="001E6902"/>
    <w:rsid w:val="001E7AA4"/>
    <w:rsid w:val="001F1C35"/>
    <w:rsid w:val="001F20B8"/>
    <w:rsid w:val="001F2688"/>
    <w:rsid w:val="001F38F6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27C4"/>
    <w:rsid w:val="002137D4"/>
    <w:rsid w:val="00214E8B"/>
    <w:rsid w:val="002206B0"/>
    <w:rsid w:val="002230A2"/>
    <w:rsid w:val="00223F01"/>
    <w:rsid w:val="00224E88"/>
    <w:rsid w:val="0023012E"/>
    <w:rsid w:val="00231326"/>
    <w:rsid w:val="00233EF5"/>
    <w:rsid w:val="002349C3"/>
    <w:rsid w:val="0023771D"/>
    <w:rsid w:val="00241E9C"/>
    <w:rsid w:val="00242077"/>
    <w:rsid w:val="0024353A"/>
    <w:rsid w:val="0025100A"/>
    <w:rsid w:val="00251AC2"/>
    <w:rsid w:val="002551A1"/>
    <w:rsid w:val="00262BFF"/>
    <w:rsid w:val="00265B05"/>
    <w:rsid w:val="00266561"/>
    <w:rsid w:val="00266E0C"/>
    <w:rsid w:val="00266E1A"/>
    <w:rsid w:val="00266F7E"/>
    <w:rsid w:val="002723FC"/>
    <w:rsid w:val="0027468B"/>
    <w:rsid w:val="00280536"/>
    <w:rsid w:val="00280AE6"/>
    <w:rsid w:val="00282655"/>
    <w:rsid w:val="00282DAE"/>
    <w:rsid w:val="00283723"/>
    <w:rsid w:val="00287105"/>
    <w:rsid w:val="00291602"/>
    <w:rsid w:val="00292CE9"/>
    <w:rsid w:val="00293311"/>
    <w:rsid w:val="0029392F"/>
    <w:rsid w:val="00296843"/>
    <w:rsid w:val="00297583"/>
    <w:rsid w:val="002A19B5"/>
    <w:rsid w:val="002A2034"/>
    <w:rsid w:val="002A3232"/>
    <w:rsid w:val="002A3D34"/>
    <w:rsid w:val="002A6B26"/>
    <w:rsid w:val="002B12E6"/>
    <w:rsid w:val="002B1329"/>
    <w:rsid w:val="002B1BE6"/>
    <w:rsid w:val="002B307F"/>
    <w:rsid w:val="002B7055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C7F77"/>
    <w:rsid w:val="002D1A9D"/>
    <w:rsid w:val="002D2C39"/>
    <w:rsid w:val="002D4D2D"/>
    <w:rsid w:val="002D61E1"/>
    <w:rsid w:val="002D63B4"/>
    <w:rsid w:val="002D65ED"/>
    <w:rsid w:val="002D7409"/>
    <w:rsid w:val="002E2CA4"/>
    <w:rsid w:val="002E2D66"/>
    <w:rsid w:val="002E33A2"/>
    <w:rsid w:val="002E3609"/>
    <w:rsid w:val="002E3DBD"/>
    <w:rsid w:val="002E528E"/>
    <w:rsid w:val="002E5382"/>
    <w:rsid w:val="002E59E5"/>
    <w:rsid w:val="002E5E3C"/>
    <w:rsid w:val="002F07F4"/>
    <w:rsid w:val="002F1032"/>
    <w:rsid w:val="002F2DED"/>
    <w:rsid w:val="002F2E6A"/>
    <w:rsid w:val="002F323D"/>
    <w:rsid w:val="002F605D"/>
    <w:rsid w:val="002F6B16"/>
    <w:rsid w:val="00300EF7"/>
    <w:rsid w:val="0030199D"/>
    <w:rsid w:val="003029DD"/>
    <w:rsid w:val="00305113"/>
    <w:rsid w:val="003063C1"/>
    <w:rsid w:val="00306431"/>
    <w:rsid w:val="00310511"/>
    <w:rsid w:val="00310654"/>
    <w:rsid w:val="00310E98"/>
    <w:rsid w:val="00313AD1"/>
    <w:rsid w:val="00313C42"/>
    <w:rsid w:val="00315407"/>
    <w:rsid w:val="00315734"/>
    <w:rsid w:val="0031648A"/>
    <w:rsid w:val="0031755E"/>
    <w:rsid w:val="00321C3D"/>
    <w:rsid w:val="00323A55"/>
    <w:rsid w:val="00323D9A"/>
    <w:rsid w:val="00325804"/>
    <w:rsid w:val="00325E98"/>
    <w:rsid w:val="003268D1"/>
    <w:rsid w:val="00327AF0"/>
    <w:rsid w:val="00331B49"/>
    <w:rsid w:val="00331F29"/>
    <w:rsid w:val="00333A1D"/>
    <w:rsid w:val="0033460B"/>
    <w:rsid w:val="00334F92"/>
    <w:rsid w:val="0033657D"/>
    <w:rsid w:val="0033752D"/>
    <w:rsid w:val="00337EE7"/>
    <w:rsid w:val="00340D71"/>
    <w:rsid w:val="0034291E"/>
    <w:rsid w:val="003443B6"/>
    <w:rsid w:val="00344C71"/>
    <w:rsid w:val="003456F8"/>
    <w:rsid w:val="00347675"/>
    <w:rsid w:val="00347BD4"/>
    <w:rsid w:val="00347CD5"/>
    <w:rsid w:val="00350B80"/>
    <w:rsid w:val="00351462"/>
    <w:rsid w:val="00353E36"/>
    <w:rsid w:val="0035547A"/>
    <w:rsid w:val="003554E0"/>
    <w:rsid w:val="00355DBF"/>
    <w:rsid w:val="00355E14"/>
    <w:rsid w:val="003576FF"/>
    <w:rsid w:val="00357F80"/>
    <w:rsid w:val="0036304D"/>
    <w:rsid w:val="003631B2"/>
    <w:rsid w:val="00363764"/>
    <w:rsid w:val="0036462F"/>
    <w:rsid w:val="00366BA1"/>
    <w:rsid w:val="00367A4B"/>
    <w:rsid w:val="00370768"/>
    <w:rsid w:val="0037228C"/>
    <w:rsid w:val="0037786C"/>
    <w:rsid w:val="00380A73"/>
    <w:rsid w:val="00382F29"/>
    <w:rsid w:val="003838BC"/>
    <w:rsid w:val="00384AF1"/>
    <w:rsid w:val="00384DF7"/>
    <w:rsid w:val="003857F4"/>
    <w:rsid w:val="00385993"/>
    <w:rsid w:val="00385A79"/>
    <w:rsid w:val="00386385"/>
    <w:rsid w:val="00387555"/>
    <w:rsid w:val="0039006E"/>
    <w:rsid w:val="00391AD2"/>
    <w:rsid w:val="00393B9D"/>
    <w:rsid w:val="00394823"/>
    <w:rsid w:val="003955A0"/>
    <w:rsid w:val="00396EF2"/>
    <w:rsid w:val="003978DA"/>
    <w:rsid w:val="00397954"/>
    <w:rsid w:val="003A13B4"/>
    <w:rsid w:val="003A179E"/>
    <w:rsid w:val="003A3F7E"/>
    <w:rsid w:val="003A72AE"/>
    <w:rsid w:val="003B1507"/>
    <w:rsid w:val="003B4A8D"/>
    <w:rsid w:val="003B4F0F"/>
    <w:rsid w:val="003B5D7A"/>
    <w:rsid w:val="003B72C4"/>
    <w:rsid w:val="003C2417"/>
    <w:rsid w:val="003C276B"/>
    <w:rsid w:val="003C34C9"/>
    <w:rsid w:val="003C48B6"/>
    <w:rsid w:val="003C4FB1"/>
    <w:rsid w:val="003D1548"/>
    <w:rsid w:val="003D25E5"/>
    <w:rsid w:val="003D4318"/>
    <w:rsid w:val="003D66C8"/>
    <w:rsid w:val="003E0375"/>
    <w:rsid w:val="003E2553"/>
    <w:rsid w:val="003E4422"/>
    <w:rsid w:val="003E4FF7"/>
    <w:rsid w:val="003E6FC3"/>
    <w:rsid w:val="003F1AAC"/>
    <w:rsid w:val="003F2EB0"/>
    <w:rsid w:val="003F35EF"/>
    <w:rsid w:val="003F3B35"/>
    <w:rsid w:val="003F470F"/>
    <w:rsid w:val="00400DAD"/>
    <w:rsid w:val="00401A87"/>
    <w:rsid w:val="00404B04"/>
    <w:rsid w:val="004052B2"/>
    <w:rsid w:val="00405C0C"/>
    <w:rsid w:val="00412253"/>
    <w:rsid w:val="004137B0"/>
    <w:rsid w:val="00415770"/>
    <w:rsid w:val="004157E2"/>
    <w:rsid w:val="00415FC6"/>
    <w:rsid w:val="00424B79"/>
    <w:rsid w:val="00426B52"/>
    <w:rsid w:val="00430270"/>
    <w:rsid w:val="00432B9B"/>
    <w:rsid w:val="00434060"/>
    <w:rsid w:val="0043536F"/>
    <w:rsid w:val="00436E44"/>
    <w:rsid w:val="00437569"/>
    <w:rsid w:val="0044012A"/>
    <w:rsid w:val="00441303"/>
    <w:rsid w:val="00441D52"/>
    <w:rsid w:val="00442312"/>
    <w:rsid w:val="00442E37"/>
    <w:rsid w:val="0044317C"/>
    <w:rsid w:val="004432F6"/>
    <w:rsid w:val="00444478"/>
    <w:rsid w:val="004445C6"/>
    <w:rsid w:val="00446F85"/>
    <w:rsid w:val="004522B4"/>
    <w:rsid w:val="00452338"/>
    <w:rsid w:val="00452891"/>
    <w:rsid w:val="00452900"/>
    <w:rsid w:val="00452A5B"/>
    <w:rsid w:val="00452CED"/>
    <w:rsid w:val="00456AC9"/>
    <w:rsid w:val="00460DD1"/>
    <w:rsid w:val="00461BFF"/>
    <w:rsid w:val="00466782"/>
    <w:rsid w:val="0046775E"/>
    <w:rsid w:val="0047038B"/>
    <w:rsid w:val="00470D92"/>
    <w:rsid w:val="00470E96"/>
    <w:rsid w:val="0047196C"/>
    <w:rsid w:val="00471BE5"/>
    <w:rsid w:val="0047354E"/>
    <w:rsid w:val="00475510"/>
    <w:rsid w:val="0047586E"/>
    <w:rsid w:val="0047771B"/>
    <w:rsid w:val="00477873"/>
    <w:rsid w:val="00480E9D"/>
    <w:rsid w:val="004853B4"/>
    <w:rsid w:val="0048588A"/>
    <w:rsid w:val="00487A81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1B6A"/>
    <w:rsid w:val="004A3B6F"/>
    <w:rsid w:val="004A44E7"/>
    <w:rsid w:val="004A48C9"/>
    <w:rsid w:val="004A5489"/>
    <w:rsid w:val="004A75B5"/>
    <w:rsid w:val="004B3935"/>
    <w:rsid w:val="004B4D21"/>
    <w:rsid w:val="004C00FC"/>
    <w:rsid w:val="004C17CB"/>
    <w:rsid w:val="004C195F"/>
    <w:rsid w:val="004D0248"/>
    <w:rsid w:val="004D04A0"/>
    <w:rsid w:val="004D0BDF"/>
    <w:rsid w:val="004D3A0B"/>
    <w:rsid w:val="004D469E"/>
    <w:rsid w:val="004D4B67"/>
    <w:rsid w:val="004D56EC"/>
    <w:rsid w:val="004E4BBD"/>
    <w:rsid w:val="004E5018"/>
    <w:rsid w:val="004E5EFE"/>
    <w:rsid w:val="004F064A"/>
    <w:rsid w:val="004F0FD3"/>
    <w:rsid w:val="004F2231"/>
    <w:rsid w:val="004F2EB2"/>
    <w:rsid w:val="004F3FEB"/>
    <w:rsid w:val="0050104B"/>
    <w:rsid w:val="005014CD"/>
    <w:rsid w:val="00501793"/>
    <w:rsid w:val="00505BFD"/>
    <w:rsid w:val="00510AA1"/>
    <w:rsid w:val="00511E6F"/>
    <w:rsid w:val="00512869"/>
    <w:rsid w:val="00512879"/>
    <w:rsid w:val="0051498C"/>
    <w:rsid w:val="005204CB"/>
    <w:rsid w:val="00520DE3"/>
    <w:rsid w:val="00521224"/>
    <w:rsid w:val="00524F37"/>
    <w:rsid w:val="00525AEA"/>
    <w:rsid w:val="00525FA8"/>
    <w:rsid w:val="005261A2"/>
    <w:rsid w:val="00526BFC"/>
    <w:rsid w:val="005272D8"/>
    <w:rsid w:val="00530B7D"/>
    <w:rsid w:val="00531EA2"/>
    <w:rsid w:val="00532D90"/>
    <w:rsid w:val="005334CB"/>
    <w:rsid w:val="00533D48"/>
    <w:rsid w:val="005419E9"/>
    <w:rsid w:val="00541DC9"/>
    <w:rsid w:val="00542475"/>
    <w:rsid w:val="005440CF"/>
    <w:rsid w:val="00544CA6"/>
    <w:rsid w:val="005466CD"/>
    <w:rsid w:val="00550C9C"/>
    <w:rsid w:val="005516A8"/>
    <w:rsid w:val="00553952"/>
    <w:rsid w:val="00560786"/>
    <w:rsid w:val="00562521"/>
    <w:rsid w:val="0056268F"/>
    <w:rsid w:val="0056306F"/>
    <w:rsid w:val="00563557"/>
    <w:rsid w:val="00563CD1"/>
    <w:rsid w:val="0056476B"/>
    <w:rsid w:val="00565C3C"/>
    <w:rsid w:val="0057085B"/>
    <w:rsid w:val="00570C6B"/>
    <w:rsid w:val="00572DF6"/>
    <w:rsid w:val="00573388"/>
    <w:rsid w:val="00573AB6"/>
    <w:rsid w:val="00574B6F"/>
    <w:rsid w:val="00577D77"/>
    <w:rsid w:val="00580725"/>
    <w:rsid w:val="005824D3"/>
    <w:rsid w:val="00584558"/>
    <w:rsid w:val="00586657"/>
    <w:rsid w:val="00586FDE"/>
    <w:rsid w:val="00587C9B"/>
    <w:rsid w:val="00590E5A"/>
    <w:rsid w:val="005923F3"/>
    <w:rsid w:val="005940D1"/>
    <w:rsid w:val="00594E34"/>
    <w:rsid w:val="00595456"/>
    <w:rsid w:val="00596C14"/>
    <w:rsid w:val="005A1053"/>
    <w:rsid w:val="005A1219"/>
    <w:rsid w:val="005A2BB7"/>
    <w:rsid w:val="005A3A8D"/>
    <w:rsid w:val="005A4ADA"/>
    <w:rsid w:val="005A6F2F"/>
    <w:rsid w:val="005B283E"/>
    <w:rsid w:val="005B2D50"/>
    <w:rsid w:val="005B3A18"/>
    <w:rsid w:val="005B41AA"/>
    <w:rsid w:val="005B4F61"/>
    <w:rsid w:val="005B57EF"/>
    <w:rsid w:val="005C5514"/>
    <w:rsid w:val="005C5968"/>
    <w:rsid w:val="005C60BE"/>
    <w:rsid w:val="005C7707"/>
    <w:rsid w:val="005D133C"/>
    <w:rsid w:val="005D33D4"/>
    <w:rsid w:val="005D51DC"/>
    <w:rsid w:val="005D5CF2"/>
    <w:rsid w:val="005D7FCA"/>
    <w:rsid w:val="005E09FF"/>
    <w:rsid w:val="005E1232"/>
    <w:rsid w:val="005E485F"/>
    <w:rsid w:val="005E50A7"/>
    <w:rsid w:val="005E57D9"/>
    <w:rsid w:val="005F00DD"/>
    <w:rsid w:val="005F77A2"/>
    <w:rsid w:val="006002AA"/>
    <w:rsid w:val="006032BF"/>
    <w:rsid w:val="00604B41"/>
    <w:rsid w:val="00605C92"/>
    <w:rsid w:val="0060707D"/>
    <w:rsid w:val="00611C67"/>
    <w:rsid w:val="0061213E"/>
    <w:rsid w:val="00614076"/>
    <w:rsid w:val="00614E5A"/>
    <w:rsid w:val="00616235"/>
    <w:rsid w:val="00620244"/>
    <w:rsid w:val="00620B8A"/>
    <w:rsid w:val="0062275E"/>
    <w:rsid w:val="00624609"/>
    <w:rsid w:val="0062554E"/>
    <w:rsid w:val="006258B1"/>
    <w:rsid w:val="00630230"/>
    <w:rsid w:val="00630E03"/>
    <w:rsid w:val="00631233"/>
    <w:rsid w:val="0063197E"/>
    <w:rsid w:val="00632042"/>
    <w:rsid w:val="00636EB6"/>
    <w:rsid w:val="006374F9"/>
    <w:rsid w:val="00640B8B"/>
    <w:rsid w:val="00641990"/>
    <w:rsid w:val="006421A5"/>
    <w:rsid w:val="00643E28"/>
    <w:rsid w:val="00645153"/>
    <w:rsid w:val="00646223"/>
    <w:rsid w:val="00647140"/>
    <w:rsid w:val="00650304"/>
    <w:rsid w:val="006529FA"/>
    <w:rsid w:val="006535F8"/>
    <w:rsid w:val="00653B45"/>
    <w:rsid w:val="00662123"/>
    <w:rsid w:val="00662988"/>
    <w:rsid w:val="00662B61"/>
    <w:rsid w:val="00663B7B"/>
    <w:rsid w:val="006640FF"/>
    <w:rsid w:val="00665307"/>
    <w:rsid w:val="0066640F"/>
    <w:rsid w:val="00666E3F"/>
    <w:rsid w:val="00667145"/>
    <w:rsid w:val="0066718B"/>
    <w:rsid w:val="006673BB"/>
    <w:rsid w:val="00670AD9"/>
    <w:rsid w:val="006713C2"/>
    <w:rsid w:val="00671713"/>
    <w:rsid w:val="00671A06"/>
    <w:rsid w:val="00673243"/>
    <w:rsid w:val="00673AE4"/>
    <w:rsid w:val="0067402D"/>
    <w:rsid w:val="00675E56"/>
    <w:rsid w:val="0067632C"/>
    <w:rsid w:val="00677A85"/>
    <w:rsid w:val="006805A5"/>
    <w:rsid w:val="00680B51"/>
    <w:rsid w:val="00681E64"/>
    <w:rsid w:val="006821E3"/>
    <w:rsid w:val="0068369D"/>
    <w:rsid w:val="00687F92"/>
    <w:rsid w:val="00693518"/>
    <w:rsid w:val="00693F2B"/>
    <w:rsid w:val="00694C51"/>
    <w:rsid w:val="006955E7"/>
    <w:rsid w:val="00695B03"/>
    <w:rsid w:val="00695FCF"/>
    <w:rsid w:val="00696965"/>
    <w:rsid w:val="00696DDA"/>
    <w:rsid w:val="006A135C"/>
    <w:rsid w:val="006A3EE7"/>
    <w:rsid w:val="006A4CFB"/>
    <w:rsid w:val="006A5914"/>
    <w:rsid w:val="006A71A2"/>
    <w:rsid w:val="006B2505"/>
    <w:rsid w:val="006B4075"/>
    <w:rsid w:val="006B5625"/>
    <w:rsid w:val="006B5E7A"/>
    <w:rsid w:val="006B6817"/>
    <w:rsid w:val="006B6956"/>
    <w:rsid w:val="006C09E3"/>
    <w:rsid w:val="006C4076"/>
    <w:rsid w:val="006C41FF"/>
    <w:rsid w:val="006C4E62"/>
    <w:rsid w:val="006C7521"/>
    <w:rsid w:val="006D30E8"/>
    <w:rsid w:val="006D502F"/>
    <w:rsid w:val="006D5067"/>
    <w:rsid w:val="006E1EA3"/>
    <w:rsid w:val="006E265E"/>
    <w:rsid w:val="006E27FD"/>
    <w:rsid w:val="006E4DAD"/>
    <w:rsid w:val="006E6CC2"/>
    <w:rsid w:val="006F28BA"/>
    <w:rsid w:val="006F2F44"/>
    <w:rsid w:val="006F38B3"/>
    <w:rsid w:val="006F5C05"/>
    <w:rsid w:val="006F5E1D"/>
    <w:rsid w:val="006F6ADA"/>
    <w:rsid w:val="006F707F"/>
    <w:rsid w:val="00701CC2"/>
    <w:rsid w:val="007028B2"/>
    <w:rsid w:val="0070382E"/>
    <w:rsid w:val="0070478C"/>
    <w:rsid w:val="0070621C"/>
    <w:rsid w:val="00706682"/>
    <w:rsid w:val="00706A7D"/>
    <w:rsid w:val="00707993"/>
    <w:rsid w:val="0071123A"/>
    <w:rsid w:val="00711E25"/>
    <w:rsid w:val="00712A2C"/>
    <w:rsid w:val="007138CC"/>
    <w:rsid w:val="0071439B"/>
    <w:rsid w:val="007209B4"/>
    <w:rsid w:val="0072122E"/>
    <w:rsid w:val="00723658"/>
    <w:rsid w:val="00723B85"/>
    <w:rsid w:val="007257B8"/>
    <w:rsid w:val="00727A5B"/>
    <w:rsid w:val="00727A83"/>
    <w:rsid w:val="0073174A"/>
    <w:rsid w:val="007333BE"/>
    <w:rsid w:val="007335A8"/>
    <w:rsid w:val="00737013"/>
    <w:rsid w:val="0073764E"/>
    <w:rsid w:val="00737DDD"/>
    <w:rsid w:val="00740EAA"/>
    <w:rsid w:val="007414A3"/>
    <w:rsid w:val="0075099D"/>
    <w:rsid w:val="0075229E"/>
    <w:rsid w:val="007544BE"/>
    <w:rsid w:val="00756B84"/>
    <w:rsid w:val="0075721B"/>
    <w:rsid w:val="00757A75"/>
    <w:rsid w:val="00760136"/>
    <w:rsid w:val="00760496"/>
    <w:rsid w:val="0076053B"/>
    <w:rsid w:val="00763FB0"/>
    <w:rsid w:val="007708B5"/>
    <w:rsid w:val="00770D2D"/>
    <w:rsid w:val="00772BE0"/>
    <w:rsid w:val="00772C0B"/>
    <w:rsid w:val="007738D0"/>
    <w:rsid w:val="00773C7D"/>
    <w:rsid w:val="00773EC0"/>
    <w:rsid w:val="00774E33"/>
    <w:rsid w:val="0077567A"/>
    <w:rsid w:val="00775DA1"/>
    <w:rsid w:val="00775ED0"/>
    <w:rsid w:val="007764FA"/>
    <w:rsid w:val="00776EF9"/>
    <w:rsid w:val="007801D6"/>
    <w:rsid w:val="00780533"/>
    <w:rsid w:val="0078737D"/>
    <w:rsid w:val="00790464"/>
    <w:rsid w:val="007939B6"/>
    <w:rsid w:val="00795D5C"/>
    <w:rsid w:val="007964C7"/>
    <w:rsid w:val="00796733"/>
    <w:rsid w:val="007A4969"/>
    <w:rsid w:val="007A6D9A"/>
    <w:rsid w:val="007B01D2"/>
    <w:rsid w:val="007B05F7"/>
    <w:rsid w:val="007B1924"/>
    <w:rsid w:val="007B199A"/>
    <w:rsid w:val="007B1BA6"/>
    <w:rsid w:val="007B29FC"/>
    <w:rsid w:val="007B48F8"/>
    <w:rsid w:val="007B4C9D"/>
    <w:rsid w:val="007B55B5"/>
    <w:rsid w:val="007B5624"/>
    <w:rsid w:val="007C0C20"/>
    <w:rsid w:val="007C3D92"/>
    <w:rsid w:val="007C5420"/>
    <w:rsid w:val="007D1008"/>
    <w:rsid w:val="007D1B67"/>
    <w:rsid w:val="007D2672"/>
    <w:rsid w:val="007D3388"/>
    <w:rsid w:val="007D4B6B"/>
    <w:rsid w:val="007D62DC"/>
    <w:rsid w:val="007D7930"/>
    <w:rsid w:val="007E0965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7F7FF1"/>
    <w:rsid w:val="00802069"/>
    <w:rsid w:val="008025DC"/>
    <w:rsid w:val="00803C62"/>
    <w:rsid w:val="00804056"/>
    <w:rsid w:val="00804F6E"/>
    <w:rsid w:val="00806EC8"/>
    <w:rsid w:val="00811DF6"/>
    <w:rsid w:val="008125FF"/>
    <w:rsid w:val="008129FA"/>
    <w:rsid w:val="00814CE9"/>
    <w:rsid w:val="00815D73"/>
    <w:rsid w:val="008176D9"/>
    <w:rsid w:val="008211A0"/>
    <w:rsid w:val="00823F00"/>
    <w:rsid w:val="00825861"/>
    <w:rsid w:val="00825BCB"/>
    <w:rsid w:val="0082609D"/>
    <w:rsid w:val="00826BCF"/>
    <w:rsid w:val="008270A6"/>
    <w:rsid w:val="00827BB7"/>
    <w:rsid w:val="00831988"/>
    <w:rsid w:val="00832233"/>
    <w:rsid w:val="00832BDC"/>
    <w:rsid w:val="0083307C"/>
    <w:rsid w:val="0083364D"/>
    <w:rsid w:val="008340F1"/>
    <w:rsid w:val="00834554"/>
    <w:rsid w:val="00834A4A"/>
    <w:rsid w:val="0083539A"/>
    <w:rsid w:val="0083564F"/>
    <w:rsid w:val="008356C6"/>
    <w:rsid w:val="0083673F"/>
    <w:rsid w:val="00836C86"/>
    <w:rsid w:val="008409F8"/>
    <w:rsid w:val="00844028"/>
    <w:rsid w:val="0084493B"/>
    <w:rsid w:val="00845D51"/>
    <w:rsid w:val="008469EE"/>
    <w:rsid w:val="008506DB"/>
    <w:rsid w:val="008513F9"/>
    <w:rsid w:val="008521CA"/>
    <w:rsid w:val="00856033"/>
    <w:rsid w:val="008566B3"/>
    <w:rsid w:val="00856765"/>
    <w:rsid w:val="00864F35"/>
    <w:rsid w:val="00867AEB"/>
    <w:rsid w:val="0087602C"/>
    <w:rsid w:val="008775A4"/>
    <w:rsid w:val="00881122"/>
    <w:rsid w:val="00881634"/>
    <w:rsid w:val="00881AF4"/>
    <w:rsid w:val="008834FE"/>
    <w:rsid w:val="00883BC1"/>
    <w:rsid w:val="00883F2C"/>
    <w:rsid w:val="00884474"/>
    <w:rsid w:val="00884AE7"/>
    <w:rsid w:val="00885927"/>
    <w:rsid w:val="0088656A"/>
    <w:rsid w:val="00887713"/>
    <w:rsid w:val="00890405"/>
    <w:rsid w:val="00891960"/>
    <w:rsid w:val="008920DC"/>
    <w:rsid w:val="0089389F"/>
    <w:rsid w:val="008956D1"/>
    <w:rsid w:val="008957EB"/>
    <w:rsid w:val="008957EF"/>
    <w:rsid w:val="008972B2"/>
    <w:rsid w:val="008976A1"/>
    <w:rsid w:val="008977F4"/>
    <w:rsid w:val="008A0E25"/>
    <w:rsid w:val="008A1766"/>
    <w:rsid w:val="008A67CF"/>
    <w:rsid w:val="008B1660"/>
    <w:rsid w:val="008B2BA7"/>
    <w:rsid w:val="008B2DDE"/>
    <w:rsid w:val="008B3494"/>
    <w:rsid w:val="008B7022"/>
    <w:rsid w:val="008C0A82"/>
    <w:rsid w:val="008C29D7"/>
    <w:rsid w:val="008C2E27"/>
    <w:rsid w:val="008C4980"/>
    <w:rsid w:val="008C5798"/>
    <w:rsid w:val="008D1347"/>
    <w:rsid w:val="008D2BDD"/>
    <w:rsid w:val="008D33F8"/>
    <w:rsid w:val="008D4BC6"/>
    <w:rsid w:val="008E3509"/>
    <w:rsid w:val="008E4AD4"/>
    <w:rsid w:val="008E65D9"/>
    <w:rsid w:val="008F1906"/>
    <w:rsid w:val="008F2550"/>
    <w:rsid w:val="008F2D8F"/>
    <w:rsid w:val="008F2E54"/>
    <w:rsid w:val="008F60A2"/>
    <w:rsid w:val="008F6975"/>
    <w:rsid w:val="008F6E1D"/>
    <w:rsid w:val="008F72C4"/>
    <w:rsid w:val="008F7C0C"/>
    <w:rsid w:val="00900A5F"/>
    <w:rsid w:val="00900A60"/>
    <w:rsid w:val="00902865"/>
    <w:rsid w:val="00904A76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5F1F"/>
    <w:rsid w:val="00930CCE"/>
    <w:rsid w:val="00931A17"/>
    <w:rsid w:val="0093481A"/>
    <w:rsid w:val="00935354"/>
    <w:rsid w:val="009353AC"/>
    <w:rsid w:val="009360C0"/>
    <w:rsid w:val="0093653B"/>
    <w:rsid w:val="00936FF7"/>
    <w:rsid w:val="009371D3"/>
    <w:rsid w:val="00937550"/>
    <w:rsid w:val="0094369B"/>
    <w:rsid w:val="00945074"/>
    <w:rsid w:val="00947084"/>
    <w:rsid w:val="00947FBD"/>
    <w:rsid w:val="009519A7"/>
    <w:rsid w:val="0095297F"/>
    <w:rsid w:val="00954B63"/>
    <w:rsid w:val="009550B8"/>
    <w:rsid w:val="009565DD"/>
    <w:rsid w:val="0095699A"/>
    <w:rsid w:val="00957435"/>
    <w:rsid w:val="00957526"/>
    <w:rsid w:val="00957D24"/>
    <w:rsid w:val="00961D8F"/>
    <w:rsid w:val="009630B4"/>
    <w:rsid w:val="009650B3"/>
    <w:rsid w:val="00965964"/>
    <w:rsid w:val="009714E4"/>
    <w:rsid w:val="0097162D"/>
    <w:rsid w:val="009722DB"/>
    <w:rsid w:val="00973B94"/>
    <w:rsid w:val="00974F6D"/>
    <w:rsid w:val="00976F80"/>
    <w:rsid w:val="009770DC"/>
    <w:rsid w:val="0097797D"/>
    <w:rsid w:val="00977E2E"/>
    <w:rsid w:val="009805F2"/>
    <w:rsid w:val="00981D4F"/>
    <w:rsid w:val="00983391"/>
    <w:rsid w:val="00986052"/>
    <w:rsid w:val="009863A0"/>
    <w:rsid w:val="00987C74"/>
    <w:rsid w:val="00993AA6"/>
    <w:rsid w:val="00996FA7"/>
    <w:rsid w:val="009A1173"/>
    <w:rsid w:val="009A2DA3"/>
    <w:rsid w:val="009A2DAB"/>
    <w:rsid w:val="009A2DCE"/>
    <w:rsid w:val="009A3ADF"/>
    <w:rsid w:val="009A4E8C"/>
    <w:rsid w:val="009A5084"/>
    <w:rsid w:val="009A662A"/>
    <w:rsid w:val="009A6C03"/>
    <w:rsid w:val="009A7F2E"/>
    <w:rsid w:val="009B0C1D"/>
    <w:rsid w:val="009B2E68"/>
    <w:rsid w:val="009B33B1"/>
    <w:rsid w:val="009B555B"/>
    <w:rsid w:val="009B5BF8"/>
    <w:rsid w:val="009C0CB2"/>
    <w:rsid w:val="009C1A22"/>
    <w:rsid w:val="009C2C3C"/>
    <w:rsid w:val="009C7037"/>
    <w:rsid w:val="009C7943"/>
    <w:rsid w:val="009D0F1D"/>
    <w:rsid w:val="009D1A5C"/>
    <w:rsid w:val="009D2044"/>
    <w:rsid w:val="009D4F4F"/>
    <w:rsid w:val="009D5362"/>
    <w:rsid w:val="009D6E1C"/>
    <w:rsid w:val="009D7945"/>
    <w:rsid w:val="009E070A"/>
    <w:rsid w:val="009E30A5"/>
    <w:rsid w:val="009E39A3"/>
    <w:rsid w:val="009E3CEE"/>
    <w:rsid w:val="009E3EAC"/>
    <w:rsid w:val="009E4342"/>
    <w:rsid w:val="009E6BE3"/>
    <w:rsid w:val="009F033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0F06"/>
    <w:rsid w:val="00A12E53"/>
    <w:rsid w:val="00A13DFC"/>
    <w:rsid w:val="00A15A7C"/>
    <w:rsid w:val="00A16942"/>
    <w:rsid w:val="00A16B16"/>
    <w:rsid w:val="00A2098A"/>
    <w:rsid w:val="00A212AC"/>
    <w:rsid w:val="00A23E03"/>
    <w:rsid w:val="00A24E77"/>
    <w:rsid w:val="00A253B0"/>
    <w:rsid w:val="00A26AB2"/>
    <w:rsid w:val="00A2763D"/>
    <w:rsid w:val="00A30E0A"/>
    <w:rsid w:val="00A364A1"/>
    <w:rsid w:val="00A36649"/>
    <w:rsid w:val="00A36D32"/>
    <w:rsid w:val="00A401BC"/>
    <w:rsid w:val="00A40F25"/>
    <w:rsid w:val="00A42A7F"/>
    <w:rsid w:val="00A44F7D"/>
    <w:rsid w:val="00A4592F"/>
    <w:rsid w:val="00A45EA3"/>
    <w:rsid w:val="00A4720E"/>
    <w:rsid w:val="00A53D99"/>
    <w:rsid w:val="00A57C22"/>
    <w:rsid w:val="00A63606"/>
    <w:rsid w:val="00A63922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0422"/>
    <w:rsid w:val="00A831F3"/>
    <w:rsid w:val="00A833D7"/>
    <w:rsid w:val="00A83E50"/>
    <w:rsid w:val="00A86DA7"/>
    <w:rsid w:val="00A87959"/>
    <w:rsid w:val="00A91E49"/>
    <w:rsid w:val="00A9205A"/>
    <w:rsid w:val="00A95965"/>
    <w:rsid w:val="00A96450"/>
    <w:rsid w:val="00AA2A57"/>
    <w:rsid w:val="00AA40A5"/>
    <w:rsid w:val="00AA5738"/>
    <w:rsid w:val="00AB0FBF"/>
    <w:rsid w:val="00AB5A9E"/>
    <w:rsid w:val="00AC18D7"/>
    <w:rsid w:val="00AC2611"/>
    <w:rsid w:val="00AC273B"/>
    <w:rsid w:val="00AC2E6A"/>
    <w:rsid w:val="00AC35ED"/>
    <w:rsid w:val="00AD05A6"/>
    <w:rsid w:val="00AD436F"/>
    <w:rsid w:val="00AD6ECE"/>
    <w:rsid w:val="00AE0F77"/>
    <w:rsid w:val="00AE2004"/>
    <w:rsid w:val="00AE33B0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5FD0"/>
    <w:rsid w:val="00B07636"/>
    <w:rsid w:val="00B11C8C"/>
    <w:rsid w:val="00B1325C"/>
    <w:rsid w:val="00B148F7"/>
    <w:rsid w:val="00B15995"/>
    <w:rsid w:val="00B16885"/>
    <w:rsid w:val="00B17FF8"/>
    <w:rsid w:val="00B20B6A"/>
    <w:rsid w:val="00B20DA5"/>
    <w:rsid w:val="00B22FEF"/>
    <w:rsid w:val="00B235F7"/>
    <w:rsid w:val="00B242B8"/>
    <w:rsid w:val="00B24831"/>
    <w:rsid w:val="00B259CC"/>
    <w:rsid w:val="00B265A5"/>
    <w:rsid w:val="00B30840"/>
    <w:rsid w:val="00B30A72"/>
    <w:rsid w:val="00B30CF7"/>
    <w:rsid w:val="00B30F3E"/>
    <w:rsid w:val="00B3176E"/>
    <w:rsid w:val="00B3280B"/>
    <w:rsid w:val="00B34570"/>
    <w:rsid w:val="00B34775"/>
    <w:rsid w:val="00B365C9"/>
    <w:rsid w:val="00B36AEE"/>
    <w:rsid w:val="00B375D7"/>
    <w:rsid w:val="00B40BD6"/>
    <w:rsid w:val="00B41572"/>
    <w:rsid w:val="00B43BAA"/>
    <w:rsid w:val="00B43D2F"/>
    <w:rsid w:val="00B46F5D"/>
    <w:rsid w:val="00B507D6"/>
    <w:rsid w:val="00B510D1"/>
    <w:rsid w:val="00B516F4"/>
    <w:rsid w:val="00B52183"/>
    <w:rsid w:val="00B53695"/>
    <w:rsid w:val="00B6021A"/>
    <w:rsid w:val="00B60A2C"/>
    <w:rsid w:val="00B61CD8"/>
    <w:rsid w:val="00B625DC"/>
    <w:rsid w:val="00B63F07"/>
    <w:rsid w:val="00B64FD7"/>
    <w:rsid w:val="00B65FD9"/>
    <w:rsid w:val="00B6634F"/>
    <w:rsid w:val="00B672A7"/>
    <w:rsid w:val="00B67C60"/>
    <w:rsid w:val="00B67FDC"/>
    <w:rsid w:val="00B708CF"/>
    <w:rsid w:val="00B71781"/>
    <w:rsid w:val="00B7222E"/>
    <w:rsid w:val="00B7336C"/>
    <w:rsid w:val="00B738FB"/>
    <w:rsid w:val="00B7548C"/>
    <w:rsid w:val="00B76C6A"/>
    <w:rsid w:val="00B77794"/>
    <w:rsid w:val="00B80677"/>
    <w:rsid w:val="00B81093"/>
    <w:rsid w:val="00B81958"/>
    <w:rsid w:val="00B82437"/>
    <w:rsid w:val="00B829A8"/>
    <w:rsid w:val="00B829B3"/>
    <w:rsid w:val="00B82B47"/>
    <w:rsid w:val="00B83749"/>
    <w:rsid w:val="00B860F7"/>
    <w:rsid w:val="00B87617"/>
    <w:rsid w:val="00B91E6F"/>
    <w:rsid w:val="00B92684"/>
    <w:rsid w:val="00B95065"/>
    <w:rsid w:val="00B96E93"/>
    <w:rsid w:val="00B971AE"/>
    <w:rsid w:val="00B97AE8"/>
    <w:rsid w:val="00BA2289"/>
    <w:rsid w:val="00BA3745"/>
    <w:rsid w:val="00BB01C4"/>
    <w:rsid w:val="00BB07AF"/>
    <w:rsid w:val="00BB1DDF"/>
    <w:rsid w:val="00BB1F05"/>
    <w:rsid w:val="00BB3250"/>
    <w:rsid w:val="00BB4665"/>
    <w:rsid w:val="00BB4A4E"/>
    <w:rsid w:val="00BB6E34"/>
    <w:rsid w:val="00BC1035"/>
    <w:rsid w:val="00BC1CC8"/>
    <w:rsid w:val="00BC2BB2"/>
    <w:rsid w:val="00BC2D35"/>
    <w:rsid w:val="00BC2D7C"/>
    <w:rsid w:val="00BC6B49"/>
    <w:rsid w:val="00BD1BA8"/>
    <w:rsid w:val="00BD24CB"/>
    <w:rsid w:val="00BD3529"/>
    <w:rsid w:val="00BD529A"/>
    <w:rsid w:val="00BE3538"/>
    <w:rsid w:val="00BE3ADD"/>
    <w:rsid w:val="00BE4166"/>
    <w:rsid w:val="00BE4374"/>
    <w:rsid w:val="00BE4EA8"/>
    <w:rsid w:val="00BE56ED"/>
    <w:rsid w:val="00BE722E"/>
    <w:rsid w:val="00BE77A5"/>
    <w:rsid w:val="00BF158F"/>
    <w:rsid w:val="00BF1695"/>
    <w:rsid w:val="00BF1EA6"/>
    <w:rsid w:val="00BF2E71"/>
    <w:rsid w:val="00BF42B9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6E1"/>
    <w:rsid w:val="00C17B97"/>
    <w:rsid w:val="00C20338"/>
    <w:rsid w:val="00C2114D"/>
    <w:rsid w:val="00C211D2"/>
    <w:rsid w:val="00C22F21"/>
    <w:rsid w:val="00C24B34"/>
    <w:rsid w:val="00C25EB3"/>
    <w:rsid w:val="00C333B5"/>
    <w:rsid w:val="00C342F3"/>
    <w:rsid w:val="00C343BD"/>
    <w:rsid w:val="00C3561A"/>
    <w:rsid w:val="00C36730"/>
    <w:rsid w:val="00C36B81"/>
    <w:rsid w:val="00C374D4"/>
    <w:rsid w:val="00C4141D"/>
    <w:rsid w:val="00C44022"/>
    <w:rsid w:val="00C46721"/>
    <w:rsid w:val="00C46EC8"/>
    <w:rsid w:val="00C5187D"/>
    <w:rsid w:val="00C52C02"/>
    <w:rsid w:val="00C52FF7"/>
    <w:rsid w:val="00C53499"/>
    <w:rsid w:val="00C546FF"/>
    <w:rsid w:val="00C56178"/>
    <w:rsid w:val="00C56AC2"/>
    <w:rsid w:val="00C61360"/>
    <w:rsid w:val="00C63CEE"/>
    <w:rsid w:val="00C674B4"/>
    <w:rsid w:val="00C701EB"/>
    <w:rsid w:val="00C7072C"/>
    <w:rsid w:val="00C72455"/>
    <w:rsid w:val="00C7318D"/>
    <w:rsid w:val="00C74392"/>
    <w:rsid w:val="00C74422"/>
    <w:rsid w:val="00C74A53"/>
    <w:rsid w:val="00C75948"/>
    <w:rsid w:val="00C76D3F"/>
    <w:rsid w:val="00C77386"/>
    <w:rsid w:val="00C7759C"/>
    <w:rsid w:val="00C777C6"/>
    <w:rsid w:val="00C80391"/>
    <w:rsid w:val="00C8337E"/>
    <w:rsid w:val="00C83909"/>
    <w:rsid w:val="00C83CDE"/>
    <w:rsid w:val="00C8624C"/>
    <w:rsid w:val="00C92B2B"/>
    <w:rsid w:val="00C93F32"/>
    <w:rsid w:val="00C94775"/>
    <w:rsid w:val="00C947A9"/>
    <w:rsid w:val="00C94D3F"/>
    <w:rsid w:val="00C95D73"/>
    <w:rsid w:val="00C9660F"/>
    <w:rsid w:val="00CA0470"/>
    <w:rsid w:val="00CA492E"/>
    <w:rsid w:val="00CA4C09"/>
    <w:rsid w:val="00CA4FA9"/>
    <w:rsid w:val="00CA6DEF"/>
    <w:rsid w:val="00CB09A1"/>
    <w:rsid w:val="00CB146D"/>
    <w:rsid w:val="00CB3CBA"/>
    <w:rsid w:val="00CB4302"/>
    <w:rsid w:val="00CB4D1B"/>
    <w:rsid w:val="00CB5DB1"/>
    <w:rsid w:val="00CB79A7"/>
    <w:rsid w:val="00CC1780"/>
    <w:rsid w:val="00CC3BFD"/>
    <w:rsid w:val="00CC4A07"/>
    <w:rsid w:val="00CC5BAC"/>
    <w:rsid w:val="00CC702A"/>
    <w:rsid w:val="00CC7BDF"/>
    <w:rsid w:val="00CD2993"/>
    <w:rsid w:val="00CD5123"/>
    <w:rsid w:val="00CD671E"/>
    <w:rsid w:val="00CD7ACC"/>
    <w:rsid w:val="00CE202C"/>
    <w:rsid w:val="00CE4A36"/>
    <w:rsid w:val="00CE5CEA"/>
    <w:rsid w:val="00CE6911"/>
    <w:rsid w:val="00CE7E92"/>
    <w:rsid w:val="00CF1C62"/>
    <w:rsid w:val="00CF540D"/>
    <w:rsid w:val="00CF757F"/>
    <w:rsid w:val="00CF7D0F"/>
    <w:rsid w:val="00D0086F"/>
    <w:rsid w:val="00D01B22"/>
    <w:rsid w:val="00D0205F"/>
    <w:rsid w:val="00D02682"/>
    <w:rsid w:val="00D03532"/>
    <w:rsid w:val="00D03E15"/>
    <w:rsid w:val="00D05FE2"/>
    <w:rsid w:val="00D07DF0"/>
    <w:rsid w:val="00D10B77"/>
    <w:rsid w:val="00D13147"/>
    <w:rsid w:val="00D14818"/>
    <w:rsid w:val="00D15111"/>
    <w:rsid w:val="00D167ED"/>
    <w:rsid w:val="00D201F5"/>
    <w:rsid w:val="00D20341"/>
    <w:rsid w:val="00D21751"/>
    <w:rsid w:val="00D21E7F"/>
    <w:rsid w:val="00D21F6E"/>
    <w:rsid w:val="00D22CFE"/>
    <w:rsid w:val="00D23759"/>
    <w:rsid w:val="00D23A72"/>
    <w:rsid w:val="00D23AB2"/>
    <w:rsid w:val="00D24BA4"/>
    <w:rsid w:val="00D25D98"/>
    <w:rsid w:val="00D27104"/>
    <w:rsid w:val="00D27C8C"/>
    <w:rsid w:val="00D301D2"/>
    <w:rsid w:val="00D306B8"/>
    <w:rsid w:val="00D31237"/>
    <w:rsid w:val="00D31C1B"/>
    <w:rsid w:val="00D33A1A"/>
    <w:rsid w:val="00D353A8"/>
    <w:rsid w:val="00D37882"/>
    <w:rsid w:val="00D42242"/>
    <w:rsid w:val="00D43C5B"/>
    <w:rsid w:val="00D45208"/>
    <w:rsid w:val="00D45568"/>
    <w:rsid w:val="00D47529"/>
    <w:rsid w:val="00D51C6E"/>
    <w:rsid w:val="00D54789"/>
    <w:rsid w:val="00D5685E"/>
    <w:rsid w:val="00D609E5"/>
    <w:rsid w:val="00D61C4B"/>
    <w:rsid w:val="00D636FC"/>
    <w:rsid w:val="00D6444E"/>
    <w:rsid w:val="00D651BC"/>
    <w:rsid w:val="00D65EE3"/>
    <w:rsid w:val="00D66971"/>
    <w:rsid w:val="00D67A2A"/>
    <w:rsid w:val="00D70230"/>
    <w:rsid w:val="00D708B7"/>
    <w:rsid w:val="00D70E8C"/>
    <w:rsid w:val="00D716CB"/>
    <w:rsid w:val="00D755A7"/>
    <w:rsid w:val="00D75BDB"/>
    <w:rsid w:val="00D77B37"/>
    <w:rsid w:val="00D80173"/>
    <w:rsid w:val="00D81A05"/>
    <w:rsid w:val="00D81E5D"/>
    <w:rsid w:val="00D823A9"/>
    <w:rsid w:val="00D83FB6"/>
    <w:rsid w:val="00D87DA9"/>
    <w:rsid w:val="00D90217"/>
    <w:rsid w:val="00D91F7D"/>
    <w:rsid w:val="00D95224"/>
    <w:rsid w:val="00D95989"/>
    <w:rsid w:val="00D95CAB"/>
    <w:rsid w:val="00D96C89"/>
    <w:rsid w:val="00D97320"/>
    <w:rsid w:val="00DA52E8"/>
    <w:rsid w:val="00DA669D"/>
    <w:rsid w:val="00DA6836"/>
    <w:rsid w:val="00DB1B1E"/>
    <w:rsid w:val="00DB51ED"/>
    <w:rsid w:val="00DB6E1D"/>
    <w:rsid w:val="00DC1C87"/>
    <w:rsid w:val="00DC2A0C"/>
    <w:rsid w:val="00DC54A4"/>
    <w:rsid w:val="00DD2C65"/>
    <w:rsid w:val="00DD491D"/>
    <w:rsid w:val="00DD6D8B"/>
    <w:rsid w:val="00DD7BB6"/>
    <w:rsid w:val="00DE04F2"/>
    <w:rsid w:val="00DE5012"/>
    <w:rsid w:val="00DE591C"/>
    <w:rsid w:val="00DE68E0"/>
    <w:rsid w:val="00DF1EE3"/>
    <w:rsid w:val="00DF20F8"/>
    <w:rsid w:val="00DF274C"/>
    <w:rsid w:val="00DF3C21"/>
    <w:rsid w:val="00DF5824"/>
    <w:rsid w:val="00DF6487"/>
    <w:rsid w:val="00E00E5A"/>
    <w:rsid w:val="00E0203D"/>
    <w:rsid w:val="00E03F52"/>
    <w:rsid w:val="00E061F3"/>
    <w:rsid w:val="00E102BB"/>
    <w:rsid w:val="00E102ED"/>
    <w:rsid w:val="00E126E0"/>
    <w:rsid w:val="00E146FE"/>
    <w:rsid w:val="00E1655E"/>
    <w:rsid w:val="00E1674C"/>
    <w:rsid w:val="00E16FCF"/>
    <w:rsid w:val="00E17D68"/>
    <w:rsid w:val="00E21DED"/>
    <w:rsid w:val="00E22F11"/>
    <w:rsid w:val="00E25FA6"/>
    <w:rsid w:val="00E263F2"/>
    <w:rsid w:val="00E27E4C"/>
    <w:rsid w:val="00E301EE"/>
    <w:rsid w:val="00E33A81"/>
    <w:rsid w:val="00E35E9F"/>
    <w:rsid w:val="00E36BE2"/>
    <w:rsid w:val="00E3741F"/>
    <w:rsid w:val="00E3755B"/>
    <w:rsid w:val="00E37CC9"/>
    <w:rsid w:val="00E401E3"/>
    <w:rsid w:val="00E418F5"/>
    <w:rsid w:val="00E43930"/>
    <w:rsid w:val="00E44B16"/>
    <w:rsid w:val="00E44E3C"/>
    <w:rsid w:val="00E45CD7"/>
    <w:rsid w:val="00E4759B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7158F"/>
    <w:rsid w:val="00E73406"/>
    <w:rsid w:val="00E741C2"/>
    <w:rsid w:val="00E75B91"/>
    <w:rsid w:val="00E76BC5"/>
    <w:rsid w:val="00E7781F"/>
    <w:rsid w:val="00E8042C"/>
    <w:rsid w:val="00E824FD"/>
    <w:rsid w:val="00E83879"/>
    <w:rsid w:val="00E83E16"/>
    <w:rsid w:val="00E8596C"/>
    <w:rsid w:val="00E865C0"/>
    <w:rsid w:val="00E87C2E"/>
    <w:rsid w:val="00E900AF"/>
    <w:rsid w:val="00E93334"/>
    <w:rsid w:val="00E9460D"/>
    <w:rsid w:val="00E94FC2"/>
    <w:rsid w:val="00E95C92"/>
    <w:rsid w:val="00E96196"/>
    <w:rsid w:val="00E964EE"/>
    <w:rsid w:val="00E96F0A"/>
    <w:rsid w:val="00E97CC8"/>
    <w:rsid w:val="00EA09B5"/>
    <w:rsid w:val="00EA37A2"/>
    <w:rsid w:val="00EA39DF"/>
    <w:rsid w:val="00EA3C71"/>
    <w:rsid w:val="00EA5DD7"/>
    <w:rsid w:val="00EA6941"/>
    <w:rsid w:val="00EB0134"/>
    <w:rsid w:val="00EB14C9"/>
    <w:rsid w:val="00EB2C5F"/>
    <w:rsid w:val="00EB33E2"/>
    <w:rsid w:val="00EB5DC6"/>
    <w:rsid w:val="00EC1E91"/>
    <w:rsid w:val="00EC3A18"/>
    <w:rsid w:val="00EC55CB"/>
    <w:rsid w:val="00EC5C09"/>
    <w:rsid w:val="00ED073D"/>
    <w:rsid w:val="00ED07ED"/>
    <w:rsid w:val="00ED0CFD"/>
    <w:rsid w:val="00ED26C2"/>
    <w:rsid w:val="00ED3B7A"/>
    <w:rsid w:val="00ED4222"/>
    <w:rsid w:val="00EE5664"/>
    <w:rsid w:val="00EE59EC"/>
    <w:rsid w:val="00EE6DB9"/>
    <w:rsid w:val="00EF40B4"/>
    <w:rsid w:val="00EF462D"/>
    <w:rsid w:val="00EF4908"/>
    <w:rsid w:val="00EF4E04"/>
    <w:rsid w:val="00EF51A1"/>
    <w:rsid w:val="00EF51FE"/>
    <w:rsid w:val="00EF5B96"/>
    <w:rsid w:val="00EF67C4"/>
    <w:rsid w:val="00EF7F5F"/>
    <w:rsid w:val="00F00618"/>
    <w:rsid w:val="00F01685"/>
    <w:rsid w:val="00F01ED5"/>
    <w:rsid w:val="00F02B32"/>
    <w:rsid w:val="00F02BB8"/>
    <w:rsid w:val="00F048A4"/>
    <w:rsid w:val="00F1028E"/>
    <w:rsid w:val="00F10A84"/>
    <w:rsid w:val="00F11517"/>
    <w:rsid w:val="00F11576"/>
    <w:rsid w:val="00F115AA"/>
    <w:rsid w:val="00F117D2"/>
    <w:rsid w:val="00F12BB1"/>
    <w:rsid w:val="00F12BCE"/>
    <w:rsid w:val="00F148EC"/>
    <w:rsid w:val="00F16B41"/>
    <w:rsid w:val="00F17108"/>
    <w:rsid w:val="00F17700"/>
    <w:rsid w:val="00F17CAF"/>
    <w:rsid w:val="00F23FEF"/>
    <w:rsid w:val="00F2429D"/>
    <w:rsid w:val="00F245C8"/>
    <w:rsid w:val="00F263E3"/>
    <w:rsid w:val="00F27477"/>
    <w:rsid w:val="00F275D7"/>
    <w:rsid w:val="00F320EE"/>
    <w:rsid w:val="00F33584"/>
    <w:rsid w:val="00F33B5B"/>
    <w:rsid w:val="00F36DEA"/>
    <w:rsid w:val="00F4050E"/>
    <w:rsid w:val="00F4071A"/>
    <w:rsid w:val="00F416C6"/>
    <w:rsid w:val="00F4406F"/>
    <w:rsid w:val="00F441E1"/>
    <w:rsid w:val="00F47826"/>
    <w:rsid w:val="00F50247"/>
    <w:rsid w:val="00F51E7F"/>
    <w:rsid w:val="00F57AF9"/>
    <w:rsid w:val="00F6131C"/>
    <w:rsid w:val="00F61E47"/>
    <w:rsid w:val="00F61E7A"/>
    <w:rsid w:val="00F634B4"/>
    <w:rsid w:val="00F63D3A"/>
    <w:rsid w:val="00F6436F"/>
    <w:rsid w:val="00F6596E"/>
    <w:rsid w:val="00F6679F"/>
    <w:rsid w:val="00F67CAA"/>
    <w:rsid w:val="00F72F47"/>
    <w:rsid w:val="00F75017"/>
    <w:rsid w:val="00F75AFC"/>
    <w:rsid w:val="00F7613E"/>
    <w:rsid w:val="00F80CA0"/>
    <w:rsid w:val="00F82796"/>
    <w:rsid w:val="00F83A61"/>
    <w:rsid w:val="00F8448B"/>
    <w:rsid w:val="00F86243"/>
    <w:rsid w:val="00F87942"/>
    <w:rsid w:val="00F90047"/>
    <w:rsid w:val="00F90DA9"/>
    <w:rsid w:val="00F948AD"/>
    <w:rsid w:val="00F97B45"/>
    <w:rsid w:val="00FA028D"/>
    <w:rsid w:val="00FA1D06"/>
    <w:rsid w:val="00FA20CF"/>
    <w:rsid w:val="00FA4086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47E8"/>
    <w:rsid w:val="00FD4B4C"/>
    <w:rsid w:val="00FD6001"/>
    <w:rsid w:val="00FD7FBF"/>
    <w:rsid w:val="00FE09E6"/>
    <w:rsid w:val="00FE277E"/>
    <w:rsid w:val="00FE38BE"/>
    <w:rsid w:val="00FE63F6"/>
    <w:rsid w:val="00FE681D"/>
    <w:rsid w:val="00FE7278"/>
    <w:rsid w:val="00FE7C89"/>
    <w:rsid w:val="00FF0F0D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D0896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3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seocontent">
    <w:name w:val="seocontent"/>
    <w:basedOn w:val="Carpredefinitoparagrafo"/>
    <w:rsid w:val="001A0BEF"/>
  </w:style>
  <w:style w:type="paragraph" w:styleId="Didascalia">
    <w:name w:val="caption"/>
    <w:basedOn w:val="Normale"/>
    <w:next w:val="Normale"/>
    <w:uiPriority w:val="35"/>
    <w:unhideWhenUsed/>
    <w:qFormat/>
    <w:rsid w:val="00262BF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39A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4353A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78E1-FCF7-49E5-B75F-8F29B6E5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10</cp:revision>
  <cp:lastPrinted>2025-04-15T12:51:00Z</cp:lastPrinted>
  <dcterms:created xsi:type="dcterms:W3CDTF">2025-04-15T13:43:00Z</dcterms:created>
  <dcterms:modified xsi:type="dcterms:W3CDTF">2025-04-16T07:12:00Z</dcterms:modified>
</cp:coreProperties>
</file>