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B8317" w14:textId="30C167A1" w:rsidR="00EA0DB5" w:rsidRPr="00EA0DB5" w:rsidRDefault="00C8624C" w:rsidP="00695C91">
      <w:pPr>
        <w:jc w:val="center"/>
        <w:rPr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  <w:r w:rsidR="007E2CFC" w:rsidRPr="007E2CFC">
        <w:rPr>
          <w:b/>
          <w:bCs/>
          <w:sz w:val="36"/>
          <w:szCs w:val="36"/>
        </w:rPr>
        <w:br/>
      </w:r>
      <w:r w:rsidR="00EA0DB5" w:rsidRPr="00EA0DB5">
        <w:rPr>
          <w:b/>
          <w:bCs/>
          <w:sz w:val="36"/>
          <w:szCs w:val="36"/>
        </w:rPr>
        <w:t>FARMACI E DISPOSITIVI: L’ITALIA IN RITARDO SULLA DIGITALIZZ</w:t>
      </w:r>
      <w:bookmarkStart w:id="0" w:name="_GoBack"/>
      <w:bookmarkEnd w:id="0"/>
      <w:r w:rsidR="00EA0DB5" w:rsidRPr="00EA0DB5">
        <w:rPr>
          <w:b/>
          <w:bCs/>
          <w:sz w:val="36"/>
          <w:szCs w:val="36"/>
        </w:rPr>
        <w:t>AZIONE DELLA TRACCIABILITÀ</w:t>
      </w:r>
      <w:r w:rsidR="00EA0DB5">
        <w:rPr>
          <w:b/>
          <w:bCs/>
          <w:sz w:val="36"/>
          <w:szCs w:val="36"/>
        </w:rPr>
        <w:t>.</w:t>
      </w:r>
      <w:r w:rsidR="00EA0DB5">
        <w:rPr>
          <w:b/>
          <w:bCs/>
          <w:sz w:val="36"/>
          <w:szCs w:val="36"/>
        </w:rPr>
        <w:br/>
      </w:r>
      <w:r w:rsidR="00EA0DB5" w:rsidRPr="00EA0DB5">
        <w:rPr>
          <w:b/>
          <w:bCs/>
          <w:sz w:val="36"/>
          <w:szCs w:val="36"/>
        </w:rPr>
        <w:t xml:space="preserve">REPORT GIMBE: ANCORA NON ADOTTATI </w:t>
      </w:r>
      <w:r w:rsidR="0056481B">
        <w:rPr>
          <w:b/>
          <w:bCs/>
          <w:sz w:val="36"/>
          <w:szCs w:val="36"/>
        </w:rPr>
        <w:t>4</w:t>
      </w:r>
      <w:r w:rsidR="00EA0DB5" w:rsidRPr="00EA0DB5">
        <w:rPr>
          <w:b/>
          <w:bCs/>
          <w:sz w:val="36"/>
          <w:szCs w:val="36"/>
        </w:rPr>
        <w:t xml:space="preserve"> DEI 9 PROVVEDIMENTI ATTUATIVI PREVISTI PER IL NUOVO SISTEMA EUROPEO </w:t>
      </w:r>
      <w:r w:rsidR="00CC4497">
        <w:rPr>
          <w:b/>
          <w:bCs/>
          <w:sz w:val="36"/>
          <w:szCs w:val="36"/>
        </w:rPr>
        <w:t xml:space="preserve">DI </w:t>
      </w:r>
      <w:r w:rsidR="00EA0DB5" w:rsidRPr="00EA0DB5">
        <w:rPr>
          <w:b/>
          <w:bCs/>
          <w:sz w:val="36"/>
          <w:szCs w:val="36"/>
        </w:rPr>
        <w:t>ANTICONTRAFFAZIONE DEI MEDICINALI</w:t>
      </w:r>
      <w:r w:rsidR="00AC20FD">
        <w:rPr>
          <w:b/>
          <w:bCs/>
          <w:sz w:val="36"/>
          <w:szCs w:val="36"/>
        </w:rPr>
        <w:t>.</w:t>
      </w:r>
      <w:r w:rsidR="00AC20FD">
        <w:rPr>
          <w:b/>
          <w:bCs/>
          <w:sz w:val="36"/>
          <w:szCs w:val="36"/>
        </w:rPr>
        <w:br/>
      </w:r>
      <w:r w:rsidR="00AC20FD" w:rsidRPr="00AC20FD">
        <w:rPr>
          <w:b/>
          <w:bCs/>
          <w:sz w:val="36"/>
          <w:szCs w:val="36"/>
        </w:rPr>
        <w:t>3 DIPARTIMENTI FARMACEUTICI SU 4 SENZA MAGAZZINI AUTOMATIZZATI</w:t>
      </w:r>
    </w:p>
    <w:p w14:paraId="3FEAEB07" w14:textId="0ECD23AC" w:rsidR="005B4F61" w:rsidRDefault="00EA0DB5" w:rsidP="007E6B12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1</w:t>
      </w:r>
      <w:r w:rsidR="00F87636">
        <w:rPr>
          <w:rFonts w:ascii="Calibri" w:eastAsia="Calibri" w:hAnsi="Calibri" w:cs="Times New Roman"/>
          <w:b/>
          <w:bCs/>
          <w:sz w:val="24"/>
          <w:szCs w:val="24"/>
        </w:rPr>
        <w:t>7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 giugno</w:t>
      </w:r>
      <w:r w:rsidR="00853A5E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</w:t>
      </w:r>
      <w:r w:rsidR="00FE7278">
        <w:rPr>
          <w:rFonts w:ascii="Calibri" w:eastAsia="Calibri" w:hAnsi="Calibri" w:cs="Times New Roman"/>
          <w:b/>
          <w:bCs/>
          <w:sz w:val="24"/>
          <w:szCs w:val="24"/>
        </w:rPr>
        <w:t>2</w:t>
      </w:r>
      <w:r w:rsidR="00364D1E">
        <w:rPr>
          <w:rFonts w:ascii="Calibri" w:eastAsia="Calibri" w:hAnsi="Calibri" w:cs="Times New Roman"/>
          <w:b/>
          <w:bCs/>
          <w:sz w:val="24"/>
          <w:szCs w:val="24"/>
        </w:rPr>
        <w:t>6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 xml:space="preserve">Fondazione GIMBE, </w:t>
      </w:r>
      <w:r w:rsidR="003F6CE8">
        <w:rPr>
          <w:rFonts w:ascii="Calibri" w:eastAsia="Calibri" w:hAnsi="Calibri" w:cs="Times New Roman"/>
          <w:b/>
          <w:bCs/>
          <w:sz w:val="24"/>
          <w:szCs w:val="24"/>
        </w:rPr>
        <w:t>Milano</w:t>
      </w:r>
    </w:p>
    <w:p w14:paraId="63D8F2E9" w14:textId="6BBB4D69" w:rsidR="00AB2E04" w:rsidRPr="00AB2E04" w:rsidRDefault="00AB2E04" w:rsidP="00AB2E04">
      <w:pPr>
        <w:spacing w:after="120"/>
        <w:jc w:val="both"/>
        <w:rPr>
          <w:rFonts w:cstheme="minorHAnsi"/>
        </w:rPr>
      </w:pPr>
      <w:r w:rsidRPr="00AB2E04">
        <w:rPr>
          <w:rFonts w:cstheme="minorHAnsi"/>
        </w:rPr>
        <w:t>A oltre un anno dall’entrata in vigore in Italia del nuovo sistema europeo anticontraffazione dei farmaci, il percorso di digitalizzazione e standardizzazione della catena di approvvigionamento</w:t>
      </w:r>
      <w:r w:rsidR="00785E45">
        <w:rPr>
          <w:rFonts w:cstheme="minorHAnsi"/>
        </w:rPr>
        <w:t xml:space="preserve"> (</w:t>
      </w:r>
      <w:proofErr w:type="spellStart"/>
      <w:r w:rsidR="00785E45" w:rsidRPr="00785E45">
        <w:rPr>
          <w:rFonts w:cstheme="minorHAnsi"/>
          <w:i/>
        </w:rPr>
        <w:t>supply</w:t>
      </w:r>
      <w:proofErr w:type="spellEnd"/>
      <w:r w:rsidR="00785E45" w:rsidRPr="00785E45">
        <w:rPr>
          <w:rFonts w:cstheme="minorHAnsi"/>
          <w:i/>
        </w:rPr>
        <w:t xml:space="preserve"> </w:t>
      </w:r>
      <w:proofErr w:type="spellStart"/>
      <w:r w:rsidR="00785E45" w:rsidRPr="00785E45">
        <w:rPr>
          <w:rFonts w:cstheme="minorHAnsi"/>
          <w:i/>
        </w:rPr>
        <w:t>chain</w:t>
      </w:r>
      <w:proofErr w:type="spellEnd"/>
      <w:r w:rsidR="00785E45">
        <w:rPr>
          <w:rFonts w:cstheme="minorHAnsi"/>
        </w:rPr>
        <w:t>)</w:t>
      </w:r>
      <w:r w:rsidRPr="00AB2E04">
        <w:rPr>
          <w:rFonts w:cstheme="minorHAnsi"/>
        </w:rPr>
        <w:t xml:space="preserve"> sanitaria </w:t>
      </w:r>
      <w:r w:rsidRPr="00B61E3C">
        <w:rPr>
          <w:rFonts w:cstheme="minorHAnsi"/>
        </w:rPr>
        <w:t xml:space="preserve">procede ancora a rilento. È quanto emerge dal Report dell’Osservatorio GIMBE “La standardizzazione e la digitalizzazione dei processi di approvvigionamento nelle strutture sanitarie”, realizzato con il </w:t>
      </w:r>
      <w:r w:rsidR="005644C1">
        <w:rPr>
          <w:rFonts w:cstheme="minorHAnsi"/>
        </w:rPr>
        <w:t xml:space="preserve">supporto </w:t>
      </w:r>
      <w:r w:rsidRPr="00B61E3C">
        <w:rPr>
          <w:rFonts w:cstheme="minorHAnsi"/>
        </w:rPr>
        <w:t>di GS1 Italy.</w:t>
      </w:r>
    </w:p>
    <w:p w14:paraId="14EBB4C8" w14:textId="77777777" w:rsidR="00AB2E04" w:rsidRPr="00AB2E04" w:rsidRDefault="00AB2E04" w:rsidP="00AB2E04">
      <w:pPr>
        <w:spacing w:after="120"/>
        <w:jc w:val="both"/>
        <w:rPr>
          <w:rFonts w:cstheme="minorHAnsi"/>
        </w:rPr>
      </w:pPr>
      <w:r w:rsidRPr="00AB2E04">
        <w:rPr>
          <w:rFonts w:cstheme="minorHAnsi"/>
        </w:rPr>
        <w:t>Il Report documenta come la trasformazione digitale dei servizi farmaceutici ospedalieri e territoriali rappresenti oggi una leva strategica per garantire sicurezza delle cure, tracciabilità dei prodotti sanitari, riduzione degli sprechi e sostenibilità economica del Servizio Sanitario Nazionale (SSN).</w:t>
      </w:r>
    </w:p>
    <w:p w14:paraId="318311DB" w14:textId="6C324750" w:rsidR="00AB2E04" w:rsidRPr="00AB2E04" w:rsidRDefault="00AB2E04" w:rsidP="00AB2E04">
      <w:pPr>
        <w:spacing w:after="120"/>
        <w:jc w:val="both"/>
        <w:rPr>
          <w:rFonts w:cstheme="minorHAnsi"/>
        </w:rPr>
      </w:pPr>
      <w:r w:rsidRPr="00AB2E04">
        <w:rPr>
          <w:rFonts w:cstheme="minorHAnsi"/>
        </w:rPr>
        <w:t xml:space="preserve">Uno dei nodi centrali riguarda l’attuazione della Direttiva europea </w:t>
      </w:r>
      <w:r w:rsidR="00785E45">
        <w:rPr>
          <w:rFonts w:cstheme="minorHAnsi"/>
        </w:rPr>
        <w:t>sull’</w:t>
      </w:r>
      <w:r w:rsidRPr="00AB2E04">
        <w:rPr>
          <w:rFonts w:cstheme="minorHAnsi"/>
        </w:rPr>
        <w:t xml:space="preserve">anticontraffazione dei farmaci </w:t>
      </w:r>
      <w:r w:rsidR="00785E45" w:rsidRPr="00785E45">
        <w:rPr>
          <w:rFonts w:cstheme="minorHAnsi"/>
        </w:rPr>
        <w:t>(</w:t>
      </w:r>
      <w:proofErr w:type="spellStart"/>
      <w:r w:rsidR="00785E45" w:rsidRPr="00785E45">
        <w:rPr>
          <w:rFonts w:cstheme="minorHAnsi"/>
          <w:i/>
        </w:rPr>
        <w:t>Falsified</w:t>
      </w:r>
      <w:proofErr w:type="spellEnd"/>
      <w:r w:rsidR="00785E45" w:rsidRPr="00785E45">
        <w:rPr>
          <w:rFonts w:cstheme="minorHAnsi"/>
          <w:i/>
        </w:rPr>
        <w:t xml:space="preserve"> </w:t>
      </w:r>
      <w:proofErr w:type="spellStart"/>
      <w:r w:rsidR="00785E45" w:rsidRPr="00785E45">
        <w:rPr>
          <w:rFonts w:cstheme="minorHAnsi"/>
          <w:i/>
        </w:rPr>
        <w:t>Medicines</w:t>
      </w:r>
      <w:proofErr w:type="spellEnd"/>
      <w:r w:rsidR="00785E45" w:rsidRPr="00785E45">
        <w:rPr>
          <w:rFonts w:cstheme="minorHAnsi"/>
          <w:i/>
        </w:rPr>
        <w:t xml:space="preserve"> Directive – FMD</w:t>
      </w:r>
      <w:r w:rsidR="00785E45" w:rsidRPr="00785E45">
        <w:rPr>
          <w:rFonts w:cstheme="minorHAnsi"/>
        </w:rPr>
        <w:t>, Di</w:t>
      </w:r>
      <w:r w:rsidR="00785E45">
        <w:rPr>
          <w:rFonts w:cstheme="minorHAnsi"/>
        </w:rPr>
        <w:t>rettiva</w:t>
      </w:r>
      <w:r w:rsidR="00785E45" w:rsidRPr="00785E45">
        <w:rPr>
          <w:rFonts w:cstheme="minorHAnsi"/>
        </w:rPr>
        <w:t xml:space="preserve"> 2011/62/EU)</w:t>
      </w:r>
      <w:r w:rsidR="00785E45">
        <w:rPr>
          <w:rFonts w:cstheme="minorHAnsi"/>
        </w:rPr>
        <w:t xml:space="preserve"> che </w:t>
      </w:r>
      <w:r w:rsidR="00785E45" w:rsidRPr="00785E45">
        <w:rPr>
          <w:rFonts w:cstheme="minorHAnsi"/>
        </w:rPr>
        <w:t>ha introdotto un sistema europeo di prevenzione della contraffazione dei medicinali, imponendo specifiche misure di sicurezza volte a contrastare l’ingresso di medicinali falsificati nella catena di fornitura.</w:t>
      </w:r>
      <w:r w:rsidR="002B210D">
        <w:rPr>
          <w:rFonts w:cstheme="minorHAnsi"/>
        </w:rPr>
        <w:t xml:space="preserve"> Inoltre, i</w:t>
      </w:r>
      <w:r w:rsidR="002B210D" w:rsidRPr="002B210D">
        <w:rPr>
          <w:rFonts w:cstheme="minorHAnsi"/>
        </w:rPr>
        <w:t>l Regolamento delegato (UE) 2016/161, entrato in vigore il 9 febbraio 2019 per tutti i Paesi dell’Unione Europea ad esclusione di Belgio, Grecia e Italia, ha definito le modalità operative del sistema, introducendo l’obbligo di apporre sull'imballaggio dei medicinali due caratteristiche di sicurezza (</w:t>
      </w:r>
      <w:proofErr w:type="spellStart"/>
      <w:r w:rsidR="002B210D" w:rsidRPr="002B210D">
        <w:rPr>
          <w:rFonts w:cstheme="minorHAnsi"/>
          <w:i/>
        </w:rPr>
        <w:t>safety</w:t>
      </w:r>
      <w:proofErr w:type="spellEnd"/>
      <w:r w:rsidR="002B210D" w:rsidRPr="002B210D">
        <w:rPr>
          <w:rFonts w:cstheme="minorHAnsi"/>
          <w:i/>
        </w:rPr>
        <w:t xml:space="preserve"> </w:t>
      </w:r>
      <w:proofErr w:type="spellStart"/>
      <w:r w:rsidR="002B210D" w:rsidRPr="002B210D">
        <w:rPr>
          <w:rFonts w:cstheme="minorHAnsi"/>
          <w:i/>
        </w:rPr>
        <w:t>features</w:t>
      </w:r>
      <w:proofErr w:type="spellEnd"/>
      <w:r w:rsidR="002B210D" w:rsidRPr="002B210D">
        <w:rPr>
          <w:rFonts w:cstheme="minorHAnsi"/>
        </w:rPr>
        <w:t>), costituite da un identificativo univoco (</w:t>
      </w:r>
      <w:proofErr w:type="spellStart"/>
      <w:r w:rsidR="002B210D" w:rsidRPr="002B210D">
        <w:rPr>
          <w:rFonts w:cstheme="minorHAnsi"/>
          <w:i/>
        </w:rPr>
        <w:t>Unique</w:t>
      </w:r>
      <w:proofErr w:type="spellEnd"/>
      <w:r w:rsidR="002B210D" w:rsidRPr="002B210D">
        <w:rPr>
          <w:rFonts w:cstheme="minorHAnsi"/>
          <w:i/>
        </w:rPr>
        <w:t xml:space="preserve"> </w:t>
      </w:r>
      <w:proofErr w:type="spellStart"/>
      <w:r w:rsidR="002B210D" w:rsidRPr="002B210D">
        <w:rPr>
          <w:rFonts w:cstheme="minorHAnsi"/>
          <w:i/>
        </w:rPr>
        <w:t>Identifier</w:t>
      </w:r>
      <w:proofErr w:type="spellEnd"/>
      <w:r w:rsidR="002B210D" w:rsidRPr="002B210D">
        <w:rPr>
          <w:rFonts w:cstheme="minorHAnsi"/>
          <w:i/>
        </w:rPr>
        <w:t xml:space="preserve"> – UI</w:t>
      </w:r>
      <w:r w:rsidR="002B210D" w:rsidRPr="002B210D">
        <w:rPr>
          <w:rFonts w:cstheme="minorHAnsi"/>
        </w:rPr>
        <w:t>) e da un sistema di prevenzione delle manomissioni (</w:t>
      </w:r>
      <w:r w:rsidR="002B210D" w:rsidRPr="002B210D">
        <w:rPr>
          <w:rFonts w:cstheme="minorHAnsi"/>
          <w:i/>
        </w:rPr>
        <w:t>Anti-Tampering Device – ATD</w:t>
      </w:r>
      <w:r w:rsidR="002B210D" w:rsidRPr="002B210D">
        <w:rPr>
          <w:rFonts w:cstheme="minorHAnsi"/>
        </w:rPr>
        <w:t>) che consentano l'identificazione e l'autenticazione dei medicinali lungo tutta la filiera distributiva</w:t>
      </w:r>
      <w:r w:rsidR="002B210D">
        <w:rPr>
          <w:rFonts w:cstheme="minorHAnsi"/>
        </w:rPr>
        <w:t>.</w:t>
      </w:r>
      <w:r w:rsidR="002B210D" w:rsidRPr="002B210D">
        <w:rPr>
          <w:rFonts w:cstheme="minorHAnsi"/>
        </w:rPr>
        <w:t xml:space="preserve"> </w:t>
      </w:r>
      <w:r w:rsidR="00785E45">
        <w:rPr>
          <w:rFonts w:cstheme="minorHAnsi"/>
        </w:rPr>
        <w:t xml:space="preserve">La direttiva è </w:t>
      </w:r>
      <w:r w:rsidRPr="00AB2E04">
        <w:rPr>
          <w:rFonts w:cstheme="minorHAnsi"/>
        </w:rPr>
        <w:t>operativa in Italia dall’8 febbraio 2025 con l’</w:t>
      </w:r>
      <w:r w:rsidR="00785E45">
        <w:rPr>
          <w:rFonts w:cstheme="minorHAnsi"/>
        </w:rPr>
        <w:t xml:space="preserve">approvazione del </w:t>
      </w:r>
      <w:proofErr w:type="spellStart"/>
      <w:proofErr w:type="gramStart"/>
      <w:r w:rsidR="00785E45">
        <w:rPr>
          <w:rFonts w:cstheme="minorHAnsi"/>
        </w:rPr>
        <w:t>D.Lgs</w:t>
      </w:r>
      <w:proofErr w:type="gramEnd"/>
      <w:r w:rsidR="00785E45">
        <w:rPr>
          <w:rFonts w:cstheme="minorHAnsi"/>
        </w:rPr>
        <w:t>.</w:t>
      </w:r>
      <w:proofErr w:type="spellEnd"/>
      <w:r w:rsidR="00785E45">
        <w:rPr>
          <w:rFonts w:cstheme="minorHAnsi"/>
        </w:rPr>
        <w:t xml:space="preserve"> 10/2025 </w:t>
      </w:r>
      <w:r w:rsidRPr="00AB2E04">
        <w:rPr>
          <w:rFonts w:cstheme="minorHAnsi"/>
        </w:rPr>
        <w:t>che</w:t>
      </w:r>
      <w:r w:rsidR="00785E45">
        <w:rPr>
          <w:rFonts w:cstheme="minorHAnsi"/>
        </w:rPr>
        <w:t>, tuttavia,</w:t>
      </w:r>
      <w:r w:rsidRPr="00AB2E04">
        <w:rPr>
          <w:rFonts w:cstheme="minorHAnsi"/>
        </w:rPr>
        <w:t xml:space="preserve"> prevede un periodo transitorio di stabilizzazione di 24 mesi destinato a concludersi il 9 febbraio 2027 (</w:t>
      </w:r>
      <w:r w:rsidRPr="002272F0">
        <w:rPr>
          <w:rFonts w:cstheme="minorHAnsi"/>
          <w:highlight w:val="yellow"/>
        </w:rPr>
        <w:t>figura 1</w:t>
      </w:r>
      <w:r w:rsidRPr="00AB2E04">
        <w:rPr>
          <w:rFonts w:cstheme="minorHAnsi"/>
        </w:rPr>
        <w:t xml:space="preserve">). Dei 9 principali provvedimenti attuativi previsti dal </w:t>
      </w:r>
      <w:proofErr w:type="spellStart"/>
      <w:proofErr w:type="gramStart"/>
      <w:r w:rsidRPr="00AB2E04">
        <w:rPr>
          <w:rFonts w:cstheme="minorHAnsi"/>
        </w:rPr>
        <w:t>D.Lgs</w:t>
      </w:r>
      <w:proofErr w:type="gramEnd"/>
      <w:r w:rsidRPr="00AB2E04">
        <w:rPr>
          <w:rFonts w:cstheme="minorHAnsi"/>
        </w:rPr>
        <w:t>.</w:t>
      </w:r>
      <w:proofErr w:type="spellEnd"/>
      <w:r w:rsidRPr="00AB2E04">
        <w:rPr>
          <w:rFonts w:cstheme="minorHAnsi"/>
        </w:rPr>
        <w:t xml:space="preserve"> 10/2025, </w:t>
      </w:r>
      <w:r w:rsidR="0056481B">
        <w:rPr>
          <w:rFonts w:cstheme="minorHAnsi"/>
        </w:rPr>
        <w:t>5</w:t>
      </w:r>
      <w:r w:rsidRPr="00AB2E04">
        <w:rPr>
          <w:rFonts w:cstheme="minorHAnsi"/>
        </w:rPr>
        <w:t xml:space="preserve"> risultano adottati, mentre </w:t>
      </w:r>
      <w:r w:rsidR="0056481B">
        <w:rPr>
          <w:rFonts w:cstheme="minorHAnsi"/>
        </w:rPr>
        <w:t>4</w:t>
      </w:r>
      <w:r w:rsidRPr="00AB2E04">
        <w:rPr>
          <w:rFonts w:cstheme="minorHAnsi"/>
        </w:rPr>
        <w:t xml:space="preserve"> sono ancora mancanti, nonostante termini di emanazione compresi tra 30 e 90 giorni (</w:t>
      </w:r>
      <w:r w:rsidRPr="002272F0">
        <w:rPr>
          <w:rFonts w:cstheme="minorHAnsi"/>
          <w:highlight w:val="yellow"/>
        </w:rPr>
        <w:t>tabella 1</w:t>
      </w:r>
      <w:r w:rsidRPr="00AB2E04">
        <w:rPr>
          <w:rFonts w:cstheme="minorHAnsi"/>
        </w:rPr>
        <w:t>). Tra quelli non ancora adottati figurano gli atti relativi all’adeguamento della ban</w:t>
      </w:r>
      <w:r w:rsidR="00785E45">
        <w:rPr>
          <w:rFonts w:cstheme="minorHAnsi"/>
        </w:rPr>
        <w:t>ca dati centrale dei medicinali,</w:t>
      </w:r>
      <w:r w:rsidRPr="00AB2E04">
        <w:rPr>
          <w:rFonts w:cstheme="minorHAnsi"/>
        </w:rPr>
        <w:t xml:space="preserve"> alle specifiche tecniche dei sistemi di registrazione dell’identificativo univoco e alle modalità di interazione tra archivi nazionali e operatori autorizzati.</w:t>
      </w:r>
    </w:p>
    <w:p w14:paraId="0C50D70D" w14:textId="77777777" w:rsidR="00AB2E04" w:rsidRPr="000C6A3B" w:rsidRDefault="00AB2E04" w:rsidP="00AB2E04">
      <w:pPr>
        <w:spacing w:after="120"/>
        <w:jc w:val="both"/>
        <w:rPr>
          <w:rFonts w:cstheme="minorHAnsi"/>
        </w:rPr>
      </w:pPr>
      <w:r w:rsidRPr="00AB2E04">
        <w:rPr>
          <w:rFonts w:cstheme="minorHAnsi"/>
        </w:rPr>
        <w:t xml:space="preserve">«Il ritardo nell’adozione dei provvedimenti attuativi – dichiara Nino Cartabellotta, Presidente della Fondazione GIMBE – rischia di rallentare l’intero processo di transizione verso il nuovo sistema europeo di </w:t>
      </w:r>
      <w:r w:rsidRPr="000C6A3B">
        <w:rPr>
          <w:rFonts w:cstheme="minorHAnsi"/>
        </w:rPr>
        <w:t xml:space="preserve">serializzazione dei farmaci. La digitalizzazione della </w:t>
      </w:r>
      <w:proofErr w:type="spellStart"/>
      <w:r w:rsidRPr="000C6A3B">
        <w:rPr>
          <w:rFonts w:cstheme="minorHAnsi"/>
          <w:i/>
        </w:rPr>
        <w:t>supply</w:t>
      </w:r>
      <w:proofErr w:type="spellEnd"/>
      <w:r w:rsidRPr="000C6A3B">
        <w:rPr>
          <w:rFonts w:cstheme="minorHAnsi"/>
          <w:i/>
        </w:rPr>
        <w:t xml:space="preserve"> </w:t>
      </w:r>
      <w:proofErr w:type="spellStart"/>
      <w:r w:rsidRPr="000C6A3B">
        <w:rPr>
          <w:rFonts w:cstheme="minorHAnsi"/>
          <w:i/>
        </w:rPr>
        <w:t>chain</w:t>
      </w:r>
      <w:proofErr w:type="spellEnd"/>
      <w:r w:rsidRPr="000C6A3B">
        <w:rPr>
          <w:rFonts w:cstheme="minorHAnsi"/>
        </w:rPr>
        <w:t xml:space="preserve"> sanitaria non è un semplice aggiornamento tecnologico, ma una misura essenziale di sicurezza pubblica».</w:t>
      </w:r>
    </w:p>
    <w:p w14:paraId="1456D50F" w14:textId="5585FEDC" w:rsidR="00AB2E04" w:rsidRPr="000C6A3B" w:rsidRDefault="00AB2E04" w:rsidP="00AB2E04">
      <w:pPr>
        <w:spacing w:after="120"/>
        <w:jc w:val="both"/>
        <w:rPr>
          <w:rFonts w:cstheme="minorHAnsi"/>
        </w:rPr>
      </w:pPr>
      <w:r w:rsidRPr="000C6A3B">
        <w:rPr>
          <w:rFonts w:cstheme="minorHAnsi"/>
        </w:rPr>
        <w:lastRenderedPageBreak/>
        <w:t xml:space="preserve">Il nuovo sistema prevede che ogni confezione di farmaco sia identificata tramite un codice GS1 </w:t>
      </w:r>
      <w:proofErr w:type="spellStart"/>
      <w:r w:rsidRPr="000C6A3B">
        <w:rPr>
          <w:rFonts w:cstheme="minorHAnsi"/>
        </w:rPr>
        <w:t>DataMatrix</w:t>
      </w:r>
      <w:proofErr w:type="spellEnd"/>
      <w:r w:rsidRPr="000C6A3B">
        <w:rPr>
          <w:rFonts w:cstheme="minorHAnsi"/>
        </w:rPr>
        <w:t xml:space="preserve"> contenente cinque informazioni fondamentali: codice prodotto, numero seriale, lotto</w:t>
      </w:r>
      <w:r w:rsidR="000C6A3B" w:rsidRPr="000C6A3B">
        <w:rPr>
          <w:rFonts w:cstheme="minorHAnsi"/>
        </w:rPr>
        <w:t xml:space="preserve"> di produzione</w:t>
      </w:r>
      <w:r w:rsidRPr="000C6A3B">
        <w:rPr>
          <w:rFonts w:cstheme="minorHAnsi"/>
        </w:rPr>
        <w:t xml:space="preserve">, data di scadenza e codice </w:t>
      </w:r>
      <w:r w:rsidR="000C6A3B" w:rsidRPr="000C6A3B">
        <w:rPr>
          <w:rFonts w:cstheme="minorHAnsi"/>
        </w:rPr>
        <w:t>dell’autorizzazione all’immissione in commercio (</w:t>
      </w:r>
      <w:r w:rsidRPr="000C6A3B">
        <w:rPr>
          <w:rFonts w:cstheme="minorHAnsi"/>
        </w:rPr>
        <w:t>AIC</w:t>
      </w:r>
      <w:r w:rsidR="000C6A3B" w:rsidRPr="000C6A3B">
        <w:rPr>
          <w:rFonts w:cstheme="minorHAnsi"/>
        </w:rPr>
        <w:t>)</w:t>
      </w:r>
      <w:r w:rsidRPr="000C6A3B">
        <w:rPr>
          <w:rFonts w:cstheme="minorHAnsi"/>
        </w:rPr>
        <w:t>. Ogni confezione sarà inoltre dotata di dispositivi anti-manomissione per impedire l’ingresso di medicinali falsificati nella filiera legale.</w:t>
      </w:r>
    </w:p>
    <w:p w14:paraId="623850ED" w14:textId="53BD3C9E" w:rsidR="00AB2E04" w:rsidRPr="00AB2E04" w:rsidRDefault="00AB2E04" w:rsidP="00AB2E04">
      <w:pPr>
        <w:spacing w:after="120"/>
        <w:jc w:val="both"/>
        <w:rPr>
          <w:rFonts w:cstheme="minorHAnsi"/>
        </w:rPr>
      </w:pPr>
      <w:r w:rsidRPr="000C6A3B">
        <w:rPr>
          <w:rFonts w:cstheme="minorHAnsi"/>
        </w:rPr>
        <w:t xml:space="preserve">Va sottolineato come l’Italia parta da una posizione avanzata grazie allo storico sistema del bollino farmaceutico, che ha consentito al nostro Paese di ottenere una deroga europea di sei anni rispetto </w:t>
      </w:r>
      <w:r w:rsidRPr="00AB2E04">
        <w:rPr>
          <w:rFonts w:cstheme="minorHAnsi"/>
        </w:rPr>
        <w:t xml:space="preserve">all’entrata in vigore del Regolamento UE 2016/161. Tuttavia, la piena interoperabilità dei sistemi informativi sanitari resta ancora incompleta. «Ospedali e servizi farmaceutici territoriali – </w:t>
      </w:r>
      <w:r w:rsidR="00165BD1" w:rsidRPr="00AB2E04">
        <w:rPr>
          <w:rFonts w:cstheme="minorHAnsi"/>
        </w:rPr>
        <w:t xml:space="preserve">dichiara </w:t>
      </w:r>
      <w:r w:rsidR="00165BD1">
        <w:rPr>
          <w:rFonts w:cstheme="minorHAnsi"/>
        </w:rPr>
        <w:t>Marco Mosti</w:t>
      </w:r>
      <w:r w:rsidR="00165BD1" w:rsidRPr="00AB2E04">
        <w:rPr>
          <w:rFonts w:cstheme="minorHAnsi"/>
        </w:rPr>
        <w:t xml:space="preserve">, </w:t>
      </w:r>
      <w:r w:rsidR="00165BD1">
        <w:rPr>
          <w:rFonts w:cstheme="minorHAnsi"/>
        </w:rPr>
        <w:t xml:space="preserve">Direttore Generale </w:t>
      </w:r>
      <w:r w:rsidR="00165BD1" w:rsidRPr="00AB2E04">
        <w:rPr>
          <w:rFonts w:cstheme="minorHAnsi"/>
        </w:rPr>
        <w:t xml:space="preserve">della Fondazione GIMBE </w:t>
      </w:r>
      <w:r w:rsidRPr="00AB2E04">
        <w:rPr>
          <w:rFonts w:cstheme="minorHAnsi"/>
        </w:rPr>
        <w:t>– dovranno gestire milioni di confezioni serializzate attraverso sistemi informatici integrati e interoperabili. Senza investimenti adeguati in digitalizzazione, infrastrutture e formazione del personale, il rischio è quello di generare nuove inefficienze operative».</w:t>
      </w:r>
    </w:p>
    <w:p w14:paraId="258581F2" w14:textId="77777777" w:rsidR="00AB2E04" w:rsidRPr="000C6A3B" w:rsidRDefault="00AB2E04" w:rsidP="00AB2E04">
      <w:pPr>
        <w:spacing w:after="120"/>
        <w:jc w:val="both"/>
        <w:rPr>
          <w:rFonts w:cstheme="minorHAnsi"/>
        </w:rPr>
      </w:pPr>
      <w:r w:rsidRPr="00AB2E04">
        <w:rPr>
          <w:rFonts w:cstheme="minorHAnsi"/>
        </w:rPr>
        <w:t xml:space="preserve">I servizi farmaceutici rappresentano il presidio dell’intero ciclo logistico dei prodotti sanitari: approvvigionamento, ricezione, controllo, stoccaggio, distribuzione ai reparti, gestione dei richiami e delle </w:t>
      </w:r>
      <w:r w:rsidRPr="000C6A3B">
        <w:rPr>
          <w:rFonts w:cstheme="minorHAnsi"/>
        </w:rPr>
        <w:t xml:space="preserve">non conformità. In questo contesto, la farmacia ospedaliera evolve sempre più verso un ruolo di </w:t>
      </w:r>
      <w:proofErr w:type="spellStart"/>
      <w:r w:rsidRPr="000C6A3B">
        <w:rPr>
          <w:rFonts w:cstheme="minorHAnsi"/>
        </w:rPr>
        <w:t>governance</w:t>
      </w:r>
      <w:proofErr w:type="spellEnd"/>
      <w:r w:rsidRPr="000C6A3B">
        <w:rPr>
          <w:rFonts w:cstheme="minorHAnsi"/>
        </w:rPr>
        <w:t xml:space="preserve"> clinico-gestionale e controllo della qualità.</w:t>
      </w:r>
    </w:p>
    <w:p w14:paraId="0DD6DF55" w14:textId="68A83379" w:rsidR="00AB2E04" w:rsidRPr="000C6A3B" w:rsidRDefault="00AB2E04" w:rsidP="00AB2E04">
      <w:pPr>
        <w:spacing w:after="120"/>
        <w:jc w:val="both"/>
        <w:rPr>
          <w:rFonts w:cstheme="minorHAnsi"/>
        </w:rPr>
      </w:pPr>
      <w:r w:rsidRPr="000C6A3B">
        <w:rPr>
          <w:rFonts w:cstheme="minorHAnsi"/>
        </w:rPr>
        <w:t>Sul fronte dei dispositivi medici, il sistema UDI (</w:t>
      </w:r>
      <w:proofErr w:type="spellStart"/>
      <w:r w:rsidRPr="000C6A3B">
        <w:rPr>
          <w:rFonts w:cstheme="minorHAnsi"/>
          <w:i/>
        </w:rPr>
        <w:t>Unique</w:t>
      </w:r>
      <w:proofErr w:type="spellEnd"/>
      <w:r w:rsidRPr="000C6A3B">
        <w:rPr>
          <w:rFonts w:cstheme="minorHAnsi"/>
          <w:i/>
        </w:rPr>
        <w:t xml:space="preserve"> Device </w:t>
      </w:r>
      <w:proofErr w:type="spellStart"/>
      <w:r w:rsidRPr="000C6A3B">
        <w:rPr>
          <w:rFonts w:cstheme="minorHAnsi"/>
          <w:i/>
        </w:rPr>
        <w:t>Identification</w:t>
      </w:r>
      <w:proofErr w:type="spellEnd"/>
      <w:r w:rsidRPr="000C6A3B">
        <w:rPr>
          <w:rFonts w:cstheme="minorHAnsi"/>
        </w:rPr>
        <w:t>)</w:t>
      </w:r>
      <w:r w:rsidR="00647B7A">
        <w:rPr>
          <w:rFonts w:cstheme="minorHAnsi"/>
        </w:rPr>
        <w:t xml:space="preserve"> -</w:t>
      </w:r>
      <w:r w:rsidRPr="000C6A3B">
        <w:rPr>
          <w:rFonts w:cstheme="minorHAnsi"/>
        </w:rPr>
        <w:t xml:space="preserve"> introdotto dai regolamenti europei </w:t>
      </w:r>
      <w:r w:rsidR="002B210D" w:rsidRPr="000C6A3B">
        <w:rPr>
          <w:rFonts w:cstheme="minorHAnsi"/>
        </w:rPr>
        <w:t xml:space="preserve">2017/745 </w:t>
      </w:r>
      <w:r w:rsidR="000C6A3B" w:rsidRPr="000C6A3B">
        <w:rPr>
          <w:rFonts w:cstheme="minorHAnsi"/>
        </w:rPr>
        <w:t>e</w:t>
      </w:r>
      <w:r w:rsidR="002B210D" w:rsidRPr="000C6A3B">
        <w:rPr>
          <w:rFonts w:cstheme="minorHAnsi"/>
        </w:rPr>
        <w:t xml:space="preserve"> 2017/746</w:t>
      </w:r>
      <w:r w:rsidR="00647B7A">
        <w:rPr>
          <w:rFonts w:cstheme="minorHAnsi"/>
        </w:rPr>
        <w:t xml:space="preserve"> -</w:t>
      </w:r>
      <w:r w:rsidR="002B210D" w:rsidRPr="000C6A3B">
        <w:rPr>
          <w:rFonts w:cstheme="minorHAnsi"/>
        </w:rPr>
        <w:t xml:space="preserve"> </w:t>
      </w:r>
      <w:r w:rsidR="00647B7A" w:rsidRPr="00647B7A">
        <w:rPr>
          <w:rFonts w:cstheme="minorHAnsi"/>
        </w:rPr>
        <w:t>rafforza la tracciabilità dei dispositivi attraverso l’identificazione univoca lungo l’intero ciclo di vita del prodotto.</w:t>
      </w:r>
      <w:r w:rsidR="00647B7A">
        <w:rPr>
          <w:rFonts w:cstheme="minorHAnsi"/>
        </w:rPr>
        <w:t xml:space="preserve"> </w:t>
      </w:r>
      <w:r w:rsidR="00647B7A" w:rsidRPr="00647B7A">
        <w:rPr>
          <w:rFonts w:cstheme="minorHAnsi"/>
        </w:rPr>
        <w:t xml:space="preserve">In Italia gli obblighi di registrazione e conservazione elettronica dei dati sono stati estesi ai dispositivi ad </w:t>
      </w:r>
      <w:r w:rsidR="00647B7A">
        <w:rPr>
          <w:rFonts w:cstheme="minorHAnsi"/>
        </w:rPr>
        <w:t>alto rischio</w:t>
      </w:r>
      <w:r w:rsidR="00647B7A" w:rsidRPr="00647B7A">
        <w:rPr>
          <w:rFonts w:cstheme="minorHAnsi"/>
        </w:rPr>
        <w:t xml:space="preserve"> </w:t>
      </w:r>
      <w:r w:rsidR="00647B7A">
        <w:rPr>
          <w:rFonts w:cstheme="minorHAnsi"/>
        </w:rPr>
        <w:t>(</w:t>
      </w:r>
      <w:r w:rsidR="00647B7A" w:rsidRPr="000C6A3B">
        <w:rPr>
          <w:rFonts w:cstheme="minorHAnsi"/>
        </w:rPr>
        <w:t>classe III</w:t>
      </w:r>
      <w:r w:rsidR="00647B7A">
        <w:rPr>
          <w:rFonts w:cstheme="minorHAnsi"/>
        </w:rPr>
        <w:t>) tra cui i pacemaker</w:t>
      </w:r>
      <w:r w:rsidRPr="006527E4">
        <w:rPr>
          <w:rFonts w:cstheme="minorHAnsi"/>
        </w:rPr>
        <w:t>, a</w:t>
      </w:r>
      <w:r w:rsidR="00647B7A">
        <w:rPr>
          <w:rFonts w:cstheme="minorHAnsi"/>
        </w:rPr>
        <w:t>lcuni</w:t>
      </w:r>
      <w:r w:rsidRPr="006527E4">
        <w:rPr>
          <w:rFonts w:cstheme="minorHAnsi"/>
        </w:rPr>
        <w:t xml:space="preserve"> dispositivi impiantabili </w:t>
      </w:r>
      <w:r w:rsidR="00647B7A">
        <w:rPr>
          <w:rFonts w:cstheme="minorHAnsi"/>
        </w:rPr>
        <w:t>(</w:t>
      </w:r>
      <w:r w:rsidR="00647B7A" w:rsidRPr="006527E4">
        <w:rPr>
          <w:rFonts w:cstheme="minorHAnsi"/>
        </w:rPr>
        <w:t xml:space="preserve">classe </w:t>
      </w:r>
      <w:proofErr w:type="spellStart"/>
      <w:r w:rsidR="00647B7A" w:rsidRPr="006527E4">
        <w:rPr>
          <w:rFonts w:cstheme="minorHAnsi"/>
        </w:rPr>
        <w:t>IIb</w:t>
      </w:r>
      <w:proofErr w:type="spellEnd"/>
      <w:r w:rsidR="00647B7A">
        <w:rPr>
          <w:rFonts w:cstheme="minorHAnsi"/>
        </w:rPr>
        <w:t>)</w:t>
      </w:r>
      <w:r w:rsidR="00647B7A" w:rsidRPr="006527E4">
        <w:rPr>
          <w:rFonts w:cstheme="minorHAnsi"/>
        </w:rPr>
        <w:t xml:space="preserve"> </w:t>
      </w:r>
      <w:r w:rsidR="00647B7A">
        <w:rPr>
          <w:rFonts w:cstheme="minorHAnsi"/>
        </w:rPr>
        <w:t xml:space="preserve">come le </w:t>
      </w:r>
      <w:r w:rsidR="00647B7A" w:rsidRPr="006527E4">
        <w:rPr>
          <w:rFonts w:cstheme="minorHAnsi"/>
        </w:rPr>
        <w:t xml:space="preserve">protesi articolari </w:t>
      </w:r>
      <w:r w:rsidRPr="006527E4">
        <w:rPr>
          <w:rFonts w:cstheme="minorHAnsi"/>
        </w:rPr>
        <w:t xml:space="preserve">e ai dispositivi diagnostici in vitro </w:t>
      </w:r>
      <w:r w:rsidR="00647B7A">
        <w:rPr>
          <w:rFonts w:cstheme="minorHAnsi"/>
        </w:rPr>
        <w:t>(</w:t>
      </w:r>
      <w:r w:rsidRPr="006527E4">
        <w:rPr>
          <w:rFonts w:cstheme="minorHAnsi"/>
        </w:rPr>
        <w:t>classe D</w:t>
      </w:r>
      <w:r w:rsidR="00647B7A">
        <w:rPr>
          <w:rFonts w:cstheme="minorHAnsi"/>
        </w:rPr>
        <w:t>)</w:t>
      </w:r>
      <w:r w:rsidR="006527E4" w:rsidRPr="006527E4">
        <w:rPr>
          <w:rFonts w:cstheme="minorHAnsi"/>
        </w:rPr>
        <w:t xml:space="preserve"> </w:t>
      </w:r>
      <w:r w:rsidR="00647B7A">
        <w:rPr>
          <w:rFonts w:cstheme="minorHAnsi"/>
        </w:rPr>
        <w:t>quali</w:t>
      </w:r>
      <w:r w:rsidR="006527E4" w:rsidRPr="006527E4">
        <w:rPr>
          <w:rFonts w:cstheme="minorHAnsi"/>
        </w:rPr>
        <w:t xml:space="preserve"> t</w:t>
      </w:r>
      <w:r w:rsidR="00647B7A">
        <w:rPr>
          <w:rFonts w:cstheme="minorHAnsi"/>
        </w:rPr>
        <w:t xml:space="preserve">est per HIV, epatite B/C, ebola </w:t>
      </w:r>
      <w:r w:rsidR="00647B7A" w:rsidRPr="00647B7A">
        <w:rPr>
          <w:rFonts w:cstheme="minorHAnsi"/>
        </w:rPr>
        <w:t xml:space="preserve">con l’obiettivo di migliorare sicurezza, rintracciabilità e gestione di eventuali richiami o </w:t>
      </w:r>
      <w:r w:rsidR="00647B7A">
        <w:rPr>
          <w:rFonts w:cstheme="minorHAnsi"/>
        </w:rPr>
        <w:t>segnalazioni di non conformità</w:t>
      </w:r>
      <w:r w:rsidRPr="006527E4">
        <w:rPr>
          <w:rFonts w:cstheme="minorHAnsi"/>
        </w:rPr>
        <w:t>.</w:t>
      </w:r>
    </w:p>
    <w:p w14:paraId="35E93703" w14:textId="6D429AE7" w:rsidR="006527E4" w:rsidRDefault="006527E4">
      <w:pPr>
        <w:spacing w:after="120"/>
        <w:jc w:val="both"/>
        <w:rPr>
          <w:rStyle w:val="Collegamentoipertestuale"/>
          <w:rFonts w:ascii="Calibri" w:eastAsia="Calibri" w:hAnsi="Calibri" w:cs="Times New Roman"/>
          <w:sz w:val="20"/>
          <w:szCs w:val="20"/>
        </w:rPr>
      </w:pPr>
      <w:r>
        <w:rPr>
          <w:b/>
        </w:rPr>
        <w:t xml:space="preserve">Indagine GIMBE: digitalizzazione ancora molto eterogenea nei Dipartimenti Farmaceutici. </w:t>
      </w:r>
      <w:r>
        <w:t>Emergono forti differenze nei livelli di digitalizzazione delle strutture sanitarie italiane. L’indagine della Fondazione GIMBE, a cui hanno partecipato 79 Dipartimenti Farmaceutici (</w:t>
      </w:r>
      <w:r w:rsidRPr="005D7F3B">
        <w:rPr>
          <w:rFonts w:cstheme="minorHAnsi"/>
          <w:highlight w:val="yellow"/>
        </w:rPr>
        <w:t>tabella 2</w:t>
      </w:r>
      <w:r>
        <w:t>) distribuiti in 17 Regioni italiane (con l’eccezione di Calabria, Molise e Valle d’Aosta), documenta che il 29,1% delle strutture non utilizza sistemi di lettura dei codici a barre per garantire la tracciabilità di farmaci e dispositivi medici (</w:t>
      </w:r>
      <w:r w:rsidRPr="00F86A09">
        <w:rPr>
          <w:rFonts w:cstheme="minorHAnsi"/>
          <w:highlight w:val="yellow"/>
        </w:rPr>
        <w:t>figura 2</w:t>
      </w:r>
      <w:r>
        <w:t>), mentre quasi 3 strutture su 4 (74,7%) non dispongono di magazzini automatizzati o robotizzati (</w:t>
      </w:r>
      <w:r w:rsidRPr="00F86A09">
        <w:rPr>
          <w:rFonts w:cstheme="minorHAnsi"/>
          <w:highlight w:val="yellow"/>
        </w:rPr>
        <w:t xml:space="preserve">figura </w:t>
      </w:r>
      <w:r>
        <w:rPr>
          <w:rFonts w:cstheme="minorHAnsi"/>
          <w:highlight w:val="yellow"/>
        </w:rPr>
        <w:t>3</w:t>
      </w:r>
      <w:r>
        <w:t>). Inoltre, solo il 5,1% delle strutture dichiara una integrazione completa e automatizzata tra gestionale di magazzino e cartella clinica elettronica, mentre il 41,8% non dispone di alcuna integrazione (</w:t>
      </w:r>
      <w:r w:rsidRPr="00F86A09">
        <w:rPr>
          <w:rFonts w:cstheme="minorHAnsi"/>
          <w:highlight w:val="yellow"/>
        </w:rPr>
        <w:t xml:space="preserve">figura </w:t>
      </w:r>
      <w:r>
        <w:rPr>
          <w:rFonts w:cstheme="minorHAnsi"/>
          <w:highlight w:val="yellow"/>
        </w:rPr>
        <w:t>4</w:t>
      </w:r>
      <w:r>
        <w:t>). Tra le principali criticità segnalate nei processi di distribuzione emergono l’assenza di automazione (59,5%), errori nella tracciabilità e nella gestione delle scorte (41,8%) e problemi di comunicazione tra la farmacia e le unità operative cliniche (25,3%) (</w:t>
      </w:r>
      <w:r w:rsidRPr="00AC20FD">
        <w:rPr>
          <w:rFonts w:cstheme="minorHAnsi"/>
          <w:highlight w:val="yellow"/>
        </w:rPr>
        <w:t>tabella 3</w:t>
      </w:r>
      <w:r>
        <w:t xml:space="preserve">). «I dati dell’indagine – commenta </w:t>
      </w:r>
      <w:r w:rsidR="00165BD1">
        <w:t>Mosti</w:t>
      </w:r>
      <w:r>
        <w:t xml:space="preserve"> – dimostrano che la trasformazione digitale della </w:t>
      </w:r>
      <w:proofErr w:type="spellStart"/>
      <w:r>
        <w:rPr>
          <w:i/>
        </w:rPr>
        <w:t>supply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chain</w:t>
      </w:r>
      <w:proofErr w:type="spellEnd"/>
      <w:r>
        <w:t xml:space="preserve"> sanitaria procede ancora a velocità molto diverse tra le strutture sanitarie. Accanto a realtà avanzate persistono processi fortemente manuali e frammentati che rischiano di rallentare l’attuazione dei nuovi sistemi europei di tracciabilità».</w:t>
      </w:r>
    </w:p>
    <w:p w14:paraId="56980C69" w14:textId="77777777" w:rsidR="00066637" w:rsidRDefault="005644C1" w:rsidP="00AB2E04">
      <w:pPr>
        <w:spacing w:after="120"/>
        <w:jc w:val="both"/>
        <w:rPr>
          <w:rFonts w:cstheme="minorHAnsi"/>
          <w:b/>
          <w:color w:val="FF0000"/>
        </w:rPr>
      </w:pPr>
      <w:r>
        <w:rPr>
          <w:rFonts w:ascii="Calibri" w:hAnsi="Calibri" w:cs="Calibri"/>
          <w:color w:val="000000"/>
        </w:rPr>
        <w:t xml:space="preserve">«Il report presentato oggi evidenzia la necessità di accelerare la digitalizzazione del Servizio </w:t>
      </w:r>
      <w:r w:rsidR="0095641F">
        <w:rPr>
          <w:rFonts w:ascii="Calibri" w:hAnsi="Calibri" w:cs="Calibri"/>
          <w:color w:val="000000"/>
        </w:rPr>
        <w:t xml:space="preserve">Sanitario Nazionale </w:t>
      </w:r>
      <w:r>
        <w:rPr>
          <w:rFonts w:ascii="Calibri" w:hAnsi="Calibri" w:cs="Calibri"/>
          <w:color w:val="000000"/>
        </w:rPr>
        <w:t>e l’adozione di standard interoperabili per colmare il ritardo dell’Italia nel contrasto alla contraffazione dei farmaci</w:t>
      </w:r>
      <w:r>
        <w:rPr>
          <w:rFonts w:ascii="Calibri" w:hAnsi="Calibri" w:cs="Calibri"/>
          <w:i/>
          <w:iCs/>
          <w:color w:val="000000"/>
        </w:rPr>
        <w:t xml:space="preserve">» </w:t>
      </w:r>
      <w:r>
        <w:rPr>
          <w:rFonts w:ascii="Calibri" w:hAnsi="Calibri" w:cs="Calibri"/>
          <w:color w:val="000000"/>
        </w:rPr>
        <w:t>commenta Bruno Aceto, CEO di GS1 Italy.</w:t>
      </w:r>
      <w:r>
        <w:rPr>
          <w:rFonts w:ascii="Calibri" w:hAnsi="Calibri" w:cs="Calibri"/>
          <w:i/>
          <w:iCs/>
          <w:color w:val="000000"/>
        </w:rPr>
        <w:t xml:space="preserve"> «</w:t>
      </w:r>
      <w:r>
        <w:rPr>
          <w:rFonts w:ascii="Calibri" w:hAnsi="Calibri" w:cs="Calibri"/>
          <w:color w:val="000000"/>
        </w:rPr>
        <w:t>In questo percorso, gli standard GS1 consentono di trasformare gli obblighi normativi in un’opportunità di innovazione ed efficienza. Come GS1 Italy siamo pronti ad affiancare istituzioni e aziende nell’implementazione degli standard già adottati a livello globale per migliorare la sicurezza dei pazienti e l’efficienza del settore sanitario»</w:t>
      </w:r>
      <w:r w:rsidR="00066637">
        <w:rPr>
          <w:rFonts w:ascii="Calibri" w:hAnsi="Calibri" w:cs="Calibri"/>
          <w:color w:val="000000"/>
        </w:rPr>
        <w:t>.</w:t>
      </w:r>
      <w:r w:rsidRPr="00AB2E04" w:rsidDel="005644C1">
        <w:rPr>
          <w:rFonts w:cstheme="minorHAnsi"/>
          <w:b/>
          <w:color w:val="FF0000"/>
        </w:rPr>
        <w:t xml:space="preserve"> </w:t>
      </w:r>
    </w:p>
    <w:p w14:paraId="1D13876E" w14:textId="5440D77F" w:rsidR="00AB2E04" w:rsidRPr="00AB2E04" w:rsidRDefault="00AB2E04" w:rsidP="00AB2E04">
      <w:pPr>
        <w:spacing w:after="120"/>
        <w:jc w:val="both"/>
        <w:rPr>
          <w:rFonts w:cstheme="minorHAnsi"/>
        </w:rPr>
      </w:pPr>
      <w:r w:rsidRPr="00AB2E04">
        <w:rPr>
          <w:rFonts w:cstheme="minorHAnsi"/>
        </w:rPr>
        <w:t xml:space="preserve">«La standardizzazione dei processi logistici – conclude Cartabellotta – rappresenta una delle grandi sfide organizzative del SSN. Tracciabilità digitale, automazione e interoperabilità dei dati non servono solo a </w:t>
      </w:r>
      <w:r w:rsidRPr="00AB2E04">
        <w:rPr>
          <w:rFonts w:cstheme="minorHAnsi"/>
        </w:rPr>
        <w:lastRenderedPageBreak/>
        <w:t>contrastare la contraffazione, ma anche a migliorare sicurezza delle cure, appropriatezza e sostenibilità del SSN».</w:t>
      </w:r>
    </w:p>
    <w:p w14:paraId="77D96582" w14:textId="6FB1B797" w:rsidR="00B87BDD" w:rsidRPr="005D4BB0" w:rsidRDefault="00B87BDD" w:rsidP="00EA0DB5">
      <w:pPr>
        <w:spacing w:after="120"/>
        <w:jc w:val="both"/>
        <w:rPr>
          <w:rFonts w:ascii="Calibri" w:eastAsia="Calibri" w:hAnsi="Calibri" w:cs="Times New Roman"/>
          <w:bCs/>
        </w:rPr>
      </w:pPr>
      <w:r w:rsidRPr="00B87BDD">
        <w:rPr>
          <w:rFonts w:ascii="Calibri" w:eastAsia="Calibri" w:hAnsi="Calibri" w:cs="Times New Roman"/>
          <w:bCs/>
        </w:rPr>
        <w:t>Il report dell’Osservatorio GIMBE “</w:t>
      </w:r>
      <w:r w:rsidR="00EA0DB5" w:rsidRPr="00EA0DB5">
        <w:rPr>
          <w:rFonts w:ascii="Calibri" w:eastAsia="Calibri" w:hAnsi="Calibri" w:cs="Times New Roman"/>
          <w:bCs/>
        </w:rPr>
        <w:t>La standardizzazione e la digitalizzazione dei processi di approvvigionamento nelle strutture sanitarie</w:t>
      </w:r>
      <w:r w:rsidRPr="00B87BDD">
        <w:rPr>
          <w:rFonts w:ascii="Calibri" w:eastAsia="Calibri" w:hAnsi="Calibri" w:cs="Times New Roman"/>
          <w:bCs/>
        </w:rPr>
        <w:t xml:space="preserve">” è disponibile a: </w:t>
      </w:r>
      <w:hyperlink r:id="rId8" w:history="1">
        <w:r w:rsidR="00233694" w:rsidRPr="00992791">
          <w:rPr>
            <w:rStyle w:val="Collegamentoipertestuale"/>
            <w:rFonts w:ascii="Calibri" w:eastAsia="Calibri" w:hAnsi="Calibri" w:cs="Times New Roman"/>
            <w:bCs/>
          </w:rPr>
          <w:t>www.gimbe.org/processi-strutture-sanitarie</w:t>
        </w:r>
      </w:hyperlink>
      <w:r w:rsidR="00233694" w:rsidRPr="00233694">
        <w:rPr>
          <w:rFonts w:ascii="Calibri" w:eastAsia="Calibri" w:hAnsi="Calibri" w:cs="Times New Roman"/>
          <w:bCs/>
        </w:rPr>
        <w:t>.</w:t>
      </w:r>
      <w:r w:rsidR="00233694">
        <w:rPr>
          <w:rFonts w:ascii="Calibri" w:eastAsia="Calibri" w:hAnsi="Calibri" w:cs="Times New Roman"/>
          <w:bCs/>
        </w:rPr>
        <w:t xml:space="preserve"> </w:t>
      </w:r>
    </w:p>
    <w:p w14:paraId="0B554783" w14:textId="77777777" w:rsidR="00EA0DB5" w:rsidRDefault="00EA0DB5" w:rsidP="00001559">
      <w:pPr>
        <w:spacing w:after="0"/>
        <w:rPr>
          <w:rFonts w:ascii="Calibri" w:eastAsia="Calibri" w:hAnsi="Calibri" w:cs="Times New Roman"/>
          <w:b/>
          <w:bCs/>
        </w:rPr>
      </w:pPr>
    </w:p>
    <w:p w14:paraId="4A3C8B45" w14:textId="437219D1" w:rsidR="00001559" w:rsidRDefault="001E3647" w:rsidP="00001559">
      <w:pPr>
        <w:spacing w:after="0"/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14:paraId="0FB7A678" w14:textId="77777777" w:rsidR="001E3647" w:rsidRPr="00001559" w:rsidRDefault="001E3647" w:rsidP="00001559">
      <w:pPr>
        <w:spacing w:after="0"/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14:paraId="5F8FD0B4" w14:textId="36675473" w:rsidR="001A7B9B" w:rsidRDefault="001E3647" w:rsidP="00AC20FD">
      <w:pPr>
        <w:spacing w:after="0"/>
        <w:rPr>
          <w:rStyle w:val="Collegamentoipertestuale"/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9" w:history="1">
        <w:r w:rsidR="00321884" w:rsidRPr="001268BC">
          <w:rPr>
            <w:rStyle w:val="Collegamentoipertestuale"/>
            <w:rFonts w:ascii="Calibri" w:eastAsia="Calibri" w:hAnsi="Calibri" w:cs="Times New Roman"/>
            <w:sz w:val="20"/>
            <w:szCs w:val="20"/>
          </w:rPr>
          <w:t>ufficio.stampa@gimbe.org</w:t>
        </w:r>
      </w:hyperlink>
      <w:bookmarkStart w:id="1" w:name="_Hlk132374043"/>
      <w:bookmarkEnd w:id="1"/>
      <w:r w:rsidR="001A7B9B">
        <w:rPr>
          <w:rStyle w:val="Collegamentoipertestuale"/>
          <w:rFonts w:ascii="Calibri" w:eastAsia="Calibri" w:hAnsi="Calibri" w:cs="Times New Roman"/>
          <w:sz w:val="20"/>
          <w:szCs w:val="20"/>
        </w:rPr>
        <w:br w:type="page"/>
      </w:r>
    </w:p>
    <w:p w14:paraId="04E1F68B" w14:textId="77777777" w:rsidR="001A7B9B" w:rsidRPr="00890B33" w:rsidRDefault="001A7B9B" w:rsidP="001A7B9B">
      <w:pPr>
        <w:pStyle w:val="NormaleWeb"/>
        <w:spacing w:before="120" w:beforeAutospacing="0" w:after="300" w:afterAutospacing="0" w:line="276" w:lineRule="auto"/>
        <w:jc w:val="center"/>
        <w:rPr>
          <w:rFonts w:asciiTheme="minorHAnsi" w:hAnsiTheme="minorHAnsi" w:cstheme="minorHAnsi"/>
          <w:b/>
          <w:bCs/>
          <w:color w:val="00457D"/>
          <w:sz w:val="22"/>
          <w:szCs w:val="22"/>
        </w:rPr>
      </w:pPr>
      <w:r w:rsidRPr="00890B33">
        <w:rPr>
          <w:rFonts w:asciiTheme="minorHAnsi" w:hAnsiTheme="minorHAnsi" w:cstheme="minorHAnsi"/>
          <w:b/>
          <w:bCs/>
          <w:color w:val="00457D"/>
          <w:sz w:val="22"/>
          <w:szCs w:val="22"/>
        </w:rPr>
        <w:lastRenderedPageBreak/>
        <w:t>Figura 1. Tappe principali dell’iter normativo relativo all’Identificativo Univoco</w:t>
      </w:r>
    </w:p>
    <w:p w14:paraId="6BBBDCD4" w14:textId="77777777" w:rsidR="001A7B9B" w:rsidRDefault="001A7B9B" w:rsidP="001A7B9B">
      <w:pPr>
        <w:pStyle w:val="NormaleWeb"/>
        <w:spacing w:before="120" w:beforeAutospacing="0" w:after="0" w:afterAutospacing="0" w:line="276" w:lineRule="auto"/>
        <w:jc w:val="center"/>
        <w:rPr>
          <w:rFonts w:ascii="Cambria" w:hAnsi="Cambria" w:cstheme="minorHAnsi"/>
          <w:b/>
          <w:bCs/>
          <w:color w:val="00457D"/>
          <w:sz w:val="18"/>
          <w:szCs w:val="18"/>
        </w:rPr>
      </w:pPr>
      <w:r w:rsidRPr="00C07F34">
        <w:rPr>
          <w:rFonts w:ascii="Cambria" w:hAnsi="Cambria" w:cstheme="minorHAnsi"/>
          <w:b/>
          <w:bCs/>
          <w:noProof/>
          <w:color w:val="00457D"/>
          <w:sz w:val="18"/>
          <w:szCs w:val="18"/>
        </w:rPr>
        <w:drawing>
          <wp:inline distT="0" distB="0" distL="0" distR="0" wp14:anchorId="320DCA34" wp14:editId="5612FDBD">
            <wp:extent cx="3861129" cy="5254699"/>
            <wp:effectExtent l="19050" t="19050" r="25400" b="22225"/>
            <wp:docPr id="2012795791" name="Immagine 1" descr="Immagine che contiene testo, scherma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795791" name="Immagine 1" descr="Immagine che contiene testo, schermata, Carattere&#10;&#10;Il contenuto generato dall'IA potrebbe non essere corretto."/>
                    <pic:cNvPicPr/>
                  </pic:nvPicPr>
                  <pic:blipFill rotWithShape="1">
                    <a:blip r:embed="rId10"/>
                    <a:srcRect l="-11445" t="-2529" r="-7787" b="-3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116" cy="525740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8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13A2E9" w14:textId="77777777" w:rsidR="001A7B9B" w:rsidRDefault="001A7B9B" w:rsidP="001A7B9B">
      <w:pPr>
        <w:pStyle w:val="NormaleWeb"/>
        <w:spacing w:before="120" w:beforeAutospacing="0" w:after="0" w:afterAutospacing="0" w:line="276" w:lineRule="auto"/>
        <w:jc w:val="center"/>
        <w:rPr>
          <w:rFonts w:ascii="Cambria" w:hAnsi="Cambria" w:cstheme="minorHAnsi"/>
          <w:b/>
          <w:bCs/>
          <w:color w:val="00457D"/>
          <w:sz w:val="18"/>
          <w:szCs w:val="18"/>
        </w:rPr>
      </w:pPr>
    </w:p>
    <w:p w14:paraId="3609BAA1" w14:textId="77777777" w:rsidR="006527E4" w:rsidRDefault="006527E4">
      <w:pPr>
        <w:rPr>
          <w:rFonts w:cstheme="minorHAnsi"/>
          <w:b/>
          <w:bCs/>
          <w:color w:val="00457D"/>
        </w:rPr>
      </w:pPr>
      <w:r>
        <w:rPr>
          <w:rFonts w:cstheme="minorHAnsi"/>
          <w:b/>
          <w:bCs/>
          <w:color w:val="00457D"/>
        </w:rPr>
        <w:br w:type="page"/>
      </w:r>
    </w:p>
    <w:p w14:paraId="095D7BB8" w14:textId="2A8E7420" w:rsidR="001A7B9B" w:rsidRPr="002C37E7" w:rsidRDefault="001A7B9B" w:rsidP="001A7B9B">
      <w:pPr>
        <w:spacing w:before="120" w:after="300"/>
        <w:jc w:val="center"/>
        <w:rPr>
          <w:rFonts w:cstheme="minorHAnsi"/>
          <w:b/>
          <w:bCs/>
          <w:color w:val="00457D"/>
        </w:rPr>
      </w:pPr>
      <w:r w:rsidRPr="002C37E7">
        <w:rPr>
          <w:rFonts w:cstheme="minorHAnsi"/>
          <w:b/>
          <w:bCs/>
          <w:color w:val="00457D"/>
        </w:rPr>
        <w:lastRenderedPageBreak/>
        <w:t>Tabella 1. Provvedimenti attuativi necessari per l’adeguamento della normativa nazionale</w:t>
      </w:r>
    </w:p>
    <w:tbl>
      <w:tblPr>
        <w:tblW w:w="9072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8"/>
        <w:gridCol w:w="4834"/>
        <w:gridCol w:w="2540"/>
      </w:tblGrid>
      <w:tr w:rsidR="001A7B9B" w:rsidRPr="002C37E7" w14:paraId="1A803AB9" w14:textId="77777777" w:rsidTr="00147C49">
        <w:trPr>
          <w:trHeight w:val="340"/>
          <w:jc w:val="center"/>
        </w:trPr>
        <w:tc>
          <w:tcPr>
            <w:tcW w:w="936" w:type="pct"/>
            <w:tcBorders>
              <w:top w:val="single" w:sz="2" w:space="0" w:color="auto"/>
              <w:left w:val="single" w:sz="2" w:space="0" w:color="auto"/>
              <w:bottom w:val="single" w:sz="4" w:space="0" w:color="00457D"/>
              <w:right w:val="single" w:sz="4" w:space="0" w:color="FFFFFF"/>
            </w:tcBorders>
            <w:shd w:val="clear" w:color="auto" w:fill="00457D"/>
            <w:vAlign w:val="center"/>
            <w:hideMark/>
          </w:tcPr>
          <w:p w14:paraId="626008B9" w14:textId="77777777" w:rsidR="001A7B9B" w:rsidRPr="002C37E7" w:rsidRDefault="001A7B9B" w:rsidP="00147C49">
            <w:pPr>
              <w:pStyle w:val="Normale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7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Fonte</w:t>
            </w:r>
          </w:p>
        </w:tc>
        <w:tc>
          <w:tcPr>
            <w:tcW w:w="2664" w:type="pct"/>
            <w:tcBorders>
              <w:top w:val="single" w:sz="2" w:space="0" w:color="auto"/>
              <w:left w:val="single" w:sz="4" w:space="0" w:color="FFFFFF"/>
              <w:bottom w:val="single" w:sz="4" w:space="0" w:color="00457D"/>
              <w:right w:val="single" w:sz="4" w:space="0" w:color="FFFFFF"/>
            </w:tcBorders>
            <w:shd w:val="clear" w:color="auto" w:fill="00457D"/>
            <w:vAlign w:val="center"/>
            <w:hideMark/>
          </w:tcPr>
          <w:p w14:paraId="193B9AF8" w14:textId="77777777" w:rsidR="001A7B9B" w:rsidRPr="002C37E7" w:rsidRDefault="001A7B9B" w:rsidP="00147C49">
            <w:pPr>
              <w:pStyle w:val="Normale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7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Oggetto</w:t>
            </w:r>
          </w:p>
        </w:tc>
        <w:tc>
          <w:tcPr>
            <w:tcW w:w="1400" w:type="pct"/>
            <w:tcBorders>
              <w:top w:val="single" w:sz="2" w:space="0" w:color="auto"/>
              <w:left w:val="single" w:sz="4" w:space="0" w:color="FFFFFF"/>
              <w:bottom w:val="single" w:sz="4" w:space="0" w:color="00457D"/>
              <w:right w:val="single" w:sz="2" w:space="0" w:color="auto"/>
            </w:tcBorders>
            <w:shd w:val="clear" w:color="auto" w:fill="00457D"/>
            <w:vAlign w:val="center"/>
            <w:hideMark/>
          </w:tcPr>
          <w:p w14:paraId="1EB4D5F1" w14:textId="77777777" w:rsidR="001A7B9B" w:rsidRPr="002C37E7" w:rsidRDefault="001A7B9B" w:rsidP="00147C49">
            <w:pPr>
              <w:pStyle w:val="Normale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7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Adozione</w:t>
            </w:r>
          </w:p>
        </w:tc>
      </w:tr>
      <w:tr w:rsidR="001A7B9B" w:rsidRPr="002C37E7" w14:paraId="445F8E37" w14:textId="77777777" w:rsidTr="00147C49">
        <w:trPr>
          <w:jc w:val="center"/>
        </w:trPr>
        <w:tc>
          <w:tcPr>
            <w:tcW w:w="936" w:type="pct"/>
            <w:tcBorders>
              <w:top w:val="single" w:sz="4" w:space="0" w:color="00457D"/>
              <w:left w:val="single" w:sz="4" w:space="0" w:color="00457D"/>
              <w:bottom w:val="single" w:sz="4" w:space="0" w:color="00457D"/>
              <w:right w:val="single" w:sz="4" w:space="0" w:color="00457D"/>
            </w:tcBorders>
            <w:vAlign w:val="center"/>
            <w:hideMark/>
          </w:tcPr>
          <w:p w14:paraId="44597937" w14:textId="77777777" w:rsidR="001A7B9B" w:rsidRPr="002C37E7" w:rsidRDefault="001A7B9B" w:rsidP="00147C49">
            <w:pPr>
              <w:pStyle w:val="NormaleWeb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C37E7">
              <w:rPr>
                <w:rFonts w:asciiTheme="minorHAnsi" w:hAnsiTheme="minorHAnsi" w:cstheme="minorHAnsi"/>
                <w:sz w:val="20"/>
                <w:szCs w:val="20"/>
              </w:rPr>
              <w:t>D.Lgs.</w:t>
            </w:r>
            <w:proofErr w:type="spellEnd"/>
            <w:r w:rsidRPr="002C37E7">
              <w:rPr>
                <w:rFonts w:asciiTheme="minorHAnsi" w:hAnsiTheme="minorHAnsi" w:cstheme="minorHAnsi"/>
                <w:sz w:val="20"/>
                <w:szCs w:val="20"/>
              </w:rPr>
              <w:t xml:space="preserve"> 10/2025,</w:t>
            </w:r>
            <w:r w:rsidRPr="002C37E7">
              <w:rPr>
                <w:rFonts w:asciiTheme="minorHAnsi" w:hAnsiTheme="minorHAnsi" w:cstheme="minorHAnsi"/>
                <w:sz w:val="20"/>
                <w:szCs w:val="20"/>
              </w:rPr>
              <w:br/>
              <w:t>art. 3, c. 3</w:t>
            </w:r>
          </w:p>
        </w:tc>
        <w:tc>
          <w:tcPr>
            <w:tcW w:w="2664" w:type="pct"/>
            <w:tcBorders>
              <w:top w:val="single" w:sz="4" w:space="0" w:color="00457D"/>
              <w:left w:val="single" w:sz="4" w:space="0" w:color="00457D"/>
              <w:bottom w:val="single" w:sz="4" w:space="0" w:color="00457D"/>
              <w:right w:val="single" w:sz="4" w:space="0" w:color="00457D"/>
            </w:tcBorders>
            <w:vAlign w:val="center"/>
            <w:hideMark/>
          </w:tcPr>
          <w:p w14:paraId="378BFAB0" w14:textId="77777777" w:rsidR="001A7B9B" w:rsidRPr="002C37E7" w:rsidRDefault="001A7B9B" w:rsidP="00147C49">
            <w:pPr>
              <w:pStyle w:val="NormaleWeb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C37E7">
              <w:rPr>
                <w:rFonts w:asciiTheme="minorHAnsi" w:hAnsiTheme="minorHAnsi" w:cstheme="minorHAnsi"/>
                <w:sz w:val="20"/>
                <w:szCs w:val="20"/>
              </w:rPr>
              <w:t>Definizione delle specifiche tecniche e delle modalità di apposizione e di verifica dell'identificativo univoco da applicare sulle scatole dei medicinali</w:t>
            </w:r>
          </w:p>
        </w:tc>
        <w:tc>
          <w:tcPr>
            <w:tcW w:w="1400" w:type="pct"/>
            <w:tcBorders>
              <w:top w:val="single" w:sz="4" w:space="0" w:color="00457D"/>
              <w:left w:val="single" w:sz="4" w:space="0" w:color="00457D"/>
              <w:bottom w:val="single" w:sz="4" w:space="0" w:color="00457D"/>
              <w:right w:val="single" w:sz="4" w:space="0" w:color="00457D"/>
            </w:tcBorders>
            <w:vAlign w:val="center"/>
            <w:hideMark/>
          </w:tcPr>
          <w:p w14:paraId="101D0543" w14:textId="77777777" w:rsidR="001A7B9B" w:rsidRPr="002C37E7" w:rsidRDefault="001A7B9B" w:rsidP="00147C49">
            <w:pPr>
              <w:pStyle w:val="NormaleWeb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C37E7">
              <w:rPr>
                <w:rFonts w:asciiTheme="minorHAnsi" w:hAnsiTheme="minorHAnsi" w:cstheme="minorHAnsi"/>
                <w:sz w:val="20"/>
                <w:szCs w:val="20"/>
              </w:rPr>
              <w:t xml:space="preserve">Adottato con Decreto 06/03/2025 </w:t>
            </w:r>
            <w:hyperlink r:id="rId11" w:history="1">
              <w:r w:rsidRPr="002C37E7">
                <w:rPr>
                  <w:rStyle w:val="Collegamentoipertestuale"/>
                  <w:rFonts w:asciiTheme="minorHAnsi" w:hAnsiTheme="minorHAnsi" w:cstheme="minorHAnsi"/>
                  <w:sz w:val="20"/>
                  <w:szCs w:val="20"/>
                </w:rPr>
                <w:t>(G.U. n. 84 del 10/04/2025)</w:t>
              </w:r>
            </w:hyperlink>
            <w:r w:rsidRPr="002C37E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A7B9B" w:rsidRPr="002C37E7" w14:paraId="0A674361" w14:textId="77777777" w:rsidTr="00147C49">
        <w:trPr>
          <w:jc w:val="center"/>
        </w:trPr>
        <w:tc>
          <w:tcPr>
            <w:tcW w:w="936" w:type="pct"/>
            <w:tcBorders>
              <w:top w:val="single" w:sz="4" w:space="0" w:color="00457D"/>
              <w:left w:val="single" w:sz="4" w:space="0" w:color="00457D"/>
              <w:bottom w:val="single" w:sz="4" w:space="0" w:color="00457D"/>
              <w:right w:val="single" w:sz="4" w:space="0" w:color="00457D"/>
            </w:tcBorders>
            <w:vAlign w:val="center"/>
            <w:hideMark/>
          </w:tcPr>
          <w:p w14:paraId="20DFBAA2" w14:textId="77777777" w:rsidR="001A7B9B" w:rsidRPr="002C37E7" w:rsidRDefault="001A7B9B" w:rsidP="00147C49">
            <w:pPr>
              <w:pStyle w:val="NormaleWeb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C37E7">
              <w:rPr>
                <w:rFonts w:asciiTheme="minorHAnsi" w:hAnsiTheme="minorHAnsi" w:cstheme="minorHAnsi"/>
                <w:sz w:val="20"/>
                <w:szCs w:val="20"/>
              </w:rPr>
              <w:t>D.Lgs.</w:t>
            </w:r>
            <w:proofErr w:type="spellEnd"/>
            <w:r w:rsidRPr="002C37E7">
              <w:rPr>
                <w:rFonts w:asciiTheme="minorHAnsi" w:hAnsiTheme="minorHAnsi" w:cstheme="minorHAnsi"/>
                <w:sz w:val="20"/>
                <w:szCs w:val="20"/>
              </w:rPr>
              <w:t xml:space="preserve"> 10/2025,</w:t>
            </w:r>
            <w:r w:rsidRPr="002C37E7">
              <w:rPr>
                <w:rFonts w:asciiTheme="minorHAnsi" w:hAnsiTheme="minorHAnsi" w:cstheme="minorHAnsi"/>
                <w:sz w:val="20"/>
                <w:szCs w:val="20"/>
              </w:rPr>
              <w:br/>
              <w:t>art. 3, c. 5</w:t>
            </w:r>
          </w:p>
        </w:tc>
        <w:tc>
          <w:tcPr>
            <w:tcW w:w="2664" w:type="pct"/>
            <w:tcBorders>
              <w:top w:val="single" w:sz="4" w:space="0" w:color="00457D"/>
              <w:left w:val="single" w:sz="4" w:space="0" w:color="00457D"/>
              <w:bottom w:val="single" w:sz="4" w:space="0" w:color="00457D"/>
              <w:right w:val="single" w:sz="4" w:space="0" w:color="00457D"/>
            </w:tcBorders>
            <w:vAlign w:val="center"/>
            <w:hideMark/>
          </w:tcPr>
          <w:p w14:paraId="4207ACD9" w14:textId="77777777" w:rsidR="001A7B9B" w:rsidRPr="002C37E7" w:rsidRDefault="001A7B9B" w:rsidP="00147C49">
            <w:pPr>
              <w:pStyle w:val="NormaleWeb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C37E7">
              <w:rPr>
                <w:rFonts w:asciiTheme="minorHAnsi" w:hAnsiTheme="minorHAnsi" w:cstheme="minorHAnsi"/>
                <w:sz w:val="20"/>
                <w:szCs w:val="20"/>
              </w:rPr>
              <w:t>Definizione delle caratteristiche tecniche e grafiche e le informazioni contenute nel codice a barre apposto sulle confezioni dei medicinali</w:t>
            </w:r>
          </w:p>
        </w:tc>
        <w:tc>
          <w:tcPr>
            <w:tcW w:w="1400" w:type="pct"/>
            <w:tcBorders>
              <w:top w:val="single" w:sz="4" w:space="0" w:color="00457D"/>
              <w:left w:val="single" w:sz="4" w:space="0" w:color="00457D"/>
              <w:bottom w:val="single" w:sz="4" w:space="0" w:color="00457D"/>
              <w:right w:val="single" w:sz="4" w:space="0" w:color="00457D"/>
            </w:tcBorders>
            <w:vAlign w:val="center"/>
            <w:hideMark/>
          </w:tcPr>
          <w:p w14:paraId="3B7ECC10" w14:textId="77777777" w:rsidR="001A7B9B" w:rsidRPr="002C37E7" w:rsidRDefault="001A7B9B" w:rsidP="00147C49">
            <w:pPr>
              <w:pStyle w:val="NormaleWeb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C37E7">
              <w:rPr>
                <w:rFonts w:asciiTheme="minorHAnsi" w:hAnsiTheme="minorHAnsi" w:cstheme="minorHAnsi"/>
                <w:sz w:val="20"/>
                <w:szCs w:val="20"/>
              </w:rPr>
              <w:t xml:space="preserve">Adottato con Decreto 20/05/2025 </w:t>
            </w:r>
            <w:hyperlink r:id="rId12" w:history="1">
              <w:r w:rsidRPr="002C37E7">
                <w:rPr>
                  <w:rStyle w:val="Collegamentoipertestuale"/>
                  <w:rFonts w:asciiTheme="minorHAnsi" w:hAnsiTheme="minorHAnsi" w:cstheme="minorHAnsi"/>
                  <w:sz w:val="20"/>
                  <w:szCs w:val="20"/>
                </w:rPr>
                <w:t>(G.U. n. 157 del 09/07/2025)</w:t>
              </w:r>
            </w:hyperlink>
          </w:p>
        </w:tc>
      </w:tr>
      <w:tr w:rsidR="001A7B9B" w:rsidRPr="002C37E7" w14:paraId="4165BF7C" w14:textId="77777777" w:rsidTr="00147C49">
        <w:trPr>
          <w:jc w:val="center"/>
        </w:trPr>
        <w:tc>
          <w:tcPr>
            <w:tcW w:w="936" w:type="pct"/>
            <w:tcBorders>
              <w:top w:val="single" w:sz="4" w:space="0" w:color="00457D"/>
              <w:left w:val="single" w:sz="4" w:space="0" w:color="00457D"/>
              <w:bottom w:val="single" w:sz="4" w:space="0" w:color="00457D"/>
              <w:right w:val="single" w:sz="4" w:space="0" w:color="00457D"/>
            </w:tcBorders>
            <w:vAlign w:val="center"/>
            <w:hideMark/>
          </w:tcPr>
          <w:p w14:paraId="3690913E" w14:textId="77777777" w:rsidR="001A7B9B" w:rsidRPr="002C37E7" w:rsidRDefault="001A7B9B" w:rsidP="00147C49">
            <w:pPr>
              <w:pStyle w:val="NormaleWeb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C37E7">
              <w:rPr>
                <w:rFonts w:asciiTheme="minorHAnsi" w:hAnsiTheme="minorHAnsi" w:cstheme="minorHAnsi"/>
                <w:sz w:val="20"/>
                <w:szCs w:val="20"/>
              </w:rPr>
              <w:t>D.Lgs.</w:t>
            </w:r>
            <w:proofErr w:type="spellEnd"/>
            <w:r w:rsidRPr="002C37E7">
              <w:rPr>
                <w:rFonts w:asciiTheme="minorHAnsi" w:hAnsiTheme="minorHAnsi" w:cstheme="minorHAnsi"/>
                <w:sz w:val="20"/>
                <w:szCs w:val="20"/>
              </w:rPr>
              <w:t xml:space="preserve"> 10/2025,</w:t>
            </w:r>
            <w:r w:rsidRPr="002C37E7">
              <w:rPr>
                <w:rFonts w:asciiTheme="minorHAnsi" w:hAnsiTheme="minorHAnsi" w:cstheme="minorHAnsi"/>
                <w:sz w:val="20"/>
                <w:szCs w:val="20"/>
              </w:rPr>
              <w:br/>
              <w:t>art. 6, c. 1</w:t>
            </w:r>
          </w:p>
        </w:tc>
        <w:tc>
          <w:tcPr>
            <w:tcW w:w="2664" w:type="pct"/>
            <w:tcBorders>
              <w:top w:val="single" w:sz="4" w:space="0" w:color="00457D"/>
              <w:left w:val="single" w:sz="4" w:space="0" w:color="00457D"/>
              <w:bottom w:val="single" w:sz="4" w:space="0" w:color="00457D"/>
              <w:right w:val="single" w:sz="4" w:space="0" w:color="00457D"/>
            </w:tcBorders>
            <w:vAlign w:val="center"/>
            <w:hideMark/>
          </w:tcPr>
          <w:p w14:paraId="6320C96B" w14:textId="77777777" w:rsidR="001A7B9B" w:rsidRPr="002C37E7" w:rsidRDefault="001A7B9B" w:rsidP="00147C49">
            <w:pPr>
              <w:pStyle w:val="NormaleWeb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C37E7">
              <w:rPr>
                <w:rFonts w:asciiTheme="minorHAnsi" w:hAnsiTheme="minorHAnsi" w:cstheme="minorHAnsi"/>
                <w:sz w:val="20"/>
                <w:szCs w:val="20"/>
              </w:rPr>
              <w:t>Adeguamento del funzionamento della banca dati dei bollini autoadesivi a lettura automatica, apposti sulle confezioni dei medicinali erogati dal S.S.N., che regista i movimenti delle singole confezioni</w:t>
            </w:r>
          </w:p>
        </w:tc>
        <w:tc>
          <w:tcPr>
            <w:tcW w:w="1400" w:type="pct"/>
            <w:tcBorders>
              <w:top w:val="single" w:sz="4" w:space="0" w:color="00457D"/>
              <w:left w:val="single" w:sz="4" w:space="0" w:color="00457D"/>
              <w:bottom w:val="single" w:sz="4" w:space="0" w:color="00457D"/>
              <w:right w:val="single" w:sz="4" w:space="0" w:color="00457D"/>
            </w:tcBorders>
            <w:vAlign w:val="center"/>
            <w:hideMark/>
          </w:tcPr>
          <w:p w14:paraId="7BDBFC2A" w14:textId="77777777" w:rsidR="001A7B9B" w:rsidRPr="002C37E7" w:rsidRDefault="001A7B9B" w:rsidP="00147C49">
            <w:pPr>
              <w:pStyle w:val="NormaleWeb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C37E7">
              <w:rPr>
                <w:rFonts w:asciiTheme="minorHAnsi" w:hAnsiTheme="minorHAnsi" w:cstheme="minorHAnsi"/>
                <w:sz w:val="20"/>
                <w:szCs w:val="20"/>
              </w:rPr>
              <w:t>Non adottato</w:t>
            </w:r>
          </w:p>
        </w:tc>
      </w:tr>
      <w:tr w:rsidR="001A7B9B" w:rsidRPr="002C37E7" w14:paraId="722E89E6" w14:textId="77777777" w:rsidTr="00147C49">
        <w:trPr>
          <w:jc w:val="center"/>
        </w:trPr>
        <w:tc>
          <w:tcPr>
            <w:tcW w:w="936" w:type="pct"/>
            <w:tcBorders>
              <w:top w:val="single" w:sz="4" w:space="0" w:color="00457D"/>
              <w:left w:val="single" w:sz="4" w:space="0" w:color="00457D"/>
              <w:bottom w:val="single" w:sz="4" w:space="0" w:color="00457D"/>
              <w:right w:val="single" w:sz="4" w:space="0" w:color="00457D"/>
            </w:tcBorders>
            <w:vAlign w:val="center"/>
            <w:hideMark/>
          </w:tcPr>
          <w:p w14:paraId="776FC4FF" w14:textId="77777777" w:rsidR="001A7B9B" w:rsidRPr="002C37E7" w:rsidRDefault="001A7B9B" w:rsidP="00147C49">
            <w:pPr>
              <w:pStyle w:val="NormaleWeb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C37E7">
              <w:rPr>
                <w:rFonts w:asciiTheme="minorHAnsi" w:hAnsiTheme="minorHAnsi" w:cstheme="minorHAnsi"/>
                <w:sz w:val="20"/>
                <w:szCs w:val="20"/>
              </w:rPr>
              <w:t>D.Lgs.</w:t>
            </w:r>
            <w:proofErr w:type="spellEnd"/>
            <w:r w:rsidRPr="002C37E7">
              <w:rPr>
                <w:rFonts w:asciiTheme="minorHAnsi" w:hAnsiTheme="minorHAnsi" w:cstheme="minorHAnsi"/>
                <w:sz w:val="20"/>
                <w:szCs w:val="20"/>
              </w:rPr>
              <w:t xml:space="preserve"> 10/2025, art. 6, c. 2</w:t>
            </w:r>
          </w:p>
        </w:tc>
        <w:tc>
          <w:tcPr>
            <w:tcW w:w="2664" w:type="pct"/>
            <w:tcBorders>
              <w:top w:val="single" w:sz="4" w:space="0" w:color="00457D"/>
              <w:left w:val="single" w:sz="4" w:space="0" w:color="00457D"/>
              <w:bottom w:val="single" w:sz="4" w:space="0" w:color="00457D"/>
              <w:right w:val="single" w:sz="4" w:space="0" w:color="00457D"/>
            </w:tcBorders>
            <w:vAlign w:val="center"/>
            <w:hideMark/>
          </w:tcPr>
          <w:p w14:paraId="15E55962" w14:textId="77777777" w:rsidR="001A7B9B" w:rsidRPr="002C37E7" w:rsidRDefault="001A7B9B" w:rsidP="00147C49">
            <w:pPr>
              <w:pStyle w:val="NormaleWeb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C37E7">
              <w:rPr>
                <w:rFonts w:asciiTheme="minorHAnsi" w:hAnsiTheme="minorHAnsi" w:cstheme="minorHAnsi"/>
                <w:sz w:val="20"/>
                <w:szCs w:val="20"/>
              </w:rPr>
              <w:t xml:space="preserve">Individuazione delle specifiche tecniche per l'adeguamento dei sistemi di registrazione dell'identificativo univoco </w:t>
            </w:r>
          </w:p>
        </w:tc>
        <w:tc>
          <w:tcPr>
            <w:tcW w:w="1400" w:type="pct"/>
            <w:tcBorders>
              <w:top w:val="single" w:sz="4" w:space="0" w:color="00457D"/>
              <w:left w:val="single" w:sz="4" w:space="0" w:color="00457D"/>
              <w:bottom w:val="single" w:sz="4" w:space="0" w:color="00457D"/>
              <w:right w:val="single" w:sz="4" w:space="0" w:color="00457D"/>
            </w:tcBorders>
            <w:vAlign w:val="center"/>
            <w:hideMark/>
          </w:tcPr>
          <w:p w14:paraId="1AA2CA10" w14:textId="77777777" w:rsidR="001A7B9B" w:rsidRPr="002C37E7" w:rsidRDefault="001A7B9B" w:rsidP="00147C49">
            <w:pPr>
              <w:pStyle w:val="NormaleWeb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C37E7">
              <w:rPr>
                <w:rFonts w:asciiTheme="minorHAnsi" w:hAnsiTheme="minorHAnsi" w:cstheme="minorHAnsi"/>
                <w:sz w:val="20"/>
                <w:szCs w:val="20"/>
              </w:rPr>
              <w:t>Non adottato</w:t>
            </w:r>
          </w:p>
        </w:tc>
      </w:tr>
      <w:tr w:rsidR="001A7B9B" w:rsidRPr="002C37E7" w14:paraId="04EF12D5" w14:textId="77777777" w:rsidTr="00147C49">
        <w:trPr>
          <w:jc w:val="center"/>
        </w:trPr>
        <w:tc>
          <w:tcPr>
            <w:tcW w:w="936" w:type="pct"/>
            <w:tcBorders>
              <w:top w:val="single" w:sz="4" w:space="0" w:color="00457D"/>
              <w:left w:val="single" w:sz="4" w:space="0" w:color="00457D"/>
              <w:bottom w:val="single" w:sz="4" w:space="0" w:color="00457D"/>
              <w:right w:val="single" w:sz="4" w:space="0" w:color="00457D"/>
            </w:tcBorders>
            <w:vAlign w:val="center"/>
            <w:hideMark/>
          </w:tcPr>
          <w:p w14:paraId="7E6D1E55" w14:textId="77777777" w:rsidR="001A7B9B" w:rsidRPr="002C37E7" w:rsidRDefault="001A7B9B" w:rsidP="00147C49">
            <w:pPr>
              <w:pStyle w:val="NormaleWeb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C37E7">
              <w:rPr>
                <w:rFonts w:asciiTheme="minorHAnsi" w:hAnsiTheme="minorHAnsi" w:cstheme="minorHAnsi"/>
                <w:sz w:val="20"/>
                <w:szCs w:val="20"/>
              </w:rPr>
              <w:t>D.Lgs.</w:t>
            </w:r>
            <w:proofErr w:type="spellEnd"/>
            <w:r w:rsidRPr="002C37E7">
              <w:rPr>
                <w:rFonts w:asciiTheme="minorHAnsi" w:hAnsiTheme="minorHAnsi" w:cstheme="minorHAnsi"/>
                <w:sz w:val="20"/>
                <w:szCs w:val="20"/>
              </w:rPr>
              <w:t xml:space="preserve"> 10/2025, art. 7, c. 2</w:t>
            </w:r>
          </w:p>
        </w:tc>
        <w:tc>
          <w:tcPr>
            <w:tcW w:w="2664" w:type="pct"/>
            <w:tcBorders>
              <w:top w:val="single" w:sz="4" w:space="0" w:color="00457D"/>
              <w:left w:val="single" w:sz="4" w:space="0" w:color="00457D"/>
              <w:bottom w:val="single" w:sz="4" w:space="0" w:color="00457D"/>
              <w:right w:val="single" w:sz="4" w:space="0" w:color="00457D"/>
            </w:tcBorders>
            <w:vAlign w:val="center"/>
            <w:hideMark/>
          </w:tcPr>
          <w:p w14:paraId="3B31A4BB" w14:textId="77777777" w:rsidR="001A7B9B" w:rsidRPr="002C37E7" w:rsidRDefault="001A7B9B" w:rsidP="00147C49">
            <w:pPr>
              <w:pStyle w:val="NormaleWeb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C37E7">
              <w:rPr>
                <w:rFonts w:asciiTheme="minorHAnsi" w:hAnsiTheme="minorHAnsi" w:cstheme="minorHAnsi"/>
                <w:sz w:val="20"/>
                <w:szCs w:val="20"/>
              </w:rPr>
              <w:t>Definizione delle modalità di interazione tra l'Archivio nazionale degli identificativi univoci ed i soggetti autorizzati a fornire i medicinali al pubblico, al fine di verificare la disattivazione dell'identificativo univoco</w:t>
            </w:r>
          </w:p>
        </w:tc>
        <w:tc>
          <w:tcPr>
            <w:tcW w:w="1400" w:type="pct"/>
            <w:tcBorders>
              <w:top w:val="single" w:sz="4" w:space="0" w:color="00457D"/>
              <w:left w:val="single" w:sz="4" w:space="0" w:color="00457D"/>
              <w:bottom w:val="single" w:sz="4" w:space="0" w:color="00457D"/>
              <w:right w:val="single" w:sz="4" w:space="0" w:color="00457D"/>
            </w:tcBorders>
            <w:vAlign w:val="center"/>
            <w:hideMark/>
          </w:tcPr>
          <w:p w14:paraId="7A896B87" w14:textId="77777777" w:rsidR="001A7B9B" w:rsidRPr="002C37E7" w:rsidRDefault="001A7B9B" w:rsidP="00147C49">
            <w:pPr>
              <w:pStyle w:val="NormaleWeb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C37E7">
              <w:rPr>
                <w:rFonts w:asciiTheme="minorHAnsi" w:hAnsiTheme="minorHAnsi" w:cstheme="minorHAnsi"/>
                <w:sz w:val="20"/>
                <w:szCs w:val="20"/>
              </w:rPr>
              <w:t>Non adottato</w:t>
            </w:r>
          </w:p>
        </w:tc>
      </w:tr>
      <w:tr w:rsidR="001A7B9B" w:rsidRPr="002C37E7" w14:paraId="1A44CB9A" w14:textId="77777777" w:rsidTr="00147C49">
        <w:trPr>
          <w:jc w:val="center"/>
        </w:trPr>
        <w:tc>
          <w:tcPr>
            <w:tcW w:w="936" w:type="pct"/>
            <w:tcBorders>
              <w:top w:val="single" w:sz="4" w:space="0" w:color="00457D"/>
              <w:left w:val="single" w:sz="4" w:space="0" w:color="00457D"/>
              <w:bottom w:val="single" w:sz="4" w:space="0" w:color="00457D"/>
              <w:right w:val="single" w:sz="4" w:space="0" w:color="00457D"/>
            </w:tcBorders>
            <w:vAlign w:val="center"/>
            <w:hideMark/>
          </w:tcPr>
          <w:p w14:paraId="62B2215C" w14:textId="77777777" w:rsidR="001A7B9B" w:rsidRPr="002C37E7" w:rsidRDefault="001A7B9B" w:rsidP="00147C49">
            <w:pPr>
              <w:pStyle w:val="NormaleWeb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C37E7">
              <w:rPr>
                <w:rFonts w:asciiTheme="minorHAnsi" w:hAnsiTheme="minorHAnsi" w:cstheme="minorHAnsi"/>
                <w:sz w:val="20"/>
                <w:szCs w:val="20"/>
              </w:rPr>
              <w:t>D.Lgs.</w:t>
            </w:r>
            <w:proofErr w:type="spellEnd"/>
            <w:r w:rsidRPr="002C37E7">
              <w:rPr>
                <w:rFonts w:asciiTheme="minorHAnsi" w:hAnsiTheme="minorHAnsi" w:cstheme="minorHAnsi"/>
                <w:sz w:val="20"/>
                <w:szCs w:val="20"/>
              </w:rPr>
              <w:t xml:space="preserve"> 10/2025, art. 10, c. 21</w:t>
            </w:r>
          </w:p>
        </w:tc>
        <w:tc>
          <w:tcPr>
            <w:tcW w:w="2664" w:type="pct"/>
            <w:tcBorders>
              <w:top w:val="single" w:sz="4" w:space="0" w:color="00457D"/>
              <w:left w:val="single" w:sz="4" w:space="0" w:color="00457D"/>
              <w:bottom w:val="single" w:sz="4" w:space="0" w:color="00457D"/>
              <w:right w:val="single" w:sz="4" w:space="0" w:color="00457D"/>
            </w:tcBorders>
            <w:vAlign w:val="center"/>
            <w:hideMark/>
          </w:tcPr>
          <w:p w14:paraId="66B6B829" w14:textId="77777777" w:rsidR="001A7B9B" w:rsidRPr="002C37E7" w:rsidRDefault="001A7B9B" w:rsidP="00147C49">
            <w:pPr>
              <w:pStyle w:val="NormaleWeb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C37E7">
              <w:rPr>
                <w:rFonts w:asciiTheme="minorHAnsi" w:hAnsiTheme="minorHAnsi" w:cstheme="minorHAnsi"/>
                <w:sz w:val="20"/>
                <w:szCs w:val="20"/>
              </w:rPr>
              <w:t>Ripartizione dei proventi derivanti dall'applicazione delle sanzioni amministrative pecuniarie accertate relative alla mancata registrazione dell'identificativo univoco da parte del farmacista, o da informazioni diverse inserite dal fabbricante, o all'impedimento dell'accesso all'Archivio nazionale ecc.</w:t>
            </w:r>
          </w:p>
        </w:tc>
        <w:tc>
          <w:tcPr>
            <w:tcW w:w="1400" w:type="pct"/>
            <w:tcBorders>
              <w:top w:val="single" w:sz="4" w:space="0" w:color="00457D"/>
              <w:left w:val="single" w:sz="4" w:space="0" w:color="00457D"/>
              <w:bottom w:val="single" w:sz="4" w:space="0" w:color="00457D"/>
              <w:right w:val="single" w:sz="4" w:space="0" w:color="00457D"/>
            </w:tcBorders>
            <w:vAlign w:val="center"/>
            <w:hideMark/>
          </w:tcPr>
          <w:p w14:paraId="0AC3F2C3" w14:textId="4F9A8F6D" w:rsidR="001A7B9B" w:rsidRPr="002C37E7" w:rsidRDefault="00B045BA" w:rsidP="00147C49">
            <w:pPr>
              <w:pStyle w:val="NormaleWeb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1A7B9B" w:rsidRPr="002C37E7">
              <w:rPr>
                <w:rFonts w:asciiTheme="minorHAnsi" w:hAnsiTheme="minorHAnsi" w:cstheme="minorHAnsi"/>
                <w:sz w:val="20"/>
                <w:szCs w:val="20"/>
              </w:rPr>
              <w:t>dottato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con Decreto 20/11/2025 </w:t>
            </w:r>
            <w:hyperlink r:id="rId13" w:history="1">
              <w:r w:rsidRPr="00B045BA">
                <w:rPr>
                  <w:rStyle w:val="Collegamentoipertestuale"/>
                  <w:rFonts w:asciiTheme="minorHAnsi" w:hAnsiTheme="minorHAnsi" w:cstheme="minorHAnsi"/>
                  <w:sz w:val="20"/>
                  <w:szCs w:val="20"/>
                </w:rPr>
                <w:t>(G.U. n. 27 del 03/02/2026)</w:t>
              </w:r>
            </w:hyperlink>
          </w:p>
        </w:tc>
      </w:tr>
      <w:tr w:rsidR="001A7B9B" w:rsidRPr="002C37E7" w14:paraId="1B899010" w14:textId="77777777" w:rsidTr="00147C49">
        <w:trPr>
          <w:jc w:val="center"/>
        </w:trPr>
        <w:tc>
          <w:tcPr>
            <w:tcW w:w="936" w:type="pct"/>
            <w:tcBorders>
              <w:top w:val="single" w:sz="4" w:space="0" w:color="00457D"/>
              <w:left w:val="single" w:sz="4" w:space="0" w:color="00457D"/>
              <w:bottom w:val="single" w:sz="4" w:space="0" w:color="00457D"/>
              <w:right w:val="single" w:sz="4" w:space="0" w:color="00457D"/>
            </w:tcBorders>
            <w:vAlign w:val="center"/>
            <w:hideMark/>
          </w:tcPr>
          <w:p w14:paraId="5C43A597" w14:textId="77777777" w:rsidR="001A7B9B" w:rsidRPr="002C37E7" w:rsidRDefault="001A7B9B" w:rsidP="00147C49">
            <w:pPr>
              <w:pStyle w:val="NormaleWeb"/>
              <w:spacing w:line="276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  <w:proofErr w:type="spellStart"/>
            <w:r w:rsidRPr="002C37E7"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>D.Lgs</w:t>
            </w:r>
            <w:proofErr w:type="spellEnd"/>
            <w:r w:rsidRPr="002C37E7"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 xml:space="preserve">. 10/2025, art. 12, </w:t>
            </w:r>
            <w:r w:rsidRPr="002C37E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c. </w:t>
            </w:r>
            <w:r w:rsidRPr="002C37E7"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 xml:space="preserve">1, </w:t>
            </w:r>
            <w:proofErr w:type="spellStart"/>
            <w:r w:rsidRPr="002C37E7"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>lett</w:t>
            </w:r>
            <w:proofErr w:type="spellEnd"/>
            <w:r w:rsidRPr="002C37E7"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>. b)</w:t>
            </w:r>
          </w:p>
        </w:tc>
        <w:tc>
          <w:tcPr>
            <w:tcW w:w="2664" w:type="pct"/>
            <w:tcBorders>
              <w:top w:val="single" w:sz="4" w:space="0" w:color="00457D"/>
              <w:left w:val="single" w:sz="4" w:space="0" w:color="00457D"/>
              <w:bottom w:val="single" w:sz="4" w:space="0" w:color="00457D"/>
              <w:right w:val="single" w:sz="4" w:space="0" w:color="00457D"/>
            </w:tcBorders>
            <w:vAlign w:val="center"/>
            <w:hideMark/>
          </w:tcPr>
          <w:p w14:paraId="2A34791C" w14:textId="77777777" w:rsidR="001A7B9B" w:rsidRPr="002C37E7" w:rsidRDefault="001A7B9B" w:rsidP="00147C49">
            <w:pPr>
              <w:pStyle w:val="NormaleWeb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C37E7">
              <w:rPr>
                <w:rFonts w:asciiTheme="minorHAnsi" w:hAnsiTheme="minorHAnsi" w:cstheme="minorHAnsi"/>
                <w:sz w:val="20"/>
                <w:szCs w:val="20"/>
              </w:rPr>
              <w:t>Definizione delle modalità, dei tempi di impianto e di funzionamento della banca dati centrale, istituita presso il Ministero della salute per raccogliere e registrare i movimenti delle singole confezioni dei medicinali, adeguandola alle disposizioni relative all'identificativo univoco</w:t>
            </w:r>
          </w:p>
        </w:tc>
        <w:tc>
          <w:tcPr>
            <w:tcW w:w="1400" w:type="pct"/>
            <w:tcBorders>
              <w:top w:val="single" w:sz="4" w:space="0" w:color="00457D"/>
              <w:left w:val="single" w:sz="4" w:space="0" w:color="00457D"/>
              <w:bottom w:val="single" w:sz="4" w:space="0" w:color="00457D"/>
              <w:right w:val="single" w:sz="4" w:space="0" w:color="00457D"/>
            </w:tcBorders>
            <w:vAlign w:val="center"/>
            <w:hideMark/>
          </w:tcPr>
          <w:p w14:paraId="3A16E630" w14:textId="77777777" w:rsidR="001A7B9B" w:rsidRPr="002C37E7" w:rsidRDefault="001A7B9B" w:rsidP="00147C49">
            <w:pPr>
              <w:pStyle w:val="NormaleWeb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C37E7">
              <w:rPr>
                <w:rFonts w:asciiTheme="minorHAnsi" w:hAnsiTheme="minorHAnsi" w:cstheme="minorHAnsi"/>
                <w:sz w:val="20"/>
                <w:szCs w:val="20"/>
              </w:rPr>
              <w:t>Non adottato</w:t>
            </w:r>
          </w:p>
        </w:tc>
      </w:tr>
      <w:tr w:rsidR="001A7B9B" w:rsidRPr="002C37E7" w14:paraId="3D6E8847" w14:textId="77777777" w:rsidTr="00147C49">
        <w:trPr>
          <w:trHeight w:val="96"/>
          <w:jc w:val="center"/>
        </w:trPr>
        <w:tc>
          <w:tcPr>
            <w:tcW w:w="936" w:type="pct"/>
            <w:tcBorders>
              <w:top w:val="single" w:sz="4" w:space="0" w:color="00457D"/>
              <w:left w:val="single" w:sz="4" w:space="0" w:color="00457D"/>
              <w:bottom w:val="single" w:sz="4" w:space="0" w:color="00457D"/>
              <w:right w:val="single" w:sz="4" w:space="0" w:color="00457D"/>
            </w:tcBorders>
            <w:vAlign w:val="center"/>
            <w:hideMark/>
          </w:tcPr>
          <w:p w14:paraId="07687A60" w14:textId="77777777" w:rsidR="001A7B9B" w:rsidRPr="002C37E7" w:rsidRDefault="001A7B9B" w:rsidP="00147C49">
            <w:pPr>
              <w:pStyle w:val="NormaleWeb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C37E7">
              <w:rPr>
                <w:rFonts w:asciiTheme="minorHAnsi" w:hAnsiTheme="minorHAnsi" w:cstheme="minorHAnsi"/>
                <w:sz w:val="20"/>
                <w:szCs w:val="20"/>
              </w:rPr>
              <w:t>D.Lgs.</w:t>
            </w:r>
            <w:proofErr w:type="spellEnd"/>
            <w:r w:rsidRPr="002C37E7">
              <w:rPr>
                <w:rFonts w:asciiTheme="minorHAnsi" w:hAnsiTheme="minorHAnsi" w:cstheme="minorHAnsi"/>
                <w:sz w:val="20"/>
                <w:szCs w:val="20"/>
              </w:rPr>
              <w:t xml:space="preserve"> 10/2025, art. 13, c. 4</w:t>
            </w:r>
          </w:p>
        </w:tc>
        <w:tc>
          <w:tcPr>
            <w:tcW w:w="2664" w:type="pct"/>
            <w:tcBorders>
              <w:top w:val="single" w:sz="4" w:space="0" w:color="00457D"/>
              <w:left w:val="single" w:sz="4" w:space="0" w:color="00457D"/>
              <w:bottom w:val="single" w:sz="4" w:space="0" w:color="00457D"/>
              <w:right w:val="single" w:sz="4" w:space="0" w:color="00457D"/>
            </w:tcBorders>
            <w:vAlign w:val="center"/>
            <w:hideMark/>
          </w:tcPr>
          <w:p w14:paraId="4E2B7011" w14:textId="77777777" w:rsidR="001A7B9B" w:rsidRPr="002C37E7" w:rsidRDefault="001A7B9B" w:rsidP="00147C49">
            <w:pPr>
              <w:pStyle w:val="NormaleWeb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C37E7">
              <w:rPr>
                <w:rFonts w:asciiTheme="minorHAnsi" w:hAnsiTheme="minorHAnsi" w:cstheme="minorHAnsi"/>
                <w:sz w:val="20"/>
                <w:szCs w:val="20"/>
              </w:rPr>
              <w:t>Istituzione di un tavolo tecnico per il monitoraggio dello stato di avanzamento delle fasi del periodo di stabilizzazione del nuovo sistema di monitoraggio dei medicinali. Definizione della composizione del tavolo e del funzionamento</w:t>
            </w:r>
          </w:p>
        </w:tc>
        <w:tc>
          <w:tcPr>
            <w:tcW w:w="1400" w:type="pct"/>
            <w:tcBorders>
              <w:top w:val="single" w:sz="4" w:space="0" w:color="00457D"/>
              <w:left w:val="single" w:sz="4" w:space="0" w:color="00457D"/>
              <w:bottom w:val="single" w:sz="4" w:space="0" w:color="00457D"/>
              <w:right w:val="single" w:sz="4" w:space="0" w:color="00457D"/>
            </w:tcBorders>
            <w:vAlign w:val="center"/>
            <w:hideMark/>
          </w:tcPr>
          <w:p w14:paraId="7377290B" w14:textId="77777777" w:rsidR="001A7B9B" w:rsidRPr="002C37E7" w:rsidRDefault="001A7B9B" w:rsidP="00147C49">
            <w:pPr>
              <w:pStyle w:val="NormaleWeb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C37E7">
              <w:rPr>
                <w:rFonts w:asciiTheme="minorHAnsi" w:hAnsiTheme="minorHAnsi" w:cstheme="minorHAnsi"/>
                <w:sz w:val="20"/>
                <w:szCs w:val="20"/>
              </w:rPr>
              <w:t xml:space="preserve">Adottato con </w:t>
            </w:r>
            <w:hyperlink r:id="rId14" w:history="1">
              <w:r w:rsidRPr="002C37E7">
                <w:rPr>
                  <w:rStyle w:val="Collegamentoipertestuale"/>
                  <w:rFonts w:asciiTheme="minorHAnsi" w:hAnsiTheme="minorHAnsi" w:cstheme="minorHAnsi"/>
                  <w:sz w:val="20"/>
                  <w:szCs w:val="20"/>
                </w:rPr>
                <w:t>Decreto Ministeriale</w:t>
              </w:r>
            </w:hyperlink>
          </w:p>
        </w:tc>
      </w:tr>
      <w:tr w:rsidR="001A7B9B" w:rsidRPr="002C37E7" w14:paraId="06F4A8F3" w14:textId="77777777" w:rsidTr="00147C49">
        <w:trPr>
          <w:trHeight w:val="96"/>
          <w:jc w:val="center"/>
        </w:trPr>
        <w:tc>
          <w:tcPr>
            <w:tcW w:w="936" w:type="pct"/>
            <w:tcBorders>
              <w:top w:val="single" w:sz="4" w:space="0" w:color="00457D"/>
              <w:left w:val="single" w:sz="4" w:space="0" w:color="00457D"/>
              <w:bottom w:val="single" w:sz="4" w:space="0" w:color="00457D"/>
              <w:right w:val="single" w:sz="4" w:space="0" w:color="00457D"/>
            </w:tcBorders>
            <w:vAlign w:val="center"/>
          </w:tcPr>
          <w:p w14:paraId="546EDA3E" w14:textId="77777777" w:rsidR="001A7B9B" w:rsidRPr="002C37E7" w:rsidRDefault="001A7B9B" w:rsidP="00147C49">
            <w:pPr>
              <w:pStyle w:val="NormaleWeb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C37E7">
              <w:rPr>
                <w:rFonts w:asciiTheme="minorHAnsi" w:hAnsiTheme="minorHAnsi" w:cstheme="minorHAnsi"/>
                <w:sz w:val="20"/>
                <w:szCs w:val="20"/>
              </w:rPr>
              <w:t>D.Lgs.</w:t>
            </w:r>
            <w:proofErr w:type="spellEnd"/>
            <w:r w:rsidRPr="002C37E7">
              <w:rPr>
                <w:rFonts w:asciiTheme="minorHAnsi" w:hAnsiTheme="minorHAnsi" w:cstheme="minorHAnsi"/>
                <w:sz w:val="20"/>
                <w:szCs w:val="20"/>
              </w:rPr>
              <w:t xml:space="preserve"> 10/2025, art. 4, c. 7</w:t>
            </w:r>
          </w:p>
        </w:tc>
        <w:tc>
          <w:tcPr>
            <w:tcW w:w="2664" w:type="pct"/>
            <w:tcBorders>
              <w:top w:val="single" w:sz="4" w:space="0" w:color="00457D"/>
              <w:left w:val="single" w:sz="4" w:space="0" w:color="00457D"/>
              <w:bottom w:val="single" w:sz="4" w:space="0" w:color="00457D"/>
              <w:right w:val="single" w:sz="4" w:space="0" w:color="00457D"/>
            </w:tcBorders>
            <w:vAlign w:val="center"/>
          </w:tcPr>
          <w:p w14:paraId="3BB75D2E" w14:textId="77777777" w:rsidR="001A7B9B" w:rsidRPr="002C37E7" w:rsidRDefault="001A7B9B" w:rsidP="00147C49">
            <w:pPr>
              <w:pStyle w:val="NormaleWeb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C37E7">
              <w:rPr>
                <w:rFonts w:asciiTheme="minorHAnsi" w:hAnsiTheme="minorHAnsi" w:cstheme="minorHAnsi"/>
                <w:sz w:val="20"/>
                <w:szCs w:val="20"/>
              </w:rPr>
              <w:t>Istruzioni applicative relative alle procedure di rilascio dell'AIC e alle modalità per adempiere agli obblighi previsti anche relativamente ai medicinali di importazione e distribuzione parallela.</w:t>
            </w:r>
          </w:p>
        </w:tc>
        <w:tc>
          <w:tcPr>
            <w:tcW w:w="1400" w:type="pct"/>
            <w:tcBorders>
              <w:top w:val="single" w:sz="4" w:space="0" w:color="00457D"/>
              <w:left w:val="single" w:sz="4" w:space="0" w:color="00457D"/>
              <w:bottom w:val="single" w:sz="4" w:space="0" w:color="00457D"/>
              <w:right w:val="single" w:sz="4" w:space="0" w:color="00457D"/>
            </w:tcBorders>
            <w:vAlign w:val="center"/>
          </w:tcPr>
          <w:p w14:paraId="047E93B1" w14:textId="77777777" w:rsidR="001A7B9B" w:rsidRPr="002C37E7" w:rsidRDefault="001A7B9B" w:rsidP="00147C49">
            <w:pPr>
              <w:pStyle w:val="NormaleWeb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C37E7">
              <w:rPr>
                <w:rFonts w:asciiTheme="minorHAnsi" w:hAnsiTheme="minorHAnsi" w:cstheme="minorHAnsi"/>
                <w:sz w:val="20"/>
                <w:szCs w:val="20"/>
              </w:rPr>
              <w:t xml:space="preserve">Adottato con Provvedimento AIFA </w:t>
            </w:r>
            <w:hyperlink r:id="rId15" w:history="1">
              <w:r w:rsidRPr="002C37E7">
                <w:rPr>
                  <w:rStyle w:val="Collegamentoipertestuale"/>
                  <w:rFonts w:asciiTheme="minorHAnsi" w:hAnsiTheme="minorHAnsi" w:cstheme="minorHAnsi"/>
                  <w:sz w:val="20"/>
                  <w:szCs w:val="20"/>
                </w:rPr>
                <w:t>DTS 56-2025 del 17 luglio 2025</w:t>
              </w:r>
            </w:hyperlink>
            <w:r w:rsidRPr="002C37E7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hyperlink r:id="rId16" w:history="1">
              <w:r w:rsidRPr="002C37E7">
                <w:rPr>
                  <w:rStyle w:val="Collegamentoipertestuale"/>
                  <w:rFonts w:asciiTheme="minorHAnsi" w:hAnsiTheme="minorHAnsi" w:cstheme="minorHAnsi"/>
                  <w:sz w:val="20"/>
                  <w:szCs w:val="20"/>
                </w:rPr>
                <w:t>istruzioni applicative</w:t>
              </w:r>
            </w:hyperlink>
          </w:p>
        </w:tc>
      </w:tr>
    </w:tbl>
    <w:p w14:paraId="730215DE" w14:textId="476C4881" w:rsidR="001A7B9B" w:rsidRDefault="001A7B9B" w:rsidP="001A7B9B">
      <w:pPr>
        <w:spacing w:after="120"/>
        <w:jc w:val="both"/>
        <w:rPr>
          <w:rFonts w:cstheme="minorHAnsi"/>
        </w:rPr>
      </w:pPr>
    </w:p>
    <w:p w14:paraId="068F295C" w14:textId="77777777" w:rsidR="0095641F" w:rsidRDefault="0095641F">
      <w:pPr>
        <w:rPr>
          <w:rFonts w:cstheme="minorHAnsi"/>
          <w:b/>
          <w:bCs/>
          <w:color w:val="00457D"/>
        </w:rPr>
      </w:pPr>
      <w:r>
        <w:rPr>
          <w:rFonts w:cstheme="minorHAnsi"/>
          <w:b/>
          <w:bCs/>
          <w:color w:val="00457D"/>
        </w:rPr>
        <w:br w:type="page"/>
      </w:r>
    </w:p>
    <w:p w14:paraId="20266970" w14:textId="0B95A2B1" w:rsidR="005D7F3B" w:rsidRPr="005D7F3B" w:rsidRDefault="005D7F3B" w:rsidP="005D7F3B">
      <w:pPr>
        <w:spacing w:before="120" w:after="300"/>
        <w:jc w:val="center"/>
        <w:rPr>
          <w:rFonts w:cstheme="minorHAnsi"/>
          <w:b/>
          <w:bCs/>
          <w:color w:val="00457D"/>
        </w:rPr>
      </w:pPr>
      <w:r w:rsidRPr="005D7F3B">
        <w:rPr>
          <w:rFonts w:cstheme="minorHAnsi"/>
          <w:b/>
          <w:bCs/>
          <w:color w:val="00457D"/>
        </w:rPr>
        <w:lastRenderedPageBreak/>
        <w:t xml:space="preserve">Tabella 2. Tipologie di struttura di appartenenza dei rispondenti alla </w:t>
      </w:r>
      <w:proofErr w:type="spellStart"/>
      <w:r w:rsidRPr="005D7F3B">
        <w:rPr>
          <w:rFonts w:cstheme="minorHAnsi"/>
          <w:b/>
          <w:bCs/>
          <w:color w:val="00457D"/>
        </w:rPr>
        <w:t>survey</w:t>
      </w:r>
      <w:proofErr w:type="spellEnd"/>
      <w:r w:rsidRPr="005D7F3B">
        <w:rPr>
          <w:rFonts w:cstheme="minorHAnsi"/>
          <w:b/>
          <w:bCs/>
          <w:color w:val="00457D"/>
        </w:rPr>
        <w:t xml:space="preserve"> quantitativa</w:t>
      </w:r>
    </w:p>
    <w:tbl>
      <w:tblPr>
        <w:tblW w:w="7514" w:type="dxa"/>
        <w:jc w:val="center"/>
        <w:tblBorders>
          <w:top w:val="single" w:sz="4" w:space="0" w:color="00457D"/>
          <w:left w:val="single" w:sz="4" w:space="0" w:color="00457D"/>
          <w:bottom w:val="single" w:sz="4" w:space="0" w:color="00457D"/>
          <w:right w:val="single" w:sz="4" w:space="0" w:color="00457D"/>
          <w:insideH w:val="single" w:sz="4" w:space="0" w:color="00457D"/>
          <w:insideV w:val="single" w:sz="4" w:space="0" w:color="00457D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562"/>
        <w:gridCol w:w="1562"/>
      </w:tblGrid>
      <w:tr w:rsidR="005D7F3B" w:rsidRPr="002D2008" w14:paraId="4081FEE8" w14:textId="77777777" w:rsidTr="00976C70">
        <w:trPr>
          <w:trHeight w:val="340"/>
          <w:jc w:val="center"/>
        </w:trPr>
        <w:tc>
          <w:tcPr>
            <w:tcW w:w="4390" w:type="dxa"/>
            <w:tcBorders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26666866" w14:textId="77777777" w:rsidR="005D7F3B" w:rsidRPr="00AC20FD" w:rsidRDefault="005D7F3B" w:rsidP="00976C70">
            <w:pPr>
              <w:spacing w:after="0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C20FD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Tipologia di struttura</w:t>
            </w:r>
          </w:p>
        </w:tc>
        <w:tc>
          <w:tcPr>
            <w:tcW w:w="156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41BFE1D4" w14:textId="77777777" w:rsidR="005D7F3B" w:rsidRPr="00AC20FD" w:rsidRDefault="005D7F3B" w:rsidP="00976C7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C20FD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N°</w:t>
            </w:r>
          </w:p>
        </w:tc>
        <w:tc>
          <w:tcPr>
            <w:tcW w:w="1562" w:type="dxa"/>
            <w:tcBorders>
              <w:lef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79475482" w14:textId="77777777" w:rsidR="005D7F3B" w:rsidRPr="00AC20FD" w:rsidRDefault="005D7F3B" w:rsidP="00976C7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C20FD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Percentuale</w:t>
            </w:r>
          </w:p>
        </w:tc>
      </w:tr>
      <w:tr w:rsidR="005D7F3B" w:rsidRPr="002D2008" w14:paraId="5E9535EB" w14:textId="77777777" w:rsidTr="00976C70">
        <w:trPr>
          <w:trHeight w:val="340"/>
          <w:jc w:val="center"/>
        </w:trPr>
        <w:tc>
          <w:tcPr>
            <w:tcW w:w="4390" w:type="dxa"/>
            <w:noWrap/>
            <w:vAlign w:val="center"/>
            <w:hideMark/>
          </w:tcPr>
          <w:p w14:paraId="561CD189" w14:textId="77777777" w:rsidR="005D7F3B" w:rsidRPr="00AC20FD" w:rsidRDefault="005D7F3B" w:rsidP="00976C7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C20FD">
              <w:rPr>
                <w:rFonts w:cstheme="minorHAnsi"/>
                <w:sz w:val="20"/>
                <w:szCs w:val="20"/>
              </w:rPr>
              <w:t>Aziende Sanitarie Locali</w:t>
            </w:r>
          </w:p>
        </w:tc>
        <w:tc>
          <w:tcPr>
            <w:tcW w:w="1562" w:type="dxa"/>
            <w:noWrap/>
            <w:vAlign w:val="center"/>
            <w:hideMark/>
          </w:tcPr>
          <w:p w14:paraId="2A9F6B02" w14:textId="77777777" w:rsidR="005D7F3B" w:rsidRPr="00AC20FD" w:rsidRDefault="005D7F3B" w:rsidP="00976C70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C20FD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562" w:type="dxa"/>
            <w:noWrap/>
            <w:vAlign w:val="center"/>
            <w:hideMark/>
          </w:tcPr>
          <w:p w14:paraId="40D8F754" w14:textId="77777777" w:rsidR="005D7F3B" w:rsidRPr="00AC20FD" w:rsidRDefault="005D7F3B" w:rsidP="00976C70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C20FD">
              <w:rPr>
                <w:rFonts w:cstheme="minorHAnsi"/>
                <w:sz w:val="20"/>
                <w:szCs w:val="20"/>
              </w:rPr>
              <w:t>40,5%</w:t>
            </w:r>
          </w:p>
        </w:tc>
      </w:tr>
      <w:tr w:rsidR="005D7F3B" w:rsidRPr="002D2008" w14:paraId="2404F005" w14:textId="77777777" w:rsidTr="00976C70">
        <w:trPr>
          <w:trHeight w:val="340"/>
          <w:jc w:val="center"/>
        </w:trPr>
        <w:tc>
          <w:tcPr>
            <w:tcW w:w="4390" w:type="dxa"/>
            <w:noWrap/>
            <w:vAlign w:val="center"/>
            <w:hideMark/>
          </w:tcPr>
          <w:p w14:paraId="1D42617F" w14:textId="77777777" w:rsidR="005D7F3B" w:rsidRPr="00AC20FD" w:rsidRDefault="005D7F3B" w:rsidP="00976C7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C20FD">
              <w:rPr>
                <w:rFonts w:cstheme="minorHAnsi"/>
                <w:sz w:val="20"/>
                <w:szCs w:val="20"/>
              </w:rPr>
              <w:t>IRCCS</w:t>
            </w:r>
          </w:p>
        </w:tc>
        <w:tc>
          <w:tcPr>
            <w:tcW w:w="1562" w:type="dxa"/>
            <w:noWrap/>
            <w:vAlign w:val="center"/>
            <w:hideMark/>
          </w:tcPr>
          <w:p w14:paraId="16A318E9" w14:textId="77777777" w:rsidR="005D7F3B" w:rsidRPr="00AC20FD" w:rsidRDefault="005D7F3B" w:rsidP="00976C70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C20FD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562" w:type="dxa"/>
            <w:noWrap/>
            <w:vAlign w:val="center"/>
            <w:hideMark/>
          </w:tcPr>
          <w:p w14:paraId="09FF58F9" w14:textId="77777777" w:rsidR="005D7F3B" w:rsidRPr="00AC20FD" w:rsidRDefault="005D7F3B" w:rsidP="00976C70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C20FD">
              <w:rPr>
                <w:rFonts w:cstheme="minorHAnsi"/>
                <w:sz w:val="20"/>
                <w:szCs w:val="20"/>
              </w:rPr>
              <w:t>20,3%</w:t>
            </w:r>
          </w:p>
        </w:tc>
      </w:tr>
      <w:tr w:rsidR="005D7F3B" w:rsidRPr="002D2008" w14:paraId="494321F7" w14:textId="77777777" w:rsidTr="00976C70">
        <w:trPr>
          <w:trHeight w:val="340"/>
          <w:jc w:val="center"/>
        </w:trPr>
        <w:tc>
          <w:tcPr>
            <w:tcW w:w="4390" w:type="dxa"/>
            <w:noWrap/>
            <w:vAlign w:val="center"/>
            <w:hideMark/>
          </w:tcPr>
          <w:p w14:paraId="6C78C60E" w14:textId="77777777" w:rsidR="005D7F3B" w:rsidRPr="00AC20FD" w:rsidRDefault="005D7F3B" w:rsidP="00976C7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C20FD">
              <w:rPr>
                <w:rFonts w:cstheme="minorHAnsi"/>
                <w:sz w:val="20"/>
                <w:szCs w:val="20"/>
              </w:rPr>
              <w:t>Aziende Ospedaliere</w:t>
            </w:r>
          </w:p>
        </w:tc>
        <w:tc>
          <w:tcPr>
            <w:tcW w:w="1562" w:type="dxa"/>
            <w:noWrap/>
            <w:vAlign w:val="center"/>
            <w:hideMark/>
          </w:tcPr>
          <w:p w14:paraId="705309E8" w14:textId="77777777" w:rsidR="005D7F3B" w:rsidRPr="00AC20FD" w:rsidRDefault="005D7F3B" w:rsidP="00976C70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C20FD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62" w:type="dxa"/>
            <w:noWrap/>
            <w:vAlign w:val="center"/>
            <w:hideMark/>
          </w:tcPr>
          <w:p w14:paraId="3CB00F2E" w14:textId="77777777" w:rsidR="005D7F3B" w:rsidRPr="00AC20FD" w:rsidRDefault="005D7F3B" w:rsidP="00976C70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C20FD">
              <w:rPr>
                <w:rFonts w:cstheme="minorHAnsi"/>
                <w:sz w:val="20"/>
                <w:szCs w:val="20"/>
              </w:rPr>
              <w:t>19,0%</w:t>
            </w:r>
          </w:p>
        </w:tc>
      </w:tr>
      <w:tr w:rsidR="005D7F3B" w:rsidRPr="002D2008" w14:paraId="4690810F" w14:textId="77777777" w:rsidTr="00976C70">
        <w:trPr>
          <w:trHeight w:val="340"/>
          <w:jc w:val="center"/>
        </w:trPr>
        <w:tc>
          <w:tcPr>
            <w:tcW w:w="4390" w:type="dxa"/>
            <w:noWrap/>
            <w:vAlign w:val="center"/>
            <w:hideMark/>
          </w:tcPr>
          <w:p w14:paraId="2F7ADACC" w14:textId="77777777" w:rsidR="005D7F3B" w:rsidRPr="00AC20FD" w:rsidRDefault="005D7F3B" w:rsidP="00976C7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C20FD">
              <w:rPr>
                <w:rFonts w:cstheme="minorHAnsi"/>
                <w:sz w:val="20"/>
                <w:szCs w:val="20"/>
              </w:rPr>
              <w:t>Aziende Ospedaliero-Universitarie / Policlinici</w:t>
            </w:r>
          </w:p>
        </w:tc>
        <w:tc>
          <w:tcPr>
            <w:tcW w:w="1562" w:type="dxa"/>
            <w:noWrap/>
            <w:vAlign w:val="center"/>
            <w:hideMark/>
          </w:tcPr>
          <w:p w14:paraId="17288453" w14:textId="77777777" w:rsidR="005D7F3B" w:rsidRPr="00AC20FD" w:rsidRDefault="005D7F3B" w:rsidP="00976C70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C20FD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562" w:type="dxa"/>
            <w:noWrap/>
            <w:vAlign w:val="center"/>
            <w:hideMark/>
          </w:tcPr>
          <w:p w14:paraId="0869312F" w14:textId="77777777" w:rsidR="005D7F3B" w:rsidRPr="00AC20FD" w:rsidRDefault="005D7F3B" w:rsidP="00976C70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C20FD">
              <w:rPr>
                <w:rFonts w:cstheme="minorHAnsi"/>
                <w:sz w:val="20"/>
                <w:szCs w:val="20"/>
              </w:rPr>
              <w:t>10,1%</w:t>
            </w:r>
          </w:p>
        </w:tc>
      </w:tr>
      <w:tr w:rsidR="005D7F3B" w:rsidRPr="002D2008" w14:paraId="34A63027" w14:textId="77777777" w:rsidTr="00976C70">
        <w:trPr>
          <w:trHeight w:val="340"/>
          <w:jc w:val="center"/>
        </w:trPr>
        <w:tc>
          <w:tcPr>
            <w:tcW w:w="4390" w:type="dxa"/>
            <w:noWrap/>
            <w:vAlign w:val="center"/>
            <w:hideMark/>
          </w:tcPr>
          <w:p w14:paraId="30B40400" w14:textId="77777777" w:rsidR="005D7F3B" w:rsidRPr="00AC20FD" w:rsidRDefault="005D7F3B" w:rsidP="00976C7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C20FD">
              <w:rPr>
                <w:rFonts w:cstheme="minorHAnsi"/>
                <w:sz w:val="20"/>
                <w:szCs w:val="20"/>
              </w:rPr>
              <w:t>Ospedali classificati o assimilati L.132/68</w:t>
            </w:r>
          </w:p>
        </w:tc>
        <w:tc>
          <w:tcPr>
            <w:tcW w:w="1562" w:type="dxa"/>
            <w:noWrap/>
            <w:vAlign w:val="center"/>
            <w:hideMark/>
          </w:tcPr>
          <w:p w14:paraId="050A4EE4" w14:textId="77777777" w:rsidR="005D7F3B" w:rsidRPr="00AC20FD" w:rsidRDefault="005D7F3B" w:rsidP="00976C70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C20F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62" w:type="dxa"/>
            <w:noWrap/>
            <w:vAlign w:val="center"/>
            <w:hideMark/>
          </w:tcPr>
          <w:p w14:paraId="778140F7" w14:textId="77777777" w:rsidR="005D7F3B" w:rsidRPr="00AC20FD" w:rsidRDefault="005D7F3B" w:rsidP="00976C70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C20FD">
              <w:rPr>
                <w:rFonts w:cstheme="minorHAnsi"/>
                <w:sz w:val="20"/>
                <w:szCs w:val="20"/>
              </w:rPr>
              <w:t>5,1%</w:t>
            </w:r>
          </w:p>
        </w:tc>
      </w:tr>
      <w:tr w:rsidR="005D7F3B" w:rsidRPr="002D2008" w14:paraId="0C35249C" w14:textId="77777777" w:rsidTr="00976C70">
        <w:trPr>
          <w:trHeight w:val="340"/>
          <w:jc w:val="center"/>
        </w:trPr>
        <w:tc>
          <w:tcPr>
            <w:tcW w:w="4390" w:type="dxa"/>
            <w:noWrap/>
            <w:vAlign w:val="center"/>
            <w:hideMark/>
          </w:tcPr>
          <w:p w14:paraId="66921BB6" w14:textId="77777777" w:rsidR="005D7F3B" w:rsidRPr="00AC20FD" w:rsidRDefault="005D7F3B" w:rsidP="00976C7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C20FD">
              <w:rPr>
                <w:rFonts w:cstheme="minorHAnsi"/>
                <w:sz w:val="20"/>
                <w:szCs w:val="20"/>
              </w:rPr>
              <w:t>Aziende Sanitarie Regionali</w:t>
            </w:r>
          </w:p>
        </w:tc>
        <w:tc>
          <w:tcPr>
            <w:tcW w:w="1562" w:type="dxa"/>
            <w:noWrap/>
            <w:vAlign w:val="center"/>
            <w:hideMark/>
          </w:tcPr>
          <w:p w14:paraId="0E3E0344" w14:textId="77777777" w:rsidR="005D7F3B" w:rsidRPr="00AC20FD" w:rsidRDefault="005D7F3B" w:rsidP="00976C70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C20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62" w:type="dxa"/>
            <w:noWrap/>
            <w:vAlign w:val="center"/>
            <w:hideMark/>
          </w:tcPr>
          <w:p w14:paraId="7C0FFBA0" w14:textId="77777777" w:rsidR="005D7F3B" w:rsidRPr="00AC20FD" w:rsidRDefault="005D7F3B" w:rsidP="00976C70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C20FD">
              <w:rPr>
                <w:rFonts w:cstheme="minorHAnsi"/>
                <w:sz w:val="20"/>
                <w:szCs w:val="20"/>
              </w:rPr>
              <w:t>2,5%</w:t>
            </w:r>
          </w:p>
        </w:tc>
      </w:tr>
      <w:tr w:rsidR="005D7F3B" w:rsidRPr="002D2008" w14:paraId="0E4C97C6" w14:textId="77777777" w:rsidTr="00976C70">
        <w:trPr>
          <w:trHeight w:val="340"/>
          <w:jc w:val="center"/>
        </w:trPr>
        <w:tc>
          <w:tcPr>
            <w:tcW w:w="4390" w:type="dxa"/>
            <w:noWrap/>
            <w:vAlign w:val="center"/>
            <w:hideMark/>
          </w:tcPr>
          <w:p w14:paraId="6DCA3555" w14:textId="77777777" w:rsidR="005D7F3B" w:rsidRPr="00AC20FD" w:rsidRDefault="005D7F3B" w:rsidP="00976C7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C20FD">
              <w:rPr>
                <w:rFonts w:cstheme="minorHAnsi"/>
                <w:sz w:val="20"/>
                <w:szCs w:val="20"/>
              </w:rPr>
              <w:t>Istituti qualificati presidio delle ASL</w:t>
            </w:r>
          </w:p>
        </w:tc>
        <w:tc>
          <w:tcPr>
            <w:tcW w:w="1562" w:type="dxa"/>
            <w:noWrap/>
            <w:vAlign w:val="center"/>
            <w:hideMark/>
          </w:tcPr>
          <w:p w14:paraId="016CF4B8" w14:textId="77777777" w:rsidR="005D7F3B" w:rsidRPr="00AC20FD" w:rsidRDefault="005D7F3B" w:rsidP="00976C70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C20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62" w:type="dxa"/>
            <w:noWrap/>
            <w:vAlign w:val="center"/>
            <w:hideMark/>
          </w:tcPr>
          <w:p w14:paraId="4BF4ED9E" w14:textId="77777777" w:rsidR="005D7F3B" w:rsidRPr="00AC20FD" w:rsidRDefault="005D7F3B" w:rsidP="00976C70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C20FD">
              <w:rPr>
                <w:rFonts w:cstheme="minorHAnsi"/>
                <w:sz w:val="20"/>
                <w:szCs w:val="20"/>
              </w:rPr>
              <w:t>2,5%</w:t>
            </w:r>
          </w:p>
        </w:tc>
      </w:tr>
      <w:tr w:rsidR="005D7F3B" w:rsidRPr="002D2008" w14:paraId="0B1889D4" w14:textId="77777777" w:rsidTr="00976C70">
        <w:trPr>
          <w:trHeight w:val="340"/>
          <w:jc w:val="center"/>
        </w:trPr>
        <w:tc>
          <w:tcPr>
            <w:tcW w:w="4390" w:type="dxa"/>
            <w:tcBorders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2B674FE9" w14:textId="77777777" w:rsidR="005D7F3B" w:rsidRPr="00AC20FD" w:rsidRDefault="005D7F3B" w:rsidP="00976C70">
            <w:pPr>
              <w:spacing w:after="0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C20FD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Totale</w:t>
            </w:r>
          </w:p>
        </w:tc>
        <w:tc>
          <w:tcPr>
            <w:tcW w:w="156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35717456" w14:textId="77777777" w:rsidR="005D7F3B" w:rsidRPr="00AC20FD" w:rsidRDefault="005D7F3B" w:rsidP="00976C7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C20FD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79</w:t>
            </w:r>
          </w:p>
        </w:tc>
        <w:tc>
          <w:tcPr>
            <w:tcW w:w="1562" w:type="dxa"/>
            <w:tcBorders>
              <w:lef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5C88E726" w14:textId="77777777" w:rsidR="005D7F3B" w:rsidRPr="00AC20FD" w:rsidRDefault="005D7F3B" w:rsidP="00976C7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C20FD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100,0%</w:t>
            </w:r>
          </w:p>
        </w:tc>
      </w:tr>
    </w:tbl>
    <w:p w14:paraId="47F2C619" w14:textId="77777777" w:rsidR="00F86A09" w:rsidRDefault="00F86A09" w:rsidP="00F86A09">
      <w:pPr>
        <w:spacing w:before="120" w:after="300"/>
        <w:jc w:val="center"/>
        <w:rPr>
          <w:rFonts w:ascii="Cambria" w:hAnsi="Cambria" w:cstheme="minorHAnsi"/>
          <w:b/>
          <w:bCs/>
          <w:color w:val="00457D"/>
          <w:sz w:val="18"/>
          <w:szCs w:val="18"/>
        </w:rPr>
      </w:pPr>
    </w:p>
    <w:p w14:paraId="6E7FC3C2" w14:textId="744C1A92" w:rsidR="00F86A09" w:rsidRPr="00F86A09" w:rsidRDefault="00F86A09" w:rsidP="00F86A09">
      <w:pPr>
        <w:spacing w:before="120" w:after="300"/>
        <w:jc w:val="center"/>
        <w:rPr>
          <w:rFonts w:cstheme="minorHAnsi"/>
          <w:b/>
          <w:bCs/>
          <w:color w:val="00457D"/>
        </w:rPr>
      </w:pPr>
      <w:r w:rsidRPr="00F86A09">
        <w:rPr>
          <w:rFonts w:cstheme="minorHAnsi"/>
          <w:b/>
          <w:bCs/>
          <w:color w:val="00457D"/>
        </w:rPr>
        <w:t>Figura 2. Uso delle tecnologie di identificazione (codici a barre/RFID)</w:t>
      </w:r>
    </w:p>
    <w:p w14:paraId="01BCE607" w14:textId="77777777" w:rsidR="00F86A09" w:rsidRPr="002D2008" w:rsidRDefault="00F86A09" w:rsidP="00F86A09">
      <w:pPr>
        <w:spacing w:after="0"/>
        <w:jc w:val="center"/>
        <w:rPr>
          <w:rFonts w:ascii="Cambria" w:hAnsi="Cambria" w:cstheme="minorHAnsi"/>
        </w:rPr>
      </w:pPr>
      <w:r w:rsidRPr="002D2008">
        <w:rPr>
          <w:rFonts w:ascii="Cambria" w:hAnsi="Cambria" w:cstheme="minorHAnsi"/>
          <w:noProof/>
          <w:lang w:eastAsia="it-IT"/>
        </w:rPr>
        <w:drawing>
          <wp:inline distT="0" distB="0" distL="0" distR="0" wp14:anchorId="64C7FD37" wp14:editId="674A192B">
            <wp:extent cx="5040000" cy="3024976"/>
            <wp:effectExtent l="0" t="0" r="8255" b="4445"/>
            <wp:docPr id="80294882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024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129C7C" w14:textId="77777777" w:rsidR="00F86A09" w:rsidRDefault="00F86A09" w:rsidP="00F86A09">
      <w:pPr>
        <w:spacing w:before="120" w:after="300"/>
        <w:jc w:val="center"/>
        <w:rPr>
          <w:rFonts w:ascii="Cambria" w:hAnsi="Cambria" w:cstheme="minorHAnsi"/>
          <w:b/>
          <w:bCs/>
          <w:color w:val="00457D"/>
          <w:sz w:val="18"/>
          <w:szCs w:val="18"/>
        </w:rPr>
      </w:pPr>
    </w:p>
    <w:p w14:paraId="154B50E3" w14:textId="77777777" w:rsidR="0095641F" w:rsidRDefault="0095641F">
      <w:pPr>
        <w:rPr>
          <w:rFonts w:cstheme="minorHAnsi"/>
          <w:b/>
          <w:bCs/>
          <w:color w:val="00457D"/>
        </w:rPr>
      </w:pPr>
      <w:r>
        <w:rPr>
          <w:rFonts w:cstheme="minorHAnsi"/>
          <w:b/>
          <w:bCs/>
          <w:color w:val="00457D"/>
        </w:rPr>
        <w:br w:type="page"/>
      </w:r>
    </w:p>
    <w:p w14:paraId="59676355" w14:textId="51751FA1" w:rsidR="00F86A09" w:rsidRPr="00F86A09" w:rsidRDefault="00F86A09" w:rsidP="00F86A09">
      <w:pPr>
        <w:spacing w:before="120" w:after="300"/>
        <w:jc w:val="center"/>
        <w:rPr>
          <w:rFonts w:cstheme="minorHAnsi"/>
          <w:b/>
          <w:bCs/>
          <w:color w:val="00457D"/>
        </w:rPr>
      </w:pPr>
      <w:r w:rsidRPr="00F86A09">
        <w:rPr>
          <w:rFonts w:cstheme="minorHAnsi"/>
          <w:b/>
          <w:bCs/>
          <w:color w:val="00457D"/>
        </w:rPr>
        <w:lastRenderedPageBreak/>
        <w:t>Figura 3. Disponibilità di sistemi automatizzati/robotizzati di magazzino</w:t>
      </w:r>
    </w:p>
    <w:p w14:paraId="50DFAF3C" w14:textId="77777777" w:rsidR="00F86A09" w:rsidRPr="002D2008" w:rsidRDefault="00F86A09" w:rsidP="00F86A09">
      <w:pPr>
        <w:spacing w:after="0"/>
        <w:jc w:val="center"/>
        <w:rPr>
          <w:rFonts w:ascii="Cambria" w:hAnsi="Cambria" w:cstheme="minorHAnsi"/>
        </w:rPr>
      </w:pPr>
      <w:r w:rsidRPr="002D2008">
        <w:rPr>
          <w:rFonts w:ascii="Cambria" w:hAnsi="Cambria" w:cstheme="minorHAnsi"/>
          <w:noProof/>
          <w:lang w:eastAsia="it-IT"/>
        </w:rPr>
        <w:drawing>
          <wp:inline distT="0" distB="0" distL="0" distR="0" wp14:anchorId="6302F5B5" wp14:editId="03990576">
            <wp:extent cx="5040000" cy="2935341"/>
            <wp:effectExtent l="0" t="0" r="8255" b="0"/>
            <wp:docPr id="876238629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935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A4AD4A" w14:textId="77777777" w:rsidR="0095641F" w:rsidRDefault="0095641F" w:rsidP="00F86A09">
      <w:pPr>
        <w:spacing w:before="120" w:after="300"/>
        <w:jc w:val="center"/>
        <w:rPr>
          <w:rFonts w:cstheme="minorHAnsi"/>
          <w:b/>
          <w:bCs/>
          <w:color w:val="00457D"/>
        </w:rPr>
      </w:pPr>
    </w:p>
    <w:p w14:paraId="457AD58C" w14:textId="056ACF70" w:rsidR="00F86A09" w:rsidRPr="00F86A09" w:rsidRDefault="00F86A09" w:rsidP="00F86A09">
      <w:pPr>
        <w:spacing w:before="120" w:after="300"/>
        <w:jc w:val="center"/>
        <w:rPr>
          <w:rFonts w:cstheme="minorHAnsi"/>
          <w:b/>
          <w:bCs/>
          <w:color w:val="00457D"/>
        </w:rPr>
      </w:pPr>
      <w:r w:rsidRPr="00F86A09">
        <w:rPr>
          <w:rFonts w:cstheme="minorHAnsi"/>
          <w:b/>
          <w:bCs/>
          <w:color w:val="00457D"/>
        </w:rPr>
        <w:t xml:space="preserve">Figura </w:t>
      </w:r>
      <w:r>
        <w:rPr>
          <w:rFonts w:cstheme="minorHAnsi"/>
          <w:b/>
          <w:bCs/>
          <w:color w:val="00457D"/>
        </w:rPr>
        <w:t>4</w:t>
      </w:r>
      <w:r w:rsidRPr="00F86A09">
        <w:rPr>
          <w:rFonts w:cstheme="minorHAnsi"/>
          <w:b/>
          <w:bCs/>
          <w:color w:val="00457D"/>
        </w:rPr>
        <w:t>. Livello di integrazione tra gestionale di magazzino e cartella clinica elettronica</w:t>
      </w:r>
    </w:p>
    <w:p w14:paraId="3DEC3A4C" w14:textId="77777777" w:rsidR="00F86A09" w:rsidRPr="002D2008" w:rsidRDefault="00F86A09" w:rsidP="00F86A09">
      <w:pPr>
        <w:spacing w:after="0"/>
        <w:jc w:val="center"/>
        <w:rPr>
          <w:rFonts w:ascii="Cambria" w:hAnsi="Cambria" w:cstheme="minorHAnsi"/>
        </w:rPr>
      </w:pPr>
      <w:r w:rsidRPr="002D2008">
        <w:rPr>
          <w:rFonts w:ascii="Cambria" w:hAnsi="Cambria" w:cstheme="minorHAnsi"/>
          <w:noProof/>
          <w:lang w:eastAsia="it-IT"/>
        </w:rPr>
        <w:drawing>
          <wp:inline distT="0" distB="0" distL="0" distR="0" wp14:anchorId="5579D524" wp14:editId="3DF2A6A9">
            <wp:extent cx="5040000" cy="2935341"/>
            <wp:effectExtent l="0" t="0" r="8255" b="0"/>
            <wp:docPr id="1368700402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935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6E79E2" w14:textId="7CE6053B" w:rsidR="00F86A09" w:rsidRPr="00AC20FD" w:rsidRDefault="00F86A09">
      <w:pPr>
        <w:rPr>
          <w:rStyle w:val="Collegamentoipertestuale"/>
          <w:rFonts w:ascii="Calibri" w:eastAsia="Calibri" w:hAnsi="Calibri" w:cs="Times New Roman"/>
        </w:rPr>
      </w:pPr>
    </w:p>
    <w:p w14:paraId="3EE9BFA9" w14:textId="77777777" w:rsidR="0095641F" w:rsidRDefault="0095641F">
      <w:pPr>
        <w:rPr>
          <w:rFonts w:cstheme="minorHAnsi"/>
          <w:b/>
          <w:bCs/>
          <w:color w:val="00457D"/>
        </w:rPr>
      </w:pPr>
      <w:r>
        <w:rPr>
          <w:rFonts w:cstheme="minorHAnsi"/>
          <w:b/>
          <w:bCs/>
          <w:color w:val="00457D"/>
        </w:rPr>
        <w:br w:type="page"/>
      </w:r>
    </w:p>
    <w:p w14:paraId="6AB6BC67" w14:textId="6198D329" w:rsidR="00AC20FD" w:rsidRPr="00AC20FD" w:rsidRDefault="00AC20FD" w:rsidP="00AC20FD">
      <w:pPr>
        <w:spacing w:before="120" w:after="300"/>
        <w:jc w:val="center"/>
        <w:rPr>
          <w:rFonts w:cstheme="minorHAnsi"/>
          <w:b/>
          <w:bCs/>
          <w:color w:val="00457D"/>
        </w:rPr>
      </w:pPr>
      <w:r w:rsidRPr="00AC20FD">
        <w:rPr>
          <w:rFonts w:cstheme="minorHAnsi"/>
          <w:b/>
          <w:bCs/>
          <w:color w:val="00457D"/>
        </w:rPr>
        <w:lastRenderedPageBreak/>
        <w:t xml:space="preserve">Tabella </w:t>
      </w:r>
      <w:r>
        <w:rPr>
          <w:rFonts w:cstheme="minorHAnsi"/>
          <w:b/>
          <w:bCs/>
          <w:color w:val="00457D"/>
        </w:rPr>
        <w:t>3</w:t>
      </w:r>
      <w:r w:rsidRPr="00AC20FD">
        <w:rPr>
          <w:rFonts w:cstheme="minorHAnsi"/>
          <w:b/>
          <w:bCs/>
          <w:color w:val="00457D"/>
        </w:rPr>
        <w:t>. Criticità nei processi di distribuzione dalla farmacia alle unità operative</w:t>
      </w:r>
    </w:p>
    <w:tbl>
      <w:tblPr>
        <w:tblStyle w:val="TABELLAGIMBE"/>
        <w:tblW w:w="6800" w:type="dxa"/>
        <w:jc w:val="center"/>
        <w:tblLook w:val="04A0" w:firstRow="1" w:lastRow="0" w:firstColumn="1" w:lastColumn="0" w:noHBand="0" w:noVBand="1"/>
      </w:tblPr>
      <w:tblGrid>
        <w:gridCol w:w="5382"/>
        <w:gridCol w:w="1418"/>
      </w:tblGrid>
      <w:tr w:rsidR="00AC20FD" w:rsidRPr="00AC20FD" w14:paraId="68ECCD88" w14:textId="77777777" w:rsidTr="00976C70">
        <w:trPr>
          <w:trHeight w:val="329"/>
          <w:jc w:val="center"/>
        </w:trPr>
        <w:tc>
          <w:tcPr>
            <w:tcW w:w="5382" w:type="dxa"/>
            <w:tcBorders>
              <w:right w:val="single" w:sz="4" w:space="0" w:color="FFFFFF" w:themeColor="background1"/>
            </w:tcBorders>
            <w:shd w:val="clear" w:color="auto" w:fill="00457D"/>
            <w:hideMark/>
          </w:tcPr>
          <w:p w14:paraId="1403F1FC" w14:textId="77777777" w:rsidR="00AC20FD" w:rsidRPr="00AC20FD" w:rsidRDefault="00AC20FD" w:rsidP="00976C70">
            <w:pPr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AC20FD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Cs w:val="20"/>
              </w:rPr>
              <w:t xml:space="preserve">Criticità nei processi di distribuzione </w:t>
            </w:r>
          </w:p>
        </w:tc>
        <w:tc>
          <w:tcPr>
            <w:tcW w:w="1418" w:type="dxa"/>
            <w:tcBorders>
              <w:left w:val="single" w:sz="4" w:space="0" w:color="FFFFFF" w:themeColor="background1"/>
            </w:tcBorders>
            <w:shd w:val="clear" w:color="auto" w:fill="00457D"/>
            <w:hideMark/>
          </w:tcPr>
          <w:p w14:paraId="7667030C" w14:textId="77777777" w:rsidR="00AC20FD" w:rsidRPr="00AC20FD" w:rsidRDefault="00AC20FD" w:rsidP="00976C7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AC20FD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Cs w:val="20"/>
              </w:rPr>
              <w:t>% sul totale</w:t>
            </w:r>
          </w:p>
        </w:tc>
      </w:tr>
      <w:tr w:rsidR="00AC20FD" w:rsidRPr="00AC20FD" w14:paraId="68E87BB0" w14:textId="77777777" w:rsidTr="00976C70">
        <w:trPr>
          <w:trHeight w:val="329"/>
          <w:jc w:val="center"/>
        </w:trPr>
        <w:tc>
          <w:tcPr>
            <w:tcW w:w="5382" w:type="dxa"/>
          </w:tcPr>
          <w:p w14:paraId="5F95C314" w14:textId="77777777" w:rsidR="00AC20FD" w:rsidRPr="00AC20FD" w:rsidRDefault="00AC20FD" w:rsidP="00976C70">
            <w:pPr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  <w:r w:rsidRPr="00AC20FD">
              <w:rPr>
                <w:rFonts w:asciiTheme="minorHAnsi" w:eastAsia="Times New Roman" w:hAnsiTheme="minorHAnsi" w:cstheme="minorHAnsi"/>
                <w:color w:val="000000"/>
                <w:szCs w:val="20"/>
              </w:rPr>
              <w:t xml:space="preserve">Assenza di automazione nei processi di distribuzione </w:t>
            </w:r>
          </w:p>
        </w:tc>
        <w:tc>
          <w:tcPr>
            <w:tcW w:w="1418" w:type="dxa"/>
            <w:hideMark/>
          </w:tcPr>
          <w:p w14:paraId="0F69CCF5" w14:textId="77777777" w:rsidR="00AC20FD" w:rsidRPr="00AC20FD" w:rsidRDefault="00AC20FD" w:rsidP="00976C70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  <w:r w:rsidRPr="00AC20FD">
              <w:rPr>
                <w:rFonts w:asciiTheme="minorHAnsi" w:hAnsiTheme="minorHAnsi" w:cstheme="minorHAnsi"/>
              </w:rPr>
              <w:t>59,5%</w:t>
            </w:r>
          </w:p>
        </w:tc>
      </w:tr>
      <w:tr w:rsidR="00AC20FD" w:rsidRPr="00AC20FD" w14:paraId="4C3BD6CE" w14:textId="77777777" w:rsidTr="00976C70">
        <w:trPr>
          <w:trHeight w:val="329"/>
          <w:jc w:val="center"/>
        </w:trPr>
        <w:tc>
          <w:tcPr>
            <w:tcW w:w="5382" w:type="dxa"/>
          </w:tcPr>
          <w:p w14:paraId="39DE00FB" w14:textId="77777777" w:rsidR="00AC20FD" w:rsidRPr="00AC20FD" w:rsidRDefault="00AC20FD" w:rsidP="00976C70">
            <w:pPr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  <w:r w:rsidRPr="00AC20FD">
              <w:rPr>
                <w:rFonts w:asciiTheme="minorHAnsi" w:eastAsia="Times New Roman" w:hAnsiTheme="minorHAnsi" w:cstheme="minorHAnsi"/>
                <w:color w:val="000000"/>
                <w:szCs w:val="20"/>
              </w:rPr>
              <w:t xml:space="preserve">Errori nella tracciabilità e/o nella gestione delle scorte </w:t>
            </w:r>
          </w:p>
        </w:tc>
        <w:tc>
          <w:tcPr>
            <w:tcW w:w="1418" w:type="dxa"/>
            <w:hideMark/>
          </w:tcPr>
          <w:p w14:paraId="14D86232" w14:textId="77777777" w:rsidR="00AC20FD" w:rsidRPr="00AC20FD" w:rsidRDefault="00AC20FD" w:rsidP="00976C70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  <w:r w:rsidRPr="00AC20FD">
              <w:rPr>
                <w:rFonts w:asciiTheme="minorHAnsi" w:hAnsiTheme="minorHAnsi" w:cstheme="minorHAnsi"/>
              </w:rPr>
              <w:t>41,8%</w:t>
            </w:r>
          </w:p>
        </w:tc>
      </w:tr>
      <w:tr w:rsidR="00AC20FD" w:rsidRPr="00AC20FD" w14:paraId="7E070403" w14:textId="77777777" w:rsidTr="00976C70">
        <w:trPr>
          <w:trHeight w:val="329"/>
          <w:jc w:val="center"/>
        </w:trPr>
        <w:tc>
          <w:tcPr>
            <w:tcW w:w="5382" w:type="dxa"/>
          </w:tcPr>
          <w:p w14:paraId="2EAC70FB" w14:textId="77777777" w:rsidR="00AC20FD" w:rsidRPr="00AC20FD" w:rsidRDefault="00AC20FD" w:rsidP="00976C70">
            <w:pPr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  <w:r w:rsidRPr="00AC20FD">
              <w:rPr>
                <w:rFonts w:asciiTheme="minorHAnsi" w:eastAsia="Times New Roman" w:hAnsiTheme="minorHAnsi" w:cstheme="minorHAnsi"/>
                <w:color w:val="000000"/>
                <w:szCs w:val="20"/>
              </w:rPr>
              <w:t>Problemi di comunicazione tra la farmacia e le unità operative cliniche</w:t>
            </w:r>
          </w:p>
        </w:tc>
        <w:tc>
          <w:tcPr>
            <w:tcW w:w="1418" w:type="dxa"/>
            <w:hideMark/>
          </w:tcPr>
          <w:p w14:paraId="2877265A" w14:textId="77777777" w:rsidR="00AC20FD" w:rsidRPr="00AC20FD" w:rsidRDefault="00AC20FD" w:rsidP="00976C70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  <w:r w:rsidRPr="00AC20FD">
              <w:rPr>
                <w:rFonts w:asciiTheme="minorHAnsi" w:hAnsiTheme="minorHAnsi" w:cstheme="minorHAnsi"/>
              </w:rPr>
              <w:t>25,3%</w:t>
            </w:r>
          </w:p>
        </w:tc>
      </w:tr>
      <w:tr w:rsidR="00AC20FD" w:rsidRPr="00AC20FD" w14:paraId="52670259" w14:textId="77777777" w:rsidTr="00976C70">
        <w:trPr>
          <w:trHeight w:val="329"/>
          <w:jc w:val="center"/>
        </w:trPr>
        <w:tc>
          <w:tcPr>
            <w:tcW w:w="5382" w:type="dxa"/>
          </w:tcPr>
          <w:p w14:paraId="6E31E591" w14:textId="77777777" w:rsidR="00AC20FD" w:rsidRPr="00AC20FD" w:rsidRDefault="00AC20FD" w:rsidP="00976C70">
            <w:pPr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  <w:r w:rsidRPr="00AC20FD">
              <w:rPr>
                <w:rFonts w:asciiTheme="minorHAnsi" w:eastAsia="Times New Roman" w:hAnsiTheme="minorHAnsi" w:cstheme="minorHAnsi"/>
                <w:color w:val="000000"/>
                <w:szCs w:val="20"/>
              </w:rPr>
              <w:t xml:space="preserve">Ritardi nella consegna alle unità operative </w:t>
            </w:r>
          </w:p>
        </w:tc>
        <w:tc>
          <w:tcPr>
            <w:tcW w:w="1418" w:type="dxa"/>
            <w:hideMark/>
          </w:tcPr>
          <w:p w14:paraId="0B40DCE5" w14:textId="77777777" w:rsidR="00AC20FD" w:rsidRPr="00AC20FD" w:rsidRDefault="00AC20FD" w:rsidP="00976C70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  <w:r w:rsidRPr="00AC20FD">
              <w:rPr>
                <w:rFonts w:asciiTheme="minorHAnsi" w:hAnsiTheme="minorHAnsi" w:cstheme="minorHAnsi"/>
              </w:rPr>
              <w:t>22,8%</w:t>
            </w:r>
          </w:p>
        </w:tc>
      </w:tr>
      <w:tr w:rsidR="00AC20FD" w:rsidRPr="00AC20FD" w14:paraId="498076CB" w14:textId="77777777" w:rsidTr="00976C70">
        <w:trPr>
          <w:trHeight w:val="329"/>
          <w:jc w:val="center"/>
        </w:trPr>
        <w:tc>
          <w:tcPr>
            <w:tcW w:w="5382" w:type="dxa"/>
          </w:tcPr>
          <w:p w14:paraId="54D20345" w14:textId="77777777" w:rsidR="00AC20FD" w:rsidRPr="00AC20FD" w:rsidRDefault="00AC20FD" w:rsidP="00976C70">
            <w:pPr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  <w:r w:rsidRPr="00AC20FD">
              <w:rPr>
                <w:rFonts w:asciiTheme="minorHAnsi" w:eastAsia="Times New Roman" w:hAnsiTheme="minorHAnsi" w:cstheme="minorHAnsi"/>
                <w:color w:val="000000"/>
                <w:szCs w:val="20"/>
              </w:rPr>
              <w:t>Altro</w:t>
            </w:r>
          </w:p>
        </w:tc>
        <w:tc>
          <w:tcPr>
            <w:tcW w:w="1418" w:type="dxa"/>
            <w:hideMark/>
          </w:tcPr>
          <w:p w14:paraId="17D46056" w14:textId="77777777" w:rsidR="00AC20FD" w:rsidRPr="00AC20FD" w:rsidRDefault="00AC20FD" w:rsidP="00976C70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  <w:r w:rsidRPr="00AC20FD">
              <w:rPr>
                <w:rFonts w:asciiTheme="minorHAnsi" w:hAnsiTheme="minorHAnsi" w:cstheme="minorHAnsi"/>
              </w:rPr>
              <w:t>12,7%</w:t>
            </w:r>
          </w:p>
        </w:tc>
      </w:tr>
    </w:tbl>
    <w:p w14:paraId="28FBCA71" w14:textId="77777777" w:rsidR="00AC20FD" w:rsidRDefault="00AC20FD">
      <w:pPr>
        <w:rPr>
          <w:rStyle w:val="Collegamentoipertestuale"/>
          <w:rFonts w:ascii="Calibri" w:eastAsia="Calibri" w:hAnsi="Calibri" w:cs="Times New Roman"/>
          <w:sz w:val="20"/>
          <w:szCs w:val="20"/>
        </w:rPr>
      </w:pPr>
    </w:p>
    <w:sectPr w:rsidR="00AC20FD" w:rsidSect="00CA78D1">
      <w:headerReference w:type="default" r:id="rId20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1964A" w14:textId="77777777" w:rsidR="004711DC" w:rsidRDefault="004711DC" w:rsidP="00ED0CFD">
      <w:pPr>
        <w:spacing w:after="0" w:line="240" w:lineRule="auto"/>
      </w:pPr>
      <w:r>
        <w:separator/>
      </w:r>
    </w:p>
  </w:endnote>
  <w:endnote w:type="continuationSeparator" w:id="0">
    <w:p w14:paraId="444CD4CC" w14:textId="77777777" w:rsidR="004711DC" w:rsidRDefault="004711DC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62E51" w14:textId="77777777" w:rsidR="004711DC" w:rsidRDefault="004711DC" w:rsidP="00ED0CFD">
      <w:pPr>
        <w:spacing w:after="0" w:line="240" w:lineRule="auto"/>
      </w:pPr>
      <w:r>
        <w:separator/>
      </w:r>
    </w:p>
  </w:footnote>
  <w:footnote w:type="continuationSeparator" w:id="0">
    <w:p w14:paraId="60AEB890" w14:textId="77777777" w:rsidR="004711DC" w:rsidRDefault="004711DC" w:rsidP="00ED0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E297D" w14:textId="77777777" w:rsidR="00431859" w:rsidRPr="004D400C" w:rsidRDefault="00431859" w:rsidP="00FC5CDC">
    <w:pPr>
      <w:pStyle w:val="Intestazione"/>
      <w:jc w:val="center"/>
      <w:rPr>
        <w:b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1854BE"/>
    <w:multiLevelType w:val="hybridMultilevel"/>
    <w:tmpl w:val="9C3400A2"/>
    <w:lvl w:ilvl="0" w:tplc="ADE83D4E">
      <w:start w:val="1"/>
      <w:numFmt w:val="upperLetter"/>
      <w:lvlText w:val="%1."/>
      <w:lvlJc w:val="left"/>
      <w:pPr>
        <w:ind w:left="705" w:hanging="705"/>
      </w:pPr>
      <w:rPr>
        <w:rFonts w:asciiTheme="minorHAnsi" w:eastAsia="Calibri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4461A"/>
    <w:multiLevelType w:val="hybridMultilevel"/>
    <w:tmpl w:val="0FA473E8"/>
    <w:lvl w:ilvl="0" w:tplc="0410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FC3222"/>
    <w:multiLevelType w:val="hybridMultilevel"/>
    <w:tmpl w:val="EAD0F50C"/>
    <w:lvl w:ilvl="0" w:tplc="B3D6873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C53A8"/>
    <w:multiLevelType w:val="hybridMultilevel"/>
    <w:tmpl w:val="5B9269F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377A3C"/>
    <w:multiLevelType w:val="hybridMultilevel"/>
    <w:tmpl w:val="5E50A2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E916EA"/>
    <w:multiLevelType w:val="hybridMultilevel"/>
    <w:tmpl w:val="A16428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BA321A"/>
    <w:multiLevelType w:val="hybridMultilevel"/>
    <w:tmpl w:val="5B180C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B37EA"/>
    <w:multiLevelType w:val="hybridMultilevel"/>
    <w:tmpl w:val="BB8C94C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BD3153"/>
    <w:multiLevelType w:val="hybridMultilevel"/>
    <w:tmpl w:val="FE48C6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1C4A98"/>
    <w:multiLevelType w:val="hybridMultilevel"/>
    <w:tmpl w:val="0004F6E8"/>
    <w:lvl w:ilvl="0" w:tplc="9206707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12483B"/>
    <w:multiLevelType w:val="hybridMultilevel"/>
    <w:tmpl w:val="AAE488C2"/>
    <w:lvl w:ilvl="0" w:tplc="E1F88D48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C63460"/>
    <w:multiLevelType w:val="hybridMultilevel"/>
    <w:tmpl w:val="1152D8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11"/>
  </w:num>
  <w:num w:numId="4">
    <w:abstractNumId w:val="24"/>
  </w:num>
  <w:num w:numId="5">
    <w:abstractNumId w:val="13"/>
  </w:num>
  <w:num w:numId="6">
    <w:abstractNumId w:val="10"/>
  </w:num>
  <w:num w:numId="7">
    <w:abstractNumId w:val="20"/>
  </w:num>
  <w:num w:numId="8">
    <w:abstractNumId w:val="19"/>
  </w:num>
  <w:num w:numId="9">
    <w:abstractNumId w:val="0"/>
  </w:num>
  <w:num w:numId="10">
    <w:abstractNumId w:val="1"/>
  </w:num>
  <w:num w:numId="11">
    <w:abstractNumId w:val="5"/>
  </w:num>
  <w:num w:numId="12">
    <w:abstractNumId w:val="6"/>
  </w:num>
  <w:num w:numId="13">
    <w:abstractNumId w:val="16"/>
  </w:num>
  <w:num w:numId="14">
    <w:abstractNumId w:val="4"/>
  </w:num>
  <w:num w:numId="15">
    <w:abstractNumId w:val="15"/>
  </w:num>
  <w:num w:numId="16">
    <w:abstractNumId w:val="26"/>
  </w:num>
  <w:num w:numId="17">
    <w:abstractNumId w:val="8"/>
  </w:num>
  <w:num w:numId="18">
    <w:abstractNumId w:val="12"/>
  </w:num>
  <w:num w:numId="19">
    <w:abstractNumId w:val="17"/>
  </w:num>
  <w:num w:numId="20">
    <w:abstractNumId w:val="25"/>
  </w:num>
  <w:num w:numId="21">
    <w:abstractNumId w:val="18"/>
  </w:num>
  <w:num w:numId="22">
    <w:abstractNumId w:val="14"/>
  </w:num>
  <w:num w:numId="23">
    <w:abstractNumId w:val="7"/>
  </w:num>
  <w:num w:numId="24">
    <w:abstractNumId w:val="21"/>
  </w:num>
  <w:num w:numId="25">
    <w:abstractNumId w:val="9"/>
  </w:num>
  <w:num w:numId="26">
    <w:abstractNumId w:val="23"/>
  </w:num>
  <w:num w:numId="27">
    <w:abstractNumId w:val="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1"/>
    <w:rsid w:val="000007FC"/>
    <w:rsid w:val="000012AE"/>
    <w:rsid w:val="00001559"/>
    <w:rsid w:val="000022DE"/>
    <w:rsid w:val="00002C1B"/>
    <w:rsid w:val="0000349A"/>
    <w:rsid w:val="00003551"/>
    <w:rsid w:val="00003744"/>
    <w:rsid w:val="00003F78"/>
    <w:rsid w:val="00004B0A"/>
    <w:rsid w:val="00005B25"/>
    <w:rsid w:val="00006555"/>
    <w:rsid w:val="000074F5"/>
    <w:rsid w:val="00010498"/>
    <w:rsid w:val="0001083E"/>
    <w:rsid w:val="00011685"/>
    <w:rsid w:val="0001214A"/>
    <w:rsid w:val="0001285B"/>
    <w:rsid w:val="0001384A"/>
    <w:rsid w:val="00013DFA"/>
    <w:rsid w:val="0001439D"/>
    <w:rsid w:val="0001443F"/>
    <w:rsid w:val="0001455A"/>
    <w:rsid w:val="00014FDE"/>
    <w:rsid w:val="000150A2"/>
    <w:rsid w:val="00015593"/>
    <w:rsid w:val="0001576A"/>
    <w:rsid w:val="00015D8E"/>
    <w:rsid w:val="00016706"/>
    <w:rsid w:val="00017021"/>
    <w:rsid w:val="00017968"/>
    <w:rsid w:val="00017FB4"/>
    <w:rsid w:val="00020B81"/>
    <w:rsid w:val="00021918"/>
    <w:rsid w:val="00021B36"/>
    <w:rsid w:val="00021D7F"/>
    <w:rsid w:val="000227E2"/>
    <w:rsid w:val="00023462"/>
    <w:rsid w:val="00023D8A"/>
    <w:rsid w:val="000242B9"/>
    <w:rsid w:val="000259AB"/>
    <w:rsid w:val="00025E28"/>
    <w:rsid w:val="00027064"/>
    <w:rsid w:val="000314E4"/>
    <w:rsid w:val="0003388E"/>
    <w:rsid w:val="000351F9"/>
    <w:rsid w:val="00035404"/>
    <w:rsid w:val="0003544D"/>
    <w:rsid w:val="00035633"/>
    <w:rsid w:val="00037534"/>
    <w:rsid w:val="000404E3"/>
    <w:rsid w:val="000409A3"/>
    <w:rsid w:val="000410F5"/>
    <w:rsid w:val="000424F7"/>
    <w:rsid w:val="00043C6D"/>
    <w:rsid w:val="0004410A"/>
    <w:rsid w:val="00051F22"/>
    <w:rsid w:val="00051F7A"/>
    <w:rsid w:val="0005402C"/>
    <w:rsid w:val="00054250"/>
    <w:rsid w:val="00055180"/>
    <w:rsid w:val="0005543D"/>
    <w:rsid w:val="00055AE9"/>
    <w:rsid w:val="00055D27"/>
    <w:rsid w:val="000576BA"/>
    <w:rsid w:val="00057A5B"/>
    <w:rsid w:val="00057D1B"/>
    <w:rsid w:val="000602AA"/>
    <w:rsid w:val="00062A67"/>
    <w:rsid w:val="00062CF6"/>
    <w:rsid w:val="0006440E"/>
    <w:rsid w:val="00064C7D"/>
    <w:rsid w:val="000657A8"/>
    <w:rsid w:val="000662E3"/>
    <w:rsid w:val="00066637"/>
    <w:rsid w:val="00067164"/>
    <w:rsid w:val="00067B8F"/>
    <w:rsid w:val="00067D6D"/>
    <w:rsid w:val="000707B3"/>
    <w:rsid w:val="000715A9"/>
    <w:rsid w:val="000719E8"/>
    <w:rsid w:val="00071E53"/>
    <w:rsid w:val="00071F0A"/>
    <w:rsid w:val="0007350A"/>
    <w:rsid w:val="00073870"/>
    <w:rsid w:val="00074788"/>
    <w:rsid w:val="000771A4"/>
    <w:rsid w:val="00077C0A"/>
    <w:rsid w:val="000825E0"/>
    <w:rsid w:val="00082839"/>
    <w:rsid w:val="00082EDA"/>
    <w:rsid w:val="000832BB"/>
    <w:rsid w:val="000859B3"/>
    <w:rsid w:val="00086372"/>
    <w:rsid w:val="000871C4"/>
    <w:rsid w:val="00090210"/>
    <w:rsid w:val="000905D1"/>
    <w:rsid w:val="00090A39"/>
    <w:rsid w:val="00090B7E"/>
    <w:rsid w:val="000927C7"/>
    <w:rsid w:val="000935F1"/>
    <w:rsid w:val="00093831"/>
    <w:rsid w:val="00093A2E"/>
    <w:rsid w:val="00093B0D"/>
    <w:rsid w:val="00095DE9"/>
    <w:rsid w:val="00097875"/>
    <w:rsid w:val="000A05CF"/>
    <w:rsid w:val="000A0FC3"/>
    <w:rsid w:val="000A1367"/>
    <w:rsid w:val="000A1B2C"/>
    <w:rsid w:val="000A2084"/>
    <w:rsid w:val="000A3D1D"/>
    <w:rsid w:val="000A459B"/>
    <w:rsid w:val="000A62A9"/>
    <w:rsid w:val="000A7B66"/>
    <w:rsid w:val="000B05FE"/>
    <w:rsid w:val="000B07B0"/>
    <w:rsid w:val="000B1376"/>
    <w:rsid w:val="000B185F"/>
    <w:rsid w:val="000B1C52"/>
    <w:rsid w:val="000B3D51"/>
    <w:rsid w:val="000B4578"/>
    <w:rsid w:val="000B52EB"/>
    <w:rsid w:val="000B7985"/>
    <w:rsid w:val="000C0980"/>
    <w:rsid w:val="000C182F"/>
    <w:rsid w:val="000C344B"/>
    <w:rsid w:val="000C544C"/>
    <w:rsid w:val="000C6130"/>
    <w:rsid w:val="000C6295"/>
    <w:rsid w:val="000C6A3B"/>
    <w:rsid w:val="000D02E4"/>
    <w:rsid w:val="000D0F16"/>
    <w:rsid w:val="000D17FB"/>
    <w:rsid w:val="000D25AC"/>
    <w:rsid w:val="000D2B58"/>
    <w:rsid w:val="000D3AA7"/>
    <w:rsid w:val="000D3AE1"/>
    <w:rsid w:val="000D3F7D"/>
    <w:rsid w:val="000D44D4"/>
    <w:rsid w:val="000D4EC9"/>
    <w:rsid w:val="000D5771"/>
    <w:rsid w:val="000D5893"/>
    <w:rsid w:val="000D5A28"/>
    <w:rsid w:val="000D7252"/>
    <w:rsid w:val="000E06F6"/>
    <w:rsid w:val="000E1103"/>
    <w:rsid w:val="000E149C"/>
    <w:rsid w:val="000E1730"/>
    <w:rsid w:val="000E2E3E"/>
    <w:rsid w:val="000E2E4F"/>
    <w:rsid w:val="000E2EB0"/>
    <w:rsid w:val="000E37AA"/>
    <w:rsid w:val="000E7CC2"/>
    <w:rsid w:val="000F09CF"/>
    <w:rsid w:val="000F0BBD"/>
    <w:rsid w:val="000F10F8"/>
    <w:rsid w:val="000F39EF"/>
    <w:rsid w:val="000F3AD3"/>
    <w:rsid w:val="000F47DD"/>
    <w:rsid w:val="000F5C0F"/>
    <w:rsid w:val="000F7399"/>
    <w:rsid w:val="000F7867"/>
    <w:rsid w:val="0010059E"/>
    <w:rsid w:val="0010106E"/>
    <w:rsid w:val="001033BE"/>
    <w:rsid w:val="00104230"/>
    <w:rsid w:val="0010481D"/>
    <w:rsid w:val="001065FB"/>
    <w:rsid w:val="00107096"/>
    <w:rsid w:val="00107112"/>
    <w:rsid w:val="00110E79"/>
    <w:rsid w:val="0011205F"/>
    <w:rsid w:val="0011270A"/>
    <w:rsid w:val="0011397B"/>
    <w:rsid w:val="001139A6"/>
    <w:rsid w:val="00113D4A"/>
    <w:rsid w:val="00113F3C"/>
    <w:rsid w:val="00114718"/>
    <w:rsid w:val="001156C5"/>
    <w:rsid w:val="0011668D"/>
    <w:rsid w:val="001167D9"/>
    <w:rsid w:val="0011693A"/>
    <w:rsid w:val="00120226"/>
    <w:rsid w:val="00120DAA"/>
    <w:rsid w:val="0012393A"/>
    <w:rsid w:val="00124DB0"/>
    <w:rsid w:val="001259AE"/>
    <w:rsid w:val="00125C6A"/>
    <w:rsid w:val="001262A5"/>
    <w:rsid w:val="00126835"/>
    <w:rsid w:val="001317CF"/>
    <w:rsid w:val="00132928"/>
    <w:rsid w:val="00133C77"/>
    <w:rsid w:val="00134C8C"/>
    <w:rsid w:val="001356A5"/>
    <w:rsid w:val="001404A5"/>
    <w:rsid w:val="0014097E"/>
    <w:rsid w:val="00140A58"/>
    <w:rsid w:val="00142F5E"/>
    <w:rsid w:val="00143689"/>
    <w:rsid w:val="0014448E"/>
    <w:rsid w:val="00144F94"/>
    <w:rsid w:val="001458FE"/>
    <w:rsid w:val="00145BA6"/>
    <w:rsid w:val="00145FAF"/>
    <w:rsid w:val="0014665A"/>
    <w:rsid w:val="001471AF"/>
    <w:rsid w:val="00150EF3"/>
    <w:rsid w:val="00151E40"/>
    <w:rsid w:val="0015200C"/>
    <w:rsid w:val="0015229D"/>
    <w:rsid w:val="00155E32"/>
    <w:rsid w:val="00156DCB"/>
    <w:rsid w:val="00156FE7"/>
    <w:rsid w:val="001601B9"/>
    <w:rsid w:val="001608BE"/>
    <w:rsid w:val="0016105A"/>
    <w:rsid w:val="00161DCE"/>
    <w:rsid w:val="00162FBC"/>
    <w:rsid w:val="0016375C"/>
    <w:rsid w:val="001654A5"/>
    <w:rsid w:val="00165BD1"/>
    <w:rsid w:val="00166A2F"/>
    <w:rsid w:val="001672C8"/>
    <w:rsid w:val="00170533"/>
    <w:rsid w:val="00170760"/>
    <w:rsid w:val="00170B46"/>
    <w:rsid w:val="00171767"/>
    <w:rsid w:val="00171FD0"/>
    <w:rsid w:val="00173764"/>
    <w:rsid w:val="0017405D"/>
    <w:rsid w:val="001748BA"/>
    <w:rsid w:val="00175A17"/>
    <w:rsid w:val="0018115E"/>
    <w:rsid w:val="00181B9B"/>
    <w:rsid w:val="001828D1"/>
    <w:rsid w:val="00183C1F"/>
    <w:rsid w:val="00183FB6"/>
    <w:rsid w:val="00185DFA"/>
    <w:rsid w:val="00185EDD"/>
    <w:rsid w:val="001877D6"/>
    <w:rsid w:val="001907C4"/>
    <w:rsid w:val="00190985"/>
    <w:rsid w:val="00191481"/>
    <w:rsid w:val="001916E9"/>
    <w:rsid w:val="00191F59"/>
    <w:rsid w:val="00192DAD"/>
    <w:rsid w:val="00192F75"/>
    <w:rsid w:val="001932CB"/>
    <w:rsid w:val="00193564"/>
    <w:rsid w:val="00193F19"/>
    <w:rsid w:val="001A133C"/>
    <w:rsid w:val="001A1412"/>
    <w:rsid w:val="001A3CDB"/>
    <w:rsid w:val="001A3E0D"/>
    <w:rsid w:val="001A3E96"/>
    <w:rsid w:val="001A551F"/>
    <w:rsid w:val="001A56A2"/>
    <w:rsid w:val="001A6181"/>
    <w:rsid w:val="001A6473"/>
    <w:rsid w:val="001A7B9B"/>
    <w:rsid w:val="001B092E"/>
    <w:rsid w:val="001B3295"/>
    <w:rsid w:val="001B39C4"/>
    <w:rsid w:val="001B64A9"/>
    <w:rsid w:val="001B6C63"/>
    <w:rsid w:val="001B7D31"/>
    <w:rsid w:val="001C0CEF"/>
    <w:rsid w:val="001C1A8A"/>
    <w:rsid w:val="001C2038"/>
    <w:rsid w:val="001C23CE"/>
    <w:rsid w:val="001C25C3"/>
    <w:rsid w:val="001C30AC"/>
    <w:rsid w:val="001C3796"/>
    <w:rsid w:val="001C485E"/>
    <w:rsid w:val="001C4A52"/>
    <w:rsid w:val="001C51E2"/>
    <w:rsid w:val="001C536E"/>
    <w:rsid w:val="001C5D5F"/>
    <w:rsid w:val="001D0E41"/>
    <w:rsid w:val="001D153D"/>
    <w:rsid w:val="001D19F1"/>
    <w:rsid w:val="001D2648"/>
    <w:rsid w:val="001D3500"/>
    <w:rsid w:val="001D3F14"/>
    <w:rsid w:val="001D4CE8"/>
    <w:rsid w:val="001D798C"/>
    <w:rsid w:val="001E0E2D"/>
    <w:rsid w:val="001E1FAE"/>
    <w:rsid w:val="001E2183"/>
    <w:rsid w:val="001E34B7"/>
    <w:rsid w:val="001E3647"/>
    <w:rsid w:val="001E39C1"/>
    <w:rsid w:val="001E4D9D"/>
    <w:rsid w:val="001E4F36"/>
    <w:rsid w:val="001E5245"/>
    <w:rsid w:val="001E6902"/>
    <w:rsid w:val="001F1C35"/>
    <w:rsid w:val="001F20B8"/>
    <w:rsid w:val="001F2826"/>
    <w:rsid w:val="001F2EF8"/>
    <w:rsid w:val="001F38F6"/>
    <w:rsid w:val="001F4353"/>
    <w:rsid w:val="001F4AA0"/>
    <w:rsid w:val="001F6454"/>
    <w:rsid w:val="002015C9"/>
    <w:rsid w:val="002020DB"/>
    <w:rsid w:val="00202A01"/>
    <w:rsid w:val="0020435A"/>
    <w:rsid w:val="00206047"/>
    <w:rsid w:val="002073BD"/>
    <w:rsid w:val="00207B90"/>
    <w:rsid w:val="00210158"/>
    <w:rsid w:val="0021155E"/>
    <w:rsid w:val="002137D4"/>
    <w:rsid w:val="0021685B"/>
    <w:rsid w:val="002179AA"/>
    <w:rsid w:val="00217F16"/>
    <w:rsid w:val="002206B0"/>
    <w:rsid w:val="0022095B"/>
    <w:rsid w:val="00220F83"/>
    <w:rsid w:val="00223F01"/>
    <w:rsid w:val="00224E88"/>
    <w:rsid w:val="0022558E"/>
    <w:rsid w:val="00226565"/>
    <w:rsid w:val="002272F0"/>
    <w:rsid w:val="0023012E"/>
    <w:rsid w:val="00231326"/>
    <w:rsid w:val="0023132D"/>
    <w:rsid w:val="00231690"/>
    <w:rsid w:val="00233694"/>
    <w:rsid w:val="00233EF5"/>
    <w:rsid w:val="002349C3"/>
    <w:rsid w:val="002361A5"/>
    <w:rsid w:val="00236CB9"/>
    <w:rsid w:val="00237534"/>
    <w:rsid w:val="0023771D"/>
    <w:rsid w:val="00241C9C"/>
    <w:rsid w:val="00241E9C"/>
    <w:rsid w:val="00242077"/>
    <w:rsid w:val="002426FA"/>
    <w:rsid w:val="00243450"/>
    <w:rsid w:val="002438DD"/>
    <w:rsid w:val="00243BCD"/>
    <w:rsid w:val="00244CFC"/>
    <w:rsid w:val="00245519"/>
    <w:rsid w:val="00245859"/>
    <w:rsid w:val="00246EA8"/>
    <w:rsid w:val="0024739E"/>
    <w:rsid w:val="00250262"/>
    <w:rsid w:val="00250EDB"/>
    <w:rsid w:val="0025100A"/>
    <w:rsid w:val="00251AC2"/>
    <w:rsid w:val="002551A1"/>
    <w:rsid w:val="00255D11"/>
    <w:rsid w:val="00256137"/>
    <w:rsid w:val="00260E80"/>
    <w:rsid w:val="00265B05"/>
    <w:rsid w:val="00266561"/>
    <w:rsid w:val="00266E0C"/>
    <w:rsid w:val="00266E1A"/>
    <w:rsid w:val="00266F7E"/>
    <w:rsid w:val="00270445"/>
    <w:rsid w:val="002723FC"/>
    <w:rsid w:val="002728AA"/>
    <w:rsid w:val="00274061"/>
    <w:rsid w:val="0027468B"/>
    <w:rsid w:val="00280AE6"/>
    <w:rsid w:val="00280C80"/>
    <w:rsid w:val="002815B8"/>
    <w:rsid w:val="00281FA9"/>
    <w:rsid w:val="00282655"/>
    <w:rsid w:val="00282DAE"/>
    <w:rsid w:val="002833AC"/>
    <w:rsid w:val="00287105"/>
    <w:rsid w:val="00290EC3"/>
    <w:rsid w:val="00291602"/>
    <w:rsid w:val="00292502"/>
    <w:rsid w:val="0029392F"/>
    <w:rsid w:val="00293F90"/>
    <w:rsid w:val="002946C4"/>
    <w:rsid w:val="00295DB4"/>
    <w:rsid w:val="00296BAB"/>
    <w:rsid w:val="00297158"/>
    <w:rsid w:val="00297583"/>
    <w:rsid w:val="00297F4E"/>
    <w:rsid w:val="002A2034"/>
    <w:rsid w:val="002A3232"/>
    <w:rsid w:val="002A3D34"/>
    <w:rsid w:val="002A4FD9"/>
    <w:rsid w:val="002A5883"/>
    <w:rsid w:val="002A60A2"/>
    <w:rsid w:val="002B0CD1"/>
    <w:rsid w:val="002B12E6"/>
    <w:rsid w:val="002B1329"/>
    <w:rsid w:val="002B210D"/>
    <w:rsid w:val="002B28F5"/>
    <w:rsid w:val="002B2AFE"/>
    <w:rsid w:val="002B53AC"/>
    <w:rsid w:val="002B7055"/>
    <w:rsid w:val="002B7295"/>
    <w:rsid w:val="002B7C26"/>
    <w:rsid w:val="002B7F03"/>
    <w:rsid w:val="002C0B56"/>
    <w:rsid w:val="002C0B93"/>
    <w:rsid w:val="002C0F1B"/>
    <w:rsid w:val="002C1233"/>
    <w:rsid w:val="002C2B13"/>
    <w:rsid w:val="002C37E7"/>
    <w:rsid w:val="002C433C"/>
    <w:rsid w:val="002C47AC"/>
    <w:rsid w:val="002C5187"/>
    <w:rsid w:val="002C5307"/>
    <w:rsid w:val="002C5517"/>
    <w:rsid w:val="002D1A9D"/>
    <w:rsid w:val="002D2C39"/>
    <w:rsid w:val="002D36DF"/>
    <w:rsid w:val="002D4D2D"/>
    <w:rsid w:val="002D53E1"/>
    <w:rsid w:val="002D61E1"/>
    <w:rsid w:val="002D63B4"/>
    <w:rsid w:val="002D65ED"/>
    <w:rsid w:val="002D6A17"/>
    <w:rsid w:val="002D7409"/>
    <w:rsid w:val="002D7BE4"/>
    <w:rsid w:val="002E0844"/>
    <w:rsid w:val="002E0AB6"/>
    <w:rsid w:val="002E1CFE"/>
    <w:rsid w:val="002E22D7"/>
    <w:rsid w:val="002E2D66"/>
    <w:rsid w:val="002E2ECD"/>
    <w:rsid w:val="002E33A2"/>
    <w:rsid w:val="002E3609"/>
    <w:rsid w:val="002E3F3A"/>
    <w:rsid w:val="002E528E"/>
    <w:rsid w:val="002E5382"/>
    <w:rsid w:val="002E5E3C"/>
    <w:rsid w:val="002E76B3"/>
    <w:rsid w:val="002E7948"/>
    <w:rsid w:val="002F05C5"/>
    <w:rsid w:val="002F05E9"/>
    <w:rsid w:val="002F07F4"/>
    <w:rsid w:val="002F1032"/>
    <w:rsid w:val="002F1057"/>
    <w:rsid w:val="002F20F5"/>
    <w:rsid w:val="002F25B1"/>
    <w:rsid w:val="002F2E6A"/>
    <w:rsid w:val="002F323D"/>
    <w:rsid w:val="002F55E7"/>
    <w:rsid w:val="002F605D"/>
    <w:rsid w:val="002F6F3F"/>
    <w:rsid w:val="002F7F95"/>
    <w:rsid w:val="00300EF7"/>
    <w:rsid w:val="0030108A"/>
    <w:rsid w:val="0030141E"/>
    <w:rsid w:val="003029DD"/>
    <w:rsid w:val="00305113"/>
    <w:rsid w:val="003053F4"/>
    <w:rsid w:val="00305C88"/>
    <w:rsid w:val="00306431"/>
    <w:rsid w:val="00306A90"/>
    <w:rsid w:val="00307D3C"/>
    <w:rsid w:val="00310511"/>
    <w:rsid w:val="00310654"/>
    <w:rsid w:val="00310E98"/>
    <w:rsid w:val="00311414"/>
    <w:rsid w:val="003130FC"/>
    <w:rsid w:val="003131B2"/>
    <w:rsid w:val="003132DC"/>
    <w:rsid w:val="00313AD1"/>
    <w:rsid w:val="00315407"/>
    <w:rsid w:val="00315734"/>
    <w:rsid w:val="0031648A"/>
    <w:rsid w:val="003169E7"/>
    <w:rsid w:val="00316C1D"/>
    <w:rsid w:val="0031755E"/>
    <w:rsid w:val="00317A1A"/>
    <w:rsid w:val="003205FF"/>
    <w:rsid w:val="00320F38"/>
    <w:rsid w:val="00321884"/>
    <w:rsid w:val="00321C3D"/>
    <w:rsid w:val="00323327"/>
    <w:rsid w:val="00323A55"/>
    <w:rsid w:val="00325252"/>
    <w:rsid w:val="00325E98"/>
    <w:rsid w:val="003268D1"/>
    <w:rsid w:val="00326F62"/>
    <w:rsid w:val="00327378"/>
    <w:rsid w:val="00327AF0"/>
    <w:rsid w:val="00331B49"/>
    <w:rsid w:val="00331F29"/>
    <w:rsid w:val="00333A1D"/>
    <w:rsid w:val="0033460B"/>
    <w:rsid w:val="00334F92"/>
    <w:rsid w:val="0033752D"/>
    <w:rsid w:val="00337C35"/>
    <w:rsid w:val="003420DA"/>
    <w:rsid w:val="003427D8"/>
    <w:rsid w:val="0034291E"/>
    <w:rsid w:val="00342BF4"/>
    <w:rsid w:val="00342E6D"/>
    <w:rsid w:val="003431A8"/>
    <w:rsid w:val="003456F8"/>
    <w:rsid w:val="003458F8"/>
    <w:rsid w:val="00346875"/>
    <w:rsid w:val="00347675"/>
    <w:rsid w:val="00347BD4"/>
    <w:rsid w:val="00347CD5"/>
    <w:rsid w:val="00347DF0"/>
    <w:rsid w:val="00350B80"/>
    <w:rsid w:val="00351017"/>
    <w:rsid w:val="00351462"/>
    <w:rsid w:val="00351B00"/>
    <w:rsid w:val="0035222C"/>
    <w:rsid w:val="00352F11"/>
    <w:rsid w:val="003532E2"/>
    <w:rsid w:val="0035367E"/>
    <w:rsid w:val="00353D41"/>
    <w:rsid w:val="00353E36"/>
    <w:rsid w:val="00353E3B"/>
    <w:rsid w:val="0035547A"/>
    <w:rsid w:val="003554E0"/>
    <w:rsid w:val="00355DBF"/>
    <w:rsid w:val="003576FF"/>
    <w:rsid w:val="00357D42"/>
    <w:rsid w:val="00357E26"/>
    <w:rsid w:val="00357F80"/>
    <w:rsid w:val="00361A3C"/>
    <w:rsid w:val="00362055"/>
    <w:rsid w:val="0036304D"/>
    <w:rsid w:val="003631B2"/>
    <w:rsid w:val="00363764"/>
    <w:rsid w:val="00363D17"/>
    <w:rsid w:val="0036462F"/>
    <w:rsid w:val="00364D1E"/>
    <w:rsid w:val="003678FA"/>
    <w:rsid w:val="00367A4B"/>
    <w:rsid w:val="00367AB2"/>
    <w:rsid w:val="00370768"/>
    <w:rsid w:val="00371303"/>
    <w:rsid w:val="0037228C"/>
    <w:rsid w:val="00372B60"/>
    <w:rsid w:val="00372E36"/>
    <w:rsid w:val="0037401B"/>
    <w:rsid w:val="00374A52"/>
    <w:rsid w:val="003767DD"/>
    <w:rsid w:val="0037786C"/>
    <w:rsid w:val="00380001"/>
    <w:rsid w:val="00380A73"/>
    <w:rsid w:val="00382F29"/>
    <w:rsid w:val="00383A19"/>
    <w:rsid w:val="00384AF1"/>
    <w:rsid w:val="003851A8"/>
    <w:rsid w:val="003857F4"/>
    <w:rsid w:val="00385A79"/>
    <w:rsid w:val="00386385"/>
    <w:rsid w:val="00386B73"/>
    <w:rsid w:val="00387555"/>
    <w:rsid w:val="0039006E"/>
    <w:rsid w:val="0039086C"/>
    <w:rsid w:val="00390A30"/>
    <w:rsid w:val="00391685"/>
    <w:rsid w:val="00391AD2"/>
    <w:rsid w:val="0039303E"/>
    <w:rsid w:val="00393934"/>
    <w:rsid w:val="00393B9D"/>
    <w:rsid w:val="00393EEE"/>
    <w:rsid w:val="003945AC"/>
    <w:rsid w:val="00394823"/>
    <w:rsid w:val="003955A0"/>
    <w:rsid w:val="00396D0E"/>
    <w:rsid w:val="00396EF2"/>
    <w:rsid w:val="003978DA"/>
    <w:rsid w:val="003A13B4"/>
    <w:rsid w:val="003A179E"/>
    <w:rsid w:val="003A2A55"/>
    <w:rsid w:val="003A2EC2"/>
    <w:rsid w:val="003A4BE8"/>
    <w:rsid w:val="003A60F9"/>
    <w:rsid w:val="003A72AE"/>
    <w:rsid w:val="003B1507"/>
    <w:rsid w:val="003B4A8D"/>
    <w:rsid w:val="003B4F0F"/>
    <w:rsid w:val="003B573A"/>
    <w:rsid w:val="003B5D7A"/>
    <w:rsid w:val="003B72C4"/>
    <w:rsid w:val="003C02E9"/>
    <w:rsid w:val="003C1834"/>
    <w:rsid w:val="003C2417"/>
    <w:rsid w:val="003C2658"/>
    <w:rsid w:val="003C276B"/>
    <w:rsid w:val="003C31DB"/>
    <w:rsid w:val="003C34C9"/>
    <w:rsid w:val="003C40C5"/>
    <w:rsid w:val="003C48B6"/>
    <w:rsid w:val="003C4FB1"/>
    <w:rsid w:val="003C7180"/>
    <w:rsid w:val="003C798F"/>
    <w:rsid w:val="003D0F9D"/>
    <w:rsid w:val="003D282F"/>
    <w:rsid w:val="003D3591"/>
    <w:rsid w:val="003D4318"/>
    <w:rsid w:val="003D52ED"/>
    <w:rsid w:val="003D578C"/>
    <w:rsid w:val="003D66C8"/>
    <w:rsid w:val="003D6752"/>
    <w:rsid w:val="003D746E"/>
    <w:rsid w:val="003E0375"/>
    <w:rsid w:val="003E06AE"/>
    <w:rsid w:val="003E4422"/>
    <w:rsid w:val="003E4FF7"/>
    <w:rsid w:val="003E5506"/>
    <w:rsid w:val="003E69A3"/>
    <w:rsid w:val="003E6FC3"/>
    <w:rsid w:val="003F0902"/>
    <w:rsid w:val="003F155D"/>
    <w:rsid w:val="003F1AAC"/>
    <w:rsid w:val="003F2B13"/>
    <w:rsid w:val="003F35EF"/>
    <w:rsid w:val="003F3B35"/>
    <w:rsid w:val="003F470F"/>
    <w:rsid w:val="003F4D14"/>
    <w:rsid w:val="003F54E9"/>
    <w:rsid w:val="003F6CE8"/>
    <w:rsid w:val="00400092"/>
    <w:rsid w:val="00400BD8"/>
    <w:rsid w:val="00401D39"/>
    <w:rsid w:val="004027C6"/>
    <w:rsid w:val="00403C20"/>
    <w:rsid w:val="004052B2"/>
    <w:rsid w:val="00405C0C"/>
    <w:rsid w:val="00406995"/>
    <w:rsid w:val="0041053A"/>
    <w:rsid w:val="00410848"/>
    <w:rsid w:val="0041126F"/>
    <w:rsid w:val="00411DEB"/>
    <w:rsid w:val="00412253"/>
    <w:rsid w:val="004146DC"/>
    <w:rsid w:val="004156A9"/>
    <w:rsid w:val="00415770"/>
    <w:rsid w:val="00415FC6"/>
    <w:rsid w:val="00417B4C"/>
    <w:rsid w:val="00420A24"/>
    <w:rsid w:val="00420E61"/>
    <w:rsid w:val="00421684"/>
    <w:rsid w:val="004234B5"/>
    <w:rsid w:val="00424342"/>
    <w:rsid w:val="00426437"/>
    <w:rsid w:val="00427BB5"/>
    <w:rsid w:val="00430270"/>
    <w:rsid w:val="00430526"/>
    <w:rsid w:val="00431299"/>
    <w:rsid w:val="00431859"/>
    <w:rsid w:val="00432115"/>
    <w:rsid w:val="00432382"/>
    <w:rsid w:val="00432B9B"/>
    <w:rsid w:val="00433CC5"/>
    <w:rsid w:val="00434060"/>
    <w:rsid w:val="00435F19"/>
    <w:rsid w:val="00435F6A"/>
    <w:rsid w:val="00436E44"/>
    <w:rsid w:val="00437569"/>
    <w:rsid w:val="00437CAD"/>
    <w:rsid w:val="0044012A"/>
    <w:rsid w:val="00441303"/>
    <w:rsid w:val="00441D52"/>
    <w:rsid w:val="00442312"/>
    <w:rsid w:val="00442E37"/>
    <w:rsid w:val="004432F6"/>
    <w:rsid w:val="00443609"/>
    <w:rsid w:val="00444478"/>
    <w:rsid w:val="00444676"/>
    <w:rsid w:val="0044485A"/>
    <w:rsid w:val="00446F85"/>
    <w:rsid w:val="004521AC"/>
    <w:rsid w:val="004522B4"/>
    <w:rsid w:val="004522C9"/>
    <w:rsid w:val="00452338"/>
    <w:rsid w:val="00452891"/>
    <w:rsid w:val="00452900"/>
    <w:rsid w:val="00452A5B"/>
    <w:rsid w:val="00452CED"/>
    <w:rsid w:val="00454AF0"/>
    <w:rsid w:val="00456533"/>
    <w:rsid w:val="00456AC9"/>
    <w:rsid w:val="00457C46"/>
    <w:rsid w:val="00460012"/>
    <w:rsid w:val="0046133E"/>
    <w:rsid w:val="00461BFF"/>
    <w:rsid w:val="00462611"/>
    <w:rsid w:val="00463CEA"/>
    <w:rsid w:val="004641D2"/>
    <w:rsid w:val="00465A24"/>
    <w:rsid w:val="00466C1C"/>
    <w:rsid w:val="0046775E"/>
    <w:rsid w:val="0047038B"/>
    <w:rsid w:val="00470D92"/>
    <w:rsid w:val="004711DC"/>
    <w:rsid w:val="0047196C"/>
    <w:rsid w:val="0047354E"/>
    <w:rsid w:val="004736DB"/>
    <w:rsid w:val="00475510"/>
    <w:rsid w:val="0047586E"/>
    <w:rsid w:val="00477617"/>
    <w:rsid w:val="0047771B"/>
    <w:rsid w:val="00477873"/>
    <w:rsid w:val="00477CD4"/>
    <w:rsid w:val="00480E9D"/>
    <w:rsid w:val="00482393"/>
    <w:rsid w:val="004828DF"/>
    <w:rsid w:val="00483C4E"/>
    <w:rsid w:val="004846D3"/>
    <w:rsid w:val="004853B4"/>
    <w:rsid w:val="0048588A"/>
    <w:rsid w:val="004861E4"/>
    <w:rsid w:val="0048744E"/>
    <w:rsid w:val="00490397"/>
    <w:rsid w:val="00490692"/>
    <w:rsid w:val="004932EC"/>
    <w:rsid w:val="00493BFD"/>
    <w:rsid w:val="004952D7"/>
    <w:rsid w:val="00496108"/>
    <w:rsid w:val="004A0830"/>
    <w:rsid w:val="004A0DCB"/>
    <w:rsid w:val="004A0E05"/>
    <w:rsid w:val="004A11C7"/>
    <w:rsid w:val="004A17A7"/>
    <w:rsid w:val="004A18D7"/>
    <w:rsid w:val="004A1B26"/>
    <w:rsid w:val="004A22F8"/>
    <w:rsid w:val="004A3B6F"/>
    <w:rsid w:val="004A3EA6"/>
    <w:rsid w:val="004A44E7"/>
    <w:rsid w:val="004A5489"/>
    <w:rsid w:val="004A7DB2"/>
    <w:rsid w:val="004B3935"/>
    <w:rsid w:val="004B4D21"/>
    <w:rsid w:val="004B6915"/>
    <w:rsid w:val="004B7309"/>
    <w:rsid w:val="004C00FC"/>
    <w:rsid w:val="004C17CB"/>
    <w:rsid w:val="004C195F"/>
    <w:rsid w:val="004C41E7"/>
    <w:rsid w:val="004C4F80"/>
    <w:rsid w:val="004C5759"/>
    <w:rsid w:val="004C7191"/>
    <w:rsid w:val="004D0248"/>
    <w:rsid w:val="004D0BDF"/>
    <w:rsid w:val="004D0CD1"/>
    <w:rsid w:val="004D21B4"/>
    <w:rsid w:val="004D3A0B"/>
    <w:rsid w:val="004D400C"/>
    <w:rsid w:val="004D469E"/>
    <w:rsid w:val="004D4B67"/>
    <w:rsid w:val="004E0F69"/>
    <w:rsid w:val="004E47D8"/>
    <w:rsid w:val="004E4BBD"/>
    <w:rsid w:val="004E4C63"/>
    <w:rsid w:val="004E4E63"/>
    <w:rsid w:val="004E5018"/>
    <w:rsid w:val="004E5C28"/>
    <w:rsid w:val="004E5C9E"/>
    <w:rsid w:val="004E5EFE"/>
    <w:rsid w:val="004F064A"/>
    <w:rsid w:val="004F0FD3"/>
    <w:rsid w:val="004F2231"/>
    <w:rsid w:val="004F3440"/>
    <w:rsid w:val="004F3FEB"/>
    <w:rsid w:val="004F4947"/>
    <w:rsid w:val="004F774D"/>
    <w:rsid w:val="004F79D9"/>
    <w:rsid w:val="0050104B"/>
    <w:rsid w:val="005014CD"/>
    <w:rsid w:val="00501793"/>
    <w:rsid w:val="00502114"/>
    <w:rsid w:val="00504C7A"/>
    <w:rsid w:val="00505BFD"/>
    <w:rsid w:val="00506DCF"/>
    <w:rsid w:val="00507B4B"/>
    <w:rsid w:val="00507D52"/>
    <w:rsid w:val="00510368"/>
    <w:rsid w:val="00510AA1"/>
    <w:rsid w:val="00511E6F"/>
    <w:rsid w:val="00512879"/>
    <w:rsid w:val="005150A7"/>
    <w:rsid w:val="005172A9"/>
    <w:rsid w:val="005176D0"/>
    <w:rsid w:val="005204CB"/>
    <w:rsid w:val="00520C9A"/>
    <w:rsid w:val="00520DE3"/>
    <w:rsid w:val="00521224"/>
    <w:rsid w:val="00522A18"/>
    <w:rsid w:val="0052366A"/>
    <w:rsid w:val="00524F37"/>
    <w:rsid w:val="00525AEA"/>
    <w:rsid w:val="00525FA8"/>
    <w:rsid w:val="005261A2"/>
    <w:rsid w:val="005272D8"/>
    <w:rsid w:val="00530B7D"/>
    <w:rsid w:val="0053139A"/>
    <w:rsid w:val="005319EA"/>
    <w:rsid w:val="00531CA6"/>
    <w:rsid w:val="00531EA2"/>
    <w:rsid w:val="00532D90"/>
    <w:rsid w:val="005334CB"/>
    <w:rsid w:val="00533D48"/>
    <w:rsid w:val="00535671"/>
    <w:rsid w:val="00535BDA"/>
    <w:rsid w:val="0053707E"/>
    <w:rsid w:val="005410F1"/>
    <w:rsid w:val="0054181C"/>
    <w:rsid w:val="005419E9"/>
    <w:rsid w:val="00541DC9"/>
    <w:rsid w:val="00542475"/>
    <w:rsid w:val="00543288"/>
    <w:rsid w:val="005440CF"/>
    <w:rsid w:val="00544CA6"/>
    <w:rsid w:val="00547BCB"/>
    <w:rsid w:val="00550929"/>
    <w:rsid w:val="00550C9C"/>
    <w:rsid w:val="00550FF2"/>
    <w:rsid w:val="005516A8"/>
    <w:rsid w:val="005545AE"/>
    <w:rsid w:val="00554A16"/>
    <w:rsid w:val="00556496"/>
    <w:rsid w:val="00560786"/>
    <w:rsid w:val="005614A2"/>
    <w:rsid w:val="00561C08"/>
    <w:rsid w:val="00562521"/>
    <w:rsid w:val="0056268F"/>
    <w:rsid w:val="0056306F"/>
    <w:rsid w:val="00563557"/>
    <w:rsid w:val="00563569"/>
    <w:rsid w:val="005644C1"/>
    <w:rsid w:val="0056476B"/>
    <w:rsid w:val="0056481B"/>
    <w:rsid w:val="0056530F"/>
    <w:rsid w:val="00565C3C"/>
    <w:rsid w:val="00566114"/>
    <w:rsid w:val="005663C6"/>
    <w:rsid w:val="0057085B"/>
    <w:rsid w:val="00570C6B"/>
    <w:rsid w:val="00571A00"/>
    <w:rsid w:val="00572DF6"/>
    <w:rsid w:val="00573388"/>
    <w:rsid w:val="00573AB6"/>
    <w:rsid w:val="00577D77"/>
    <w:rsid w:val="00577FFD"/>
    <w:rsid w:val="00580725"/>
    <w:rsid w:val="00580B1C"/>
    <w:rsid w:val="005824D3"/>
    <w:rsid w:val="00582BC1"/>
    <w:rsid w:val="00586657"/>
    <w:rsid w:val="00586FDE"/>
    <w:rsid w:val="005872A0"/>
    <w:rsid w:val="00587826"/>
    <w:rsid w:val="00587C9B"/>
    <w:rsid w:val="00587F89"/>
    <w:rsid w:val="0059029E"/>
    <w:rsid w:val="005902A2"/>
    <w:rsid w:val="00590E5A"/>
    <w:rsid w:val="005916AD"/>
    <w:rsid w:val="00593B1A"/>
    <w:rsid w:val="005940D1"/>
    <w:rsid w:val="00594E34"/>
    <w:rsid w:val="00595ADB"/>
    <w:rsid w:val="00596A82"/>
    <w:rsid w:val="00596C14"/>
    <w:rsid w:val="005A1053"/>
    <w:rsid w:val="005A1219"/>
    <w:rsid w:val="005A21C3"/>
    <w:rsid w:val="005A2BB7"/>
    <w:rsid w:val="005A3350"/>
    <w:rsid w:val="005A3A8D"/>
    <w:rsid w:val="005A4ADA"/>
    <w:rsid w:val="005A698E"/>
    <w:rsid w:val="005A6F2F"/>
    <w:rsid w:val="005B0F08"/>
    <w:rsid w:val="005B283E"/>
    <w:rsid w:val="005B2965"/>
    <w:rsid w:val="005B2D50"/>
    <w:rsid w:val="005B3A18"/>
    <w:rsid w:val="005B41AA"/>
    <w:rsid w:val="005B4F61"/>
    <w:rsid w:val="005B57EF"/>
    <w:rsid w:val="005B625A"/>
    <w:rsid w:val="005B7FCC"/>
    <w:rsid w:val="005C1A04"/>
    <w:rsid w:val="005C3034"/>
    <w:rsid w:val="005C348F"/>
    <w:rsid w:val="005C5968"/>
    <w:rsid w:val="005C6044"/>
    <w:rsid w:val="005C60BE"/>
    <w:rsid w:val="005C6229"/>
    <w:rsid w:val="005C6CB1"/>
    <w:rsid w:val="005C7707"/>
    <w:rsid w:val="005C7D34"/>
    <w:rsid w:val="005D133C"/>
    <w:rsid w:val="005D2069"/>
    <w:rsid w:val="005D3309"/>
    <w:rsid w:val="005D33D4"/>
    <w:rsid w:val="005D4BB0"/>
    <w:rsid w:val="005D5CF2"/>
    <w:rsid w:val="005D6CF7"/>
    <w:rsid w:val="005D7F3B"/>
    <w:rsid w:val="005D7FCA"/>
    <w:rsid w:val="005E081D"/>
    <w:rsid w:val="005E1232"/>
    <w:rsid w:val="005E206C"/>
    <w:rsid w:val="005E3F9D"/>
    <w:rsid w:val="005E485F"/>
    <w:rsid w:val="005E57D9"/>
    <w:rsid w:val="005E7CC2"/>
    <w:rsid w:val="005F0402"/>
    <w:rsid w:val="005F0658"/>
    <w:rsid w:val="005F2375"/>
    <w:rsid w:val="005F3F4A"/>
    <w:rsid w:val="005F6270"/>
    <w:rsid w:val="005F77A2"/>
    <w:rsid w:val="0060029B"/>
    <w:rsid w:val="006002AA"/>
    <w:rsid w:val="00600B64"/>
    <w:rsid w:val="00601F0C"/>
    <w:rsid w:val="00601F43"/>
    <w:rsid w:val="006029A4"/>
    <w:rsid w:val="00602AD8"/>
    <w:rsid w:val="00602D24"/>
    <w:rsid w:val="006032BF"/>
    <w:rsid w:val="006034D0"/>
    <w:rsid w:val="00604B41"/>
    <w:rsid w:val="00605C92"/>
    <w:rsid w:val="0060707D"/>
    <w:rsid w:val="006071AC"/>
    <w:rsid w:val="00607305"/>
    <w:rsid w:val="0060791B"/>
    <w:rsid w:val="00610EE4"/>
    <w:rsid w:val="00611C67"/>
    <w:rsid w:val="00613C4B"/>
    <w:rsid w:val="00614076"/>
    <w:rsid w:val="00614391"/>
    <w:rsid w:val="00614E5A"/>
    <w:rsid w:val="00616235"/>
    <w:rsid w:val="00617102"/>
    <w:rsid w:val="00620244"/>
    <w:rsid w:val="00620B8A"/>
    <w:rsid w:val="0062275E"/>
    <w:rsid w:val="0062413E"/>
    <w:rsid w:val="0062554E"/>
    <w:rsid w:val="0062556B"/>
    <w:rsid w:val="006258B1"/>
    <w:rsid w:val="00626D2A"/>
    <w:rsid w:val="00630230"/>
    <w:rsid w:val="00630E03"/>
    <w:rsid w:val="00631233"/>
    <w:rsid w:val="00631513"/>
    <w:rsid w:val="0063197E"/>
    <w:rsid w:val="00632042"/>
    <w:rsid w:val="00634211"/>
    <w:rsid w:val="00634E58"/>
    <w:rsid w:val="00635345"/>
    <w:rsid w:val="00635E2F"/>
    <w:rsid w:val="00636EB6"/>
    <w:rsid w:val="006374F9"/>
    <w:rsid w:val="00637CB0"/>
    <w:rsid w:val="00640B8B"/>
    <w:rsid w:val="00641184"/>
    <w:rsid w:val="00641990"/>
    <w:rsid w:val="00643E28"/>
    <w:rsid w:val="00645153"/>
    <w:rsid w:val="00646223"/>
    <w:rsid w:val="00647799"/>
    <w:rsid w:val="00647B7A"/>
    <w:rsid w:val="00650304"/>
    <w:rsid w:val="006527E4"/>
    <w:rsid w:val="006529FA"/>
    <w:rsid w:val="00652C03"/>
    <w:rsid w:val="006535F8"/>
    <w:rsid w:val="00653B45"/>
    <w:rsid w:val="00655089"/>
    <w:rsid w:val="006569A9"/>
    <w:rsid w:val="00657CAF"/>
    <w:rsid w:val="0066039A"/>
    <w:rsid w:val="00662123"/>
    <w:rsid w:val="00663B7B"/>
    <w:rsid w:val="00663D86"/>
    <w:rsid w:val="006640FF"/>
    <w:rsid w:val="0066461E"/>
    <w:rsid w:val="00665387"/>
    <w:rsid w:val="0066583E"/>
    <w:rsid w:val="00667145"/>
    <w:rsid w:val="0066718B"/>
    <w:rsid w:val="006673BB"/>
    <w:rsid w:val="006677A6"/>
    <w:rsid w:val="00667E50"/>
    <w:rsid w:val="00670AD9"/>
    <w:rsid w:val="00671197"/>
    <w:rsid w:val="006713C2"/>
    <w:rsid w:val="00671674"/>
    <w:rsid w:val="00671713"/>
    <w:rsid w:val="006719F3"/>
    <w:rsid w:val="006728B8"/>
    <w:rsid w:val="00673AE4"/>
    <w:rsid w:val="00673D28"/>
    <w:rsid w:val="0067402D"/>
    <w:rsid w:val="00675E56"/>
    <w:rsid w:val="00675EAE"/>
    <w:rsid w:val="00675EDB"/>
    <w:rsid w:val="0067632C"/>
    <w:rsid w:val="00676EB1"/>
    <w:rsid w:val="00677A85"/>
    <w:rsid w:val="006805A5"/>
    <w:rsid w:val="00680B51"/>
    <w:rsid w:val="00680F6F"/>
    <w:rsid w:val="00681E64"/>
    <w:rsid w:val="006820BF"/>
    <w:rsid w:val="006821E3"/>
    <w:rsid w:val="00682E33"/>
    <w:rsid w:val="006840E1"/>
    <w:rsid w:val="00684DB3"/>
    <w:rsid w:val="00687F92"/>
    <w:rsid w:val="0069072E"/>
    <w:rsid w:val="00690E89"/>
    <w:rsid w:val="00693518"/>
    <w:rsid w:val="00693F2B"/>
    <w:rsid w:val="006943E2"/>
    <w:rsid w:val="00694C51"/>
    <w:rsid w:val="006951B8"/>
    <w:rsid w:val="006955E7"/>
    <w:rsid w:val="00695B03"/>
    <w:rsid w:val="00695C91"/>
    <w:rsid w:val="00695FCF"/>
    <w:rsid w:val="00696965"/>
    <w:rsid w:val="00696DDA"/>
    <w:rsid w:val="00696EF2"/>
    <w:rsid w:val="006A08F7"/>
    <w:rsid w:val="006A135C"/>
    <w:rsid w:val="006A243E"/>
    <w:rsid w:val="006A48B5"/>
    <w:rsid w:val="006A4CFB"/>
    <w:rsid w:val="006A5914"/>
    <w:rsid w:val="006A6597"/>
    <w:rsid w:val="006A6834"/>
    <w:rsid w:val="006A71A2"/>
    <w:rsid w:val="006B2505"/>
    <w:rsid w:val="006B2CA2"/>
    <w:rsid w:val="006B330E"/>
    <w:rsid w:val="006B3337"/>
    <w:rsid w:val="006B4075"/>
    <w:rsid w:val="006B4A58"/>
    <w:rsid w:val="006B5E7A"/>
    <w:rsid w:val="006B6817"/>
    <w:rsid w:val="006B6956"/>
    <w:rsid w:val="006C09E3"/>
    <w:rsid w:val="006C17D2"/>
    <w:rsid w:val="006C3014"/>
    <w:rsid w:val="006C41FF"/>
    <w:rsid w:val="006C4E62"/>
    <w:rsid w:val="006C7521"/>
    <w:rsid w:val="006D254F"/>
    <w:rsid w:val="006D2E9C"/>
    <w:rsid w:val="006D30E8"/>
    <w:rsid w:val="006D4561"/>
    <w:rsid w:val="006D502F"/>
    <w:rsid w:val="006D5067"/>
    <w:rsid w:val="006D6B8C"/>
    <w:rsid w:val="006D73D4"/>
    <w:rsid w:val="006D7A16"/>
    <w:rsid w:val="006D7F65"/>
    <w:rsid w:val="006E1EA3"/>
    <w:rsid w:val="006E2142"/>
    <w:rsid w:val="006E265E"/>
    <w:rsid w:val="006E27FD"/>
    <w:rsid w:val="006E4495"/>
    <w:rsid w:val="006E4709"/>
    <w:rsid w:val="006E4DAD"/>
    <w:rsid w:val="006E56F1"/>
    <w:rsid w:val="006E6CC2"/>
    <w:rsid w:val="006E7CF4"/>
    <w:rsid w:val="006F055B"/>
    <w:rsid w:val="006F0654"/>
    <w:rsid w:val="006F27DE"/>
    <w:rsid w:val="006F5C05"/>
    <w:rsid w:val="006F5E1D"/>
    <w:rsid w:val="006F6ADA"/>
    <w:rsid w:val="006F707F"/>
    <w:rsid w:val="006F7E22"/>
    <w:rsid w:val="00701CC2"/>
    <w:rsid w:val="007028B2"/>
    <w:rsid w:val="007034D2"/>
    <w:rsid w:val="007036DF"/>
    <w:rsid w:val="0070382E"/>
    <w:rsid w:val="0070478C"/>
    <w:rsid w:val="00704FAE"/>
    <w:rsid w:val="00705474"/>
    <w:rsid w:val="0070548A"/>
    <w:rsid w:val="0070621C"/>
    <w:rsid w:val="00706682"/>
    <w:rsid w:val="007072CA"/>
    <w:rsid w:val="00707993"/>
    <w:rsid w:val="00707B52"/>
    <w:rsid w:val="00710B7D"/>
    <w:rsid w:val="0071123A"/>
    <w:rsid w:val="00711E25"/>
    <w:rsid w:val="00712A2C"/>
    <w:rsid w:val="00712C44"/>
    <w:rsid w:val="007138CC"/>
    <w:rsid w:val="0071439B"/>
    <w:rsid w:val="00714848"/>
    <w:rsid w:val="00714FA6"/>
    <w:rsid w:val="00715D3D"/>
    <w:rsid w:val="007209B4"/>
    <w:rsid w:val="00720FB7"/>
    <w:rsid w:val="0072122E"/>
    <w:rsid w:val="00723B85"/>
    <w:rsid w:val="00724554"/>
    <w:rsid w:val="007257B8"/>
    <w:rsid w:val="00725DCD"/>
    <w:rsid w:val="007268E0"/>
    <w:rsid w:val="00727A83"/>
    <w:rsid w:val="00730172"/>
    <w:rsid w:val="0073174A"/>
    <w:rsid w:val="00732592"/>
    <w:rsid w:val="0073280F"/>
    <w:rsid w:val="007328AD"/>
    <w:rsid w:val="007333BE"/>
    <w:rsid w:val="007335A8"/>
    <w:rsid w:val="0073513B"/>
    <w:rsid w:val="00736855"/>
    <w:rsid w:val="00737013"/>
    <w:rsid w:val="0073747A"/>
    <w:rsid w:val="0073764E"/>
    <w:rsid w:val="00737DDD"/>
    <w:rsid w:val="00740765"/>
    <w:rsid w:val="007414A3"/>
    <w:rsid w:val="00741BC7"/>
    <w:rsid w:val="00741C6B"/>
    <w:rsid w:val="00742201"/>
    <w:rsid w:val="00743D67"/>
    <w:rsid w:val="007474B0"/>
    <w:rsid w:val="0075099D"/>
    <w:rsid w:val="0075229E"/>
    <w:rsid w:val="007544BE"/>
    <w:rsid w:val="00756B84"/>
    <w:rsid w:val="00756C54"/>
    <w:rsid w:val="00756D61"/>
    <w:rsid w:val="0075721B"/>
    <w:rsid w:val="00757A75"/>
    <w:rsid w:val="00760136"/>
    <w:rsid w:val="00760496"/>
    <w:rsid w:val="0076053B"/>
    <w:rsid w:val="007612DE"/>
    <w:rsid w:val="00763FB0"/>
    <w:rsid w:val="007652AF"/>
    <w:rsid w:val="0076624A"/>
    <w:rsid w:val="007667ED"/>
    <w:rsid w:val="0076688B"/>
    <w:rsid w:val="00766DA3"/>
    <w:rsid w:val="00770D2D"/>
    <w:rsid w:val="00772444"/>
    <w:rsid w:val="00772C0B"/>
    <w:rsid w:val="007738D0"/>
    <w:rsid w:val="00773C7D"/>
    <w:rsid w:val="00773EC0"/>
    <w:rsid w:val="00774E33"/>
    <w:rsid w:val="0077567A"/>
    <w:rsid w:val="00775DA1"/>
    <w:rsid w:val="00776C47"/>
    <w:rsid w:val="00780533"/>
    <w:rsid w:val="00780D8F"/>
    <w:rsid w:val="00781335"/>
    <w:rsid w:val="0078262C"/>
    <w:rsid w:val="00782F53"/>
    <w:rsid w:val="007830E9"/>
    <w:rsid w:val="0078344A"/>
    <w:rsid w:val="00783898"/>
    <w:rsid w:val="007847DB"/>
    <w:rsid w:val="00785E45"/>
    <w:rsid w:val="00786BC4"/>
    <w:rsid w:val="0078737D"/>
    <w:rsid w:val="007878CB"/>
    <w:rsid w:val="00790464"/>
    <w:rsid w:val="0079086E"/>
    <w:rsid w:val="00790E8C"/>
    <w:rsid w:val="0079100D"/>
    <w:rsid w:val="00791CAB"/>
    <w:rsid w:val="007939B6"/>
    <w:rsid w:val="007964C7"/>
    <w:rsid w:val="007965F2"/>
    <w:rsid w:val="00796755"/>
    <w:rsid w:val="0079678B"/>
    <w:rsid w:val="007974E2"/>
    <w:rsid w:val="00797F1D"/>
    <w:rsid w:val="007A1C59"/>
    <w:rsid w:val="007A368C"/>
    <w:rsid w:val="007A4969"/>
    <w:rsid w:val="007A6D9A"/>
    <w:rsid w:val="007A7A7F"/>
    <w:rsid w:val="007B01D2"/>
    <w:rsid w:val="007B04E4"/>
    <w:rsid w:val="007B05F7"/>
    <w:rsid w:val="007B14A4"/>
    <w:rsid w:val="007B1924"/>
    <w:rsid w:val="007B199A"/>
    <w:rsid w:val="007B1BA6"/>
    <w:rsid w:val="007B2104"/>
    <w:rsid w:val="007B48F8"/>
    <w:rsid w:val="007B4C9D"/>
    <w:rsid w:val="007B4CB6"/>
    <w:rsid w:val="007B55B5"/>
    <w:rsid w:val="007B5624"/>
    <w:rsid w:val="007C0C20"/>
    <w:rsid w:val="007C264B"/>
    <w:rsid w:val="007C3D92"/>
    <w:rsid w:val="007C5078"/>
    <w:rsid w:val="007C5420"/>
    <w:rsid w:val="007C5542"/>
    <w:rsid w:val="007C5E63"/>
    <w:rsid w:val="007C60EC"/>
    <w:rsid w:val="007C62C2"/>
    <w:rsid w:val="007C6F73"/>
    <w:rsid w:val="007C7E5A"/>
    <w:rsid w:val="007D03D5"/>
    <w:rsid w:val="007D1008"/>
    <w:rsid w:val="007D16CC"/>
    <w:rsid w:val="007D1AAD"/>
    <w:rsid w:val="007D1B67"/>
    <w:rsid w:val="007D2672"/>
    <w:rsid w:val="007D4B6B"/>
    <w:rsid w:val="007D62DC"/>
    <w:rsid w:val="007D7930"/>
    <w:rsid w:val="007E0965"/>
    <w:rsid w:val="007E1DB9"/>
    <w:rsid w:val="007E2CFC"/>
    <w:rsid w:val="007E3347"/>
    <w:rsid w:val="007E497F"/>
    <w:rsid w:val="007E4A1A"/>
    <w:rsid w:val="007E6B12"/>
    <w:rsid w:val="007E6C02"/>
    <w:rsid w:val="007E728E"/>
    <w:rsid w:val="007E784C"/>
    <w:rsid w:val="007E7C5E"/>
    <w:rsid w:val="007F01D1"/>
    <w:rsid w:val="007F130A"/>
    <w:rsid w:val="007F236D"/>
    <w:rsid w:val="007F2ABD"/>
    <w:rsid w:val="007F2BD9"/>
    <w:rsid w:val="007F3411"/>
    <w:rsid w:val="007F3D4F"/>
    <w:rsid w:val="007F46C8"/>
    <w:rsid w:val="007F5D18"/>
    <w:rsid w:val="007F7278"/>
    <w:rsid w:val="007F798A"/>
    <w:rsid w:val="00801309"/>
    <w:rsid w:val="00801A38"/>
    <w:rsid w:val="00802069"/>
    <w:rsid w:val="008025DC"/>
    <w:rsid w:val="00803441"/>
    <w:rsid w:val="00803C62"/>
    <w:rsid w:val="00804056"/>
    <w:rsid w:val="008042C1"/>
    <w:rsid w:val="00804F6E"/>
    <w:rsid w:val="008067A3"/>
    <w:rsid w:val="00806EC8"/>
    <w:rsid w:val="008073A9"/>
    <w:rsid w:val="00811DF6"/>
    <w:rsid w:val="008133E7"/>
    <w:rsid w:val="00814CE9"/>
    <w:rsid w:val="00815A7F"/>
    <w:rsid w:val="00815D73"/>
    <w:rsid w:val="008161D9"/>
    <w:rsid w:val="00816352"/>
    <w:rsid w:val="008168C6"/>
    <w:rsid w:val="00817312"/>
    <w:rsid w:val="008176D9"/>
    <w:rsid w:val="008218F5"/>
    <w:rsid w:val="00821A55"/>
    <w:rsid w:val="00823413"/>
    <w:rsid w:val="008243AC"/>
    <w:rsid w:val="00825BCB"/>
    <w:rsid w:val="0082609D"/>
    <w:rsid w:val="00826E81"/>
    <w:rsid w:val="008270A6"/>
    <w:rsid w:val="00827BB7"/>
    <w:rsid w:val="0083112B"/>
    <w:rsid w:val="00831988"/>
    <w:rsid w:val="00832233"/>
    <w:rsid w:val="00832BDC"/>
    <w:rsid w:val="0083364D"/>
    <w:rsid w:val="0083367B"/>
    <w:rsid w:val="008340F1"/>
    <w:rsid w:val="00834422"/>
    <w:rsid w:val="008344E3"/>
    <w:rsid w:val="00834A4A"/>
    <w:rsid w:val="00834C09"/>
    <w:rsid w:val="0083539A"/>
    <w:rsid w:val="0083564F"/>
    <w:rsid w:val="008356C6"/>
    <w:rsid w:val="0083673F"/>
    <w:rsid w:val="00837343"/>
    <w:rsid w:val="0083738A"/>
    <w:rsid w:val="008409F8"/>
    <w:rsid w:val="00840C97"/>
    <w:rsid w:val="00842ECB"/>
    <w:rsid w:val="00843CA6"/>
    <w:rsid w:val="00844028"/>
    <w:rsid w:val="0084493B"/>
    <w:rsid w:val="00845D51"/>
    <w:rsid w:val="008469EE"/>
    <w:rsid w:val="0085024A"/>
    <w:rsid w:val="008506DB"/>
    <w:rsid w:val="008513F9"/>
    <w:rsid w:val="00851A3F"/>
    <w:rsid w:val="008520A8"/>
    <w:rsid w:val="008521CA"/>
    <w:rsid w:val="00852FF8"/>
    <w:rsid w:val="0085316A"/>
    <w:rsid w:val="00853A5E"/>
    <w:rsid w:val="00854523"/>
    <w:rsid w:val="00854DC8"/>
    <w:rsid w:val="00856033"/>
    <w:rsid w:val="008566B3"/>
    <w:rsid w:val="00856765"/>
    <w:rsid w:val="00856B3F"/>
    <w:rsid w:val="00856B73"/>
    <w:rsid w:val="00857A3F"/>
    <w:rsid w:val="00857F4D"/>
    <w:rsid w:val="008616CA"/>
    <w:rsid w:val="00862B38"/>
    <w:rsid w:val="00862ED1"/>
    <w:rsid w:val="00863954"/>
    <w:rsid w:val="00864CDB"/>
    <w:rsid w:val="00865C41"/>
    <w:rsid w:val="008666AF"/>
    <w:rsid w:val="00867AEB"/>
    <w:rsid w:val="008714B6"/>
    <w:rsid w:val="0087258A"/>
    <w:rsid w:val="00872BA3"/>
    <w:rsid w:val="00873653"/>
    <w:rsid w:val="00873865"/>
    <w:rsid w:val="0087532F"/>
    <w:rsid w:val="00877301"/>
    <w:rsid w:val="008775A4"/>
    <w:rsid w:val="00880F66"/>
    <w:rsid w:val="00881122"/>
    <w:rsid w:val="00881362"/>
    <w:rsid w:val="00881634"/>
    <w:rsid w:val="00881918"/>
    <w:rsid w:val="00881AF4"/>
    <w:rsid w:val="00882BAB"/>
    <w:rsid w:val="008834FE"/>
    <w:rsid w:val="00883BC1"/>
    <w:rsid w:val="00883DE2"/>
    <w:rsid w:val="00884474"/>
    <w:rsid w:val="00884AE7"/>
    <w:rsid w:val="0088656A"/>
    <w:rsid w:val="00890405"/>
    <w:rsid w:val="00890B33"/>
    <w:rsid w:val="008920DC"/>
    <w:rsid w:val="0089389F"/>
    <w:rsid w:val="00893B9A"/>
    <w:rsid w:val="008952D7"/>
    <w:rsid w:val="0089530E"/>
    <w:rsid w:val="008956D1"/>
    <w:rsid w:val="008957EB"/>
    <w:rsid w:val="008957EF"/>
    <w:rsid w:val="008972B2"/>
    <w:rsid w:val="008976A1"/>
    <w:rsid w:val="008A0E25"/>
    <w:rsid w:val="008A1766"/>
    <w:rsid w:val="008A3399"/>
    <w:rsid w:val="008A5631"/>
    <w:rsid w:val="008A67CF"/>
    <w:rsid w:val="008A6928"/>
    <w:rsid w:val="008A75DE"/>
    <w:rsid w:val="008A76CD"/>
    <w:rsid w:val="008B00E3"/>
    <w:rsid w:val="008B13E8"/>
    <w:rsid w:val="008B146D"/>
    <w:rsid w:val="008B2BA7"/>
    <w:rsid w:val="008B311F"/>
    <w:rsid w:val="008B3494"/>
    <w:rsid w:val="008B3B50"/>
    <w:rsid w:val="008B60A3"/>
    <w:rsid w:val="008B67C5"/>
    <w:rsid w:val="008B7022"/>
    <w:rsid w:val="008B7931"/>
    <w:rsid w:val="008B79CD"/>
    <w:rsid w:val="008C084F"/>
    <w:rsid w:val="008C0A82"/>
    <w:rsid w:val="008C29D7"/>
    <w:rsid w:val="008C4980"/>
    <w:rsid w:val="008C5798"/>
    <w:rsid w:val="008C619C"/>
    <w:rsid w:val="008C6A3E"/>
    <w:rsid w:val="008D0255"/>
    <w:rsid w:val="008D12F8"/>
    <w:rsid w:val="008D1444"/>
    <w:rsid w:val="008D168C"/>
    <w:rsid w:val="008D2BDD"/>
    <w:rsid w:val="008D33F8"/>
    <w:rsid w:val="008D39C1"/>
    <w:rsid w:val="008D4BC6"/>
    <w:rsid w:val="008D5B31"/>
    <w:rsid w:val="008D63DE"/>
    <w:rsid w:val="008D6D77"/>
    <w:rsid w:val="008E3740"/>
    <w:rsid w:val="008E43D0"/>
    <w:rsid w:val="008E4AD4"/>
    <w:rsid w:val="008E6E4F"/>
    <w:rsid w:val="008F1906"/>
    <w:rsid w:val="008F2550"/>
    <w:rsid w:val="008F2E54"/>
    <w:rsid w:val="008F6975"/>
    <w:rsid w:val="008F6E1D"/>
    <w:rsid w:val="008F72C4"/>
    <w:rsid w:val="008F7C0C"/>
    <w:rsid w:val="00900A5F"/>
    <w:rsid w:val="00902865"/>
    <w:rsid w:val="00903822"/>
    <w:rsid w:val="00904513"/>
    <w:rsid w:val="00904A76"/>
    <w:rsid w:val="0090652E"/>
    <w:rsid w:val="00906DD1"/>
    <w:rsid w:val="00911A73"/>
    <w:rsid w:val="0091400F"/>
    <w:rsid w:val="0091562E"/>
    <w:rsid w:val="009171F5"/>
    <w:rsid w:val="00917BA0"/>
    <w:rsid w:val="00917D94"/>
    <w:rsid w:val="00920C2E"/>
    <w:rsid w:val="00920E58"/>
    <w:rsid w:val="00920FA8"/>
    <w:rsid w:val="00921057"/>
    <w:rsid w:val="00921980"/>
    <w:rsid w:val="00921E42"/>
    <w:rsid w:val="009221E2"/>
    <w:rsid w:val="00924122"/>
    <w:rsid w:val="009241E0"/>
    <w:rsid w:val="009252ED"/>
    <w:rsid w:val="0092558B"/>
    <w:rsid w:val="009267C6"/>
    <w:rsid w:val="00930CCE"/>
    <w:rsid w:val="00931A17"/>
    <w:rsid w:val="009329EF"/>
    <w:rsid w:val="0093398B"/>
    <w:rsid w:val="00935354"/>
    <w:rsid w:val="009353AC"/>
    <w:rsid w:val="009360C0"/>
    <w:rsid w:val="0093653B"/>
    <w:rsid w:val="00936FF7"/>
    <w:rsid w:val="00937550"/>
    <w:rsid w:val="009375BB"/>
    <w:rsid w:val="00941025"/>
    <w:rsid w:val="00941700"/>
    <w:rsid w:val="00943449"/>
    <w:rsid w:val="009440C4"/>
    <w:rsid w:val="00944563"/>
    <w:rsid w:val="00945074"/>
    <w:rsid w:val="00945285"/>
    <w:rsid w:val="009457F0"/>
    <w:rsid w:val="00947084"/>
    <w:rsid w:val="00947145"/>
    <w:rsid w:val="00947FBD"/>
    <w:rsid w:val="009513EA"/>
    <w:rsid w:val="009519A7"/>
    <w:rsid w:val="00953731"/>
    <w:rsid w:val="009546B3"/>
    <w:rsid w:val="00954B63"/>
    <w:rsid w:val="00955C33"/>
    <w:rsid w:val="00955C78"/>
    <w:rsid w:val="0095641F"/>
    <w:rsid w:val="009565DD"/>
    <w:rsid w:val="0095699A"/>
    <w:rsid w:val="00957356"/>
    <w:rsid w:val="00957435"/>
    <w:rsid w:val="00957526"/>
    <w:rsid w:val="00957D24"/>
    <w:rsid w:val="009605F2"/>
    <w:rsid w:val="00962B9A"/>
    <w:rsid w:val="009630B4"/>
    <w:rsid w:val="009650B3"/>
    <w:rsid w:val="00965964"/>
    <w:rsid w:val="00967261"/>
    <w:rsid w:val="00967CFF"/>
    <w:rsid w:val="009709C9"/>
    <w:rsid w:val="0097162D"/>
    <w:rsid w:val="009722DB"/>
    <w:rsid w:val="00972436"/>
    <w:rsid w:val="00973B94"/>
    <w:rsid w:val="0097455F"/>
    <w:rsid w:val="00974F6D"/>
    <w:rsid w:val="00975120"/>
    <w:rsid w:val="00975C8A"/>
    <w:rsid w:val="00976F80"/>
    <w:rsid w:val="009770DC"/>
    <w:rsid w:val="0097797D"/>
    <w:rsid w:val="009805F2"/>
    <w:rsid w:val="00981D4F"/>
    <w:rsid w:val="00983561"/>
    <w:rsid w:val="009836E5"/>
    <w:rsid w:val="00983DD9"/>
    <w:rsid w:val="00986052"/>
    <w:rsid w:val="009863A0"/>
    <w:rsid w:val="00987A4E"/>
    <w:rsid w:val="00987C74"/>
    <w:rsid w:val="00992312"/>
    <w:rsid w:val="00992CB4"/>
    <w:rsid w:val="00993F85"/>
    <w:rsid w:val="00994A6B"/>
    <w:rsid w:val="009966DC"/>
    <w:rsid w:val="009968A0"/>
    <w:rsid w:val="00996FA7"/>
    <w:rsid w:val="009A1968"/>
    <w:rsid w:val="009A250B"/>
    <w:rsid w:val="009A2DA3"/>
    <w:rsid w:val="009A2DCE"/>
    <w:rsid w:val="009A3ADF"/>
    <w:rsid w:val="009A5D79"/>
    <w:rsid w:val="009A662A"/>
    <w:rsid w:val="009A6C03"/>
    <w:rsid w:val="009A7203"/>
    <w:rsid w:val="009A7574"/>
    <w:rsid w:val="009A7F2E"/>
    <w:rsid w:val="009A7FDA"/>
    <w:rsid w:val="009B0070"/>
    <w:rsid w:val="009B0372"/>
    <w:rsid w:val="009B0C1D"/>
    <w:rsid w:val="009B12D6"/>
    <w:rsid w:val="009B2491"/>
    <w:rsid w:val="009B2E68"/>
    <w:rsid w:val="009B33B1"/>
    <w:rsid w:val="009B3A00"/>
    <w:rsid w:val="009B3FF2"/>
    <w:rsid w:val="009B5BF8"/>
    <w:rsid w:val="009C0CB2"/>
    <w:rsid w:val="009C0D95"/>
    <w:rsid w:val="009C1A22"/>
    <w:rsid w:val="009C2C3C"/>
    <w:rsid w:val="009C4786"/>
    <w:rsid w:val="009C5F78"/>
    <w:rsid w:val="009C603E"/>
    <w:rsid w:val="009C7037"/>
    <w:rsid w:val="009C7943"/>
    <w:rsid w:val="009C7C25"/>
    <w:rsid w:val="009C7DEA"/>
    <w:rsid w:val="009D1970"/>
    <w:rsid w:val="009D1A5C"/>
    <w:rsid w:val="009D2044"/>
    <w:rsid w:val="009D3A0A"/>
    <w:rsid w:val="009D3FE7"/>
    <w:rsid w:val="009D4F4F"/>
    <w:rsid w:val="009D6E1C"/>
    <w:rsid w:val="009D6F4E"/>
    <w:rsid w:val="009D7945"/>
    <w:rsid w:val="009E2840"/>
    <w:rsid w:val="009E30A5"/>
    <w:rsid w:val="009E3CEE"/>
    <w:rsid w:val="009E3EAC"/>
    <w:rsid w:val="009E4342"/>
    <w:rsid w:val="009E6BE3"/>
    <w:rsid w:val="009E75B1"/>
    <w:rsid w:val="009E77F3"/>
    <w:rsid w:val="009F03B6"/>
    <w:rsid w:val="009F0432"/>
    <w:rsid w:val="009F2842"/>
    <w:rsid w:val="009F2CAA"/>
    <w:rsid w:val="009F3165"/>
    <w:rsid w:val="009F4B17"/>
    <w:rsid w:val="009F534C"/>
    <w:rsid w:val="009F691A"/>
    <w:rsid w:val="009F6B11"/>
    <w:rsid w:val="00A0147B"/>
    <w:rsid w:val="00A034D8"/>
    <w:rsid w:val="00A0440F"/>
    <w:rsid w:val="00A04DE3"/>
    <w:rsid w:val="00A04E54"/>
    <w:rsid w:val="00A061EB"/>
    <w:rsid w:val="00A0692C"/>
    <w:rsid w:val="00A0698F"/>
    <w:rsid w:val="00A07051"/>
    <w:rsid w:val="00A102FD"/>
    <w:rsid w:val="00A111E1"/>
    <w:rsid w:val="00A113ED"/>
    <w:rsid w:val="00A12E53"/>
    <w:rsid w:val="00A12ECA"/>
    <w:rsid w:val="00A1328A"/>
    <w:rsid w:val="00A13DFC"/>
    <w:rsid w:val="00A14601"/>
    <w:rsid w:val="00A15861"/>
    <w:rsid w:val="00A15A7C"/>
    <w:rsid w:val="00A16B16"/>
    <w:rsid w:val="00A23E03"/>
    <w:rsid w:val="00A24A0C"/>
    <w:rsid w:val="00A262FF"/>
    <w:rsid w:val="00A27573"/>
    <w:rsid w:val="00A2763D"/>
    <w:rsid w:val="00A277F8"/>
    <w:rsid w:val="00A326F0"/>
    <w:rsid w:val="00A33A74"/>
    <w:rsid w:val="00A364A1"/>
    <w:rsid w:val="00A36649"/>
    <w:rsid w:val="00A36D32"/>
    <w:rsid w:val="00A3712A"/>
    <w:rsid w:val="00A401BC"/>
    <w:rsid w:val="00A40F25"/>
    <w:rsid w:val="00A42A7F"/>
    <w:rsid w:val="00A436C7"/>
    <w:rsid w:val="00A44114"/>
    <w:rsid w:val="00A4498E"/>
    <w:rsid w:val="00A44F7D"/>
    <w:rsid w:val="00A45199"/>
    <w:rsid w:val="00A4592F"/>
    <w:rsid w:val="00A45EA3"/>
    <w:rsid w:val="00A50527"/>
    <w:rsid w:val="00A523FB"/>
    <w:rsid w:val="00A53325"/>
    <w:rsid w:val="00A53D99"/>
    <w:rsid w:val="00A5616E"/>
    <w:rsid w:val="00A5678F"/>
    <w:rsid w:val="00A57E00"/>
    <w:rsid w:val="00A60022"/>
    <w:rsid w:val="00A63606"/>
    <w:rsid w:val="00A640FB"/>
    <w:rsid w:val="00A650B3"/>
    <w:rsid w:val="00A652B5"/>
    <w:rsid w:val="00A65944"/>
    <w:rsid w:val="00A65B9D"/>
    <w:rsid w:val="00A65D3E"/>
    <w:rsid w:val="00A66062"/>
    <w:rsid w:val="00A66317"/>
    <w:rsid w:val="00A66E9E"/>
    <w:rsid w:val="00A66F3E"/>
    <w:rsid w:val="00A709FC"/>
    <w:rsid w:val="00A710F1"/>
    <w:rsid w:val="00A71D3F"/>
    <w:rsid w:val="00A71F87"/>
    <w:rsid w:val="00A71FF1"/>
    <w:rsid w:val="00A7213D"/>
    <w:rsid w:val="00A726D2"/>
    <w:rsid w:val="00A73F36"/>
    <w:rsid w:val="00A76386"/>
    <w:rsid w:val="00A76C57"/>
    <w:rsid w:val="00A7781C"/>
    <w:rsid w:val="00A77C51"/>
    <w:rsid w:val="00A80422"/>
    <w:rsid w:val="00A811B1"/>
    <w:rsid w:val="00A833D7"/>
    <w:rsid w:val="00A8485C"/>
    <w:rsid w:val="00A84A13"/>
    <w:rsid w:val="00A86DA7"/>
    <w:rsid w:val="00A87959"/>
    <w:rsid w:val="00A90BF1"/>
    <w:rsid w:val="00A91E49"/>
    <w:rsid w:val="00A9205A"/>
    <w:rsid w:val="00A92539"/>
    <w:rsid w:val="00A953F8"/>
    <w:rsid w:val="00A95FAC"/>
    <w:rsid w:val="00A96450"/>
    <w:rsid w:val="00A969F4"/>
    <w:rsid w:val="00A97626"/>
    <w:rsid w:val="00A97A53"/>
    <w:rsid w:val="00AA0983"/>
    <w:rsid w:val="00AA2540"/>
    <w:rsid w:val="00AA2A57"/>
    <w:rsid w:val="00AA3944"/>
    <w:rsid w:val="00AA5738"/>
    <w:rsid w:val="00AB0FBF"/>
    <w:rsid w:val="00AB2E04"/>
    <w:rsid w:val="00AB2F97"/>
    <w:rsid w:val="00AB367D"/>
    <w:rsid w:val="00AB59A3"/>
    <w:rsid w:val="00AB5A9E"/>
    <w:rsid w:val="00AC0BFC"/>
    <w:rsid w:val="00AC18D7"/>
    <w:rsid w:val="00AC20FD"/>
    <w:rsid w:val="00AC2611"/>
    <w:rsid w:val="00AC2D89"/>
    <w:rsid w:val="00AC2E6A"/>
    <w:rsid w:val="00AC32A3"/>
    <w:rsid w:val="00AC50A0"/>
    <w:rsid w:val="00AC5163"/>
    <w:rsid w:val="00AC5FC5"/>
    <w:rsid w:val="00AC68D1"/>
    <w:rsid w:val="00AD05A6"/>
    <w:rsid w:val="00AD05EC"/>
    <w:rsid w:val="00AD2907"/>
    <w:rsid w:val="00AD436F"/>
    <w:rsid w:val="00AD54C0"/>
    <w:rsid w:val="00AD650C"/>
    <w:rsid w:val="00AD6ECE"/>
    <w:rsid w:val="00AD6F2D"/>
    <w:rsid w:val="00AD7456"/>
    <w:rsid w:val="00AD7467"/>
    <w:rsid w:val="00AE0F77"/>
    <w:rsid w:val="00AE2004"/>
    <w:rsid w:val="00AE33B0"/>
    <w:rsid w:val="00AE4C5E"/>
    <w:rsid w:val="00AE52B8"/>
    <w:rsid w:val="00AE62F7"/>
    <w:rsid w:val="00AE64B6"/>
    <w:rsid w:val="00AE7BCB"/>
    <w:rsid w:val="00AE7C72"/>
    <w:rsid w:val="00AF0306"/>
    <w:rsid w:val="00AF04FA"/>
    <w:rsid w:val="00AF0726"/>
    <w:rsid w:val="00AF1319"/>
    <w:rsid w:val="00AF24B2"/>
    <w:rsid w:val="00AF3265"/>
    <w:rsid w:val="00AF3B0B"/>
    <w:rsid w:val="00AF3E55"/>
    <w:rsid w:val="00AF529C"/>
    <w:rsid w:val="00AF5345"/>
    <w:rsid w:val="00AF5B03"/>
    <w:rsid w:val="00AF60B7"/>
    <w:rsid w:val="00AF6AAF"/>
    <w:rsid w:val="00AF6AB3"/>
    <w:rsid w:val="00B01287"/>
    <w:rsid w:val="00B01613"/>
    <w:rsid w:val="00B03791"/>
    <w:rsid w:val="00B0430A"/>
    <w:rsid w:val="00B045BA"/>
    <w:rsid w:val="00B047F1"/>
    <w:rsid w:val="00B051CC"/>
    <w:rsid w:val="00B05DEA"/>
    <w:rsid w:val="00B06000"/>
    <w:rsid w:val="00B07636"/>
    <w:rsid w:val="00B105D4"/>
    <w:rsid w:val="00B10877"/>
    <w:rsid w:val="00B11C8C"/>
    <w:rsid w:val="00B1325C"/>
    <w:rsid w:val="00B1471C"/>
    <w:rsid w:val="00B15995"/>
    <w:rsid w:val="00B164AC"/>
    <w:rsid w:val="00B16885"/>
    <w:rsid w:val="00B17265"/>
    <w:rsid w:val="00B179F9"/>
    <w:rsid w:val="00B17FF8"/>
    <w:rsid w:val="00B20DA5"/>
    <w:rsid w:val="00B21D4B"/>
    <w:rsid w:val="00B22FEF"/>
    <w:rsid w:val="00B2307A"/>
    <w:rsid w:val="00B235F7"/>
    <w:rsid w:val="00B242B8"/>
    <w:rsid w:val="00B24761"/>
    <w:rsid w:val="00B24831"/>
    <w:rsid w:val="00B265A5"/>
    <w:rsid w:val="00B269CD"/>
    <w:rsid w:val="00B30840"/>
    <w:rsid w:val="00B30A72"/>
    <w:rsid w:val="00B30CF7"/>
    <w:rsid w:val="00B30F3E"/>
    <w:rsid w:val="00B3176E"/>
    <w:rsid w:val="00B3280B"/>
    <w:rsid w:val="00B3280C"/>
    <w:rsid w:val="00B34570"/>
    <w:rsid w:val="00B35AF3"/>
    <w:rsid w:val="00B365C9"/>
    <w:rsid w:val="00B36DDB"/>
    <w:rsid w:val="00B375D7"/>
    <w:rsid w:val="00B40169"/>
    <w:rsid w:val="00B40BD6"/>
    <w:rsid w:val="00B41766"/>
    <w:rsid w:val="00B4258F"/>
    <w:rsid w:val="00B43802"/>
    <w:rsid w:val="00B43BAA"/>
    <w:rsid w:val="00B440C1"/>
    <w:rsid w:val="00B46F5D"/>
    <w:rsid w:val="00B5071A"/>
    <w:rsid w:val="00B507D6"/>
    <w:rsid w:val="00B510D1"/>
    <w:rsid w:val="00B516F4"/>
    <w:rsid w:val="00B535A9"/>
    <w:rsid w:val="00B53695"/>
    <w:rsid w:val="00B5372E"/>
    <w:rsid w:val="00B53C15"/>
    <w:rsid w:val="00B55A88"/>
    <w:rsid w:val="00B560F9"/>
    <w:rsid w:val="00B6021A"/>
    <w:rsid w:val="00B603E0"/>
    <w:rsid w:val="00B60DBC"/>
    <w:rsid w:val="00B61CD8"/>
    <w:rsid w:val="00B61E3C"/>
    <w:rsid w:val="00B625DC"/>
    <w:rsid w:val="00B63F07"/>
    <w:rsid w:val="00B64678"/>
    <w:rsid w:val="00B64FD7"/>
    <w:rsid w:val="00B65FD9"/>
    <w:rsid w:val="00B6634F"/>
    <w:rsid w:val="00B66C9D"/>
    <w:rsid w:val="00B67FDC"/>
    <w:rsid w:val="00B708CF"/>
    <w:rsid w:val="00B71781"/>
    <w:rsid w:val="00B7222E"/>
    <w:rsid w:val="00B7336C"/>
    <w:rsid w:val="00B747C6"/>
    <w:rsid w:val="00B7548C"/>
    <w:rsid w:val="00B76575"/>
    <w:rsid w:val="00B76C6A"/>
    <w:rsid w:val="00B7772A"/>
    <w:rsid w:val="00B77794"/>
    <w:rsid w:val="00B77C29"/>
    <w:rsid w:val="00B80677"/>
    <w:rsid w:val="00B81093"/>
    <w:rsid w:val="00B81142"/>
    <w:rsid w:val="00B81958"/>
    <w:rsid w:val="00B81B43"/>
    <w:rsid w:val="00B82437"/>
    <w:rsid w:val="00B825EB"/>
    <w:rsid w:val="00B829A8"/>
    <w:rsid w:val="00B829B3"/>
    <w:rsid w:val="00B82B47"/>
    <w:rsid w:val="00B83749"/>
    <w:rsid w:val="00B83E02"/>
    <w:rsid w:val="00B860F7"/>
    <w:rsid w:val="00B86357"/>
    <w:rsid w:val="00B86646"/>
    <w:rsid w:val="00B87617"/>
    <w:rsid w:val="00B87BDD"/>
    <w:rsid w:val="00B911C4"/>
    <w:rsid w:val="00B92684"/>
    <w:rsid w:val="00B934C6"/>
    <w:rsid w:val="00B94A7B"/>
    <w:rsid w:val="00B94F34"/>
    <w:rsid w:val="00B95065"/>
    <w:rsid w:val="00B958AA"/>
    <w:rsid w:val="00B96696"/>
    <w:rsid w:val="00B96E93"/>
    <w:rsid w:val="00B971AE"/>
    <w:rsid w:val="00B97AE8"/>
    <w:rsid w:val="00BA1049"/>
    <w:rsid w:val="00BA2289"/>
    <w:rsid w:val="00BA328C"/>
    <w:rsid w:val="00BA3745"/>
    <w:rsid w:val="00BA39B2"/>
    <w:rsid w:val="00BA45C1"/>
    <w:rsid w:val="00BA6AE4"/>
    <w:rsid w:val="00BA7531"/>
    <w:rsid w:val="00BB01C4"/>
    <w:rsid w:val="00BB0AAF"/>
    <w:rsid w:val="00BB1DDF"/>
    <w:rsid w:val="00BB1F05"/>
    <w:rsid w:val="00BB3250"/>
    <w:rsid w:val="00BB4665"/>
    <w:rsid w:val="00BB4A4E"/>
    <w:rsid w:val="00BB4D29"/>
    <w:rsid w:val="00BB54B7"/>
    <w:rsid w:val="00BB6FC6"/>
    <w:rsid w:val="00BB72DF"/>
    <w:rsid w:val="00BB77EE"/>
    <w:rsid w:val="00BC02B7"/>
    <w:rsid w:val="00BC11B0"/>
    <w:rsid w:val="00BC1CC8"/>
    <w:rsid w:val="00BC2D7C"/>
    <w:rsid w:val="00BC3748"/>
    <w:rsid w:val="00BC4F74"/>
    <w:rsid w:val="00BC586E"/>
    <w:rsid w:val="00BC5905"/>
    <w:rsid w:val="00BC672F"/>
    <w:rsid w:val="00BC69BB"/>
    <w:rsid w:val="00BC6B49"/>
    <w:rsid w:val="00BD0785"/>
    <w:rsid w:val="00BD1BA8"/>
    <w:rsid w:val="00BD30B0"/>
    <w:rsid w:val="00BD3529"/>
    <w:rsid w:val="00BD484A"/>
    <w:rsid w:val="00BD7637"/>
    <w:rsid w:val="00BE238E"/>
    <w:rsid w:val="00BE297F"/>
    <w:rsid w:val="00BE3538"/>
    <w:rsid w:val="00BE4166"/>
    <w:rsid w:val="00BE4EA8"/>
    <w:rsid w:val="00BE56ED"/>
    <w:rsid w:val="00BE722E"/>
    <w:rsid w:val="00BE77A5"/>
    <w:rsid w:val="00BE78E1"/>
    <w:rsid w:val="00BF14BF"/>
    <w:rsid w:val="00BF158F"/>
    <w:rsid w:val="00BF1ABB"/>
    <w:rsid w:val="00BF240D"/>
    <w:rsid w:val="00BF2B4A"/>
    <w:rsid w:val="00BF2E71"/>
    <w:rsid w:val="00BF5106"/>
    <w:rsid w:val="00BF5C0F"/>
    <w:rsid w:val="00BF5D19"/>
    <w:rsid w:val="00BF5DF9"/>
    <w:rsid w:val="00BF6730"/>
    <w:rsid w:val="00BF6766"/>
    <w:rsid w:val="00C00B3C"/>
    <w:rsid w:val="00C032E9"/>
    <w:rsid w:val="00C04E50"/>
    <w:rsid w:val="00C04F91"/>
    <w:rsid w:val="00C053AA"/>
    <w:rsid w:val="00C05572"/>
    <w:rsid w:val="00C05D4D"/>
    <w:rsid w:val="00C05D7F"/>
    <w:rsid w:val="00C061E8"/>
    <w:rsid w:val="00C0668C"/>
    <w:rsid w:val="00C102A5"/>
    <w:rsid w:val="00C10CA2"/>
    <w:rsid w:val="00C1154C"/>
    <w:rsid w:val="00C11CA8"/>
    <w:rsid w:val="00C131B1"/>
    <w:rsid w:val="00C169D5"/>
    <w:rsid w:val="00C17443"/>
    <w:rsid w:val="00C176E1"/>
    <w:rsid w:val="00C17B41"/>
    <w:rsid w:val="00C17B97"/>
    <w:rsid w:val="00C20338"/>
    <w:rsid w:val="00C2114D"/>
    <w:rsid w:val="00C23E05"/>
    <w:rsid w:val="00C24638"/>
    <w:rsid w:val="00C24B34"/>
    <w:rsid w:val="00C24BB1"/>
    <w:rsid w:val="00C259EA"/>
    <w:rsid w:val="00C261DE"/>
    <w:rsid w:val="00C306FC"/>
    <w:rsid w:val="00C343BD"/>
    <w:rsid w:val="00C34D62"/>
    <w:rsid w:val="00C3561A"/>
    <w:rsid w:val="00C35686"/>
    <w:rsid w:val="00C35863"/>
    <w:rsid w:val="00C36676"/>
    <w:rsid w:val="00C36730"/>
    <w:rsid w:val="00C371D3"/>
    <w:rsid w:val="00C374D4"/>
    <w:rsid w:val="00C4141D"/>
    <w:rsid w:val="00C41FE5"/>
    <w:rsid w:val="00C4467F"/>
    <w:rsid w:val="00C45C3D"/>
    <w:rsid w:val="00C46721"/>
    <w:rsid w:val="00C46EC8"/>
    <w:rsid w:val="00C51586"/>
    <w:rsid w:val="00C52FF7"/>
    <w:rsid w:val="00C53499"/>
    <w:rsid w:val="00C546FF"/>
    <w:rsid w:val="00C54716"/>
    <w:rsid w:val="00C54910"/>
    <w:rsid w:val="00C56015"/>
    <w:rsid w:val="00C56178"/>
    <w:rsid w:val="00C56AC2"/>
    <w:rsid w:val="00C56E80"/>
    <w:rsid w:val="00C62796"/>
    <w:rsid w:val="00C62A8C"/>
    <w:rsid w:val="00C63CEE"/>
    <w:rsid w:val="00C65898"/>
    <w:rsid w:val="00C66A84"/>
    <w:rsid w:val="00C66D68"/>
    <w:rsid w:val="00C674B4"/>
    <w:rsid w:val="00C67F6F"/>
    <w:rsid w:val="00C706DB"/>
    <w:rsid w:val="00C72455"/>
    <w:rsid w:val="00C7318D"/>
    <w:rsid w:val="00C7326D"/>
    <w:rsid w:val="00C74392"/>
    <w:rsid w:val="00C74422"/>
    <w:rsid w:val="00C75725"/>
    <w:rsid w:val="00C75948"/>
    <w:rsid w:val="00C76D3F"/>
    <w:rsid w:val="00C77214"/>
    <w:rsid w:val="00C7759C"/>
    <w:rsid w:val="00C777C6"/>
    <w:rsid w:val="00C778B7"/>
    <w:rsid w:val="00C8323D"/>
    <w:rsid w:val="00C8337E"/>
    <w:rsid w:val="00C83CDE"/>
    <w:rsid w:val="00C8624C"/>
    <w:rsid w:val="00C919F1"/>
    <w:rsid w:val="00C92B2B"/>
    <w:rsid w:val="00C932BB"/>
    <w:rsid w:val="00C9334F"/>
    <w:rsid w:val="00C93F32"/>
    <w:rsid w:val="00C94775"/>
    <w:rsid w:val="00C947A9"/>
    <w:rsid w:val="00C94D3F"/>
    <w:rsid w:val="00C94D65"/>
    <w:rsid w:val="00C95D73"/>
    <w:rsid w:val="00C95FF9"/>
    <w:rsid w:val="00C9604B"/>
    <w:rsid w:val="00CA0CA6"/>
    <w:rsid w:val="00CA0FEB"/>
    <w:rsid w:val="00CA26AA"/>
    <w:rsid w:val="00CA3398"/>
    <w:rsid w:val="00CA37C6"/>
    <w:rsid w:val="00CA492E"/>
    <w:rsid w:val="00CA4C09"/>
    <w:rsid w:val="00CA4FA9"/>
    <w:rsid w:val="00CA6DEF"/>
    <w:rsid w:val="00CA6EE2"/>
    <w:rsid w:val="00CA78D1"/>
    <w:rsid w:val="00CB003A"/>
    <w:rsid w:val="00CB02D8"/>
    <w:rsid w:val="00CB09A1"/>
    <w:rsid w:val="00CB1281"/>
    <w:rsid w:val="00CB146D"/>
    <w:rsid w:val="00CB428E"/>
    <w:rsid w:val="00CB4302"/>
    <w:rsid w:val="00CB4D1B"/>
    <w:rsid w:val="00CB5665"/>
    <w:rsid w:val="00CB5AB8"/>
    <w:rsid w:val="00CB79A7"/>
    <w:rsid w:val="00CB7D27"/>
    <w:rsid w:val="00CC0471"/>
    <w:rsid w:val="00CC05D9"/>
    <w:rsid w:val="00CC1780"/>
    <w:rsid w:val="00CC2936"/>
    <w:rsid w:val="00CC4497"/>
    <w:rsid w:val="00CC4A07"/>
    <w:rsid w:val="00CC5011"/>
    <w:rsid w:val="00CC700B"/>
    <w:rsid w:val="00CC7A9E"/>
    <w:rsid w:val="00CC7BDF"/>
    <w:rsid w:val="00CD0101"/>
    <w:rsid w:val="00CD671E"/>
    <w:rsid w:val="00CD7ACC"/>
    <w:rsid w:val="00CE15F0"/>
    <w:rsid w:val="00CE202C"/>
    <w:rsid w:val="00CE4A36"/>
    <w:rsid w:val="00CE5CEA"/>
    <w:rsid w:val="00CE6911"/>
    <w:rsid w:val="00CE7BE9"/>
    <w:rsid w:val="00CE7E92"/>
    <w:rsid w:val="00CF09E4"/>
    <w:rsid w:val="00CF0D1A"/>
    <w:rsid w:val="00CF1C62"/>
    <w:rsid w:val="00CF23AE"/>
    <w:rsid w:val="00CF416D"/>
    <w:rsid w:val="00CF4868"/>
    <w:rsid w:val="00CF4F76"/>
    <w:rsid w:val="00CF540D"/>
    <w:rsid w:val="00CF757F"/>
    <w:rsid w:val="00CF7D0F"/>
    <w:rsid w:val="00D0086F"/>
    <w:rsid w:val="00D00ADD"/>
    <w:rsid w:val="00D00B26"/>
    <w:rsid w:val="00D01B22"/>
    <w:rsid w:val="00D0205F"/>
    <w:rsid w:val="00D02682"/>
    <w:rsid w:val="00D0282D"/>
    <w:rsid w:val="00D03E15"/>
    <w:rsid w:val="00D049B5"/>
    <w:rsid w:val="00D049CF"/>
    <w:rsid w:val="00D04DC8"/>
    <w:rsid w:val="00D0594F"/>
    <w:rsid w:val="00D05FE2"/>
    <w:rsid w:val="00D06A55"/>
    <w:rsid w:val="00D07DF0"/>
    <w:rsid w:val="00D123EC"/>
    <w:rsid w:val="00D126EF"/>
    <w:rsid w:val="00D1295C"/>
    <w:rsid w:val="00D13147"/>
    <w:rsid w:val="00D13F79"/>
    <w:rsid w:val="00D14818"/>
    <w:rsid w:val="00D15111"/>
    <w:rsid w:val="00D15521"/>
    <w:rsid w:val="00D167ED"/>
    <w:rsid w:val="00D1691A"/>
    <w:rsid w:val="00D176A4"/>
    <w:rsid w:val="00D17E01"/>
    <w:rsid w:val="00D20341"/>
    <w:rsid w:val="00D21751"/>
    <w:rsid w:val="00D21F6E"/>
    <w:rsid w:val="00D22CFE"/>
    <w:rsid w:val="00D23A72"/>
    <w:rsid w:val="00D23AB2"/>
    <w:rsid w:val="00D24DDD"/>
    <w:rsid w:val="00D26D59"/>
    <w:rsid w:val="00D27104"/>
    <w:rsid w:val="00D27C8C"/>
    <w:rsid w:val="00D301D2"/>
    <w:rsid w:val="00D304F1"/>
    <w:rsid w:val="00D31237"/>
    <w:rsid w:val="00D3150E"/>
    <w:rsid w:val="00D316A7"/>
    <w:rsid w:val="00D317B0"/>
    <w:rsid w:val="00D31C1B"/>
    <w:rsid w:val="00D33A1A"/>
    <w:rsid w:val="00D353A8"/>
    <w:rsid w:val="00D370FF"/>
    <w:rsid w:val="00D3744F"/>
    <w:rsid w:val="00D37882"/>
    <w:rsid w:val="00D41A53"/>
    <w:rsid w:val="00D42242"/>
    <w:rsid w:val="00D426B0"/>
    <w:rsid w:val="00D42DBB"/>
    <w:rsid w:val="00D43C5B"/>
    <w:rsid w:val="00D4492D"/>
    <w:rsid w:val="00D45208"/>
    <w:rsid w:val="00D45568"/>
    <w:rsid w:val="00D47529"/>
    <w:rsid w:val="00D5197C"/>
    <w:rsid w:val="00D51C6E"/>
    <w:rsid w:val="00D54789"/>
    <w:rsid w:val="00D55B72"/>
    <w:rsid w:val="00D5685E"/>
    <w:rsid w:val="00D569C6"/>
    <w:rsid w:val="00D609E5"/>
    <w:rsid w:val="00D61334"/>
    <w:rsid w:val="00D61C4B"/>
    <w:rsid w:val="00D636FC"/>
    <w:rsid w:val="00D651BC"/>
    <w:rsid w:val="00D66971"/>
    <w:rsid w:val="00D67A2A"/>
    <w:rsid w:val="00D708B7"/>
    <w:rsid w:val="00D70E8C"/>
    <w:rsid w:val="00D716BC"/>
    <w:rsid w:val="00D725D3"/>
    <w:rsid w:val="00D73F6D"/>
    <w:rsid w:val="00D755A7"/>
    <w:rsid w:val="00D758AE"/>
    <w:rsid w:val="00D77B37"/>
    <w:rsid w:val="00D80173"/>
    <w:rsid w:val="00D80A60"/>
    <w:rsid w:val="00D81A05"/>
    <w:rsid w:val="00D81E5D"/>
    <w:rsid w:val="00D823A9"/>
    <w:rsid w:val="00D83FB6"/>
    <w:rsid w:val="00D84CF9"/>
    <w:rsid w:val="00D86FDA"/>
    <w:rsid w:val="00D9015A"/>
    <w:rsid w:val="00D90217"/>
    <w:rsid w:val="00D906DF"/>
    <w:rsid w:val="00D9143B"/>
    <w:rsid w:val="00D91F7D"/>
    <w:rsid w:val="00D9236C"/>
    <w:rsid w:val="00D92C21"/>
    <w:rsid w:val="00D95224"/>
    <w:rsid w:val="00D95989"/>
    <w:rsid w:val="00D95CAB"/>
    <w:rsid w:val="00D95DAA"/>
    <w:rsid w:val="00D96C89"/>
    <w:rsid w:val="00D96D91"/>
    <w:rsid w:val="00D97320"/>
    <w:rsid w:val="00DA0B9D"/>
    <w:rsid w:val="00DA0FC6"/>
    <w:rsid w:val="00DA44B1"/>
    <w:rsid w:val="00DA48F4"/>
    <w:rsid w:val="00DA4EE5"/>
    <w:rsid w:val="00DA52E8"/>
    <w:rsid w:val="00DA53E5"/>
    <w:rsid w:val="00DA6836"/>
    <w:rsid w:val="00DB1B1E"/>
    <w:rsid w:val="00DB1F7E"/>
    <w:rsid w:val="00DB24B4"/>
    <w:rsid w:val="00DB422C"/>
    <w:rsid w:val="00DB51ED"/>
    <w:rsid w:val="00DB6E1D"/>
    <w:rsid w:val="00DC1857"/>
    <w:rsid w:val="00DC1B67"/>
    <w:rsid w:val="00DC1C87"/>
    <w:rsid w:val="00DC2A0C"/>
    <w:rsid w:val="00DC3289"/>
    <w:rsid w:val="00DC4302"/>
    <w:rsid w:val="00DC54A4"/>
    <w:rsid w:val="00DC7D81"/>
    <w:rsid w:val="00DD1A2E"/>
    <w:rsid w:val="00DD2C65"/>
    <w:rsid w:val="00DD47FA"/>
    <w:rsid w:val="00DD491D"/>
    <w:rsid w:val="00DD4F26"/>
    <w:rsid w:val="00DD7B86"/>
    <w:rsid w:val="00DD7BB6"/>
    <w:rsid w:val="00DE1B38"/>
    <w:rsid w:val="00DE3607"/>
    <w:rsid w:val="00DE4FE0"/>
    <w:rsid w:val="00DE5012"/>
    <w:rsid w:val="00DE511B"/>
    <w:rsid w:val="00DE591C"/>
    <w:rsid w:val="00DE60A3"/>
    <w:rsid w:val="00DE68E0"/>
    <w:rsid w:val="00DE75A2"/>
    <w:rsid w:val="00DF1168"/>
    <w:rsid w:val="00DF1EE3"/>
    <w:rsid w:val="00DF20F8"/>
    <w:rsid w:val="00DF274C"/>
    <w:rsid w:val="00DF2BF8"/>
    <w:rsid w:val="00DF3C21"/>
    <w:rsid w:val="00DF3E2B"/>
    <w:rsid w:val="00DF5824"/>
    <w:rsid w:val="00DF6487"/>
    <w:rsid w:val="00E00E5A"/>
    <w:rsid w:val="00E01322"/>
    <w:rsid w:val="00E0164C"/>
    <w:rsid w:val="00E0203D"/>
    <w:rsid w:val="00E03F0E"/>
    <w:rsid w:val="00E04FBA"/>
    <w:rsid w:val="00E051B3"/>
    <w:rsid w:val="00E061F3"/>
    <w:rsid w:val="00E102BB"/>
    <w:rsid w:val="00E102ED"/>
    <w:rsid w:val="00E126E0"/>
    <w:rsid w:val="00E12E45"/>
    <w:rsid w:val="00E146FE"/>
    <w:rsid w:val="00E1655E"/>
    <w:rsid w:val="00E1722F"/>
    <w:rsid w:val="00E17D68"/>
    <w:rsid w:val="00E17E96"/>
    <w:rsid w:val="00E21DED"/>
    <w:rsid w:val="00E22F11"/>
    <w:rsid w:val="00E246FA"/>
    <w:rsid w:val="00E24988"/>
    <w:rsid w:val="00E25FA6"/>
    <w:rsid w:val="00E262B4"/>
    <w:rsid w:val="00E263F2"/>
    <w:rsid w:val="00E264AE"/>
    <w:rsid w:val="00E27E4C"/>
    <w:rsid w:val="00E301EE"/>
    <w:rsid w:val="00E32EEA"/>
    <w:rsid w:val="00E369D6"/>
    <w:rsid w:val="00E36BE2"/>
    <w:rsid w:val="00E371B7"/>
    <w:rsid w:val="00E3737B"/>
    <w:rsid w:val="00E3741F"/>
    <w:rsid w:val="00E3755B"/>
    <w:rsid w:val="00E37CC9"/>
    <w:rsid w:val="00E418F5"/>
    <w:rsid w:val="00E42C8E"/>
    <w:rsid w:val="00E43930"/>
    <w:rsid w:val="00E44E3C"/>
    <w:rsid w:val="00E44F91"/>
    <w:rsid w:val="00E454E5"/>
    <w:rsid w:val="00E459C4"/>
    <w:rsid w:val="00E45CD7"/>
    <w:rsid w:val="00E471DD"/>
    <w:rsid w:val="00E4759B"/>
    <w:rsid w:val="00E477D0"/>
    <w:rsid w:val="00E47BF5"/>
    <w:rsid w:val="00E51741"/>
    <w:rsid w:val="00E521F4"/>
    <w:rsid w:val="00E533B8"/>
    <w:rsid w:val="00E54015"/>
    <w:rsid w:val="00E544CF"/>
    <w:rsid w:val="00E544DD"/>
    <w:rsid w:val="00E5485A"/>
    <w:rsid w:val="00E55F3D"/>
    <w:rsid w:val="00E5650F"/>
    <w:rsid w:val="00E565A8"/>
    <w:rsid w:val="00E568E1"/>
    <w:rsid w:val="00E574FC"/>
    <w:rsid w:val="00E60695"/>
    <w:rsid w:val="00E61043"/>
    <w:rsid w:val="00E61CF3"/>
    <w:rsid w:val="00E61E4D"/>
    <w:rsid w:val="00E63095"/>
    <w:rsid w:val="00E6320C"/>
    <w:rsid w:val="00E6515F"/>
    <w:rsid w:val="00E65AAE"/>
    <w:rsid w:val="00E65BF2"/>
    <w:rsid w:val="00E668DD"/>
    <w:rsid w:val="00E67D7F"/>
    <w:rsid w:val="00E71476"/>
    <w:rsid w:val="00E7158F"/>
    <w:rsid w:val="00E71A82"/>
    <w:rsid w:val="00E73406"/>
    <w:rsid w:val="00E741C2"/>
    <w:rsid w:val="00E74362"/>
    <w:rsid w:val="00E753B6"/>
    <w:rsid w:val="00E75987"/>
    <w:rsid w:val="00E75B91"/>
    <w:rsid w:val="00E7678E"/>
    <w:rsid w:val="00E76BC5"/>
    <w:rsid w:val="00E7781F"/>
    <w:rsid w:val="00E77D40"/>
    <w:rsid w:val="00E8042C"/>
    <w:rsid w:val="00E824FD"/>
    <w:rsid w:val="00E83879"/>
    <w:rsid w:val="00E838DE"/>
    <w:rsid w:val="00E8596C"/>
    <w:rsid w:val="00E865C0"/>
    <w:rsid w:val="00E86EFB"/>
    <w:rsid w:val="00E87C2E"/>
    <w:rsid w:val="00E900AF"/>
    <w:rsid w:val="00E90F54"/>
    <w:rsid w:val="00E91B84"/>
    <w:rsid w:val="00E93334"/>
    <w:rsid w:val="00E9460D"/>
    <w:rsid w:val="00E94FC2"/>
    <w:rsid w:val="00E95C92"/>
    <w:rsid w:val="00E964EE"/>
    <w:rsid w:val="00E96F0A"/>
    <w:rsid w:val="00E97BF6"/>
    <w:rsid w:val="00E97CC8"/>
    <w:rsid w:val="00EA09B5"/>
    <w:rsid w:val="00EA0DB5"/>
    <w:rsid w:val="00EA0E87"/>
    <w:rsid w:val="00EA13BC"/>
    <w:rsid w:val="00EA1554"/>
    <w:rsid w:val="00EA2505"/>
    <w:rsid w:val="00EA2E8B"/>
    <w:rsid w:val="00EA37A2"/>
    <w:rsid w:val="00EA39DF"/>
    <w:rsid w:val="00EA3C71"/>
    <w:rsid w:val="00EA5DD7"/>
    <w:rsid w:val="00EA6941"/>
    <w:rsid w:val="00EA6B82"/>
    <w:rsid w:val="00EA75F8"/>
    <w:rsid w:val="00EB0134"/>
    <w:rsid w:val="00EB032F"/>
    <w:rsid w:val="00EB04F5"/>
    <w:rsid w:val="00EB1013"/>
    <w:rsid w:val="00EB14C9"/>
    <w:rsid w:val="00EB2C5F"/>
    <w:rsid w:val="00EB33E2"/>
    <w:rsid w:val="00EB6E03"/>
    <w:rsid w:val="00EB708F"/>
    <w:rsid w:val="00EC1E91"/>
    <w:rsid w:val="00EC35A0"/>
    <w:rsid w:val="00EC3632"/>
    <w:rsid w:val="00EC3A18"/>
    <w:rsid w:val="00EC3A27"/>
    <w:rsid w:val="00EC5347"/>
    <w:rsid w:val="00EC54EC"/>
    <w:rsid w:val="00EC55CB"/>
    <w:rsid w:val="00EC5C09"/>
    <w:rsid w:val="00EC60B9"/>
    <w:rsid w:val="00EC793D"/>
    <w:rsid w:val="00ED073D"/>
    <w:rsid w:val="00ED07ED"/>
    <w:rsid w:val="00ED0B74"/>
    <w:rsid w:val="00ED0CFD"/>
    <w:rsid w:val="00ED20CB"/>
    <w:rsid w:val="00ED26C2"/>
    <w:rsid w:val="00ED2F82"/>
    <w:rsid w:val="00ED3774"/>
    <w:rsid w:val="00ED5C93"/>
    <w:rsid w:val="00EE1632"/>
    <w:rsid w:val="00EE1CCE"/>
    <w:rsid w:val="00EE2F24"/>
    <w:rsid w:val="00EE55EA"/>
    <w:rsid w:val="00EE59EC"/>
    <w:rsid w:val="00EE6DB9"/>
    <w:rsid w:val="00EE798A"/>
    <w:rsid w:val="00EF0266"/>
    <w:rsid w:val="00EF31C7"/>
    <w:rsid w:val="00EF3AE4"/>
    <w:rsid w:val="00EF448F"/>
    <w:rsid w:val="00EF462D"/>
    <w:rsid w:val="00EF4908"/>
    <w:rsid w:val="00EF4E04"/>
    <w:rsid w:val="00EF537B"/>
    <w:rsid w:val="00EF55D0"/>
    <w:rsid w:val="00EF5B96"/>
    <w:rsid w:val="00EF5F2A"/>
    <w:rsid w:val="00EF67C4"/>
    <w:rsid w:val="00EF7F5F"/>
    <w:rsid w:val="00F00618"/>
    <w:rsid w:val="00F009A2"/>
    <w:rsid w:val="00F015C8"/>
    <w:rsid w:val="00F01685"/>
    <w:rsid w:val="00F01ED5"/>
    <w:rsid w:val="00F040A3"/>
    <w:rsid w:val="00F042EC"/>
    <w:rsid w:val="00F04550"/>
    <w:rsid w:val="00F048A4"/>
    <w:rsid w:val="00F05A8A"/>
    <w:rsid w:val="00F1028E"/>
    <w:rsid w:val="00F10AAF"/>
    <w:rsid w:val="00F11576"/>
    <w:rsid w:val="00F115AA"/>
    <w:rsid w:val="00F117D2"/>
    <w:rsid w:val="00F12570"/>
    <w:rsid w:val="00F12A92"/>
    <w:rsid w:val="00F12ACD"/>
    <w:rsid w:val="00F12BB1"/>
    <w:rsid w:val="00F12BCE"/>
    <w:rsid w:val="00F1611D"/>
    <w:rsid w:val="00F16B41"/>
    <w:rsid w:val="00F17250"/>
    <w:rsid w:val="00F175F0"/>
    <w:rsid w:val="00F17700"/>
    <w:rsid w:val="00F17CAF"/>
    <w:rsid w:val="00F20E79"/>
    <w:rsid w:val="00F22C58"/>
    <w:rsid w:val="00F23FEF"/>
    <w:rsid w:val="00F2429D"/>
    <w:rsid w:val="00F245C8"/>
    <w:rsid w:val="00F26520"/>
    <w:rsid w:val="00F272C4"/>
    <w:rsid w:val="00F275D7"/>
    <w:rsid w:val="00F30435"/>
    <w:rsid w:val="00F32046"/>
    <w:rsid w:val="00F320EE"/>
    <w:rsid w:val="00F33584"/>
    <w:rsid w:val="00F33B5B"/>
    <w:rsid w:val="00F35051"/>
    <w:rsid w:val="00F36DEA"/>
    <w:rsid w:val="00F373C7"/>
    <w:rsid w:val="00F37930"/>
    <w:rsid w:val="00F4050E"/>
    <w:rsid w:val="00F4071A"/>
    <w:rsid w:val="00F416C6"/>
    <w:rsid w:val="00F4406F"/>
    <w:rsid w:val="00F441E1"/>
    <w:rsid w:val="00F443FF"/>
    <w:rsid w:val="00F47826"/>
    <w:rsid w:val="00F51A31"/>
    <w:rsid w:val="00F51B22"/>
    <w:rsid w:val="00F51E7F"/>
    <w:rsid w:val="00F5248F"/>
    <w:rsid w:val="00F53896"/>
    <w:rsid w:val="00F53C1D"/>
    <w:rsid w:val="00F56646"/>
    <w:rsid w:val="00F57AF9"/>
    <w:rsid w:val="00F601EF"/>
    <w:rsid w:val="00F61E47"/>
    <w:rsid w:val="00F61E7A"/>
    <w:rsid w:val="00F6436F"/>
    <w:rsid w:val="00F64E23"/>
    <w:rsid w:val="00F6596E"/>
    <w:rsid w:val="00F659C9"/>
    <w:rsid w:val="00F6679F"/>
    <w:rsid w:val="00F67B21"/>
    <w:rsid w:val="00F67CAA"/>
    <w:rsid w:val="00F67F18"/>
    <w:rsid w:val="00F7182F"/>
    <w:rsid w:val="00F71D6C"/>
    <w:rsid w:val="00F72695"/>
    <w:rsid w:val="00F72980"/>
    <w:rsid w:val="00F72E1D"/>
    <w:rsid w:val="00F72F47"/>
    <w:rsid w:val="00F739A3"/>
    <w:rsid w:val="00F74BF8"/>
    <w:rsid w:val="00F75017"/>
    <w:rsid w:val="00F7613E"/>
    <w:rsid w:val="00F77966"/>
    <w:rsid w:val="00F8090E"/>
    <w:rsid w:val="00F809DC"/>
    <w:rsid w:val="00F80CA0"/>
    <w:rsid w:val="00F8104A"/>
    <w:rsid w:val="00F82796"/>
    <w:rsid w:val="00F838B4"/>
    <w:rsid w:val="00F83A61"/>
    <w:rsid w:val="00F8448B"/>
    <w:rsid w:val="00F849A1"/>
    <w:rsid w:val="00F849FE"/>
    <w:rsid w:val="00F86243"/>
    <w:rsid w:val="00F86A09"/>
    <w:rsid w:val="00F86B90"/>
    <w:rsid w:val="00F87636"/>
    <w:rsid w:val="00F87942"/>
    <w:rsid w:val="00F938CC"/>
    <w:rsid w:val="00F948AD"/>
    <w:rsid w:val="00F954F4"/>
    <w:rsid w:val="00F95827"/>
    <w:rsid w:val="00F96319"/>
    <w:rsid w:val="00F972F9"/>
    <w:rsid w:val="00F97B45"/>
    <w:rsid w:val="00F97DCB"/>
    <w:rsid w:val="00FA028D"/>
    <w:rsid w:val="00FA1715"/>
    <w:rsid w:val="00FA1D06"/>
    <w:rsid w:val="00FA2A85"/>
    <w:rsid w:val="00FA33D3"/>
    <w:rsid w:val="00FA3C6F"/>
    <w:rsid w:val="00FA4086"/>
    <w:rsid w:val="00FA52E2"/>
    <w:rsid w:val="00FA5AE8"/>
    <w:rsid w:val="00FA68F1"/>
    <w:rsid w:val="00FA6B98"/>
    <w:rsid w:val="00FA7405"/>
    <w:rsid w:val="00FB028A"/>
    <w:rsid w:val="00FB0D31"/>
    <w:rsid w:val="00FB3B98"/>
    <w:rsid w:val="00FB3D25"/>
    <w:rsid w:val="00FB3E48"/>
    <w:rsid w:val="00FB41F7"/>
    <w:rsid w:val="00FB45F8"/>
    <w:rsid w:val="00FB7865"/>
    <w:rsid w:val="00FC01D2"/>
    <w:rsid w:val="00FC183E"/>
    <w:rsid w:val="00FC1B73"/>
    <w:rsid w:val="00FC1E6E"/>
    <w:rsid w:val="00FC203B"/>
    <w:rsid w:val="00FC3450"/>
    <w:rsid w:val="00FC4E8E"/>
    <w:rsid w:val="00FC512E"/>
    <w:rsid w:val="00FC5CDC"/>
    <w:rsid w:val="00FC7166"/>
    <w:rsid w:val="00FD1399"/>
    <w:rsid w:val="00FD146A"/>
    <w:rsid w:val="00FD1DDA"/>
    <w:rsid w:val="00FD22E1"/>
    <w:rsid w:val="00FD47E8"/>
    <w:rsid w:val="00FD4B4C"/>
    <w:rsid w:val="00FD4BFE"/>
    <w:rsid w:val="00FD7DFB"/>
    <w:rsid w:val="00FE09E6"/>
    <w:rsid w:val="00FE1760"/>
    <w:rsid w:val="00FE277E"/>
    <w:rsid w:val="00FE3259"/>
    <w:rsid w:val="00FE38BE"/>
    <w:rsid w:val="00FE5624"/>
    <w:rsid w:val="00FE63F6"/>
    <w:rsid w:val="00FE681D"/>
    <w:rsid w:val="00FE7278"/>
    <w:rsid w:val="00FE787C"/>
    <w:rsid w:val="00FE7C89"/>
    <w:rsid w:val="00FE7E26"/>
    <w:rsid w:val="00FF0B9F"/>
    <w:rsid w:val="00FF1389"/>
    <w:rsid w:val="00FF3F70"/>
    <w:rsid w:val="00FF4296"/>
    <w:rsid w:val="00FF4DD0"/>
    <w:rsid w:val="00FF5852"/>
    <w:rsid w:val="00FF59C8"/>
    <w:rsid w:val="00FF6705"/>
    <w:rsid w:val="00FF6CEE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3CA6"/>
  <w15:docId w15:val="{466CDD39-6089-4DAF-9F7E-C442E140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02A2"/>
  </w:style>
  <w:style w:type="paragraph" w:styleId="Titolo3">
    <w:name w:val="heading 3"/>
    <w:basedOn w:val="Normale"/>
    <w:link w:val="Titolo3Carattere"/>
    <w:uiPriority w:val="9"/>
    <w:qFormat/>
    <w:rsid w:val="00AD29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39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17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6E1"/>
  </w:style>
  <w:style w:type="paragraph" w:styleId="Pidipagina">
    <w:name w:val="footer"/>
    <w:basedOn w:val="Normale"/>
    <w:link w:val="PidipaginaCarattere"/>
    <w:uiPriority w:val="99"/>
    <w:unhideWhenUsed/>
    <w:rsid w:val="00C17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6E1"/>
  </w:style>
  <w:style w:type="character" w:styleId="Enfasigrassetto">
    <w:name w:val="Strong"/>
    <w:basedOn w:val="Carpredefinitoparagrafo"/>
    <w:uiPriority w:val="22"/>
    <w:qFormat/>
    <w:rsid w:val="003E6FC3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43C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43C5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43C5B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D7BE4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533B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533B8"/>
    <w:rPr>
      <w:color w:val="800080" w:themeColor="followedHyperlink"/>
      <w:u w:val="single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631513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2558B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E521F4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7F01D1"/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932C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F5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F53C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F53C1D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3D746E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50262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D290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table" w:customStyle="1" w:styleId="TABELLAGIMBE">
    <w:name w:val="TABELLA GIMBE"/>
    <w:basedOn w:val="Tabellanormale"/>
    <w:uiPriority w:val="99"/>
    <w:rsid w:val="00AC20FD"/>
    <w:pPr>
      <w:spacing w:after="0" w:line="240" w:lineRule="auto"/>
    </w:pPr>
    <w:rPr>
      <w:rFonts w:ascii="Cambria" w:eastAsia="Calibri" w:hAnsi="Cambria" w:cs="Calibri"/>
      <w:sz w:val="20"/>
      <w:lang w:eastAsia="it-IT"/>
    </w:rPr>
    <w:tblPr>
      <w:tblBorders>
        <w:top w:val="single" w:sz="4" w:space="0" w:color="00457D"/>
        <w:left w:val="single" w:sz="4" w:space="0" w:color="00457D"/>
        <w:bottom w:val="single" w:sz="4" w:space="0" w:color="00457D"/>
        <w:right w:val="single" w:sz="4" w:space="0" w:color="00457D"/>
        <w:insideH w:val="single" w:sz="4" w:space="0" w:color="00457D"/>
        <w:insideV w:val="single" w:sz="4" w:space="0" w:color="00457D"/>
      </w:tblBorders>
    </w:tblPr>
    <w:tcPr>
      <w:vAlign w:val="center"/>
    </w:tc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233694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4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03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1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96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2191498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522380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239233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2371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559789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1395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6567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6759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81052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37577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89770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8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9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8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6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73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7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6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mbe.org/processi-strutture-sanitarie" TargetMode="External"/><Relationship Id="rId13" Type="http://schemas.openxmlformats.org/officeDocument/2006/relationships/hyperlink" Target="https://saappianmonitorprod001.blob.core.windows.net/documentiprod/Decreti/6279.pdf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aappianmonitorprod001.blob.core.windows.net/documentiprod/Decreti/6275.pdf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www.aifa.gov.it/documents/20142/1099847/All-1_alla%20Determina%20_DTS-56-2025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appianmonitorprod001.blob.core.windows.net/documentiprod/Decreti/627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ifa.gov.it/documents/20142/1099847/Determina-DTS%2056-2025_Istruzioni_applicative.pdf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mailto:ufficio.stampa@gimbe.org" TargetMode="External"/><Relationship Id="rId14" Type="http://schemas.openxmlformats.org/officeDocument/2006/relationships/hyperlink" Target="https://saappianmonitorprod001.blob.core.windows.net/documentiprod/Decreti/6281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897E-55F8-488E-AE86-4E4D62FDB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8</Pages>
  <Words>1886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dc:description/>
  <cp:lastModifiedBy>Roberto Luceri</cp:lastModifiedBy>
  <cp:revision>8</cp:revision>
  <cp:lastPrinted>2026-06-15T12:52:00Z</cp:lastPrinted>
  <dcterms:created xsi:type="dcterms:W3CDTF">2026-06-15T08:02:00Z</dcterms:created>
  <dcterms:modified xsi:type="dcterms:W3CDTF">2026-06-16T10:54:00Z</dcterms:modified>
</cp:coreProperties>
</file>