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0D6D" w14:textId="5E7F60E8" w:rsidR="004214E3" w:rsidRPr="00B050EF" w:rsidRDefault="00124E32" w:rsidP="004D3455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F4964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3F4964" w:rsidRPr="003F4964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4D3455">
        <w:rPr>
          <w:b/>
          <w:bCs/>
          <w:sz w:val="32"/>
        </w:rPr>
        <w:t xml:space="preserve">CORONAVIRUS: </w:t>
      </w:r>
      <w:bookmarkStart w:id="0" w:name="_GoBack"/>
      <w:bookmarkEnd w:id="0"/>
      <w:r w:rsidR="00EC3C73">
        <w:rPr>
          <w:b/>
          <w:bCs/>
          <w:sz w:val="32"/>
        </w:rPr>
        <w:t xml:space="preserve">FASE 2, </w:t>
      </w:r>
      <w:r w:rsidR="004D3455">
        <w:rPr>
          <w:b/>
          <w:bCs/>
          <w:sz w:val="32"/>
        </w:rPr>
        <w:t xml:space="preserve">REGOLE </w:t>
      </w:r>
      <w:r w:rsidR="00742B69">
        <w:rPr>
          <w:b/>
          <w:bCs/>
          <w:sz w:val="32"/>
        </w:rPr>
        <w:t>UGUALI PER TUTTI</w:t>
      </w:r>
      <w:r w:rsidR="004D3455">
        <w:rPr>
          <w:b/>
          <w:bCs/>
          <w:sz w:val="32"/>
        </w:rPr>
        <w:t xml:space="preserve">. </w:t>
      </w:r>
      <w:r w:rsidR="00B050EF">
        <w:rPr>
          <w:b/>
          <w:bCs/>
          <w:sz w:val="32"/>
        </w:rPr>
        <w:br/>
      </w:r>
      <w:r w:rsidR="00EC3C73" w:rsidRPr="00EC3C73">
        <w:rPr>
          <w:b/>
          <w:bCs/>
          <w:sz w:val="32"/>
        </w:rPr>
        <w:t xml:space="preserve">TROPPI RISCHI AL NORD, </w:t>
      </w:r>
      <w:r w:rsidR="00EC3C73">
        <w:rPr>
          <w:b/>
          <w:bCs/>
          <w:sz w:val="32"/>
        </w:rPr>
        <w:t>ECCESSIVI</w:t>
      </w:r>
      <w:r w:rsidR="00EC3C73" w:rsidRPr="00EC3C73">
        <w:rPr>
          <w:b/>
          <w:bCs/>
          <w:sz w:val="32"/>
        </w:rPr>
        <w:t xml:space="preserve"> LIMITI </w:t>
      </w:r>
      <w:r w:rsidR="00093477">
        <w:rPr>
          <w:b/>
          <w:bCs/>
          <w:sz w:val="32"/>
        </w:rPr>
        <w:t xml:space="preserve">PER IL </w:t>
      </w:r>
      <w:r w:rsidR="00EC3C73" w:rsidRPr="00EC3C73">
        <w:rPr>
          <w:b/>
          <w:bCs/>
          <w:sz w:val="32"/>
        </w:rPr>
        <w:t>SUD</w:t>
      </w:r>
    </w:p>
    <w:p w14:paraId="31896461" w14:textId="36FCF6C6" w:rsidR="00742B69" w:rsidRPr="00932B6D" w:rsidRDefault="00F60151" w:rsidP="003E62A0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NELLA SETTIMANA 22</w:t>
      </w:r>
      <w:r w:rsidR="003E62A0">
        <w:rPr>
          <w:b/>
          <w:sz w:val="23"/>
          <w:szCs w:val="23"/>
          <w:lang w:eastAsia="it-IT"/>
        </w:rPr>
        <w:t xml:space="preserve">-29 </w:t>
      </w:r>
      <w:r w:rsidR="00400B49">
        <w:rPr>
          <w:b/>
          <w:sz w:val="23"/>
          <w:szCs w:val="23"/>
          <w:lang w:eastAsia="it-IT"/>
        </w:rPr>
        <w:t xml:space="preserve">APRILE ULTERIORE </w:t>
      </w:r>
      <w:r w:rsidR="003E62A0">
        <w:rPr>
          <w:b/>
          <w:sz w:val="23"/>
          <w:szCs w:val="23"/>
          <w:lang w:eastAsia="it-IT"/>
        </w:rPr>
        <w:t xml:space="preserve">ALLEGGERIMENTO </w:t>
      </w:r>
      <w:r w:rsidR="00400B49">
        <w:rPr>
          <w:b/>
          <w:sz w:val="23"/>
          <w:szCs w:val="23"/>
          <w:lang w:eastAsia="it-IT"/>
        </w:rPr>
        <w:t xml:space="preserve">DI OSPEDALI E TERAPIE INTENSIVE, MA A </w:t>
      </w:r>
      <w:r w:rsidR="003E62A0">
        <w:rPr>
          <w:b/>
          <w:sz w:val="23"/>
          <w:szCs w:val="23"/>
          <w:lang w:eastAsia="it-IT"/>
        </w:rPr>
        <w:t>4</w:t>
      </w:r>
      <w:r w:rsidR="00400B49">
        <w:rPr>
          <w:b/>
          <w:sz w:val="23"/>
          <w:szCs w:val="23"/>
          <w:lang w:eastAsia="it-IT"/>
        </w:rPr>
        <w:t xml:space="preserve"> GIORNI DALL’AVVIO DELLA FASE 2 </w:t>
      </w:r>
      <w:r w:rsidR="003E62A0">
        <w:rPr>
          <w:b/>
          <w:sz w:val="23"/>
          <w:szCs w:val="23"/>
          <w:lang w:eastAsia="it-IT"/>
        </w:rPr>
        <w:t xml:space="preserve">SI </w:t>
      </w:r>
      <w:r w:rsidR="001F2345">
        <w:rPr>
          <w:b/>
          <w:sz w:val="23"/>
          <w:szCs w:val="23"/>
          <w:lang w:eastAsia="it-IT"/>
        </w:rPr>
        <w:t>RILEVA</w:t>
      </w:r>
      <w:r w:rsidR="003E62A0">
        <w:rPr>
          <w:b/>
          <w:sz w:val="23"/>
          <w:szCs w:val="23"/>
          <w:lang w:eastAsia="it-IT"/>
        </w:rPr>
        <w:t xml:space="preserve"> </w:t>
      </w:r>
      <w:r w:rsidR="00F37E81">
        <w:rPr>
          <w:b/>
          <w:sz w:val="23"/>
          <w:szCs w:val="23"/>
          <w:lang w:eastAsia="it-IT"/>
        </w:rPr>
        <w:t xml:space="preserve">ANCORA </w:t>
      </w:r>
      <w:r w:rsidR="003E62A0">
        <w:rPr>
          <w:b/>
          <w:sz w:val="23"/>
          <w:szCs w:val="23"/>
          <w:lang w:eastAsia="it-IT"/>
        </w:rPr>
        <w:t xml:space="preserve">UN INCREMENTO DI </w:t>
      </w:r>
      <w:r w:rsidR="003E62A0" w:rsidRPr="003E62A0">
        <w:rPr>
          <w:b/>
          <w:sz w:val="23"/>
          <w:szCs w:val="23"/>
          <w:lang w:eastAsia="it-IT"/>
        </w:rPr>
        <w:t xml:space="preserve">16.264 CASI </w:t>
      </w:r>
      <w:r w:rsidR="003E62A0">
        <w:rPr>
          <w:b/>
          <w:sz w:val="23"/>
          <w:szCs w:val="23"/>
          <w:lang w:eastAsia="it-IT"/>
        </w:rPr>
        <w:t xml:space="preserve">DI CUI 2.597 DECESSI, CONCENTRATI PER L’80% IN 5 REGIONI. </w:t>
      </w:r>
      <w:r w:rsidR="00932B6D">
        <w:rPr>
          <w:b/>
          <w:sz w:val="23"/>
          <w:szCs w:val="23"/>
          <w:lang w:eastAsia="it-IT"/>
        </w:rPr>
        <w:t xml:space="preserve">CON QUESTO QUADRO EPIDEMIOLOGICO </w:t>
      </w:r>
      <w:r w:rsidR="00742B69" w:rsidRPr="00932B6D">
        <w:rPr>
          <w:b/>
          <w:sz w:val="23"/>
          <w:szCs w:val="23"/>
          <w:lang w:eastAsia="it-IT"/>
        </w:rPr>
        <w:t xml:space="preserve">SE DAL 4 MAGGIO ALCUNE </w:t>
      </w:r>
      <w:r w:rsidR="00093477">
        <w:rPr>
          <w:b/>
          <w:sz w:val="23"/>
          <w:szCs w:val="23"/>
          <w:lang w:eastAsia="it-IT"/>
        </w:rPr>
        <w:t>REGIONI</w:t>
      </w:r>
      <w:r w:rsidR="00742B69" w:rsidRPr="00932B6D">
        <w:rPr>
          <w:b/>
          <w:sz w:val="23"/>
          <w:szCs w:val="23"/>
          <w:lang w:eastAsia="it-IT"/>
        </w:rPr>
        <w:t xml:space="preserve"> DOVRANNO SOTTOSTARE A RESTRIZIONI ECCESSIVE </w:t>
      </w:r>
      <w:r w:rsidR="00932B6D" w:rsidRPr="00932B6D">
        <w:rPr>
          <w:b/>
          <w:sz w:val="23"/>
          <w:szCs w:val="23"/>
          <w:lang w:eastAsia="it-IT"/>
        </w:rPr>
        <w:t>CHE FAVORIS</w:t>
      </w:r>
      <w:r w:rsidR="00932B6D">
        <w:rPr>
          <w:b/>
          <w:sz w:val="23"/>
          <w:szCs w:val="23"/>
          <w:lang w:eastAsia="it-IT"/>
        </w:rPr>
        <w:t>CONO IMPROPRIE FU</w:t>
      </w:r>
      <w:r w:rsidR="00932B6D" w:rsidRPr="00932B6D">
        <w:rPr>
          <w:b/>
          <w:sz w:val="23"/>
          <w:szCs w:val="23"/>
          <w:lang w:eastAsia="it-IT"/>
        </w:rPr>
        <w:t xml:space="preserve">GHE IN AVANTI, </w:t>
      </w:r>
      <w:r w:rsidR="00742B69" w:rsidRPr="00932B6D">
        <w:rPr>
          <w:b/>
          <w:sz w:val="23"/>
          <w:szCs w:val="23"/>
          <w:lang w:eastAsia="it-IT"/>
        </w:rPr>
        <w:t xml:space="preserve">PER ALTRE LA RIAPERTURA AVVERRÀ SUL FILO DEL RASOIO PERCHÉ DEI 4,5 MILIONI DI PERSONE CHE TORNERANNO AL LAVORO LA MAGGIOR PARTE SI CONCENTRA </w:t>
      </w:r>
      <w:r w:rsidR="00932B6D">
        <w:rPr>
          <w:b/>
          <w:sz w:val="23"/>
          <w:szCs w:val="23"/>
          <w:lang w:eastAsia="it-IT"/>
        </w:rPr>
        <w:t xml:space="preserve">DOVE </w:t>
      </w:r>
      <w:r w:rsidR="00742B69" w:rsidRPr="00932B6D">
        <w:rPr>
          <w:b/>
          <w:sz w:val="23"/>
          <w:szCs w:val="23"/>
          <w:lang w:eastAsia="it-IT"/>
        </w:rPr>
        <w:t xml:space="preserve">L’EPIDEMIA È MENO SOTTO CONTROLLO. </w:t>
      </w:r>
    </w:p>
    <w:p w14:paraId="73961EAA" w14:textId="77777777" w:rsidR="00B443D8" w:rsidRDefault="00521CA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F70C6F">
        <w:rPr>
          <w:rFonts w:ascii="Calibri" w:eastAsia="Calibri" w:hAnsi="Calibri" w:cs="Times New Roman"/>
          <w:b/>
          <w:bCs/>
          <w:sz w:val="24"/>
          <w:szCs w:val="24"/>
        </w:rPr>
        <w:t>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aprile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61235B63" w14:textId="77777777" w:rsidR="00AD7137" w:rsidRDefault="00A245F6" w:rsidP="00B82B20">
      <w:pPr>
        <w:spacing w:after="120"/>
        <w:jc w:val="both"/>
      </w:pPr>
      <w:r>
        <w:t xml:space="preserve">Il </w:t>
      </w:r>
      <w:r w:rsidR="00F70C6F">
        <w:t xml:space="preserve">DPCM del </w:t>
      </w:r>
      <w:r w:rsidR="00652253" w:rsidRPr="00B050EF">
        <w:t xml:space="preserve">26 </w:t>
      </w:r>
      <w:r w:rsidR="00F70C6F">
        <w:t xml:space="preserve">aprile </w:t>
      </w:r>
      <w:r w:rsidR="00652253">
        <w:t xml:space="preserve">2020 </w:t>
      </w:r>
      <w:r w:rsidR="00F70C6F">
        <w:t xml:space="preserve">prevede un </w:t>
      </w:r>
      <w:r>
        <w:t xml:space="preserve">programma di </w:t>
      </w:r>
      <w:r w:rsidR="00B050EF">
        <w:t>progressive</w:t>
      </w:r>
      <w:r w:rsidR="00557FAC">
        <w:t xml:space="preserve"> </w:t>
      </w:r>
      <w:r w:rsidR="00B050EF">
        <w:t>riaperture</w:t>
      </w:r>
      <w:r w:rsidR="00F70C6F">
        <w:t xml:space="preserve"> </w:t>
      </w:r>
      <w:r w:rsidR="00557FAC">
        <w:t xml:space="preserve">di </w:t>
      </w:r>
      <w:r>
        <w:t>attività produttive e commerciali omogeneo per tutto il territorio</w:t>
      </w:r>
      <w:r w:rsidR="00801134">
        <w:t xml:space="preserve"> nazionale</w:t>
      </w:r>
      <w:r w:rsidR="00F70C6F">
        <w:t xml:space="preserve"> che, s</w:t>
      </w:r>
      <w:r w:rsidR="00284702">
        <w:t xml:space="preserve">econdo il </w:t>
      </w:r>
      <w:r w:rsidR="00F70C6F">
        <w:t xml:space="preserve">documento </w:t>
      </w:r>
      <w:r w:rsidR="00284702">
        <w:t>de</w:t>
      </w:r>
      <w:r w:rsidR="00F70C6F">
        <w:t xml:space="preserve">l Comitato Tecnico Scientifico, </w:t>
      </w:r>
      <w:r w:rsidR="00455F70">
        <w:t xml:space="preserve">ha </w:t>
      </w:r>
      <w:r w:rsidR="00F70C6F">
        <w:t>valuta</w:t>
      </w:r>
      <w:r w:rsidR="00455F70">
        <w:t>to</w:t>
      </w:r>
      <w:r w:rsidR="00284702">
        <w:t xml:space="preserve"> il rischio dell’incremento dei </w:t>
      </w:r>
      <w:r w:rsidR="00F70C6F">
        <w:t>contagi</w:t>
      </w:r>
      <w:r w:rsidR="00B050EF">
        <w:t xml:space="preserve"> tenendo conto de</w:t>
      </w:r>
      <w:r w:rsidR="00F876F6">
        <w:t>lla</w:t>
      </w:r>
      <w:r w:rsidR="00F70C6F">
        <w:t xml:space="preserve"> </w:t>
      </w:r>
      <w:r w:rsidR="00AD7137">
        <w:t>“</w:t>
      </w:r>
      <w:r w:rsidR="00AD7137" w:rsidRPr="00AD7137">
        <w:t>str</w:t>
      </w:r>
      <w:r w:rsidR="00AD7137">
        <w:t xml:space="preserve">uttura demografica italiana, </w:t>
      </w:r>
      <w:r w:rsidR="00AD7137" w:rsidRPr="00AD7137">
        <w:t>l’eterogeneità dei contatti sociali a diverse età e nei div</w:t>
      </w:r>
      <w:r w:rsidR="00AD7137">
        <w:t>ersi luoghi di aggregazione</w:t>
      </w:r>
      <w:r w:rsidR="00284702">
        <w:t>,</w:t>
      </w:r>
      <w:r w:rsidR="00AD7137">
        <w:t xml:space="preserve"> i</w:t>
      </w:r>
      <w:r w:rsidR="00AD7137" w:rsidRPr="00AD7137">
        <w:t>l rischio di esposizione stimato per diverse categorie professionali</w:t>
      </w:r>
      <w:r w:rsidR="00AD7137">
        <w:t xml:space="preserve"> e</w:t>
      </w:r>
      <w:r w:rsidR="00AD7137" w:rsidRPr="00AD7137">
        <w:t xml:space="preserve"> </w:t>
      </w:r>
      <w:r w:rsidR="00F70C6F">
        <w:t xml:space="preserve">la tipologia di attività </w:t>
      </w:r>
      <w:r w:rsidR="00AD7137">
        <w:t>da riaprire</w:t>
      </w:r>
      <w:r w:rsidR="00862990">
        <w:t>”</w:t>
      </w:r>
      <w:r w:rsidR="00AD7137">
        <w:t xml:space="preserve">. </w:t>
      </w:r>
    </w:p>
    <w:p w14:paraId="2475DA14" w14:textId="5F5FC514" w:rsidR="00CD173C" w:rsidRDefault="00CD173C" w:rsidP="00CD173C">
      <w:pPr>
        <w:spacing w:after="120"/>
        <w:jc w:val="both"/>
        <w:rPr>
          <w:lang w:eastAsia="it-IT"/>
        </w:rPr>
      </w:pPr>
      <w:r w:rsidRPr="00A24080">
        <w:t>«</w:t>
      </w:r>
      <w:r>
        <w:t xml:space="preserve">A 4 giorni dall’avvio della fase 2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afferma Nino Cartabellotta, Presidente della Fondazione GIMBE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il nostro monitoraggio indipendente sulle variazioni settimanali documenta un ulteriore </w:t>
      </w:r>
      <w:r w:rsidR="003E62A0">
        <w:rPr>
          <w:lang w:eastAsia="it-IT"/>
        </w:rPr>
        <w:t>alleggerimento</w:t>
      </w:r>
      <w:r w:rsidR="00E025AE">
        <w:rPr>
          <w:lang w:eastAsia="it-IT"/>
        </w:rPr>
        <w:t xml:space="preserve"> </w:t>
      </w:r>
      <w:r w:rsidR="00742B69">
        <w:rPr>
          <w:lang w:eastAsia="it-IT"/>
        </w:rPr>
        <w:t>d</w:t>
      </w:r>
      <w:r w:rsidR="00925D82">
        <w:rPr>
          <w:lang w:eastAsia="it-IT"/>
        </w:rPr>
        <w:t xml:space="preserve">el carico </w:t>
      </w:r>
      <w:r w:rsidR="00E025AE">
        <w:rPr>
          <w:lang w:eastAsia="it-IT"/>
        </w:rPr>
        <w:t xml:space="preserve">degli ospedali e </w:t>
      </w:r>
      <w:r>
        <w:rPr>
          <w:lang w:eastAsia="it-IT"/>
        </w:rPr>
        <w:t xml:space="preserve">in particolare </w:t>
      </w:r>
      <w:r w:rsidR="00925D82">
        <w:rPr>
          <w:lang w:eastAsia="it-IT"/>
        </w:rPr>
        <w:t xml:space="preserve">delle </w:t>
      </w:r>
      <w:r>
        <w:rPr>
          <w:lang w:eastAsia="it-IT"/>
        </w:rPr>
        <w:t xml:space="preserve">terapie intensive. </w:t>
      </w:r>
      <w:r w:rsidR="00925D82">
        <w:rPr>
          <w:lang w:eastAsia="it-IT"/>
        </w:rPr>
        <w:t>Tuttavia</w:t>
      </w:r>
      <w:r w:rsidR="00284702">
        <w:rPr>
          <w:lang w:eastAsia="it-IT"/>
        </w:rPr>
        <w:t xml:space="preserve">, </w:t>
      </w:r>
      <w:r>
        <w:rPr>
          <w:lang w:eastAsia="it-IT"/>
        </w:rPr>
        <w:t xml:space="preserve">sul </w:t>
      </w:r>
      <w:r w:rsidR="00557FAC">
        <w:rPr>
          <w:lang w:eastAsia="it-IT"/>
        </w:rPr>
        <w:t xml:space="preserve">fronte </w:t>
      </w:r>
      <w:r>
        <w:rPr>
          <w:lang w:eastAsia="it-IT"/>
        </w:rPr>
        <w:t>di contagi e decessi</w:t>
      </w:r>
      <w:r w:rsidR="00B050EF">
        <w:rPr>
          <w:lang w:eastAsia="it-IT"/>
        </w:rPr>
        <w:t xml:space="preserve">, nonostante il progressivo rallentamento, </w:t>
      </w:r>
      <w:r w:rsidR="00B050EF">
        <w:rPr>
          <w:rStyle w:val="css-901oao"/>
        </w:rPr>
        <w:t xml:space="preserve">il numero dei nuovi casi </w:t>
      </w:r>
      <w:r w:rsidR="00455F70">
        <w:rPr>
          <w:rStyle w:val="css-901oao"/>
        </w:rPr>
        <w:t xml:space="preserve">non ha raggiunto </w:t>
      </w:r>
      <w:r w:rsidR="00B050EF">
        <w:rPr>
          <w:rStyle w:val="css-901oao"/>
        </w:rPr>
        <w:t xml:space="preserve">quella </w:t>
      </w:r>
      <w:r w:rsidR="00F876F6">
        <w:rPr>
          <w:rStyle w:val="css-901oao"/>
        </w:rPr>
        <w:t>prolungata</w:t>
      </w:r>
      <w:r w:rsidR="00F876F6">
        <w:rPr>
          <w:lang w:eastAsia="it-IT"/>
        </w:rPr>
        <w:t xml:space="preserve"> </w:t>
      </w:r>
      <w:r w:rsidR="00455F70">
        <w:rPr>
          <w:rStyle w:val="css-901oao"/>
        </w:rPr>
        <w:t xml:space="preserve">stabilizzazione </w:t>
      </w:r>
      <w:r w:rsidR="00925D82">
        <w:t>propedeutica alla ripartenza</w:t>
      </w:r>
      <w:r w:rsidR="00925D82">
        <w:rPr>
          <w:rStyle w:val="css-901oao"/>
        </w:rPr>
        <w:t xml:space="preserve"> secondo le raccomandazioni della</w:t>
      </w:r>
      <w:r w:rsidR="00284702">
        <w:rPr>
          <w:rStyle w:val="css-901oao"/>
        </w:rPr>
        <w:t xml:space="preserve"> </w:t>
      </w:r>
      <w:hyperlink r:id="rId8" w:history="1">
        <w:r w:rsidR="00455F70">
          <w:rPr>
            <w:rStyle w:val="Collegamentoipertestuale"/>
            <w:lang w:eastAsia="it-IT"/>
          </w:rPr>
          <w:t>Co</w:t>
        </w:r>
        <w:r w:rsidR="00455F70" w:rsidRPr="000B0330">
          <w:rPr>
            <w:rStyle w:val="Collegamentoipertestuale"/>
            <w:lang w:eastAsia="it-IT"/>
          </w:rPr>
          <w:t>mmissione Europea</w:t>
        </w:r>
      </w:hyperlink>
      <w:r w:rsidRPr="00A24080">
        <w:rPr>
          <w:rFonts w:cstheme="minorHAnsi"/>
        </w:rPr>
        <w:t>»</w:t>
      </w:r>
      <w:r>
        <w:rPr>
          <w:lang w:eastAsia="it-IT"/>
        </w:rPr>
        <w:t>. In sintesi, nella settimana 2</w:t>
      </w:r>
      <w:r w:rsidR="000F7EE8">
        <w:rPr>
          <w:lang w:eastAsia="it-IT"/>
        </w:rPr>
        <w:t>2</w:t>
      </w:r>
      <w:r>
        <w:rPr>
          <w:lang w:eastAsia="it-IT"/>
        </w:rPr>
        <w:t>-29 aprile:</w:t>
      </w:r>
    </w:p>
    <w:p w14:paraId="583C076F" w14:textId="77777777" w:rsidR="00CD173C" w:rsidRDefault="007626CA" w:rsidP="00CD173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Casi totali: +16.264 (+8,7</w:t>
      </w:r>
      <w:r w:rsidR="00CD173C">
        <w:t>%)</w:t>
      </w:r>
    </w:p>
    <w:p w14:paraId="11F602D2" w14:textId="77777777" w:rsidR="00CD173C" w:rsidRDefault="007626CA" w:rsidP="00CD173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Decessi: +2.597 (+10,4</w:t>
      </w:r>
      <w:r w:rsidR="00CD173C">
        <w:t>%)</w:t>
      </w:r>
    </w:p>
    <w:p w14:paraId="25D6EF6F" w14:textId="77777777" w:rsidR="00CD173C" w:rsidRDefault="00B95C5D" w:rsidP="00CD173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-4.595 (-19,3</w:t>
      </w:r>
      <w:r w:rsidR="00CD173C">
        <w:t>%)</w:t>
      </w:r>
    </w:p>
    <w:p w14:paraId="41AC3131" w14:textId="77777777" w:rsidR="00CD173C" w:rsidRDefault="007626CA" w:rsidP="00B82B20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Terapia intensiva: -</w:t>
      </w:r>
      <w:r w:rsidR="00CD173C">
        <w:t>5</w:t>
      </w:r>
      <w:r>
        <w:t>89 (-24,7</w:t>
      </w:r>
      <w:r w:rsidR="00CD173C">
        <w:t>%)</w:t>
      </w:r>
    </w:p>
    <w:p w14:paraId="05E803AA" w14:textId="02C8C2C4" w:rsidR="00A46BA1" w:rsidRDefault="00862990" w:rsidP="00C91496">
      <w:pPr>
        <w:spacing w:after="120"/>
        <w:jc w:val="both"/>
      </w:pPr>
      <w:r w:rsidRPr="00E51040">
        <w:t>«</w:t>
      </w:r>
      <w:r w:rsidR="00455F70" w:rsidRPr="00E51040">
        <w:t xml:space="preserve">Se da un lato </w:t>
      </w:r>
      <w:r w:rsidR="007D0C94" w:rsidRPr="00E51040">
        <w:t xml:space="preserve">la Fondazione GIMBE condivide </w:t>
      </w:r>
      <w:r w:rsidR="00B76857">
        <w:t xml:space="preserve">il principio di </w:t>
      </w:r>
      <w:r w:rsidR="00EC3C73">
        <w:t xml:space="preserve">graduale </w:t>
      </w:r>
      <w:r w:rsidR="00B76857">
        <w:t xml:space="preserve">riapertura </w:t>
      </w:r>
      <w:r w:rsidR="007D0C94" w:rsidRPr="00E51040">
        <w:t xml:space="preserve">del Governo </w:t>
      </w:r>
      <w:r w:rsidR="00F876F6" w:rsidRPr="00E51040">
        <w:rPr>
          <w:lang w:eastAsia="it-IT"/>
        </w:rPr>
        <w:t>– continua Cartabellotta –</w:t>
      </w:r>
      <w:r w:rsidR="003E62A0">
        <w:rPr>
          <w:lang w:eastAsia="it-IT"/>
        </w:rPr>
        <w:t xml:space="preserve"> </w:t>
      </w:r>
      <w:r w:rsidR="00455F70" w:rsidRPr="00E51040">
        <w:rPr>
          <w:lang w:eastAsia="it-IT"/>
        </w:rPr>
        <w:t xml:space="preserve">dall’altro </w:t>
      </w:r>
      <w:r w:rsidR="007D0C94" w:rsidRPr="00E51040">
        <w:rPr>
          <w:lang w:eastAsia="it-IT"/>
        </w:rPr>
        <w:t xml:space="preserve">rileva che </w:t>
      </w:r>
      <w:r w:rsidR="00C91496" w:rsidRPr="00E51040">
        <w:rPr>
          <w:lang w:eastAsia="it-IT"/>
        </w:rPr>
        <w:t>l</w:t>
      </w:r>
      <w:r w:rsidR="00D77456">
        <w:rPr>
          <w:lang w:eastAsia="it-IT"/>
        </w:rPr>
        <w:t>’</w:t>
      </w:r>
      <w:r w:rsidR="00C91496" w:rsidRPr="00E51040">
        <w:rPr>
          <w:lang w:eastAsia="it-IT"/>
        </w:rPr>
        <w:t>a</w:t>
      </w:r>
      <w:r w:rsidR="00D77456">
        <w:rPr>
          <w:lang w:eastAsia="it-IT"/>
        </w:rPr>
        <w:t>vvio</w:t>
      </w:r>
      <w:r w:rsidR="00C91496" w:rsidRPr="00E51040">
        <w:rPr>
          <w:lang w:eastAsia="it-IT"/>
        </w:rPr>
        <w:t xml:space="preserve"> della fase 2</w:t>
      </w:r>
      <w:r w:rsidR="00400B49">
        <w:rPr>
          <w:lang w:eastAsia="it-IT"/>
        </w:rPr>
        <w:t xml:space="preserve"> non rispecchia il principio della massima prudenza</w:t>
      </w:r>
      <w:r w:rsidR="00400B49" w:rsidRPr="00E51040">
        <w:rPr>
          <w:lang w:eastAsia="it-IT"/>
        </w:rPr>
        <w:t xml:space="preserve"> </w:t>
      </w:r>
      <w:r w:rsidR="00400B49">
        <w:rPr>
          <w:lang w:eastAsia="it-IT"/>
        </w:rPr>
        <w:t xml:space="preserve">perché </w:t>
      </w:r>
      <w:r w:rsidRPr="00E51040">
        <w:rPr>
          <w:lang w:eastAsia="it-IT"/>
        </w:rPr>
        <w:t xml:space="preserve">non </w:t>
      </w:r>
      <w:r w:rsidR="00B76857">
        <w:rPr>
          <w:lang w:eastAsia="it-IT"/>
        </w:rPr>
        <w:t>t</w:t>
      </w:r>
      <w:r w:rsidR="00400B49">
        <w:rPr>
          <w:lang w:eastAsia="it-IT"/>
        </w:rPr>
        <w:t xml:space="preserve">iene </w:t>
      </w:r>
      <w:r w:rsidR="00455F70" w:rsidRPr="00E51040">
        <w:rPr>
          <w:lang w:eastAsia="it-IT"/>
        </w:rPr>
        <w:t xml:space="preserve">in </w:t>
      </w:r>
      <w:r w:rsidR="00400B49">
        <w:rPr>
          <w:lang w:eastAsia="it-IT"/>
        </w:rPr>
        <w:t>considerazione le</w:t>
      </w:r>
      <w:r w:rsidRPr="00E51040">
        <w:rPr>
          <w:lang w:eastAsia="it-IT"/>
        </w:rPr>
        <w:t xml:space="preserve"> </w:t>
      </w:r>
      <w:r w:rsidR="00400B49">
        <w:rPr>
          <w:lang w:eastAsia="it-IT"/>
        </w:rPr>
        <w:t>notevoli eterogeneità regionali</w:t>
      </w:r>
      <w:r w:rsidR="00925D82">
        <w:rPr>
          <w:lang w:eastAsia="it-IT"/>
        </w:rPr>
        <w:t xml:space="preserve"> delle dinamiche del contagio</w:t>
      </w:r>
      <w:r w:rsidRPr="00E51040">
        <w:t>»</w:t>
      </w:r>
      <w:r w:rsidR="00455F70" w:rsidRPr="00E51040">
        <w:t xml:space="preserve">. </w:t>
      </w:r>
      <w:r w:rsidR="00400B49">
        <w:t>A tal proposito</w:t>
      </w:r>
      <w:r w:rsidR="003E62A0">
        <w:t xml:space="preserve"> è</w:t>
      </w:r>
      <w:r w:rsidR="00400B49">
        <w:t xml:space="preserve"> fondamentale rilevare che </w:t>
      </w:r>
      <w:r w:rsidR="000F7EE8">
        <w:t>nella settimana 22</w:t>
      </w:r>
      <w:r w:rsidR="004E1A67">
        <w:t xml:space="preserve">-29 aprile </w:t>
      </w:r>
      <w:r w:rsidR="00400B49">
        <w:t xml:space="preserve">l’80% sia dei nuovi casi, sia dei nuovi decessi si concentra in </w:t>
      </w:r>
      <w:r w:rsidR="003E62A0">
        <w:t xml:space="preserve">sole </w:t>
      </w:r>
      <w:r w:rsidR="004E1A67">
        <w:t>5 regioni</w:t>
      </w:r>
      <w:r w:rsidR="00400B49">
        <w:t xml:space="preserve">: </w:t>
      </w:r>
      <w:r w:rsidR="004E1A67">
        <w:t xml:space="preserve">Lombardia, Piemonte, </w:t>
      </w:r>
      <w:r w:rsidR="00A32A97">
        <w:t>Emilia-Romagna</w:t>
      </w:r>
      <w:r w:rsidR="004E1A67">
        <w:t>, Veneto e Liguria</w:t>
      </w:r>
      <w:r w:rsidR="00400B49">
        <w:t>.</w:t>
      </w:r>
      <w:r w:rsidR="004E1A67">
        <w:t xml:space="preserve"> </w:t>
      </w:r>
    </w:p>
    <w:p w14:paraId="30E14296" w14:textId="2A09F17F" w:rsidR="00A46BA1" w:rsidRDefault="00925D82" w:rsidP="00A46BA1">
      <w:pPr>
        <w:spacing w:after="120"/>
        <w:jc w:val="both"/>
      </w:pPr>
      <w:r>
        <w:t>I</w:t>
      </w:r>
      <w:r w:rsidR="00A46BA1">
        <w:t xml:space="preserve">l </w:t>
      </w:r>
      <w:r w:rsidR="00400B49">
        <w:t xml:space="preserve">modello GIMBE (figura) </w:t>
      </w:r>
      <w:r w:rsidR="00A46BA1">
        <w:t xml:space="preserve">che monitora l’evoluzione dell’epidemia tenendo conto della </w:t>
      </w:r>
      <w:r w:rsidR="00A46BA1" w:rsidRPr="00DF33AF">
        <w:t>prevalenza (casi totali per 100.000 abitanti)</w:t>
      </w:r>
      <w:r w:rsidR="00A46BA1">
        <w:t xml:space="preserve"> e dell’</w:t>
      </w:r>
      <w:r w:rsidR="00A46BA1" w:rsidRPr="00DF33AF">
        <w:t xml:space="preserve">incremento percentuale dei casi </w:t>
      </w:r>
      <w:r w:rsidR="00E025AE">
        <w:t>nell’ultima settimana</w:t>
      </w:r>
      <w:r>
        <w:t xml:space="preserve"> a</w:t>
      </w:r>
      <w:r w:rsidR="00400B49">
        <w:t xml:space="preserve"> soli 4 giorni dalla </w:t>
      </w:r>
      <w:r w:rsidR="00BA08BE">
        <w:t>ripartenza</w:t>
      </w:r>
      <w:r>
        <w:t xml:space="preserve"> documenta che</w:t>
      </w:r>
      <w:r w:rsidR="00330B57">
        <w:t>:</w:t>
      </w:r>
    </w:p>
    <w:p w14:paraId="78386E4D" w14:textId="77777777" w:rsidR="00093477" w:rsidRPr="00093477" w:rsidRDefault="00093477" w:rsidP="00F37E81">
      <w:pPr>
        <w:pStyle w:val="Paragrafoelenco"/>
        <w:numPr>
          <w:ilvl w:val="0"/>
          <w:numId w:val="18"/>
        </w:numPr>
        <w:spacing w:line="276" w:lineRule="auto"/>
      </w:pPr>
      <w:r w:rsidRPr="00093477">
        <w:t>Piemonte, Liguria, Prov. Autonoma di Trento e Lombardia (quadrante rosso) non sono ancora fuori dalla fase 1: prevalenza e incrementi percentuali sopra la media nazionale, particolarmente elevati in Liguria (14%) e Piemonte (13,7%).</w:t>
      </w:r>
    </w:p>
    <w:p w14:paraId="20CA5264" w14:textId="2EE8D4E7" w:rsidR="00D23C21" w:rsidRDefault="00E025AE" w:rsidP="00F37E81">
      <w:pPr>
        <w:pStyle w:val="Paragrafoelenco"/>
        <w:numPr>
          <w:ilvl w:val="0"/>
          <w:numId w:val="18"/>
        </w:numPr>
        <w:spacing w:after="120" w:line="276" w:lineRule="auto"/>
        <w:jc w:val="both"/>
      </w:pPr>
      <w:r>
        <w:t xml:space="preserve">Ad esclusione del </w:t>
      </w:r>
      <w:r w:rsidR="004549CB">
        <w:t>Friuli-Venezia Giulia</w:t>
      </w:r>
      <w:r w:rsidR="00D23C21">
        <w:t xml:space="preserve">, </w:t>
      </w:r>
      <w:r w:rsidR="00D77456">
        <w:t xml:space="preserve">anche </w:t>
      </w:r>
      <w:r w:rsidR="00D23C21">
        <w:t xml:space="preserve">tutte le altre Regioni del nord </w:t>
      </w:r>
      <w:r w:rsidR="00D77456">
        <w:t xml:space="preserve">(quadrante giallo) </w:t>
      </w:r>
      <w:r w:rsidR="00D23C21">
        <w:t>sono suscettibili di un incremento dei contagi, sia perché l</w:t>
      </w:r>
      <w:r>
        <w:t xml:space="preserve">’elevata </w:t>
      </w:r>
      <w:r w:rsidR="00D23C21">
        <w:t xml:space="preserve">prevalenza è un indicatore indiretto dei </w:t>
      </w:r>
      <w:r w:rsidR="00D23C21">
        <w:lastRenderedPageBreak/>
        <w:t>casi sommersi, sia perché s</w:t>
      </w:r>
      <w:r>
        <w:t>i tratta proprio del</w:t>
      </w:r>
      <w:r w:rsidR="00D23C21">
        <w:t xml:space="preserve">le </w:t>
      </w:r>
      <w:r w:rsidR="00093477">
        <w:t>aree</w:t>
      </w:r>
      <w:r w:rsidR="002205C9">
        <w:t xml:space="preserve"> in cui si </w:t>
      </w:r>
      <w:r w:rsidR="00093477">
        <w:t>trovano</w:t>
      </w:r>
      <w:r w:rsidR="002205C9">
        <w:t xml:space="preserve"> la maggior parte delle attività produttive</w:t>
      </w:r>
      <w:r w:rsidR="00D23C21">
        <w:t xml:space="preserve"> </w:t>
      </w:r>
      <w:r w:rsidR="004549CB">
        <w:t>interessate dalla</w:t>
      </w:r>
      <w:r w:rsidR="00D23C21">
        <w:t xml:space="preserve"> riapertur</w:t>
      </w:r>
      <w:r w:rsidR="002205C9">
        <w:t>a.</w:t>
      </w:r>
    </w:p>
    <w:p w14:paraId="0CC78C51" w14:textId="7F53B9A6" w:rsidR="00A46BA1" w:rsidRDefault="00D23C21" w:rsidP="00F37E81">
      <w:pPr>
        <w:pStyle w:val="Paragrafoelenco"/>
        <w:numPr>
          <w:ilvl w:val="0"/>
          <w:numId w:val="18"/>
        </w:numPr>
        <w:spacing w:after="120" w:line="276" w:lineRule="auto"/>
        <w:jc w:val="both"/>
      </w:pPr>
      <w:r>
        <w:t xml:space="preserve">Eccezion fatta per le Marche, le Regioni del Centro e soprattutto del Sud </w:t>
      </w:r>
      <w:r w:rsidR="00E025AE">
        <w:t>hanno</w:t>
      </w:r>
      <w:r w:rsidR="00AA1769">
        <w:t xml:space="preserve"> </w:t>
      </w:r>
      <w:r w:rsidR="00E025AE">
        <w:t xml:space="preserve">prevalenza </w:t>
      </w:r>
      <w:r w:rsidR="00AA1769">
        <w:t>e incrementi percentuali sotto la media nazionale</w:t>
      </w:r>
      <w:r>
        <w:t>.</w:t>
      </w:r>
    </w:p>
    <w:p w14:paraId="5E5EA590" w14:textId="4AEC4687" w:rsidR="00C91496" w:rsidRDefault="00A46BA1" w:rsidP="00C91496">
      <w:pPr>
        <w:spacing w:after="120"/>
        <w:jc w:val="both"/>
      </w:pPr>
      <w:r w:rsidRPr="00E51040">
        <w:t>«</w:t>
      </w:r>
      <w:r w:rsidR="00742B69">
        <w:rPr>
          <w:lang w:eastAsia="it-IT"/>
        </w:rPr>
        <w:t xml:space="preserve">Con questo quadro epidemiologico </w:t>
      </w:r>
      <w:r w:rsidRPr="00E51040">
        <w:rPr>
          <w:lang w:eastAsia="it-IT"/>
        </w:rPr>
        <w:t xml:space="preserve">– </w:t>
      </w:r>
      <w:r>
        <w:rPr>
          <w:lang w:eastAsia="it-IT"/>
        </w:rPr>
        <w:t>puntualizza</w:t>
      </w:r>
      <w:r w:rsidRPr="00E51040">
        <w:rPr>
          <w:lang w:eastAsia="it-IT"/>
        </w:rPr>
        <w:t xml:space="preserve"> </w:t>
      </w:r>
      <w:r>
        <w:rPr>
          <w:lang w:eastAsia="it-IT"/>
        </w:rPr>
        <w:t xml:space="preserve">il Presidente </w:t>
      </w:r>
      <w:r w:rsidRPr="00E51040">
        <w:rPr>
          <w:lang w:eastAsia="it-IT"/>
        </w:rPr>
        <w:t>–</w:t>
      </w:r>
      <w:r w:rsidR="00C15FCE">
        <w:rPr>
          <w:lang w:eastAsia="it-IT"/>
        </w:rPr>
        <w:t xml:space="preserve"> </w:t>
      </w:r>
      <w:r>
        <w:rPr>
          <w:lang w:eastAsia="it-IT"/>
        </w:rPr>
        <w:t xml:space="preserve">se </w:t>
      </w:r>
      <w:r w:rsidRPr="00E51040">
        <w:rPr>
          <w:lang w:eastAsia="it-IT"/>
        </w:rPr>
        <w:t xml:space="preserve">dal 4 maggio alcune aree dovranno sottostare a restrizioni </w:t>
      </w:r>
      <w:r w:rsidRPr="00093477">
        <w:rPr>
          <w:lang w:eastAsia="it-IT"/>
        </w:rPr>
        <w:t>eccessive</w:t>
      </w:r>
      <w:r w:rsidR="00932B6D" w:rsidRPr="00093477">
        <w:rPr>
          <w:lang w:eastAsia="it-IT"/>
        </w:rPr>
        <w:t xml:space="preserve"> che favoriscono autonome fughe in avanti</w:t>
      </w:r>
      <w:r w:rsidRPr="00093477">
        <w:rPr>
          <w:lang w:eastAsia="it-IT"/>
        </w:rPr>
        <w:t xml:space="preserve">, </w:t>
      </w:r>
      <w:r w:rsidR="00093477" w:rsidRPr="00093477">
        <w:rPr>
          <w:lang w:eastAsia="it-IT"/>
        </w:rPr>
        <w:t>come</w:t>
      </w:r>
      <w:r w:rsidR="00093477">
        <w:rPr>
          <w:lang w:eastAsia="it-IT"/>
        </w:rPr>
        <w:t xml:space="preserve"> dimostra il caso Calabria, </w:t>
      </w:r>
      <w:r w:rsidR="00A4555F">
        <w:rPr>
          <w:lang w:eastAsia="it-IT"/>
        </w:rPr>
        <w:t>per altre la riapertura avverrà sul filo del rasoio</w:t>
      </w:r>
      <w:r w:rsidR="00742B69">
        <w:rPr>
          <w:lang w:eastAsia="it-IT"/>
        </w:rPr>
        <w:t xml:space="preserve"> </w:t>
      </w:r>
      <w:r>
        <w:rPr>
          <w:lang w:eastAsia="it-IT"/>
        </w:rPr>
        <w:t xml:space="preserve">perché </w:t>
      </w:r>
      <w:r w:rsidRPr="00AD4714">
        <w:rPr>
          <w:lang w:eastAsia="it-IT"/>
        </w:rPr>
        <w:t>dei 4,5 milioni di persone che torneranno a</w:t>
      </w:r>
      <w:r w:rsidR="00D77456">
        <w:rPr>
          <w:lang w:eastAsia="it-IT"/>
        </w:rPr>
        <w:t>l lavoro</w:t>
      </w:r>
      <w:r w:rsidRPr="00AD4714">
        <w:rPr>
          <w:lang w:eastAsia="it-IT"/>
        </w:rPr>
        <w:t xml:space="preserve"> la maggior parte si concentra </w:t>
      </w:r>
      <w:r w:rsidR="00400B49">
        <w:rPr>
          <w:lang w:eastAsia="it-IT"/>
        </w:rPr>
        <w:t xml:space="preserve">proprio </w:t>
      </w:r>
      <w:r w:rsidRPr="00AD4714">
        <w:rPr>
          <w:lang w:eastAsia="it-IT"/>
        </w:rPr>
        <w:t xml:space="preserve">nelle </w:t>
      </w:r>
      <w:r>
        <w:rPr>
          <w:lang w:eastAsia="it-IT"/>
        </w:rPr>
        <w:t xml:space="preserve">Regioni </w:t>
      </w:r>
      <w:r w:rsidRPr="00AD4714">
        <w:rPr>
          <w:lang w:eastAsia="it-IT"/>
        </w:rPr>
        <w:t xml:space="preserve">dove </w:t>
      </w:r>
      <w:r w:rsidR="006D696D">
        <w:rPr>
          <w:lang w:eastAsia="it-IT"/>
        </w:rPr>
        <w:t>l’epidemia</w:t>
      </w:r>
      <w:r>
        <w:rPr>
          <w:lang w:eastAsia="it-IT"/>
        </w:rPr>
        <w:t xml:space="preserve"> è meno sotto controllo</w:t>
      </w:r>
      <w:r w:rsidR="00400B49">
        <w:rPr>
          <w:lang w:eastAsia="it-IT"/>
        </w:rPr>
        <w:t xml:space="preserve">. E, soprattutto, </w:t>
      </w:r>
      <w:r w:rsidR="006D696D">
        <w:rPr>
          <w:lang w:eastAsia="it-IT"/>
        </w:rPr>
        <w:t xml:space="preserve">occorre essere consapevoli </w:t>
      </w:r>
      <w:r w:rsidR="00400B49">
        <w:rPr>
          <w:lang w:eastAsia="it-IT"/>
        </w:rPr>
        <w:t xml:space="preserve">che l’eventuale risalita </w:t>
      </w:r>
      <w:r w:rsidR="00743648">
        <w:rPr>
          <w:lang w:eastAsia="it-IT"/>
        </w:rPr>
        <w:t xml:space="preserve">della curva dei </w:t>
      </w:r>
      <w:r w:rsidR="00400B49">
        <w:rPr>
          <w:lang w:eastAsia="it-IT"/>
        </w:rPr>
        <w:t>contagi sarà visibile non prima di 2 settimane</w:t>
      </w:r>
      <w:r w:rsidR="00BA08BE" w:rsidRPr="00A24080">
        <w:rPr>
          <w:rFonts w:cstheme="minorHAnsi"/>
        </w:rPr>
        <w:t>»</w:t>
      </w:r>
      <w:r w:rsidR="00BA08BE">
        <w:rPr>
          <w:lang w:eastAsia="it-IT"/>
        </w:rPr>
        <w:t>.</w:t>
      </w:r>
    </w:p>
    <w:p w14:paraId="7002709B" w14:textId="5B9E324F" w:rsidR="00BA08BE" w:rsidRDefault="00352733" w:rsidP="00F25F97">
      <w:pPr>
        <w:spacing w:after="120"/>
        <w:jc w:val="both"/>
        <w:rPr>
          <w:lang w:eastAsia="it-IT"/>
        </w:rPr>
      </w:pPr>
      <w:r w:rsidRPr="00A24080">
        <w:t>«</w:t>
      </w:r>
      <w:r w:rsidR="008613A9">
        <w:t xml:space="preserve">Come ogni decisione politica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conclude </w:t>
      </w:r>
      <w:r w:rsidRPr="00A24080">
        <w:rPr>
          <w:lang w:eastAsia="it-IT"/>
        </w:rPr>
        <w:t>Cartabellotta</w:t>
      </w:r>
      <w:r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 w:rsidR="008613A9">
        <w:rPr>
          <w:lang w:eastAsia="it-IT"/>
        </w:rPr>
        <w:t xml:space="preserve"> </w:t>
      </w:r>
      <w:r w:rsidR="00AD7137">
        <w:rPr>
          <w:lang w:eastAsia="it-IT"/>
        </w:rPr>
        <w:t>il DPCM sulla fase 2</w:t>
      </w:r>
      <w:r w:rsidR="0076336E">
        <w:rPr>
          <w:lang w:eastAsia="it-IT"/>
        </w:rPr>
        <w:t xml:space="preserve"> </w:t>
      </w:r>
      <w:r w:rsidR="00C91496">
        <w:rPr>
          <w:lang w:eastAsia="it-IT"/>
        </w:rPr>
        <w:t>rappresenta</w:t>
      </w:r>
      <w:r w:rsidR="0076336E">
        <w:rPr>
          <w:lang w:eastAsia="it-IT"/>
        </w:rPr>
        <w:t xml:space="preserve"> </w:t>
      </w:r>
      <w:r w:rsidR="00AD7137">
        <w:rPr>
          <w:lang w:eastAsia="it-IT"/>
        </w:rPr>
        <w:t xml:space="preserve">un </w:t>
      </w:r>
      <w:r w:rsidR="00E51040">
        <w:rPr>
          <w:lang w:eastAsia="it-IT"/>
        </w:rPr>
        <w:t xml:space="preserve">inevitabile </w:t>
      </w:r>
      <w:r w:rsidR="00AD7137">
        <w:rPr>
          <w:lang w:eastAsia="it-IT"/>
        </w:rPr>
        <w:t>compromesso tra</w:t>
      </w:r>
      <w:r w:rsidR="008613A9">
        <w:rPr>
          <w:lang w:eastAsia="it-IT"/>
        </w:rPr>
        <w:t xml:space="preserve"> evidenze scientifiche e</w:t>
      </w:r>
      <w:r w:rsidR="00E51040">
        <w:rPr>
          <w:lang w:eastAsia="it-IT"/>
        </w:rPr>
        <w:t xml:space="preserve">d </w:t>
      </w:r>
      <w:r w:rsidR="00AA1769" w:rsidRPr="00742B69">
        <w:rPr>
          <w:lang w:eastAsia="it-IT"/>
        </w:rPr>
        <w:t>interessi</w:t>
      </w:r>
      <w:r w:rsidR="00093477">
        <w:rPr>
          <w:lang w:eastAsia="it-IT"/>
        </w:rPr>
        <w:t xml:space="preserve"> di altra natura</w:t>
      </w:r>
      <w:r w:rsidR="008613A9" w:rsidRPr="00E51040">
        <w:rPr>
          <w:lang w:eastAsia="it-IT"/>
        </w:rPr>
        <w:t>. I</w:t>
      </w:r>
      <w:r w:rsidR="0076336E" w:rsidRPr="00E51040">
        <w:rPr>
          <w:lang w:eastAsia="it-IT"/>
        </w:rPr>
        <w:t xml:space="preserve">n </w:t>
      </w:r>
      <w:r w:rsidR="0076336E">
        <w:rPr>
          <w:lang w:eastAsia="it-IT"/>
        </w:rPr>
        <w:t xml:space="preserve">particolare, </w:t>
      </w:r>
      <w:r w:rsidR="00743648">
        <w:rPr>
          <w:lang w:eastAsia="it-IT"/>
        </w:rPr>
        <w:t xml:space="preserve">il </w:t>
      </w:r>
      <w:r w:rsidR="009A64A5">
        <w:rPr>
          <w:lang w:eastAsia="it-IT"/>
        </w:rPr>
        <w:t>Governo</w:t>
      </w:r>
      <w:r w:rsidR="00743648">
        <w:rPr>
          <w:lang w:eastAsia="it-IT"/>
        </w:rPr>
        <w:t xml:space="preserve"> ha dovuto necessariamente media</w:t>
      </w:r>
      <w:r w:rsidR="00742B69">
        <w:rPr>
          <w:lang w:eastAsia="it-IT"/>
        </w:rPr>
        <w:t>re</w:t>
      </w:r>
      <w:r w:rsidR="00743648">
        <w:rPr>
          <w:lang w:eastAsia="it-IT"/>
        </w:rPr>
        <w:t xml:space="preserve"> tra le</w:t>
      </w:r>
      <w:r w:rsidR="00742B69">
        <w:rPr>
          <w:lang w:eastAsia="it-IT"/>
        </w:rPr>
        <w:t xml:space="preserve"> </w:t>
      </w:r>
      <w:r w:rsidR="00AD7137">
        <w:rPr>
          <w:lang w:eastAsia="it-IT"/>
        </w:rPr>
        <w:t>richieste de</w:t>
      </w:r>
      <w:r w:rsidR="00123005">
        <w:rPr>
          <w:lang w:eastAsia="it-IT"/>
        </w:rPr>
        <w:t xml:space="preserve">i governatori </w:t>
      </w:r>
      <w:r w:rsidR="00AD7137">
        <w:rPr>
          <w:lang w:eastAsia="it-IT"/>
        </w:rPr>
        <w:t xml:space="preserve">del Nord che spingono </w:t>
      </w:r>
      <w:r w:rsidR="0076336E">
        <w:rPr>
          <w:lang w:eastAsia="it-IT"/>
        </w:rPr>
        <w:t>per la riapertura</w:t>
      </w:r>
      <w:r w:rsidR="00DF33AF">
        <w:rPr>
          <w:lang w:eastAsia="it-IT"/>
        </w:rPr>
        <w:t xml:space="preserve"> </w:t>
      </w:r>
      <w:r w:rsidR="00E51040">
        <w:rPr>
          <w:lang w:eastAsia="it-IT"/>
        </w:rPr>
        <w:t xml:space="preserve">delle attività produttive </w:t>
      </w:r>
      <w:r w:rsidR="00C91496">
        <w:rPr>
          <w:lang w:eastAsia="it-IT"/>
        </w:rPr>
        <w:t>e</w:t>
      </w:r>
      <w:r w:rsidR="0076336E">
        <w:rPr>
          <w:lang w:eastAsia="it-IT"/>
        </w:rPr>
        <w:t xml:space="preserve"> </w:t>
      </w:r>
      <w:r w:rsidR="009A64A5">
        <w:rPr>
          <w:lang w:eastAsia="it-IT"/>
        </w:rPr>
        <w:t xml:space="preserve">le istanze di quelli del </w:t>
      </w:r>
      <w:r w:rsidR="00AD7137">
        <w:rPr>
          <w:lang w:eastAsia="it-IT"/>
        </w:rPr>
        <w:t>Sud</w:t>
      </w:r>
      <w:r w:rsidR="00123005">
        <w:rPr>
          <w:lang w:eastAsia="it-IT"/>
        </w:rPr>
        <w:t>, contrari</w:t>
      </w:r>
      <w:r w:rsidR="009A64A5">
        <w:rPr>
          <w:lang w:eastAsia="it-IT"/>
        </w:rPr>
        <w:t xml:space="preserve"> </w:t>
      </w:r>
      <w:r w:rsidR="00AD7137">
        <w:rPr>
          <w:lang w:eastAsia="it-IT"/>
        </w:rPr>
        <w:t>alla m</w:t>
      </w:r>
      <w:r w:rsidR="0076336E">
        <w:rPr>
          <w:lang w:eastAsia="it-IT"/>
        </w:rPr>
        <w:t>obilità interregionale</w:t>
      </w:r>
      <w:r w:rsidR="00E51040">
        <w:rPr>
          <w:lang w:eastAsia="it-IT"/>
        </w:rPr>
        <w:t xml:space="preserve"> </w:t>
      </w:r>
      <w:r w:rsidR="00BA08BE">
        <w:rPr>
          <w:lang w:eastAsia="it-IT"/>
        </w:rPr>
        <w:t>per timore di “importare” contagi.</w:t>
      </w:r>
      <w:r w:rsidR="0076336E">
        <w:rPr>
          <w:lang w:eastAsia="it-IT"/>
        </w:rPr>
        <w:t xml:space="preserve"> </w:t>
      </w:r>
      <w:r w:rsidR="00D77456">
        <w:rPr>
          <w:lang w:eastAsia="it-IT"/>
        </w:rPr>
        <w:t>Con</w:t>
      </w:r>
      <w:r w:rsidR="00E4211E">
        <w:rPr>
          <w:lang w:eastAsia="it-IT"/>
        </w:rPr>
        <w:t xml:space="preserve"> quest</w:t>
      </w:r>
      <w:r w:rsidR="00974EC8">
        <w:rPr>
          <w:lang w:eastAsia="it-IT"/>
        </w:rPr>
        <w:t>e posizioni</w:t>
      </w:r>
      <w:r w:rsidR="00E4211E">
        <w:rPr>
          <w:lang w:eastAsia="it-IT"/>
        </w:rPr>
        <w:t xml:space="preserve">, </w:t>
      </w:r>
      <w:r w:rsidR="00D77456">
        <w:rPr>
          <w:lang w:eastAsia="it-IT"/>
        </w:rPr>
        <w:t xml:space="preserve">modulare </w:t>
      </w:r>
      <w:r w:rsidR="00E4211E">
        <w:rPr>
          <w:lang w:eastAsia="it-IT"/>
        </w:rPr>
        <w:t xml:space="preserve">regole diverse </w:t>
      </w:r>
      <w:r w:rsidR="00D77456">
        <w:rPr>
          <w:lang w:eastAsia="it-IT"/>
        </w:rPr>
        <w:t xml:space="preserve">secondo l’epidemiologia </w:t>
      </w:r>
      <w:r w:rsidR="00E4211E">
        <w:rPr>
          <w:lang w:eastAsia="it-IT"/>
        </w:rPr>
        <w:t>del</w:t>
      </w:r>
      <w:r w:rsidR="008613A9">
        <w:rPr>
          <w:lang w:eastAsia="it-IT"/>
        </w:rPr>
        <w:t xml:space="preserve"> </w:t>
      </w:r>
      <w:r w:rsidR="0076336E">
        <w:rPr>
          <w:lang w:eastAsia="it-IT"/>
        </w:rPr>
        <w:t xml:space="preserve">contagio tra </w:t>
      </w:r>
      <w:r w:rsidR="00B050EF">
        <w:rPr>
          <w:lang w:eastAsia="it-IT"/>
        </w:rPr>
        <w:t>le varie R</w:t>
      </w:r>
      <w:r w:rsidR="0076336E">
        <w:rPr>
          <w:lang w:eastAsia="it-IT"/>
        </w:rPr>
        <w:t>egioni</w:t>
      </w:r>
      <w:r w:rsidR="00E4211E">
        <w:rPr>
          <w:lang w:eastAsia="it-IT"/>
        </w:rPr>
        <w:t xml:space="preserve"> </w:t>
      </w:r>
      <w:r w:rsidR="0076336E">
        <w:rPr>
          <w:lang w:eastAsia="it-IT"/>
        </w:rPr>
        <w:t>avrebbe inevitabilmente fatto saltare il banco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</w:p>
    <w:p w14:paraId="28A6EEB5" w14:textId="77777777" w:rsidR="00BA08BE" w:rsidRDefault="00BA08BE" w:rsidP="00F25F97">
      <w:pPr>
        <w:spacing w:after="120"/>
        <w:jc w:val="both"/>
      </w:pPr>
    </w:p>
    <w:p w14:paraId="27206E19" w14:textId="77777777"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9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14:paraId="222C6E7B" w14:textId="77777777"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14:paraId="1D971D68" w14:textId="77777777"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14:paraId="494FE583" w14:textId="77777777" w:rsidR="00757AB3" w:rsidRDefault="00757AB3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1924BE6A" w14:textId="77777777" w:rsidR="00EF6DF5" w:rsidRDefault="00EF6DF5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188FEA8A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09C16578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5B5E5714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4D3F73BB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1647A221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5523939E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50E3071D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3094C0E6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55B8F778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33FA8E1C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2E2AA802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357C146B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74280F7B" w14:textId="77777777" w:rsidR="00940309" w:rsidRDefault="00940309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14:paraId="624E3F5F" w14:textId="77777777" w:rsidR="00940309" w:rsidRDefault="00940309" w:rsidP="0094030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Figura</w:t>
      </w:r>
      <w:r w:rsidRPr="00752E71">
        <w:rPr>
          <w:rFonts w:ascii="Calibri" w:hAnsi="Calibri"/>
          <w:b/>
        </w:rPr>
        <w:t xml:space="preserve">. </w:t>
      </w:r>
      <w:r w:rsidRPr="006B25C6">
        <w:rPr>
          <w:rFonts w:ascii="Calibri" w:hAnsi="Calibri"/>
          <w:b/>
        </w:rPr>
        <w:t>COVID-19</w:t>
      </w:r>
      <w:r>
        <w:rPr>
          <w:rFonts w:ascii="Calibri" w:hAnsi="Calibri"/>
          <w:b/>
        </w:rPr>
        <w:t>: p</w:t>
      </w:r>
      <w:r w:rsidRPr="006B25C6">
        <w:rPr>
          <w:rFonts w:ascii="Calibri" w:hAnsi="Calibri"/>
          <w:b/>
        </w:rPr>
        <w:t xml:space="preserve">osizionamento delle Regioni in relazione </w:t>
      </w:r>
      <w:r>
        <w:rPr>
          <w:rFonts w:ascii="Calibri" w:hAnsi="Calibri"/>
          <w:b/>
        </w:rPr>
        <w:t xml:space="preserve">ai valori nazionali di </w:t>
      </w:r>
      <w:r w:rsidRPr="006B25C6">
        <w:rPr>
          <w:rFonts w:ascii="Calibri" w:hAnsi="Calibri"/>
          <w:b/>
        </w:rPr>
        <w:t>prevalenza e incremento percentuale dei casi</w:t>
      </w:r>
      <w:r>
        <w:rPr>
          <w:rFonts w:ascii="Calibri" w:hAnsi="Calibri"/>
          <w:b/>
        </w:rPr>
        <w:t>.</w:t>
      </w:r>
    </w:p>
    <w:p w14:paraId="6EE1FF7E" w14:textId="77777777" w:rsidR="00940309" w:rsidRPr="006B25C6" w:rsidRDefault="00940309" w:rsidP="00940309">
      <w:pPr>
        <w:rPr>
          <w:rFonts w:ascii="Calibri" w:hAnsi="Calibri"/>
          <w:b/>
        </w:rPr>
      </w:pPr>
    </w:p>
    <w:p w14:paraId="6F1378C3" w14:textId="24E5D7C7" w:rsidR="00940309" w:rsidRPr="006B25C6" w:rsidRDefault="00F60151" w:rsidP="00940309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2093A5F1" wp14:editId="5B51CE50">
            <wp:extent cx="5904000" cy="5215251"/>
            <wp:effectExtent l="0" t="0" r="1905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521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B192" w14:textId="77777777" w:rsidR="00940309" w:rsidRPr="00D24BE7" w:rsidRDefault="00940309" w:rsidP="00940309">
      <w:pPr>
        <w:jc w:val="center"/>
        <w:rPr>
          <w:rFonts w:ascii="Calibri" w:eastAsia="Calibri" w:hAnsi="Calibri"/>
          <w:sz w:val="18"/>
          <w:szCs w:val="18"/>
        </w:rPr>
      </w:pPr>
      <w:r w:rsidRPr="00D24BE7">
        <w:rPr>
          <w:rFonts w:ascii="Calibri" w:eastAsia="Calibri" w:hAnsi="Calibri"/>
          <w:sz w:val="18"/>
          <w:szCs w:val="18"/>
        </w:rPr>
        <w:t>(</w:t>
      </w:r>
      <w:hyperlink r:id="rId12" w:history="1">
        <w:r w:rsidRPr="00D24BE7">
          <w:rPr>
            <w:rStyle w:val="Collegamentoipertestuale"/>
            <w:rFonts w:ascii="Calibri" w:eastAsia="Calibri" w:hAnsi="Calibri"/>
            <w:sz w:val="18"/>
            <w:szCs w:val="18"/>
          </w:rPr>
          <w:t>click per download</w:t>
        </w:r>
      </w:hyperlink>
      <w:r w:rsidRPr="00D24BE7">
        <w:rPr>
          <w:rFonts w:ascii="Calibri" w:eastAsia="Calibri" w:hAnsi="Calibri"/>
          <w:sz w:val="18"/>
          <w:szCs w:val="18"/>
        </w:rPr>
        <w:t>)</w:t>
      </w:r>
    </w:p>
    <w:p w14:paraId="79EBF34D" w14:textId="77777777" w:rsidR="00940309" w:rsidRPr="009B1F21" w:rsidRDefault="00940309" w:rsidP="00940309">
      <w:pPr>
        <w:rPr>
          <w:rFonts w:ascii="Calibri" w:hAnsi="Calibri"/>
          <w:b/>
          <w:sz w:val="20"/>
        </w:rPr>
      </w:pPr>
      <w:r w:rsidRPr="009B1F21">
        <w:rPr>
          <w:rFonts w:ascii="Calibri" w:hAnsi="Calibri"/>
          <w:b/>
          <w:sz w:val="20"/>
        </w:rPr>
        <w:t xml:space="preserve">Note metodologiche </w:t>
      </w:r>
    </w:p>
    <w:p w14:paraId="6BE1BD8B" w14:textId="77777777" w:rsidR="00940309" w:rsidRPr="009B1F21" w:rsidRDefault="00940309" w:rsidP="00940309">
      <w:pPr>
        <w:pStyle w:val="Paragrafoelenco"/>
        <w:numPr>
          <w:ilvl w:val="0"/>
          <w:numId w:val="19"/>
        </w:numPr>
        <w:spacing w:after="120"/>
        <w:ind w:left="360" w:hanging="360"/>
        <w:jc w:val="both"/>
        <w:rPr>
          <w:sz w:val="20"/>
        </w:rPr>
      </w:pPr>
      <w:r w:rsidRPr="009B1F21">
        <w:rPr>
          <w:sz w:val="20"/>
        </w:rPr>
        <w:t>La prevalenza è stata calcolata utilizzando il numero dei casi totali comunicati dalla Protezione Civile e la popolazione residente al 1 gennaio 2019 secondo i dati ISTAT.</w:t>
      </w:r>
    </w:p>
    <w:p w14:paraId="4E315EFA" w14:textId="5195DE9C" w:rsidR="00940309" w:rsidRPr="009B1F21" w:rsidRDefault="00940309" w:rsidP="00940309">
      <w:pPr>
        <w:pStyle w:val="Paragrafoelenco"/>
        <w:numPr>
          <w:ilvl w:val="0"/>
          <w:numId w:val="19"/>
        </w:numPr>
        <w:spacing w:after="120"/>
        <w:ind w:left="360" w:hanging="360"/>
        <w:jc w:val="both"/>
        <w:rPr>
          <w:sz w:val="20"/>
        </w:rPr>
      </w:pPr>
      <w:r w:rsidRPr="009B1F21">
        <w:rPr>
          <w:sz w:val="20"/>
        </w:rPr>
        <w:t>La linea orizzontale indica l’incremento percentuale dei casi in Italia nella settimana 2</w:t>
      </w:r>
      <w:r w:rsidR="00F60151">
        <w:rPr>
          <w:sz w:val="20"/>
        </w:rPr>
        <w:t>2</w:t>
      </w:r>
      <w:r w:rsidRPr="009B1F21">
        <w:rPr>
          <w:sz w:val="20"/>
        </w:rPr>
        <w:t>-29 aprile 2020.</w:t>
      </w:r>
    </w:p>
    <w:p w14:paraId="571582CC" w14:textId="77777777" w:rsidR="00940309" w:rsidRPr="009B1F21" w:rsidRDefault="00940309" w:rsidP="00940309">
      <w:pPr>
        <w:pStyle w:val="Paragrafoelenco"/>
        <w:numPr>
          <w:ilvl w:val="0"/>
          <w:numId w:val="19"/>
        </w:numPr>
        <w:spacing w:after="120"/>
        <w:ind w:left="360" w:hanging="360"/>
        <w:jc w:val="both"/>
        <w:rPr>
          <w:sz w:val="20"/>
        </w:rPr>
      </w:pPr>
      <w:r w:rsidRPr="009B1F21">
        <w:rPr>
          <w:sz w:val="20"/>
        </w:rPr>
        <w:t>La linea verticale indica la prevalenza nazionale al 29 aprile 2020.</w:t>
      </w:r>
    </w:p>
    <w:p w14:paraId="31A9AA99" w14:textId="1F473F66" w:rsidR="00EF6DF5" w:rsidRPr="003522D4" w:rsidRDefault="00940309" w:rsidP="00E74431">
      <w:pPr>
        <w:pStyle w:val="Paragrafoelenco"/>
        <w:numPr>
          <w:ilvl w:val="0"/>
          <w:numId w:val="19"/>
        </w:numPr>
        <w:spacing w:after="120"/>
        <w:ind w:left="360" w:hanging="360"/>
        <w:jc w:val="both"/>
        <w:rPr>
          <w:rStyle w:val="Collegamentoipertestuale"/>
          <w:color w:val="auto"/>
          <w:sz w:val="20"/>
          <w:u w:val="none"/>
        </w:rPr>
      </w:pPr>
      <w:r w:rsidRPr="009B1F21">
        <w:rPr>
          <w:sz w:val="20"/>
        </w:rPr>
        <w:t>Il modello assume che il numero di tamponi effettuati per 100.000 abitanti sia identico in tutte le Regioni (nessun aggiustamento statistico effettuato per questa variabile).</w:t>
      </w:r>
    </w:p>
    <w:sectPr w:rsidR="00EF6DF5" w:rsidRPr="003522D4" w:rsidSect="00940309">
      <w:headerReference w:type="default" r:id="rId13"/>
      <w:footerReference w:type="defaul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7EC1A" w16cid:durableId="225507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7DC9" w14:textId="77777777" w:rsidR="00623194" w:rsidRDefault="00623194">
      <w:pPr>
        <w:spacing w:after="0" w:line="240" w:lineRule="auto"/>
      </w:pPr>
      <w:r>
        <w:separator/>
      </w:r>
    </w:p>
  </w:endnote>
  <w:endnote w:type="continuationSeparator" w:id="0">
    <w:p w14:paraId="4BBDD3D7" w14:textId="77777777" w:rsidR="00623194" w:rsidRDefault="0062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A9E4" w14:textId="08A0E903" w:rsidR="00B039EB" w:rsidRDefault="00623194">
    <w:pPr>
      <w:pStyle w:val="Pidipagina"/>
    </w:pPr>
  </w:p>
  <w:p w14:paraId="6B667A73" w14:textId="77777777" w:rsidR="00B039EB" w:rsidRDefault="00623194">
    <w:pPr>
      <w:pStyle w:val="Pidipagina"/>
    </w:pPr>
  </w:p>
  <w:p w14:paraId="557479D3" w14:textId="77777777" w:rsidR="00B039EB" w:rsidRDefault="006231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1C8B" w14:textId="77777777" w:rsidR="00623194" w:rsidRDefault="00623194">
      <w:pPr>
        <w:spacing w:after="0" w:line="240" w:lineRule="auto"/>
      </w:pPr>
      <w:r>
        <w:separator/>
      </w:r>
    </w:p>
  </w:footnote>
  <w:footnote w:type="continuationSeparator" w:id="0">
    <w:p w14:paraId="3C8770B0" w14:textId="77777777" w:rsidR="00623194" w:rsidRDefault="0062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D4EF" w14:textId="18F33F40" w:rsidR="00B039EB" w:rsidRPr="007F63C2" w:rsidRDefault="00623194" w:rsidP="005F6D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77CD"/>
    <w:rsid w:val="000179EC"/>
    <w:rsid w:val="000200E1"/>
    <w:rsid w:val="00026DC0"/>
    <w:rsid w:val="000548AC"/>
    <w:rsid w:val="000648AF"/>
    <w:rsid w:val="00071F3F"/>
    <w:rsid w:val="00090BE2"/>
    <w:rsid w:val="00091C99"/>
    <w:rsid w:val="00092A9D"/>
    <w:rsid w:val="00093477"/>
    <w:rsid w:val="000943CF"/>
    <w:rsid w:val="000A7474"/>
    <w:rsid w:val="000B0330"/>
    <w:rsid w:val="000B6E50"/>
    <w:rsid w:val="000C22C6"/>
    <w:rsid w:val="000D1769"/>
    <w:rsid w:val="000E2B65"/>
    <w:rsid w:val="000F23C9"/>
    <w:rsid w:val="000F2E5C"/>
    <w:rsid w:val="000F41B1"/>
    <w:rsid w:val="000F4E69"/>
    <w:rsid w:val="000F655E"/>
    <w:rsid w:val="000F7EE8"/>
    <w:rsid w:val="001059AD"/>
    <w:rsid w:val="00123005"/>
    <w:rsid w:val="00124E32"/>
    <w:rsid w:val="00126676"/>
    <w:rsid w:val="001320B9"/>
    <w:rsid w:val="00143BB8"/>
    <w:rsid w:val="00153115"/>
    <w:rsid w:val="00156186"/>
    <w:rsid w:val="00183566"/>
    <w:rsid w:val="00186CF1"/>
    <w:rsid w:val="001A0964"/>
    <w:rsid w:val="001A25A5"/>
    <w:rsid w:val="001A3EC6"/>
    <w:rsid w:val="001A642A"/>
    <w:rsid w:val="001C07D8"/>
    <w:rsid w:val="001D0755"/>
    <w:rsid w:val="001D1D83"/>
    <w:rsid w:val="001D59FE"/>
    <w:rsid w:val="001D7BC3"/>
    <w:rsid w:val="001E06CF"/>
    <w:rsid w:val="001E235C"/>
    <w:rsid w:val="001E456C"/>
    <w:rsid w:val="001E6000"/>
    <w:rsid w:val="001F06CD"/>
    <w:rsid w:val="001F2345"/>
    <w:rsid w:val="001F69E0"/>
    <w:rsid w:val="00210F6C"/>
    <w:rsid w:val="00213097"/>
    <w:rsid w:val="002149D9"/>
    <w:rsid w:val="00217534"/>
    <w:rsid w:val="002205C9"/>
    <w:rsid w:val="00223CBF"/>
    <w:rsid w:val="002419BE"/>
    <w:rsid w:val="002442BE"/>
    <w:rsid w:val="0025387F"/>
    <w:rsid w:val="00255F11"/>
    <w:rsid w:val="0025799B"/>
    <w:rsid w:val="00260A99"/>
    <w:rsid w:val="002666F4"/>
    <w:rsid w:val="002813A7"/>
    <w:rsid w:val="002815AC"/>
    <w:rsid w:val="0028323F"/>
    <w:rsid w:val="002837E8"/>
    <w:rsid w:val="00284702"/>
    <w:rsid w:val="002A4E8D"/>
    <w:rsid w:val="002A59D9"/>
    <w:rsid w:val="002A5FA2"/>
    <w:rsid w:val="002B2BF2"/>
    <w:rsid w:val="002D559D"/>
    <w:rsid w:val="002D63E0"/>
    <w:rsid w:val="002D76E0"/>
    <w:rsid w:val="002E182B"/>
    <w:rsid w:val="002F1137"/>
    <w:rsid w:val="00306D88"/>
    <w:rsid w:val="00317538"/>
    <w:rsid w:val="00327AF6"/>
    <w:rsid w:val="00327D55"/>
    <w:rsid w:val="00330B57"/>
    <w:rsid w:val="0033740A"/>
    <w:rsid w:val="00343D23"/>
    <w:rsid w:val="0034652C"/>
    <w:rsid w:val="003522D4"/>
    <w:rsid w:val="00352733"/>
    <w:rsid w:val="00360026"/>
    <w:rsid w:val="00363CCA"/>
    <w:rsid w:val="00375555"/>
    <w:rsid w:val="00376B13"/>
    <w:rsid w:val="00384F8E"/>
    <w:rsid w:val="003B4B8E"/>
    <w:rsid w:val="003B7ED5"/>
    <w:rsid w:val="003C3A9A"/>
    <w:rsid w:val="003C6EB4"/>
    <w:rsid w:val="003D1749"/>
    <w:rsid w:val="003E318E"/>
    <w:rsid w:val="003E62A0"/>
    <w:rsid w:val="003F4964"/>
    <w:rsid w:val="003F66ED"/>
    <w:rsid w:val="00400B49"/>
    <w:rsid w:val="00410301"/>
    <w:rsid w:val="0041302D"/>
    <w:rsid w:val="004173E1"/>
    <w:rsid w:val="00417C1C"/>
    <w:rsid w:val="00420CC8"/>
    <w:rsid w:val="004214E3"/>
    <w:rsid w:val="00423ED3"/>
    <w:rsid w:val="00425C3A"/>
    <w:rsid w:val="00435198"/>
    <w:rsid w:val="00437BB8"/>
    <w:rsid w:val="004421F3"/>
    <w:rsid w:val="004549CB"/>
    <w:rsid w:val="00455F70"/>
    <w:rsid w:val="00456FB9"/>
    <w:rsid w:val="00467C46"/>
    <w:rsid w:val="004703BD"/>
    <w:rsid w:val="0047278C"/>
    <w:rsid w:val="00476F10"/>
    <w:rsid w:val="004805BB"/>
    <w:rsid w:val="00490381"/>
    <w:rsid w:val="004A574D"/>
    <w:rsid w:val="004C41A8"/>
    <w:rsid w:val="004D26DF"/>
    <w:rsid w:val="004D3455"/>
    <w:rsid w:val="004E1A67"/>
    <w:rsid w:val="004E7D1A"/>
    <w:rsid w:val="004F173B"/>
    <w:rsid w:val="004F2759"/>
    <w:rsid w:val="004F61AA"/>
    <w:rsid w:val="00503976"/>
    <w:rsid w:val="00521CAE"/>
    <w:rsid w:val="00523087"/>
    <w:rsid w:val="0052545F"/>
    <w:rsid w:val="00546091"/>
    <w:rsid w:val="00547577"/>
    <w:rsid w:val="005531F6"/>
    <w:rsid w:val="00557FAC"/>
    <w:rsid w:val="00565896"/>
    <w:rsid w:val="00572631"/>
    <w:rsid w:val="00582B47"/>
    <w:rsid w:val="005879F9"/>
    <w:rsid w:val="00596FA8"/>
    <w:rsid w:val="005B1EBE"/>
    <w:rsid w:val="005C08B9"/>
    <w:rsid w:val="005D08B3"/>
    <w:rsid w:val="005E053F"/>
    <w:rsid w:val="005E3CCE"/>
    <w:rsid w:val="005E6366"/>
    <w:rsid w:val="005F5D57"/>
    <w:rsid w:val="005F6212"/>
    <w:rsid w:val="005F7A93"/>
    <w:rsid w:val="00604DAE"/>
    <w:rsid w:val="0062113D"/>
    <w:rsid w:val="00623194"/>
    <w:rsid w:val="006344FF"/>
    <w:rsid w:val="006347C6"/>
    <w:rsid w:val="006477D2"/>
    <w:rsid w:val="00652253"/>
    <w:rsid w:val="00652364"/>
    <w:rsid w:val="00652B1A"/>
    <w:rsid w:val="00653022"/>
    <w:rsid w:val="006532E3"/>
    <w:rsid w:val="00656B65"/>
    <w:rsid w:val="006A3B33"/>
    <w:rsid w:val="006B2769"/>
    <w:rsid w:val="006B6C0F"/>
    <w:rsid w:val="006C22E4"/>
    <w:rsid w:val="006C458D"/>
    <w:rsid w:val="006D127C"/>
    <w:rsid w:val="006D696D"/>
    <w:rsid w:val="006F6445"/>
    <w:rsid w:val="00706AE0"/>
    <w:rsid w:val="00711A1B"/>
    <w:rsid w:val="00716D6F"/>
    <w:rsid w:val="00716E9B"/>
    <w:rsid w:val="00732E2F"/>
    <w:rsid w:val="00742B69"/>
    <w:rsid w:val="00743648"/>
    <w:rsid w:val="007476C5"/>
    <w:rsid w:val="00757AB3"/>
    <w:rsid w:val="007606A9"/>
    <w:rsid w:val="007607AB"/>
    <w:rsid w:val="007626CA"/>
    <w:rsid w:val="0076281B"/>
    <w:rsid w:val="0076336E"/>
    <w:rsid w:val="007762D0"/>
    <w:rsid w:val="00777568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C3065"/>
    <w:rsid w:val="007D0C94"/>
    <w:rsid w:val="007D1284"/>
    <w:rsid w:val="007D7805"/>
    <w:rsid w:val="007E2BA6"/>
    <w:rsid w:val="007E2C64"/>
    <w:rsid w:val="007E6483"/>
    <w:rsid w:val="00801134"/>
    <w:rsid w:val="00805F05"/>
    <w:rsid w:val="00807B71"/>
    <w:rsid w:val="00813DA2"/>
    <w:rsid w:val="00815132"/>
    <w:rsid w:val="0082682D"/>
    <w:rsid w:val="008376AC"/>
    <w:rsid w:val="0084002B"/>
    <w:rsid w:val="0084133F"/>
    <w:rsid w:val="00852832"/>
    <w:rsid w:val="00855916"/>
    <w:rsid w:val="008613A9"/>
    <w:rsid w:val="00862990"/>
    <w:rsid w:val="00873715"/>
    <w:rsid w:val="00882A5C"/>
    <w:rsid w:val="00886B2E"/>
    <w:rsid w:val="00891E62"/>
    <w:rsid w:val="00893D88"/>
    <w:rsid w:val="00893E02"/>
    <w:rsid w:val="008A55F7"/>
    <w:rsid w:val="008A6587"/>
    <w:rsid w:val="008A7D9C"/>
    <w:rsid w:val="008B1878"/>
    <w:rsid w:val="008D2AAD"/>
    <w:rsid w:val="008E5187"/>
    <w:rsid w:val="008E6971"/>
    <w:rsid w:val="008F4115"/>
    <w:rsid w:val="00900D84"/>
    <w:rsid w:val="00901A6B"/>
    <w:rsid w:val="0090383F"/>
    <w:rsid w:val="009049BC"/>
    <w:rsid w:val="00911D2E"/>
    <w:rsid w:val="00913C78"/>
    <w:rsid w:val="00921D60"/>
    <w:rsid w:val="00925D82"/>
    <w:rsid w:val="00932B6D"/>
    <w:rsid w:val="0093426F"/>
    <w:rsid w:val="00936453"/>
    <w:rsid w:val="00940309"/>
    <w:rsid w:val="00941121"/>
    <w:rsid w:val="009435DE"/>
    <w:rsid w:val="00943DE0"/>
    <w:rsid w:val="00945A20"/>
    <w:rsid w:val="00945E9B"/>
    <w:rsid w:val="00946221"/>
    <w:rsid w:val="009475F0"/>
    <w:rsid w:val="00954287"/>
    <w:rsid w:val="00955E2A"/>
    <w:rsid w:val="00974EC8"/>
    <w:rsid w:val="00975612"/>
    <w:rsid w:val="00984DF6"/>
    <w:rsid w:val="009956AF"/>
    <w:rsid w:val="009A64A5"/>
    <w:rsid w:val="009B0507"/>
    <w:rsid w:val="009B7B66"/>
    <w:rsid w:val="009D5834"/>
    <w:rsid w:val="009E0E19"/>
    <w:rsid w:val="009E1E52"/>
    <w:rsid w:val="009E6748"/>
    <w:rsid w:val="009F2B01"/>
    <w:rsid w:val="00A05DA4"/>
    <w:rsid w:val="00A148E1"/>
    <w:rsid w:val="00A208E0"/>
    <w:rsid w:val="00A24080"/>
    <w:rsid w:val="00A245F6"/>
    <w:rsid w:val="00A26E17"/>
    <w:rsid w:val="00A32A97"/>
    <w:rsid w:val="00A4525F"/>
    <w:rsid w:val="00A4555F"/>
    <w:rsid w:val="00A45A8E"/>
    <w:rsid w:val="00A46BA1"/>
    <w:rsid w:val="00A60230"/>
    <w:rsid w:val="00A651A2"/>
    <w:rsid w:val="00A6607A"/>
    <w:rsid w:val="00A67218"/>
    <w:rsid w:val="00A67B4E"/>
    <w:rsid w:val="00A8160A"/>
    <w:rsid w:val="00A833AA"/>
    <w:rsid w:val="00A8692E"/>
    <w:rsid w:val="00AA1769"/>
    <w:rsid w:val="00AB3B81"/>
    <w:rsid w:val="00AB7A6D"/>
    <w:rsid w:val="00AC2A51"/>
    <w:rsid w:val="00AD4714"/>
    <w:rsid w:val="00AD510C"/>
    <w:rsid w:val="00AD7137"/>
    <w:rsid w:val="00AE3EA3"/>
    <w:rsid w:val="00AF55DD"/>
    <w:rsid w:val="00AF71E2"/>
    <w:rsid w:val="00B01615"/>
    <w:rsid w:val="00B04792"/>
    <w:rsid w:val="00B050EF"/>
    <w:rsid w:val="00B23F66"/>
    <w:rsid w:val="00B27A9C"/>
    <w:rsid w:val="00B3670B"/>
    <w:rsid w:val="00B443D8"/>
    <w:rsid w:val="00B45494"/>
    <w:rsid w:val="00B552B6"/>
    <w:rsid w:val="00B639F9"/>
    <w:rsid w:val="00B661A5"/>
    <w:rsid w:val="00B73CBB"/>
    <w:rsid w:val="00B76857"/>
    <w:rsid w:val="00B82B20"/>
    <w:rsid w:val="00B8711E"/>
    <w:rsid w:val="00B95C5D"/>
    <w:rsid w:val="00BA08BE"/>
    <w:rsid w:val="00BA095D"/>
    <w:rsid w:val="00BA3DDE"/>
    <w:rsid w:val="00BB1A7D"/>
    <w:rsid w:val="00BC1400"/>
    <w:rsid w:val="00BC29E2"/>
    <w:rsid w:val="00BD2441"/>
    <w:rsid w:val="00BD618E"/>
    <w:rsid w:val="00BD689A"/>
    <w:rsid w:val="00BE2807"/>
    <w:rsid w:val="00BF22E3"/>
    <w:rsid w:val="00BF656A"/>
    <w:rsid w:val="00C1065A"/>
    <w:rsid w:val="00C12018"/>
    <w:rsid w:val="00C15FCE"/>
    <w:rsid w:val="00C249E7"/>
    <w:rsid w:val="00C276DD"/>
    <w:rsid w:val="00C44FA0"/>
    <w:rsid w:val="00C6226B"/>
    <w:rsid w:val="00C7252C"/>
    <w:rsid w:val="00C91496"/>
    <w:rsid w:val="00C97145"/>
    <w:rsid w:val="00CA71BA"/>
    <w:rsid w:val="00CC6930"/>
    <w:rsid w:val="00CC76C8"/>
    <w:rsid w:val="00CD173C"/>
    <w:rsid w:val="00CE10AB"/>
    <w:rsid w:val="00CE6335"/>
    <w:rsid w:val="00CE71FC"/>
    <w:rsid w:val="00CF4849"/>
    <w:rsid w:val="00CF77FD"/>
    <w:rsid w:val="00D06D81"/>
    <w:rsid w:val="00D10DBB"/>
    <w:rsid w:val="00D152EE"/>
    <w:rsid w:val="00D17AA3"/>
    <w:rsid w:val="00D218D6"/>
    <w:rsid w:val="00D23C21"/>
    <w:rsid w:val="00D31C5A"/>
    <w:rsid w:val="00D332DE"/>
    <w:rsid w:val="00D40BC4"/>
    <w:rsid w:val="00D40DE5"/>
    <w:rsid w:val="00D648FE"/>
    <w:rsid w:val="00D67259"/>
    <w:rsid w:val="00D7556D"/>
    <w:rsid w:val="00D75B91"/>
    <w:rsid w:val="00D77456"/>
    <w:rsid w:val="00D80343"/>
    <w:rsid w:val="00D90AB3"/>
    <w:rsid w:val="00D914F7"/>
    <w:rsid w:val="00D96620"/>
    <w:rsid w:val="00DC4DE7"/>
    <w:rsid w:val="00DD0598"/>
    <w:rsid w:val="00DD24D5"/>
    <w:rsid w:val="00DF33AF"/>
    <w:rsid w:val="00DF7EF2"/>
    <w:rsid w:val="00E0214D"/>
    <w:rsid w:val="00E025AE"/>
    <w:rsid w:val="00E02ACD"/>
    <w:rsid w:val="00E04696"/>
    <w:rsid w:val="00E15139"/>
    <w:rsid w:val="00E23B0B"/>
    <w:rsid w:val="00E23DCC"/>
    <w:rsid w:val="00E243CC"/>
    <w:rsid w:val="00E244E2"/>
    <w:rsid w:val="00E34B7A"/>
    <w:rsid w:val="00E37F8D"/>
    <w:rsid w:val="00E4211E"/>
    <w:rsid w:val="00E45DC4"/>
    <w:rsid w:val="00E46C79"/>
    <w:rsid w:val="00E474D3"/>
    <w:rsid w:val="00E51040"/>
    <w:rsid w:val="00E51A21"/>
    <w:rsid w:val="00E53E33"/>
    <w:rsid w:val="00E74431"/>
    <w:rsid w:val="00E766DD"/>
    <w:rsid w:val="00E92D33"/>
    <w:rsid w:val="00EA2F90"/>
    <w:rsid w:val="00EA4E3A"/>
    <w:rsid w:val="00EC3C73"/>
    <w:rsid w:val="00EC7463"/>
    <w:rsid w:val="00ED6961"/>
    <w:rsid w:val="00EE2B8E"/>
    <w:rsid w:val="00EE4E87"/>
    <w:rsid w:val="00EF50D7"/>
    <w:rsid w:val="00EF6DF5"/>
    <w:rsid w:val="00F072AF"/>
    <w:rsid w:val="00F25F97"/>
    <w:rsid w:val="00F348D4"/>
    <w:rsid w:val="00F37E81"/>
    <w:rsid w:val="00F60151"/>
    <w:rsid w:val="00F66FD8"/>
    <w:rsid w:val="00F70C6F"/>
    <w:rsid w:val="00F769EE"/>
    <w:rsid w:val="00F84B69"/>
    <w:rsid w:val="00F8519A"/>
    <w:rsid w:val="00F876F6"/>
    <w:rsid w:val="00F90BF9"/>
    <w:rsid w:val="00F94702"/>
    <w:rsid w:val="00F95A9B"/>
    <w:rsid w:val="00FA5125"/>
    <w:rsid w:val="00FB3E94"/>
    <w:rsid w:val="00FB5DBA"/>
    <w:rsid w:val="00FC5603"/>
    <w:rsid w:val="00FC7925"/>
    <w:rsid w:val="00FD2C21"/>
    <w:rsid w:val="00FE25D1"/>
    <w:rsid w:val="00FE3A84"/>
    <w:rsid w:val="00FE683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A41A"/>
  <w15:docId w15:val="{FD0D8927-C8AA-4FA5-AED9-C908F55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ive-work-travel-eu/health/coronavirus-response/european-roadmap-lifting-coronavirus-containment-measures_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be.org/download/coronavirus_20200429_figur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fficio.stampa@gimbe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9523-78B5-4A8F-A078-8847104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14</cp:revision>
  <dcterms:created xsi:type="dcterms:W3CDTF">2020-04-30T06:52:00Z</dcterms:created>
  <dcterms:modified xsi:type="dcterms:W3CDTF">2020-04-30T07:56:00Z</dcterms:modified>
</cp:coreProperties>
</file>