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E4" w:rsidRDefault="00124E32" w:rsidP="007826E4">
      <w:pPr>
        <w:spacing w:after="120"/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 w:rsidRPr="00AF0EB8">
        <w:rPr>
          <w:rFonts w:ascii="Calibri" w:eastAsia="Calibri" w:hAnsi="Calibri" w:cs="Times New Roman"/>
          <w:b/>
          <w:bCs/>
          <w:sz w:val="36"/>
          <w:szCs w:val="32"/>
        </w:rPr>
        <w:t>COMUNICATO STAMPA</w:t>
      </w:r>
    </w:p>
    <w:p w:rsidR="008F3704" w:rsidRDefault="008F3704" w:rsidP="005359A5">
      <w:pPr>
        <w:spacing w:after="120"/>
        <w:jc w:val="center"/>
        <w:rPr>
          <w:rFonts w:ascii="Calibri" w:eastAsia="Calibri" w:hAnsi="Calibri" w:cs="Times New Roman"/>
          <w:b/>
          <w:bCs/>
          <w:sz w:val="36"/>
          <w:szCs w:val="32"/>
        </w:rPr>
      </w:pPr>
      <w:r w:rsidRPr="008F3704">
        <w:rPr>
          <w:rFonts w:ascii="Calibri" w:eastAsia="Calibri" w:hAnsi="Calibri" w:cs="Times New Roman"/>
          <w:b/>
          <w:bCs/>
          <w:sz w:val="36"/>
          <w:szCs w:val="32"/>
        </w:rPr>
        <w:t xml:space="preserve">CORONAVIRUS, </w:t>
      </w:r>
      <w:r w:rsidR="00B05944">
        <w:rPr>
          <w:rFonts w:ascii="Calibri" w:eastAsia="Calibri" w:hAnsi="Calibri" w:cs="Times New Roman"/>
          <w:b/>
          <w:bCs/>
          <w:sz w:val="36"/>
          <w:szCs w:val="32"/>
        </w:rPr>
        <w:t xml:space="preserve">GESTIONE </w:t>
      </w:r>
      <w:r w:rsidR="00D7379E">
        <w:rPr>
          <w:rFonts w:ascii="Calibri" w:eastAsia="Calibri" w:hAnsi="Calibri" w:cs="Times New Roman"/>
          <w:b/>
          <w:bCs/>
          <w:sz w:val="36"/>
          <w:szCs w:val="32"/>
        </w:rPr>
        <w:t xml:space="preserve">SANITARIA </w:t>
      </w:r>
      <w:r>
        <w:rPr>
          <w:rFonts w:ascii="Calibri" w:eastAsia="Calibri" w:hAnsi="Calibri" w:cs="Times New Roman"/>
          <w:b/>
          <w:bCs/>
          <w:sz w:val="36"/>
          <w:szCs w:val="32"/>
        </w:rPr>
        <w:t xml:space="preserve">FASE 2: </w:t>
      </w:r>
      <w:r w:rsidR="00B84D86">
        <w:rPr>
          <w:rFonts w:ascii="Calibri" w:eastAsia="Calibri" w:hAnsi="Calibri" w:cs="Times New Roman"/>
          <w:b/>
          <w:bCs/>
          <w:sz w:val="36"/>
          <w:szCs w:val="32"/>
        </w:rPr>
        <w:br/>
      </w:r>
      <w:r w:rsidR="004E1C55">
        <w:rPr>
          <w:rFonts w:ascii="Calibri" w:eastAsia="Calibri" w:hAnsi="Calibri" w:cs="Times New Roman"/>
          <w:b/>
          <w:bCs/>
          <w:sz w:val="36"/>
          <w:szCs w:val="32"/>
        </w:rPr>
        <w:t xml:space="preserve">IL </w:t>
      </w:r>
      <w:r>
        <w:rPr>
          <w:rFonts w:ascii="Calibri" w:eastAsia="Calibri" w:hAnsi="Calibri" w:cs="Times New Roman"/>
          <w:b/>
          <w:bCs/>
          <w:sz w:val="36"/>
          <w:szCs w:val="32"/>
        </w:rPr>
        <w:t xml:space="preserve">GOVERNO </w:t>
      </w:r>
      <w:r w:rsidR="00BA36F7">
        <w:rPr>
          <w:rFonts w:ascii="Calibri" w:eastAsia="Calibri" w:hAnsi="Calibri" w:cs="Times New Roman"/>
          <w:b/>
          <w:bCs/>
          <w:sz w:val="36"/>
          <w:szCs w:val="32"/>
        </w:rPr>
        <w:t xml:space="preserve">ABDICA, </w:t>
      </w:r>
      <w:r w:rsidR="004E1C55">
        <w:rPr>
          <w:rFonts w:ascii="Calibri" w:eastAsia="Calibri" w:hAnsi="Calibri" w:cs="Times New Roman"/>
          <w:b/>
          <w:bCs/>
          <w:sz w:val="36"/>
          <w:szCs w:val="32"/>
        </w:rPr>
        <w:t>PIENI POTERI ALLE REGIONI</w:t>
      </w:r>
    </w:p>
    <w:p w:rsidR="007826E4" w:rsidRPr="00C15A46" w:rsidRDefault="006925E7" w:rsidP="00C15A46">
      <w:pPr>
        <w:spacing w:after="120"/>
        <w:jc w:val="both"/>
        <w:rPr>
          <w:b/>
        </w:rPr>
      </w:pPr>
      <w:r>
        <w:rPr>
          <w:b/>
        </w:rPr>
        <w:t xml:space="preserve">LE ANALISI DELLA FONDAZIONE GIMBE DIMOSTRANO CHE </w:t>
      </w:r>
      <w:r w:rsidR="00B84D86">
        <w:rPr>
          <w:b/>
        </w:rPr>
        <w:t>IN ASSENZA DI UNA STRATEGIA SANITARIA NAZIONALE PER GESTI</w:t>
      </w:r>
      <w:r>
        <w:rPr>
          <w:b/>
        </w:rPr>
        <w:t xml:space="preserve">RE </w:t>
      </w:r>
      <w:r w:rsidR="00B84D86">
        <w:rPr>
          <w:b/>
        </w:rPr>
        <w:t>LA FASE 2, CON UN SISTEMA DI MONITORAGGIO</w:t>
      </w:r>
      <w:bookmarkStart w:id="0" w:name="_GoBack"/>
      <w:bookmarkEnd w:id="0"/>
      <w:r w:rsidR="00B84D86">
        <w:rPr>
          <w:b/>
        </w:rPr>
        <w:t xml:space="preserve"> </w:t>
      </w:r>
      <w:r w:rsidR="00D7379E">
        <w:rPr>
          <w:b/>
        </w:rPr>
        <w:t xml:space="preserve">INCOMPLETO </w:t>
      </w:r>
      <w:r w:rsidR="00B84D86">
        <w:rPr>
          <w:b/>
        </w:rPr>
        <w:t xml:space="preserve">E </w:t>
      </w:r>
      <w:r w:rsidR="005267F6">
        <w:rPr>
          <w:b/>
        </w:rPr>
        <w:t xml:space="preserve">LA </w:t>
      </w:r>
      <w:r w:rsidR="007313D5">
        <w:rPr>
          <w:b/>
        </w:rPr>
        <w:t xml:space="preserve">TOTALE AUTONOMIA DELLE REGIONI </w:t>
      </w:r>
      <w:r w:rsidR="005267F6">
        <w:rPr>
          <w:b/>
        </w:rPr>
        <w:t xml:space="preserve">NEL </w:t>
      </w:r>
      <w:r w:rsidR="007313D5">
        <w:rPr>
          <w:b/>
        </w:rPr>
        <w:t>MONITORARE L’EPIDEMIA E INTRODURRE MISURE IN DEROGA</w:t>
      </w:r>
      <w:r>
        <w:rPr>
          <w:b/>
        </w:rPr>
        <w:t>,</w:t>
      </w:r>
      <w:r w:rsidR="00B84D86">
        <w:rPr>
          <w:b/>
        </w:rPr>
        <w:t xml:space="preserve"> IL RISCHIO NON </w:t>
      </w:r>
      <w:r w:rsidR="007313D5">
        <w:rPr>
          <w:b/>
        </w:rPr>
        <w:t xml:space="preserve">SOLO NON </w:t>
      </w:r>
      <w:r w:rsidR="00B84D86">
        <w:rPr>
          <w:b/>
        </w:rPr>
        <w:t>È</w:t>
      </w:r>
      <w:r w:rsidR="007313D5">
        <w:rPr>
          <w:b/>
        </w:rPr>
        <w:t xml:space="preserve"> CALCOLATO, MA NON È</w:t>
      </w:r>
      <w:r w:rsidR="00B84D86">
        <w:rPr>
          <w:b/>
        </w:rPr>
        <w:t xml:space="preserve"> AFFATTO CALCOLABILE</w:t>
      </w:r>
      <w:r w:rsidR="00084B5C">
        <w:rPr>
          <w:b/>
        </w:rPr>
        <w:t>.</w:t>
      </w:r>
      <w:r w:rsidR="00D7379E">
        <w:rPr>
          <w:b/>
        </w:rPr>
        <w:t xml:space="preserve"> DI FATTO</w:t>
      </w:r>
      <w:r w:rsidR="00084B5C">
        <w:rPr>
          <w:b/>
        </w:rPr>
        <w:t xml:space="preserve"> </w:t>
      </w:r>
      <w:r w:rsidR="00B84D86">
        <w:rPr>
          <w:b/>
        </w:rPr>
        <w:t>I R</w:t>
      </w:r>
      <w:r w:rsidR="00B84D86" w:rsidRPr="00B84D86">
        <w:rPr>
          <w:b/>
        </w:rPr>
        <w:t>ISULTAT</w:t>
      </w:r>
      <w:r>
        <w:rPr>
          <w:b/>
        </w:rPr>
        <w:t xml:space="preserve">I SUL CONTENIMENTO DEL CONTAGIO SONO </w:t>
      </w:r>
      <w:r w:rsidR="00B84D86" w:rsidRPr="00B84D86">
        <w:rPr>
          <w:b/>
        </w:rPr>
        <w:t>AFFIDATI ALLE RESPONSABILITÀ INDIVIDUALI, ATTRAVERSO IL RISPETTO DELLE NORME DI DISTANZIAMENTO SOCIALE E L’USO DELLE MASCHERINE.</w:t>
      </w:r>
    </w:p>
    <w:p w:rsidR="00A327F3" w:rsidRPr="00FB1733" w:rsidRDefault="008F3704" w:rsidP="00FB173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19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6D0D40">
        <w:rPr>
          <w:rFonts w:ascii="Calibri" w:eastAsia="Calibri" w:hAnsi="Calibri" w:cs="Times New Roman"/>
          <w:b/>
          <w:bCs/>
          <w:sz w:val="24"/>
          <w:szCs w:val="24"/>
        </w:rPr>
        <w:t>maggio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25235A" w:rsidRDefault="005359A5" w:rsidP="00EE3A7C">
      <w:pPr>
        <w:spacing w:after="120"/>
        <w:jc w:val="both"/>
        <w:rPr>
          <w:lang w:eastAsia="it-IT"/>
        </w:rPr>
      </w:pPr>
      <w:r>
        <w:t>L</w:t>
      </w:r>
      <w:r w:rsidR="00F8364B">
        <w:t xml:space="preserve">’agognata ripartenza del Paese </w:t>
      </w:r>
      <w:r w:rsidR="0025235A">
        <w:t>si concretizza con una giravolta normativa senza precedenti nella storia della Repubblica: i</w:t>
      </w:r>
      <w:r w:rsidR="008F3704">
        <w:t>l DL 16 maggio</w:t>
      </w:r>
      <w:r w:rsidR="00E21B99">
        <w:t xml:space="preserve"> 2020 n. 33</w:t>
      </w:r>
      <w:r w:rsidR="008F3704">
        <w:t xml:space="preserve"> (art. </w:t>
      </w:r>
      <w:r w:rsidR="00E21B99">
        <w:t>1</w:t>
      </w:r>
      <w:r w:rsidR="008F3704">
        <w:t xml:space="preserve">, comma 16) demanda interamente alle Regioni la responsabilità del monitoraggio epidemiologico e delle </w:t>
      </w:r>
      <w:r w:rsidR="00BA36F7">
        <w:t xml:space="preserve">conseguenti </w:t>
      </w:r>
      <w:r w:rsidR="008F3704">
        <w:t xml:space="preserve">azioni, </w:t>
      </w:r>
      <w:r w:rsidR="00F8364B">
        <w:t>con</w:t>
      </w:r>
      <w:r w:rsidR="008F3704">
        <w:t xml:space="preserve"> il Ministero della Salute </w:t>
      </w:r>
      <w:r w:rsidR="00BA36F7">
        <w:t xml:space="preserve">che </w:t>
      </w:r>
      <w:r w:rsidR="0020426D">
        <w:t xml:space="preserve">rimane </w:t>
      </w:r>
      <w:r w:rsidR="00F8364B">
        <w:t xml:space="preserve">spettatore </w:t>
      </w:r>
      <w:r w:rsidR="00426E63">
        <w:t>passivo da informare</w:t>
      </w:r>
      <w:r w:rsidR="008F3704">
        <w:t xml:space="preserve"> </w:t>
      </w:r>
      <w:r w:rsidR="00426E63">
        <w:t xml:space="preserve">sui </w:t>
      </w:r>
      <w:r w:rsidR="008F3704">
        <w:t xml:space="preserve">dati e </w:t>
      </w:r>
      <w:r w:rsidR="00426E63">
        <w:t xml:space="preserve">sulle </w:t>
      </w:r>
      <w:r w:rsidR="008F3704">
        <w:t>eventuali azioni intraprese</w:t>
      </w:r>
      <w:r w:rsidR="00084B5C">
        <w:t xml:space="preserve"> dai governatori.</w:t>
      </w:r>
      <w:r w:rsidR="0025235A">
        <w:t xml:space="preserve"> </w:t>
      </w:r>
      <w:r w:rsidR="00BA36F7">
        <w:t>Secondo il nuovo decreto</w:t>
      </w:r>
      <w:r w:rsidR="00426E63">
        <w:t xml:space="preserve"> </w:t>
      </w:r>
      <w:r w:rsidR="00084B5C">
        <w:t>spetta</w:t>
      </w:r>
      <w:r w:rsidR="00BA36F7">
        <w:t xml:space="preserve"> infatti</w:t>
      </w:r>
      <w:r w:rsidR="00084B5C">
        <w:t xml:space="preserve"> a </w:t>
      </w:r>
      <w:r w:rsidR="00426E63">
        <w:rPr>
          <w:lang w:eastAsia="it-IT"/>
        </w:rPr>
        <w:t>c</w:t>
      </w:r>
      <w:r w:rsidR="0025235A">
        <w:rPr>
          <w:lang w:eastAsia="it-IT"/>
        </w:rPr>
        <w:t xml:space="preserve">iascuna Regione in totale autonomia </w:t>
      </w:r>
      <w:r w:rsidR="00426E63">
        <w:rPr>
          <w:lang w:eastAsia="it-IT"/>
        </w:rPr>
        <w:t xml:space="preserve">monitorare </w:t>
      </w:r>
      <w:r w:rsidR="00F8364B">
        <w:rPr>
          <w:lang w:eastAsia="it-IT"/>
        </w:rPr>
        <w:t>la</w:t>
      </w:r>
      <w:r w:rsidR="0025235A">
        <w:t xml:space="preserve"> situazione epidemiologica nel proprio territorio, valutare le condizioni di adeguatezza del proprio sistema sanitario e</w:t>
      </w:r>
      <w:r w:rsidR="00084B5C">
        <w:t xml:space="preserve"> </w:t>
      </w:r>
      <w:r w:rsidR="0025235A">
        <w:t xml:space="preserve">introdurre misure </w:t>
      </w:r>
      <w:r w:rsidR="00084B5C">
        <w:t xml:space="preserve">in deroga, </w:t>
      </w:r>
      <w:r w:rsidR="0025235A">
        <w:t>ampliative o restrittive</w:t>
      </w:r>
      <w:r w:rsidR="00BA36F7">
        <w:t>, rispetto a quelle nazionali</w:t>
      </w:r>
      <w:r w:rsidR="0025235A">
        <w:rPr>
          <w:lang w:eastAsia="it-IT"/>
        </w:rPr>
        <w:t xml:space="preserve">. </w:t>
      </w:r>
    </w:p>
    <w:p w:rsidR="00B84D86" w:rsidRDefault="0025235A" w:rsidP="00EE3A7C">
      <w:pPr>
        <w:spacing w:after="120"/>
        <w:jc w:val="both"/>
        <w:rPr>
          <w:lang w:eastAsia="it-IT"/>
        </w:rPr>
      </w:pPr>
      <w:r w:rsidRPr="00A24080">
        <w:t>«</w:t>
      </w:r>
      <w:r w:rsidR="00DB68E5">
        <w:t>L</w:t>
      </w:r>
      <w:r w:rsidR="00F8364B">
        <w:t>’emer</w:t>
      </w:r>
      <w:r w:rsidR="005359A5">
        <w:t xml:space="preserve">genza </w:t>
      </w:r>
      <w:r w:rsidR="00F8364B">
        <w:t>c</w:t>
      </w:r>
      <w:r w:rsidR="00F8364B" w:rsidRPr="0025235A">
        <w:t>oronavirus</w:t>
      </w:r>
      <w:r w:rsidR="005359A5">
        <w:t xml:space="preserve">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afferma Nino Cartabellotta, Presidente della Fondazione GIMBE </w:t>
      </w:r>
      <w:r w:rsidRPr="00A24080">
        <w:rPr>
          <w:lang w:eastAsia="it-IT"/>
        </w:rPr>
        <w:t>–</w:t>
      </w:r>
      <w:r w:rsidR="005359A5">
        <w:rPr>
          <w:lang w:eastAsia="it-IT"/>
        </w:rPr>
        <w:t xml:space="preserve"> </w:t>
      </w:r>
      <w:r w:rsidR="005359A5">
        <w:t xml:space="preserve">e soprattutto </w:t>
      </w:r>
      <w:r w:rsidRPr="0025235A">
        <w:t xml:space="preserve">la gestione della fase 2 </w:t>
      </w:r>
      <w:r w:rsidR="00084B5C">
        <w:t xml:space="preserve">hanno accentuato il </w:t>
      </w:r>
      <w:r w:rsidRPr="0025235A">
        <w:t>cortocircuito di competenze tra Governo e Regioni</w:t>
      </w:r>
      <w:r w:rsidR="00084B5C">
        <w:t xml:space="preserve"> in tema di tutela della salute</w:t>
      </w:r>
      <w:r w:rsidR="007952F9">
        <w:t xml:space="preserve">, oltre che </w:t>
      </w:r>
      <w:r w:rsidRPr="0025235A">
        <w:t>la “competizione” tra</w:t>
      </w:r>
      <w:r w:rsidR="001F70E6">
        <w:t xml:space="preserve"> </w:t>
      </w:r>
      <w:r w:rsidRPr="0025235A">
        <w:t>Regioni su tempi e regole per la riapertura</w:t>
      </w:r>
      <w:r w:rsidR="00DB68E5">
        <w:t xml:space="preserve">. </w:t>
      </w:r>
      <w:r w:rsidR="006F7F56">
        <w:t>Q</w:t>
      </w:r>
      <w:r>
        <w:t xml:space="preserve">uesto decentramento decisionale </w:t>
      </w:r>
      <w:r w:rsidR="007952F9">
        <w:t>dimostra che</w:t>
      </w:r>
      <w:r w:rsidR="00181A3C">
        <w:t>,</w:t>
      </w:r>
      <w:r w:rsidR="007952F9">
        <w:t xml:space="preserve"> </w:t>
      </w:r>
      <w:r w:rsidR="00B05944">
        <w:t>sulla tutela della salute</w:t>
      </w:r>
      <w:r w:rsidR="00181A3C">
        <w:t>,</w:t>
      </w:r>
      <w:r w:rsidR="00B05944">
        <w:t xml:space="preserve"> </w:t>
      </w:r>
      <w:r w:rsidR="007952F9" w:rsidRPr="009A7F7F">
        <w:t xml:space="preserve">dalla leale collaborazione </w:t>
      </w:r>
      <w:r w:rsidR="00B05944">
        <w:t>Stato</w:t>
      </w:r>
      <w:r w:rsidR="007952F9">
        <w:t xml:space="preserve">-Regioni siamo passati </w:t>
      </w:r>
      <w:r w:rsidR="003418BE">
        <w:t xml:space="preserve">ad una </w:t>
      </w:r>
      <w:r>
        <w:t xml:space="preserve">“ritirata” del Governo </w:t>
      </w:r>
      <w:r w:rsidR="0020426D">
        <w:t xml:space="preserve">al fine di </w:t>
      </w:r>
      <w:proofErr w:type="gramStart"/>
      <w:r w:rsidR="00D7379E">
        <w:t xml:space="preserve">prevenire </w:t>
      </w:r>
      <w:r w:rsidR="00181A3C">
        <w:t xml:space="preserve"> conflitti</w:t>
      </w:r>
      <w:proofErr w:type="gramEnd"/>
      <w:r w:rsidR="003418BE">
        <w:t xml:space="preserve"> con le Regioni</w:t>
      </w:r>
      <w:r w:rsidRPr="003B6944">
        <w:rPr>
          <w:rFonts w:cstheme="minorHAnsi"/>
        </w:rPr>
        <w:t>»</w:t>
      </w:r>
      <w:r>
        <w:rPr>
          <w:lang w:eastAsia="it-IT"/>
        </w:rPr>
        <w:t>.</w:t>
      </w:r>
      <w:r w:rsidR="00A7642C">
        <w:rPr>
          <w:lang w:eastAsia="it-IT"/>
        </w:rPr>
        <w:t xml:space="preserve"> </w:t>
      </w:r>
    </w:p>
    <w:p w:rsidR="00084B5C" w:rsidRPr="00D7379E" w:rsidRDefault="00B05944" w:rsidP="00EE3A7C">
      <w:pPr>
        <w:spacing w:after="120"/>
        <w:jc w:val="both"/>
        <w:rPr>
          <w:lang w:eastAsia="it-IT"/>
        </w:rPr>
      </w:pPr>
      <w:r w:rsidRPr="00D7379E">
        <w:rPr>
          <w:lang w:eastAsia="it-IT"/>
        </w:rPr>
        <w:t xml:space="preserve">Le analisi indipendenti condotte dalla Fondazione GIMBE sul nuovo Decreto rivelano incongruenze </w:t>
      </w:r>
      <w:r w:rsidR="00D7379E">
        <w:rPr>
          <w:lang w:eastAsia="it-IT"/>
        </w:rPr>
        <w:t xml:space="preserve">costituzionali, oltre che </w:t>
      </w:r>
      <w:r w:rsidRPr="00D7379E">
        <w:rPr>
          <w:lang w:eastAsia="it-IT"/>
        </w:rPr>
        <w:t xml:space="preserve">rischi </w:t>
      </w:r>
      <w:r w:rsidR="00D7379E">
        <w:rPr>
          <w:lang w:eastAsia="it-IT"/>
        </w:rPr>
        <w:t xml:space="preserve">non calcolabili </w:t>
      </w:r>
      <w:r w:rsidRPr="00D7379E">
        <w:rPr>
          <w:lang w:eastAsia="it-IT"/>
        </w:rPr>
        <w:t>di quest</w:t>
      </w:r>
      <w:r w:rsidR="00D7379E" w:rsidRPr="00D7379E">
        <w:rPr>
          <w:lang w:eastAsia="it-IT"/>
        </w:rPr>
        <w:t>o approccio</w:t>
      </w:r>
      <w:r w:rsidRPr="00D7379E">
        <w:rPr>
          <w:lang w:eastAsia="it-IT"/>
        </w:rPr>
        <w:t xml:space="preserve">. </w:t>
      </w:r>
    </w:p>
    <w:p w:rsidR="00A7642C" w:rsidRDefault="00B05944" w:rsidP="00EE3A7C">
      <w:pPr>
        <w:spacing w:after="120"/>
        <w:jc w:val="both"/>
        <w:rPr>
          <w:lang w:eastAsia="it-IT"/>
        </w:rPr>
      </w:pPr>
      <w:r w:rsidRPr="00B84D86">
        <w:rPr>
          <w:b/>
          <w:lang w:eastAsia="it-IT"/>
        </w:rPr>
        <w:t>Princ</w:t>
      </w:r>
      <w:r>
        <w:rPr>
          <w:b/>
          <w:lang w:eastAsia="it-IT"/>
        </w:rPr>
        <w:t>ì</w:t>
      </w:r>
      <w:r w:rsidRPr="00B84D86">
        <w:rPr>
          <w:b/>
          <w:lang w:eastAsia="it-IT"/>
        </w:rPr>
        <w:t xml:space="preserve">pi </w:t>
      </w:r>
      <w:r w:rsidR="00B84D86" w:rsidRPr="00B84D86">
        <w:rPr>
          <w:b/>
          <w:lang w:eastAsia="it-IT"/>
        </w:rPr>
        <w:t>costituzionali</w:t>
      </w:r>
      <w:r w:rsidR="00B84D86">
        <w:rPr>
          <w:lang w:eastAsia="it-IT"/>
        </w:rPr>
        <w:t>. L</w:t>
      </w:r>
      <w:r w:rsidR="00A7642C" w:rsidRPr="00A7642C">
        <w:rPr>
          <w:lang w:eastAsia="it-IT"/>
        </w:rPr>
        <w:t xml:space="preserve">a Costituzione </w:t>
      </w:r>
      <w:r w:rsidR="00A7642C">
        <w:rPr>
          <w:lang w:eastAsia="it-IT"/>
        </w:rPr>
        <w:t xml:space="preserve">affida allo Stato </w:t>
      </w:r>
      <w:r w:rsidR="00E722CB">
        <w:rPr>
          <w:lang w:eastAsia="it-IT"/>
        </w:rPr>
        <w:t xml:space="preserve">da un lato </w:t>
      </w:r>
      <w:r w:rsidR="00A7642C" w:rsidRPr="00A7642C">
        <w:rPr>
          <w:lang w:eastAsia="it-IT"/>
        </w:rPr>
        <w:t>la legislazione esclusiva in materia di profilassi internazionale (art. 117 lett. q)</w:t>
      </w:r>
      <w:r w:rsidR="00B84D86">
        <w:rPr>
          <w:lang w:eastAsia="it-IT"/>
        </w:rPr>
        <w:t xml:space="preserve"> - come nel caso di una pandemia - </w:t>
      </w:r>
      <w:r w:rsidR="00A7642C" w:rsidRPr="00A7642C">
        <w:rPr>
          <w:lang w:eastAsia="it-IT"/>
        </w:rPr>
        <w:t xml:space="preserve">dall’altro l'esercizio del potere sostitutivo a garanzia dell'interesse nazionale nel caso di pericolo grave per l'incolumità e la sicurezza pubblica (art. 120). Tuttavia, </w:t>
      </w:r>
      <w:r w:rsidR="00497EF9">
        <w:rPr>
          <w:lang w:eastAsia="it-IT"/>
        </w:rPr>
        <w:t>a fronte della più grave emergenza sanitaria della storia repubblicana</w:t>
      </w:r>
      <w:r w:rsidR="00A7642C" w:rsidRPr="00A7642C">
        <w:rPr>
          <w:lang w:eastAsia="it-IT"/>
        </w:rPr>
        <w:t xml:space="preserve">, il Governo </w:t>
      </w:r>
      <w:r w:rsidR="00F85B0E" w:rsidRPr="00A7642C">
        <w:rPr>
          <w:lang w:eastAsia="it-IT"/>
        </w:rPr>
        <w:t xml:space="preserve">sin dall’inizio </w:t>
      </w:r>
      <w:r w:rsidR="00A7642C" w:rsidRPr="00A7642C">
        <w:rPr>
          <w:lang w:eastAsia="it-IT"/>
        </w:rPr>
        <w:t xml:space="preserve">ha </w:t>
      </w:r>
      <w:r>
        <w:rPr>
          <w:lang w:eastAsia="it-IT"/>
        </w:rPr>
        <w:t xml:space="preserve">inspiegabilmente </w:t>
      </w:r>
      <w:r w:rsidR="00A7642C">
        <w:rPr>
          <w:lang w:eastAsia="it-IT"/>
        </w:rPr>
        <w:t xml:space="preserve">scelto di </w:t>
      </w:r>
      <w:r w:rsidR="00A7642C" w:rsidRPr="00A7642C">
        <w:rPr>
          <w:lang w:eastAsia="it-IT"/>
        </w:rPr>
        <w:t>non esercitare i poteri conferiti dalla carta costituzionale.</w:t>
      </w:r>
    </w:p>
    <w:p w:rsidR="00DA710F" w:rsidRDefault="00DA710F" w:rsidP="00EE3A7C">
      <w:pPr>
        <w:jc w:val="both"/>
      </w:pPr>
      <w:r>
        <w:rPr>
          <w:b/>
        </w:rPr>
        <w:t>Monitoraggio dell’epidemia</w:t>
      </w:r>
      <w:r w:rsidR="00E97907">
        <w:t xml:space="preserve">. </w:t>
      </w:r>
      <w:r w:rsidR="00BE31EE">
        <w:t>La decisione</w:t>
      </w:r>
      <w:r w:rsidR="00E97907">
        <w:rPr>
          <w:lang w:eastAsia="it-IT"/>
        </w:rPr>
        <w:t xml:space="preserve"> </w:t>
      </w:r>
      <w:r w:rsidR="00BE31EE">
        <w:t xml:space="preserve">di affidare alle </w:t>
      </w:r>
      <w:r>
        <w:t>Regioni</w:t>
      </w:r>
      <w:r w:rsidR="00BE31EE">
        <w:t xml:space="preserve"> </w:t>
      </w:r>
      <w:r w:rsidR="00A04FD5">
        <w:t>una</w:t>
      </w:r>
      <w:r w:rsidR="00A04FD5">
        <w:rPr>
          <w:lang w:eastAsia="it-IT"/>
        </w:rPr>
        <w:t xml:space="preserve"> </w:t>
      </w:r>
      <w:r>
        <w:rPr>
          <w:lang w:eastAsia="it-IT"/>
        </w:rPr>
        <w:t xml:space="preserve">totale autonomia </w:t>
      </w:r>
      <w:r>
        <w:t>sul monitoraggio dell’epidemia e sulle conseguenti azioni da intraprendere</w:t>
      </w:r>
      <w:r w:rsidR="00B05944">
        <w:t xml:space="preserve"> </w:t>
      </w:r>
      <w:r>
        <w:t xml:space="preserve">avviene in un contesto </w:t>
      </w:r>
      <w:r w:rsidR="00BE31EE">
        <w:t xml:space="preserve">molto incerto e </w:t>
      </w:r>
      <w:r>
        <w:t>poco rassicurante. In dettaglio:</w:t>
      </w:r>
    </w:p>
    <w:p w:rsidR="00DA710F" w:rsidRDefault="00DA710F" w:rsidP="00EE3A7C">
      <w:pPr>
        <w:pStyle w:val="Paragrafoelenco"/>
        <w:numPr>
          <w:ilvl w:val="0"/>
          <w:numId w:val="32"/>
        </w:numPr>
        <w:spacing w:after="200" w:line="276" w:lineRule="auto"/>
        <w:jc w:val="both"/>
      </w:pPr>
      <w:r>
        <w:t xml:space="preserve">Il primo </w:t>
      </w:r>
      <w:r w:rsidR="001F70E6">
        <w:t>“</w:t>
      </w:r>
      <w:hyperlink r:id="rId8" w:history="1">
        <w:r w:rsidRPr="00D7379E">
          <w:rPr>
            <w:rStyle w:val="Collegamentoipertestuale"/>
          </w:rPr>
          <w:t>Report di Monitoraggio della Fase 2</w:t>
        </w:r>
      </w:hyperlink>
      <w:r w:rsidR="001F70E6">
        <w:t>”</w:t>
      </w:r>
      <w:r>
        <w:t xml:space="preserve"> dimostra che le Regioni non hanno fornito</w:t>
      </w:r>
      <w:r w:rsidR="000C2ECA">
        <w:t xml:space="preserve"> a livello centrale</w:t>
      </w:r>
      <w:r>
        <w:t xml:space="preserve"> </w:t>
      </w:r>
      <w:r w:rsidR="000F245F">
        <w:t xml:space="preserve">tutti </w:t>
      </w:r>
      <w:r>
        <w:t xml:space="preserve">i 21 indicatori </w:t>
      </w:r>
      <w:r w:rsidR="000F245F">
        <w:t xml:space="preserve">previsti </w:t>
      </w:r>
      <w:r>
        <w:t>dal decreto del Ministero della Salute del 30 aprile</w:t>
      </w:r>
      <w:r w:rsidR="000C2ECA">
        <w:t xml:space="preserve"> scorso</w:t>
      </w:r>
      <w:r>
        <w:t>. In particolare, non riporta nessuno dei 12 indicatori di processo e nel “Quadro sintetico complessivo” dettaglia solo 5 dei 9 indicatori di risultato, peraltro non tutti coincidenti con quanto previsto dal Decreto, e quindi non utilizzabili per l’applicazione degli algoritmi e la definizione del livello di rischio.</w:t>
      </w:r>
    </w:p>
    <w:p w:rsidR="00BE31EE" w:rsidRDefault="00873732" w:rsidP="00EE3A7C">
      <w:pPr>
        <w:pStyle w:val="Paragrafoelenco"/>
        <w:numPr>
          <w:ilvl w:val="0"/>
          <w:numId w:val="32"/>
        </w:numPr>
        <w:spacing w:after="200" w:line="276" w:lineRule="auto"/>
        <w:jc w:val="both"/>
      </w:pPr>
      <w:r>
        <w:lastRenderedPageBreak/>
        <w:t>L’impatto</w:t>
      </w:r>
      <w:r w:rsidR="001F70E6">
        <w:t xml:space="preserve"> sulla curva dei </w:t>
      </w:r>
      <w:r w:rsidR="002312FB">
        <w:t>contagi</w:t>
      </w:r>
      <w:r>
        <w:t xml:space="preserve"> di q</w:t>
      </w:r>
      <w:r w:rsidR="00BE31EE">
        <w:t xml:space="preserve">ualsiasi intervento di allentamento del lockdown può essere misurato solo 14 giorni dopo il suo avvio: in altri termini, le conseguenze delle riaperture del 4 maggio possono essere valutate </w:t>
      </w:r>
      <w:r>
        <w:t xml:space="preserve">solo a partire </w:t>
      </w:r>
      <w:r w:rsidR="00BE31EE">
        <w:t xml:space="preserve">dal 18 maggio e quelle del 18 maggio </w:t>
      </w:r>
      <w:r>
        <w:t xml:space="preserve">lo saranno </w:t>
      </w:r>
      <w:r w:rsidR="00BE31EE">
        <w:t xml:space="preserve">non prima del </w:t>
      </w:r>
      <w:r w:rsidR="00661A48">
        <w:t>1° giugno</w:t>
      </w:r>
      <w:r w:rsidR="00BE31EE">
        <w:t xml:space="preserve">. </w:t>
      </w:r>
    </w:p>
    <w:p w:rsidR="00BE31EE" w:rsidRDefault="00BE31EE" w:rsidP="00EE3A7C">
      <w:pPr>
        <w:pStyle w:val="Paragrafoelenco"/>
        <w:numPr>
          <w:ilvl w:val="0"/>
          <w:numId w:val="32"/>
        </w:numPr>
        <w:spacing w:after="200" w:line="276" w:lineRule="auto"/>
        <w:jc w:val="both"/>
      </w:pPr>
      <w:r>
        <w:t xml:space="preserve">Dal 3 giugno, data in cui inizieremo a </w:t>
      </w:r>
      <w:r w:rsidR="000F245F">
        <w:t xml:space="preserve">intravedere </w:t>
      </w:r>
      <w:r>
        <w:t xml:space="preserve">le conseguenze sulla curva epidemica delle riaperture del 18 maggio, il via libera alla mobilità interregionale e alla riapertura delle frontiere </w:t>
      </w:r>
      <w:r w:rsidR="0038480D" w:rsidRPr="00D7379E">
        <w:t>sancirà</w:t>
      </w:r>
      <w:r w:rsidR="002312FB" w:rsidRPr="001F70E6">
        <w:rPr>
          <w:color w:val="FF0000"/>
        </w:rPr>
        <w:t xml:space="preserve"> </w:t>
      </w:r>
      <w:r w:rsidR="00E21B99" w:rsidRPr="0020426D">
        <w:t xml:space="preserve">la </w:t>
      </w:r>
      <w:r>
        <w:t xml:space="preserve">libera circolazione su tutto il territorio nazionale </w:t>
      </w:r>
      <w:r w:rsidR="0020426D">
        <w:t xml:space="preserve">anche </w:t>
      </w:r>
      <w:r>
        <w:t xml:space="preserve">dei soggetti </w:t>
      </w:r>
      <w:r w:rsidR="0020426D">
        <w:t>contagiati</w:t>
      </w:r>
      <w:r>
        <w:t>.</w:t>
      </w:r>
    </w:p>
    <w:p w:rsidR="00DA710F" w:rsidRPr="00E97907" w:rsidRDefault="00DA710F" w:rsidP="00EE3A7C">
      <w:pPr>
        <w:jc w:val="both"/>
        <w:rPr>
          <w:b/>
        </w:rPr>
      </w:pPr>
      <w:r w:rsidRPr="009C4085">
        <w:rPr>
          <w:b/>
        </w:rPr>
        <w:t xml:space="preserve">Strategia </w:t>
      </w:r>
      <w:r>
        <w:rPr>
          <w:b/>
        </w:rPr>
        <w:t xml:space="preserve">per la gestione </w:t>
      </w:r>
      <w:r w:rsidRPr="009C4085">
        <w:rPr>
          <w:b/>
        </w:rPr>
        <w:t>sanitaria</w:t>
      </w:r>
      <w:r>
        <w:rPr>
          <w:b/>
        </w:rPr>
        <w:t xml:space="preserve"> della fase 2</w:t>
      </w:r>
      <w:r w:rsidR="00E97907">
        <w:t xml:space="preserve">. </w:t>
      </w:r>
      <w:r>
        <w:t xml:space="preserve">A fronte di linee guida elaborate da Governo e Regioni per </w:t>
      </w:r>
      <w:r w:rsidR="00023E97">
        <w:t xml:space="preserve">la riapertura </w:t>
      </w:r>
      <w:r>
        <w:t>delle attività produttive e sociali</w:t>
      </w:r>
      <w:r w:rsidR="000F36BF">
        <w:t>,</w:t>
      </w:r>
      <w:r w:rsidR="00EE3A7C">
        <w:t xml:space="preserve"> non esiste </w:t>
      </w:r>
      <w:r>
        <w:t xml:space="preserve">una strategia sanitaria </w:t>
      </w:r>
      <w:r w:rsidR="00563CCD">
        <w:t xml:space="preserve">nazionale </w:t>
      </w:r>
      <w:r w:rsidR="00EE3A7C">
        <w:t xml:space="preserve">ma </w:t>
      </w:r>
      <w:r w:rsidR="000F245F">
        <w:t xml:space="preserve">solo </w:t>
      </w:r>
      <w:r w:rsidR="006F7F56">
        <w:t xml:space="preserve">variabili </w:t>
      </w:r>
      <w:r>
        <w:t xml:space="preserve">orientamenti regionali </w:t>
      </w:r>
      <w:r w:rsidR="00EE3A7C">
        <w:t xml:space="preserve">variabili </w:t>
      </w:r>
      <w:r w:rsidR="00873732">
        <w:t xml:space="preserve">per bilanciare tutela della salute e </w:t>
      </w:r>
      <w:r w:rsidR="00B84D86">
        <w:t>rilancio dell’</w:t>
      </w:r>
      <w:r w:rsidR="00873732">
        <w:t>ec</w:t>
      </w:r>
      <w:r w:rsidR="00B84D86">
        <w:t>onomia</w:t>
      </w:r>
      <w:r>
        <w:t>. In particolare:</w:t>
      </w:r>
    </w:p>
    <w:p w:rsidR="00DA710F" w:rsidRPr="00B6224A" w:rsidRDefault="00DA710F" w:rsidP="00EE3A7C">
      <w:pPr>
        <w:pStyle w:val="Paragrafoelenco"/>
        <w:numPr>
          <w:ilvl w:val="0"/>
          <w:numId w:val="32"/>
        </w:numPr>
        <w:spacing w:after="200" w:line="276" w:lineRule="auto"/>
        <w:jc w:val="both"/>
      </w:pPr>
      <w:r>
        <w:t xml:space="preserve">Le Regioni hanno una propensione </w:t>
      </w:r>
      <w:r w:rsidR="00E97907">
        <w:t xml:space="preserve">molto diversificata </w:t>
      </w:r>
      <w:r>
        <w:t xml:space="preserve">ad effettuare tamponi diagnostici: a fronte di una </w:t>
      </w:r>
      <w:r w:rsidRPr="001F70E6">
        <w:t xml:space="preserve">media nazionale di </w:t>
      </w:r>
      <w:r w:rsidR="003418BE" w:rsidRPr="001F70E6">
        <w:t>61</w:t>
      </w:r>
      <w:r w:rsidRPr="001F70E6">
        <w:t xml:space="preserve"> per 100.000 abitanti</w:t>
      </w:r>
      <w:r w:rsidR="003418BE" w:rsidRPr="001F70E6">
        <w:t xml:space="preserve"> al giorno</w:t>
      </w:r>
      <w:r w:rsidRPr="001F70E6">
        <w:t xml:space="preserve">, si va dai </w:t>
      </w:r>
      <w:r w:rsidR="003418BE" w:rsidRPr="001F70E6">
        <w:t xml:space="preserve">17 della Puglia </w:t>
      </w:r>
      <w:r w:rsidRPr="001F70E6">
        <w:t xml:space="preserve">ai </w:t>
      </w:r>
      <w:r w:rsidR="003418BE" w:rsidRPr="001F70E6">
        <w:t>166 della Valle D’Aosta</w:t>
      </w:r>
      <w:r w:rsidRPr="001F70E6">
        <w:t>.</w:t>
      </w:r>
      <w:r w:rsidR="00E97907" w:rsidRPr="001F70E6">
        <w:t xml:space="preserve"> </w:t>
      </w:r>
      <w:r w:rsidR="00EE3A7C">
        <w:t>In assenza di uno standard nazionale, t</w:t>
      </w:r>
      <w:r>
        <w:t xml:space="preserve">ali differenze condizionano </w:t>
      </w:r>
      <w:r w:rsidR="001975A0">
        <w:t xml:space="preserve">l’implementazione </w:t>
      </w:r>
      <w:r>
        <w:t xml:space="preserve">della strategia delle 3T (testare, tracciare, trattare), </w:t>
      </w:r>
      <w:r w:rsidR="00EE3A7C">
        <w:t xml:space="preserve">permettono </w:t>
      </w:r>
      <w:r w:rsidR="000F245F">
        <w:t xml:space="preserve">un utilizzo </w:t>
      </w:r>
      <w:r w:rsidR="00EE3A7C">
        <w:t>“</w:t>
      </w:r>
      <w:r w:rsidR="00533A6A">
        <w:t>opportunistico</w:t>
      </w:r>
      <w:r w:rsidR="00EE3A7C">
        <w:t>”</w:t>
      </w:r>
      <w:r w:rsidR="00533A6A">
        <w:t xml:space="preserve"> de</w:t>
      </w:r>
      <w:r w:rsidR="00EE3A7C">
        <w:t xml:space="preserve">i tamponi e sanciscono </w:t>
      </w:r>
      <w:r w:rsidR="000F245F">
        <w:t xml:space="preserve">ancora prima della sua introduzione </w:t>
      </w:r>
      <w:r w:rsidR="00EE3A7C">
        <w:t xml:space="preserve">il fallimento </w:t>
      </w:r>
      <w:r>
        <w:t>dell</w:t>
      </w:r>
      <w:r w:rsidR="00EE3A7C">
        <w:t>’</w:t>
      </w:r>
      <w:r>
        <w:t>app</w:t>
      </w:r>
      <w:r w:rsidR="000F245F">
        <w:t xml:space="preserve"> Immuni,</w:t>
      </w:r>
      <w:r>
        <w:t xml:space="preserve"> che </w:t>
      </w:r>
      <w:r w:rsidR="00BE31EE">
        <w:t xml:space="preserve">per definizione </w:t>
      </w:r>
      <w:r w:rsidR="000F245F">
        <w:t xml:space="preserve">è </w:t>
      </w:r>
      <w:r>
        <w:t>uno strumento “tampone-dipendente”.</w:t>
      </w:r>
    </w:p>
    <w:p w:rsidR="00DA710F" w:rsidRDefault="00EE3A7C" w:rsidP="00EE3A7C">
      <w:pPr>
        <w:pStyle w:val="Paragrafoelenco"/>
        <w:numPr>
          <w:ilvl w:val="0"/>
          <w:numId w:val="32"/>
        </w:numPr>
        <w:spacing w:after="200" w:line="276" w:lineRule="auto"/>
        <w:jc w:val="both"/>
      </w:pPr>
      <w:r>
        <w:t>L</w:t>
      </w:r>
      <w:r w:rsidR="00DA710F">
        <w:t>’indagine siero</w:t>
      </w:r>
      <w:r w:rsidR="00320024">
        <w:t>-</w:t>
      </w:r>
      <w:r w:rsidR="00DA710F">
        <w:t xml:space="preserve">epidemiologica </w:t>
      </w:r>
      <w:r w:rsidR="00E97907">
        <w:t xml:space="preserve">nazionale </w:t>
      </w:r>
      <w:r w:rsidR="00DA710F">
        <w:t xml:space="preserve">è partita in grande ritardo e non sappiamo quando </w:t>
      </w:r>
      <w:r w:rsidR="00E97907">
        <w:t>saranno disponibili i risultati</w:t>
      </w:r>
      <w:r w:rsidR="0095131B">
        <w:t xml:space="preserve">; </w:t>
      </w:r>
      <w:r w:rsidR="00E97907">
        <w:t>le Regioni</w:t>
      </w:r>
      <w:r w:rsidR="0095131B">
        <w:t xml:space="preserve"> peraltro</w:t>
      </w:r>
      <w:r w:rsidR="00E97907">
        <w:t xml:space="preserve"> hanno </w:t>
      </w:r>
      <w:r w:rsidR="003418BE">
        <w:t xml:space="preserve">adottato </w:t>
      </w:r>
      <w:r w:rsidR="00E97907">
        <w:t xml:space="preserve">protocolli </w:t>
      </w:r>
      <w:r w:rsidR="003418BE">
        <w:t xml:space="preserve">propri </w:t>
      </w:r>
      <w:r w:rsidR="00E97907">
        <w:t>utilizzando test differenti.</w:t>
      </w:r>
    </w:p>
    <w:p w:rsidR="00533A6A" w:rsidRDefault="00533A6A" w:rsidP="00EE3A7C">
      <w:pPr>
        <w:pStyle w:val="Paragrafoelenco"/>
        <w:numPr>
          <w:ilvl w:val="0"/>
          <w:numId w:val="32"/>
        </w:numPr>
        <w:spacing w:after="200" w:line="276" w:lineRule="auto"/>
        <w:jc w:val="both"/>
      </w:pPr>
      <w:r>
        <w:t xml:space="preserve">Le modalità </w:t>
      </w:r>
      <w:r w:rsidR="00EE3A7C">
        <w:t xml:space="preserve">organizzative per la </w:t>
      </w:r>
      <w:r>
        <w:t xml:space="preserve">gestione </w:t>
      </w:r>
      <w:r w:rsidR="00EE3A7C">
        <w:t xml:space="preserve">territoriale dei casi positivi - </w:t>
      </w:r>
      <w:r w:rsidR="00EE3A7C" w:rsidRPr="00EE3A7C">
        <w:t>Unità Speciali di Continuità Assistenziale</w:t>
      </w:r>
      <w:r w:rsidR="00EE3A7C">
        <w:t xml:space="preserve"> (</w:t>
      </w:r>
      <w:r>
        <w:t>USCA</w:t>
      </w:r>
      <w:proofErr w:type="gramStart"/>
      <w:r w:rsidR="0020426D">
        <w:t xml:space="preserve">), </w:t>
      </w:r>
      <w:r w:rsidR="00912E46">
        <w:t xml:space="preserve"> </w:t>
      </w:r>
      <w:r>
        <w:t>isolamento</w:t>
      </w:r>
      <w:proofErr w:type="gramEnd"/>
      <w:r>
        <w:t xml:space="preserve"> domiciliare in strutture dedicate,</w:t>
      </w:r>
      <w:r w:rsidR="00EE3A7C">
        <w:t xml:space="preserve"> prescrivibilità dei tamponi da parte dei medici di famiglia,</w:t>
      </w:r>
      <w:r>
        <w:t xml:space="preserve"> etc</w:t>
      </w:r>
      <w:r w:rsidR="00912E46">
        <w:t>.</w:t>
      </w:r>
      <w:r w:rsidR="0020426D">
        <w:t xml:space="preserve">), </w:t>
      </w:r>
      <w:r>
        <w:t xml:space="preserve">sono </w:t>
      </w:r>
      <w:r w:rsidR="00EE3A7C">
        <w:t xml:space="preserve">caratterizzate da </w:t>
      </w:r>
      <w:r>
        <w:t>immancabili diseguaglianze regionali.</w:t>
      </w:r>
    </w:p>
    <w:p w:rsidR="002B720B" w:rsidRDefault="002B720B" w:rsidP="00EE3A7C">
      <w:pPr>
        <w:jc w:val="both"/>
      </w:pPr>
      <w:r>
        <w:t xml:space="preserve">Con queste premesse </w:t>
      </w:r>
      <w:r w:rsidR="00E21B99">
        <w:t xml:space="preserve">i </w:t>
      </w:r>
      <w:r w:rsidR="00DD1B63">
        <w:t xml:space="preserve">DL 16 maggio </w:t>
      </w:r>
      <w:r w:rsidR="00E21B99">
        <w:t xml:space="preserve">2020 n. 33 </w:t>
      </w:r>
      <w:r w:rsidR="00DD1B63">
        <w:t>e DPCM 18 maggio</w:t>
      </w:r>
      <w:r w:rsidR="00E21B99">
        <w:t xml:space="preserve"> 2020</w:t>
      </w:r>
      <w:r w:rsidR="00DD1B63">
        <w:t xml:space="preserve"> </w:t>
      </w:r>
      <w:r w:rsidR="00426E63">
        <w:t xml:space="preserve">concretizzano due </w:t>
      </w:r>
      <w:r>
        <w:t>ragionevoli certezze</w:t>
      </w:r>
      <w:r w:rsidR="00426E63">
        <w:t xml:space="preserve"> sulla fase 2</w:t>
      </w:r>
      <w:r>
        <w:t>:</w:t>
      </w:r>
    </w:p>
    <w:p w:rsidR="002B720B" w:rsidRDefault="00EE3A7C" w:rsidP="00EE3A7C">
      <w:pPr>
        <w:pStyle w:val="Paragrafoelenco"/>
        <w:numPr>
          <w:ilvl w:val="0"/>
          <w:numId w:val="33"/>
        </w:numPr>
        <w:spacing w:line="276" w:lineRule="auto"/>
        <w:jc w:val="both"/>
      </w:pPr>
      <w:r>
        <w:t xml:space="preserve">Gli indicatori più affidabili per </w:t>
      </w:r>
      <w:r w:rsidR="002B720B">
        <w:t xml:space="preserve">monitorare </w:t>
      </w:r>
      <w:r>
        <w:t>l</w:t>
      </w:r>
      <w:r w:rsidR="002B720B">
        <w:t xml:space="preserve">’eventuale risalita della curva epidemica </w:t>
      </w:r>
      <w:r w:rsidR="007313D5">
        <w:t xml:space="preserve">non possono che essere i </w:t>
      </w:r>
      <w:r w:rsidR="002B720B">
        <w:t xml:space="preserve">ricoveri ospedalieri e </w:t>
      </w:r>
      <w:r w:rsidR="007313D5">
        <w:t>l’</w:t>
      </w:r>
      <w:r w:rsidR="002B720B">
        <w:t xml:space="preserve">occupazione delle terapie intensive, </w:t>
      </w:r>
      <w:r w:rsidR="002B720B" w:rsidRPr="00E97907">
        <w:t xml:space="preserve">dati </w:t>
      </w:r>
      <w:r w:rsidR="002B720B">
        <w:t xml:space="preserve">al tempo stesso tempestivi e </w:t>
      </w:r>
      <w:r w:rsidR="002B720B" w:rsidRPr="00E97907">
        <w:t>affidabili in quanto raccolti dai flussi ospedalieri</w:t>
      </w:r>
      <w:r>
        <w:t>.</w:t>
      </w:r>
    </w:p>
    <w:p w:rsidR="00EE3A7C" w:rsidRDefault="00EE3A7C" w:rsidP="00EE3A7C">
      <w:pPr>
        <w:pStyle w:val="Paragrafoelenco"/>
        <w:numPr>
          <w:ilvl w:val="0"/>
          <w:numId w:val="33"/>
        </w:numPr>
        <w:spacing w:line="276" w:lineRule="auto"/>
        <w:jc w:val="both"/>
      </w:pPr>
      <w:r>
        <w:t>I</w:t>
      </w:r>
      <w:r w:rsidR="002B720B">
        <w:t xml:space="preserve"> risultati </w:t>
      </w:r>
      <w:r w:rsidR="001F70E6">
        <w:t xml:space="preserve">sul </w:t>
      </w:r>
      <w:r w:rsidR="003418BE">
        <w:t xml:space="preserve">contenimento del contagio </w:t>
      </w:r>
      <w:r w:rsidR="00563CCD">
        <w:t xml:space="preserve">sono </w:t>
      </w:r>
      <w:r w:rsidR="002B720B">
        <w:t xml:space="preserve">in larga misura </w:t>
      </w:r>
      <w:r w:rsidR="00563CCD">
        <w:t xml:space="preserve">affidati alle </w:t>
      </w:r>
      <w:r w:rsidR="00426E63">
        <w:t>responsabilità individuali</w:t>
      </w:r>
      <w:r w:rsidR="002B720B">
        <w:t xml:space="preserve"> dei cittadini, </w:t>
      </w:r>
      <w:r w:rsidR="00426E63">
        <w:t xml:space="preserve">attraverso </w:t>
      </w:r>
      <w:r w:rsidR="002B720B">
        <w:t>il rispetto delle norme di distanziamento sociale e l’uso delle mascherine.</w:t>
      </w:r>
    </w:p>
    <w:p w:rsidR="002B720B" w:rsidRPr="008610BB" w:rsidRDefault="00B84D86" w:rsidP="00EE3A7C">
      <w:pPr>
        <w:jc w:val="both"/>
        <w:rPr>
          <w:lang w:eastAsia="it-IT"/>
        </w:rPr>
      </w:pPr>
      <w:r>
        <w:br/>
      </w:r>
      <w:r w:rsidR="00694962" w:rsidRPr="00A24080">
        <w:t>«</w:t>
      </w:r>
      <w:r w:rsidR="00C006E7">
        <w:t>È evidente che le</w:t>
      </w:r>
      <w:r w:rsidR="00694962">
        <w:t xml:space="preserve"> decisioni sulle riaperture</w:t>
      </w:r>
      <w:r w:rsidR="00694962" w:rsidRPr="00A24080">
        <w:rPr>
          <w:lang w:eastAsia="it-IT"/>
        </w:rPr>
        <w:t xml:space="preserve"> – </w:t>
      </w:r>
      <w:r w:rsidR="00694962">
        <w:rPr>
          <w:lang w:eastAsia="it-IT"/>
        </w:rPr>
        <w:t xml:space="preserve">conclude Cartabellotta </w:t>
      </w:r>
      <w:r w:rsidR="00694962" w:rsidRPr="00A24080">
        <w:rPr>
          <w:lang w:eastAsia="it-IT"/>
        </w:rPr>
        <w:t>–</w:t>
      </w:r>
      <w:r w:rsidR="00694962">
        <w:rPr>
          <w:lang w:eastAsia="it-IT"/>
        </w:rPr>
        <w:t xml:space="preserve"> </w:t>
      </w:r>
      <w:r w:rsidR="00694962">
        <w:t xml:space="preserve">hanno </w:t>
      </w:r>
      <w:r w:rsidR="00EE3A7C">
        <w:t xml:space="preserve">anteposto </w:t>
      </w:r>
      <w:r w:rsidR="00694962">
        <w:t>gli interessi economici del Paese alla tutela della salute</w:t>
      </w:r>
      <w:r w:rsidR="00C006E7">
        <w:t xml:space="preserve">. Tuttavia </w:t>
      </w:r>
      <w:r w:rsidR="00533A6A">
        <w:t xml:space="preserve">la dichiarazione </w:t>
      </w:r>
      <w:r w:rsidR="00694962">
        <w:t>del Premier Conte</w:t>
      </w:r>
      <w:r w:rsidR="003418BE">
        <w:t xml:space="preserve"> secondo cui</w:t>
      </w:r>
      <w:r w:rsidR="00C006E7">
        <w:t xml:space="preserve"> si tratta di un</w:t>
      </w:r>
      <w:r w:rsidR="00694962">
        <w:t xml:space="preserve"> rischio calcolato è </w:t>
      </w:r>
      <w:r w:rsidR="004E1C55">
        <w:t>smentita dall’impossibilità stessa di calcolarlo</w:t>
      </w:r>
      <w:r w:rsidR="00563CCD">
        <w:t xml:space="preserve">, perché </w:t>
      </w:r>
      <w:r w:rsidR="00D7379E">
        <w:t xml:space="preserve">la gestione e </w:t>
      </w:r>
      <w:r w:rsidR="00563CCD">
        <w:t xml:space="preserve">il monitoraggio </w:t>
      </w:r>
      <w:r w:rsidR="00D7379E">
        <w:t>dell’epidemia sono</w:t>
      </w:r>
      <w:r w:rsidR="00563CCD">
        <w:t xml:space="preserve"> </w:t>
      </w:r>
      <w:r w:rsidR="00D7379E">
        <w:t>affidati</w:t>
      </w:r>
      <w:r w:rsidR="00563CCD">
        <w:t xml:space="preserve"> a</w:t>
      </w:r>
      <w:r w:rsidR="00694962">
        <w:t xml:space="preserve"> </w:t>
      </w:r>
      <w:r w:rsidR="00563CCD">
        <w:t xml:space="preserve">21 diversi </w:t>
      </w:r>
      <w:r w:rsidR="00694962">
        <w:t xml:space="preserve">sistemi sanitari </w:t>
      </w:r>
      <w:r w:rsidR="002B720B">
        <w:t xml:space="preserve">che decideranno in totale autonomia </w:t>
      </w:r>
      <w:r w:rsidR="004E1C55">
        <w:t xml:space="preserve">ampliamenti e restrizioni delle misure </w:t>
      </w:r>
      <w:r w:rsidR="00EE3A7C">
        <w:t xml:space="preserve">in </w:t>
      </w:r>
      <w:r w:rsidR="004E1C55">
        <w:t xml:space="preserve">base </w:t>
      </w:r>
      <w:r w:rsidR="00EE3A7C">
        <w:t xml:space="preserve">ad una </w:t>
      </w:r>
      <w:r w:rsidR="002B720B">
        <w:t>situazione epidemiologica</w:t>
      </w:r>
      <w:r w:rsidR="00EE3A7C">
        <w:t xml:space="preserve"> autocertificata</w:t>
      </w:r>
      <w:r w:rsidR="00E54B88">
        <w:t>. La storia insegna che non è sano quando controllore e controllato coincidono</w:t>
      </w:r>
      <w:r w:rsidR="00694962" w:rsidRPr="00426E63">
        <w:rPr>
          <w:rFonts w:cstheme="minorHAnsi"/>
        </w:rPr>
        <w:t>»</w:t>
      </w:r>
      <w:r w:rsidR="00694962">
        <w:rPr>
          <w:lang w:eastAsia="it-IT"/>
        </w:rPr>
        <w:t>.</w:t>
      </w:r>
    </w:p>
    <w:p w:rsidR="00C73775" w:rsidRPr="00694962" w:rsidRDefault="00B443D8" w:rsidP="00E74431">
      <w:pPr>
        <w:spacing w:after="120"/>
        <w:jc w:val="both"/>
        <w:rPr>
          <w:rFonts w:cstheme="minorHAnsi"/>
          <w:i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9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5E4D48" w:rsidRPr="005E4D48" w:rsidRDefault="00124E32" w:rsidP="00694962">
      <w:pPr>
        <w:spacing w:after="120"/>
        <w:rPr>
          <w:rStyle w:val="Collegamentoipertestuale"/>
          <w:rFonts w:ascii="Calibri" w:eastAsia="Calibri" w:hAnsi="Calibri" w:cs="Times New Roman"/>
          <w:sz w:val="20"/>
          <w:u w:val="none"/>
        </w:r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0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sectPr w:rsidR="005E4D48" w:rsidRPr="005E4D48" w:rsidSect="00E9790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0A" w:rsidRDefault="0052680A">
      <w:pPr>
        <w:spacing w:after="0" w:line="240" w:lineRule="auto"/>
      </w:pPr>
      <w:r>
        <w:separator/>
      </w:r>
    </w:p>
  </w:endnote>
  <w:endnote w:type="continuationSeparator" w:id="0">
    <w:p w:rsidR="0052680A" w:rsidRDefault="0052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61" w:rsidRDefault="00AB6261">
    <w:pPr>
      <w:pStyle w:val="Pidipagina"/>
    </w:pPr>
  </w:p>
  <w:p w:rsidR="00AB6261" w:rsidRDefault="00AB6261">
    <w:pPr>
      <w:pStyle w:val="Pidipagina"/>
    </w:pPr>
  </w:p>
  <w:p w:rsidR="00AB6261" w:rsidRDefault="00AB6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0A" w:rsidRDefault="0052680A">
      <w:pPr>
        <w:spacing w:after="0" w:line="240" w:lineRule="auto"/>
      </w:pPr>
      <w:r>
        <w:separator/>
      </w:r>
    </w:p>
  </w:footnote>
  <w:footnote w:type="continuationSeparator" w:id="0">
    <w:p w:rsidR="0052680A" w:rsidRDefault="00526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261" w:rsidRPr="007F63C2" w:rsidRDefault="00AB6261" w:rsidP="00AB626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604"/>
    <w:multiLevelType w:val="hybridMultilevel"/>
    <w:tmpl w:val="A57E8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43303"/>
    <w:multiLevelType w:val="hybridMultilevel"/>
    <w:tmpl w:val="8A5A2E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24F39"/>
    <w:multiLevelType w:val="hybridMultilevel"/>
    <w:tmpl w:val="69648D6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15A8"/>
    <w:multiLevelType w:val="hybridMultilevel"/>
    <w:tmpl w:val="0400BF2C"/>
    <w:lvl w:ilvl="0" w:tplc="998AB3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D4321"/>
    <w:multiLevelType w:val="hybridMultilevel"/>
    <w:tmpl w:val="0ED2F1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E002442"/>
    <w:multiLevelType w:val="hybridMultilevel"/>
    <w:tmpl w:val="479ED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F2347"/>
    <w:multiLevelType w:val="hybridMultilevel"/>
    <w:tmpl w:val="57E07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8208B"/>
    <w:multiLevelType w:val="hybridMultilevel"/>
    <w:tmpl w:val="355A3D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6221E"/>
    <w:multiLevelType w:val="hybridMultilevel"/>
    <w:tmpl w:val="2D7C4A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DD4829"/>
    <w:multiLevelType w:val="hybridMultilevel"/>
    <w:tmpl w:val="1D3AAB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71EB7"/>
    <w:multiLevelType w:val="hybridMultilevel"/>
    <w:tmpl w:val="110C4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295591"/>
    <w:multiLevelType w:val="hybridMultilevel"/>
    <w:tmpl w:val="E4C6FC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B19ED"/>
    <w:multiLevelType w:val="hybridMultilevel"/>
    <w:tmpl w:val="9266E57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21414"/>
    <w:multiLevelType w:val="hybridMultilevel"/>
    <w:tmpl w:val="E7AA0E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EA6FAD"/>
    <w:multiLevelType w:val="hybridMultilevel"/>
    <w:tmpl w:val="1F44E246"/>
    <w:lvl w:ilvl="0" w:tplc="968CF78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64A556C3"/>
    <w:multiLevelType w:val="hybridMultilevel"/>
    <w:tmpl w:val="65A615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FF4981"/>
    <w:multiLevelType w:val="hybridMultilevel"/>
    <w:tmpl w:val="20C6D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5A584A"/>
    <w:multiLevelType w:val="hybridMultilevel"/>
    <w:tmpl w:val="A774A8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5517D3"/>
    <w:multiLevelType w:val="hybridMultilevel"/>
    <w:tmpl w:val="4D2CD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31ACA"/>
    <w:multiLevelType w:val="hybridMultilevel"/>
    <w:tmpl w:val="C0D66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0"/>
  </w:num>
  <w:num w:numId="4">
    <w:abstractNumId w:val="9"/>
  </w:num>
  <w:num w:numId="5">
    <w:abstractNumId w:val="27"/>
  </w:num>
  <w:num w:numId="6">
    <w:abstractNumId w:val="3"/>
  </w:num>
  <w:num w:numId="7">
    <w:abstractNumId w:val="8"/>
  </w:num>
  <w:num w:numId="8">
    <w:abstractNumId w:val="23"/>
  </w:num>
  <w:num w:numId="9">
    <w:abstractNumId w:val="6"/>
  </w:num>
  <w:num w:numId="10">
    <w:abstractNumId w:val="19"/>
  </w:num>
  <w:num w:numId="11">
    <w:abstractNumId w:val="13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1"/>
  </w:num>
  <w:num w:numId="17">
    <w:abstractNumId w:val="22"/>
  </w:num>
  <w:num w:numId="18">
    <w:abstractNumId w:val="7"/>
  </w:num>
  <w:num w:numId="19">
    <w:abstractNumId w:val="26"/>
  </w:num>
  <w:num w:numId="20">
    <w:abstractNumId w:val="5"/>
  </w:num>
  <w:num w:numId="21">
    <w:abstractNumId w:val="25"/>
  </w:num>
  <w:num w:numId="22">
    <w:abstractNumId w:val="28"/>
  </w:num>
  <w:num w:numId="23">
    <w:abstractNumId w:val="32"/>
  </w:num>
  <w:num w:numId="24">
    <w:abstractNumId w:val="10"/>
  </w:num>
  <w:num w:numId="25">
    <w:abstractNumId w:val="14"/>
  </w:num>
  <w:num w:numId="26">
    <w:abstractNumId w:val="21"/>
  </w:num>
  <w:num w:numId="27">
    <w:abstractNumId w:val="15"/>
  </w:num>
  <w:num w:numId="28">
    <w:abstractNumId w:val="31"/>
  </w:num>
  <w:num w:numId="29">
    <w:abstractNumId w:val="4"/>
  </w:num>
  <w:num w:numId="30">
    <w:abstractNumId w:val="12"/>
  </w:num>
  <w:num w:numId="31">
    <w:abstractNumId w:val="30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7E2D"/>
    <w:rsid w:val="00010AEF"/>
    <w:rsid w:val="000171CE"/>
    <w:rsid w:val="000177CD"/>
    <w:rsid w:val="000179EC"/>
    <w:rsid w:val="000200E1"/>
    <w:rsid w:val="00020961"/>
    <w:rsid w:val="00023E97"/>
    <w:rsid w:val="00023F18"/>
    <w:rsid w:val="0002681D"/>
    <w:rsid w:val="00026DC0"/>
    <w:rsid w:val="0003329E"/>
    <w:rsid w:val="000403F0"/>
    <w:rsid w:val="000548AC"/>
    <w:rsid w:val="0005649A"/>
    <w:rsid w:val="00057675"/>
    <w:rsid w:val="000648AF"/>
    <w:rsid w:val="000713E0"/>
    <w:rsid w:val="00071F3F"/>
    <w:rsid w:val="00075811"/>
    <w:rsid w:val="0007670E"/>
    <w:rsid w:val="000814F4"/>
    <w:rsid w:val="000825F6"/>
    <w:rsid w:val="00084B5C"/>
    <w:rsid w:val="00085BB2"/>
    <w:rsid w:val="00090BE2"/>
    <w:rsid w:val="00091C99"/>
    <w:rsid w:val="00092A9D"/>
    <w:rsid w:val="00093477"/>
    <w:rsid w:val="000943CF"/>
    <w:rsid w:val="00094EF2"/>
    <w:rsid w:val="000A7474"/>
    <w:rsid w:val="000B0330"/>
    <w:rsid w:val="000B0C72"/>
    <w:rsid w:val="000B2A0D"/>
    <w:rsid w:val="000B39F5"/>
    <w:rsid w:val="000B6E50"/>
    <w:rsid w:val="000C1EDD"/>
    <w:rsid w:val="000C22C6"/>
    <w:rsid w:val="000C2ECA"/>
    <w:rsid w:val="000D1769"/>
    <w:rsid w:val="000D46EF"/>
    <w:rsid w:val="000D511E"/>
    <w:rsid w:val="000E173F"/>
    <w:rsid w:val="000E2B65"/>
    <w:rsid w:val="000E52FD"/>
    <w:rsid w:val="000E7E48"/>
    <w:rsid w:val="000F23C9"/>
    <w:rsid w:val="000F245F"/>
    <w:rsid w:val="000F2E5C"/>
    <w:rsid w:val="000F36BF"/>
    <w:rsid w:val="000F41B1"/>
    <w:rsid w:val="000F4E69"/>
    <w:rsid w:val="000F655E"/>
    <w:rsid w:val="000F7D28"/>
    <w:rsid w:val="000F7EE8"/>
    <w:rsid w:val="001059AD"/>
    <w:rsid w:val="00106B5A"/>
    <w:rsid w:val="00113053"/>
    <w:rsid w:val="00120A78"/>
    <w:rsid w:val="00122253"/>
    <w:rsid w:val="00123005"/>
    <w:rsid w:val="0012440D"/>
    <w:rsid w:val="00124E32"/>
    <w:rsid w:val="00126676"/>
    <w:rsid w:val="001305E0"/>
    <w:rsid w:val="001320B9"/>
    <w:rsid w:val="001341D8"/>
    <w:rsid w:val="001408D2"/>
    <w:rsid w:val="00143BB8"/>
    <w:rsid w:val="00145178"/>
    <w:rsid w:val="00145AFE"/>
    <w:rsid w:val="00146588"/>
    <w:rsid w:val="00153115"/>
    <w:rsid w:val="0015330A"/>
    <w:rsid w:val="00156186"/>
    <w:rsid w:val="00166D9E"/>
    <w:rsid w:val="00181A3C"/>
    <w:rsid w:val="00183566"/>
    <w:rsid w:val="00186CF1"/>
    <w:rsid w:val="001975A0"/>
    <w:rsid w:val="001A0964"/>
    <w:rsid w:val="001A25A5"/>
    <w:rsid w:val="001A3EC6"/>
    <w:rsid w:val="001A642A"/>
    <w:rsid w:val="001C07D8"/>
    <w:rsid w:val="001C3871"/>
    <w:rsid w:val="001D0755"/>
    <w:rsid w:val="001D0A23"/>
    <w:rsid w:val="001D1D83"/>
    <w:rsid w:val="001D59FE"/>
    <w:rsid w:val="001D6D39"/>
    <w:rsid w:val="001D7BC3"/>
    <w:rsid w:val="001E06CF"/>
    <w:rsid w:val="001E15A7"/>
    <w:rsid w:val="001E235C"/>
    <w:rsid w:val="001E456C"/>
    <w:rsid w:val="001E6000"/>
    <w:rsid w:val="001E66B3"/>
    <w:rsid w:val="001F06CD"/>
    <w:rsid w:val="001F2345"/>
    <w:rsid w:val="001F44CB"/>
    <w:rsid w:val="001F69E0"/>
    <w:rsid w:val="001F70E6"/>
    <w:rsid w:val="0020426D"/>
    <w:rsid w:val="00204847"/>
    <w:rsid w:val="00210F6C"/>
    <w:rsid w:val="00213097"/>
    <w:rsid w:val="002149D9"/>
    <w:rsid w:val="00217534"/>
    <w:rsid w:val="002205C9"/>
    <w:rsid w:val="00223CBF"/>
    <w:rsid w:val="002273E1"/>
    <w:rsid w:val="002312FB"/>
    <w:rsid w:val="002322EE"/>
    <w:rsid w:val="0023571B"/>
    <w:rsid w:val="002419BE"/>
    <w:rsid w:val="00242C01"/>
    <w:rsid w:val="002442BE"/>
    <w:rsid w:val="0024526B"/>
    <w:rsid w:val="002462CC"/>
    <w:rsid w:val="0024709B"/>
    <w:rsid w:val="0025235A"/>
    <w:rsid w:val="0025387F"/>
    <w:rsid w:val="00255F11"/>
    <w:rsid w:val="0025799B"/>
    <w:rsid w:val="00260A99"/>
    <w:rsid w:val="002666F4"/>
    <w:rsid w:val="00277511"/>
    <w:rsid w:val="002813A7"/>
    <w:rsid w:val="002815AC"/>
    <w:rsid w:val="0028323F"/>
    <w:rsid w:val="002837E8"/>
    <w:rsid w:val="00284702"/>
    <w:rsid w:val="00287EB2"/>
    <w:rsid w:val="002A2668"/>
    <w:rsid w:val="002A406C"/>
    <w:rsid w:val="002A4E8D"/>
    <w:rsid w:val="002A59D9"/>
    <w:rsid w:val="002A5FA2"/>
    <w:rsid w:val="002B0D63"/>
    <w:rsid w:val="002B2BF2"/>
    <w:rsid w:val="002B720B"/>
    <w:rsid w:val="002C0C1B"/>
    <w:rsid w:val="002C455A"/>
    <w:rsid w:val="002D559D"/>
    <w:rsid w:val="002D63E0"/>
    <w:rsid w:val="002D76E0"/>
    <w:rsid w:val="002E182B"/>
    <w:rsid w:val="002F1137"/>
    <w:rsid w:val="002F24F3"/>
    <w:rsid w:val="00304BC8"/>
    <w:rsid w:val="00306D88"/>
    <w:rsid w:val="00317538"/>
    <w:rsid w:val="00320024"/>
    <w:rsid w:val="00326A22"/>
    <w:rsid w:val="00326E55"/>
    <w:rsid w:val="00327AF6"/>
    <w:rsid w:val="00327D55"/>
    <w:rsid w:val="00327D6B"/>
    <w:rsid w:val="00330B57"/>
    <w:rsid w:val="0033740A"/>
    <w:rsid w:val="00340148"/>
    <w:rsid w:val="003418BE"/>
    <w:rsid w:val="00343D23"/>
    <w:rsid w:val="0034652C"/>
    <w:rsid w:val="0035199B"/>
    <w:rsid w:val="003522D4"/>
    <w:rsid w:val="00352733"/>
    <w:rsid w:val="00355D9B"/>
    <w:rsid w:val="003624F9"/>
    <w:rsid w:val="00363CCA"/>
    <w:rsid w:val="00366EFC"/>
    <w:rsid w:val="00372C7D"/>
    <w:rsid w:val="00375555"/>
    <w:rsid w:val="00376B13"/>
    <w:rsid w:val="00382832"/>
    <w:rsid w:val="0038480D"/>
    <w:rsid w:val="00384DF4"/>
    <w:rsid w:val="00384F8E"/>
    <w:rsid w:val="00387426"/>
    <w:rsid w:val="0039342D"/>
    <w:rsid w:val="0039540D"/>
    <w:rsid w:val="00395827"/>
    <w:rsid w:val="003A0175"/>
    <w:rsid w:val="003B265B"/>
    <w:rsid w:val="003B4B8E"/>
    <w:rsid w:val="003B6944"/>
    <w:rsid w:val="003B7ED5"/>
    <w:rsid w:val="003C3A9A"/>
    <w:rsid w:val="003C6EB4"/>
    <w:rsid w:val="003D1749"/>
    <w:rsid w:val="003D2181"/>
    <w:rsid w:val="003D5C6D"/>
    <w:rsid w:val="003D72C2"/>
    <w:rsid w:val="003E0151"/>
    <w:rsid w:val="003E228A"/>
    <w:rsid w:val="003E318E"/>
    <w:rsid w:val="003E62A0"/>
    <w:rsid w:val="003F263A"/>
    <w:rsid w:val="003F4964"/>
    <w:rsid w:val="003F5E91"/>
    <w:rsid w:val="003F66ED"/>
    <w:rsid w:val="00400B49"/>
    <w:rsid w:val="0040375B"/>
    <w:rsid w:val="00410301"/>
    <w:rsid w:val="00410D3F"/>
    <w:rsid w:val="00412031"/>
    <w:rsid w:val="0041302D"/>
    <w:rsid w:val="004148F2"/>
    <w:rsid w:val="004173E1"/>
    <w:rsid w:val="00417C1C"/>
    <w:rsid w:val="00420CC8"/>
    <w:rsid w:val="004214E3"/>
    <w:rsid w:val="00423519"/>
    <w:rsid w:val="00423ED3"/>
    <w:rsid w:val="00425C3A"/>
    <w:rsid w:val="00426E63"/>
    <w:rsid w:val="00435198"/>
    <w:rsid w:val="004367DA"/>
    <w:rsid w:val="00436FAA"/>
    <w:rsid w:val="00437BB8"/>
    <w:rsid w:val="0044090F"/>
    <w:rsid w:val="004421F3"/>
    <w:rsid w:val="00442538"/>
    <w:rsid w:val="00452499"/>
    <w:rsid w:val="004534C0"/>
    <w:rsid w:val="004549CB"/>
    <w:rsid w:val="00455F70"/>
    <w:rsid w:val="00456FB9"/>
    <w:rsid w:val="004640C3"/>
    <w:rsid w:val="00467C46"/>
    <w:rsid w:val="00470353"/>
    <w:rsid w:val="004703BD"/>
    <w:rsid w:val="0047278C"/>
    <w:rsid w:val="004738FE"/>
    <w:rsid w:val="00476F10"/>
    <w:rsid w:val="004805BB"/>
    <w:rsid w:val="00481A32"/>
    <w:rsid w:val="00490381"/>
    <w:rsid w:val="00491E3C"/>
    <w:rsid w:val="00494885"/>
    <w:rsid w:val="0049547A"/>
    <w:rsid w:val="004967D2"/>
    <w:rsid w:val="00497EF9"/>
    <w:rsid w:val="004A0133"/>
    <w:rsid w:val="004A3A40"/>
    <w:rsid w:val="004A574D"/>
    <w:rsid w:val="004A7E1A"/>
    <w:rsid w:val="004B42D3"/>
    <w:rsid w:val="004B47DC"/>
    <w:rsid w:val="004B61D0"/>
    <w:rsid w:val="004B6772"/>
    <w:rsid w:val="004C12A9"/>
    <w:rsid w:val="004C41A8"/>
    <w:rsid w:val="004C50A7"/>
    <w:rsid w:val="004D14CA"/>
    <w:rsid w:val="004D26DF"/>
    <w:rsid w:val="004D3455"/>
    <w:rsid w:val="004E0107"/>
    <w:rsid w:val="004E1A67"/>
    <w:rsid w:val="004E1AC9"/>
    <w:rsid w:val="004E1C55"/>
    <w:rsid w:val="004E28AD"/>
    <w:rsid w:val="004E7D1A"/>
    <w:rsid w:val="004F173B"/>
    <w:rsid w:val="004F2759"/>
    <w:rsid w:val="004F29CC"/>
    <w:rsid w:val="004F61AA"/>
    <w:rsid w:val="00500C22"/>
    <w:rsid w:val="00503976"/>
    <w:rsid w:val="00504E2E"/>
    <w:rsid w:val="005052B2"/>
    <w:rsid w:val="005165ED"/>
    <w:rsid w:val="00517A96"/>
    <w:rsid w:val="00521CAE"/>
    <w:rsid w:val="00523087"/>
    <w:rsid w:val="0052545F"/>
    <w:rsid w:val="005267F6"/>
    <w:rsid w:val="0052680A"/>
    <w:rsid w:val="00533A6A"/>
    <w:rsid w:val="005359A5"/>
    <w:rsid w:val="00546091"/>
    <w:rsid w:val="00547577"/>
    <w:rsid w:val="005531F6"/>
    <w:rsid w:val="00557FAC"/>
    <w:rsid w:val="00563CCD"/>
    <w:rsid w:val="00565896"/>
    <w:rsid w:val="00572076"/>
    <w:rsid w:val="005721B6"/>
    <w:rsid w:val="00572631"/>
    <w:rsid w:val="0057494F"/>
    <w:rsid w:val="005771AC"/>
    <w:rsid w:val="00582B47"/>
    <w:rsid w:val="00583FAC"/>
    <w:rsid w:val="005879F9"/>
    <w:rsid w:val="00596FA8"/>
    <w:rsid w:val="005A69DC"/>
    <w:rsid w:val="005B1EBE"/>
    <w:rsid w:val="005B67AE"/>
    <w:rsid w:val="005C044A"/>
    <w:rsid w:val="005C08B9"/>
    <w:rsid w:val="005C092C"/>
    <w:rsid w:val="005D08B3"/>
    <w:rsid w:val="005D2F9E"/>
    <w:rsid w:val="005D38E6"/>
    <w:rsid w:val="005E053F"/>
    <w:rsid w:val="005E3CCE"/>
    <w:rsid w:val="005E4D48"/>
    <w:rsid w:val="005E6366"/>
    <w:rsid w:val="005E6C0B"/>
    <w:rsid w:val="005F5D57"/>
    <w:rsid w:val="005F6212"/>
    <w:rsid w:val="005F7A93"/>
    <w:rsid w:val="00603550"/>
    <w:rsid w:val="00604DAE"/>
    <w:rsid w:val="00612F59"/>
    <w:rsid w:val="00615B1C"/>
    <w:rsid w:val="0062113D"/>
    <w:rsid w:val="00632682"/>
    <w:rsid w:val="006335B7"/>
    <w:rsid w:val="006344FF"/>
    <w:rsid w:val="006347C6"/>
    <w:rsid w:val="006477D2"/>
    <w:rsid w:val="00652253"/>
    <w:rsid w:val="00652364"/>
    <w:rsid w:val="00652B1A"/>
    <w:rsid w:val="00653022"/>
    <w:rsid w:val="006532E3"/>
    <w:rsid w:val="00655C4A"/>
    <w:rsid w:val="00656B65"/>
    <w:rsid w:val="006602C7"/>
    <w:rsid w:val="00661A48"/>
    <w:rsid w:val="006623CF"/>
    <w:rsid w:val="00683B45"/>
    <w:rsid w:val="006925E7"/>
    <w:rsid w:val="00694962"/>
    <w:rsid w:val="006A3B33"/>
    <w:rsid w:val="006B2769"/>
    <w:rsid w:val="006B40E8"/>
    <w:rsid w:val="006B6C0F"/>
    <w:rsid w:val="006C22E4"/>
    <w:rsid w:val="006C42F3"/>
    <w:rsid w:val="006C458D"/>
    <w:rsid w:val="006C61CF"/>
    <w:rsid w:val="006D0D40"/>
    <w:rsid w:val="006D127C"/>
    <w:rsid w:val="006D4E98"/>
    <w:rsid w:val="006D51B1"/>
    <w:rsid w:val="006D696D"/>
    <w:rsid w:val="006E2575"/>
    <w:rsid w:val="006E5D20"/>
    <w:rsid w:val="006F6445"/>
    <w:rsid w:val="006F73C1"/>
    <w:rsid w:val="006F7F56"/>
    <w:rsid w:val="00706AE0"/>
    <w:rsid w:val="00711A1B"/>
    <w:rsid w:val="00716D6F"/>
    <w:rsid w:val="00716E9B"/>
    <w:rsid w:val="00723A22"/>
    <w:rsid w:val="0072783E"/>
    <w:rsid w:val="007313D5"/>
    <w:rsid w:val="00732E2F"/>
    <w:rsid w:val="00740A9A"/>
    <w:rsid w:val="00742B69"/>
    <w:rsid w:val="00743648"/>
    <w:rsid w:val="007456CB"/>
    <w:rsid w:val="007476C5"/>
    <w:rsid w:val="00753608"/>
    <w:rsid w:val="0075480B"/>
    <w:rsid w:val="00757AB3"/>
    <w:rsid w:val="007606A9"/>
    <w:rsid w:val="007607AB"/>
    <w:rsid w:val="007626CA"/>
    <w:rsid w:val="0076281B"/>
    <w:rsid w:val="0076336E"/>
    <w:rsid w:val="007762D0"/>
    <w:rsid w:val="00777568"/>
    <w:rsid w:val="0077798A"/>
    <w:rsid w:val="00777E57"/>
    <w:rsid w:val="00780B5E"/>
    <w:rsid w:val="00780B6B"/>
    <w:rsid w:val="00780CCA"/>
    <w:rsid w:val="007826E4"/>
    <w:rsid w:val="007836E4"/>
    <w:rsid w:val="00787430"/>
    <w:rsid w:val="007952F9"/>
    <w:rsid w:val="00797683"/>
    <w:rsid w:val="007A206A"/>
    <w:rsid w:val="007A32B3"/>
    <w:rsid w:val="007A3D49"/>
    <w:rsid w:val="007A5918"/>
    <w:rsid w:val="007A5CE7"/>
    <w:rsid w:val="007A70DF"/>
    <w:rsid w:val="007B0DB7"/>
    <w:rsid w:val="007B16AC"/>
    <w:rsid w:val="007B2B63"/>
    <w:rsid w:val="007C2BCE"/>
    <w:rsid w:val="007C3065"/>
    <w:rsid w:val="007D0C94"/>
    <w:rsid w:val="007D1284"/>
    <w:rsid w:val="007D7805"/>
    <w:rsid w:val="007E2BA6"/>
    <w:rsid w:val="007E2C64"/>
    <w:rsid w:val="007E6483"/>
    <w:rsid w:val="007F4E27"/>
    <w:rsid w:val="00801134"/>
    <w:rsid w:val="00805F05"/>
    <w:rsid w:val="00806C38"/>
    <w:rsid w:val="00807B71"/>
    <w:rsid w:val="00812008"/>
    <w:rsid w:val="00813DA2"/>
    <w:rsid w:val="00813FAA"/>
    <w:rsid w:val="00815132"/>
    <w:rsid w:val="00822659"/>
    <w:rsid w:val="00825192"/>
    <w:rsid w:val="0082682D"/>
    <w:rsid w:val="0083016D"/>
    <w:rsid w:val="00834413"/>
    <w:rsid w:val="00835264"/>
    <w:rsid w:val="008376AC"/>
    <w:rsid w:val="0084002B"/>
    <w:rsid w:val="00840E9B"/>
    <w:rsid w:val="0084133F"/>
    <w:rsid w:val="00846034"/>
    <w:rsid w:val="008505F6"/>
    <w:rsid w:val="00852832"/>
    <w:rsid w:val="0085473A"/>
    <w:rsid w:val="00854B36"/>
    <w:rsid w:val="00855916"/>
    <w:rsid w:val="008610BB"/>
    <w:rsid w:val="008613A9"/>
    <w:rsid w:val="00862990"/>
    <w:rsid w:val="00873715"/>
    <w:rsid w:val="00873732"/>
    <w:rsid w:val="00873E22"/>
    <w:rsid w:val="008822E7"/>
    <w:rsid w:val="00882A5C"/>
    <w:rsid w:val="00885C9E"/>
    <w:rsid w:val="00886B2E"/>
    <w:rsid w:val="00891E62"/>
    <w:rsid w:val="00893D88"/>
    <w:rsid w:val="00893E02"/>
    <w:rsid w:val="008A4CFF"/>
    <w:rsid w:val="008A55F7"/>
    <w:rsid w:val="008A5BA9"/>
    <w:rsid w:val="008A6587"/>
    <w:rsid w:val="008A7176"/>
    <w:rsid w:val="008A7D9C"/>
    <w:rsid w:val="008B1878"/>
    <w:rsid w:val="008D207B"/>
    <w:rsid w:val="008D29B3"/>
    <w:rsid w:val="008D2AAD"/>
    <w:rsid w:val="008D4F5C"/>
    <w:rsid w:val="008D6891"/>
    <w:rsid w:val="008E5187"/>
    <w:rsid w:val="008E6971"/>
    <w:rsid w:val="008F1612"/>
    <w:rsid w:val="008F3704"/>
    <w:rsid w:val="008F4115"/>
    <w:rsid w:val="00900D84"/>
    <w:rsid w:val="00901A6B"/>
    <w:rsid w:val="0090383F"/>
    <w:rsid w:val="009049BC"/>
    <w:rsid w:val="0090674D"/>
    <w:rsid w:val="00911CAF"/>
    <w:rsid w:val="00911D2E"/>
    <w:rsid w:val="00912E46"/>
    <w:rsid w:val="00913C78"/>
    <w:rsid w:val="00921D60"/>
    <w:rsid w:val="00924455"/>
    <w:rsid w:val="009249AB"/>
    <w:rsid w:val="00925D82"/>
    <w:rsid w:val="00932B6D"/>
    <w:rsid w:val="0093426F"/>
    <w:rsid w:val="00934EC7"/>
    <w:rsid w:val="00936453"/>
    <w:rsid w:val="00940309"/>
    <w:rsid w:val="00941121"/>
    <w:rsid w:val="009435DE"/>
    <w:rsid w:val="00943DE0"/>
    <w:rsid w:val="00945A20"/>
    <w:rsid w:val="00945E9B"/>
    <w:rsid w:val="00946221"/>
    <w:rsid w:val="009475F0"/>
    <w:rsid w:val="0095131B"/>
    <w:rsid w:val="00954287"/>
    <w:rsid w:val="0095482C"/>
    <w:rsid w:val="00955E2A"/>
    <w:rsid w:val="0096051E"/>
    <w:rsid w:val="00965C93"/>
    <w:rsid w:val="00967957"/>
    <w:rsid w:val="00974EC8"/>
    <w:rsid w:val="00975612"/>
    <w:rsid w:val="00984DF6"/>
    <w:rsid w:val="009956AF"/>
    <w:rsid w:val="009A33DB"/>
    <w:rsid w:val="009A64A5"/>
    <w:rsid w:val="009A7E66"/>
    <w:rsid w:val="009B0507"/>
    <w:rsid w:val="009B314F"/>
    <w:rsid w:val="009B4017"/>
    <w:rsid w:val="009B7B66"/>
    <w:rsid w:val="009C113E"/>
    <w:rsid w:val="009D5834"/>
    <w:rsid w:val="009E00EC"/>
    <w:rsid w:val="009E0341"/>
    <w:rsid w:val="009E0E19"/>
    <w:rsid w:val="009E1E52"/>
    <w:rsid w:val="009E6748"/>
    <w:rsid w:val="009F2B01"/>
    <w:rsid w:val="009F7BF1"/>
    <w:rsid w:val="00A04FD5"/>
    <w:rsid w:val="00A05149"/>
    <w:rsid w:val="00A05DA4"/>
    <w:rsid w:val="00A10324"/>
    <w:rsid w:val="00A125C6"/>
    <w:rsid w:val="00A148E1"/>
    <w:rsid w:val="00A208E0"/>
    <w:rsid w:val="00A24080"/>
    <w:rsid w:val="00A245F6"/>
    <w:rsid w:val="00A26E17"/>
    <w:rsid w:val="00A30F6E"/>
    <w:rsid w:val="00A327F3"/>
    <w:rsid w:val="00A32A97"/>
    <w:rsid w:val="00A33EF5"/>
    <w:rsid w:val="00A44605"/>
    <w:rsid w:val="00A4525F"/>
    <w:rsid w:val="00A4555F"/>
    <w:rsid w:val="00A45A8E"/>
    <w:rsid w:val="00A46BA1"/>
    <w:rsid w:val="00A55FC9"/>
    <w:rsid w:val="00A60230"/>
    <w:rsid w:val="00A63180"/>
    <w:rsid w:val="00A6368F"/>
    <w:rsid w:val="00A641A0"/>
    <w:rsid w:val="00A651A2"/>
    <w:rsid w:val="00A6607A"/>
    <w:rsid w:val="00A67218"/>
    <w:rsid w:val="00A67B4E"/>
    <w:rsid w:val="00A7642C"/>
    <w:rsid w:val="00A8160A"/>
    <w:rsid w:val="00A822F6"/>
    <w:rsid w:val="00A833AA"/>
    <w:rsid w:val="00A848D3"/>
    <w:rsid w:val="00A86612"/>
    <w:rsid w:val="00A8692E"/>
    <w:rsid w:val="00AA1769"/>
    <w:rsid w:val="00AA3B9C"/>
    <w:rsid w:val="00AA51B4"/>
    <w:rsid w:val="00AA7482"/>
    <w:rsid w:val="00AB3B81"/>
    <w:rsid w:val="00AB6261"/>
    <w:rsid w:val="00AB7A6D"/>
    <w:rsid w:val="00AC2A51"/>
    <w:rsid w:val="00AC381E"/>
    <w:rsid w:val="00AD4714"/>
    <w:rsid w:val="00AD510C"/>
    <w:rsid w:val="00AD7137"/>
    <w:rsid w:val="00AE09AA"/>
    <w:rsid w:val="00AE0BBF"/>
    <w:rsid w:val="00AE3EA3"/>
    <w:rsid w:val="00AF0EB8"/>
    <w:rsid w:val="00AF55DD"/>
    <w:rsid w:val="00AF71E2"/>
    <w:rsid w:val="00B01615"/>
    <w:rsid w:val="00B04792"/>
    <w:rsid w:val="00B050EF"/>
    <w:rsid w:val="00B05944"/>
    <w:rsid w:val="00B06D04"/>
    <w:rsid w:val="00B146DA"/>
    <w:rsid w:val="00B14846"/>
    <w:rsid w:val="00B17140"/>
    <w:rsid w:val="00B20E46"/>
    <w:rsid w:val="00B21220"/>
    <w:rsid w:val="00B23F66"/>
    <w:rsid w:val="00B24821"/>
    <w:rsid w:val="00B27A9C"/>
    <w:rsid w:val="00B3670B"/>
    <w:rsid w:val="00B443D8"/>
    <w:rsid w:val="00B45494"/>
    <w:rsid w:val="00B462EE"/>
    <w:rsid w:val="00B467BE"/>
    <w:rsid w:val="00B51705"/>
    <w:rsid w:val="00B54AEA"/>
    <w:rsid w:val="00B552B6"/>
    <w:rsid w:val="00B639F9"/>
    <w:rsid w:val="00B661A5"/>
    <w:rsid w:val="00B723A3"/>
    <w:rsid w:val="00B73010"/>
    <w:rsid w:val="00B73CBB"/>
    <w:rsid w:val="00B76857"/>
    <w:rsid w:val="00B812D1"/>
    <w:rsid w:val="00B82B20"/>
    <w:rsid w:val="00B84D86"/>
    <w:rsid w:val="00B8711E"/>
    <w:rsid w:val="00B92D75"/>
    <w:rsid w:val="00B94F94"/>
    <w:rsid w:val="00B95C5D"/>
    <w:rsid w:val="00B97FDE"/>
    <w:rsid w:val="00BA08BE"/>
    <w:rsid w:val="00BA095D"/>
    <w:rsid w:val="00BA36F7"/>
    <w:rsid w:val="00BA38B8"/>
    <w:rsid w:val="00BA3DDE"/>
    <w:rsid w:val="00BA6C69"/>
    <w:rsid w:val="00BA7AE5"/>
    <w:rsid w:val="00BB0200"/>
    <w:rsid w:val="00BB1A7D"/>
    <w:rsid w:val="00BB25E0"/>
    <w:rsid w:val="00BB42FE"/>
    <w:rsid w:val="00BC1400"/>
    <w:rsid w:val="00BC29E2"/>
    <w:rsid w:val="00BD12F3"/>
    <w:rsid w:val="00BD2441"/>
    <w:rsid w:val="00BD618E"/>
    <w:rsid w:val="00BD689A"/>
    <w:rsid w:val="00BE033B"/>
    <w:rsid w:val="00BE274A"/>
    <w:rsid w:val="00BE2807"/>
    <w:rsid w:val="00BE31EE"/>
    <w:rsid w:val="00BE704A"/>
    <w:rsid w:val="00BE79EC"/>
    <w:rsid w:val="00BF0218"/>
    <w:rsid w:val="00BF22E3"/>
    <w:rsid w:val="00BF55EA"/>
    <w:rsid w:val="00BF656A"/>
    <w:rsid w:val="00C006E7"/>
    <w:rsid w:val="00C01B35"/>
    <w:rsid w:val="00C024D8"/>
    <w:rsid w:val="00C05F98"/>
    <w:rsid w:val="00C1065A"/>
    <w:rsid w:val="00C12018"/>
    <w:rsid w:val="00C15A46"/>
    <w:rsid w:val="00C15FCE"/>
    <w:rsid w:val="00C249E7"/>
    <w:rsid w:val="00C276DD"/>
    <w:rsid w:val="00C30594"/>
    <w:rsid w:val="00C33DBE"/>
    <w:rsid w:val="00C35F86"/>
    <w:rsid w:val="00C44FA0"/>
    <w:rsid w:val="00C4623F"/>
    <w:rsid w:val="00C6226B"/>
    <w:rsid w:val="00C64990"/>
    <w:rsid w:val="00C71643"/>
    <w:rsid w:val="00C7252C"/>
    <w:rsid w:val="00C73775"/>
    <w:rsid w:val="00C74C22"/>
    <w:rsid w:val="00C83CAC"/>
    <w:rsid w:val="00C8616D"/>
    <w:rsid w:val="00C91496"/>
    <w:rsid w:val="00C9165C"/>
    <w:rsid w:val="00C97145"/>
    <w:rsid w:val="00CA461A"/>
    <w:rsid w:val="00CA71BA"/>
    <w:rsid w:val="00CB5127"/>
    <w:rsid w:val="00CC6930"/>
    <w:rsid w:val="00CC76C8"/>
    <w:rsid w:val="00CD173C"/>
    <w:rsid w:val="00CD2D6A"/>
    <w:rsid w:val="00CE10AB"/>
    <w:rsid w:val="00CE2B79"/>
    <w:rsid w:val="00CE6335"/>
    <w:rsid w:val="00CE65F9"/>
    <w:rsid w:val="00CE71FC"/>
    <w:rsid w:val="00CF22F0"/>
    <w:rsid w:val="00CF2A45"/>
    <w:rsid w:val="00CF4849"/>
    <w:rsid w:val="00CF77FD"/>
    <w:rsid w:val="00D06D81"/>
    <w:rsid w:val="00D10DBB"/>
    <w:rsid w:val="00D152EE"/>
    <w:rsid w:val="00D17AA3"/>
    <w:rsid w:val="00D218D6"/>
    <w:rsid w:val="00D23C21"/>
    <w:rsid w:val="00D23CCE"/>
    <w:rsid w:val="00D25F59"/>
    <w:rsid w:val="00D31C5A"/>
    <w:rsid w:val="00D332DE"/>
    <w:rsid w:val="00D36C46"/>
    <w:rsid w:val="00D40BC4"/>
    <w:rsid w:val="00D40DE5"/>
    <w:rsid w:val="00D41B85"/>
    <w:rsid w:val="00D44392"/>
    <w:rsid w:val="00D53A14"/>
    <w:rsid w:val="00D54FC4"/>
    <w:rsid w:val="00D6343C"/>
    <w:rsid w:val="00D648FE"/>
    <w:rsid w:val="00D67259"/>
    <w:rsid w:val="00D70181"/>
    <w:rsid w:val="00D72B5B"/>
    <w:rsid w:val="00D72ED4"/>
    <w:rsid w:val="00D7379E"/>
    <w:rsid w:val="00D7556D"/>
    <w:rsid w:val="00D75B91"/>
    <w:rsid w:val="00D77456"/>
    <w:rsid w:val="00D80343"/>
    <w:rsid w:val="00D81C78"/>
    <w:rsid w:val="00D85BF7"/>
    <w:rsid w:val="00D8774A"/>
    <w:rsid w:val="00D90AB3"/>
    <w:rsid w:val="00D914F7"/>
    <w:rsid w:val="00D932BA"/>
    <w:rsid w:val="00D96620"/>
    <w:rsid w:val="00DA64E7"/>
    <w:rsid w:val="00DA710F"/>
    <w:rsid w:val="00DB68E5"/>
    <w:rsid w:val="00DB6BCB"/>
    <w:rsid w:val="00DC3221"/>
    <w:rsid w:val="00DC4DE7"/>
    <w:rsid w:val="00DD0598"/>
    <w:rsid w:val="00DD1B63"/>
    <w:rsid w:val="00DD24D5"/>
    <w:rsid w:val="00DE42BF"/>
    <w:rsid w:val="00DE6438"/>
    <w:rsid w:val="00DF33AF"/>
    <w:rsid w:val="00DF7EF2"/>
    <w:rsid w:val="00E0214D"/>
    <w:rsid w:val="00E025AE"/>
    <w:rsid w:val="00E02ACD"/>
    <w:rsid w:val="00E04696"/>
    <w:rsid w:val="00E10568"/>
    <w:rsid w:val="00E1162E"/>
    <w:rsid w:val="00E15139"/>
    <w:rsid w:val="00E21B99"/>
    <w:rsid w:val="00E239CC"/>
    <w:rsid w:val="00E23B0B"/>
    <w:rsid w:val="00E23DCC"/>
    <w:rsid w:val="00E243CC"/>
    <w:rsid w:val="00E244E2"/>
    <w:rsid w:val="00E25F3D"/>
    <w:rsid w:val="00E33E7F"/>
    <w:rsid w:val="00E34B7A"/>
    <w:rsid w:val="00E3550D"/>
    <w:rsid w:val="00E36F43"/>
    <w:rsid w:val="00E37F8D"/>
    <w:rsid w:val="00E4177F"/>
    <w:rsid w:val="00E4211E"/>
    <w:rsid w:val="00E4322D"/>
    <w:rsid w:val="00E44725"/>
    <w:rsid w:val="00E45DC4"/>
    <w:rsid w:val="00E46C79"/>
    <w:rsid w:val="00E474D3"/>
    <w:rsid w:val="00E47AF8"/>
    <w:rsid w:val="00E51040"/>
    <w:rsid w:val="00E51A21"/>
    <w:rsid w:val="00E51FB7"/>
    <w:rsid w:val="00E53E33"/>
    <w:rsid w:val="00E54B4F"/>
    <w:rsid w:val="00E54B88"/>
    <w:rsid w:val="00E63200"/>
    <w:rsid w:val="00E722CB"/>
    <w:rsid w:val="00E74431"/>
    <w:rsid w:val="00E766DD"/>
    <w:rsid w:val="00E861DE"/>
    <w:rsid w:val="00E8769B"/>
    <w:rsid w:val="00E92498"/>
    <w:rsid w:val="00E92D33"/>
    <w:rsid w:val="00E97907"/>
    <w:rsid w:val="00EA04C3"/>
    <w:rsid w:val="00EA2F90"/>
    <w:rsid w:val="00EA4E3A"/>
    <w:rsid w:val="00EB3915"/>
    <w:rsid w:val="00EC3C73"/>
    <w:rsid w:val="00EC7463"/>
    <w:rsid w:val="00ED15FA"/>
    <w:rsid w:val="00ED2AC2"/>
    <w:rsid w:val="00ED3D3F"/>
    <w:rsid w:val="00ED6961"/>
    <w:rsid w:val="00EE2B8E"/>
    <w:rsid w:val="00EE3A7C"/>
    <w:rsid w:val="00EE3BD8"/>
    <w:rsid w:val="00EE4E87"/>
    <w:rsid w:val="00EF50D7"/>
    <w:rsid w:val="00EF6DF5"/>
    <w:rsid w:val="00F072AF"/>
    <w:rsid w:val="00F10001"/>
    <w:rsid w:val="00F16223"/>
    <w:rsid w:val="00F16C96"/>
    <w:rsid w:val="00F22762"/>
    <w:rsid w:val="00F2301C"/>
    <w:rsid w:val="00F25F97"/>
    <w:rsid w:val="00F348D4"/>
    <w:rsid w:val="00F35207"/>
    <w:rsid w:val="00F37E81"/>
    <w:rsid w:val="00F4306A"/>
    <w:rsid w:val="00F432D2"/>
    <w:rsid w:val="00F535E8"/>
    <w:rsid w:val="00F544A5"/>
    <w:rsid w:val="00F60151"/>
    <w:rsid w:val="00F66FD8"/>
    <w:rsid w:val="00F70C6F"/>
    <w:rsid w:val="00F71726"/>
    <w:rsid w:val="00F769EE"/>
    <w:rsid w:val="00F8364B"/>
    <w:rsid w:val="00F839F8"/>
    <w:rsid w:val="00F84B69"/>
    <w:rsid w:val="00F8519A"/>
    <w:rsid w:val="00F85B0E"/>
    <w:rsid w:val="00F876F6"/>
    <w:rsid w:val="00F90BF9"/>
    <w:rsid w:val="00F94702"/>
    <w:rsid w:val="00F95A9B"/>
    <w:rsid w:val="00FA25DC"/>
    <w:rsid w:val="00FA5125"/>
    <w:rsid w:val="00FB1733"/>
    <w:rsid w:val="00FB3E94"/>
    <w:rsid w:val="00FB5DBA"/>
    <w:rsid w:val="00FC4217"/>
    <w:rsid w:val="00FC5603"/>
    <w:rsid w:val="00FC771D"/>
    <w:rsid w:val="00FC7925"/>
    <w:rsid w:val="00FD2C21"/>
    <w:rsid w:val="00FD6967"/>
    <w:rsid w:val="00FE25D1"/>
    <w:rsid w:val="00FE3A84"/>
    <w:rsid w:val="00FE4936"/>
    <w:rsid w:val="00FE6830"/>
    <w:rsid w:val="00FE73DC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2958"/>
  <w15:docId w15:val="{3C973A58-318D-4BF8-97BD-0102FCA0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  <w:style w:type="character" w:styleId="Collegamentovisitato">
    <w:name w:val="FollowedHyperlink"/>
    <w:basedOn w:val="Carpredefinitoparagrafo"/>
    <w:uiPriority w:val="99"/>
    <w:semiHidden/>
    <w:unhideWhenUsed/>
    <w:rsid w:val="008505F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A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notizie_4766_0_fil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D889-2760-4BE4-A363-C29961B7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6</cp:revision>
  <dcterms:created xsi:type="dcterms:W3CDTF">2020-05-19T07:00:00Z</dcterms:created>
  <dcterms:modified xsi:type="dcterms:W3CDTF">2020-05-19T07:12:00Z</dcterms:modified>
</cp:coreProperties>
</file>