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0ABD" w14:textId="77777777" w:rsidR="004A64E8" w:rsidRPr="00634978" w:rsidRDefault="004A64E8" w:rsidP="004A64E8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bookmarkStart w:id="0" w:name="_Hlk130293438"/>
      <w:r w:rsidRPr="00634978">
        <w:rPr>
          <w:b/>
          <w:bCs/>
          <w:color w:val="auto"/>
          <w:sz w:val="36"/>
          <w:szCs w:val="33"/>
        </w:rPr>
        <w:t>COMUNICATO STAMPA</w:t>
      </w:r>
    </w:p>
    <w:p w14:paraId="4B5ECD86" w14:textId="77777777" w:rsidR="004A64E8" w:rsidRPr="00FD6EB2" w:rsidRDefault="004A64E8" w:rsidP="004A64E8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8"/>
          <w:szCs w:val="8"/>
          <w:bdr w:val="none" w:sz="0" w:space="0" w:color="auto" w:frame="1"/>
        </w:rPr>
      </w:pPr>
    </w:p>
    <w:p w14:paraId="0EFF77DB" w14:textId="22E410D2" w:rsidR="00057810" w:rsidRDefault="005F617D" w:rsidP="00F64EBB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F64EBB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Fas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cicolo Sanitario Elettronico</w:t>
      </w:r>
      <w:r w:rsidRPr="00F64EBB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: forti disparità </w:t>
      </w:r>
    </w:p>
    <w:p w14:paraId="2F6B24D2" w14:textId="6AF2847A" w:rsidR="0004500F" w:rsidRDefault="005F617D" w:rsidP="005F617D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r</w:t>
      </w:r>
      <w:r w:rsidRPr="00F64EBB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egion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ali ostacolano la digitalizzazione del Servizio Sanitario Nazionale. </w:t>
      </w:r>
      <w:r w:rsidRPr="00B15EC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Lazio al vertice per completezza di documenti e servizi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 Solo il 41% dei cittadini ha fornito il consenso: dall’89% dell’Emilia-Romagna all’1% di A</w:t>
      </w:r>
      <w:r w:rsidRPr="006C54F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bruzzo,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</w:t>
      </w:r>
      <w:r w:rsidRPr="006C54F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alabria,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</w:t>
      </w:r>
      <w:r w:rsidRPr="006C54F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ampania e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M</w:t>
      </w:r>
      <w:r w:rsidRPr="006C54F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olise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. </w:t>
      </w:r>
      <w:r w:rsidRPr="0004500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Servono misure per l’alfabetizzazione digitale e per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infondere </w:t>
      </w:r>
      <w:r w:rsidRPr="0004500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fiducia nella sicurezza dei dati personali</w:t>
      </w:r>
    </w:p>
    <w:p w14:paraId="07A5757B" w14:textId="77777777" w:rsidR="001401D8" w:rsidRPr="000E6C40" w:rsidRDefault="001401D8" w:rsidP="00B15EC5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</w:p>
    <w:p w14:paraId="71989B97" w14:textId="77777777" w:rsidR="004A64E8" w:rsidRPr="008425B4" w:rsidRDefault="00F64EBB" w:rsidP="004A64E8">
      <w:pPr>
        <w:spacing w:after="0"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27</w:t>
      </w:r>
      <w:r w:rsidR="004A64E8" w:rsidRPr="00B928B4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4A64E8">
        <w:rPr>
          <w:rFonts w:cs="Calibri"/>
          <w:b/>
          <w:bCs/>
          <w:color w:val="auto"/>
          <w:sz w:val="24"/>
          <w:szCs w:val="24"/>
        </w:rPr>
        <w:t>novembre 2024</w:t>
      </w:r>
      <w:r w:rsidR="004A64E8" w:rsidRPr="00B928B4">
        <w:rPr>
          <w:rFonts w:cs="Calibri"/>
          <w:b/>
          <w:bCs/>
          <w:color w:val="auto"/>
          <w:sz w:val="24"/>
          <w:szCs w:val="24"/>
        </w:rPr>
        <w:t xml:space="preserve"> - Fondazione GIMBE, </w:t>
      </w:r>
      <w:bookmarkStart w:id="1" w:name="_Hlk105580520"/>
      <w:bookmarkStart w:id="2" w:name="_Hlk123984615"/>
      <w:bookmarkEnd w:id="0"/>
      <w:r>
        <w:rPr>
          <w:rFonts w:cs="Calibri"/>
          <w:b/>
          <w:bCs/>
          <w:color w:val="auto"/>
          <w:sz w:val="24"/>
          <w:szCs w:val="24"/>
        </w:rPr>
        <w:t>Arezzo</w:t>
      </w:r>
    </w:p>
    <w:p w14:paraId="0695DAA2" w14:textId="77777777" w:rsidR="00B31AF8" w:rsidRDefault="004A64E8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>
        <w:rPr>
          <w:color w:val="auto"/>
        </w:rPr>
        <w:tab/>
      </w:r>
      <w:r w:rsidRPr="00B2358D">
        <w:rPr>
          <w:color w:val="auto"/>
          <w:sz w:val="12"/>
          <w:szCs w:val="12"/>
        </w:rPr>
        <w:br/>
      </w:r>
      <w:bookmarkEnd w:id="1"/>
      <w:bookmarkEnd w:id="2"/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 occasione del 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19°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Forum Risk Management di Arezzo,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Fondazione GIMBE,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per voce del Presidente Nino Cartabellotta,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ha presentato i dati aggiornati sull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 completezza e utilizzo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del Fascicolo Sanitario Elettronico (FSE) nelle Regioni italiane. Questo strumento,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cruciale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per </w:t>
      </w:r>
      <w:r w:rsidR="00626207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l’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accessibilità ai servizi sanitari,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evidenzia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profonde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disomogeneità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regionali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che </w:t>
      </w:r>
      <w:r w:rsidR="00920AA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configurano </w:t>
      </w:r>
      <w:r w:rsid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vere e proprie “fratture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digital</w:t>
      </w:r>
      <w:r w:rsid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</w:t>
      </w:r>
      <w:r w:rsidR="00920AA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”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sia in termini di </w:t>
      </w:r>
      <w:r w:rsidR="00920AA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servizi offerti che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</w:t>
      </w:r>
      <w:r w:rsidR="00920AA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utilizzo da parte di cittadini e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professionisti sanitari</w:t>
      </w:r>
      <w:r w:rsidR="00920AA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3DF1262F" w14:textId="4793330B" w:rsidR="00A671D3" w:rsidRDefault="00A671D3" w:rsidP="00861816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F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ascicolo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anitario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lettronico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4A2D04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dichiara </w:t>
      </w:r>
      <w:r w:rsidR="004A2D04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Cartabellotta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– non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è 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solo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uno </w:t>
      </w:r>
      <w:r w:rsidR="004A2D04" w:rsidRP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strumento </w:t>
      </w:r>
      <w:r w:rsidR="00FD25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con cui </w:t>
      </w:r>
      <w:r w:rsidR="004A2D04" w:rsidRP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cittadino può tracciare e consultare 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 propria storia sanitaria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condividendola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4A2D04" w:rsidRP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 maniera sicura ed efficiente con gli operatori sanitari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ma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rappresenta una leva strategica per migliorare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accessibilità, continuità delle cure e integrazione dei 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ervizi 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anitari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 socio-sanitari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5145DE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PNRR,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grazie ad</w:t>
      </w:r>
      <w:r w:rsidR="00861816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 </w:t>
      </w:r>
      <w:r w:rsidR="005145DE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investimento </w:t>
      </w:r>
      <w:r w:rsid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dedicato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mira ad</w:t>
      </w:r>
      <w:r w:rsid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5145DE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arricchire e armonizzare i F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</w:t>
      </w:r>
      <w:r w:rsidR="005145DE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rendendoli interoperabili e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connettendo tra loro</w:t>
      </w:r>
      <w:r w:rsidR="00861816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5145DE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le infrastrutture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digitali</w:t>
      </w:r>
      <w:r w:rsidR="005145DE" w:rsidRP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  <w:r w:rsidR="005145D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Tuttavia, 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ad oggi,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persistono significative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dis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guaglianze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regionali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che privano molti cittadini del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le stesse opportunità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accesso e utilizzo. Inoltre,</w:t>
      </w:r>
      <w:r w:rsidR="004A2D0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CF6F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 mancata armonizzazione del FSE </w:t>
      </w:r>
      <w:r w:rsidR="008618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rischia di lasciare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 cittadini </w:t>
      </w:r>
      <w:r w:rsidRP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senza accesso a dati essenziali per la propria salute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in caso di spostamento tra Regioni</w:t>
      </w:r>
      <w:r w:rsidRP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</w:p>
    <w:p w14:paraId="6752AECA" w14:textId="77777777" w:rsidR="00A671D3" w:rsidRDefault="009B2A99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Infatti, i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dati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aggiorna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ti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al 31 agosto 2024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estratti ed </w:t>
      </w:r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elaborati dal </w:t>
      </w:r>
      <w:hyperlink r:id="rId7" w:history="1">
        <w:r w:rsidR="00997E18" w:rsidRPr="00B66016">
          <w:rPr>
            <w:rStyle w:val="Collegamentoipertestuale"/>
            <w:rFonts w:asciiTheme="minorHAnsi" w:eastAsiaTheme="minorHAnsi" w:hAnsiTheme="minorHAnsi" w:cstheme="minorBidi"/>
            <w:bdr w:val="none" w:sz="0" w:space="0" w:color="auto"/>
            <w:lang w:eastAsia="en-US"/>
          </w:rPr>
          <w:t>portale Fascicolo Sanitario Elettronico 2.0</w:t>
        </w:r>
      </w:hyperlink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del Ministero della Salute e del Dipartimento per la Trasformazione Digitale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evidenziano</w:t>
      </w:r>
      <w:r w:rsidR="0077011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che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 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completezza di documenti e servizi disponibili nel FSE e il suo utilizzo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var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iano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significativamente 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tra </w:t>
      </w:r>
      <w:r w:rsidR="00A671D3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Region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</w:t>
      </w:r>
      <w:r w:rsidR="008E4F8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6A0873CA" w14:textId="77777777" w:rsidR="005422B3" w:rsidRPr="00F777E7" w:rsidRDefault="005422B3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5422B3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COMPLETEZZA DEL FSE</w:t>
      </w:r>
    </w:p>
    <w:p w14:paraId="614F089D" w14:textId="7BF640F9" w:rsidR="00133E7F" w:rsidRPr="00133E7F" w:rsidRDefault="00363B92" w:rsidP="00133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B6601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D</w:t>
      </w:r>
      <w:r w:rsidR="006F0E9D" w:rsidRPr="00B6601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ocumenti</w:t>
      </w:r>
      <w:r w:rsidR="00DF45B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</w:t>
      </w:r>
      <w:r w:rsid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ecreto del 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</w:t>
      </w:r>
      <w:r w:rsid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inistero della Salute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del </w:t>
      </w:r>
      <w:r w:rsid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7 settembre 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2023</w:t>
      </w:r>
      <w:r w:rsid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ha definito </w:t>
      </w:r>
      <w:r w:rsidR="001B1ABF" w:rsidRP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 contenuti del FSE 2.0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ma </w:t>
      </w:r>
      <w:r w:rsidR="006551E0" w:rsidRP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non tutte le Regioni 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rendono disponibili </w:t>
      </w:r>
      <w:r w:rsidR="006551E0" w:rsidRP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tutti i documenti </w:t>
      </w:r>
      <w:r w:rsidR="00DF45B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DF45B6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DF45B6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1</w:t>
      </w:r>
      <w:r w:rsidR="00DF45B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CA203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Ad oggi</w:t>
      </w:r>
      <w:r w:rsidR="00CA203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– spiega il Presidente </w:t>
      </w:r>
      <w:r w:rsidR="00AD782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CA203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olo 7 tipologie di documenti sono 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accessibili </w:t>
      </w:r>
      <w:r w:rsidR="0062620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su tutto il territorio nazionale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: 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lettere</w:t>
      </w:r>
      <w:r w:rsidR="005A2E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 dimissione ospedaliera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prescrizion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farmaceutiche 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specialistiche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5A2E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referti di laboratorio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5A2E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radiologia 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di specialistica ambulatoriale, 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verbali 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pronto soccorso</w:t>
      </w:r>
      <w:r w:rsidR="00CA2039" w:rsidRP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3218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</w:t>
      </w:r>
      <w:r w:rsidR="00133E7F" w:rsidRP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livello regionale </w:t>
      </w:r>
      <w:r w:rsidR="00255D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è presente u</w:t>
      </w:r>
      <w:r w:rsidR="00255D3A" w:rsidRP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na forte disomogeneità </w:t>
      </w:r>
      <w:r w:rsidR="00133E7F" w:rsidRP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nella disponibilità dei documenti nel FSE. 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 profilo sanitario sintetico, il documento di erogazione delle prestazioni specialistiche e quello di erogazione dei farmaci e il referto di anatomia patologica sono disponibili in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oltre l’80% delle </w:t>
      </w:r>
      <w:r w:rsidR="003218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Regioni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Il certificato vaccinale è presente in 16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e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Province 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autonome (76%) mentre il taccuino personale dell’assistito e della scheda della singola vaccinazione si trovano nei FSE di 12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(57%). Solo 5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egioni rendono disponibile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la lettera di invito per screening vaccinazione e altri percorsi di prevenzione. La cartella clinica, invece, è disponibile esclusivamente </w:t>
      </w:r>
      <w:r w:rsidR="000F263A" w:rsidRPr="00B66016">
        <w:rPr>
          <w:rFonts w:eastAsia="Times New Roman" w:cs="Calibri"/>
          <w:bdr w:val="none" w:sz="0" w:space="0" w:color="auto"/>
        </w:rPr>
        <w:t>in Lazio, Sardegna e Veneto</w:t>
      </w:r>
      <w:r w:rsidR="00FB7C1C">
        <w:rPr>
          <w:rFonts w:eastAsia="Times New Roman" w:cs="Calibri"/>
          <w:bdr w:val="none" w:sz="0" w:space="0" w:color="auto"/>
        </w:rPr>
        <w:t xml:space="preserve"> (</w:t>
      </w:r>
      <w:r w:rsidR="00FB7C1C" w:rsidRPr="00CA2039">
        <w:rPr>
          <w:rFonts w:eastAsia="Times New Roman" w:cs="Calibri"/>
          <w:highlight w:val="yellow"/>
          <w:bdr w:val="none" w:sz="0" w:space="0" w:color="auto"/>
        </w:rPr>
        <w:t>tabella 1</w:t>
      </w:r>
      <w:r w:rsidR="00FB7C1C">
        <w:rPr>
          <w:rFonts w:eastAsia="Times New Roman" w:cs="Calibri"/>
          <w:bdr w:val="none" w:sz="0" w:space="0" w:color="auto"/>
        </w:rPr>
        <w:t>)</w:t>
      </w:r>
      <w:r w:rsidR="000F263A">
        <w:rPr>
          <w:rFonts w:eastAsia="Times New Roman" w:cs="Calibri"/>
          <w:bdr w:val="none" w:sz="0" w:space="0" w:color="auto"/>
        </w:rPr>
        <w:t>.</w:t>
      </w:r>
    </w:p>
    <w:p w14:paraId="300A4F05" w14:textId="77777777" w:rsidR="009B2A99" w:rsidRDefault="005A2EBF" w:rsidP="007E59CF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lastRenderedPageBreak/>
        <w:t xml:space="preserve"> </w:t>
      </w:r>
      <w:r w:rsidR="00255D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 livello nazionale sono messi a disposizione degli utenti il 79% dei documenti. 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</w:t>
      </w:r>
      <w:r w:rsidR="0012091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Lazio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è l’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unica </w:t>
      </w:r>
      <w:r w:rsidR="00B834A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egione 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che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include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nel </w:t>
      </w:r>
      <w:r w:rsidR="00554C31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FSE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tutte le tipologie di</w:t>
      </w:r>
      <w:r w:rsidR="006F0E9D" w:rsidRP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documenti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previsti </w:t>
      </w:r>
      <w:r w:rsid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dal decreto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mentre </w:t>
      </w:r>
      <w:r w:rsidR="0012091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le altre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7E59CF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presentano livelli di completezza variabili: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dal 94% </w:t>
      </w:r>
      <w:r w:rsidR="0012091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del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Piemonte al 63% di Marche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Puglia 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B66016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DF45B6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2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</w:p>
    <w:p w14:paraId="16864072" w14:textId="72102302" w:rsidR="005422B3" w:rsidRPr="0028260A" w:rsidRDefault="00A671D3" w:rsidP="007E59CF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B6601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Servizi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FA22DA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Attualmente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FA22DA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nei FSE regionali </w:t>
      </w:r>
      <w:r w:rsidR="007E59CF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sono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disponibili </w:t>
      </w:r>
      <w:r w:rsidR="007E59CF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37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servizi</w:t>
      </w:r>
      <w:r w:rsidR="007E59CF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D74E2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D74E23" w:rsidRPr="00D74E23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tabella </w:t>
      </w:r>
      <w:r w:rsidR="00FF00F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2</w:t>
      </w:r>
      <w:r w:rsidR="00D74E2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che </w:t>
      </w:r>
      <w:r w:rsidR="0028260A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permett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ono</w:t>
      </w:r>
      <w:r w:rsidR="0028260A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ai cittadini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svolgere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varie</w:t>
      </w:r>
      <w:r w:rsidR="00EB218E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attività fondamentali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:</w:t>
      </w:r>
      <w:r w:rsidR="007E59CF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dal pagamento di ticket e prestazioni alla prenotazione di visite ed esami, fino alla scelta del medico di medicina generale o alla consultazione delle liste d’attesa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 disponibilità di questi servizi varia significativamente tra le Regioni: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olo </w:t>
      </w:r>
      <w:r w:rsidR="00143FB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Lazio 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(67%) e </w:t>
      </w:r>
      <w:r w:rsidR="00143FB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Toscana 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(64%)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superano la soglia del 60%, offrendo un’ampia gamma di funzionalità. All’estremo opposto, in Abruzzo e Calabria, i servizi accessibili tramite il FSE si fermano 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all’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8% 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B66016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figura </w:t>
      </w:r>
      <w:r w:rsidR="00364D2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3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143FB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«L’assenza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un’integrazione completa dei servizi</w:t>
      </w:r>
      <w:r w:rsidR="00143FB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soprattutto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nelle Regioni del Sud </w:t>
      </w:r>
      <w:r w:rsidR="00B7034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commenta</w:t>
      </w:r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Cartabellotta </w:t>
      </w:r>
      <w:r w:rsidR="00B7034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riduce</w:t>
      </w:r>
      <w:r w:rsidR="007E59CF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potenziale del FSE come strumento 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innovazione e accessibilità ai servizi sanitari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limitando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le opportunità per i cittadini di beneficiare di una sanità realmente digitale</w:t>
      </w:r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37630FC9" w14:textId="77777777" w:rsidR="005422B3" w:rsidRPr="005422B3" w:rsidRDefault="005422B3" w:rsidP="00A671D3">
      <w:pPr>
        <w:jc w:val="both"/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 xml:space="preserve">UTILIZZO </w:t>
      </w:r>
      <w:r w:rsidRPr="005422B3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DEL FSE</w:t>
      </w:r>
    </w:p>
    <w:p w14:paraId="6E615899" w14:textId="5524A7FC" w:rsidR="009B2A99" w:rsidRDefault="00706324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Consenso alla consultazione.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 31 </w:t>
      </w:r>
      <w:r w:rsid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agosto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2024</w:t>
      </w:r>
      <w:r w:rsidR="00B66016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66016" w:rsidRPr="00B15EC5">
        <w:rPr>
          <w:color w:val="auto"/>
        </w:rPr>
        <w:t>(per il Friuli Venezia Giulia i dati sono al 31 marzo 2024)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il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4</w:t>
      </w:r>
      <w:r w:rsid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1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 dei cittadini ha espresso il consenso alla consultazione dei propri documenti sanitari da parte di medici e operatori del SSN, in linea con le finalità del DM 7 settembre 2023. Anche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su questo fronte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si 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rileva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un’ampia variabilità regionale: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l’adesione varia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dall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’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1% </w:t>
      </w:r>
      <w:r w:rsid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 Abruzzo, Calabria,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Campania</w:t>
      </w:r>
      <w:r w:rsid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 Molise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all’8</w:t>
      </w:r>
      <w:r w:rsid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9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 in Emilia-Romagna. Tra le </w:t>
      </w:r>
      <w:r w:rsid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0D4812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del Mezzogiorno, solo la Puglia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con il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6</w:t>
      </w:r>
      <w:r w:rsid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9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 supera la media nazionale 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B3139F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</w:t>
      </w:r>
      <w:r w:rsidR="00D74E23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4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B2A9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 limitata espressione del consenso da parte dei cittadini – spiega il Presidente – soprattutto nel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le Regioni del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Mezzogiorno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B218E" w:rsidRP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evidenzia l’urgenza di </w:t>
      </w:r>
      <w:r w:rsidR="00FD25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infondere</w:t>
      </w:r>
      <w:r w:rsidR="00EB218E" w:rsidRP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una maggiore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fiducia nella popolazione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EB218E" w:rsidRP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È fondamentale rassicurare i cittadini sulla sicurezza dei dati personali e sull’utilità concreta del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FSE</w:t>
      </w:r>
      <w:r w:rsidR="00EB218E" w:rsidRP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 Senza un intervento mirato in questa direzione, gli sforzi compiuti dai servizi sanitari regionali rischiano di essere vanificati</w:t>
      </w:r>
      <w:r w:rsidR="009B2A9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</w:p>
    <w:p w14:paraId="2790E9D5" w14:textId="312781FA" w:rsidR="002419BE" w:rsidRDefault="00D74E23" w:rsidP="002419BE">
      <w:pPr>
        <w:jc w:val="both"/>
        <w:rPr>
          <w:rFonts w:asciiTheme="minorHAnsi" w:eastAsiaTheme="minorHAnsi" w:hAnsiTheme="minorHAnsi" w:cstheme="minorBidi"/>
          <w:color w:val="FF0000"/>
          <w:bdr w:val="none" w:sz="0" w:space="0" w:color="auto"/>
          <w:lang w:eastAsia="en-US"/>
        </w:rPr>
      </w:pP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Utilizzo del FSE.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>
        <w:t xml:space="preserve">Tra giugno e agosto 2024 (per il Friuli Venezia Giulia i dati sono gennaio-marzo 2024), </w:t>
      </w:r>
      <w:r w:rsidR="002419BE">
        <w:t>solo i</w:t>
      </w:r>
      <w:r>
        <w:t>l 18% dei cittadini ha consultato il proprio F</w:t>
      </w:r>
      <w:r w:rsidR="0028260A">
        <w:t xml:space="preserve">SE </w:t>
      </w:r>
      <w:r>
        <w:t xml:space="preserve">almeno una volta, </w:t>
      </w:r>
      <w:r w:rsidR="002419BE" w:rsidRPr="002419BE">
        <w:t xml:space="preserve">considerando coloro </w:t>
      </w:r>
      <w:r>
        <w:t xml:space="preserve">per cui </w:t>
      </w:r>
      <w:r w:rsidR="00E0750C">
        <w:t xml:space="preserve">nello stesso periodo </w:t>
      </w:r>
      <w:r>
        <w:t>è stato reso disponibile almeno un documento</w:t>
      </w:r>
      <w:r w:rsidR="004A508A">
        <w:t xml:space="preserve"> nel fascicolo.</w:t>
      </w:r>
      <w:r>
        <w:t xml:space="preserve"> </w:t>
      </w:r>
      <w:r w:rsidR="002419BE" w:rsidRPr="002419BE">
        <w:t>Tuttavia, le differenze tra le Regioni sono significative</w:t>
      </w:r>
      <w:r w:rsidR="00E0750C">
        <w:t xml:space="preserve">: </w:t>
      </w:r>
      <w:r w:rsidR="002419BE">
        <w:t xml:space="preserve">si passa </w:t>
      </w:r>
      <w:r>
        <w:t>d</w:t>
      </w:r>
      <w:r w:rsidR="00E0750C">
        <w:t>a</w:t>
      </w:r>
      <w:r>
        <w:t>ll</w:t>
      </w:r>
      <w:r w:rsidR="002419BE">
        <w:t>’</w:t>
      </w:r>
      <w:r>
        <w:t xml:space="preserve">1% </w:t>
      </w:r>
      <w:r w:rsidR="002419BE">
        <w:t xml:space="preserve">di utilizzo </w:t>
      </w:r>
      <w:r>
        <w:t xml:space="preserve">nelle Marche e in Sicilia </w:t>
      </w:r>
      <w:r w:rsidR="0028260A">
        <w:t xml:space="preserve">al </w:t>
      </w:r>
      <w:r>
        <w:t xml:space="preserve">50% </w:t>
      </w:r>
      <w:r w:rsidR="002419BE">
        <w:t xml:space="preserve">della </w:t>
      </w:r>
      <w:r>
        <w:t>Provincia autonoma di Trento (</w:t>
      </w:r>
      <w:r w:rsidRPr="002F17FD">
        <w:rPr>
          <w:highlight w:val="yellow"/>
        </w:rPr>
        <w:t>figura</w:t>
      </w:r>
      <w:r>
        <w:rPr>
          <w:highlight w:val="yellow"/>
        </w:rPr>
        <w:t xml:space="preserve"> 5</w:t>
      </w:r>
      <w:r>
        <w:t xml:space="preserve">). </w:t>
      </w:r>
      <w:r w:rsidR="002419BE" w:rsidRPr="00B15EC5">
        <w:t xml:space="preserve">Nelle Regioni del Mezzogiorno, il tasso di utilizzo è generalmente molto basso, con percentuali pari o inferiori al 3%, </w:t>
      </w:r>
      <w:r w:rsidR="000D4812">
        <w:t>fatta salva la</w:t>
      </w:r>
      <w:r w:rsidR="002419BE" w:rsidRPr="00B15EC5">
        <w:t xml:space="preserve"> Sardegna che raggiunge il 10%. L’unica eccezione positiva è rappresentata dalla Campania, che </w:t>
      </w:r>
      <w:r w:rsidR="00B15EC5" w:rsidRPr="00B15EC5">
        <w:t>con il 18%</w:t>
      </w:r>
      <w:r w:rsidR="00B15EC5">
        <w:t xml:space="preserve"> </w:t>
      </w:r>
      <w:r w:rsidR="002419BE" w:rsidRPr="00B15EC5">
        <w:t>si allinea alla media nazionale</w:t>
      </w:r>
      <w:r w:rsidR="000D4812">
        <w:t>.</w:t>
      </w:r>
      <w:r w:rsidR="002419BE" w:rsidRPr="00B15EC5">
        <w:t xml:space="preserve"> </w:t>
      </w:r>
      <w:r w:rsidR="00AD20FC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limitato utilizzo </w:t>
      </w:r>
      <w:r w:rsidR="002A0BC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del FSE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da parte dei cittadini – commenta il Presidente – </w:t>
      </w:r>
      <w:r w:rsidR="002A0BC7" w:rsidRPr="006937D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particolarmente evidente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nelle Regioni </w:t>
      </w:r>
      <w:r w:rsidR="00654B8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del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Sud, </w:t>
      </w:r>
      <w:r w:rsidR="00654B80" w:rsidRPr="006937D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sottolinea l’urgenza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investire in alfabetizzazione digitale</w:t>
      </w:r>
      <w:r w:rsidR="00654B8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654B80" w:rsidRPr="006937D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Questa è una condizione imprescindibile per realizzare</w:t>
      </w:r>
      <w:r w:rsidR="00654B8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una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trasformazione digitale</w:t>
      </w:r>
      <w:r w:rsidR="00654B8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efficace,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che trova nell’utilizzo del FSE uno strumento fondamentale</w:t>
      </w:r>
      <w:r w:rsidR="00AD20FC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</w:p>
    <w:p w14:paraId="7D675AC7" w14:textId="77777777" w:rsidR="00706324" w:rsidRPr="00792BDF" w:rsidRDefault="00706324" w:rsidP="002419BE">
      <w:pPr>
        <w:jc w:val="both"/>
        <w:rPr>
          <w:rFonts w:asciiTheme="minorHAnsi" w:eastAsiaTheme="minorHAnsi" w:hAnsiTheme="minorHAnsi" w:cstheme="minorBidi"/>
          <w:color w:val="FF0000"/>
          <w:bdr w:val="none" w:sz="0" w:space="0" w:color="auto"/>
          <w:lang w:eastAsia="en-US"/>
        </w:rPr>
      </w:pPr>
      <w:r w:rsidRPr="00F0512B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Utilizzo</w:t>
      </w:r>
      <w:r w:rsidRP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F0512B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da parte </w:t>
      </w: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di Medici di Medicina Generale e Pediatri di Libera Scelta.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0512B" w:rsidRPr="00B15EC5">
        <w:rPr>
          <w:color w:val="auto"/>
        </w:rPr>
        <w:t>Tra giugno e agosto 2024 (per il Friuli Venezia Giulia i dati sono gennaio-marzo 2024), l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 quasi totalità</w:t>
      </w:r>
      <w:r w:rsidR="002419BE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(94%)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 </w:t>
      </w:r>
      <w:r w:rsidR="002419BE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edici di Medicina Generale </w:t>
      </w:r>
      <w:r w:rsidR="002419BE" w:rsidRP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Pediatri di Libera Scelta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ha effettuato almeno un accesso al FSE.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11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2419BE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raggiungono il 100% di utilizzo</w:t>
      </w:r>
      <w:r w:rsidR="00BE675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: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Basilicata, Emilia-Romagna,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Lazio,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Molise, Provincia autonoma di Trento, Piemonte,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Puglia,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Sardegna,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Umbria,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Valle d’Aosta e Veneto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Nelle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altre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il tasso di utilizzo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rimane elevato ma 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poco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inferiore: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Campania, Liguria e Provincia autonoma di Bolzano (99%), Friuli Venezia Giulia (97%), 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Calabria (94%).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Al di s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otto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della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media nazionale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si collocano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Sicilia e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Marche (92%)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Abruzzo (88%)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Toscana (8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%)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 Lombardia (81%) </w:t>
      </w:r>
      <w:r w:rsidR="00F0512B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F0512B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figura </w:t>
      </w:r>
      <w:r w:rsidR="00B940E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6</w:t>
      </w:r>
      <w:r w:rsidR="00F0512B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011292A9" w14:textId="77777777" w:rsidR="002419BE" w:rsidRPr="002F17FD" w:rsidRDefault="00706324" w:rsidP="002419BE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2F17FD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Utilizzo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da parte di medici specialisti. 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 31 </w:t>
      </w:r>
      <w:r w:rsidR="0004653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agosto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202</w:t>
      </w:r>
      <w:r w:rsidR="0004653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4 </w:t>
      </w:r>
      <w:r w:rsidR="0004653D" w:rsidRPr="00B15EC5">
        <w:rPr>
          <w:color w:val="auto"/>
        </w:rPr>
        <w:t>(per il Friuli Venezia Giulia i dati sono al 31 marzo 2024)</w:t>
      </w:r>
      <w:r w:rsidR="0004653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 7</w:t>
      </w:r>
      <w:r w:rsidR="0004653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6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% dei medici specialisti delle Aziende sanitarie risulta abilitato alla consultazione del FSE</w:t>
      </w:r>
      <w:r w:rsidR="002419BE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con significative differenze regionali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Le percentuali oscillano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tra lo 0% </w:t>
      </w:r>
      <w:r w:rsid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della</w:t>
      </w:r>
      <w:r w:rsidR="000D4812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Liguria e il 100% in Lombardia, Molise, Province autonome di Bolzano e Trento, Piemonte, Puglia, Sardegna, Toscana, Valle d’Aosta e Veneto. Al di sotto della media nazionale si collocano Sicilia (</w:t>
      </w:r>
      <w:r w:rsidR="0004653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73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%), Lazio (</w:t>
      </w:r>
      <w:r w:rsidR="0004653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59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%), 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Abruzzo (</w:t>
      </w:r>
      <w:r w:rsidR="0004653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28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%),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Calabria (2</w:t>
      </w:r>
      <w:r w:rsidR="0004653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5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%), Marche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lastRenderedPageBreak/>
        <w:t>(2%) e Umbria (1%)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2419BE" w:rsidRP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 Liguria rimane il fanalino di coda con una totale assenza di medici specialisti abilitati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(0%)</w:t>
      </w:r>
      <w:r w:rsidR="0004653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04653D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B940E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7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</w:p>
    <w:p w14:paraId="4091155E" w14:textId="5AD245D5" w:rsidR="002419BE" w:rsidRPr="00A671D3" w:rsidRDefault="002419BE" w:rsidP="002419BE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 partire d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al 2025, un</w:t>
      </w:r>
      <w:r w:rsidR="003607C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’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importante innovazione </w:t>
      </w:r>
      <w:r w:rsidR="00A47331" w:rsidRP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è destinata a incrementare 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ulteriormente l’uso del FSE: la </w:t>
      </w:r>
      <w:r w:rsidR="00A671D3" w:rsidRPr="00A671D3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dematerializzazione della ricetta bianca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Grazie a questa evoluzione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anche le prescrizioni non a carico del SSN saranno disponibili in formato elettronico e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gestibili direttamente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attraverso il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FSE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«La ricetta bianca dematerializzata </w:t>
      </w:r>
      <w:r w:rsidR="00B7034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97E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commenta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97E18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Cartabellotta </w:t>
      </w:r>
      <w:r w:rsidR="00B7034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rappresenta un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significativo 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passo avanti verso una sanità sempre più digitale e integrata</w:t>
      </w:r>
      <w:r w:rsidR="00997E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Sebbene rimanga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per il paziente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 possibilità 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ricevere la ricetta via email, WhatsApp o di ritirare il farmaco direttamente in farmacia tramite il proprio codice fiscale, il FSE diventerà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</w:t>
      </w:r>
      <w:r w:rsidR="00A47331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3607C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fulcro di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una gestione completa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sicura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trasparente </w:t>
      </w:r>
      <w:r w:rsidR="00A671D3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delle prescrizioni mediche».</w:t>
      </w:r>
    </w:p>
    <w:p w14:paraId="18ED84EE" w14:textId="662EE764" w:rsidR="000D4812" w:rsidRPr="000D4812" w:rsidRDefault="00A671D3" w:rsidP="000D4812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«Per ridurre 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le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DE08B1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dis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</w:t>
      </w:r>
      <w:r w:rsidR="00DE08B1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guaglianze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7034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97E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aggiunge Cartabellotta </w:t>
      </w:r>
      <w:r w:rsidR="00B7034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è 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indispensabile</w:t>
      </w:r>
      <w:r w:rsidR="00DE08B1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 nuovo patto nazionale per la sanità digitale, che coinvolga il Governo 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</w:t>
      </w:r>
      <w:r w:rsidR="00DE08B1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le amministrazioni regionali</w:t>
      </w:r>
      <w:r w:rsidR="00997E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Senza un piano di integrazione nazionale, rischiamo di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generare nuove diseguaglianze in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 sistema sanitario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che già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viaggia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 velocità diverse, dove tecnologia e innovazione rimangono accessibili solo a una parte della popolazione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Questo finisce per escludere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proprio le persone che più dovrebbero beneficiare della trasformazione digitale: anziani, persone sole, 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residenti in aree isolate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DE08B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o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disagiate, di basso livello socio culturale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  <w:r w:rsidR="0039326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</w:p>
    <w:p w14:paraId="6B114BDD" w14:textId="306FDA1F" w:rsidR="0055426E" w:rsidRDefault="00A671D3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 un contesto in cui il FSE rappresenta </w:t>
      </w:r>
      <w:r w:rsidR="0039326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pilastro </w:t>
      </w:r>
      <w:r w:rsidR="0039326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della trasformazione digitale di una moderna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sanità pubblica, la Fondazione GIMBE esorta le istituzioni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ad adottare misure concrete volte a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migliorare l’alfabetizzazione digitale di cittadini, pazienti, caregiver, familiari e professionisti sanitari,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rafforzare le infrastrutture digitali, standardizzare le procedure di accesso </w:t>
      </w:r>
      <w:r w:rsidR="00AD20F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 fine di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garantire un’adozione uniforme del FSE su tutto il territorio nazionale. «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Affinché il</w:t>
      </w:r>
      <w:r w:rsidR="00C8513B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FSE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C8513B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divent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 davvero</w:t>
      </w:r>
      <w:r w:rsidR="00C8513B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uno strumento inclusivo, </w:t>
      </w:r>
      <w:r w:rsidR="00A473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capace</w:t>
      </w: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 rispondere alle esigenze di ogni cittadino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– conclude</w:t>
      </w:r>
      <w:r w:rsidR="00C8513B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Cartabellotta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– è infine </w:t>
      </w:r>
      <w:r w:rsidR="00C8513B" w:rsidRP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fondamentale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superare con iniziative di formazione e sensibilizzazione</w:t>
      </w:r>
      <w:r w:rsidR="00C8513B" w:rsidRP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la scarsa alfabetizzazione digitale di una parte significativa dei cittadini e i timori legati alla privacy dei dati personali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che oggi</w:t>
      </w:r>
      <w:r w:rsidR="00C8513B" w:rsidRP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rappresent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ano</w:t>
      </w:r>
      <w:r w:rsidR="00C8513B" w:rsidRP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ostacoli rilevanti </w:t>
      </w:r>
      <w:r w:rsidR="009F070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ad un’</w:t>
      </w:r>
      <w:r w:rsidR="009F0703" w:rsidRP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adozione </w:t>
      </w:r>
      <w:r w:rsidR="00C8513B" w:rsidRPr="000D481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diffusa del FSE</w:t>
      </w:r>
      <w:r w:rsidR="00C8513B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11986057" w14:textId="77777777" w:rsidR="004A64E8" w:rsidRDefault="004A64E8" w:rsidP="004A64E8">
      <w:pPr>
        <w:spacing w:after="120"/>
        <w:rPr>
          <w:rFonts w:eastAsia="Calibri" w:cs="Calibri"/>
          <w:color w:val="auto"/>
          <w:sz w:val="20"/>
          <w:szCs w:val="20"/>
          <w:u w:val="single" w:color="0563C1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bookmarkStart w:id="3" w:name="_GoBack"/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8" w:history="1">
        <w:r w:rsidRPr="00125ABA">
          <w:rPr>
            <w:rStyle w:val="Collegamentoipertestuale"/>
            <w:rFonts w:eastAsia="Calibri" w:cs="Calibri"/>
            <w:sz w:val="20"/>
            <w:szCs w:val="20"/>
          </w:rPr>
          <w:t>ufficio.stampa@gimbe.org</w:t>
        </w:r>
      </w:hyperlink>
      <w:r>
        <w:rPr>
          <w:rFonts w:eastAsia="Calibri" w:cs="Calibri"/>
          <w:color w:val="auto"/>
          <w:sz w:val="20"/>
          <w:szCs w:val="20"/>
          <w:u w:val="single" w:color="0563C1"/>
        </w:rPr>
        <w:t xml:space="preserve"> </w:t>
      </w:r>
    </w:p>
    <w:bookmarkEnd w:id="3"/>
    <w:p w14:paraId="1DB4913F" w14:textId="77777777" w:rsidR="005F42DE" w:rsidRPr="001503DD" w:rsidRDefault="005F42DE" w:rsidP="004A64E8">
      <w:pPr>
        <w:spacing w:after="120"/>
        <w:rPr>
          <w:rFonts w:eastAsia="Calibri" w:cs="Calibri"/>
          <w:color w:val="auto"/>
          <w:sz w:val="20"/>
          <w:szCs w:val="20"/>
          <w:u w:val="single" w:color="0563C1"/>
        </w:rPr>
      </w:pPr>
    </w:p>
    <w:p w14:paraId="3334D4BC" w14:textId="77777777" w:rsidR="001C21B3" w:rsidRDefault="001C21B3"/>
    <w:p w14:paraId="0CD208A4" w14:textId="77777777" w:rsidR="00DF45B6" w:rsidRDefault="00DF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70A234F8" w14:textId="77777777" w:rsidR="00DF45B6" w:rsidRPr="00E0750C" w:rsidRDefault="00DF45B6" w:rsidP="00DF45B6">
      <w:pPr>
        <w:jc w:val="center"/>
        <w:rPr>
          <w:b/>
          <w:bCs/>
          <w:color w:val="00457D"/>
        </w:rPr>
      </w:pPr>
      <w:bookmarkStart w:id="4" w:name="_Hlk183365148"/>
      <w:r w:rsidRPr="00E0750C">
        <w:rPr>
          <w:b/>
          <w:bCs/>
          <w:color w:val="00457D"/>
        </w:rPr>
        <w:lastRenderedPageBreak/>
        <w:t xml:space="preserve">Figura 1. </w:t>
      </w:r>
      <w:r w:rsidR="001E6DAC">
        <w:rPr>
          <w:b/>
          <w:bCs/>
          <w:color w:val="00457D"/>
        </w:rPr>
        <w:t>D</w:t>
      </w:r>
      <w:r w:rsidRPr="00E0750C">
        <w:rPr>
          <w:b/>
          <w:bCs/>
          <w:color w:val="00457D"/>
        </w:rPr>
        <w:t>ocumenti disponibili nei Fascicoli Sanitari Regionali</w:t>
      </w:r>
    </w:p>
    <w:p w14:paraId="19D7138B" w14:textId="77777777" w:rsidR="00DF45B6" w:rsidRDefault="00D27F12" w:rsidP="00D74E23">
      <w:pPr>
        <w:jc w:val="center"/>
      </w:pPr>
      <w:r>
        <w:rPr>
          <w:noProof/>
        </w:rPr>
        <w:drawing>
          <wp:inline distT="0" distB="0" distL="0" distR="0" wp14:anchorId="7D5EE4BF" wp14:editId="3C7A5E3C">
            <wp:extent cx="5760000" cy="435030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50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5824D" w14:textId="77777777" w:rsidR="00DF45B6" w:rsidRDefault="00DF45B6" w:rsidP="00DF45B6">
      <w:pPr>
        <w:jc w:val="center"/>
        <w:rPr>
          <w:b/>
          <w:bCs/>
          <w:color w:val="00457D"/>
          <w:sz w:val="20"/>
          <w:szCs w:val="20"/>
        </w:rPr>
      </w:pPr>
    </w:p>
    <w:p w14:paraId="3334B6C4" w14:textId="77777777" w:rsidR="00CF6F45" w:rsidRDefault="00CF6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  <w:sectPr w:rsidR="00CF6F4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8543B2C" w14:textId="77777777" w:rsidR="00D74E23" w:rsidRDefault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</w:pPr>
    </w:p>
    <w:p w14:paraId="226EC2C7" w14:textId="77777777" w:rsidR="0038396E" w:rsidRPr="00E0750C" w:rsidRDefault="0038396E" w:rsidP="0038396E">
      <w:pPr>
        <w:jc w:val="center"/>
        <w:rPr>
          <w:b/>
          <w:bCs/>
          <w:color w:val="00457D"/>
        </w:rPr>
      </w:pPr>
      <w:r>
        <w:rPr>
          <w:b/>
          <w:bCs/>
          <w:color w:val="00457D"/>
        </w:rPr>
        <w:t>Tabella 1</w:t>
      </w:r>
      <w:r w:rsidRPr="00E0750C">
        <w:rPr>
          <w:b/>
          <w:bCs/>
          <w:color w:val="00457D"/>
        </w:rPr>
        <w:t>. Tipologie documentali disponibili nei Fascicoli Sanitari Regionali per Regione</w:t>
      </w:r>
      <w:r>
        <w:rPr>
          <w:b/>
          <w:bCs/>
          <w:color w:val="00457D"/>
        </w:rPr>
        <w:t xml:space="preserve"> e tipologia di documento: descrizione e </w:t>
      </w:r>
      <w:r w:rsidRPr="00E0750C">
        <w:rPr>
          <w:b/>
          <w:bCs/>
          <w:color w:val="00457D"/>
        </w:rPr>
        <w:t>% sul totale</w:t>
      </w:r>
    </w:p>
    <w:p w14:paraId="0E332430" w14:textId="77777777" w:rsidR="00CF6F45" w:rsidRDefault="0038396E" w:rsidP="0038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  <w:sz w:val="20"/>
          <w:szCs w:val="20"/>
        </w:rPr>
        <w:sectPr w:rsidR="00CF6F45" w:rsidSect="00CF6F4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E54FDC">
        <w:rPr>
          <w:b/>
          <w:bCs/>
          <w:noProof/>
          <w:color w:val="00457D"/>
          <w:sz w:val="20"/>
          <w:szCs w:val="20"/>
        </w:rPr>
        <w:drawing>
          <wp:inline distT="0" distB="0" distL="0" distR="0" wp14:anchorId="3D7DFE89" wp14:editId="259AA656">
            <wp:extent cx="9000000" cy="398267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398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FB62" w14:textId="77777777" w:rsidR="00DF45B6" w:rsidRPr="00E0750C" w:rsidRDefault="00DF45B6" w:rsidP="00DF45B6">
      <w:pPr>
        <w:jc w:val="center"/>
        <w:rPr>
          <w:b/>
          <w:bCs/>
          <w:color w:val="00457D"/>
        </w:rPr>
      </w:pPr>
      <w:r w:rsidRPr="00E0750C">
        <w:rPr>
          <w:b/>
          <w:bCs/>
          <w:color w:val="00457D"/>
        </w:rPr>
        <w:lastRenderedPageBreak/>
        <w:t xml:space="preserve">Figura 2. </w:t>
      </w:r>
      <w:r w:rsidR="002C6B8D" w:rsidRPr="00E0750C">
        <w:rPr>
          <w:b/>
          <w:bCs/>
          <w:color w:val="00457D"/>
        </w:rPr>
        <w:t>T</w:t>
      </w:r>
      <w:r w:rsidRPr="00E0750C">
        <w:rPr>
          <w:b/>
          <w:bCs/>
          <w:color w:val="00457D"/>
        </w:rPr>
        <w:t>ipologie documentali disponibili nei Fascicoli Sanitari Regionali per Regione (% sul totale</w:t>
      </w:r>
      <w:r w:rsidR="00D74E23" w:rsidRPr="00E0750C">
        <w:rPr>
          <w:b/>
          <w:bCs/>
          <w:color w:val="00457D"/>
        </w:rPr>
        <w:t>, n. 16</w:t>
      </w:r>
      <w:r w:rsidRPr="00E0750C">
        <w:rPr>
          <w:b/>
          <w:bCs/>
          <w:color w:val="00457D"/>
        </w:rPr>
        <w:t>)</w:t>
      </w:r>
    </w:p>
    <w:p w14:paraId="295BD66A" w14:textId="77777777" w:rsidR="00DF45B6" w:rsidRDefault="00D27F12" w:rsidP="00D27F12">
      <w:pPr>
        <w:jc w:val="center"/>
      </w:pPr>
      <w:r>
        <w:rPr>
          <w:noProof/>
        </w:rPr>
        <w:drawing>
          <wp:inline distT="0" distB="0" distL="0" distR="0" wp14:anchorId="38EBFF8B" wp14:editId="50B74A37">
            <wp:extent cx="5760000" cy="5238229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3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D64FE" w14:textId="77777777" w:rsidR="00DF45B6" w:rsidRDefault="00DF45B6"/>
    <w:p w14:paraId="25583EDD" w14:textId="77777777" w:rsidR="00D74E23" w:rsidRDefault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br w:type="page"/>
      </w:r>
    </w:p>
    <w:p w14:paraId="45706EEA" w14:textId="77777777" w:rsidR="00D74E23" w:rsidRPr="00E0750C" w:rsidRDefault="00D74E23" w:rsidP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</w:rPr>
      </w:pPr>
      <w:r w:rsidRPr="00E0750C">
        <w:rPr>
          <w:b/>
          <w:bCs/>
          <w:color w:val="00457D"/>
        </w:rPr>
        <w:lastRenderedPageBreak/>
        <w:t xml:space="preserve">Tabella </w:t>
      </w:r>
      <w:r w:rsidR="00FF00F4">
        <w:rPr>
          <w:b/>
          <w:bCs/>
          <w:color w:val="00457D"/>
        </w:rPr>
        <w:t>2</w:t>
      </w:r>
      <w:r w:rsidRPr="00E0750C">
        <w:rPr>
          <w:b/>
          <w:bCs/>
          <w:color w:val="00457D"/>
        </w:rPr>
        <w:t>. Servizi disponibili nei FSE regionali (% sul totale delle Regioni)</w:t>
      </w:r>
    </w:p>
    <w:tbl>
      <w:tblPr>
        <w:tblW w:w="736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240"/>
      </w:tblGrid>
      <w:tr w:rsidR="00D74E23" w:rsidRPr="00D74E23" w14:paraId="6AC51910" w14:textId="77777777" w:rsidTr="00D74E23">
        <w:trPr>
          <w:trHeight w:val="283"/>
          <w:jc w:val="center"/>
        </w:trPr>
        <w:tc>
          <w:tcPr>
            <w:tcW w:w="6120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55BDD8E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Servizio</w:t>
            </w:r>
          </w:p>
        </w:tc>
        <w:tc>
          <w:tcPr>
            <w:tcW w:w="1240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304F3C32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Percentuale</w:t>
            </w:r>
          </w:p>
        </w:tc>
      </w:tr>
      <w:tr w:rsidR="00D74E23" w:rsidRPr="00D74E23" w14:paraId="4774FA04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65F5EEB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digitale C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OVID-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19: accesso e download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3C92AA0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100%</w:t>
            </w:r>
          </w:p>
        </w:tc>
      </w:tr>
      <w:tr w:rsidR="00D74E23" w:rsidRPr="00D74E23" w14:paraId="1503C5CC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DA846A3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Esenzioni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: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 consultazione, richiesta/rinnovo, richiesta certificato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AADD96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90%</w:t>
            </w:r>
          </w:p>
        </w:tc>
      </w:tr>
      <w:tr w:rsidR="00D74E23" w:rsidRPr="00D74E23" w14:paraId="1E784DA6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CC7D1CA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Scelta/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evoca 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del m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edic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o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 di 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m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edicina 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g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enerale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C8127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81%</w:t>
            </w:r>
          </w:p>
        </w:tc>
      </w:tr>
      <w:tr w:rsidR="00D74E23" w:rsidRPr="00D74E23" w14:paraId="0A570BDD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8478F8E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Pagamento ticket/prestazioni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5B018B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76%</w:t>
            </w:r>
          </w:p>
        </w:tc>
      </w:tr>
      <w:tr w:rsidR="00D74E23" w:rsidRPr="00D74E23" w14:paraId="01B3D5B4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86ED302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SSN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A1D6A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76%</w:t>
            </w:r>
          </w:p>
        </w:tc>
      </w:tr>
      <w:tr w:rsidR="00D74E23" w:rsidRPr="00D74E23" w14:paraId="30C85BBB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B1A0D7D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Notifiche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846FF8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76%</w:t>
            </w:r>
          </w:p>
        </w:tc>
      </w:tr>
      <w:tr w:rsidR="00D74E23" w:rsidRPr="00D74E23" w14:paraId="7C12B33E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173D839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Gestione deleghe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43ABA88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57%</w:t>
            </w:r>
          </w:p>
        </w:tc>
      </w:tr>
      <w:tr w:rsidR="00D74E23" w:rsidRPr="00D74E23" w14:paraId="19639F6B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473486F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Trova Pronto Soccorso, Farmacie, Ambulatorio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AEAE5B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48%</w:t>
            </w:r>
          </w:p>
        </w:tc>
      </w:tr>
      <w:tr w:rsidR="00D74E23" w:rsidRPr="00D74E23" w14:paraId="1AF3F560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DE794DB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Classificazione dei documenti in categorie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4645E3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48%</w:t>
            </w:r>
          </w:p>
        </w:tc>
      </w:tr>
      <w:tr w:rsidR="00D74E23" w:rsidRPr="00D74E23" w14:paraId="6055388C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C192A89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Prenotazione</w:t>
            </w:r>
            <w:r w:rsidR="00527550"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attività libero-professionale intramuraria</w:t>
            </w:r>
            <w:r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527550"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(</w:t>
            </w:r>
            <w:r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ALPI</w:t>
            </w:r>
            <w:r w:rsidR="00527550"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C818843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38%</w:t>
            </w:r>
          </w:p>
        </w:tc>
      </w:tr>
      <w:tr w:rsidR="00D74E23" w:rsidRPr="00D74E23" w14:paraId="6D2B935F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0673444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Autocertificazioni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4CF3A3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38%</w:t>
            </w:r>
          </w:p>
        </w:tc>
      </w:tr>
      <w:tr w:rsidR="00D74E23" w:rsidRPr="00D74E23" w14:paraId="26B91024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BC19794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Ristampa tessera iscrizione S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ervizio 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anitario 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egionale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CE0CA2E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38%</w:t>
            </w:r>
          </w:p>
        </w:tc>
      </w:tr>
      <w:tr w:rsidR="00D74E23" w:rsidRPr="00D74E23" w14:paraId="572769F2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4AD0F38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Consultazione liste d</w:t>
            </w:r>
            <w:r w:rsidR="00E0750C"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’</w:t>
            </w: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attesa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2D9E87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33%</w:t>
            </w:r>
          </w:p>
        </w:tc>
      </w:tr>
      <w:tr w:rsidR="00D74E23" w:rsidRPr="00D74E23" w14:paraId="58DA6430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E185F01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Visualizzazione immagini diagnostiche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016708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33%</w:t>
            </w:r>
          </w:p>
        </w:tc>
      </w:tr>
      <w:tr w:rsidR="00D74E23" w:rsidRPr="00D74E23" w14:paraId="099E056A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D426DD0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Budget/codice celiachia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7B9F6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33%</w:t>
            </w:r>
          </w:p>
        </w:tc>
      </w:tr>
      <w:tr w:rsidR="00D74E23" w:rsidRPr="00D74E23" w14:paraId="48870196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E425754" w14:textId="77777777" w:rsidR="00D74E23" w:rsidRPr="00375C42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375C4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Prenotazione tampone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21CDE40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33%</w:t>
            </w:r>
          </w:p>
        </w:tc>
      </w:tr>
      <w:tr w:rsidR="00D74E23" w:rsidRPr="00D74E23" w14:paraId="3441BD02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E54A424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Consultazione tempi d'attesa PS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29F25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33%</w:t>
            </w:r>
          </w:p>
        </w:tc>
      </w:tr>
      <w:tr w:rsidR="00D74E23" w:rsidRPr="00D74E23" w14:paraId="610F2D91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58FCB650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Certificato di guarigione</w:t>
            </w:r>
            <w:r w:rsidR="00E0750C"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COVID-19</w:t>
            </w: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: accesso e download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EB0AED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29%</w:t>
            </w:r>
          </w:p>
        </w:tc>
      </w:tr>
      <w:tr w:rsidR="00D74E23" w:rsidRPr="00D74E23" w14:paraId="7EC686C5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E53FD1A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Certificato di ricovero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72197BA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29%</w:t>
            </w:r>
          </w:p>
        </w:tc>
      </w:tr>
      <w:tr w:rsidR="00D74E23" w:rsidRPr="00D74E23" w14:paraId="5A4A24BF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12D295B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Bilancio di salute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985037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24%</w:t>
            </w:r>
          </w:p>
        </w:tc>
      </w:tr>
      <w:tr w:rsidR="00D74E23" w:rsidRPr="00D74E23" w14:paraId="2B993A64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9709A43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Certificato di fine isolamento</w:t>
            </w:r>
            <w:r w:rsidR="00E0750C"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 xml:space="preserve"> post COVID-19</w:t>
            </w: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: accesso e download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DAE53E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24%</w:t>
            </w:r>
          </w:p>
        </w:tc>
      </w:tr>
      <w:tr w:rsidR="00D74E23" w:rsidRPr="00D74E23" w14:paraId="0F32C56D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061D104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Certificato di malattia: accesso e download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39C534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634AB6B9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9CC8DC9" w14:textId="77777777" w:rsidR="00D74E23" w:rsidRPr="00527550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527550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Autotesting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6831C9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7B53AFEF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450B4B8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Calendario vaccinale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1C4B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1BD25B67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54916AC5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PDTA (piano diagnostico terapeutico assistenziale)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B9E6A6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2BC11096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00943E0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televisita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DD0D4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4BA0ABF6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8A60D7B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screening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5FEA00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06CA4D63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DF1CB6A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Consulta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zione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 informazioni utili per gli stranieri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15938C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07ED97D8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A07754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PAI (piano assistenziale individualizzato)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2A117C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D74E23" w:rsidRPr="00D74E23" w14:paraId="0D9AB416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0E6EC1F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medico: accesso e download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FD330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14%</w:t>
            </w:r>
          </w:p>
        </w:tc>
      </w:tr>
      <w:tr w:rsidR="00D74E23" w:rsidRPr="00D74E23" w14:paraId="47CAFCDB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2FB7A40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Rinnovo assistenza sanitaria temporanea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8D9CF4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14%</w:t>
            </w:r>
          </w:p>
        </w:tc>
      </w:tr>
      <w:tr w:rsidR="00D74E23" w:rsidRPr="00D74E23" w14:paraId="7AC9B9E6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51534194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Dossier 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f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armaceutico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207A82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D74E23" w:rsidRPr="00D74E23" w14:paraId="7FA8F0BF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7EDAA70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Prenotazione 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ervizi amministrativi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B05B3C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D74E23" w:rsidRPr="00D74E23" w14:paraId="42434007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F28DB6E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Ricerca farmaco e consultazione foglietto illustrativo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76D12C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D74E23" w:rsidRPr="00D74E23" w14:paraId="03F72A63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8FC2B7B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appuntamento per donazione sangue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1CC67A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D74E23" w:rsidRPr="00D74E23" w14:paraId="1D07A543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C21D961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Consenso o diniego alla donazione degli organi e tessuti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9D27AA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D74E23" w:rsidRPr="00D74E23" w14:paraId="5A6D4F1B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95BC299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Contatt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o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 </w:t>
            </w:r>
            <w:r w:rsidR="00E0750C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del </w:t>
            </w: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Pronto Badante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453774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D74E23" w:rsidRPr="00D74E23" w14:paraId="282147CC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E80A337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Richiesta ausili ad assorbenza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0237BF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D74E23" w:rsidRPr="00D74E23" w14:paraId="21AA087F" w14:textId="77777777" w:rsidTr="00D74E23">
        <w:trPr>
          <w:trHeight w:val="283"/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FCC136F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Richiesta trasporto per servizio sanitario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12573F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</w:tbl>
    <w:p w14:paraId="1314A650" w14:textId="77777777" w:rsidR="00D74E23" w:rsidRDefault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br w:type="page"/>
      </w:r>
    </w:p>
    <w:p w14:paraId="1A3D0B0E" w14:textId="77777777" w:rsidR="00DF45B6" w:rsidRPr="000B1F77" w:rsidRDefault="00364D24" w:rsidP="00364D24">
      <w:pPr>
        <w:jc w:val="center"/>
        <w:rPr>
          <w:b/>
          <w:bCs/>
          <w:color w:val="00457D"/>
        </w:rPr>
      </w:pPr>
      <w:r w:rsidRPr="000B1F77">
        <w:rPr>
          <w:b/>
          <w:bCs/>
          <w:color w:val="00457D"/>
        </w:rPr>
        <w:lastRenderedPageBreak/>
        <w:t>Figura 3. Servizi disponibili nei portali FSE regionali per Regione (% sul totale)</w:t>
      </w:r>
    </w:p>
    <w:p w14:paraId="32DDD035" w14:textId="77777777" w:rsidR="00364D24" w:rsidRDefault="00364D24" w:rsidP="00364D24">
      <w:pPr>
        <w:jc w:val="center"/>
      </w:pPr>
      <w:r>
        <w:rPr>
          <w:noProof/>
        </w:rPr>
        <w:drawing>
          <wp:inline distT="0" distB="0" distL="0" distR="0" wp14:anchorId="22A70E34" wp14:editId="7DD89BC8">
            <wp:extent cx="5760000" cy="4849212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49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95CF8" w14:textId="77777777" w:rsidR="00364D24" w:rsidRDefault="00364D24"/>
    <w:p w14:paraId="6AC05628" w14:textId="77777777" w:rsidR="00364D24" w:rsidRDefault="00364D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6FB621FC" w14:textId="77777777" w:rsidR="00D74E23" w:rsidRPr="000B1F77" w:rsidRDefault="00D74E23" w:rsidP="00D74E23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>Figura 4. Cittadini che hanno espresso il consenso alla consultazione dei propri documenti</w:t>
      </w:r>
    </w:p>
    <w:p w14:paraId="3942AF24" w14:textId="77777777" w:rsidR="00D74E23" w:rsidRDefault="00D74E23" w:rsidP="00D74E23">
      <w:pPr>
        <w:jc w:val="center"/>
      </w:pPr>
      <w:r>
        <w:rPr>
          <w:noProof/>
        </w:rPr>
        <w:drawing>
          <wp:inline distT="0" distB="0" distL="0" distR="0" wp14:anchorId="79DD3F04" wp14:editId="37C763EE">
            <wp:extent cx="5760000" cy="5243276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5D5D0" w14:textId="77777777" w:rsidR="00D74E23" w:rsidRDefault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br w:type="page"/>
      </w:r>
    </w:p>
    <w:p w14:paraId="68286F51" w14:textId="77777777" w:rsidR="00364D24" w:rsidRPr="000B1F77" w:rsidRDefault="00364D24" w:rsidP="00364D24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 xml:space="preserve">Figura </w:t>
      </w:r>
      <w:r w:rsidR="00D74E23" w:rsidRPr="000B1F77">
        <w:rPr>
          <w:b/>
          <w:bCs/>
          <w:color w:val="00457D"/>
        </w:rPr>
        <w:t>5</w:t>
      </w:r>
      <w:r w:rsidRPr="000B1F77">
        <w:rPr>
          <w:b/>
          <w:bCs/>
          <w:color w:val="00457D"/>
        </w:rPr>
        <w:t>. Cittadini che hanno utilizzato il F</w:t>
      </w:r>
      <w:r w:rsidR="000B1F77">
        <w:rPr>
          <w:b/>
          <w:bCs/>
          <w:color w:val="00457D"/>
        </w:rPr>
        <w:t>SE</w:t>
      </w:r>
      <w:r w:rsidRPr="000B1F77">
        <w:rPr>
          <w:b/>
          <w:bCs/>
          <w:color w:val="00457D"/>
        </w:rPr>
        <w:t xml:space="preserve"> nei 90 giorni precedenti alla data di rilevazione</w:t>
      </w:r>
    </w:p>
    <w:p w14:paraId="72435FB3" w14:textId="77777777" w:rsidR="00364D24" w:rsidRDefault="00D74E23" w:rsidP="00364D24">
      <w:pPr>
        <w:jc w:val="center"/>
      </w:pPr>
      <w:r>
        <w:rPr>
          <w:noProof/>
        </w:rPr>
        <w:drawing>
          <wp:inline distT="0" distB="0" distL="0" distR="0" wp14:anchorId="77517574" wp14:editId="0B13D4BC">
            <wp:extent cx="5760000" cy="524327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B37BC" w14:textId="77777777" w:rsidR="00DF45B6" w:rsidRDefault="00DF45B6"/>
    <w:p w14:paraId="3255FBBE" w14:textId="77777777" w:rsidR="00B3139F" w:rsidRDefault="00B313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7A776B3" w14:textId="77777777" w:rsidR="00B940E4" w:rsidRDefault="00B940E4" w:rsidP="00B3139F">
      <w:pPr>
        <w:jc w:val="center"/>
      </w:pPr>
    </w:p>
    <w:p w14:paraId="5E81803A" w14:textId="77777777" w:rsidR="00B940E4" w:rsidRDefault="00B940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29210AB0" w14:textId="77777777" w:rsidR="00B940E4" w:rsidRPr="000B1F77" w:rsidRDefault="00B940E4" w:rsidP="00B940E4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 xml:space="preserve">Figura 6. MMG e PLS che hanno effettuato almeno un'operazione sul </w:t>
      </w:r>
      <w:r w:rsidR="000B1F77">
        <w:rPr>
          <w:b/>
          <w:bCs/>
          <w:color w:val="00457D"/>
        </w:rPr>
        <w:t>FSE</w:t>
      </w:r>
      <w:r w:rsidRPr="000B1F77">
        <w:rPr>
          <w:b/>
          <w:bCs/>
          <w:color w:val="00457D"/>
        </w:rPr>
        <w:t xml:space="preserve"> nel periodo di riferimento</w:t>
      </w:r>
    </w:p>
    <w:p w14:paraId="73A3BEB4" w14:textId="77777777" w:rsidR="00B940E4" w:rsidRDefault="00D27F12" w:rsidP="00B3139F">
      <w:pPr>
        <w:jc w:val="center"/>
      </w:pPr>
      <w:r>
        <w:rPr>
          <w:noProof/>
        </w:rPr>
        <w:drawing>
          <wp:inline distT="0" distB="0" distL="0" distR="0" wp14:anchorId="12D4F1DD" wp14:editId="0E4F5C4B">
            <wp:extent cx="5760000" cy="52432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7E524" w14:textId="77777777" w:rsidR="00B940E4" w:rsidRDefault="00B940E4" w:rsidP="00B3139F">
      <w:pPr>
        <w:jc w:val="center"/>
      </w:pPr>
    </w:p>
    <w:p w14:paraId="547E89B1" w14:textId="77777777" w:rsidR="00B940E4" w:rsidRDefault="00B940E4" w:rsidP="00B3139F">
      <w:pPr>
        <w:jc w:val="center"/>
      </w:pPr>
    </w:p>
    <w:p w14:paraId="15752FA2" w14:textId="77777777" w:rsidR="00B940E4" w:rsidRDefault="00B940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4BB115A5" w14:textId="77777777" w:rsidR="00B940E4" w:rsidRPr="000B1F77" w:rsidRDefault="00B940E4" w:rsidP="00B940E4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>Figura 7. Medici specialisti delle aziende sanitarie abilitati al FSE</w:t>
      </w:r>
    </w:p>
    <w:p w14:paraId="639832D5" w14:textId="77777777" w:rsidR="00B940E4" w:rsidRDefault="00D74E23" w:rsidP="00B3139F">
      <w:pPr>
        <w:jc w:val="center"/>
      </w:pPr>
      <w:r>
        <w:rPr>
          <w:noProof/>
        </w:rPr>
        <w:drawing>
          <wp:inline distT="0" distB="0" distL="0" distR="0" wp14:anchorId="159454C8" wp14:editId="76854496">
            <wp:extent cx="5760000" cy="5240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60E2F1B0" w14:textId="77777777" w:rsidR="00D74E23" w:rsidRDefault="00D74E23" w:rsidP="00B3139F">
      <w:pPr>
        <w:jc w:val="center"/>
      </w:pPr>
    </w:p>
    <w:sectPr w:rsidR="00D74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62EF4" w14:textId="77777777" w:rsidR="00422ACE" w:rsidRDefault="00422ACE" w:rsidP="00F64EBB">
      <w:pPr>
        <w:spacing w:after="0" w:line="240" w:lineRule="auto"/>
      </w:pPr>
      <w:r>
        <w:separator/>
      </w:r>
    </w:p>
  </w:endnote>
  <w:endnote w:type="continuationSeparator" w:id="0">
    <w:p w14:paraId="2F791010" w14:textId="77777777" w:rsidR="00422ACE" w:rsidRDefault="00422ACE" w:rsidP="00F6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91C1" w14:textId="77777777" w:rsidR="00422ACE" w:rsidRDefault="00422ACE" w:rsidP="00F64EBB">
      <w:pPr>
        <w:spacing w:after="0" w:line="240" w:lineRule="auto"/>
      </w:pPr>
      <w:r>
        <w:separator/>
      </w:r>
    </w:p>
  </w:footnote>
  <w:footnote w:type="continuationSeparator" w:id="0">
    <w:p w14:paraId="395263A6" w14:textId="77777777" w:rsidR="00422ACE" w:rsidRDefault="00422ACE" w:rsidP="00F64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0257"/>
    <w:multiLevelType w:val="multilevel"/>
    <w:tmpl w:val="EF5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205A9"/>
    <w:multiLevelType w:val="multilevel"/>
    <w:tmpl w:val="B8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E8"/>
    <w:rsid w:val="0004500F"/>
    <w:rsid w:val="0004653D"/>
    <w:rsid w:val="0005435D"/>
    <w:rsid w:val="00057810"/>
    <w:rsid w:val="000861AF"/>
    <w:rsid w:val="000B1222"/>
    <w:rsid w:val="000B1F77"/>
    <w:rsid w:val="000B3CC8"/>
    <w:rsid w:val="000D4812"/>
    <w:rsid w:val="000E6C40"/>
    <w:rsid w:val="000F263A"/>
    <w:rsid w:val="000F2DAC"/>
    <w:rsid w:val="000F6E4B"/>
    <w:rsid w:val="00120916"/>
    <w:rsid w:val="00133E7F"/>
    <w:rsid w:val="001401D8"/>
    <w:rsid w:val="00143FB9"/>
    <w:rsid w:val="001B1ABF"/>
    <w:rsid w:val="001B53B3"/>
    <w:rsid w:val="001C21B3"/>
    <w:rsid w:val="001E28B1"/>
    <w:rsid w:val="001E6DAC"/>
    <w:rsid w:val="001F6991"/>
    <w:rsid w:val="00234770"/>
    <w:rsid w:val="002419BE"/>
    <w:rsid w:val="00255D3A"/>
    <w:rsid w:val="0028260A"/>
    <w:rsid w:val="002A0BC7"/>
    <w:rsid w:val="002C6B8D"/>
    <w:rsid w:val="002E1658"/>
    <w:rsid w:val="002F17FD"/>
    <w:rsid w:val="00321845"/>
    <w:rsid w:val="00345735"/>
    <w:rsid w:val="00354A4A"/>
    <w:rsid w:val="003607CB"/>
    <w:rsid w:val="00363B92"/>
    <w:rsid w:val="00364D24"/>
    <w:rsid w:val="0037268D"/>
    <w:rsid w:val="00375C42"/>
    <w:rsid w:val="0038396E"/>
    <w:rsid w:val="003908BD"/>
    <w:rsid w:val="0039326E"/>
    <w:rsid w:val="0041795A"/>
    <w:rsid w:val="004215CC"/>
    <w:rsid w:val="00422ACE"/>
    <w:rsid w:val="004A2D04"/>
    <w:rsid w:val="004A508A"/>
    <w:rsid w:val="004A64E8"/>
    <w:rsid w:val="004C189E"/>
    <w:rsid w:val="004C193B"/>
    <w:rsid w:val="005145DE"/>
    <w:rsid w:val="00527550"/>
    <w:rsid w:val="005422B3"/>
    <w:rsid w:val="0055426E"/>
    <w:rsid w:val="00554C31"/>
    <w:rsid w:val="005A2EBF"/>
    <w:rsid w:val="005A5FBC"/>
    <w:rsid w:val="005C30E8"/>
    <w:rsid w:val="005F42DE"/>
    <w:rsid w:val="005F617D"/>
    <w:rsid w:val="00601C9C"/>
    <w:rsid w:val="00626207"/>
    <w:rsid w:val="00641807"/>
    <w:rsid w:val="00654B80"/>
    <w:rsid w:val="006551E0"/>
    <w:rsid w:val="00692374"/>
    <w:rsid w:val="006937DD"/>
    <w:rsid w:val="006A7E7F"/>
    <w:rsid w:val="006C54F2"/>
    <w:rsid w:val="006E6CCF"/>
    <w:rsid w:val="006F0E9D"/>
    <w:rsid w:val="00704EFF"/>
    <w:rsid w:val="00706324"/>
    <w:rsid w:val="007155F8"/>
    <w:rsid w:val="00750FFF"/>
    <w:rsid w:val="0077011E"/>
    <w:rsid w:val="00775E58"/>
    <w:rsid w:val="007863E8"/>
    <w:rsid w:val="00792BDF"/>
    <w:rsid w:val="007A51FC"/>
    <w:rsid w:val="007C1518"/>
    <w:rsid w:val="007D3878"/>
    <w:rsid w:val="007E59CF"/>
    <w:rsid w:val="007F6C51"/>
    <w:rsid w:val="008014FE"/>
    <w:rsid w:val="008307FD"/>
    <w:rsid w:val="00861816"/>
    <w:rsid w:val="00895555"/>
    <w:rsid w:val="008E0727"/>
    <w:rsid w:val="008E4F8A"/>
    <w:rsid w:val="00920AA8"/>
    <w:rsid w:val="00956EDF"/>
    <w:rsid w:val="00980685"/>
    <w:rsid w:val="00994AAD"/>
    <w:rsid w:val="00997E18"/>
    <w:rsid w:val="009B2A99"/>
    <w:rsid w:val="009D325D"/>
    <w:rsid w:val="009F0703"/>
    <w:rsid w:val="009F6741"/>
    <w:rsid w:val="00A47331"/>
    <w:rsid w:val="00A476B4"/>
    <w:rsid w:val="00A671D3"/>
    <w:rsid w:val="00AA6354"/>
    <w:rsid w:val="00AC53E4"/>
    <w:rsid w:val="00AD20FC"/>
    <w:rsid w:val="00AD782A"/>
    <w:rsid w:val="00AF3C75"/>
    <w:rsid w:val="00B15EC5"/>
    <w:rsid w:val="00B20FB6"/>
    <w:rsid w:val="00B3139F"/>
    <w:rsid w:val="00B31AF8"/>
    <w:rsid w:val="00B57BAB"/>
    <w:rsid w:val="00B66016"/>
    <w:rsid w:val="00B70346"/>
    <w:rsid w:val="00B77BF4"/>
    <w:rsid w:val="00B834AC"/>
    <w:rsid w:val="00B87C64"/>
    <w:rsid w:val="00B940E4"/>
    <w:rsid w:val="00BC31D1"/>
    <w:rsid w:val="00BE6758"/>
    <w:rsid w:val="00C32118"/>
    <w:rsid w:val="00C726FB"/>
    <w:rsid w:val="00C8513B"/>
    <w:rsid w:val="00C93EBC"/>
    <w:rsid w:val="00CA2039"/>
    <w:rsid w:val="00CC782A"/>
    <w:rsid w:val="00CC7D24"/>
    <w:rsid w:val="00CF6F45"/>
    <w:rsid w:val="00D27F12"/>
    <w:rsid w:val="00D43894"/>
    <w:rsid w:val="00D47257"/>
    <w:rsid w:val="00D74E23"/>
    <w:rsid w:val="00D83FC6"/>
    <w:rsid w:val="00D94DF5"/>
    <w:rsid w:val="00DE08B1"/>
    <w:rsid w:val="00DF45B6"/>
    <w:rsid w:val="00E0750C"/>
    <w:rsid w:val="00E2132B"/>
    <w:rsid w:val="00EA6836"/>
    <w:rsid w:val="00EB218E"/>
    <w:rsid w:val="00EC7EF5"/>
    <w:rsid w:val="00EE5322"/>
    <w:rsid w:val="00F0512B"/>
    <w:rsid w:val="00F64EBB"/>
    <w:rsid w:val="00F777E7"/>
    <w:rsid w:val="00FA22DA"/>
    <w:rsid w:val="00FA3544"/>
    <w:rsid w:val="00FB7C1C"/>
    <w:rsid w:val="00FD25DA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5C0"/>
  <w15:chartTrackingRefBased/>
  <w15:docId w15:val="{B8D015FD-03E2-4EDE-A86D-11760B5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A64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64E8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4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EBB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4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BB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671D3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92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B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BD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BDF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DF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itopen.fse.salute.gov.it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Luceri</dc:creator>
  <cp:keywords/>
  <dc:description/>
  <cp:lastModifiedBy>Luca Bellusci</cp:lastModifiedBy>
  <cp:revision>5</cp:revision>
  <cp:lastPrinted>2024-11-25T15:14:00Z</cp:lastPrinted>
  <dcterms:created xsi:type="dcterms:W3CDTF">2024-11-26T11:32:00Z</dcterms:created>
  <dcterms:modified xsi:type="dcterms:W3CDTF">2024-11-27T08:42:00Z</dcterms:modified>
</cp:coreProperties>
</file>