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E0ABD" w14:textId="77777777" w:rsidR="004A64E8" w:rsidRPr="00634978" w:rsidRDefault="004A64E8" w:rsidP="004A64E8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bookmarkStart w:id="0" w:name="_Hlk130293438"/>
      <w:r w:rsidRPr="00634978">
        <w:rPr>
          <w:b/>
          <w:bCs/>
          <w:color w:val="auto"/>
          <w:sz w:val="36"/>
          <w:szCs w:val="33"/>
        </w:rPr>
        <w:t>COMUNICATO STAMPA</w:t>
      </w:r>
    </w:p>
    <w:p w14:paraId="4B5ECD86" w14:textId="77777777" w:rsidR="004A64E8" w:rsidRPr="00FD6EB2" w:rsidRDefault="004A64E8" w:rsidP="004A64E8">
      <w:pPr>
        <w:spacing w:after="0" w:line="276" w:lineRule="auto"/>
        <w:jc w:val="center"/>
        <w:rPr>
          <w:rFonts w:eastAsia="Times New Roman" w:cs="Calibri"/>
          <w:b/>
          <w:bCs/>
          <w:color w:val="FF0000"/>
          <w:sz w:val="8"/>
          <w:szCs w:val="8"/>
          <w:bdr w:val="none" w:sz="0" w:space="0" w:color="auto" w:frame="1"/>
        </w:rPr>
      </w:pPr>
    </w:p>
    <w:p w14:paraId="4597919B" w14:textId="5D2BD8D3" w:rsidR="00890119" w:rsidRDefault="002739EB" w:rsidP="00890119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725FB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FASCICOLO SANITARIO ELETTRONICO: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Pr="00725FB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FRATTURA DIGITALE TRA</w:t>
      </w:r>
      <w:bookmarkStart w:id="1" w:name="_GoBack"/>
      <w:bookmarkEnd w:id="1"/>
      <w:r w:rsidRPr="00725FB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Pr="00FD1D8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LE REGIONI</w:t>
      </w:r>
      <w:r w:rsidRPr="00725FB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.</w:t>
      </w:r>
      <w:r w:rsidRPr="00725FB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="00FD1D80" w:rsidRPr="00FD1D8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SOLO </w:t>
      </w:r>
      <w:r w:rsidR="001F2AC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4</w:t>
      </w:r>
      <w:r w:rsidRPr="00725FB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DOCUMENTI SU 1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6</w:t>
      </w:r>
      <w:r w:rsidRPr="00725FB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="00FD1D8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RESI </w:t>
      </w:r>
      <w:r w:rsidRPr="00725FB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DISPONIBILI </w:t>
      </w:r>
      <w:r w:rsidR="00FD1D80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OVUNQUE</w:t>
      </w:r>
      <w:r w:rsidRPr="00725FBF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.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="002D02CD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SOLO</w:t>
      </w:r>
      <w:r w:rsidR="00B96132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</w:t>
      </w:r>
      <w:r w:rsidRPr="00435BB1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IL 4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2</w:t>
      </w:r>
      <w:r w:rsidRPr="00435BB1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% DEI CITTADINI HA FORNITO IL CONSENSO: DAL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92</w:t>
      </w:r>
      <w:r w:rsidRPr="00435BB1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% DELL’EMILIA-ROMAGNA ALL’1% DI ABRUZZO, 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br/>
      </w:r>
      <w:r w:rsidRPr="00435BB1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>CALABRIA</w:t>
      </w:r>
      <w:r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E</w:t>
      </w:r>
      <w:r w:rsidRPr="00435BB1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 CAMPANIA.</w:t>
      </w:r>
    </w:p>
    <w:p w14:paraId="2E8D439C" w14:textId="780FAAF9" w:rsidR="00F8431E" w:rsidRDefault="002739EB" w:rsidP="004A64E8">
      <w:pPr>
        <w:spacing w:after="0" w:line="276" w:lineRule="auto"/>
        <w:jc w:val="center"/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</w:pPr>
      <w:r w:rsidRPr="00F8431E">
        <w:rPr>
          <w:rFonts w:eastAsia="Times New Roman" w:cs="Calibri"/>
          <w:b/>
          <w:bCs/>
          <w:color w:val="auto"/>
          <w:sz w:val="36"/>
          <w:szCs w:val="36"/>
          <w:bdr w:val="none" w:sz="0" w:space="0" w:color="auto" w:frame="1"/>
        </w:rPr>
        <w:t xml:space="preserve">SENZA FIDUCIA DEI CITTADINI LA TRASFORMAZIONE DIGITALE DELLA SANITÀ NON DECOLLA </w:t>
      </w:r>
    </w:p>
    <w:p w14:paraId="71989B97" w14:textId="5EB05A83" w:rsidR="004A64E8" w:rsidRPr="008425B4" w:rsidRDefault="0014788F" w:rsidP="004A64E8">
      <w:pPr>
        <w:spacing w:after="0" w:line="276" w:lineRule="auto"/>
        <w:jc w:val="center"/>
        <w:rPr>
          <w:rFonts w:cs="Calibri"/>
          <w:b/>
          <w:bCs/>
          <w:color w:val="auto"/>
          <w:sz w:val="24"/>
          <w:szCs w:val="24"/>
        </w:rPr>
      </w:pPr>
      <w:r>
        <w:rPr>
          <w:rFonts w:cs="Calibri"/>
          <w:b/>
          <w:bCs/>
          <w:color w:val="auto"/>
          <w:sz w:val="24"/>
          <w:szCs w:val="24"/>
        </w:rPr>
        <w:t>16 luglio 2025</w:t>
      </w:r>
      <w:r w:rsidR="004A64E8" w:rsidRPr="00B928B4">
        <w:rPr>
          <w:rFonts w:cs="Calibri"/>
          <w:b/>
          <w:bCs/>
          <w:color w:val="auto"/>
          <w:sz w:val="24"/>
          <w:szCs w:val="24"/>
        </w:rPr>
        <w:t xml:space="preserve"> - Fondazione GIMBE, </w:t>
      </w:r>
      <w:bookmarkStart w:id="2" w:name="_Hlk105580520"/>
      <w:bookmarkStart w:id="3" w:name="_Hlk123984615"/>
      <w:bookmarkEnd w:id="0"/>
      <w:r>
        <w:rPr>
          <w:rFonts w:cs="Calibri"/>
          <w:b/>
          <w:bCs/>
          <w:color w:val="auto"/>
          <w:sz w:val="24"/>
          <w:szCs w:val="24"/>
        </w:rPr>
        <w:t>Bari</w:t>
      </w:r>
    </w:p>
    <w:p w14:paraId="0695DAA2" w14:textId="58A18B95" w:rsidR="00B31AF8" w:rsidRDefault="004A64E8" w:rsidP="00A671D3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>
        <w:rPr>
          <w:color w:val="auto"/>
        </w:rPr>
        <w:tab/>
      </w:r>
      <w:r w:rsidRPr="00B2358D">
        <w:rPr>
          <w:color w:val="auto"/>
          <w:sz w:val="12"/>
          <w:szCs w:val="12"/>
        </w:rPr>
        <w:br/>
      </w:r>
      <w:bookmarkEnd w:id="2"/>
      <w:bookmarkEnd w:id="3"/>
      <w:r w:rsidR="00EF5301">
        <w:t xml:space="preserve">In occasione del 9° Forum Mediterraneo in Sanità, la Fondazione GIMBE ha presentato i dati aggiornati sulla diffusione e l’utilizzo del Fascicolo Sanitario Elettronico (FSE) nelle Regioni italiane. </w:t>
      </w:r>
      <w:r w:rsidR="008F37A0" w:rsidRPr="008F37A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L’analisi indipendente restituisce un quadro </w:t>
      </w:r>
      <w:r w:rsidR="008F37A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chiaro</w:t>
      </w:r>
      <w:r w:rsidR="00EF5301">
        <w:t xml:space="preserve">: </w:t>
      </w:r>
      <w:r w:rsidR="00EE5A23">
        <w:t xml:space="preserve">lo strumento chiave della trasformazione digitale </w:t>
      </w:r>
      <w:r w:rsidR="008F37A0">
        <w:t>procede</w:t>
      </w:r>
      <w:r w:rsidR="00EF5301">
        <w:t xml:space="preserve"> a velocità diverse, generando nuove </w:t>
      </w:r>
      <w:r w:rsidR="008F37A0">
        <w:t>forme di disuguaglianza</w:t>
      </w:r>
      <w:r w:rsidR="00EF5301">
        <w:t xml:space="preserve">. </w:t>
      </w:r>
      <w:r w:rsidR="008F37A0">
        <w:t>Ad oggi, s</w:t>
      </w:r>
      <w:r w:rsidR="00EF5301">
        <w:t xml:space="preserve">olo </w:t>
      </w:r>
      <w:r w:rsidR="001F2ACE">
        <w:t>quattro</w:t>
      </w:r>
      <w:r w:rsidR="00EF5301">
        <w:t xml:space="preserve"> tipologie di documenti sanitari risultano disponibili </w:t>
      </w:r>
      <w:r w:rsidR="009E49F3">
        <w:t xml:space="preserve">in tutte le </w:t>
      </w:r>
      <w:r w:rsidR="009E49F3" w:rsidRPr="00197C53">
        <w:t xml:space="preserve">Regioni e </w:t>
      </w:r>
      <w:r w:rsidR="00803144">
        <w:t>appena</w:t>
      </w:r>
      <w:r w:rsidR="00803144" w:rsidRPr="00197C53">
        <w:t xml:space="preserve"> </w:t>
      </w:r>
      <w:r w:rsidR="009E49F3" w:rsidRPr="00197C53">
        <w:t xml:space="preserve">il 42% dei cittadini ha espresso il consenso alla consultazione </w:t>
      </w:r>
      <w:r w:rsidR="00803144" w:rsidRPr="0080314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dei propri dati</w:t>
      </w:r>
      <w:r w:rsidR="00803144">
        <w:t xml:space="preserve">, </w:t>
      </w:r>
      <w:r w:rsidR="009E49F3" w:rsidRPr="00197C53">
        <w:t>con divari abissali e percentuali irrisorie nel Mezzogiorno</w:t>
      </w:r>
      <w:r w:rsidR="00435BB1" w:rsidRPr="00197C53">
        <w:t>.</w:t>
      </w:r>
      <w:r w:rsidR="00EF5301">
        <w:t xml:space="preserve"> </w:t>
      </w:r>
      <w:r w:rsidR="00803144">
        <w:t xml:space="preserve">Una </w:t>
      </w:r>
      <w:r w:rsidR="002D2F4E">
        <w:t xml:space="preserve">frattura </w:t>
      </w:r>
      <w:r w:rsidR="000F2807">
        <w:t>che</w:t>
      </w:r>
      <w:r w:rsidR="0080314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</w:t>
      </w:r>
      <w:r w:rsidR="000F280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come </w:t>
      </w:r>
      <w:r w:rsidR="0080314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ha sottolineato </w:t>
      </w:r>
      <w:r w:rsidR="0089011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anche </w:t>
      </w:r>
      <w:r w:rsidR="0080314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il</w:t>
      </w:r>
      <w:r w:rsidR="00EF5301">
        <w:t xml:space="preserve"> Ministro Schillaci lo scorso 25 giugno alla Camer</w:t>
      </w:r>
      <w:r w:rsidR="00EE5A23">
        <w:t>a</w:t>
      </w:r>
      <w:r w:rsidR="00803144">
        <w:t>,</w:t>
      </w:r>
      <w:r w:rsidR="000F2807">
        <w:t xml:space="preserve"> “</w:t>
      </w:r>
      <w:r w:rsidR="000F2807" w:rsidRPr="000F2807">
        <w:rPr>
          <w:i/>
          <w:iCs/>
        </w:rPr>
        <w:t>non è solo un problema tecnico, ma è una questione di equità nell'accesso alle cure</w:t>
      </w:r>
      <w:r w:rsidR="000F2807">
        <w:t>”</w:t>
      </w:r>
      <w:r w:rsidR="001F2ACE">
        <w:t>.</w:t>
      </w:r>
    </w:p>
    <w:p w14:paraId="15ADD02C" w14:textId="686D06C3" w:rsidR="008F37A0" w:rsidRDefault="00A671D3" w:rsidP="008F37A0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«</w:t>
      </w:r>
      <w:r w:rsidR="00EF5301">
        <w:t xml:space="preserve">Il Fascicolo Sanitario Elettronico – afferma Nino Cartabellotta, Presidente della Fondazione GIMBE – dovrebbe essere la chiave per </w:t>
      </w:r>
      <w:r w:rsidR="00FE6761" w:rsidRPr="00FE6761">
        <w:t>migliorare accessibilità, continuità delle cure e integrazione dei se</w:t>
      </w:r>
      <w:r w:rsidR="00FE6761">
        <w:t>rvizi sanitari e socio-sanitari</w:t>
      </w:r>
      <w:r w:rsidR="00EF5301">
        <w:t>. Ma oggi, per milioni di cittadini, resta</w:t>
      </w:r>
      <w:r w:rsidR="00803144">
        <w:t xml:space="preserve"> uno</w:t>
      </w:r>
      <w:r w:rsidR="00EF5301">
        <w:t xml:space="preserve"> </w:t>
      </w:r>
      <w:r w:rsidR="00803144">
        <w:t>s</w:t>
      </w:r>
      <w:r w:rsidR="00803144" w:rsidRPr="00803144">
        <w:t xml:space="preserve">trumento </w:t>
      </w:r>
      <w:r w:rsidR="00890119">
        <w:t>ben</w:t>
      </w:r>
      <w:r w:rsidR="00803144" w:rsidRPr="00803144">
        <w:t xml:space="preserve"> lontano dalla piena operatività</w:t>
      </w:r>
      <w:r w:rsidR="00EF5301">
        <w:t>. Il divario digitale tra le Regioni, se non colmato rapidamente, rischia di trasformarsi in una nuova forma di esclusione sanitaria</w:t>
      </w:r>
      <w:r w:rsidRPr="0023477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».</w:t>
      </w:r>
      <w:r w:rsidR="0089011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9B2A9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Infatti, i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dati</w:t>
      </w:r>
      <w:r w:rsidR="00B70346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747D7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resi pubblic</w:t>
      </w:r>
      <w:r w:rsidR="00EE5A2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</w:t>
      </w:r>
      <w:r w:rsidR="00747D7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su</w:t>
      </w:r>
      <w:r w:rsidR="00997E18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 </w:t>
      </w:r>
      <w:hyperlink r:id="rId8" w:history="1">
        <w:r w:rsidR="00997E18" w:rsidRPr="00B66016">
          <w:rPr>
            <w:rStyle w:val="Collegamentoipertestuale"/>
            <w:rFonts w:asciiTheme="minorHAnsi" w:eastAsiaTheme="minorHAnsi" w:hAnsiTheme="minorHAnsi" w:cstheme="minorBidi"/>
            <w:bdr w:val="none" w:sz="0" w:space="0" w:color="auto"/>
            <w:lang w:eastAsia="en-US"/>
          </w:rPr>
          <w:t>portale Fascicolo Sanitario Elettronico 2.0</w:t>
        </w:r>
      </w:hyperlink>
      <w:r w:rsidR="00997E18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del Ministero della Salute e del Dipartimento per la Trasformazione Digitale</w:t>
      </w:r>
      <w:r w:rsidR="00747D7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8F37A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-</w:t>
      </w:r>
      <w:r w:rsidR="00747D7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aggiornati al 31 marzo 2025</w:t>
      </w:r>
      <w:r w:rsidR="008F37A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-</w:t>
      </w:r>
      <w:r w:rsidR="00997E18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8F37A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confermano 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che</w:t>
      </w:r>
      <w:r w:rsidR="006551E0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la </w:t>
      </w:r>
      <w:r w:rsidR="008F37A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disponibilità e l’utilizzo </w:t>
      </w:r>
      <w:r w:rsidR="005422B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 documenti e servizi nel FSE </w:t>
      </w:r>
      <w:r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var</w:t>
      </w:r>
      <w:r w:rsidR="005422B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iano </w:t>
      </w:r>
      <w:r w:rsidR="0089011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in maniera molto rilevante </w:t>
      </w:r>
      <w:r w:rsidR="00950AC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tra le Regioni</w:t>
      </w:r>
      <w:r w:rsidR="008E4F8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</w:t>
      </w:r>
    </w:p>
    <w:p w14:paraId="6A0873CA" w14:textId="752765AE" w:rsidR="005422B3" w:rsidRPr="00F777E7" w:rsidRDefault="005422B3" w:rsidP="00A671D3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5422B3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COMPLETEZZA DEL F</w:t>
      </w:r>
      <w:r w:rsidR="00890119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ASCICOLO SANITARIO ELETTRONICO</w:t>
      </w:r>
    </w:p>
    <w:p w14:paraId="72CB869C" w14:textId="1F35A03A" w:rsidR="00803144" w:rsidRDefault="00363B92" w:rsidP="00950A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B66016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D</w:t>
      </w:r>
      <w:r w:rsidR="006F0E9D" w:rsidRPr="00B66016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ocumenti</w:t>
      </w:r>
      <w:r w:rsidR="00DF45B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E0750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Il </w:t>
      </w:r>
      <w:r w:rsidR="00895555" w:rsidRPr="0089555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</w:t>
      </w:r>
      <w:r w:rsidR="001B1AB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ecreto del </w:t>
      </w:r>
      <w:r w:rsidR="00895555" w:rsidRPr="0089555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M</w:t>
      </w:r>
      <w:r w:rsidR="001B1AB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inistero della Salute</w:t>
      </w:r>
      <w:r w:rsidR="00895555" w:rsidRPr="0089555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del </w:t>
      </w:r>
      <w:r w:rsidR="0089555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7 settembre </w:t>
      </w:r>
      <w:r w:rsidR="00895555" w:rsidRPr="0089555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2023</w:t>
      </w:r>
      <w:r w:rsidR="001B1AB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5422B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ha definito </w:t>
      </w:r>
      <w:r w:rsidR="001B1ABF" w:rsidRPr="001B1AB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 contenuti del FSE 2.0</w:t>
      </w:r>
      <w:r w:rsidR="00E0750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</w:t>
      </w:r>
      <w:r w:rsidR="00EF5301">
        <w:t xml:space="preserve">ma ad oggi soltanto </w:t>
      </w:r>
      <w:r w:rsidR="00ED4BFC">
        <w:t>4</w:t>
      </w:r>
      <w:r w:rsidR="00EF5301">
        <w:t xml:space="preserve"> documenti su 1</w:t>
      </w:r>
      <w:r w:rsidR="00ED4BFC">
        <w:t>6</w:t>
      </w:r>
      <w:r w:rsidR="009F3182">
        <w:t xml:space="preserve"> monitorati sul portale pubblico</w:t>
      </w:r>
      <w:r w:rsidR="00EF5301">
        <w:t xml:space="preserve"> – lettera di dimissione ospedaliera, refert</w:t>
      </w:r>
      <w:r w:rsidR="00ED4BFC">
        <w:t>i</w:t>
      </w:r>
      <w:r w:rsidR="00EF5301">
        <w:t xml:space="preserve"> </w:t>
      </w:r>
      <w:r w:rsidR="00ED4BFC">
        <w:t xml:space="preserve">di laboratorio e </w:t>
      </w:r>
      <w:r w:rsidR="00EF5301">
        <w:t xml:space="preserve">di radiologia e verbale di pronto soccorso – </w:t>
      </w:r>
      <w:r w:rsidR="00F735D7">
        <w:t>risulta</w:t>
      </w:r>
      <w:r w:rsidR="008D3D75">
        <w:t>n</w:t>
      </w:r>
      <w:r w:rsidR="00F735D7">
        <w:t xml:space="preserve">o </w:t>
      </w:r>
      <w:r w:rsidR="007F7085">
        <w:t xml:space="preserve">effettivamente disponibili </w:t>
      </w:r>
      <w:r w:rsidR="002E52E2">
        <w:t>in tutte le Regioni</w:t>
      </w:r>
      <w:r w:rsidR="006551E0" w:rsidRP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DF45B6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="00DF45B6" w:rsidRPr="002F17FD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figura</w:t>
      </w:r>
      <w:r w:rsidR="00DF45B6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 1</w:t>
      </w:r>
      <w:r w:rsidR="00DF45B6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</w:t>
      </w:r>
      <w:r w:rsidR="00E0750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CA2039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«</w:t>
      </w:r>
      <w:r w:rsidR="00EF5301" w:rsidRPr="00EF530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Un </w:t>
      </w:r>
      <w:r w:rsidR="000F280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cittadino</w:t>
      </w:r>
      <w:r w:rsidR="00EF5301" w:rsidRPr="00EF530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67472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siciliano</w:t>
      </w:r>
      <w:r w:rsidR="00674728" w:rsidRPr="00EF530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EF5301" w:rsidRPr="00EF530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 uno </w:t>
      </w:r>
      <w:r w:rsidR="0067472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veneto</w:t>
      </w:r>
      <w:r w:rsidR="00674728" w:rsidRPr="00EF530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EF5301" w:rsidRPr="00EF530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– commenta Cartabellotta – non hanno le stesse possibilità di accesso alla propria documentazione clinica. E questo non è accettabile in un Servizio Sanitario Nazionale che si definisce universale</w:t>
      </w:r>
      <w:r w:rsidR="00CA2039" w:rsidRPr="0023477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».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7F7085" w:rsidRPr="007F708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La disomogeneità regionale è marcata</w:t>
      </w:r>
      <w:r w:rsidR="00133E7F" w:rsidRP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Alcuni documenti fondamentali </w:t>
      </w:r>
      <w:r w:rsidR="006A26CA" w:rsidRPr="007F708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–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come i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 profilo sanitario sintetico,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le 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prescrizion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specialistiche 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 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farmaceutiche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 il referto specialistico ambulatoriale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6A26CA" w:rsidRPr="007F708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–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sono disponibili in</w:t>
      </w:r>
      <w:r w:rsidR="000F26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oltre l’80% delle </w:t>
      </w:r>
      <w:r w:rsidR="0032184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Regioni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 Il certificato vaccinale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e il documento di erogazione delle prestazioni specialistiche sono presenti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in 1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5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egioni e 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Province </w:t>
      </w:r>
      <w:r w:rsidR="00F735D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Autonome 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(7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1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%)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mentre 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il documento di erogazione dei farmaci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e la scheda della singola vaccinazione 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compaiono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nei FSE di 1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4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egioni (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6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7%). 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Il referto di anatomia patologica e il taccuino personale dell’assistito sono 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accessibili 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in 13 Regioni (62%). 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Soltanto </w:t>
      </w:r>
      <w:r w:rsidR="00BD7D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6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</w:t>
      </w:r>
      <w:r w:rsidR="00133E7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egioni rendono disponibile</w:t>
      </w:r>
      <w:r w:rsidR="000F26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la lettera di invito per screening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</w:t>
      </w:r>
      <w:r w:rsidR="000F26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vaccinazioni </w:t>
      </w:r>
      <w:r w:rsidR="000F26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 altri percorsi di prevenzione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 mentre l</w:t>
      </w:r>
      <w:r w:rsidR="000F26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 cartella clinica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0F26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è </w:t>
      </w:r>
      <w:r w:rsidR="00950AC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resa disponibile </w:t>
      </w:r>
      <w:r w:rsidR="00F735D7" w:rsidRPr="00803144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nel FSE</w:t>
      </w:r>
      <w:r w:rsidR="00F735D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950AC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solo dal </w:t>
      </w:r>
      <w:r w:rsidR="000F263A" w:rsidRPr="00B66016">
        <w:rPr>
          <w:rFonts w:eastAsia="Times New Roman" w:cs="Calibri"/>
          <w:bdr w:val="none" w:sz="0" w:space="0" w:color="auto"/>
        </w:rPr>
        <w:t>Veneto</w:t>
      </w:r>
      <w:r w:rsidR="00FB7C1C">
        <w:rPr>
          <w:rFonts w:eastAsia="Times New Roman" w:cs="Calibri"/>
          <w:bdr w:val="none" w:sz="0" w:space="0" w:color="auto"/>
        </w:rPr>
        <w:t xml:space="preserve"> (</w:t>
      </w:r>
      <w:r w:rsidR="00FB7C1C" w:rsidRPr="00CA2039">
        <w:rPr>
          <w:rFonts w:eastAsia="Times New Roman" w:cs="Calibri"/>
          <w:highlight w:val="yellow"/>
          <w:bdr w:val="none" w:sz="0" w:space="0" w:color="auto"/>
        </w:rPr>
        <w:t>tabella 1</w:t>
      </w:r>
      <w:r w:rsidR="00FB7C1C">
        <w:rPr>
          <w:rFonts w:eastAsia="Times New Roman" w:cs="Calibri"/>
          <w:bdr w:val="none" w:sz="0" w:space="0" w:color="auto"/>
        </w:rPr>
        <w:t>)</w:t>
      </w:r>
      <w:r w:rsidR="000F263A">
        <w:rPr>
          <w:rFonts w:eastAsia="Times New Roman" w:cs="Calibri"/>
          <w:bdr w:val="none" w:sz="0" w:space="0" w:color="auto"/>
        </w:rPr>
        <w:t>.</w:t>
      </w:r>
      <w:r w:rsidR="00950AC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6A26CA" w:rsidRPr="007F708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lastRenderedPageBreak/>
        <w:t xml:space="preserve">Complessivamente, 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</w:t>
      </w:r>
      <w:r w:rsidR="00255D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livello nazionale 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il FSE mette a </w:t>
      </w:r>
      <w:r w:rsidR="00255D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disposizione degli utenti il </w:t>
      </w:r>
      <w:r w:rsidR="00F118B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68</w:t>
      </w:r>
      <w:r w:rsidR="00255D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% dei documenti</w:t>
      </w:r>
      <w:r w:rsidR="009F318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monitorati sul portale del FSE 2.0 e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previsti dal decreto</w:t>
      </w:r>
      <w:r w:rsidR="00255D3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0F2807" w:rsidRPr="0027698D">
        <w:t>Nessuna</w:t>
      </w:r>
      <w:r w:rsidR="000F2807">
        <w:t xml:space="preserve"> </w:t>
      </w:r>
      <w:r w:rsidR="000F2807" w:rsidRPr="0027698D">
        <w:t xml:space="preserve">Regione </w:t>
      </w:r>
      <w:r w:rsidR="000F2807" w:rsidRPr="00FD1223">
        <w:t>alimenta</w:t>
      </w:r>
      <w:r w:rsidR="000F2807">
        <w:t xml:space="preserve"> </w:t>
      </w:r>
      <w:r w:rsidR="000F2807" w:rsidRPr="00FD1223">
        <w:t>i</w:t>
      </w:r>
      <w:r w:rsidR="000F2807">
        <w:t>l FSE</w:t>
      </w:r>
      <w:r w:rsidR="000F2807" w:rsidRPr="00FD1223">
        <w:t xml:space="preserve"> con </w:t>
      </w:r>
      <w:r w:rsidR="000F2807">
        <w:t xml:space="preserve">tutte </w:t>
      </w:r>
      <w:r w:rsidR="000F2807" w:rsidRPr="00FD1223">
        <w:t xml:space="preserve">le tipologie documentali previste </w:t>
      </w:r>
      <w:r w:rsidR="000F2807">
        <w:t>dal</w:t>
      </w:r>
      <w:r w:rsidR="000F2807" w:rsidRPr="00FD1223">
        <w:t xml:space="preserve"> DM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:</w:t>
      </w:r>
      <w:r w:rsidR="00F777E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6A26C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si va</w:t>
      </w:r>
      <w:r w:rsidR="006F0E9D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dal 9</w:t>
      </w:r>
      <w:r w:rsidR="00F118B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3</w:t>
      </w:r>
      <w:r w:rsidR="006F0E9D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% </w:t>
      </w:r>
      <w:r w:rsidR="00120916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del</w:t>
      </w:r>
      <w:r w:rsidR="006F0E9D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Piemonte </w:t>
      </w:r>
      <w:r w:rsidR="00F118B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 del Veneto </w:t>
      </w:r>
      <w:r w:rsidR="006F0E9D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al </w:t>
      </w:r>
      <w:r w:rsidR="00F118B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40</w:t>
      </w:r>
      <w:r w:rsidR="006F0E9D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% di </w:t>
      </w:r>
      <w:r w:rsidR="00F118B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Abruzzo e Calabria</w:t>
      </w:r>
      <w:r w:rsidR="006F0E9D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B66016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="00B66016" w:rsidRPr="002F17FD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figura</w:t>
      </w:r>
      <w:r w:rsidR="00DF45B6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 2</w:t>
      </w:r>
      <w:r w:rsidR="00B66016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).</w:t>
      </w:r>
      <w:r w:rsidR="006551E0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</w:p>
    <w:p w14:paraId="667DD3E3" w14:textId="71CE5A30" w:rsidR="00F735D7" w:rsidRDefault="00A671D3" w:rsidP="00F735D7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B66016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Servizi</w:t>
      </w:r>
      <w:r w:rsidR="00E0750C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FA22DA" w:rsidRPr="00FA22D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Attualmente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</w:t>
      </w:r>
      <w:r w:rsidR="00FA22DA" w:rsidRPr="00FA22D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DF439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</w:t>
      </w:r>
      <w:r w:rsidR="00DF4396" w:rsidRPr="00FA22D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FA22DA" w:rsidRPr="00FA22D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FSE regionali </w:t>
      </w:r>
      <w:r w:rsidR="00DF439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offrono fino a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F118B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4</w:t>
      </w:r>
      <w:r w:rsidR="00B733F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5</w:t>
      </w:r>
      <w:r w:rsidR="007E59CF" w:rsidRPr="00FA22D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servizi</w:t>
      </w:r>
      <w:r w:rsidR="007E59CF" w:rsidRPr="00FA22D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F735D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digitali </w:t>
      </w:r>
      <w:r w:rsidR="00D74E2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="00D74E23" w:rsidRPr="00D74E23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tabella </w:t>
      </w:r>
      <w:r w:rsidR="00FF00F4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2</w:t>
      </w:r>
      <w:r w:rsidR="00D74E2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che </w:t>
      </w:r>
      <w:r w:rsidR="0028260A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permett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ono</w:t>
      </w:r>
      <w:r w:rsidR="0028260A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ai cittadini </w:t>
      </w:r>
      <w:r w:rsidR="007E59CF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 svolgere </w:t>
      </w:r>
      <w:r w:rsidR="00EB218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varie</w:t>
      </w:r>
      <w:r w:rsidR="00EB218E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7E59CF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attività fondamentali</w:t>
      </w:r>
      <w:r w:rsid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:</w:t>
      </w:r>
      <w:r w:rsidR="007E59CF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7E59CF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dal pagamento di ticket e prestazioni alla prenotazione di visite ed esami, </w:t>
      </w:r>
      <w:r w:rsidR="00F735D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dalla</w:t>
      </w:r>
      <w:r w:rsidR="007E59CF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scelta del medico di medicina generale alla consultazione delle liste d’attesa</w:t>
      </w:r>
      <w:r w:rsid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F735D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</w:t>
      </w:r>
      <w:r w:rsidR="00DF4396" w:rsidRPr="00DF439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nche su questo fronte</w:t>
      </w:r>
      <w:r w:rsidR="00F735D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 però,</w:t>
      </w:r>
      <w:r w:rsidR="00DF4396" w:rsidRPr="00DF439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il divario tra Regioni è profondo. </w:t>
      </w:r>
      <w:r w:rsidR="004455F9">
        <w:t xml:space="preserve">Solo </w:t>
      </w:r>
      <w:r w:rsidR="00DF4396">
        <w:t>la</w:t>
      </w:r>
      <w:r w:rsidR="004455F9">
        <w:t xml:space="preserve"> Toscana (5</w:t>
      </w:r>
      <w:r w:rsidR="004F1BDE">
        <w:t>6</w:t>
      </w:r>
      <w:r w:rsidR="004455F9">
        <w:t xml:space="preserve">%) e </w:t>
      </w:r>
      <w:r w:rsidR="00DF4396">
        <w:t xml:space="preserve">il </w:t>
      </w:r>
      <w:r w:rsidR="004455F9">
        <w:t>Lazio (5</w:t>
      </w:r>
      <w:r w:rsidR="004F1BDE">
        <w:t>1</w:t>
      </w:r>
      <w:r w:rsidR="004455F9">
        <w:t xml:space="preserve">%) superano la soglia del 50% dei servizi attivati. </w:t>
      </w:r>
      <w:r w:rsidR="00F735D7" w:rsidRPr="00F735D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All’estremo opposto, </w:t>
      </w:r>
      <w:r w:rsidR="00F735D7">
        <w:t>i</w:t>
      </w:r>
      <w:r w:rsidR="004455F9">
        <w:t>n Calabria</w:t>
      </w:r>
      <w:r w:rsidR="00F735D7">
        <w:t xml:space="preserve"> </w:t>
      </w:r>
      <w:r w:rsidR="004455F9">
        <w:t>la disponibilità si ferma al 7%</w:t>
      </w:r>
      <w:r w:rsidR="007E59CF" w:rsidRPr="007E59C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B66016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="00B66016" w:rsidRPr="002F17FD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figura </w:t>
      </w:r>
      <w:r w:rsidR="00364D24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3</w:t>
      </w:r>
      <w:r w:rsidR="00B66016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).</w:t>
      </w:r>
      <w:r w:rsid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7C3C69" w:rsidRP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«</w:t>
      </w:r>
      <w:r w:rsidR="00F735D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È u</w:t>
      </w:r>
      <w:r w:rsidR="007C3C69" w:rsidRP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tile precisare – spiega Cartabellotta – che molti dei servizi digitali sono accessibili tramite altri canali, come portali web o </w:t>
      </w:r>
      <w:proofErr w:type="spellStart"/>
      <w:r w:rsidR="007C3C69" w:rsidRP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app</w:t>
      </w:r>
      <w:proofErr w:type="spellEnd"/>
      <w:r w:rsidR="0089011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offerti dalle Regioni</w:t>
      </w:r>
      <w:r w:rsidR="007C3C69" w:rsidRP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 Tuttavia, se questi non vengono integrati anche nel F</w:t>
      </w:r>
      <w:r w:rsid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SE</w:t>
      </w:r>
      <w:r w:rsidR="007C3C69" w:rsidRP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</w:t>
      </w:r>
      <w:r w:rsidR="0089011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da un lato </w:t>
      </w:r>
      <w:r w:rsidR="007C3C69" w:rsidRP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si perde l’obiettivo di creare un’unica piattaforma digitale per il cittadino</w:t>
      </w:r>
      <w:r w:rsidR="0089011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dall’altro </w:t>
      </w:r>
      <w:r w:rsidR="007C3C69" w:rsidRP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il monitoraggio nazionale restitui</w:t>
      </w:r>
      <w:r w:rsid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sce </w:t>
      </w:r>
      <w:r w:rsidR="007C3C69" w:rsidRP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una fotografia parziale e sottostimata dell’effettiva </w:t>
      </w:r>
      <w:r w:rsid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disponibilità dei </w:t>
      </w:r>
      <w:r w:rsidR="007C3C69" w:rsidRP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servizi</w:t>
      </w:r>
      <w:r w:rsid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offerti</w:t>
      </w:r>
      <w:r w:rsidR="007C3C69" w:rsidRPr="007C3C6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»</w:t>
      </w:r>
    </w:p>
    <w:p w14:paraId="37630FC9" w14:textId="4FC22F6F" w:rsidR="005422B3" w:rsidRPr="005422B3" w:rsidRDefault="005422B3" w:rsidP="00A671D3">
      <w:pPr>
        <w:jc w:val="both"/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 xml:space="preserve">UTILIZZO </w:t>
      </w:r>
      <w:r w:rsidRPr="005422B3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 xml:space="preserve">DEL </w:t>
      </w:r>
      <w:r w:rsidR="00890119" w:rsidRPr="005422B3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F</w:t>
      </w:r>
      <w:r w:rsidR="00890119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ASCICOLO SANITARIO ELETTRONICO</w:t>
      </w:r>
    </w:p>
    <w:p w14:paraId="6E615899" w14:textId="7807D7B0" w:rsidR="009B2A99" w:rsidRDefault="00706324" w:rsidP="00A671D3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2F17FD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>Consenso alla consultazione.</w:t>
      </w:r>
      <w:r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Al 31 </w:t>
      </w:r>
      <w:r w:rsidR="00F118B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marzo 2025</w:t>
      </w:r>
      <w:r w:rsidR="00B66016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B66016" w:rsidRPr="00B15EC5">
        <w:rPr>
          <w:color w:val="auto"/>
        </w:rPr>
        <w:t xml:space="preserve">(per il Friuli Venezia Giulia i dati </w:t>
      </w:r>
      <w:r w:rsidR="00021267">
        <w:rPr>
          <w:color w:val="auto"/>
        </w:rPr>
        <w:t>s</w:t>
      </w:r>
      <w:r w:rsidR="00EE5A23">
        <w:rPr>
          <w:color w:val="auto"/>
        </w:rPr>
        <w:t xml:space="preserve">ono aggiornati </w:t>
      </w:r>
      <w:r w:rsidR="00B66016" w:rsidRPr="00B15EC5">
        <w:rPr>
          <w:color w:val="auto"/>
        </w:rPr>
        <w:t xml:space="preserve">al 31 </w:t>
      </w:r>
      <w:r w:rsidR="00F118B7">
        <w:rPr>
          <w:color w:val="auto"/>
        </w:rPr>
        <w:t>dicembre</w:t>
      </w:r>
      <w:r w:rsidR="00B66016" w:rsidRPr="00B15EC5">
        <w:rPr>
          <w:color w:val="auto"/>
        </w:rPr>
        <w:t xml:space="preserve"> 2024)</w:t>
      </w:r>
      <w:r w:rsidR="002F17F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</w:t>
      </w:r>
      <w:r w:rsidR="004455F9">
        <w:t>a livello nazionale</w:t>
      </w:r>
      <w:r w:rsidR="00021267">
        <w:t xml:space="preserve"> solo </w:t>
      </w:r>
      <w:r w:rsidR="004455F9">
        <w:t xml:space="preserve">il 42% dei cittadini ha espresso il consenso alla consultazione dei propri dati </w:t>
      </w:r>
      <w:r w:rsidR="00021267">
        <w:t xml:space="preserve">sanitari </w:t>
      </w:r>
      <w:r w:rsidR="004455F9">
        <w:t xml:space="preserve">da parte dei medici. Ma </w:t>
      </w:r>
      <w:r w:rsidR="003C7AC2" w:rsidRPr="00F735D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il divario tra le Regioni è enorme</w:t>
      </w:r>
      <w:r w:rsidR="004455F9">
        <w:t xml:space="preserve">: si </w:t>
      </w:r>
      <w:r w:rsidR="003C7AC2">
        <w:t xml:space="preserve">passa </w:t>
      </w:r>
      <w:r w:rsidR="004455F9">
        <w:t xml:space="preserve">dall’1% in Abruzzo, Calabria e Campania al 92% in Emilia-Romagna. Tra le Regioni del Sud, solo la Puglia (73%) supera la media </w:t>
      </w:r>
      <w:r w:rsidR="00021267">
        <w:t>nazionale</w:t>
      </w:r>
      <w:r w:rsidR="004455F9" w:rsidRPr="00B15EC5" w:rsidDel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Pr="002F17FD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figura</w:t>
      </w:r>
      <w:r w:rsidR="00B3139F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 </w:t>
      </w:r>
      <w:r w:rsidR="00D74E23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4</w:t>
      </w:r>
      <w:r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).</w:t>
      </w:r>
      <w:r w:rsidR="009B2A9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9B2A99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«</w:t>
      </w:r>
      <w:r w:rsidR="004455F9">
        <w:t xml:space="preserve">Fornire il consenso è il primo passo per accedere ai benefici del FSE – sottolinea Cartabellotta – ma serve un grande sforzo informativo e culturale per </w:t>
      </w:r>
      <w:r w:rsidR="009E0F96">
        <w:t>rafforzare la fiducia dei cittadini, superando i timori legati alla protezione dei dati personali</w:t>
      </w:r>
      <w:r w:rsidR="009B2A99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».</w:t>
      </w:r>
    </w:p>
    <w:p w14:paraId="5147E1D7" w14:textId="66D258CF" w:rsidR="003C7AC2" w:rsidRDefault="00D74E23" w:rsidP="002419BE">
      <w:pPr>
        <w:jc w:val="both"/>
        <w:rPr>
          <w:rFonts w:asciiTheme="minorHAnsi" w:eastAsiaTheme="minorHAnsi" w:hAnsiTheme="minorHAnsi" w:cstheme="minorBidi"/>
          <w:color w:val="FF0000"/>
          <w:bdr w:val="none" w:sz="0" w:space="0" w:color="auto"/>
          <w:lang w:eastAsia="en-US"/>
        </w:rPr>
      </w:pPr>
      <w:r w:rsidRPr="002F17FD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>Utilizzo del FSE.</w:t>
      </w:r>
      <w:r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4455F9">
        <w:t xml:space="preserve">Tra gennaio e marzo 2025, </w:t>
      </w:r>
      <w:r w:rsidR="00021267">
        <w:t xml:space="preserve">appena </w:t>
      </w:r>
      <w:r w:rsidR="004455F9">
        <w:t>il 21% dei cittadini ha consultato almeno una volta</w:t>
      </w:r>
      <w:r w:rsidR="003C7AC2" w:rsidRPr="003C7AC2">
        <w:t xml:space="preserve"> </w:t>
      </w:r>
      <w:r w:rsidR="003C7AC2">
        <w:t>il proprio FSE</w:t>
      </w:r>
      <w:r w:rsidR="004455F9">
        <w:t xml:space="preserve">, considerando </w:t>
      </w:r>
      <w:r w:rsidR="003C7AC2">
        <w:t xml:space="preserve">esclusivamente </w:t>
      </w:r>
      <w:r w:rsidR="004455F9">
        <w:t xml:space="preserve">chi ha avuto almeno un documento caricato. </w:t>
      </w:r>
      <w:r w:rsidR="00021267">
        <w:t>Anche in questo caso l</w:t>
      </w:r>
      <w:r w:rsidR="004455F9">
        <w:t xml:space="preserve">e </w:t>
      </w:r>
      <w:r w:rsidR="00021267">
        <w:t xml:space="preserve">disparità </w:t>
      </w:r>
      <w:r w:rsidR="00EE5A23">
        <w:t xml:space="preserve">regionali </w:t>
      </w:r>
      <w:r w:rsidR="00021267">
        <w:t>sono</w:t>
      </w:r>
      <w:r w:rsidR="00EE5A23">
        <w:t xml:space="preserve"> marcate</w:t>
      </w:r>
      <w:r w:rsidR="004455F9">
        <w:t>: si va dall’1% delle Marche al 65% dell’Emilia-Romagna</w:t>
      </w:r>
      <w:r>
        <w:t xml:space="preserve"> (</w:t>
      </w:r>
      <w:r w:rsidRPr="002F17FD">
        <w:rPr>
          <w:highlight w:val="yellow"/>
        </w:rPr>
        <w:t>figura</w:t>
      </w:r>
      <w:r>
        <w:rPr>
          <w:highlight w:val="yellow"/>
        </w:rPr>
        <w:t xml:space="preserve"> 5</w:t>
      </w:r>
      <w:r>
        <w:t xml:space="preserve">). </w:t>
      </w:r>
      <w:r w:rsidR="00435BB1">
        <w:t>Nel</w:t>
      </w:r>
      <w:r w:rsidR="004455F9">
        <w:t xml:space="preserve"> </w:t>
      </w:r>
      <w:r w:rsidR="00021267">
        <w:t>Mezzogiorno</w:t>
      </w:r>
      <w:r w:rsidR="004455F9">
        <w:t xml:space="preserve">, </w:t>
      </w:r>
      <w:r w:rsidR="00021267">
        <w:t>l’</w:t>
      </w:r>
      <w:r w:rsidR="004455F9">
        <w:t xml:space="preserve">utilizzo resta sotto l’11%. </w:t>
      </w:r>
      <w:r w:rsidR="00AD20FC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«</w:t>
      </w:r>
      <w:r w:rsidR="004455F9">
        <w:t>Non basta caricare i dati nel fascicolo – spiega Cartabellotta – bisogna anche mettere le persone nella condizione di usarl</w:t>
      </w:r>
      <w:r w:rsidR="00E31131">
        <w:t>i</w:t>
      </w:r>
      <w:r w:rsidR="003C7AC2">
        <w:t>. E questo significa</w:t>
      </w:r>
      <w:r w:rsidR="004455F9">
        <w:t xml:space="preserve"> investire seriamente in alfabetizzazione digitale</w:t>
      </w:r>
      <w:r w:rsidR="00AD20FC" w:rsidRPr="00B66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».</w:t>
      </w:r>
    </w:p>
    <w:p w14:paraId="285F5FBB" w14:textId="71B565F4" w:rsidR="003C7AC2" w:rsidRPr="00792BDF" w:rsidRDefault="00706324" w:rsidP="002419BE">
      <w:pPr>
        <w:jc w:val="both"/>
        <w:rPr>
          <w:rFonts w:asciiTheme="minorHAnsi" w:eastAsiaTheme="minorHAnsi" w:hAnsiTheme="minorHAnsi" w:cstheme="minorBidi"/>
          <w:color w:val="FF0000"/>
          <w:bdr w:val="none" w:sz="0" w:space="0" w:color="auto"/>
          <w:lang w:eastAsia="en-US"/>
        </w:rPr>
      </w:pPr>
      <w:r w:rsidRPr="00F0512B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Utilizzo</w:t>
      </w:r>
      <w:r w:rsidRP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F0512B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 xml:space="preserve">da parte </w:t>
      </w:r>
      <w:r w:rsidRPr="002F17FD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>di Medici di Medicina Generale e Pediatri di Libera Scelta.</w:t>
      </w:r>
      <w:r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F0512B" w:rsidRPr="00B15EC5">
        <w:rPr>
          <w:color w:val="auto"/>
        </w:rPr>
        <w:t xml:space="preserve">Tra </w:t>
      </w:r>
      <w:r w:rsidR="00F118B7">
        <w:rPr>
          <w:color w:val="auto"/>
        </w:rPr>
        <w:t>gennaio e marzo 2025</w:t>
      </w:r>
      <w:r w:rsidR="00F0512B" w:rsidRPr="00B15EC5">
        <w:rPr>
          <w:color w:val="auto"/>
        </w:rPr>
        <w:t xml:space="preserve"> (</w:t>
      </w:r>
      <w:r w:rsidR="00021267">
        <w:rPr>
          <w:color w:val="auto"/>
        </w:rPr>
        <w:t>ottobre-dicembre</w:t>
      </w:r>
      <w:r w:rsidR="00021267" w:rsidRPr="00B15EC5">
        <w:rPr>
          <w:color w:val="auto"/>
        </w:rPr>
        <w:t xml:space="preserve"> 2024</w:t>
      </w:r>
      <w:r w:rsidR="00021267">
        <w:rPr>
          <w:color w:val="auto"/>
        </w:rPr>
        <w:t xml:space="preserve"> </w:t>
      </w:r>
      <w:r w:rsidR="00F0512B" w:rsidRPr="00B15EC5">
        <w:rPr>
          <w:color w:val="auto"/>
        </w:rPr>
        <w:t>per il Friuli Venezia Giulia</w:t>
      </w:r>
      <w:r w:rsidR="00021267">
        <w:rPr>
          <w:color w:val="auto"/>
        </w:rPr>
        <w:t>)</w:t>
      </w:r>
      <w:r w:rsidR="00F0512B" w:rsidRPr="00B15EC5">
        <w:rPr>
          <w:color w:val="auto"/>
        </w:rPr>
        <w:t xml:space="preserve">, </w:t>
      </w:r>
      <w:r w:rsidR="004455F9">
        <w:rPr>
          <w:color w:val="auto"/>
        </w:rPr>
        <w:t xml:space="preserve">il </w:t>
      </w:r>
      <w:r w:rsidR="004455F9" w:rsidRPr="004455F9">
        <w:rPr>
          <w:color w:val="auto"/>
        </w:rPr>
        <w:t>95% dei Medici di Medicina Generale e Pediatri di Libera Scelta ha effettuato almeno un accesso al FSE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3C7AC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Nove 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</w:t>
      </w:r>
      <w:r w:rsidR="002419BE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egioni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raggiungono il 100% di utilizzo</w:t>
      </w:r>
      <w:r w:rsidR="00BE675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: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Basilicata, Emilia-Romagna, </w:t>
      </w:r>
      <w:r w:rsidR="00F118B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Marche,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Molise, Provincia </w:t>
      </w:r>
      <w:r w:rsidR="0002126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</w:t>
      </w:r>
      <w:r w:rsidR="00021267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utonoma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di Trento, Piemonte,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Puglia,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Sardegna</w:t>
      </w:r>
      <w:r w:rsidR="00F118B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e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F118B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Umbria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Anche n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elle </w:t>
      </w:r>
      <w:r w:rsid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restanti</w:t>
      </w:r>
      <w:r w:rsidR="007605E2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R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egioni il tasso di utilizzo </w:t>
      </w:r>
      <w:r w:rsid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si mantiene 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elevato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: 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Liguria (99%), </w:t>
      </w:r>
      <w:r w:rsidR="00E5404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Lazio e Veneto (98%), Lombardia</w:t>
      </w:r>
      <w:r w:rsidR="00792BD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(9</w:t>
      </w:r>
      <w:r w:rsidR="00E5404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6</w:t>
      </w:r>
      <w:r w:rsidR="00792BD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%). </w:t>
      </w:r>
      <w:r w:rsid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Si collocano leggermente 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</w:t>
      </w:r>
      <w:r w:rsidR="00792BD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otto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la </w:t>
      </w:r>
      <w:r w:rsidR="00792BD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media nazionale</w:t>
      </w:r>
      <w:r w:rsidR="002419BE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E5404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Abruzzo e Friuli Venezia Giulia</w:t>
      </w:r>
      <w:r w:rsidR="00E54045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(9</w:t>
      </w:r>
      <w:r w:rsidR="00E5404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4</w:t>
      </w:r>
      <w:r w:rsidR="002F17F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%)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</w:t>
      </w:r>
      <w:r w:rsidR="00E5404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Calabria (93%), Sicilia (91%), Campania e Provincia </w:t>
      </w:r>
      <w:r w:rsidR="003C7AC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Autonoma </w:t>
      </w:r>
      <w:r w:rsidR="00E5404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di Bolzano (88%), Toscana (80%) e Valle d’Aosta (47%)</w:t>
      </w:r>
      <w:r w:rsidR="00F0512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F0512B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="00F0512B" w:rsidRPr="002F17FD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figura </w:t>
      </w:r>
      <w:r w:rsidR="00B940E4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6</w:t>
      </w:r>
      <w:r w:rsidR="00F0512B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</w:t>
      </w:r>
      <w:r w:rsidR="0028260A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</w:t>
      </w:r>
    </w:p>
    <w:p w14:paraId="795F1C55" w14:textId="303C3722" w:rsidR="003C7AC2" w:rsidRDefault="00706324" w:rsidP="003C7AC2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2F17FD">
        <w:rPr>
          <w:rFonts w:asciiTheme="minorHAnsi" w:eastAsiaTheme="minorHAnsi" w:hAnsiTheme="minorHAnsi" w:cstheme="minorBidi"/>
          <w:b/>
          <w:bCs/>
          <w:color w:val="auto"/>
          <w:bdr w:val="none" w:sz="0" w:space="0" w:color="auto"/>
          <w:lang w:eastAsia="en-US"/>
        </w:rPr>
        <w:t>Utilizzo</w:t>
      </w:r>
      <w:r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Pr="002F17FD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 xml:space="preserve">da parte di medici specialisti. </w:t>
      </w:r>
      <w:r w:rsidR="0004653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Al 31 </w:t>
      </w:r>
      <w:r w:rsidR="003C7AC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marzo </w:t>
      </w:r>
      <w:r w:rsidR="00E5404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2025</w:t>
      </w:r>
      <w:r w:rsidR="0004653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04653D" w:rsidRPr="00B15EC5">
        <w:rPr>
          <w:color w:val="auto"/>
        </w:rPr>
        <w:t>(</w:t>
      </w:r>
      <w:r w:rsidR="007605E2" w:rsidRP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31 dicembre 2024 </w:t>
      </w:r>
      <w:r w:rsidR="0004653D" w:rsidRPr="00B15EC5">
        <w:rPr>
          <w:color w:val="auto"/>
        </w:rPr>
        <w:t>per il Friuli Venezia Giulia)</w:t>
      </w:r>
      <w:r w:rsidR="0004653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</w:t>
      </w:r>
      <w:r w:rsidR="002F17F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il 7</w:t>
      </w:r>
      <w:r w:rsidR="007E717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2</w:t>
      </w:r>
      <w:r w:rsidR="002F17FD" w:rsidRPr="00B15EC5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% dei medici specialisti delle Aziende sanitarie risulta abilitato alla consultazione del FSE. </w:t>
      </w:r>
      <w:r w:rsidR="007605E2" w:rsidRP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Anche in questo caso, le differenze tra Regioni restano marcate</w:t>
      </w:r>
      <w:r w:rsidR="00E311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</w:t>
      </w:r>
      <w:r w:rsidR="004455F9" w:rsidRPr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E31131" w:rsidRP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Dodici Regioni e Province </w:t>
      </w:r>
      <w:r w:rsidR="00E311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</w:t>
      </w:r>
      <w:r w:rsidR="00E31131" w:rsidRP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utonome hanno raggiunto il 100% di abilitazioni: Lombardia, Marche, Molise, Province </w:t>
      </w:r>
      <w:r w:rsidR="00E8494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</w:t>
      </w:r>
      <w:r w:rsidR="00E84947" w:rsidRP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utonome </w:t>
      </w:r>
      <w:r w:rsidR="00E31131" w:rsidRP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di Bolzano e Trento, Piemonte, Puglia, Sardegna, Toscana, Umbria, Valle d’Aosta e Veneto.</w:t>
      </w:r>
      <w:r w:rsidR="00E31131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E31131" w:rsidRP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Sotto la media nazionale si collocano Campania (61%), Lazio (60%), Abruzzo (37%), Sicilia (36%) e Calabria (26%)</w:t>
      </w:r>
      <w:r w:rsidR="00E8494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 F</w:t>
      </w:r>
      <w:r w:rsidR="00E31131" w:rsidRP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analino di coda </w:t>
      </w:r>
      <w:r w:rsidR="00E8494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la Liguria, con appena il</w:t>
      </w:r>
      <w:r w:rsidR="00E31131" w:rsidRPr="007605E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16%</w:t>
      </w:r>
      <w:r w:rsidR="00E31131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E84947" w:rsidRPr="003C7AC2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 medici specialisti abilitati alla consultazione del FSE </w:t>
      </w:r>
      <w:r w:rsidR="0004653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(</w:t>
      </w:r>
      <w:r w:rsidR="0004653D" w:rsidRPr="002F17FD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>figura</w:t>
      </w:r>
      <w:r w:rsidR="00B940E4">
        <w:rPr>
          <w:rFonts w:asciiTheme="minorHAnsi" w:eastAsiaTheme="minorHAnsi" w:hAnsiTheme="minorHAnsi" w:cstheme="minorBidi"/>
          <w:color w:val="auto"/>
          <w:highlight w:val="yellow"/>
          <w:bdr w:val="none" w:sz="0" w:space="0" w:color="auto"/>
          <w:lang w:eastAsia="en-US"/>
        </w:rPr>
        <w:t xml:space="preserve"> 7</w:t>
      </w:r>
      <w:r w:rsidR="0004653D" w:rsidRPr="002F17FD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).</w:t>
      </w:r>
    </w:p>
    <w:p w14:paraId="1EF4C0CD" w14:textId="4F615006" w:rsidR="007605E2" w:rsidRDefault="00A671D3" w:rsidP="00A671D3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«</w:t>
      </w:r>
      <w:r w:rsidR="00197C53">
        <w:t xml:space="preserve">In alcune Regioni </w:t>
      </w:r>
      <w:r w:rsidR="00197C53" w:rsidRPr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– 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conclude</w:t>
      </w:r>
      <w:r w:rsidR="00197C53" w:rsidRPr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Cartabellotta – </w:t>
      </w:r>
      <w:r w:rsidR="00197C53">
        <w:t>il FSE è uno strumento pienamente operativo</w:t>
      </w:r>
      <w:r w:rsidR="00E84947">
        <w:t>,</w:t>
      </w:r>
      <w:r w:rsidR="00197C53">
        <w:t xml:space="preserve"> grazie alla quantità di documenti presenti, al consenso dei cittadini ed al loro</w:t>
      </w:r>
      <w:r w:rsidR="00E84947">
        <w:t xml:space="preserve"> effettivo</w:t>
      </w:r>
      <w:r w:rsidR="00197C53">
        <w:t xml:space="preserve"> utilizzo. In altre, soprattutto nel Mezzogiorno, </w:t>
      </w:r>
      <w:r w:rsidR="00950AC9">
        <w:t xml:space="preserve">il FSE è </w:t>
      </w:r>
      <w:r w:rsidR="00197C53">
        <w:t xml:space="preserve">spesso un contenitore </w:t>
      </w:r>
      <w:r w:rsidR="00E84947">
        <w:t>semivuoto</w:t>
      </w:r>
      <w:r w:rsidR="00950AC9">
        <w:t xml:space="preserve"> e scarsamente utilizzato anche per l’</w:t>
      </w:r>
      <w:r w:rsidR="00197C53">
        <w:t xml:space="preserve">elevata diffidenza </w:t>
      </w:r>
      <w:r w:rsidR="00950AC9">
        <w:t xml:space="preserve">sulla sicurezza dei dati </w:t>
      </w:r>
      <w:r w:rsidR="00E84947">
        <w:t>da parte della popolazione</w:t>
      </w:r>
      <w:r w:rsidR="00197C53">
        <w:t xml:space="preserve">. Ma la sanità digitale non può essere un’innovazione per </w:t>
      </w:r>
      <w:r w:rsidR="00197C53">
        <w:lastRenderedPageBreak/>
        <w:t>pochi: servono investimenti e</w:t>
      </w:r>
      <w:r w:rsidR="00E84947">
        <w:t xml:space="preserve"> una</w:t>
      </w:r>
      <w:r w:rsidR="00197C53">
        <w:t xml:space="preserve"> </w:t>
      </w:r>
      <w:proofErr w:type="spellStart"/>
      <w:r w:rsidR="00197C53">
        <w:t>governance</w:t>
      </w:r>
      <w:proofErr w:type="spellEnd"/>
      <w:r w:rsidR="00197C53">
        <w:t xml:space="preserve"> centralizzata </w:t>
      </w:r>
      <w:r w:rsidR="00197C53" w:rsidRPr="00DF439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per garantire diritti a </w:t>
      </w:r>
      <w:r w:rsidR="00E8494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tutt</w:t>
      </w:r>
      <w:r w:rsidR="00950AC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 le persone</w:t>
      </w:r>
      <w:r w:rsidR="00E8494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indipendentemente dal luogo in cui vivono. S</w:t>
      </w:r>
      <w:r w:rsidR="00E84947" w:rsidRPr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e </w:t>
      </w:r>
      <w:r w:rsidR="004455F9" w:rsidRPr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vogliamo </w:t>
      </w:r>
      <w:r w:rsidR="00E8494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davvero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950AC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attuare una 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sanità</w:t>
      </w:r>
      <w:r w:rsidR="00950AC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digitale</w:t>
      </w:r>
      <w:r w:rsidR="00E8494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4455F9" w:rsidRPr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 dati devono 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essere accessibili</w:t>
      </w:r>
      <w:r w:rsidR="00E8494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non solo ai cittadini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</w:t>
      </w:r>
      <w:r w:rsidR="00E8494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ma 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 </w:t>
      </w:r>
      <w:r w:rsidR="004455F9" w:rsidRPr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tutti i professionisti coinvolti ne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 percorsi clinico-assistenziali</w:t>
      </w:r>
      <w:r w:rsidR="00950AC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perché la 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tecnologia è necessaria, ma non sufficiente</w:t>
      </w:r>
      <w:r w:rsidR="00950AC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. Ecco perché 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serve </w:t>
      </w:r>
      <w:r w:rsidR="004455F9" w:rsidRPr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un patto nazionale per la sanità digitale</w:t>
      </w:r>
      <w:r w:rsidR="00BB37BF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tra Governo, Regioni e cittadini, </w:t>
      </w:r>
      <w:r w:rsidR="00E8494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che assicuri</w:t>
      </w:r>
      <w:r w:rsidR="004455F9" w:rsidRPr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completezza nei contenuti del FSE e </w:t>
      </w:r>
      <w:r w:rsidR="004455F9" w:rsidRPr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uniformità 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di accesso </w:t>
      </w:r>
      <w:r w:rsidR="004455F9" w:rsidRPr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in tutte le Regioni. 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Altrimenti, </w:t>
      </w:r>
      <w:r w:rsidR="00E8494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rischiamo che la straordinaria 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opportunità offerta dalla </w:t>
      </w:r>
      <w:r w:rsidR="00950AC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trasformazione digitale</w:t>
      </w:r>
      <w:r w:rsidR="00197C5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, </w:t>
      </w:r>
      <w:r w:rsidR="00F04D93">
        <w:t>di cui il FSE costituisce la “combinazione” di accesso</w:t>
      </w:r>
      <w:r w:rsidR="00E84947" w:rsidRPr="00AD235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,</w:t>
      </w:r>
      <w:r w:rsidR="00197C53" w:rsidRPr="00AD235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r w:rsidR="00E84947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finisca per generare </w:t>
      </w:r>
      <w:r w:rsidR="004455F9" w:rsidRPr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nuov</w:t>
      </w:r>
      <w:r w:rsidR="00814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</w:t>
      </w:r>
      <w:r w:rsidR="004455F9" w:rsidRPr="004455F9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diseguaglianz</w:t>
      </w:r>
      <w:r w:rsidR="00814016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e</w:t>
      </w:r>
      <w:r w:rsidR="00C8513B" w:rsidRPr="00A671D3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»</w:t>
      </w:r>
      <w:r w:rsidR="00C8513B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.</w:t>
      </w:r>
    </w:p>
    <w:p w14:paraId="3CA32A41" w14:textId="5EFEFBC1" w:rsidR="00B5522A" w:rsidRDefault="00B5522A" w:rsidP="00E84947">
      <w:pPr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</w:p>
    <w:p w14:paraId="11986057" w14:textId="77777777" w:rsidR="004A64E8" w:rsidRDefault="004A64E8" w:rsidP="004A64E8">
      <w:pPr>
        <w:spacing w:after="120"/>
        <w:rPr>
          <w:rFonts w:eastAsia="Calibri" w:cs="Calibri"/>
          <w:color w:val="auto"/>
          <w:sz w:val="20"/>
          <w:szCs w:val="20"/>
          <w:u w:val="single" w:color="0563C1"/>
        </w:rPr>
      </w:pPr>
      <w:r w:rsidRPr="006B328D">
        <w:rPr>
          <w:b/>
          <w:bCs/>
          <w:color w:val="auto"/>
        </w:rPr>
        <w:t>CONTATTI</w:t>
      </w:r>
      <w:r w:rsidRPr="006B328D">
        <w:rPr>
          <w:i/>
          <w:iCs/>
          <w:color w:val="auto"/>
        </w:rPr>
        <w:br/>
      </w:r>
      <w:r w:rsidRPr="006B328D">
        <w:rPr>
          <w:b/>
          <w:bCs/>
          <w:color w:val="auto"/>
        </w:rPr>
        <w:t>Fondazione GIMBE</w:t>
      </w:r>
      <w:r w:rsidRPr="006B328D">
        <w:rPr>
          <w:i/>
          <w:iCs/>
          <w:color w:val="auto"/>
          <w:u w:val="single" w:color="0563C1"/>
        </w:rPr>
        <w:br/>
      </w:r>
      <w:r w:rsidRPr="006B328D">
        <w:rPr>
          <w:color w:val="auto"/>
          <w:sz w:val="20"/>
          <w:szCs w:val="20"/>
        </w:rPr>
        <w:t>Via Amendola 2 - 40121 Bologna</w:t>
      </w:r>
      <w:r w:rsidRPr="006B328D">
        <w:rPr>
          <w:color w:val="auto"/>
          <w:sz w:val="20"/>
          <w:szCs w:val="20"/>
        </w:rPr>
        <w:br/>
        <w:t>Tel. 051 5883920 - Fax 051 4075774</w:t>
      </w:r>
      <w:r w:rsidRPr="006B328D">
        <w:rPr>
          <w:color w:val="auto"/>
          <w:sz w:val="20"/>
          <w:szCs w:val="20"/>
        </w:rPr>
        <w:br/>
        <w:t xml:space="preserve">E-mail: </w:t>
      </w:r>
      <w:hyperlink r:id="rId9" w:history="1">
        <w:r w:rsidRPr="00125ABA">
          <w:rPr>
            <w:rStyle w:val="Collegamentoipertestuale"/>
            <w:rFonts w:eastAsia="Calibri" w:cs="Calibri"/>
            <w:sz w:val="20"/>
            <w:szCs w:val="20"/>
          </w:rPr>
          <w:t>ufficio.stampa@gimbe.org</w:t>
        </w:r>
      </w:hyperlink>
      <w:r>
        <w:rPr>
          <w:rFonts w:eastAsia="Calibri" w:cs="Calibri"/>
          <w:color w:val="auto"/>
          <w:sz w:val="20"/>
          <w:szCs w:val="20"/>
          <w:u w:val="single" w:color="0563C1"/>
        </w:rPr>
        <w:t xml:space="preserve"> </w:t>
      </w:r>
    </w:p>
    <w:p w14:paraId="1DB4913F" w14:textId="77777777" w:rsidR="005F42DE" w:rsidRPr="001503DD" w:rsidRDefault="005F42DE" w:rsidP="004A64E8">
      <w:pPr>
        <w:spacing w:after="120"/>
        <w:rPr>
          <w:rFonts w:eastAsia="Calibri" w:cs="Calibri"/>
          <w:color w:val="auto"/>
          <w:sz w:val="20"/>
          <w:szCs w:val="20"/>
          <w:u w:val="single" w:color="0563C1"/>
        </w:rPr>
      </w:pPr>
    </w:p>
    <w:p w14:paraId="3334D4BC" w14:textId="77777777" w:rsidR="001C21B3" w:rsidRDefault="001C21B3"/>
    <w:p w14:paraId="0CD208A4" w14:textId="77777777" w:rsidR="00DF45B6" w:rsidRDefault="00DF45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70A234F8" w14:textId="6AB52296" w:rsidR="00DF45B6" w:rsidRPr="00E0750C" w:rsidRDefault="00DF45B6" w:rsidP="00DF45B6">
      <w:pPr>
        <w:jc w:val="center"/>
        <w:rPr>
          <w:b/>
          <w:bCs/>
          <w:color w:val="00457D"/>
        </w:rPr>
      </w:pPr>
      <w:bookmarkStart w:id="4" w:name="_Hlk183365148"/>
      <w:r w:rsidRPr="00E0750C">
        <w:rPr>
          <w:b/>
          <w:bCs/>
          <w:color w:val="00457D"/>
        </w:rPr>
        <w:lastRenderedPageBreak/>
        <w:t xml:space="preserve">Figura 1. </w:t>
      </w:r>
      <w:r w:rsidR="001E6DAC">
        <w:rPr>
          <w:b/>
          <w:bCs/>
          <w:color w:val="00457D"/>
        </w:rPr>
        <w:t>D</w:t>
      </w:r>
      <w:r w:rsidRPr="00E0750C">
        <w:rPr>
          <w:b/>
          <w:bCs/>
          <w:color w:val="00457D"/>
        </w:rPr>
        <w:t xml:space="preserve">ocumenti disponibili nei </w:t>
      </w:r>
      <w:r w:rsidR="00806EB6">
        <w:rPr>
          <w:b/>
          <w:bCs/>
          <w:color w:val="00457D"/>
        </w:rPr>
        <w:t>FSE</w:t>
      </w:r>
      <w:r w:rsidRPr="00E0750C">
        <w:rPr>
          <w:b/>
          <w:bCs/>
          <w:color w:val="00457D"/>
        </w:rPr>
        <w:t xml:space="preserve"> Regionali</w:t>
      </w:r>
      <w:r w:rsidR="00443242">
        <w:rPr>
          <w:b/>
          <w:bCs/>
          <w:color w:val="00457D"/>
        </w:rPr>
        <w:t xml:space="preserve"> </w:t>
      </w:r>
      <w:r w:rsidR="00D42614">
        <w:rPr>
          <w:b/>
          <w:bCs/>
          <w:color w:val="00457D"/>
        </w:rPr>
        <w:br/>
      </w:r>
      <w:r w:rsidR="00443242">
        <w:rPr>
          <w:b/>
          <w:bCs/>
          <w:color w:val="00457D"/>
        </w:rPr>
        <w:t xml:space="preserve">(percentuale sul totale </w:t>
      </w:r>
      <w:r w:rsidR="00806EB6">
        <w:rPr>
          <w:b/>
          <w:bCs/>
          <w:color w:val="00457D"/>
        </w:rPr>
        <w:t>dei n. 1</w:t>
      </w:r>
      <w:r w:rsidR="00ED4BFC">
        <w:rPr>
          <w:b/>
          <w:bCs/>
          <w:color w:val="00457D"/>
        </w:rPr>
        <w:t>6</w:t>
      </w:r>
      <w:r w:rsidR="00806EB6">
        <w:rPr>
          <w:b/>
          <w:bCs/>
          <w:color w:val="00457D"/>
        </w:rPr>
        <w:t xml:space="preserve"> documenti oggetto del monitoraggio </w:t>
      </w:r>
      <w:r w:rsidR="00604327">
        <w:rPr>
          <w:b/>
          <w:bCs/>
          <w:color w:val="00457D"/>
        </w:rPr>
        <w:t xml:space="preserve">del </w:t>
      </w:r>
      <w:r w:rsidR="00604327" w:rsidRPr="00604327">
        <w:rPr>
          <w:b/>
          <w:bCs/>
          <w:color w:val="00457D"/>
        </w:rPr>
        <w:t>Ministero della Salute e Dipartimento per la Trasformazione Digitale</w:t>
      </w:r>
      <w:r w:rsidR="00806EB6">
        <w:rPr>
          <w:b/>
          <w:bCs/>
          <w:color w:val="00457D"/>
        </w:rPr>
        <w:t>)</w:t>
      </w:r>
    </w:p>
    <w:p w14:paraId="3334B6C4" w14:textId="41CACB97" w:rsidR="00CF6F45" w:rsidRDefault="0037556A" w:rsidP="003755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457D"/>
          <w:sz w:val="20"/>
          <w:szCs w:val="20"/>
        </w:rPr>
        <w:sectPr w:rsidR="00CF6F4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b/>
          <w:bCs/>
          <w:noProof/>
          <w:color w:val="00457D"/>
          <w:sz w:val="20"/>
          <w:szCs w:val="20"/>
        </w:rPr>
        <w:drawing>
          <wp:inline distT="0" distB="0" distL="0" distR="0" wp14:anchorId="58392645" wp14:editId="1BF13B92">
            <wp:extent cx="5040000" cy="3904409"/>
            <wp:effectExtent l="0" t="0" r="825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904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43B2C" w14:textId="77777777" w:rsidR="00D74E23" w:rsidRDefault="00D74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00457D"/>
          <w:sz w:val="20"/>
          <w:szCs w:val="20"/>
        </w:rPr>
      </w:pPr>
    </w:p>
    <w:p w14:paraId="226EC2C7" w14:textId="011F601C" w:rsidR="0038396E" w:rsidRPr="00E0750C" w:rsidRDefault="00E54154" w:rsidP="0038396E">
      <w:pPr>
        <w:jc w:val="center"/>
        <w:rPr>
          <w:b/>
          <w:bCs/>
          <w:color w:val="00457D"/>
        </w:rPr>
      </w:pPr>
      <w:r w:rsidRPr="00E54154">
        <w:rPr>
          <w:b/>
          <w:bCs/>
          <w:color w:val="00457D"/>
        </w:rPr>
        <w:t>Tabella 1. Tipologie documentali disponibili nei FSE Regionali: descrizione e percentuale sul totale</w:t>
      </w:r>
    </w:p>
    <w:tbl>
      <w:tblPr>
        <w:tblStyle w:val="Grigliatabella"/>
        <w:tblW w:w="15021" w:type="dxa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486"/>
        <w:gridCol w:w="526"/>
        <w:gridCol w:w="527"/>
        <w:gridCol w:w="526"/>
        <w:gridCol w:w="527"/>
        <w:gridCol w:w="527"/>
        <w:gridCol w:w="526"/>
        <w:gridCol w:w="527"/>
        <w:gridCol w:w="526"/>
        <w:gridCol w:w="527"/>
        <w:gridCol w:w="527"/>
        <w:gridCol w:w="526"/>
        <w:gridCol w:w="527"/>
        <w:gridCol w:w="526"/>
        <w:gridCol w:w="527"/>
        <w:gridCol w:w="527"/>
        <w:gridCol w:w="526"/>
        <w:gridCol w:w="527"/>
        <w:gridCol w:w="626"/>
        <w:gridCol w:w="567"/>
        <w:gridCol w:w="567"/>
      </w:tblGrid>
      <w:tr w:rsidR="00487B2F" w:rsidRPr="004E55F4" w14:paraId="61CCA840" w14:textId="77777777" w:rsidTr="00E57D9B">
        <w:trPr>
          <w:trHeight w:val="259"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F4E79" w:themeColor="accent1" w:themeShade="80"/>
            </w:tcBorders>
            <w:shd w:val="clear" w:color="auto" w:fill="auto"/>
            <w:vAlign w:val="center"/>
            <w:hideMark/>
          </w:tcPr>
          <w:p w14:paraId="13D02E9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567" w:type="dxa"/>
            <w:tcBorders>
              <w:left w:val="single" w:sz="4" w:space="0" w:color="1F4E79" w:themeColor="accent1" w:themeShade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3498319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ITA</w:t>
            </w:r>
          </w:p>
        </w:tc>
        <w:tc>
          <w:tcPr>
            <w:tcW w:w="4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DB36CC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ABR</w:t>
            </w:r>
          </w:p>
        </w:tc>
        <w:tc>
          <w:tcPr>
            <w:tcW w:w="5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761295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BAS</w:t>
            </w:r>
          </w:p>
        </w:tc>
        <w:tc>
          <w:tcPr>
            <w:tcW w:w="5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657B018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CAL</w:t>
            </w:r>
          </w:p>
        </w:tc>
        <w:tc>
          <w:tcPr>
            <w:tcW w:w="5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AF5C67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CAM</w:t>
            </w:r>
          </w:p>
        </w:tc>
        <w:tc>
          <w:tcPr>
            <w:tcW w:w="5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1CAE4A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EMR</w:t>
            </w:r>
          </w:p>
        </w:tc>
        <w:tc>
          <w:tcPr>
            <w:tcW w:w="5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FB36B7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FVG</w:t>
            </w:r>
          </w:p>
        </w:tc>
        <w:tc>
          <w:tcPr>
            <w:tcW w:w="5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12F351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LAZ</w:t>
            </w:r>
          </w:p>
        </w:tc>
        <w:tc>
          <w:tcPr>
            <w:tcW w:w="5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B1470F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LIG</w:t>
            </w:r>
          </w:p>
        </w:tc>
        <w:tc>
          <w:tcPr>
            <w:tcW w:w="5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A3DD99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LOM</w:t>
            </w:r>
          </w:p>
        </w:tc>
        <w:tc>
          <w:tcPr>
            <w:tcW w:w="5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1D16DD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MAR</w:t>
            </w:r>
          </w:p>
        </w:tc>
        <w:tc>
          <w:tcPr>
            <w:tcW w:w="5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A702D4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MOL</w:t>
            </w:r>
          </w:p>
        </w:tc>
        <w:tc>
          <w:tcPr>
            <w:tcW w:w="5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3C8606A0" w14:textId="2896F570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P</w:t>
            </w:r>
            <w:r w:rsidR="00120040">
              <w:rPr>
                <w:bCs/>
                <w:color w:val="FFFFFF" w:themeColor="background1"/>
                <w:sz w:val="15"/>
                <w:szCs w:val="15"/>
              </w:rPr>
              <w:t>a</w:t>
            </w:r>
            <w:r w:rsidRPr="004E55F4">
              <w:rPr>
                <w:bCs/>
                <w:color w:val="FFFFFF" w:themeColor="background1"/>
                <w:sz w:val="15"/>
                <w:szCs w:val="15"/>
              </w:rPr>
              <w:t>B</w:t>
            </w:r>
            <w:r w:rsidR="00120040">
              <w:rPr>
                <w:bCs/>
                <w:color w:val="FFFFFF" w:themeColor="background1"/>
                <w:sz w:val="15"/>
                <w:szCs w:val="15"/>
              </w:rPr>
              <w:t>Z</w:t>
            </w:r>
          </w:p>
        </w:tc>
        <w:tc>
          <w:tcPr>
            <w:tcW w:w="5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CB8F3B9" w14:textId="193E7331" w:rsidR="00487B2F" w:rsidRPr="00120040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pacing w:val="-4"/>
                <w:sz w:val="15"/>
                <w:szCs w:val="15"/>
              </w:rPr>
            </w:pPr>
            <w:r w:rsidRPr="00120040">
              <w:rPr>
                <w:bCs/>
                <w:color w:val="FFFFFF" w:themeColor="background1"/>
                <w:spacing w:val="-4"/>
                <w:sz w:val="15"/>
                <w:szCs w:val="15"/>
              </w:rPr>
              <w:t>P</w:t>
            </w:r>
            <w:r w:rsidR="00120040" w:rsidRPr="00120040">
              <w:rPr>
                <w:bCs/>
                <w:color w:val="FFFFFF" w:themeColor="background1"/>
                <w:spacing w:val="-4"/>
                <w:sz w:val="15"/>
                <w:szCs w:val="15"/>
              </w:rPr>
              <w:t>a</w:t>
            </w:r>
            <w:r w:rsidRPr="00120040">
              <w:rPr>
                <w:bCs/>
                <w:color w:val="FFFFFF" w:themeColor="background1"/>
                <w:spacing w:val="-4"/>
                <w:sz w:val="15"/>
                <w:szCs w:val="15"/>
              </w:rPr>
              <w:t>T</w:t>
            </w:r>
            <w:r w:rsidR="00120040" w:rsidRPr="00120040">
              <w:rPr>
                <w:bCs/>
                <w:color w:val="FFFFFF" w:themeColor="background1"/>
                <w:spacing w:val="-4"/>
                <w:sz w:val="15"/>
                <w:szCs w:val="15"/>
              </w:rPr>
              <w:t>N</w:t>
            </w:r>
          </w:p>
        </w:tc>
        <w:tc>
          <w:tcPr>
            <w:tcW w:w="5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E6B0AF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PIE</w:t>
            </w:r>
          </w:p>
        </w:tc>
        <w:tc>
          <w:tcPr>
            <w:tcW w:w="5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4B90DB9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PUG</w:t>
            </w:r>
          </w:p>
        </w:tc>
        <w:tc>
          <w:tcPr>
            <w:tcW w:w="5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F44B6E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SAR</w:t>
            </w:r>
          </w:p>
        </w:tc>
        <w:tc>
          <w:tcPr>
            <w:tcW w:w="5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5A29723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SIC</w:t>
            </w:r>
          </w:p>
        </w:tc>
        <w:tc>
          <w:tcPr>
            <w:tcW w:w="5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310827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TOS</w:t>
            </w:r>
          </w:p>
        </w:tc>
        <w:tc>
          <w:tcPr>
            <w:tcW w:w="6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2B694C0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UMB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0196384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VDA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457D"/>
            <w:noWrap/>
            <w:vAlign w:val="center"/>
            <w:hideMark/>
          </w:tcPr>
          <w:p w14:paraId="7AF9F22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VEN</w:t>
            </w:r>
          </w:p>
        </w:tc>
      </w:tr>
      <w:tr w:rsidR="00487B2F" w:rsidRPr="004E55F4" w14:paraId="6CB3EA79" w14:textId="77777777" w:rsidTr="00E57D9B">
        <w:trPr>
          <w:trHeight w:val="259"/>
        </w:trPr>
        <w:tc>
          <w:tcPr>
            <w:tcW w:w="325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035F870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Percentuale di servizi attivi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02CBE0F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74%</w:t>
            </w:r>
          </w:p>
        </w:tc>
        <w:tc>
          <w:tcPr>
            <w:tcW w:w="4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62828A9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44%</w:t>
            </w:r>
          </w:p>
        </w:tc>
        <w:tc>
          <w:tcPr>
            <w:tcW w:w="5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450BD6C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81%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723AFD1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44%</w:t>
            </w:r>
          </w:p>
        </w:tc>
        <w:tc>
          <w:tcPr>
            <w:tcW w:w="5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5C0D083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63%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7B0024B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88%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4F8DE71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63%</w:t>
            </w:r>
          </w:p>
        </w:tc>
        <w:tc>
          <w:tcPr>
            <w:tcW w:w="5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11E7FA9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81%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0B85F98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81%</w:t>
            </w:r>
          </w:p>
        </w:tc>
        <w:tc>
          <w:tcPr>
            <w:tcW w:w="5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2DC38FF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88%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4277706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81%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7B1F8ED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88%</w:t>
            </w:r>
          </w:p>
        </w:tc>
        <w:tc>
          <w:tcPr>
            <w:tcW w:w="5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04B8624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75%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309F9F1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69%</w:t>
            </w:r>
          </w:p>
        </w:tc>
        <w:tc>
          <w:tcPr>
            <w:tcW w:w="5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76A789B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94%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145A8F6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69%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713BB07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88%</w:t>
            </w:r>
          </w:p>
        </w:tc>
        <w:tc>
          <w:tcPr>
            <w:tcW w:w="5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19ECB2F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50%</w:t>
            </w:r>
          </w:p>
        </w:tc>
        <w:tc>
          <w:tcPr>
            <w:tcW w:w="5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289ABEB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81%</w:t>
            </w:r>
          </w:p>
        </w:tc>
        <w:tc>
          <w:tcPr>
            <w:tcW w:w="62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53935E8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69%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579E380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69%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6BD886A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FFFF" w:themeColor="background1"/>
                <w:sz w:val="15"/>
                <w:szCs w:val="15"/>
              </w:rPr>
            </w:pPr>
            <w:r w:rsidRPr="004E55F4">
              <w:rPr>
                <w:bCs/>
                <w:color w:val="FFFFFF" w:themeColor="background1"/>
                <w:sz w:val="15"/>
                <w:szCs w:val="15"/>
              </w:rPr>
              <w:t>94%</w:t>
            </w:r>
          </w:p>
        </w:tc>
      </w:tr>
      <w:tr w:rsidR="00487B2F" w:rsidRPr="004E55F4" w14:paraId="53F6C4AA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4D370A6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Referto di laboratorio</w:t>
            </w:r>
          </w:p>
        </w:tc>
        <w:tc>
          <w:tcPr>
            <w:tcW w:w="567" w:type="dxa"/>
            <w:vAlign w:val="center"/>
            <w:hideMark/>
          </w:tcPr>
          <w:p w14:paraId="5396372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100%</w:t>
            </w:r>
          </w:p>
        </w:tc>
        <w:tc>
          <w:tcPr>
            <w:tcW w:w="486" w:type="dxa"/>
            <w:vAlign w:val="center"/>
            <w:hideMark/>
          </w:tcPr>
          <w:p w14:paraId="44CDCB8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26069C8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66B03C7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120B7A8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5D67EE0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77232E5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1BB6FCA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560876F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1DC83D0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25D99C2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2847FB2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6C7BCEF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64C040A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3E7D665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6BCBF45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A6A8F0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34FE6B3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1F631A9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626" w:type="dxa"/>
            <w:vAlign w:val="center"/>
            <w:hideMark/>
          </w:tcPr>
          <w:p w14:paraId="3800840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06D6B51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75EE59C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33D60B6A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3CE38F6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Referto di radiologia</w:t>
            </w:r>
          </w:p>
        </w:tc>
        <w:tc>
          <w:tcPr>
            <w:tcW w:w="567" w:type="dxa"/>
            <w:vAlign w:val="center"/>
            <w:hideMark/>
          </w:tcPr>
          <w:p w14:paraId="0100BCC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100%</w:t>
            </w:r>
          </w:p>
        </w:tc>
        <w:tc>
          <w:tcPr>
            <w:tcW w:w="486" w:type="dxa"/>
            <w:vAlign w:val="center"/>
            <w:hideMark/>
          </w:tcPr>
          <w:p w14:paraId="1457FDA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0EA9FEA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2A9C1B7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41D7441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7A5B247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1592DB2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3DED11B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4ACCC6E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2CF7AC0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348FDBD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DF1A9A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0B05A69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72D4903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5FACC7D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27BA91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5D11FE3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165171C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4D87815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626" w:type="dxa"/>
            <w:vAlign w:val="center"/>
            <w:hideMark/>
          </w:tcPr>
          <w:p w14:paraId="6279C57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74993E6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35FC870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2047F31E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3580A77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Lettera dimissione ospedaliera</w:t>
            </w:r>
          </w:p>
        </w:tc>
        <w:tc>
          <w:tcPr>
            <w:tcW w:w="567" w:type="dxa"/>
            <w:vAlign w:val="center"/>
            <w:hideMark/>
          </w:tcPr>
          <w:p w14:paraId="23A6594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100%</w:t>
            </w:r>
          </w:p>
        </w:tc>
        <w:tc>
          <w:tcPr>
            <w:tcW w:w="486" w:type="dxa"/>
            <w:vAlign w:val="center"/>
            <w:hideMark/>
          </w:tcPr>
          <w:p w14:paraId="3FBBBDB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206A669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2CEF209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6CC1803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565FBB0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3196021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62DACEF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7F42FD2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47F67AB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55CE852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6ED6749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3442CB3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17C115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0FB3290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673AB2C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51E8BC6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6891214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22B744F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626" w:type="dxa"/>
            <w:vAlign w:val="center"/>
            <w:hideMark/>
          </w:tcPr>
          <w:p w14:paraId="6BDC8D5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072740D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07F0145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2F716FF9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0346864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Verbale di pronto soccorso</w:t>
            </w:r>
          </w:p>
        </w:tc>
        <w:tc>
          <w:tcPr>
            <w:tcW w:w="567" w:type="dxa"/>
            <w:vAlign w:val="center"/>
            <w:hideMark/>
          </w:tcPr>
          <w:p w14:paraId="4399934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100%</w:t>
            </w:r>
          </w:p>
        </w:tc>
        <w:tc>
          <w:tcPr>
            <w:tcW w:w="486" w:type="dxa"/>
            <w:hideMark/>
          </w:tcPr>
          <w:p w14:paraId="75B4DE7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hideMark/>
          </w:tcPr>
          <w:p w14:paraId="36C6945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hideMark/>
          </w:tcPr>
          <w:p w14:paraId="7B3631E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hideMark/>
          </w:tcPr>
          <w:p w14:paraId="6925A31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hideMark/>
          </w:tcPr>
          <w:p w14:paraId="63EE957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hideMark/>
          </w:tcPr>
          <w:p w14:paraId="52E9474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hideMark/>
          </w:tcPr>
          <w:p w14:paraId="5A60667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hideMark/>
          </w:tcPr>
          <w:p w14:paraId="3F474D0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hideMark/>
          </w:tcPr>
          <w:p w14:paraId="2D63CE8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hideMark/>
          </w:tcPr>
          <w:p w14:paraId="68F7E77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hideMark/>
          </w:tcPr>
          <w:p w14:paraId="09779DD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hideMark/>
          </w:tcPr>
          <w:p w14:paraId="4CEE2FB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hideMark/>
          </w:tcPr>
          <w:p w14:paraId="68AA7D8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hideMark/>
          </w:tcPr>
          <w:p w14:paraId="6F9EF81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hideMark/>
          </w:tcPr>
          <w:p w14:paraId="40A065D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hideMark/>
          </w:tcPr>
          <w:p w14:paraId="646FE11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hideMark/>
          </w:tcPr>
          <w:p w14:paraId="331A1B9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hideMark/>
          </w:tcPr>
          <w:p w14:paraId="0BA18EE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626" w:type="dxa"/>
            <w:hideMark/>
          </w:tcPr>
          <w:p w14:paraId="4FF50BD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hideMark/>
          </w:tcPr>
          <w:p w14:paraId="06D4069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hideMark/>
          </w:tcPr>
          <w:p w14:paraId="0F0E377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31161412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2DE1645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Prescrizione farmaceutica</w:t>
            </w:r>
          </w:p>
        </w:tc>
        <w:tc>
          <w:tcPr>
            <w:tcW w:w="567" w:type="dxa"/>
            <w:vAlign w:val="center"/>
            <w:hideMark/>
          </w:tcPr>
          <w:p w14:paraId="3AD3695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90%</w:t>
            </w:r>
          </w:p>
        </w:tc>
        <w:tc>
          <w:tcPr>
            <w:tcW w:w="486" w:type="dxa"/>
            <w:vAlign w:val="center"/>
            <w:hideMark/>
          </w:tcPr>
          <w:p w14:paraId="5B7D4BF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70D7BA9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vAlign w:val="center"/>
            <w:hideMark/>
          </w:tcPr>
          <w:p w14:paraId="1F1D07D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37C3BCA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6B29D0F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3E42CD0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23C0670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273D371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7276FBA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59A19D3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28186B7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4BE0A2E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3D75C5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77FEC50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3D8AF2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2AC515E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shd w:val="clear" w:color="auto" w:fill="FF0000"/>
            <w:vAlign w:val="center"/>
            <w:hideMark/>
          </w:tcPr>
          <w:p w14:paraId="65E646D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4E386C9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626" w:type="dxa"/>
            <w:vAlign w:val="center"/>
            <w:hideMark/>
          </w:tcPr>
          <w:p w14:paraId="65AB99F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033DF41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7AC9F70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20335729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370CC93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Prescrizione specialistica</w:t>
            </w:r>
          </w:p>
        </w:tc>
        <w:tc>
          <w:tcPr>
            <w:tcW w:w="567" w:type="dxa"/>
            <w:vAlign w:val="center"/>
            <w:hideMark/>
          </w:tcPr>
          <w:p w14:paraId="008EF75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86%</w:t>
            </w:r>
          </w:p>
        </w:tc>
        <w:tc>
          <w:tcPr>
            <w:tcW w:w="486" w:type="dxa"/>
            <w:shd w:val="clear" w:color="auto" w:fill="FF0000"/>
            <w:vAlign w:val="center"/>
            <w:hideMark/>
          </w:tcPr>
          <w:p w14:paraId="07B3108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7B8E020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vAlign w:val="center"/>
            <w:hideMark/>
          </w:tcPr>
          <w:p w14:paraId="11F0BCF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5B8E400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7B3BF0E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459611B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2932185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1DD3F7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1FD87AF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4EF3360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636D37A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6FFE1FC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316AC2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17D816E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57F2C27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171AD1A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shd w:val="clear" w:color="auto" w:fill="FF0000"/>
            <w:vAlign w:val="center"/>
            <w:hideMark/>
          </w:tcPr>
          <w:p w14:paraId="7AE8E02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52EB5F9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626" w:type="dxa"/>
            <w:vAlign w:val="center"/>
            <w:hideMark/>
          </w:tcPr>
          <w:p w14:paraId="2ABF7C7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0F170C8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024806A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1D8CE34C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6CA37F5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Referto specialistico ambulatoriale</w:t>
            </w:r>
          </w:p>
        </w:tc>
        <w:tc>
          <w:tcPr>
            <w:tcW w:w="567" w:type="dxa"/>
            <w:vAlign w:val="center"/>
            <w:hideMark/>
          </w:tcPr>
          <w:p w14:paraId="5759D77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95%</w:t>
            </w:r>
          </w:p>
        </w:tc>
        <w:tc>
          <w:tcPr>
            <w:tcW w:w="486" w:type="dxa"/>
            <w:vAlign w:val="center"/>
            <w:hideMark/>
          </w:tcPr>
          <w:p w14:paraId="2CACEC5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00F3B13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1FE1EB7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3911EF7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01CB46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6840F76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1F60288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46FF797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51E2B8F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1DDEE0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3A01AC1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6D3463A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DE0A27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7DC6698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3FCC45C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1A9CB69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0915582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12E4C5B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626" w:type="dxa"/>
            <w:shd w:val="clear" w:color="auto" w:fill="FF0000"/>
            <w:vAlign w:val="center"/>
            <w:hideMark/>
          </w:tcPr>
          <w:p w14:paraId="6D80B6C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7DF0887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0FB13D6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00F748C5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40F8966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Profilo Sanitario Sintetico</w:t>
            </w:r>
          </w:p>
        </w:tc>
        <w:tc>
          <w:tcPr>
            <w:tcW w:w="567" w:type="dxa"/>
            <w:vAlign w:val="center"/>
            <w:hideMark/>
          </w:tcPr>
          <w:p w14:paraId="1BAEC55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81%</w:t>
            </w:r>
          </w:p>
        </w:tc>
        <w:tc>
          <w:tcPr>
            <w:tcW w:w="486" w:type="dxa"/>
            <w:vAlign w:val="center"/>
            <w:hideMark/>
          </w:tcPr>
          <w:p w14:paraId="1AD4440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5C41F88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69E88A9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noWrap/>
            <w:vAlign w:val="center"/>
            <w:hideMark/>
          </w:tcPr>
          <w:p w14:paraId="191AA9F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2EF8198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7EF899A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shd w:val="clear" w:color="auto" w:fill="FF0000"/>
            <w:vAlign w:val="center"/>
            <w:hideMark/>
          </w:tcPr>
          <w:p w14:paraId="222C53D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noWrap/>
            <w:vAlign w:val="center"/>
            <w:hideMark/>
          </w:tcPr>
          <w:p w14:paraId="19986E5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shd w:val="clear" w:color="auto" w:fill="FF0000"/>
            <w:vAlign w:val="center"/>
            <w:hideMark/>
          </w:tcPr>
          <w:p w14:paraId="07CDCB4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7CFC748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7C0F440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70B2548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0460B21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0C9D762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FCB50F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5ED416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79F234E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5BE455C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626" w:type="dxa"/>
            <w:vAlign w:val="center"/>
            <w:hideMark/>
          </w:tcPr>
          <w:p w14:paraId="61BAFD9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5D9E9AC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shd w:val="clear" w:color="auto" w:fill="FF0000"/>
            <w:noWrap/>
            <w:vAlign w:val="center"/>
            <w:hideMark/>
          </w:tcPr>
          <w:p w14:paraId="28A5F00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</w:tr>
      <w:tr w:rsidR="00487B2F" w:rsidRPr="004E55F4" w14:paraId="65F0757E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29AF4E7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Certificato vaccinale</w:t>
            </w:r>
          </w:p>
        </w:tc>
        <w:tc>
          <w:tcPr>
            <w:tcW w:w="567" w:type="dxa"/>
            <w:vAlign w:val="center"/>
            <w:hideMark/>
          </w:tcPr>
          <w:p w14:paraId="4561D4B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71%</w:t>
            </w:r>
          </w:p>
        </w:tc>
        <w:tc>
          <w:tcPr>
            <w:tcW w:w="486" w:type="dxa"/>
            <w:shd w:val="clear" w:color="auto" w:fill="FF0000"/>
            <w:vAlign w:val="center"/>
            <w:hideMark/>
          </w:tcPr>
          <w:p w14:paraId="552B542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vAlign w:val="center"/>
            <w:hideMark/>
          </w:tcPr>
          <w:p w14:paraId="7A4742B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vAlign w:val="center"/>
            <w:hideMark/>
          </w:tcPr>
          <w:p w14:paraId="1AD7405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4ECB5B8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6A83772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507DF71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0B7D1FD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5A3B904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3A1B332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noWrap/>
            <w:vAlign w:val="center"/>
            <w:hideMark/>
          </w:tcPr>
          <w:p w14:paraId="4086824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34114E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72CC528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23864EF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728F854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06F9268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1F47B6D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1D3D95D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5EA9529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626" w:type="dxa"/>
            <w:shd w:val="clear" w:color="auto" w:fill="FF0000"/>
            <w:noWrap/>
            <w:vAlign w:val="center"/>
            <w:hideMark/>
          </w:tcPr>
          <w:p w14:paraId="20D302C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A1ECA3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6A414B3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70DDA170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54D8592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Documento erogazione prestazioni specialistiche</w:t>
            </w:r>
          </w:p>
        </w:tc>
        <w:tc>
          <w:tcPr>
            <w:tcW w:w="567" w:type="dxa"/>
            <w:vAlign w:val="center"/>
            <w:hideMark/>
          </w:tcPr>
          <w:p w14:paraId="0AE1537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71%</w:t>
            </w:r>
          </w:p>
        </w:tc>
        <w:tc>
          <w:tcPr>
            <w:tcW w:w="486" w:type="dxa"/>
            <w:shd w:val="clear" w:color="auto" w:fill="FF0000"/>
            <w:vAlign w:val="center"/>
            <w:hideMark/>
          </w:tcPr>
          <w:p w14:paraId="014AA57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27BB6FE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5CC17D7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vAlign w:val="center"/>
            <w:hideMark/>
          </w:tcPr>
          <w:p w14:paraId="05F6FD3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6F5CBA9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536FE32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0669A84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1E69A19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noWrap/>
            <w:vAlign w:val="center"/>
            <w:hideMark/>
          </w:tcPr>
          <w:p w14:paraId="5568994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noWrap/>
            <w:vAlign w:val="center"/>
            <w:hideMark/>
          </w:tcPr>
          <w:p w14:paraId="28CD5C4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695A436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46D8629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764B201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3B1AAEA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9AC162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29DB11A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shd w:val="clear" w:color="auto" w:fill="FF0000"/>
            <w:vAlign w:val="center"/>
            <w:hideMark/>
          </w:tcPr>
          <w:p w14:paraId="544085E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4A5D2FF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626" w:type="dxa"/>
            <w:vAlign w:val="center"/>
            <w:hideMark/>
          </w:tcPr>
          <w:p w14:paraId="740673D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shd w:val="clear" w:color="auto" w:fill="FF0000"/>
            <w:noWrap/>
            <w:vAlign w:val="center"/>
            <w:hideMark/>
          </w:tcPr>
          <w:p w14:paraId="3697002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9ECEA1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6BBDE5A9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0187362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Documento erogazione farmaci</w:t>
            </w:r>
          </w:p>
        </w:tc>
        <w:tc>
          <w:tcPr>
            <w:tcW w:w="567" w:type="dxa"/>
            <w:vAlign w:val="center"/>
            <w:hideMark/>
          </w:tcPr>
          <w:p w14:paraId="3B3568B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67%</w:t>
            </w:r>
          </w:p>
        </w:tc>
        <w:tc>
          <w:tcPr>
            <w:tcW w:w="486" w:type="dxa"/>
            <w:shd w:val="clear" w:color="auto" w:fill="FF0000"/>
            <w:vAlign w:val="center"/>
            <w:hideMark/>
          </w:tcPr>
          <w:p w14:paraId="0AFFC3B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110463D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70768AC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vAlign w:val="center"/>
            <w:hideMark/>
          </w:tcPr>
          <w:p w14:paraId="0EB6576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0442AD2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vAlign w:val="center"/>
            <w:hideMark/>
          </w:tcPr>
          <w:p w14:paraId="0CF9A29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5FE014A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3285770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noWrap/>
            <w:vAlign w:val="center"/>
            <w:hideMark/>
          </w:tcPr>
          <w:p w14:paraId="4533328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noWrap/>
            <w:vAlign w:val="center"/>
            <w:hideMark/>
          </w:tcPr>
          <w:p w14:paraId="58259A9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35A7716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73B5AC1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1B97F95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3045A31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7A8DDE4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2F95237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shd w:val="clear" w:color="auto" w:fill="FF0000"/>
            <w:vAlign w:val="center"/>
            <w:hideMark/>
          </w:tcPr>
          <w:p w14:paraId="077F0FD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30902D2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626" w:type="dxa"/>
            <w:vAlign w:val="center"/>
            <w:hideMark/>
          </w:tcPr>
          <w:p w14:paraId="2621474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shd w:val="clear" w:color="auto" w:fill="FF0000"/>
            <w:noWrap/>
            <w:vAlign w:val="center"/>
            <w:hideMark/>
          </w:tcPr>
          <w:p w14:paraId="65B7356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40893B8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7529D1E4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6F207E0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Scheda singola vaccinazione</w:t>
            </w:r>
          </w:p>
        </w:tc>
        <w:tc>
          <w:tcPr>
            <w:tcW w:w="567" w:type="dxa"/>
            <w:vAlign w:val="center"/>
            <w:hideMark/>
          </w:tcPr>
          <w:p w14:paraId="4C8EBEB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67%</w:t>
            </w:r>
          </w:p>
        </w:tc>
        <w:tc>
          <w:tcPr>
            <w:tcW w:w="486" w:type="dxa"/>
            <w:shd w:val="clear" w:color="auto" w:fill="FF0000"/>
            <w:vAlign w:val="center"/>
            <w:hideMark/>
          </w:tcPr>
          <w:p w14:paraId="1B37179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noWrap/>
            <w:vAlign w:val="center"/>
            <w:hideMark/>
          </w:tcPr>
          <w:p w14:paraId="2B90128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vAlign w:val="center"/>
            <w:hideMark/>
          </w:tcPr>
          <w:p w14:paraId="5122D03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vAlign w:val="center"/>
            <w:hideMark/>
          </w:tcPr>
          <w:p w14:paraId="3F9B3A7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411E57D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441DD6C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47C5AF8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noWrap/>
            <w:vAlign w:val="center"/>
            <w:hideMark/>
          </w:tcPr>
          <w:p w14:paraId="05EB344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noWrap/>
            <w:vAlign w:val="center"/>
            <w:hideMark/>
          </w:tcPr>
          <w:p w14:paraId="2B41025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noWrap/>
            <w:vAlign w:val="center"/>
            <w:hideMark/>
          </w:tcPr>
          <w:p w14:paraId="7802FA0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noWrap/>
            <w:vAlign w:val="center"/>
            <w:hideMark/>
          </w:tcPr>
          <w:p w14:paraId="253EAA2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701231E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vAlign w:val="center"/>
            <w:hideMark/>
          </w:tcPr>
          <w:p w14:paraId="0511F47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1CDC48E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noWrap/>
            <w:vAlign w:val="center"/>
            <w:hideMark/>
          </w:tcPr>
          <w:p w14:paraId="49E4BCC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noWrap/>
            <w:vAlign w:val="center"/>
            <w:hideMark/>
          </w:tcPr>
          <w:p w14:paraId="672BCEE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shd w:val="clear" w:color="auto" w:fill="FF0000"/>
            <w:vAlign w:val="center"/>
            <w:hideMark/>
          </w:tcPr>
          <w:p w14:paraId="16AC4F6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6B6DF43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626" w:type="dxa"/>
            <w:noWrap/>
            <w:vAlign w:val="center"/>
            <w:hideMark/>
          </w:tcPr>
          <w:p w14:paraId="743E896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shd w:val="clear" w:color="auto" w:fill="FF0000"/>
            <w:noWrap/>
            <w:vAlign w:val="center"/>
            <w:hideMark/>
          </w:tcPr>
          <w:p w14:paraId="1E29B02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14:paraId="40576E2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6BD82477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6065FE1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Referto di anatomia patologica</w:t>
            </w:r>
          </w:p>
        </w:tc>
        <w:tc>
          <w:tcPr>
            <w:tcW w:w="567" w:type="dxa"/>
            <w:vAlign w:val="center"/>
            <w:hideMark/>
          </w:tcPr>
          <w:p w14:paraId="43D2296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62%</w:t>
            </w:r>
          </w:p>
        </w:tc>
        <w:tc>
          <w:tcPr>
            <w:tcW w:w="486" w:type="dxa"/>
            <w:shd w:val="clear" w:color="auto" w:fill="FF0000"/>
            <w:vAlign w:val="center"/>
            <w:hideMark/>
          </w:tcPr>
          <w:p w14:paraId="708B14D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22ABF77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3A425FD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1F635E0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421AD86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vAlign w:val="center"/>
            <w:hideMark/>
          </w:tcPr>
          <w:p w14:paraId="1AEBF70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69708FB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1E459CC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6F9CFE9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vAlign w:val="center"/>
            <w:hideMark/>
          </w:tcPr>
          <w:p w14:paraId="74E102A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772FF29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057BA6E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73BE264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60D0885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3B0BD50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4FF7B8A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6D7362A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7E9BF91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626" w:type="dxa"/>
            <w:shd w:val="clear" w:color="auto" w:fill="FF0000"/>
            <w:vAlign w:val="center"/>
            <w:hideMark/>
          </w:tcPr>
          <w:p w14:paraId="40B05E3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491C5DD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604901D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14140DF9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5DFBCC2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Taccuino personale dell'assistito</w:t>
            </w:r>
          </w:p>
        </w:tc>
        <w:tc>
          <w:tcPr>
            <w:tcW w:w="567" w:type="dxa"/>
            <w:vAlign w:val="center"/>
            <w:hideMark/>
          </w:tcPr>
          <w:p w14:paraId="1FD32B9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62%</w:t>
            </w:r>
          </w:p>
        </w:tc>
        <w:tc>
          <w:tcPr>
            <w:tcW w:w="486" w:type="dxa"/>
            <w:shd w:val="clear" w:color="auto" w:fill="FF0000"/>
            <w:vAlign w:val="center"/>
            <w:hideMark/>
          </w:tcPr>
          <w:p w14:paraId="033B0CC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0B66037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vAlign w:val="center"/>
            <w:hideMark/>
          </w:tcPr>
          <w:p w14:paraId="63A09A0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23427B5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4882A3F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56D992D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shd w:val="clear" w:color="auto" w:fill="FF0000"/>
            <w:vAlign w:val="center"/>
            <w:hideMark/>
          </w:tcPr>
          <w:p w14:paraId="73E27CC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52DA774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221E984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0AC4286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vAlign w:val="center"/>
            <w:hideMark/>
          </w:tcPr>
          <w:p w14:paraId="224E6D4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35C40F2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3D86C98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vAlign w:val="center"/>
            <w:hideMark/>
          </w:tcPr>
          <w:p w14:paraId="76EEF36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47FC6D5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39FB81F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00B6A98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7A92084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626" w:type="dxa"/>
            <w:noWrap/>
            <w:vAlign w:val="center"/>
            <w:hideMark/>
          </w:tcPr>
          <w:p w14:paraId="4F54E8D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vAlign w:val="center"/>
            <w:hideMark/>
          </w:tcPr>
          <w:p w14:paraId="0775129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67" w:type="dxa"/>
            <w:noWrap/>
            <w:vAlign w:val="center"/>
            <w:hideMark/>
          </w:tcPr>
          <w:p w14:paraId="3157E5B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4477740E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6068CC4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 xml:space="preserve">Lettera di invito </w:t>
            </w:r>
          </w:p>
        </w:tc>
        <w:tc>
          <w:tcPr>
            <w:tcW w:w="567" w:type="dxa"/>
            <w:vAlign w:val="center"/>
            <w:hideMark/>
          </w:tcPr>
          <w:p w14:paraId="2F7233F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29%</w:t>
            </w:r>
          </w:p>
        </w:tc>
        <w:tc>
          <w:tcPr>
            <w:tcW w:w="486" w:type="dxa"/>
            <w:shd w:val="clear" w:color="auto" w:fill="FF0000"/>
            <w:vAlign w:val="center"/>
            <w:hideMark/>
          </w:tcPr>
          <w:p w14:paraId="4B41231D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noWrap/>
            <w:vAlign w:val="center"/>
            <w:hideMark/>
          </w:tcPr>
          <w:p w14:paraId="1CECDDD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46072D7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1C67F61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vAlign w:val="center"/>
            <w:hideMark/>
          </w:tcPr>
          <w:p w14:paraId="5B588B3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6EE2E73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noWrap/>
            <w:vAlign w:val="center"/>
            <w:hideMark/>
          </w:tcPr>
          <w:p w14:paraId="11CE434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30F83AD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noWrap/>
            <w:vAlign w:val="center"/>
            <w:hideMark/>
          </w:tcPr>
          <w:p w14:paraId="3DF5EC2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1E704CF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5544475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3771984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1BEB435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vAlign w:val="center"/>
            <w:hideMark/>
          </w:tcPr>
          <w:p w14:paraId="2B843EBF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0B67F7D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FF0000"/>
                <w:sz w:val="15"/>
                <w:szCs w:val="15"/>
              </w:rPr>
            </w:pPr>
            <w:r w:rsidRPr="004E55F4">
              <w:rPr>
                <w:bCs/>
                <w:color w:val="FF000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2E9A928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7AF4D03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1CE583A9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626" w:type="dxa"/>
            <w:shd w:val="clear" w:color="auto" w:fill="FF0000"/>
            <w:noWrap/>
            <w:vAlign w:val="center"/>
            <w:hideMark/>
          </w:tcPr>
          <w:p w14:paraId="2BF8B99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67" w:type="dxa"/>
            <w:shd w:val="clear" w:color="auto" w:fill="FF0000"/>
            <w:noWrap/>
            <w:vAlign w:val="center"/>
            <w:hideMark/>
          </w:tcPr>
          <w:p w14:paraId="7FF4D5D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EBC2F82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  <w:tr w:rsidR="00487B2F" w:rsidRPr="004E55F4" w14:paraId="5F8F24CE" w14:textId="77777777" w:rsidTr="00E57D9B">
        <w:trPr>
          <w:trHeight w:val="259"/>
        </w:trPr>
        <w:tc>
          <w:tcPr>
            <w:tcW w:w="3256" w:type="dxa"/>
            <w:vAlign w:val="center"/>
            <w:hideMark/>
          </w:tcPr>
          <w:p w14:paraId="35AC113B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Cartella clinica</w:t>
            </w:r>
          </w:p>
        </w:tc>
        <w:tc>
          <w:tcPr>
            <w:tcW w:w="567" w:type="dxa"/>
            <w:vAlign w:val="center"/>
            <w:hideMark/>
          </w:tcPr>
          <w:p w14:paraId="251DDD9A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auto"/>
                <w:sz w:val="15"/>
                <w:szCs w:val="15"/>
              </w:rPr>
            </w:pPr>
            <w:r w:rsidRPr="004E55F4">
              <w:rPr>
                <w:bCs/>
                <w:color w:val="auto"/>
                <w:sz w:val="15"/>
                <w:szCs w:val="15"/>
              </w:rPr>
              <w:t>5%</w:t>
            </w:r>
          </w:p>
        </w:tc>
        <w:tc>
          <w:tcPr>
            <w:tcW w:w="486" w:type="dxa"/>
            <w:shd w:val="clear" w:color="auto" w:fill="FF0000"/>
            <w:vAlign w:val="center"/>
            <w:hideMark/>
          </w:tcPr>
          <w:p w14:paraId="05CB1645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5B2206D1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436C712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323D5D8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7739C9A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7EF9DBB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vAlign w:val="center"/>
            <w:hideMark/>
          </w:tcPr>
          <w:p w14:paraId="526DEED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5E708A57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1E781C7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00E8306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6694F9D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7C40951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54A3F083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304EC01C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582CC8F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vAlign w:val="center"/>
            <w:hideMark/>
          </w:tcPr>
          <w:p w14:paraId="49258610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6" w:type="dxa"/>
            <w:shd w:val="clear" w:color="auto" w:fill="FF0000"/>
            <w:noWrap/>
            <w:vAlign w:val="center"/>
            <w:hideMark/>
          </w:tcPr>
          <w:p w14:paraId="3F94FCB6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27" w:type="dxa"/>
            <w:shd w:val="clear" w:color="auto" w:fill="FF0000"/>
            <w:noWrap/>
            <w:vAlign w:val="center"/>
            <w:hideMark/>
          </w:tcPr>
          <w:p w14:paraId="51AFB758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626" w:type="dxa"/>
            <w:shd w:val="clear" w:color="auto" w:fill="FF0000"/>
            <w:noWrap/>
            <w:vAlign w:val="center"/>
            <w:hideMark/>
          </w:tcPr>
          <w:p w14:paraId="5D19940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67" w:type="dxa"/>
            <w:shd w:val="clear" w:color="auto" w:fill="FF0000"/>
            <w:noWrap/>
            <w:vAlign w:val="center"/>
            <w:hideMark/>
          </w:tcPr>
          <w:p w14:paraId="3950509E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bCs/>
                <w:color w:val="00B050"/>
                <w:sz w:val="15"/>
                <w:szCs w:val="15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59319E34" w14:textId="77777777" w:rsidR="00487B2F" w:rsidRPr="004E55F4" w:rsidRDefault="00487B2F" w:rsidP="00E57D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color w:val="00B050"/>
                <w:sz w:val="15"/>
                <w:szCs w:val="15"/>
              </w:rPr>
            </w:pPr>
            <w:r w:rsidRPr="004E55F4">
              <w:rPr>
                <w:rFonts w:ascii="Segoe UI Symbol" w:hAnsi="Segoe UI Symbol" w:cs="Segoe UI Symbol"/>
                <w:bCs/>
                <w:color w:val="00B050"/>
                <w:sz w:val="15"/>
                <w:szCs w:val="15"/>
              </w:rPr>
              <w:t>✔</w:t>
            </w:r>
          </w:p>
        </w:tc>
      </w:tr>
    </w:tbl>
    <w:p w14:paraId="5B8B6BA0" w14:textId="77777777" w:rsidR="00487B2F" w:rsidRDefault="00487B2F" w:rsidP="00383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457D"/>
          <w:sz w:val="20"/>
          <w:szCs w:val="20"/>
        </w:rPr>
        <w:sectPr w:rsidR="00487B2F" w:rsidSect="00CF6F45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5AFFFB62" w14:textId="6946A40E" w:rsidR="00DF45B6" w:rsidRPr="00E0750C" w:rsidRDefault="00DF45B6" w:rsidP="00DF45B6">
      <w:pPr>
        <w:jc w:val="center"/>
        <w:rPr>
          <w:b/>
          <w:bCs/>
          <w:color w:val="00457D"/>
        </w:rPr>
      </w:pPr>
      <w:r w:rsidRPr="00E0750C">
        <w:rPr>
          <w:b/>
          <w:bCs/>
          <w:color w:val="00457D"/>
        </w:rPr>
        <w:lastRenderedPageBreak/>
        <w:t xml:space="preserve">Figura 2. </w:t>
      </w:r>
      <w:r w:rsidR="002C6B8D" w:rsidRPr="00E0750C">
        <w:rPr>
          <w:b/>
          <w:bCs/>
          <w:color w:val="00457D"/>
        </w:rPr>
        <w:t>T</w:t>
      </w:r>
      <w:r w:rsidRPr="00E0750C">
        <w:rPr>
          <w:b/>
          <w:bCs/>
          <w:color w:val="00457D"/>
        </w:rPr>
        <w:t xml:space="preserve">ipologie documentali disponibili </w:t>
      </w:r>
      <w:r w:rsidR="00E84947">
        <w:rPr>
          <w:b/>
          <w:bCs/>
          <w:color w:val="00457D"/>
        </w:rPr>
        <w:t>nel FSE</w:t>
      </w:r>
      <w:r w:rsidRPr="00E0750C">
        <w:rPr>
          <w:b/>
          <w:bCs/>
          <w:color w:val="00457D"/>
        </w:rPr>
        <w:t xml:space="preserve"> per Regione </w:t>
      </w:r>
      <w:r w:rsidR="00D42614">
        <w:rPr>
          <w:b/>
          <w:bCs/>
          <w:color w:val="00457D"/>
        </w:rPr>
        <w:br/>
      </w:r>
      <w:r w:rsidR="00E84947" w:rsidRPr="00E0750C">
        <w:rPr>
          <w:b/>
          <w:bCs/>
          <w:color w:val="00457D"/>
        </w:rPr>
        <w:t>(</w:t>
      </w:r>
      <w:r w:rsidR="00E84947">
        <w:rPr>
          <w:b/>
          <w:bCs/>
          <w:color w:val="00457D"/>
        </w:rPr>
        <w:t>percentuale</w:t>
      </w:r>
      <w:r w:rsidR="00E84947" w:rsidRPr="00E0750C">
        <w:rPr>
          <w:b/>
          <w:bCs/>
          <w:color w:val="00457D"/>
        </w:rPr>
        <w:t xml:space="preserve"> </w:t>
      </w:r>
      <w:r w:rsidRPr="00E0750C">
        <w:rPr>
          <w:b/>
          <w:bCs/>
          <w:color w:val="00457D"/>
        </w:rPr>
        <w:t>sul totale</w:t>
      </w:r>
      <w:r w:rsidR="00806EB6">
        <w:rPr>
          <w:b/>
          <w:bCs/>
          <w:color w:val="00457D"/>
        </w:rPr>
        <w:t xml:space="preserve"> dei n. 1</w:t>
      </w:r>
      <w:r w:rsidR="00ED4BFC">
        <w:rPr>
          <w:b/>
          <w:bCs/>
          <w:color w:val="00457D"/>
        </w:rPr>
        <w:t>6</w:t>
      </w:r>
      <w:r w:rsidR="00806EB6">
        <w:rPr>
          <w:b/>
          <w:bCs/>
          <w:color w:val="00457D"/>
        </w:rPr>
        <w:t xml:space="preserve"> documenti oggetto del monitoraggio </w:t>
      </w:r>
      <w:r w:rsidR="00604327">
        <w:rPr>
          <w:b/>
          <w:bCs/>
          <w:color w:val="00457D"/>
        </w:rPr>
        <w:t xml:space="preserve">del </w:t>
      </w:r>
      <w:r w:rsidR="00604327" w:rsidRPr="00604327">
        <w:rPr>
          <w:b/>
          <w:bCs/>
          <w:color w:val="00457D"/>
        </w:rPr>
        <w:t>Ministero della Salute e Dipartimento per la Trasformazione Digitale</w:t>
      </w:r>
      <w:r w:rsidRPr="00E0750C">
        <w:rPr>
          <w:b/>
          <w:bCs/>
          <w:color w:val="00457D"/>
        </w:rPr>
        <w:t>)</w:t>
      </w:r>
    </w:p>
    <w:p w14:paraId="25583EDD" w14:textId="667C6F61" w:rsidR="0037556A" w:rsidRDefault="0037556A" w:rsidP="003755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noProof/>
          <w:color w:val="00457D"/>
          <w:sz w:val="20"/>
          <w:szCs w:val="20"/>
        </w:rPr>
        <w:drawing>
          <wp:inline distT="0" distB="0" distL="0" distR="0" wp14:anchorId="1C58F3B0" wp14:editId="4EC9CFA1">
            <wp:extent cx="5040000" cy="4583450"/>
            <wp:effectExtent l="0" t="0" r="825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58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14021" w14:textId="66D175AE" w:rsidR="0037556A" w:rsidRDefault="003755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00457D"/>
          <w:sz w:val="20"/>
          <w:szCs w:val="20"/>
        </w:rPr>
      </w:pPr>
      <w:r>
        <w:rPr>
          <w:b/>
          <w:bCs/>
          <w:color w:val="00457D"/>
          <w:sz w:val="20"/>
          <w:szCs w:val="20"/>
        </w:rPr>
        <w:br w:type="page"/>
      </w:r>
    </w:p>
    <w:p w14:paraId="45706EEA" w14:textId="5221E52A" w:rsidR="00D74E23" w:rsidRPr="00E0750C" w:rsidRDefault="00D74E23" w:rsidP="00D74E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457D"/>
        </w:rPr>
      </w:pPr>
      <w:r w:rsidRPr="00E0750C">
        <w:rPr>
          <w:b/>
          <w:bCs/>
          <w:color w:val="00457D"/>
        </w:rPr>
        <w:lastRenderedPageBreak/>
        <w:t xml:space="preserve">Tabella </w:t>
      </w:r>
      <w:r w:rsidR="00FF00F4">
        <w:rPr>
          <w:b/>
          <w:bCs/>
          <w:color w:val="00457D"/>
        </w:rPr>
        <w:t>2</w:t>
      </w:r>
      <w:r w:rsidRPr="00E0750C">
        <w:rPr>
          <w:b/>
          <w:bCs/>
          <w:color w:val="00457D"/>
        </w:rPr>
        <w:t xml:space="preserve">. Servizi disponibili nei FSE regionali </w:t>
      </w:r>
      <w:r w:rsidR="00E84947" w:rsidRPr="00E0750C">
        <w:rPr>
          <w:b/>
          <w:bCs/>
          <w:color w:val="00457D"/>
        </w:rPr>
        <w:t>(</w:t>
      </w:r>
      <w:r w:rsidR="00E84947">
        <w:rPr>
          <w:b/>
          <w:bCs/>
          <w:color w:val="00457D"/>
        </w:rPr>
        <w:t>percentuale</w:t>
      </w:r>
      <w:r w:rsidR="00E84947" w:rsidRPr="00E0750C">
        <w:rPr>
          <w:b/>
          <w:bCs/>
          <w:color w:val="00457D"/>
        </w:rPr>
        <w:t xml:space="preserve"> </w:t>
      </w:r>
      <w:r w:rsidRPr="00E0750C">
        <w:rPr>
          <w:b/>
          <w:bCs/>
          <w:color w:val="00457D"/>
        </w:rPr>
        <w:t>sul totale delle Regioni)</w:t>
      </w:r>
    </w:p>
    <w:tbl>
      <w:tblPr>
        <w:tblW w:w="7360" w:type="dxa"/>
        <w:jc w:val="center"/>
        <w:tblBorders>
          <w:top w:val="single" w:sz="4" w:space="0" w:color="00457D"/>
          <w:left w:val="single" w:sz="4" w:space="0" w:color="00457D"/>
          <w:bottom w:val="single" w:sz="4" w:space="0" w:color="00457D"/>
          <w:right w:val="single" w:sz="4" w:space="0" w:color="00457D"/>
          <w:insideH w:val="single" w:sz="4" w:space="0" w:color="00457D"/>
          <w:insideV w:val="single" w:sz="4" w:space="0" w:color="0045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1240"/>
      </w:tblGrid>
      <w:tr w:rsidR="00D74E23" w:rsidRPr="00D74E23" w14:paraId="6AC51910" w14:textId="77777777" w:rsidTr="00D74E23">
        <w:trPr>
          <w:trHeight w:val="283"/>
          <w:jc w:val="center"/>
        </w:trPr>
        <w:tc>
          <w:tcPr>
            <w:tcW w:w="6120" w:type="dxa"/>
            <w:tcBorders>
              <w:righ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055BDD8E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  <w:t>Servizio</w:t>
            </w:r>
          </w:p>
        </w:tc>
        <w:tc>
          <w:tcPr>
            <w:tcW w:w="1240" w:type="dxa"/>
            <w:tcBorders>
              <w:left w:val="single" w:sz="4" w:space="0" w:color="FFFFFF" w:themeColor="background1"/>
            </w:tcBorders>
            <w:shd w:val="clear" w:color="auto" w:fill="00457D"/>
            <w:vAlign w:val="center"/>
            <w:hideMark/>
          </w:tcPr>
          <w:p w14:paraId="304F3C32" w14:textId="77777777" w:rsidR="00D74E23" w:rsidRPr="00D74E23" w:rsidRDefault="00D74E23" w:rsidP="00D74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</w:pPr>
            <w:r w:rsidRPr="00D74E23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bdr w:val="none" w:sz="0" w:space="0" w:color="auto"/>
              </w:rPr>
              <w:t>Percentuale</w:t>
            </w:r>
          </w:p>
        </w:tc>
      </w:tr>
      <w:tr w:rsidR="00CD1B95" w:rsidRPr="00CD1B95" w14:paraId="025CF607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029B0FC7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Certificato digitale Covid19: accesso e download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1B90762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100%</w:t>
            </w:r>
          </w:p>
        </w:tc>
      </w:tr>
      <w:tr w:rsidR="00CD1B95" w:rsidRPr="00CD1B95" w14:paraId="4283CAEC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4357103B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Scelta/Revoca Medici di Medicina Generale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E168F48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90%</w:t>
            </w:r>
          </w:p>
        </w:tc>
      </w:tr>
      <w:tr w:rsidR="00CD1B95" w:rsidRPr="00CD1B95" w14:paraId="46788319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50C8CAF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Esenzioni (consultazione, richiesta/rinnovo, richiesta certificato)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D7E0451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86%</w:t>
            </w:r>
          </w:p>
        </w:tc>
      </w:tr>
      <w:tr w:rsidR="00CD1B95" w:rsidRPr="00CD1B95" w14:paraId="6B03222F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84A3099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Pagamento ticket/prestazioni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137213D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81%</w:t>
            </w:r>
          </w:p>
        </w:tc>
      </w:tr>
      <w:tr w:rsidR="00CD1B95" w:rsidRPr="00CD1B95" w14:paraId="3BCBB060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2435D2E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Prenotazione SSN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D5AB482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81%</w:t>
            </w:r>
          </w:p>
        </w:tc>
      </w:tr>
      <w:tr w:rsidR="00CD1B95" w:rsidRPr="00CD1B95" w14:paraId="002BC96A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03A21DA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Notifiche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21316CE8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76%</w:t>
            </w:r>
          </w:p>
        </w:tc>
      </w:tr>
      <w:tr w:rsidR="00CD1B95" w:rsidRPr="00CD1B95" w14:paraId="7583E75F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2ADAA5C6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Classificazione dei documenti in categorie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21167499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71%</w:t>
            </w:r>
          </w:p>
        </w:tc>
      </w:tr>
      <w:tr w:rsidR="00CD1B95" w:rsidRPr="00CD1B95" w14:paraId="199849C3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605026E3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Trova Pronto Soccorso, Farmacie, Ambulatorio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DF0CA92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62%</w:t>
            </w:r>
          </w:p>
        </w:tc>
      </w:tr>
      <w:tr w:rsidR="00CD1B95" w:rsidRPr="00CD1B95" w14:paraId="1A45113D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02528819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Gestione deleghe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333BDAC9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57%</w:t>
            </w:r>
          </w:p>
        </w:tc>
      </w:tr>
      <w:tr w:rsidR="00CD1B95" w:rsidRPr="00CD1B95" w14:paraId="5CD4C8FC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66B30ED3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Consultazione tempi d'attesa PS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E4CA14B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52%</w:t>
            </w:r>
          </w:p>
        </w:tc>
      </w:tr>
      <w:tr w:rsidR="00CD1B95" w:rsidRPr="00CD1B95" w14:paraId="56E2E913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6A2F466F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Prenotazione ALPI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32ADF6D4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43%</w:t>
            </w:r>
          </w:p>
        </w:tc>
      </w:tr>
      <w:tr w:rsidR="00CD1B95" w:rsidRPr="00CD1B95" w14:paraId="23F58E59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A14515F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Autocertificazioni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88290B0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43%</w:t>
            </w:r>
          </w:p>
        </w:tc>
      </w:tr>
      <w:tr w:rsidR="00CD1B95" w:rsidRPr="00CD1B95" w14:paraId="09D080DC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E62C114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Ristampa tessera iscrizione SSR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4D95E073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43%</w:t>
            </w:r>
          </w:p>
        </w:tc>
      </w:tr>
      <w:tr w:rsidR="00CD1B95" w:rsidRPr="00CD1B95" w14:paraId="2B13F61A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EEC2CAC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Visualizzazione immagini diagnostiche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657A9787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43%</w:t>
            </w:r>
          </w:p>
        </w:tc>
      </w:tr>
      <w:tr w:rsidR="00CD1B95" w:rsidRPr="00CD1B95" w14:paraId="21FD7BD9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37D5180A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Consultazione liste d'attesa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05081440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38%</w:t>
            </w:r>
          </w:p>
        </w:tc>
      </w:tr>
      <w:tr w:rsidR="00CD1B95" w:rsidRPr="00CD1B95" w14:paraId="33D16223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484E7D6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Budget/codice celiachia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49BEB277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33%</w:t>
            </w:r>
          </w:p>
        </w:tc>
      </w:tr>
      <w:tr w:rsidR="00CD1B95" w:rsidRPr="00CD1B95" w14:paraId="37C1F17D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02AEA991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Prenotazione screening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01ABD2C8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29%</w:t>
            </w:r>
          </w:p>
        </w:tc>
      </w:tr>
      <w:tr w:rsidR="00CD1B95" w:rsidRPr="00CD1B95" w14:paraId="56583988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265A270B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Prenotazione tampone (drive </w:t>
            </w:r>
            <w:proofErr w:type="spellStart"/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through</w:t>
            </w:r>
            <w:proofErr w:type="spellEnd"/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/antigenico rapido)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6B988CA3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24%</w:t>
            </w:r>
          </w:p>
        </w:tc>
      </w:tr>
      <w:tr w:rsidR="00CD1B95" w:rsidRPr="00CD1B95" w14:paraId="39874198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1A3FB0A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Certificato di guarigione: accesso e download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AE25FEF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24%</w:t>
            </w:r>
          </w:p>
        </w:tc>
      </w:tr>
      <w:tr w:rsidR="00CD1B95" w:rsidRPr="00CD1B95" w14:paraId="19E745DC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4EC4208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Certificato di ricovero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46ADF044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CD1B95" w:rsidRPr="00CD1B95" w14:paraId="340246EF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86FC4A3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Bilancio di salute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2D79880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CD1B95" w:rsidRPr="00CD1B95" w14:paraId="5A6D0724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6680FE5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Certificato di fine isolamento: accesso e download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136B28F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CD1B95" w:rsidRPr="00CD1B95" w14:paraId="24A70E56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23B7DF33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Calendario vaccinale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FFA6950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CD1B95" w:rsidRPr="00CD1B95" w14:paraId="20F6B0FF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37DDBEC7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PDTA (piano diagnostico terapeutico assistenziale)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0ECA159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CD1B95" w:rsidRPr="00CD1B95" w14:paraId="25C0F7CD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32F0DC10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Prenotazione televisita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D3718D8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CD1B95" w:rsidRPr="00CD1B95" w14:paraId="5D9BF97E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6EF4B6F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Consultare informazioni utili per gli stranieri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52DEAF7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19%</w:t>
            </w:r>
          </w:p>
        </w:tc>
      </w:tr>
      <w:tr w:rsidR="00CD1B95" w:rsidRPr="00CD1B95" w14:paraId="4E9832F2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242CA891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Certificato di malattia: accesso e download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604B94CC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14%</w:t>
            </w:r>
          </w:p>
        </w:tc>
      </w:tr>
      <w:tr w:rsidR="00CD1B95" w:rsidRPr="00CD1B95" w14:paraId="31D18B75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3FE749C7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Autotesting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2706254C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14%</w:t>
            </w:r>
          </w:p>
        </w:tc>
      </w:tr>
      <w:tr w:rsidR="00CD1B95" w:rsidRPr="00CD1B95" w14:paraId="48222D27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4EDFDFD8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Ricerca farmaco e consultazione foglietto illustrativo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D9B4139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14%</w:t>
            </w:r>
          </w:p>
        </w:tc>
      </w:tr>
      <w:tr w:rsidR="00CD1B95" w:rsidRPr="00CD1B95" w14:paraId="1435633D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622B1E56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Certificato medico: accesso e download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2B37BC09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10%</w:t>
            </w:r>
          </w:p>
        </w:tc>
      </w:tr>
      <w:tr w:rsidR="00CD1B95" w:rsidRPr="00CD1B95" w14:paraId="4FB60BB8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F2CD6F4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Dossier Farmaceutico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63F2688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10%</w:t>
            </w:r>
          </w:p>
        </w:tc>
      </w:tr>
      <w:tr w:rsidR="00CD1B95" w:rsidRPr="00CD1B95" w14:paraId="1BB7F886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5EC634B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Prenotazione Servizi amministrativi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28A9F8BB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10%</w:t>
            </w:r>
          </w:p>
        </w:tc>
      </w:tr>
      <w:tr w:rsidR="00CD1B95" w:rsidRPr="00CD1B95" w14:paraId="3B84E492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BC5F74E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Prenotazione appuntamento per donazione sangue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4AD683D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10%</w:t>
            </w:r>
          </w:p>
        </w:tc>
      </w:tr>
      <w:tr w:rsidR="00CD1B95" w:rsidRPr="00CD1B95" w14:paraId="1C5B565F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4418AFB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Contattare il Pronto Badante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17DA623" w14:textId="77777777" w:rsidR="00CD1B95" w:rsidRPr="00CD1B95" w:rsidRDefault="00CD1B95" w:rsidP="00CD1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10%</w:t>
            </w:r>
          </w:p>
        </w:tc>
      </w:tr>
      <w:tr w:rsidR="004F1BDE" w:rsidRPr="00CD1B95" w14:paraId="66894BC0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35077132" w14:textId="53AE378D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PAI (piano assistenziale individualizzato)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98E636D" w14:textId="5D960412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</w:t>
            </w: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%</w:t>
            </w:r>
          </w:p>
        </w:tc>
      </w:tr>
      <w:tr w:rsidR="004F1BDE" w:rsidRPr="00CD1B95" w14:paraId="32BB80A7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70D4330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Rinnovo assistenza sanitaria temporanea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2D78FFB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  <w:tr w:rsidR="004F1BDE" w:rsidRPr="00CD1B95" w14:paraId="4DA39AF4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E4352CB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Consenso o diniego alla donazione degli organi e tessuti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7CC2490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  <w:tr w:rsidR="004F1BDE" w:rsidRPr="00CD1B95" w14:paraId="75DDF179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87C5909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Richiesta ausili ad assorbenza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570724D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  <w:tr w:rsidR="004F1BDE" w:rsidRPr="00CD1B95" w14:paraId="5EEB2AF0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5E85B8C0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Richiesta trasporto per servizio sanitario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4B0D7916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  <w:tr w:rsidR="004F1BDE" w:rsidRPr="00CD1B95" w14:paraId="3C61855B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EDB333E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Comunicazione di variazione per soggiorni di breve, lunga durata in paese estero o variazione della Regione o Azienda sanitaria di assistenza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3A49CD9B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  <w:tr w:rsidR="004F1BDE" w:rsidRPr="00CD1B95" w14:paraId="01AC1842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0445C9EE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Richiesta assistenza con identificazione via EIDAS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04606916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  <w:tr w:rsidR="004F1BDE" w:rsidRPr="00CD1B95" w14:paraId="7058B7E5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422B5659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Ricerca dei DAE disponibili sul territorio regionale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39C5AEB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  <w:tr w:rsidR="004F1BDE" w:rsidRPr="00CD1B95" w14:paraId="5BECCCE8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1693B3D2" w14:textId="2D7B03DB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Monitoraggio, in tempo reale e da remoto, delle diverse fasi dell’intervento ch</w:t>
            </w:r>
            <w:r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i</w:t>
            </w: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rurgico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3B663ADC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  <w:tr w:rsidR="004F1BDE" w:rsidRPr="00CD1B95" w14:paraId="238B7891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267DC8F5" w14:textId="5F271D4C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 xml:space="preserve">Monitoraggio del percorso in Pronto Soccorso in tempo reale e da remoto 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42932F54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  <w:tr w:rsidR="004F1BDE" w:rsidRPr="00CD1B95" w14:paraId="3399C72E" w14:textId="77777777" w:rsidTr="00CD1B95">
        <w:trPr>
          <w:trHeight w:val="283"/>
          <w:jc w:val="center"/>
        </w:trPr>
        <w:tc>
          <w:tcPr>
            <w:tcW w:w="612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389D1E5B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Prenotazioni vaccinazioni</w:t>
            </w:r>
          </w:p>
        </w:tc>
        <w:tc>
          <w:tcPr>
            <w:tcW w:w="1240" w:type="dxa"/>
            <w:tcBorders>
              <w:top w:val="single" w:sz="4" w:space="0" w:color="00457D"/>
              <w:left w:val="single" w:sz="4" w:space="0" w:color="00457D"/>
              <w:bottom w:val="single" w:sz="4" w:space="0" w:color="00457D"/>
              <w:right w:val="single" w:sz="4" w:space="0" w:color="00457D"/>
            </w:tcBorders>
            <w:shd w:val="clear" w:color="auto" w:fill="auto"/>
            <w:vAlign w:val="center"/>
          </w:tcPr>
          <w:p w14:paraId="7EA24E10" w14:textId="77777777" w:rsidR="004F1BDE" w:rsidRPr="00CD1B95" w:rsidRDefault="004F1BDE" w:rsidP="004F1B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bdr w:val="none" w:sz="0" w:space="0" w:color="auto"/>
              </w:rPr>
            </w:pPr>
            <w:r w:rsidRPr="00CD1B95">
              <w:rPr>
                <w:rFonts w:eastAsia="Times New Roman" w:cs="Calibri"/>
                <w:sz w:val="20"/>
                <w:szCs w:val="20"/>
                <w:bdr w:val="none" w:sz="0" w:space="0" w:color="auto"/>
              </w:rPr>
              <w:t>5%</w:t>
            </w:r>
          </w:p>
        </w:tc>
      </w:tr>
    </w:tbl>
    <w:p w14:paraId="1A3D0B0E" w14:textId="79615FD6" w:rsidR="00DF45B6" w:rsidRPr="000B1F77" w:rsidRDefault="00D74E23" w:rsidP="001111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457D"/>
        </w:rPr>
      </w:pPr>
      <w:r>
        <w:rPr>
          <w:b/>
          <w:bCs/>
          <w:color w:val="00457D"/>
          <w:sz w:val="20"/>
          <w:szCs w:val="20"/>
        </w:rPr>
        <w:br w:type="page"/>
      </w:r>
      <w:r w:rsidR="00364D24" w:rsidRPr="000B1F77">
        <w:rPr>
          <w:b/>
          <w:bCs/>
          <w:color w:val="00457D"/>
        </w:rPr>
        <w:lastRenderedPageBreak/>
        <w:t xml:space="preserve">Figura 3. Servizi disponibili nei portali FSE regionali per Regione </w:t>
      </w:r>
      <w:r w:rsidR="00E84947" w:rsidRPr="000B1F77">
        <w:rPr>
          <w:b/>
          <w:bCs/>
          <w:color w:val="00457D"/>
        </w:rPr>
        <w:t>(</w:t>
      </w:r>
      <w:r w:rsidR="00E84947">
        <w:rPr>
          <w:b/>
          <w:bCs/>
          <w:color w:val="00457D"/>
        </w:rPr>
        <w:t>percentuale</w:t>
      </w:r>
      <w:r w:rsidR="00E84947" w:rsidRPr="000B1F77">
        <w:rPr>
          <w:b/>
          <w:bCs/>
          <w:color w:val="00457D"/>
        </w:rPr>
        <w:t xml:space="preserve"> </w:t>
      </w:r>
      <w:r w:rsidR="00364D24" w:rsidRPr="000B1F77">
        <w:rPr>
          <w:b/>
          <w:bCs/>
          <w:color w:val="00457D"/>
        </w:rPr>
        <w:t>sul totale)</w:t>
      </w:r>
    </w:p>
    <w:p w14:paraId="32DDD035" w14:textId="2D25100E" w:rsidR="00364D24" w:rsidRDefault="004F1BDE" w:rsidP="00364D24">
      <w:pPr>
        <w:jc w:val="center"/>
      </w:pPr>
      <w:r>
        <w:rPr>
          <w:noProof/>
        </w:rPr>
        <w:drawing>
          <wp:inline distT="0" distB="0" distL="0" distR="0" wp14:anchorId="5E67A053" wp14:editId="01E5C327">
            <wp:extent cx="5040000" cy="4128413"/>
            <wp:effectExtent l="0" t="0" r="8255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4128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95CF8" w14:textId="492E60DF" w:rsidR="00364D24" w:rsidRDefault="00364D24"/>
    <w:p w14:paraId="6AC05628" w14:textId="77777777" w:rsidR="00364D24" w:rsidRDefault="00364D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6FB621FC" w14:textId="6E891AA5" w:rsidR="00D74E23" w:rsidRPr="000B1F77" w:rsidRDefault="00D74E23" w:rsidP="00D74E23">
      <w:pPr>
        <w:jc w:val="center"/>
        <w:rPr>
          <w:sz w:val="24"/>
          <w:szCs w:val="24"/>
        </w:rPr>
      </w:pPr>
      <w:r w:rsidRPr="000B1F77">
        <w:rPr>
          <w:b/>
          <w:bCs/>
          <w:color w:val="00457D"/>
        </w:rPr>
        <w:lastRenderedPageBreak/>
        <w:t>Figura 4. Cittadini che hanno espresso il consenso alla consultazione dei propri documenti</w:t>
      </w:r>
      <w:r w:rsidR="00E84947">
        <w:rPr>
          <w:b/>
          <w:bCs/>
          <w:color w:val="00457D"/>
        </w:rPr>
        <w:t xml:space="preserve"> sul FSE</w:t>
      </w:r>
    </w:p>
    <w:p w14:paraId="4E45D5D0" w14:textId="310083A4" w:rsidR="00D74E23" w:rsidRDefault="006564A6" w:rsidP="005F26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color w:val="00457D"/>
          <w:sz w:val="20"/>
          <w:szCs w:val="20"/>
        </w:rPr>
      </w:pPr>
      <w:r>
        <w:rPr>
          <w:b/>
          <w:bCs/>
          <w:noProof/>
          <w:color w:val="00457D"/>
          <w:sz w:val="20"/>
          <w:szCs w:val="20"/>
        </w:rPr>
        <w:drawing>
          <wp:inline distT="0" distB="0" distL="0" distR="0" wp14:anchorId="1647C5DB" wp14:editId="7BC6E52B">
            <wp:extent cx="5760000" cy="5243276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243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211490" w14:textId="10F1D54A" w:rsidR="006564A6" w:rsidRDefault="006564A6" w:rsidP="00364D24">
      <w:pPr>
        <w:jc w:val="center"/>
        <w:rPr>
          <w:b/>
          <w:bCs/>
          <w:color w:val="00457D"/>
        </w:rPr>
      </w:pPr>
    </w:p>
    <w:p w14:paraId="0D39B9A3" w14:textId="60D8EC58" w:rsidR="00111174" w:rsidRDefault="00111174" w:rsidP="00364D24">
      <w:pPr>
        <w:jc w:val="center"/>
        <w:rPr>
          <w:b/>
          <w:bCs/>
          <w:color w:val="00457D"/>
        </w:rPr>
      </w:pPr>
    </w:p>
    <w:p w14:paraId="03286382" w14:textId="77777777" w:rsidR="00111174" w:rsidRDefault="00111174" w:rsidP="00364D24">
      <w:pPr>
        <w:jc w:val="center"/>
        <w:rPr>
          <w:b/>
          <w:bCs/>
          <w:color w:val="00457D"/>
        </w:rPr>
      </w:pPr>
    </w:p>
    <w:p w14:paraId="665F31B7" w14:textId="77777777" w:rsidR="00111174" w:rsidRDefault="00111174" w:rsidP="00364D24">
      <w:pPr>
        <w:jc w:val="center"/>
        <w:rPr>
          <w:b/>
          <w:bCs/>
          <w:color w:val="00457D"/>
        </w:rPr>
      </w:pPr>
    </w:p>
    <w:p w14:paraId="2FC020A3" w14:textId="77777777" w:rsidR="00111174" w:rsidRDefault="00111174" w:rsidP="00364D24">
      <w:pPr>
        <w:jc w:val="center"/>
        <w:rPr>
          <w:b/>
          <w:bCs/>
          <w:color w:val="00457D"/>
        </w:rPr>
      </w:pPr>
    </w:p>
    <w:p w14:paraId="31A90348" w14:textId="77777777" w:rsidR="00111174" w:rsidRDefault="00111174" w:rsidP="00364D24">
      <w:pPr>
        <w:jc w:val="center"/>
        <w:rPr>
          <w:b/>
          <w:bCs/>
          <w:color w:val="00457D"/>
        </w:rPr>
      </w:pPr>
    </w:p>
    <w:p w14:paraId="75C6273D" w14:textId="77777777" w:rsidR="00111174" w:rsidRDefault="00111174" w:rsidP="00364D24">
      <w:pPr>
        <w:jc w:val="center"/>
        <w:rPr>
          <w:b/>
          <w:bCs/>
          <w:color w:val="00457D"/>
        </w:rPr>
      </w:pPr>
    </w:p>
    <w:p w14:paraId="1650C662" w14:textId="77777777" w:rsidR="00111174" w:rsidRDefault="00111174" w:rsidP="00364D24">
      <w:pPr>
        <w:jc w:val="center"/>
        <w:rPr>
          <w:b/>
          <w:bCs/>
          <w:color w:val="00457D"/>
        </w:rPr>
      </w:pPr>
    </w:p>
    <w:p w14:paraId="66459E53" w14:textId="77777777" w:rsidR="00111174" w:rsidRDefault="00111174" w:rsidP="00364D24">
      <w:pPr>
        <w:jc w:val="center"/>
        <w:rPr>
          <w:b/>
          <w:bCs/>
          <w:color w:val="00457D"/>
        </w:rPr>
      </w:pPr>
    </w:p>
    <w:p w14:paraId="4A508062" w14:textId="77777777" w:rsidR="00111174" w:rsidRDefault="00111174" w:rsidP="00364D24">
      <w:pPr>
        <w:jc w:val="center"/>
        <w:rPr>
          <w:b/>
          <w:bCs/>
          <w:color w:val="00457D"/>
        </w:rPr>
      </w:pPr>
    </w:p>
    <w:p w14:paraId="51A1EBCD" w14:textId="77777777" w:rsidR="00111174" w:rsidRDefault="00111174" w:rsidP="00364D24">
      <w:pPr>
        <w:jc w:val="center"/>
        <w:rPr>
          <w:b/>
          <w:bCs/>
          <w:color w:val="00457D"/>
        </w:rPr>
      </w:pPr>
    </w:p>
    <w:p w14:paraId="696FF946" w14:textId="77777777" w:rsidR="00111174" w:rsidRDefault="00111174" w:rsidP="00364D24">
      <w:pPr>
        <w:jc w:val="center"/>
        <w:rPr>
          <w:b/>
          <w:bCs/>
          <w:color w:val="00457D"/>
        </w:rPr>
      </w:pPr>
    </w:p>
    <w:p w14:paraId="29AD6604" w14:textId="77777777" w:rsidR="00111174" w:rsidRDefault="00111174" w:rsidP="00364D24">
      <w:pPr>
        <w:jc w:val="center"/>
        <w:rPr>
          <w:b/>
          <w:bCs/>
          <w:color w:val="00457D"/>
        </w:rPr>
      </w:pPr>
    </w:p>
    <w:p w14:paraId="68286F51" w14:textId="07BAF09D" w:rsidR="00364D24" w:rsidRPr="000B1F77" w:rsidRDefault="00364D24" w:rsidP="00364D24">
      <w:pPr>
        <w:jc w:val="center"/>
        <w:rPr>
          <w:sz w:val="24"/>
          <w:szCs w:val="24"/>
        </w:rPr>
      </w:pPr>
      <w:r w:rsidRPr="000B1F77">
        <w:rPr>
          <w:b/>
          <w:bCs/>
          <w:color w:val="00457D"/>
        </w:rPr>
        <w:lastRenderedPageBreak/>
        <w:t xml:space="preserve">Figura </w:t>
      </w:r>
      <w:r w:rsidR="00D74E23" w:rsidRPr="000B1F77">
        <w:rPr>
          <w:b/>
          <w:bCs/>
          <w:color w:val="00457D"/>
        </w:rPr>
        <w:t>5</w:t>
      </w:r>
      <w:r w:rsidRPr="000B1F77">
        <w:rPr>
          <w:b/>
          <w:bCs/>
          <w:color w:val="00457D"/>
        </w:rPr>
        <w:t>. Cittadini che hanno utilizzato il F</w:t>
      </w:r>
      <w:r w:rsidR="000B1F77">
        <w:rPr>
          <w:b/>
          <w:bCs/>
          <w:color w:val="00457D"/>
        </w:rPr>
        <w:t>SE</w:t>
      </w:r>
      <w:r w:rsidRPr="000B1F77">
        <w:rPr>
          <w:b/>
          <w:bCs/>
          <w:color w:val="00457D"/>
        </w:rPr>
        <w:t xml:space="preserve"> nei 90 giorni precedenti alla data di rilevazione</w:t>
      </w:r>
    </w:p>
    <w:p w14:paraId="72435FB3" w14:textId="24366839" w:rsidR="00364D24" w:rsidRDefault="006564A6" w:rsidP="00364D24">
      <w:pPr>
        <w:jc w:val="center"/>
      </w:pPr>
      <w:r>
        <w:rPr>
          <w:noProof/>
        </w:rPr>
        <w:drawing>
          <wp:inline distT="0" distB="0" distL="0" distR="0" wp14:anchorId="6CA9EDD3" wp14:editId="5649092E">
            <wp:extent cx="5760000" cy="5243276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243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B37BC" w14:textId="11F983E8" w:rsidR="00DF45B6" w:rsidRDefault="00DF45B6"/>
    <w:p w14:paraId="3255FBBE" w14:textId="77777777" w:rsidR="00B3139F" w:rsidRDefault="00B313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27A776B3" w14:textId="77777777" w:rsidR="00B940E4" w:rsidRDefault="00B940E4" w:rsidP="00B3139F">
      <w:pPr>
        <w:jc w:val="center"/>
      </w:pPr>
    </w:p>
    <w:p w14:paraId="5E81803A" w14:textId="77777777" w:rsidR="00B940E4" w:rsidRDefault="00B940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29210AB0" w14:textId="77777777" w:rsidR="00B940E4" w:rsidRPr="000B1F77" w:rsidRDefault="00B940E4" w:rsidP="00B940E4">
      <w:pPr>
        <w:jc w:val="center"/>
        <w:rPr>
          <w:sz w:val="24"/>
          <w:szCs w:val="24"/>
        </w:rPr>
      </w:pPr>
      <w:r w:rsidRPr="000B1F77">
        <w:rPr>
          <w:b/>
          <w:bCs/>
          <w:color w:val="00457D"/>
        </w:rPr>
        <w:lastRenderedPageBreak/>
        <w:t xml:space="preserve">Figura 6. MMG e PLS che hanno effettuato almeno un'operazione sul </w:t>
      </w:r>
      <w:r w:rsidR="000B1F77">
        <w:rPr>
          <w:b/>
          <w:bCs/>
          <w:color w:val="00457D"/>
        </w:rPr>
        <w:t>FSE</w:t>
      </w:r>
      <w:r w:rsidRPr="000B1F77">
        <w:rPr>
          <w:b/>
          <w:bCs/>
          <w:color w:val="00457D"/>
        </w:rPr>
        <w:t xml:space="preserve"> nel periodo di riferimento</w:t>
      </w:r>
    </w:p>
    <w:p w14:paraId="73A3BEB4" w14:textId="76E14B3C" w:rsidR="00B940E4" w:rsidRDefault="006564A6" w:rsidP="00B3139F">
      <w:pPr>
        <w:jc w:val="center"/>
      </w:pPr>
      <w:r>
        <w:rPr>
          <w:noProof/>
        </w:rPr>
        <w:drawing>
          <wp:inline distT="0" distB="0" distL="0" distR="0" wp14:anchorId="6B41D1FD" wp14:editId="3C103D60">
            <wp:extent cx="5760000" cy="5243276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243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7E524" w14:textId="4E89DBDE" w:rsidR="00B940E4" w:rsidRDefault="00B940E4" w:rsidP="00B3139F">
      <w:pPr>
        <w:jc w:val="center"/>
      </w:pPr>
    </w:p>
    <w:p w14:paraId="547E89B1" w14:textId="77777777" w:rsidR="00B940E4" w:rsidRDefault="00B940E4" w:rsidP="00B3139F">
      <w:pPr>
        <w:jc w:val="center"/>
      </w:pPr>
    </w:p>
    <w:p w14:paraId="15752FA2" w14:textId="77777777" w:rsidR="00B940E4" w:rsidRDefault="00B940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br w:type="page"/>
      </w:r>
    </w:p>
    <w:p w14:paraId="4BB115A5" w14:textId="27A67DF1" w:rsidR="00B940E4" w:rsidRPr="000B1F77" w:rsidRDefault="00B940E4" w:rsidP="00B940E4">
      <w:pPr>
        <w:jc w:val="center"/>
        <w:rPr>
          <w:sz w:val="24"/>
          <w:szCs w:val="24"/>
        </w:rPr>
      </w:pPr>
      <w:r w:rsidRPr="000B1F77">
        <w:rPr>
          <w:b/>
          <w:bCs/>
          <w:color w:val="00457D"/>
        </w:rPr>
        <w:lastRenderedPageBreak/>
        <w:t xml:space="preserve">Figura 7. Medici specialisti delle </w:t>
      </w:r>
      <w:r w:rsidR="00041422">
        <w:rPr>
          <w:b/>
          <w:bCs/>
          <w:color w:val="00457D"/>
        </w:rPr>
        <w:t>A</w:t>
      </w:r>
      <w:r w:rsidR="00041422" w:rsidRPr="000B1F77">
        <w:rPr>
          <w:b/>
          <w:bCs/>
          <w:color w:val="00457D"/>
        </w:rPr>
        <w:t xml:space="preserve">ziende </w:t>
      </w:r>
      <w:r w:rsidRPr="000B1F77">
        <w:rPr>
          <w:b/>
          <w:bCs/>
          <w:color w:val="00457D"/>
        </w:rPr>
        <w:t>sanitarie abilitati al FSE</w:t>
      </w:r>
    </w:p>
    <w:p w14:paraId="639832D5" w14:textId="4C4670ED" w:rsidR="00B940E4" w:rsidRDefault="006564A6" w:rsidP="00B3139F">
      <w:pPr>
        <w:jc w:val="center"/>
      </w:pPr>
      <w:r>
        <w:rPr>
          <w:noProof/>
        </w:rPr>
        <w:drawing>
          <wp:inline distT="0" distB="0" distL="0" distR="0" wp14:anchorId="17E045C3" wp14:editId="45670CD0">
            <wp:extent cx="5760000" cy="5238281"/>
            <wp:effectExtent l="0" t="0" r="0" b="63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238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4"/>
    <w:p w14:paraId="60E2F1B0" w14:textId="3F6E005D" w:rsidR="00D74E23" w:rsidRDefault="00D74E23" w:rsidP="00B3139F">
      <w:pPr>
        <w:jc w:val="center"/>
      </w:pPr>
    </w:p>
    <w:sectPr w:rsidR="00D74E23" w:rsidSect="00111174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20B094" w16cex:dateUtc="2025-07-15T08:48:00Z"/>
  <w16cex:commentExtensible w16cex:durableId="2C20A78E" w16cex:dateUtc="2025-07-15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AF764C" w16cid:durableId="2C20B094"/>
  <w16cid:commentId w16cid:paraId="50F68DF5" w16cid:durableId="2C20A7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721F8" w14:textId="77777777" w:rsidR="00FD2C86" w:rsidRDefault="00FD2C86" w:rsidP="00F64EBB">
      <w:pPr>
        <w:spacing w:after="0" w:line="240" w:lineRule="auto"/>
      </w:pPr>
      <w:r>
        <w:separator/>
      </w:r>
    </w:p>
  </w:endnote>
  <w:endnote w:type="continuationSeparator" w:id="0">
    <w:p w14:paraId="11A06575" w14:textId="77777777" w:rsidR="00FD2C86" w:rsidRDefault="00FD2C86" w:rsidP="00F6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B796E" w14:textId="77777777" w:rsidR="00FD2C86" w:rsidRDefault="00FD2C86" w:rsidP="00F64EBB">
      <w:pPr>
        <w:spacing w:after="0" w:line="240" w:lineRule="auto"/>
      </w:pPr>
      <w:r>
        <w:separator/>
      </w:r>
    </w:p>
  </w:footnote>
  <w:footnote w:type="continuationSeparator" w:id="0">
    <w:p w14:paraId="122E10EF" w14:textId="77777777" w:rsidR="00FD2C86" w:rsidRDefault="00FD2C86" w:rsidP="00F64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30257"/>
    <w:multiLevelType w:val="multilevel"/>
    <w:tmpl w:val="EF58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C205A9"/>
    <w:multiLevelType w:val="multilevel"/>
    <w:tmpl w:val="B8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371B6"/>
    <w:multiLevelType w:val="hybridMultilevel"/>
    <w:tmpl w:val="29E47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E8"/>
    <w:rsid w:val="00021267"/>
    <w:rsid w:val="00041422"/>
    <w:rsid w:val="0004500F"/>
    <w:rsid w:val="0004653D"/>
    <w:rsid w:val="0005435D"/>
    <w:rsid w:val="00057810"/>
    <w:rsid w:val="00060694"/>
    <w:rsid w:val="000861AF"/>
    <w:rsid w:val="00096FEC"/>
    <w:rsid w:val="000B1222"/>
    <w:rsid w:val="000B1F77"/>
    <w:rsid w:val="000B3CC8"/>
    <w:rsid w:val="000D4812"/>
    <w:rsid w:val="000E6C40"/>
    <w:rsid w:val="000F263A"/>
    <w:rsid w:val="000F2807"/>
    <w:rsid w:val="000F2DAC"/>
    <w:rsid w:val="000F6E4B"/>
    <w:rsid w:val="00111174"/>
    <w:rsid w:val="00120040"/>
    <w:rsid w:val="00120916"/>
    <w:rsid w:val="00122E86"/>
    <w:rsid w:val="00133E7F"/>
    <w:rsid w:val="001401D8"/>
    <w:rsid w:val="00143FB9"/>
    <w:rsid w:val="0014788F"/>
    <w:rsid w:val="00183205"/>
    <w:rsid w:val="00196418"/>
    <w:rsid w:val="00197C53"/>
    <w:rsid w:val="001B1ABF"/>
    <w:rsid w:val="001B53B3"/>
    <w:rsid w:val="001C21B3"/>
    <w:rsid w:val="001E28B1"/>
    <w:rsid w:val="001E6DAC"/>
    <w:rsid w:val="001E7E10"/>
    <w:rsid w:val="001F2ACE"/>
    <w:rsid w:val="001F6991"/>
    <w:rsid w:val="00213B72"/>
    <w:rsid w:val="0021686D"/>
    <w:rsid w:val="00217FC1"/>
    <w:rsid w:val="00233DF1"/>
    <w:rsid w:val="00234770"/>
    <w:rsid w:val="002419BE"/>
    <w:rsid w:val="00255D3A"/>
    <w:rsid w:val="002628E5"/>
    <w:rsid w:val="00265FA7"/>
    <w:rsid w:val="002739EB"/>
    <w:rsid w:val="0027698D"/>
    <w:rsid w:val="0028260A"/>
    <w:rsid w:val="002A0BC7"/>
    <w:rsid w:val="002A7DDB"/>
    <w:rsid w:val="002C6B8D"/>
    <w:rsid w:val="002D02CD"/>
    <w:rsid w:val="002D2F4E"/>
    <w:rsid w:val="002E1658"/>
    <w:rsid w:val="002E52E2"/>
    <w:rsid w:val="002F17FD"/>
    <w:rsid w:val="002F2C8B"/>
    <w:rsid w:val="00321845"/>
    <w:rsid w:val="00333357"/>
    <w:rsid w:val="003372C5"/>
    <w:rsid w:val="00345735"/>
    <w:rsid w:val="00354A4A"/>
    <w:rsid w:val="003607CB"/>
    <w:rsid w:val="00363B92"/>
    <w:rsid w:val="00364D24"/>
    <w:rsid w:val="0037268D"/>
    <w:rsid w:val="00374712"/>
    <w:rsid w:val="0037556A"/>
    <w:rsid w:val="00375C42"/>
    <w:rsid w:val="0038396E"/>
    <w:rsid w:val="003908BD"/>
    <w:rsid w:val="0039250D"/>
    <w:rsid w:val="0039326E"/>
    <w:rsid w:val="003C2CE5"/>
    <w:rsid w:val="003C7AC2"/>
    <w:rsid w:val="003D5286"/>
    <w:rsid w:val="0041795A"/>
    <w:rsid w:val="004215CC"/>
    <w:rsid w:val="00435BB1"/>
    <w:rsid w:val="00443242"/>
    <w:rsid w:val="004455F9"/>
    <w:rsid w:val="004641CA"/>
    <w:rsid w:val="00464203"/>
    <w:rsid w:val="00474A6C"/>
    <w:rsid w:val="00487B2F"/>
    <w:rsid w:val="004A2D04"/>
    <w:rsid w:val="004A508A"/>
    <w:rsid w:val="004A64E8"/>
    <w:rsid w:val="004C189E"/>
    <w:rsid w:val="004C193B"/>
    <w:rsid w:val="004F1BDE"/>
    <w:rsid w:val="004F61CF"/>
    <w:rsid w:val="004F6471"/>
    <w:rsid w:val="005046FD"/>
    <w:rsid w:val="005102DE"/>
    <w:rsid w:val="005145DE"/>
    <w:rsid w:val="00527550"/>
    <w:rsid w:val="005422B3"/>
    <w:rsid w:val="0055426E"/>
    <w:rsid w:val="00554C31"/>
    <w:rsid w:val="00572DF4"/>
    <w:rsid w:val="00586D2B"/>
    <w:rsid w:val="005A2EBF"/>
    <w:rsid w:val="005A5FBC"/>
    <w:rsid w:val="005C590C"/>
    <w:rsid w:val="005E275A"/>
    <w:rsid w:val="005E77C7"/>
    <w:rsid w:val="005F2699"/>
    <w:rsid w:val="005F42DE"/>
    <w:rsid w:val="00601C9C"/>
    <w:rsid w:val="00604327"/>
    <w:rsid w:val="00626207"/>
    <w:rsid w:val="00641807"/>
    <w:rsid w:val="00654B80"/>
    <w:rsid w:val="006551E0"/>
    <w:rsid w:val="006564A6"/>
    <w:rsid w:val="00674728"/>
    <w:rsid w:val="0067696A"/>
    <w:rsid w:val="00692374"/>
    <w:rsid w:val="006937DD"/>
    <w:rsid w:val="006A26CA"/>
    <w:rsid w:val="006A3FEE"/>
    <w:rsid w:val="006A710C"/>
    <w:rsid w:val="006A7E7F"/>
    <w:rsid w:val="006B68D9"/>
    <w:rsid w:val="006C54F2"/>
    <w:rsid w:val="006E6CCF"/>
    <w:rsid w:val="006F0E9D"/>
    <w:rsid w:val="00704EFF"/>
    <w:rsid w:val="00706324"/>
    <w:rsid w:val="007155F8"/>
    <w:rsid w:val="0071652C"/>
    <w:rsid w:val="00725FBF"/>
    <w:rsid w:val="00732242"/>
    <w:rsid w:val="00733DBE"/>
    <w:rsid w:val="00747D79"/>
    <w:rsid w:val="00750FFF"/>
    <w:rsid w:val="007605E2"/>
    <w:rsid w:val="0077011E"/>
    <w:rsid w:val="00775E58"/>
    <w:rsid w:val="007863E8"/>
    <w:rsid w:val="00787D71"/>
    <w:rsid w:val="00792BDF"/>
    <w:rsid w:val="007A51FC"/>
    <w:rsid w:val="007B4E21"/>
    <w:rsid w:val="007B76B3"/>
    <w:rsid w:val="007C1518"/>
    <w:rsid w:val="007C3C69"/>
    <w:rsid w:val="007D3878"/>
    <w:rsid w:val="007E59CF"/>
    <w:rsid w:val="007E717D"/>
    <w:rsid w:val="007F0E20"/>
    <w:rsid w:val="007F6C51"/>
    <w:rsid w:val="007F7085"/>
    <w:rsid w:val="008014FE"/>
    <w:rsid w:val="00803144"/>
    <w:rsid w:val="00806EB6"/>
    <w:rsid w:val="00814016"/>
    <w:rsid w:val="008307FD"/>
    <w:rsid w:val="00861816"/>
    <w:rsid w:val="0086788B"/>
    <w:rsid w:val="00890119"/>
    <w:rsid w:val="00895555"/>
    <w:rsid w:val="008C1675"/>
    <w:rsid w:val="008C2F4D"/>
    <w:rsid w:val="008D3D75"/>
    <w:rsid w:val="008E0727"/>
    <w:rsid w:val="008E4F8A"/>
    <w:rsid w:val="008F37A0"/>
    <w:rsid w:val="00920AA8"/>
    <w:rsid w:val="009402FA"/>
    <w:rsid w:val="00950AC9"/>
    <w:rsid w:val="00954048"/>
    <w:rsid w:val="00956EDF"/>
    <w:rsid w:val="00961D66"/>
    <w:rsid w:val="00976B16"/>
    <w:rsid w:val="00980685"/>
    <w:rsid w:val="00994AAD"/>
    <w:rsid w:val="00997E18"/>
    <w:rsid w:val="009A251F"/>
    <w:rsid w:val="009A477D"/>
    <w:rsid w:val="009B2A99"/>
    <w:rsid w:val="009D325D"/>
    <w:rsid w:val="009E0F96"/>
    <w:rsid w:val="009E49F3"/>
    <w:rsid w:val="009E5551"/>
    <w:rsid w:val="009F0703"/>
    <w:rsid w:val="009F3182"/>
    <w:rsid w:val="009F6741"/>
    <w:rsid w:val="00A101B5"/>
    <w:rsid w:val="00A47331"/>
    <w:rsid w:val="00A476B4"/>
    <w:rsid w:val="00A671D3"/>
    <w:rsid w:val="00A8636C"/>
    <w:rsid w:val="00A94908"/>
    <w:rsid w:val="00A96488"/>
    <w:rsid w:val="00AA6354"/>
    <w:rsid w:val="00AB0D35"/>
    <w:rsid w:val="00AC53E4"/>
    <w:rsid w:val="00AD20FC"/>
    <w:rsid w:val="00AD2359"/>
    <w:rsid w:val="00AD782A"/>
    <w:rsid w:val="00AF3C75"/>
    <w:rsid w:val="00B02C95"/>
    <w:rsid w:val="00B15EC5"/>
    <w:rsid w:val="00B20FB6"/>
    <w:rsid w:val="00B27B11"/>
    <w:rsid w:val="00B3139F"/>
    <w:rsid w:val="00B31AF8"/>
    <w:rsid w:val="00B5522A"/>
    <w:rsid w:val="00B57BAB"/>
    <w:rsid w:val="00B66016"/>
    <w:rsid w:val="00B70346"/>
    <w:rsid w:val="00B733F6"/>
    <w:rsid w:val="00B77BF4"/>
    <w:rsid w:val="00B834AC"/>
    <w:rsid w:val="00B87C64"/>
    <w:rsid w:val="00B940E4"/>
    <w:rsid w:val="00B96132"/>
    <w:rsid w:val="00BA6F31"/>
    <w:rsid w:val="00BB0C96"/>
    <w:rsid w:val="00BB37BF"/>
    <w:rsid w:val="00BC31D1"/>
    <w:rsid w:val="00BC7B70"/>
    <w:rsid w:val="00BD7DF6"/>
    <w:rsid w:val="00BE1DAF"/>
    <w:rsid w:val="00BE6758"/>
    <w:rsid w:val="00C32118"/>
    <w:rsid w:val="00C720DE"/>
    <w:rsid w:val="00C726FB"/>
    <w:rsid w:val="00C8513B"/>
    <w:rsid w:val="00C93EBC"/>
    <w:rsid w:val="00CA2039"/>
    <w:rsid w:val="00CC782A"/>
    <w:rsid w:val="00CC7D24"/>
    <w:rsid w:val="00CD1B95"/>
    <w:rsid w:val="00CD7C22"/>
    <w:rsid w:val="00CF3A54"/>
    <w:rsid w:val="00CF4281"/>
    <w:rsid w:val="00CF6F45"/>
    <w:rsid w:val="00D260E8"/>
    <w:rsid w:val="00D27F12"/>
    <w:rsid w:val="00D42614"/>
    <w:rsid w:val="00D43894"/>
    <w:rsid w:val="00D47257"/>
    <w:rsid w:val="00D74E23"/>
    <w:rsid w:val="00D76D9F"/>
    <w:rsid w:val="00D8117D"/>
    <w:rsid w:val="00D83FC6"/>
    <w:rsid w:val="00D94DF5"/>
    <w:rsid w:val="00DE08B1"/>
    <w:rsid w:val="00DE2261"/>
    <w:rsid w:val="00DF4396"/>
    <w:rsid w:val="00DF45B6"/>
    <w:rsid w:val="00DF4874"/>
    <w:rsid w:val="00E0750C"/>
    <w:rsid w:val="00E2132B"/>
    <w:rsid w:val="00E31131"/>
    <w:rsid w:val="00E54045"/>
    <w:rsid w:val="00E54154"/>
    <w:rsid w:val="00E7474D"/>
    <w:rsid w:val="00E84947"/>
    <w:rsid w:val="00E919BF"/>
    <w:rsid w:val="00EA6836"/>
    <w:rsid w:val="00EB218E"/>
    <w:rsid w:val="00EC7EF5"/>
    <w:rsid w:val="00ED2E27"/>
    <w:rsid w:val="00ED313B"/>
    <w:rsid w:val="00ED4BFC"/>
    <w:rsid w:val="00EE0ACB"/>
    <w:rsid w:val="00EE5322"/>
    <w:rsid w:val="00EE5A23"/>
    <w:rsid w:val="00EF5301"/>
    <w:rsid w:val="00EF6B3F"/>
    <w:rsid w:val="00F04D93"/>
    <w:rsid w:val="00F0512B"/>
    <w:rsid w:val="00F1035D"/>
    <w:rsid w:val="00F10567"/>
    <w:rsid w:val="00F10AD2"/>
    <w:rsid w:val="00F118B7"/>
    <w:rsid w:val="00F30635"/>
    <w:rsid w:val="00F64EBB"/>
    <w:rsid w:val="00F735D7"/>
    <w:rsid w:val="00F75818"/>
    <w:rsid w:val="00F777E7"/>
    <w:rsid w:val="00F83F6A"/>
    <w:rsid w:val="00F8431E"/>
    <w:rsid w:val="00FA22DA"/>
    <w:rsid w:val="00FA3544"/>
    <w:rsid w:val="00FB7C1C"/>
    <w:rsid w:val="00FD1223"/>
    <w:rsid w:val="00FD1D80"/>
    <w:rsid w:val="00FD25DA"/>
    <w:rsid w:val="00FD2C86"/>
    <w:rsid w:val="00FD66B4"/>
    <w:rsid w:val="00FE6761"/>
    <w:rsid w:val="00FF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95C0"/>
  <w15:chartTrackingRefBased/>
  <w15:docId w15:val="{B8D015FD-03E2-4EDE-A86D-11760B53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A64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A64E8"/>
    <w:rPr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64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EBB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4E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EBB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A671D3"/>
    <w:rPr>
      <w:rFonts w:ascii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92B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2B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92BD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2B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2BDF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BDF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</w:rPr>
  </w:style>
  <w:style w:type="table" w:styleId="Grigliatabella">
    <w:name w:val="Table Grid"/>
    <w:basedOn w:val="Tabellanormale"/>
    <w:uiPriority w:val="39"/>
    <w:rsid w:val="0046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10567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styleId="Enfasigrassetto">
    <w:name w:val="Strong"/>
    <w:basedOn w:val="Carpredefinitoparagrafo"/>
    <w:uiPriority w:val="22"/>
    <w:qFormat/>
    <w:rsid w:val="00E84947"/>
    <w:rPr>
      <w:b/>
      <w:bCs/>
    </w:rPr>
  </w:style>
  <w:style w:type="paragraph" w:styleId="Paragrafoelenco">
    <w:name w:val="List Paragraph"/>
    <w:basedOn w:val="Normale"/>
    <w:uiPriority w:val="34"/>
    <w:qFormat/>
    <w:rsid w:val="00AD2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pen.fse.salute.gov.it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A969-942A-445E-97E2-094FA41C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2837</TotalTime>
  <Pages>12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Luceri</dc:creator>
  <cp:keywords/>
  <dc:description/>
  <cp:lastModifiedBy>Roberto Luceri</cp:lastModifiedBy>
  <cp:revision>65</cp:revision>
  <cp:lastPrinted>2025-07-15T07:22:00Z</cp:lastPrinted>
  <dcterms:created xsi:type="dcterms:W3CDTF">2025-07-10T10:55:00Z</dcterms:created>
  <dcterms:modified xsi:type="dcterms:W3CDTF">2025-07-15T09:44:00Z</dcterms:modified>
</cp:coreProperties>
</file>