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F9A2D" w14:textId="77777777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GoBack"/>
      <w:bookmarkEnd w:id="0"/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45DAAAB5" w14:textId="2C4A0B66" w:rsidR="00A14F7E" w:rsidRDefault="00E90AFB" w:rsidP="00A14F7E">
      <w:pPr>
        <w:jc w:val="center"/>
        <w:rPr>
          <w:b/>
        </w:rPr>
      </w:pPr>
      <w:r>
        <w:rPr>
          <w:b/>
          <w:bCs/>
          <w:sz w:val="32"/>
          <w:szCs w:val="30"/>
        </w:rPr>
        <w:t xml:space="preserve">MANOVRA 2019: ALLA SANITÀ OLTRE 4,5 MILIARDI DI EURO IN TRE ANNI, MA SOLO 1 NEL 2019 E NIENTE RISORSE DEDICATE AL PERSONALE </w:t>
      </w:r>
    </w:p>
    <w:p w14:paraId="70D3ACFB" w14:textId="3ADA360C" w:rsidR="00097CF1" w:rsidRDefault="00E90AFB" w:rsidP="004303BA">
      <w:pPr>
        <w:jc w:val="both"/>
        <w:rPr>
          <w:b/>
        </w:rPr>
      </w:pPr>
      <w:r>
        <w:rPr>
          <w:b/>
        </w:rPr>
        <w:t>ANALISI GIMBE DELLA LEGGE DI BILANCIO: IN SANITÀ IL GOVERNO SEMBRA CALARE L’ASSO MA 3,5 MILIARDI SARANNO SUL PIATTO SOLO NEL 2020-2021 E CONDIZIONATI DALLE ARDITE PREVISIONI DI CRESCITA. BENE SU BORSE DI STUDIO PER SPECIALISTI E MEDICI DI FAMIGLIA, OLTRE CHE SULLA GOVERNANCE DELLE LISTE DI ATTESA. MA PER FESTEGGIARE DEGNAMENTE I 40 ANNI DEL SERVIZIO SANITARIO NAZIONALE LA MANOVRA DOVREBBE DESTINARE INTERAMENTE IL MILIARDO GIÀ PREVISTO AI RINNOVI CONTRATTUALI ANTICIPANDO AL 2019 ALMENO 1 MILIARDO PER SDOGANARE I NUOVI LEA, ELIMINARE IL SUPERTICKET ED AVVIARE UN GRADUALE SBLOCCO DEL TURNOVER DEL PERSONALE, A RISCHIO EMORRAGIA CAUSA “QUOTA 100”.</w:t>
      </w:r>
    </w:p>
    <w:p w14:paraId="03A0011D" w14:textId="77777777" w:rsidR="005B4F61" w:rsidRDefault="00651735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31</w:t>
      </w:r>
      <w:r w:rsidR="00DE6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C62367">
        <w:rPr>
          <w:rFonts w:ascii="Calibri" w:eastAsia="Calibri" w:hAnsi="Calibri" w:cs="Times New Roman"/>
          <w:b/>
          <w:bCs/>
          <w:sz w:val="24"/>
          <w:szCs w:val="24"/>
        </w:rPr>
        <w:t xml:space="preserve">ottobre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97373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815D4F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2C57669D" w14:textId="77777777" w:rsidR="00FF4002" w:rsidRDefault="003D0249" w:rsidP="00FF4002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="001A3B01">
        <w:rPr>
          <w:rFonts w:cstheme="minorHAnsi"/>
        </w:rPr>
        <w:t xml:space="preserve">l testo </w:t>
      </w:r>
      <w:r w:rsidR="00FF4002">
        <w:rPr>
          <w:rFonts w:cstheme="minorHAnsi"/>
        </w:rPr>
        <w:t xml:space="preserve">della Legge di Bilancio 2019 </w:t>
      </w:r>
      <w:r>
        <w:rPr>
          <w:rFonts w:cstheme="minorHAnsi"/>
        </w:rPr>
        <w:t>inviato</w:t>
      </w:r>
      <w:r w:rsidR="00FF4002">
        <w:rPr>
          <w:rFonts w:cstheme="minorHAnsi"/>
        </w:rPr>
        <w:t xml:space="preserve"> alle Camere per la discussione parlamentare</w:t>
      </w:r>
      <w:r>
        <w:rPr>
          <w:rFonts w:cstheme="minorHAnsi"/>
        </w:rPr>
        <w:t xml:space="preserve"> si presenta</w:t>
      </w:r>
      <w:r w:rsidR="003F7BE5">
        <w:rPr>
          <w:rFonts w:cstheme="minorHAnsi"/>
        </w:rPr>
        <w:t xml:space="preserve"> </w:t>
      </w:r>
      <w:r>
        <w:rPr>
          <w:rFonts w:cstheme="minorHAnsi"/>
        </w:rPr>
        <w:t xml:space="preserve">con </w:t>
      </w:r>
      <w:r w:rsidR="00FF4002">
        <w:rPr>
          <w:rFonts w:cstheme="minorHAnsi"/>
        </w:rPr>
        <w:t>buone nuove per la sanità pubblica: aumento del fondo sanitario nazionale di € 3,5 miliardi che si aggiungono al miliardo già</w:t>
      </w:r>
      <w:r w:rsidR="0023095C">
        <w:rPr>
          <w:rFonts w:cstheme="minorHAnsi"/>
        </w:rPr>
        <w:t xml:space="preserve"> stanziato</w:t>
      </w:r>
      <w:r w:rsidR="00FF4002">
        <w:rPr>
          <w:rFonts w:cstheme="minorHAnsi"/>
        </w:rPr>
        <w:t xml:space="preserve"> dalla precedente </w:t>
      </w:r>
      <w:r w:rsidR="00DE78AB">
        <w:rPr>
          <w:rFonts w:cstheme="minorHAnsi"/>
        </w:rPr>
        <w:t>l</w:t>
      </w:r>
      <w:r w:rsidR="00FF4002">
        <w:rPr>
          <w:rFonts w:cstheme="minorHAnsi"/>
        </w:rPr>
        <w:t xml:space="preserve">egislatura, fondi dedicati alla governance delle liste di attesa ed alle borse di studio per specializzandi e futuri medici di famiglia, </w:t>
      </w:r>
      <w:r>
        <w:rPr>
          <w:rFonts w:cstheme="minorHAnsi"/>
        </w:rPr>
        <w:t xml:space="preserve">oltre ad un </w:t>
      </w:r>
      <w:r w:rsidR="00FF4002">
        <w:rPr>
          <w:rFonts w:cstheme="minorHAnsi"/>
        </w:rPr>
        <w:t xml:space="preserve">incremento di € 2 miliardi </w:t>
      </w:r>
      <w:r>
        <w:rPr>
          <w:rFonts w:cstheme="minorHAnsi"/>
        </w:rPr>
        <w:t>destinati al</w:t>
      </w:r>
      <w:r w:rsidR="00FF4002" w:rsidRPr="00902199">
        <w:rPr>
          <w:rFonts w:cstheme="minorHAnsi"/>
        </w:rPr>
        <w:t xml:space="preserve"> programma di ristrutturazione edilizia </w:t>
      </w:r>
      <w:r w:rsidR="00FF4002">
        <w:rPr>
          <w:rFonts w:cstheme="minorHAnsi"/>
        </w:rPr>
        <w:t>e</w:t>
      </w:r>
      <w:r w:rsidR="00FF4002" w:rsidRPr="00902199">
        <w:rPr>
          <w:rFonts w:cstheme="minorHAnsi"/>
        </w:rPr>
        <w:t xml:space="preserve"> ammodernamento tecnologico</w:t>
      </w:r>
      <w:r w:rsidR="00FF4002">
        <w:rPr>
          <w:rFonts w:cstheme="minorHAnsi"/>
        </w:rPr>
        <w:t>.</w:t>
      </w:r>
    </w:p>
    <w:p w14:paraId="30086DE7" w14:textId="77777777" w:rsidR="00FF4002" w:rsidRPr="0046020B" w:rsidRDefault="00FF4002" w:rsidP="00FF4002">
      <w:pPr>
        <w:jc w:val="both"/>
        <w:rPr>
          <w:rFonts w:cstheme="minorHAnsi"/>
        </w:rPr>
      </w:pPr>
      <w:r w:rsidRPr="0046020B">
        <w:rPr>
          <w:rFonts w:cstheme="minorHAnsi"/>
        </w:rPr>
        <w:t>«</w:t>
      </w:r>
      <w:r>
        <w:rPr>
          <w:rFonts w:cstheme="minorHAnsi"/>
        </w:rPr>
        <w:t xml:space="preserve">Le nostre stime </w:t>
      </w:r>
      <w:r w:rsidRPr="0046020B">
        <w:rPr>
          <w:rFonts w:cstheme="minorHAnsi"/>
        </w:rPr>
        <w:t>– afferma Nino Cartabellotta, Presidente della Fondazione GIMBE –</w:t>
      </w:r>
      <w:r>
        <w:rPr>
          <w:rFonts w:cstheme="minorHAnsi"/>
        </w:rPr>
        <w:t xml:space="preserve"> avevano valutato in circa 4 miliardi di euro il fabbisogno per coprire </w:t>
      </w:r>
      <w:r w:rsidR="0023095C">
        <w:rPr>
          <w:rFonts w:cstheme="minorHAnsi"/>
        </w:rPr>
        <w:t xml:space="preserve">le </w:t>
      </w:r>
      <w:r>
        <w:rPr>
          <w:rFonts w:cstheme="minorHAnsi"/>
        </w:rPr>
        <w:t xml:space="preserve">inderogabili </w:t>
      </w:r>
      <w:r w:rsidR="003D0249">
        <w:rPr>
          <w:rFonts w:cstheme="minorHAnsi"/>
        </w:rPr>
        <w:t>necessità della sanità pubblica.</w:t>
      </w:r>
      <w:r>
        <w:rPr>
          <w:rFonts w:cstheme="minorHAnsi"/>
        </w:rPr>
        <w:t xml:space="preserve"> </w:t>
      </w:r>
      <w:r w:rsidR="0023095C">
        <w:rPr>
          <w:rFonts w:cstheme="minorHAnsi"/>
        </w:rPr>
        <w:t>Secondo i</w:t>
      </w:r>
      <w:r>
        <w:rPr>
          <w:rFonts w:cstheme="minorHAnsi"/>
        </w:rPr>
        <w:t>l</w:t>
      </w:r>
      <w:r w:rsidR="003D0249">
        <w:rPr>
          <w:rFonts w:cstheme="minorHAnsi"/>
        </w:rPr>
        <w:t xml:space="preserve"> testo </w:t>
      </w:r>
      <w:r>
        <w:rPr>
          <w:rFonts w:cstheme="minorHAnsi"/>
        </w:rPr>
        <w:t xml:space="preserve">della </w:t>
      </w:r>
      <w:r w:rsidR="00DE78AB">
        <w:rPr>
          <w:rFonts w:cstheme="minorHAnsi"/>
        </w:rPr>
        <w:t>manovra</w:t>
      </w:r>
      <w:r>
        <w:rPr>
          <w:rFonts w:cstheme="minorHAnsi"/>
        </w:rPr>
        <w:t xml:space="preserve">, dunque, i numeri sembrano esserci, visto che l’incremento </w:t>
      </w:r>
      <w:r w:rsidR="003D0249">
        <w:rPr>
          <w:rFonts w:cstheme="minorHAnsi"/>
        </w:rPr>
        <w:t xml:space="preserve">complessivo </w:t>
      </w:r>
      <w:r>
        <w:rPr>
          <w:rFonts w:cstheme="minorHAnsi"/>
        </w:rPr>
        <w:t xml:space="preserve">del fondo sanitario nazionale </w:t>
      </w:r>
      <w:r w:rsidR="00DE78AB">
        <w:rPr>
          <w:rFonts w:cstheme="minorHAnsi"/>
        </w:rPr>
        <w:t xml:space="preserve">nel triennio </w:t>
      </w:r>
      <w:r>
        <w:rPr>
          <w:rFonts w:cstheme="minorHAnsi"/>
        </w:rPr>
        <w:t>è di € 4,5 miliardi, oltre a</w:t>
      </w:r>
      <w:r w:rsidR="003D0249">
        <w:rPr>
          <w:rFonts w:cstheme="minorHAnsi"/>
        </w:rPr>
        <w:t xml:space="preserve">lle </w:t>
      </w:r>
      <w:r>
        <w:rPr>
          <w:rFonts w:cstheme="minorHAnsi"/>
        </w:rPr>
        <w:t>risorse finalizzate</w:t>
      </w:r>
      <w:r w:rsidR="003D0249">
        <w:rPr>
          <w:rFonts w:cstheme="minorHAnsi"/>
        </w:rPr>
        <w:t>. Tuttavia, nonostante la rilevanza dei bisogni attuali (rinnovi contrattuali, sblocco del turnover, eliminazione superticket, sblocco nuovi LEA), i € 3,5 miliardi che il Governo giallo-verde mette sul piatto della sanità sono utilizzabili solo dal 2020</w:t>
      </w:r>
      <w:r w:rsidR="0059501A">
        <w:rPr>
          <w:rFonts w:cstheme="minorHAnsi"/>
        </w:rPr>
        <w:t xml:space="preserve"> e inevitabilmente legati alla crescita economica attesa</w:t>
      </w:r>
      <w:r w:rsidR="00232ACF">
        <w:rPr>
          <w:rFonts w:cstheme="minorHAnsi"/>
        </w:rPr>
        <w:t xml:space="preserve">, </w:t>
      </w:r>
      <w:r w:rsidR="00D2380D">
        <w:rPr>
          <w:rFonts w:cstheme="minorHAnsi"/>
        </w:rPr>
        <w:t xml:space="preserve">proprio </w:t>
      </w:r>
      <w:r w:rsidR="00D377EE">
        <w:rPr>
          <w:rFonts w:cstheme="minorHAnsi"/>
        </w:rPr>
        <w:t xml:space="preserve">nel momento in cui </w:t>
      </w:r>
      <w:r w:rsidR="00232ACF">
        <w:rPr>
          <w:rFonts w:cstheme="minorHAnsi"/>
        </w:rPr>
        <w:t xml:space="preserve">l’ISTAT certifica </w:t>
      </w:r>
      <w:r w:rsidR="00510653">
        <w:rPr>
          <w:rFonts w:cstheme="minorHAnsi"/>
        </w:rPr>
        <w:t xml:space="preserve">lo </w:t>
      </w:r>
      <w:r w:rsidR="00232ACF">
        <w:rPr>
          <w:rFonts w:cstheme="minorHAnsi"/>
        </w:rPr>
        <w:t>stop del PIL nel terzo trimestre del 2018</w:t>
      </w:r>
      <w:r w:rsidR="00D2380D">
        <w:rPr>
          <w:rFonts w:cstheme="minorHAnsi"/>
        </w:rPr>
        <w:t xml:space="preserve"> e la </w:t>
      </w:r>
      <w:r w:rsidR="00D2380D" w:rsidRPr="00D2380D">
        <w:rPr>
          <w:rFonts w:cstheme="minorHAnsi"/>
        </w:rPr>
        <w:t>Commissione europea invia</w:t>
      </w:r>
      <w:r w:rsidR="00D2380D">
        <w:rPr>
          <w:rFonts w:cstheme="minorHAnsi"/>
        </w:rPr>
        <w:t xml:space="preserve"> un’ulteriore</w:t>
      </w:r>
      <w:r w:rsidR="00D2380D" w:rsidRPr="00D2380D">
        <w:rPr>
          <w:rFonts w:cstheme="minorHAnsi"/>
        </w:rPr>
        <w:t xml:space="preserve"> </w:t>
      </w:r>
      <w:r w:rsidR="00D2380D">
        <w:rPr>
          <w:rFonts w:cstheme="minorHAnsi"/>
        </w:rPr>
        <w:t>richiesta di chiarimenti sulla manovra 2019</w:t>
      </w:r>
      <w:r w:rsidRPr="0046020B">
        <w:rPr>
          <w:rFonts w:cstheme="minorHAnsi"/>
        </w:rPr>
        <w:t xml:space="preserve">». </w:t>
      </w:r>
    </w:p>
    <w:p w14:paraId="4E6CFABA" w14:textId="77777777" w:rsidR="00097C59" w:rsidRDefault="00510653" w:rsidP="003C4D0F">
      <w:pPr>
        <w:jc w:val="both"/>
        <w:rPr>
          <w:rFonts w:cstheme="minorHAnsi"/>
        </w:rPr>
      </w:pPr>
      <w:r>
        <w:rPr>
          <w:rFonts w:cstheme="minorHAnsi"/>
        </w:rPr>
        <w:t xml:space="preserve">Al fine di </w:t>
      </w:r>
      <w:r w:rsidR="00DE78AB">
        <w:rPr>
          <w:rFonts w:cstheme="minorHAnsi"/>
        </w:rPr>
        <w:t>favorire il</w:t>
      </w:r>
      <w:r w:rsidR="002D6AD0">
        <w:rPr>
          <w:rFonts w:cstheme="minorHAnsi"/>
        </w:rPr>
        <w:t xml:space="preserve"> </w:t>
      </w:r>
      <w:r w:rsidR="00651735">
        <w:rPr>
          <w:rFonts w:cstheme="minorHAnsi"/>
        </w:rPr>
        <w:t>dibattito parlamentare, oltre che il confronto</w:t>
      </w:r>
      <w:r w:rsidR="002D6AD0">
        <w:rPr>
          <w:rFonts w:cstheme="minorHAnsi"/>
        </w:rPr>
        <w:t xml:space="preserve"> </w:t>
      </w:r>
      <w:r w:rsidR="00A14F7E">
        <w:rPr>
          <w:rFonts w:cstheme="minorHAnsi"/>
        </w:rPr>
        <w:t>tra Governo e Regioni</w:t>
      </w:r>
      <w:r w:rsidR="002D6AD0">
        <w:rPr>
          <w:rFonts w:cstheme="minorHAnsi"/>
        </w:rPr>
        <w:t xml:space="preserve">, la Fondazione GIMBE ha </w:t>
      </w:r>
      <w:r w:rsidR="00DE78AB">
        <w:rPr>
          <w:rFonts w:cstheme="minorHAnsi"/>
        </w:rPr>
        <w:t xml:space="preserve">realizzato </w:t>
      </w:r>
      <w:r w:rsidR="00651735">
        <w:rPr>
          <w:rFonts w:cstheme="minorHAnsi"/>
        </w:rPr>
        <w:t>un’analisi indipendente delle risorse previste per la sanità nella Legge di Bilancio</w:t>
      </w:r>
      <w:r w:rsidR="00651735" w:rsidRPr="003D066E">
        <w:rPr>
          <w:rFonts w:cstheme="minorHAnsi"/>
          <w:color w:val="FF0000"/>
        </w:rPr>
        <w:t xml:space="preserve"> </w:t>
      </w:r>
      <w:r w:rsidR="00651735" w:rsidRPr="003D0249">
        <w:rPr>
          <w:rFonts w:cstheme="minorHAnsi"/>
        </w:rPr>
        <w:t>2019</w:t>
      </w:r>
      <w:r w:rsidR="008727DE">
        <w:rPr>
          <w:rFonts w:cstheme="minorHAnsi"/>
        </w:rPr>
        <w:t>.</w:t>
      </w:r>
    </w:p>
    <w:p w14:paraId="45DB9A2C" w14:textId="77777777" w:rsidR="00494AD0" w:rsidRPr="00AF6FE5" w:rsidRDefault="00494AD0" w:rsidP="003C4D0F">
      <w:r>
        <w:rPr>
          <w:b/>
        </w:rPr>
        <w:t>F</w:t>
      </w:r>
      <w:r w:rsidR="00AC6B32">
        <w:rPr>
          <w:b/>
        </w:rPr>
        <w:t>abbisogno sanitario nazionale standard 2019-2021</w:t>
      </w:r>
      <w:r>
        <w:t xml:space="preserve">. </w:t>
      </w:r>
      <w:r w:rsidR="003D0249">
        <w:t>Confermato</w:t>
      </w:r>
      <w:r w:rsidR="000538D8">
        <w:t xml:space="preserve"> il miliardo già assegnato </w:t>
      </w:r>
      <w:r w:rsidR="00FF4002">
        <w:t xml:space="preserve">per il 2019 </w:t>
      </w:r>
      <w:r w:rsidR="00553BAD">
        <w:t xml:space="preserve">dalla precedente legislatura e </w:t>
      </w:r>
      <w:r w:rsidR="000538D8">
        <w:t>previsto un aumento di € 2 miliardi nel 2020 e di € 1,5 miliardi nel 2021</w:t>
      </w:r>
      <w:r w:rsidR="00B01C25">
        <w:t xml:space="preserve">, per un </w:t>
      </w:r>
      <w:r w:rsidR="00510653">
        <w:t xml:space="preserve">incremento </w:t>
      </w:r>
      <w:r w:rsidR="00B01C25">
        <w:t>complessivo di € 4,5 miliardi nel triennio. Le risorse</w:t>
      </w:r>
      <w:r w:rsidR="00AF6FE5">
        <w:t xml:space="preserve"> assegnate</w:t>
      </w:r>
      <w:r w:rsidR="00B01C25">
        <w:t xml:space="preserve"> per il 2020 e per il 2021 sono subordinate alla stipula</w:t>
      </w:r>
      <w:r w:rsidR="00B01C25" w:rsidRPr="00B01C25">
        <w:t xml:space="preserve">, entro il 31 gennaio 2019, di una Intesa </w:t>
      </w:r>
      <w:r w:rsidR="00B01C25">
        <w:t xml:space="preserve">Stato-Regioni </w:t>
      </w:r>
      <w:r w:rsidR="00B01C25" w:rsidRPr="00B01C25">
        <w:t xml:space="preserve">per il Patto per la </w:t>
      </w:r>
      <w:r w:rsidR="00B01C25">
        <w:t>S</w:t>
      </w:r>
      <w:r w:rsidR="00B01C25" w:rsidRPr="00B01C25">
        <w:t xml:space="preserve">alute 2019-2021 che contempli </w:t>
      </w:r>
      <w:r w:rsidR="00AF6FE5">
        <w:t xml:space="preserve">varie </w:t>
      </w:r>
      <w:r w:rsidR="008173BE">
        <w:t>“</w:t>
      </w:r>
      <w:r w:rsidR="00B01C25" w:rsidRPr="00B01C25">
        <w:t>misure di programmazione e di miglioramento della qualità delle cure e dei servizi erogati e di efficientamento dei costi</w:t>
      </w:r>
      <w:r w:rsidR="008173BE">
        <w:t>”</w:t>
      </w:r>
      <w:r w:rsidR="00B01C25" w:rsidRPr="00B01C25">
        <w:t>.</w:t>
      </w:r>
      <w:r w:rsidR="008173BE">
        <w:t xml:space="preserve"> </w:t>
      </w:r>
      <w:r w:rsidR="008173BE" w:rsidRPr="008173BE">
        <w:t>«</w:t>
      </w:r>
      <w:r w:rsidR="00553BAD">
        <w:t>T</w:t>
      </w:r>
      <w:r w:rsidR="008F3893">
        <w:t xml:space="preserve">utte le </w:t>
      </w:r>
      <w:r w:rsidR="008173BE">
        <w:t>misure</w:t>
      </w:r>
      <w:r w:rsidR="0089511B">
        <w:t xml:space="preserve"> </w:t>
      </w:r>
      <w:r w:rsidR="008F3893">
        <w:t xml:space="preserve">previste </w:t>
      </w:r>
      <w:r w:rsidR="00553BAD" w:rsidRPr="008173BE">
        <w:t xml:space="preserve">– </w:t>
      </w:r>
      <w:r w:rsidR="00553BAD">
        <w:t xml:space="preserve">puntualizza Cartabellotta </w:t>
      </w:r>
      <w:r w:rsidR="00553BAD" w:rsidRPr="008173BE">
        <w:t>–</w:t>
      </w:r>
      <w:r w:rsidR="00553BAD">
        <w:t xml:space="preserve"> so</w:t>
      </w:r>
      <w:r w:rsidR="008173BE">
        <w:t>no ampiamente condivisibili</w:t>
      </w:r>
      <w:r w:rsidR="00553BAD">
        <w:t>,</w:t>
      </w:r>
      <w:r w:rsidR="008173BE">
        <w:t xml:space="preserve"> </w:t>
      </w:r>
      <w:r w:rsidR="00553BAD">
        <w:t xml:space="preserve">ma </w:t>
      </w:r>
      <w:r w:rsidR="0089511B">
        <w:t xml:space="preserve">la deadline al 31 gennaio è </w:t>
      </w:r>
      <w:r w:rsidR="00FF4002">
        <w:t>illusoria</w:t>
      </w:r>
      <w:r w:rsidR="0089511B">
        <w:t xml:space="preserve">, visto che la stesura del nuovo Patto per la Salute difficilmente potrà essere avviata prima dell’approvazione della Legge di Bilancio e che i tempi per le consultazioni sono </w:t>
      </w:r>
      <w:r w:rsidR="00510653">
        <w:t>risicati</w:t>
      </w:r>
      <w:r w:rsidR="00FF4002">
        <w:t xml:space="preserve">. </w:t>
      </w:r>
      <w:r w:rsidR="00510653">
        <w:t xml:space="preserve">Ecco perché </w:t>
      </w:r>
      <w:r w:rsidR="00107509">
        <w:t xml:space="preserve">il Parlamento dovrebbe </w:t>
      </w:r>
      <w:r w:rsidR="00510653">
        <w:t xml:space="preserve">prorogare la </w:t>
      </w:r>
      <w:r w:rsidR="00FF4002">
        <w:t xml:space="preserve">scadenza </w:t>
      </w:r>
      <w:r w:rsidR="00510653">
        <w:t>almeno al 31 marzo</w:t>
      </w:r>
      <w:r w:rsidR="008173BE" w:rsidRPr="008173BE">
        <w:t>».</w:t>
      </w:r>
    </w:p>
    <w:p w14:paraId="14B65358" w14:textId="77777777" w:rsidR="008173BE" w:rsidRDefault="00AC6B32" w:rsidP="003C4D0F">
      <w:r>
        <w:t>Oltre all’incremento del f</w:t>
      </w:r>
      <w:r w:rsidRPr="00AC6B32">
        <w:t>abbisogno sanitario nazionale standard 2019-2021</w:t>
      </w:r>
      <w:r>
        <w:t>, la Legge di Bilancio prevede risorse finalizzate a specifici obiettivi</w:t>
      </w:r>
      <w:r w:rsidR="00493265">
        <w:t>:</w:t>
      </w:r>
    </w:p>
    <w:p w14:paraId="31A803C7" w14:textId="77777777" w:rsidR="00154A3B" w:rsidRDefault="00AC6B32" w:rsidP="00154A3B">
      <w:pPr>
        <w:pStyle w:val="Paragrafoelenco"/>
        <w:numPr>
          <w:ilvl w:val="0"/>
          <w:numId w:val="33"/>
        </w:numPr>
        <w:spacing w:line="276" w:lineRule="auto"/>
      </w:pPr>
      <w:r w:rsidRPr="00AC6B32">
        <w:rPr>
          <w:b/>
        </w:rPr>
        <w:lastRenderedPageBreak/>
        <w:t>Riduzione dei tempi di attesa delle prestazioni sanitarie</w:t>
      </w:r>
      <w:r>
        <w:t xml:space="preserve">. </w:t>
      </w:r>
      <w:r w:rsidR="00107509">
        <w:t>P</w:t>
      </w:r>
      <w:r w:rsidR="00493265">
        <w:t xml:space="preserve">er </w:t>
      </w:r>
      <w:r w:rsidR="00107509">
        <w:t>l’</w:t>
      </w:r>
      <w:r w:rsidR="00154A3B" w:rsidRPr="00154A3B">
        <w:rPr>
          <w:rFonts w:cstheme="minorHAnsi"/>
        </w:rPr>
        <w:t>implementazione e</w:t>
      </w:r>
      <w:r w:rsidR="007B418A">
        <w:rPr>
          <w:rFonts w:cstheme="minorHAnsi"/>
        </w:rPr>
        <w:t xml:space="preserve"> </w:t>
      </w:r>
      <w:r w:rsidR="00107509">
        <w:rPr>
          <w:rFonts w:cstheme="minorHAnsi"/>
        </w:rPr>
        <w:t>l’</w:t>
      </w:r>
      <w:r w:rsidR="00154A3B" w:rsidRPr="00154A3B">
        <w:rPr>
          <w:rFonts w:cstheme="minorHAnsi"/>
        </w:rPr>
        <w:t>ammodernamento delle infrastrutture tecnologiche legate ai sist</w:t>
      </w:r>
      <w:r w:rsidR="00154A3B">
        <w:rPr>
          <w:rFonts w:cstheme="minorHAnsi"/>
        </w:rPr>
        <w:t>emi di prenotazione elettronica</w:t>
      </w:r>
      <w:r w:rsidR="00107509">
        <w:rPr>
          <w:rFonts w:cstheme="minorHAnsi"/>
        </w:rPr>
        <w:t xml:space="preserve"> </w:t>
      </w:r>
      <w:r w:rsidR="002A6B66">
        <w:rPr>
          <w:rFonts w:cstheme="minorHAnsi"/>
        </w:rPr>
        <w:t xml:space="preserve">sono stati </w:t>
      </w:r>
      <w:r w:rsidR="00107509">
        <w:rPr>
          <w:rFonts w:cstheme="minorHAnsi"/>
        </w:rPr>
        <w:t xml:space="preserve">stanziati </w:t>
      </w:r>
      <w:r w:rsidR="00107509">
        <w:t xml:space="preserve">nel triennio € 150 milioni, il cui </w:t>
      </w:r>
      <w:r w:rsidR="007B418A">
        <w:rPr>
          <w:rFonts w:cstheme="minorHAnsi"/>
        </w:rPr>
        <w:t>r</w:t>
      </w:r>
      <w:r w:rsidR="00154A3B">
        <w:rPr>
          <w:rFonts w:cstheme="minorHAnsi"/>
        </w:rPr>
        <w:t xml:space="preserve">iparto </w:t>
      </w:r>
      <w:r w:rsidR="001A3B01">
        <w:rPr>
          <w:rFonts w:cstheme="minorHAnsi"/>
        </w:rPr>
        <w:t xml:space="preserve">è </w:t>
      </w:r>
      <w:r w:rsidR="00154A3B">
        <w:rPr>
          <w:rFonts w:cstheme="minorHAnsi"/>
        </w:rPr>
        <w:t>subordinato a</w:t>
      </w:r>
      <w:r w:rsidR="001A3B01">
        <w:rPr>
          <w:rFonts w:cstheme="minorHAnsi"/>
        </w:rPr>
        <w:t xml:space="preserve"> un decreto</w:t>
      </w:r>
      <w:r w:rsidR="00154A3B">
        <w:rPr>
          <w:rFonts w:cstheme="minorHAnsi"/>
        </w:rPr>
        <w:t xml:space="preserve"> </w:t>
      </w:r>
      <w:r w:rsidR="001A3B01">
        <w:rPr>
          <w:rFonts w:cstheme="minorHAnsi"/>
        </w:rPr>
        <w:t xml:space="preserve">ministeriale </w:t>
      </w:r>
      <w:r w:rsidR="00154A3B">
        <w:rPr>
          <w:rFonts w:cstheme="minorHAnsi"/>
        </w:rPr>
        <w:t xml:space="preserve">previa Intesa Stato-Regioni. </w:t>
      </w:r>
      <w:r w:rsidR="00154A3B" w:rsidRPr="008173BE">
        <w:t>«</w:t>
      </w:r>
      <w:r w:rsidR="00493265">
        <w:t xml:space="preserve">È </w:t>
      </w:r>
      <w:r w:rsidR="00154A3B">
        <w:t xml:space="preserve">positivo </w:t>
      </w:r>
      <w:r w:rsidR="00154A3B" w:rsidRPr="008173BE">
        <w:t xml:space="preserve">– </w:t>
      </w:r>
      <w:r w:rsidR="00154A3B">
        <w:t>commenta</w:t>
      </w:r>
      <w:r w:rsidR="00154A3B" w:rsidRPr="008173BE">
        <w:t xml:space="preserve"> </w:t>
      </w:r>
      <w:r w:rsidR="00154A3B">
        <w:t xml:space="preserve">il Presidente </w:t>
      </w:r>
      <w:r w:rsidR="00154A3B" w:rsidRPr="008173BE">
        <w:t>–</w:t>
      </w:r>
      <w:r w:rsidR="00154A3B">
        <w:t xml:space="preserve"> che le risorse siano destinate alle infrastrutture tecnologiche e informatiche</w:t>
      </w:r>
      <w:r w:rsidR="001A3B01">
        <w:t xml:space="preserve"> per migliorare il processo di governance delle liste d’attese e non all’aumento </w:t>
      </w:r>
      <w:r w:rsidR="00107509">
        <w:t xml:space="preserve">indiscriminato </w:t>
      </w:r>
      <w:r w:rsidR="001A3B01">
        <w:t>dell’offerta</w:t>
      </w:r>
      <w:r w:rsidR="00107509">
        <w:t xml:space="preserve"> di prestazioni</w:t>
      </w:r>
      <w:r w:rsidR="00154A3B">
        <w:t xml:space="preserve">. </w:t>
      </w:r>
      <w:r w:rsidR="00DE78AB">
        <w:t>Tuttavia è</w:t>
      </w:r>
      <w:r w:rsidR="00107509">
        <w:t xml:space="preserve"> fondamentale che </w:t>
      </w:r>
      <w:r w:rsidR="002A6B66">
        <w:t xml:space="preserve">le modalità di riparto </w:t>
      </w:r>
      <w:r w:rsidR="001D4BA6">
        <w:t>ten</w:t>
      </w:r>
      <w:r w:rsidR="00107509">
        <w:t>ga</w:t>
      </w:r>
      <w:r w:rsidR="002A6B66">
        <w:t>no</w:t>
      </w:r>
      <w:r w:rsidR="00107509">
        <w:t xml:space="preserve"> </w:t>
      </w:r>
      <w:r w:rsidR="001D4BA6">
        <w:t>conto delle</w:t>
      </w:r>
      <w:r w:rsidR="00154A3B">
        <w:t xml:space="preserve"> </w:t>
      </w:r>
      <w:r w:rsidR="00553BAD">
        <w:t xml:space="preserve">attuali </w:t>
      </w:r>
      <w:r w:rsidR="00154A3B">
        <w:t xml:space="preserve">differenze regionali </w:t>
      </w:r>
      <w:r w:rsidR="00107509">
        <w:t xml:space="preserve">in termini di </w:t>
      </w:r>
      <w:r w:rsidR="007B418A">
        <w:t>infrastrutture tecnologiche disponibili</w:t>
      </w:r>
      <w:r w:rsidR="00154A3B" w:rsidRPr="008173BE">
        <w:t>».</w:t>
      </w:r>
    </w:p>
    <w:p w14:paraId="15A5B499" w14:textId="77777777" w:rsidR="00154A3B" w:rsidRPr="002235D5" w:rsidRDefault="00891316" w:rsidP="002235D5">
      <w:pPr>
        <w:pStyle w:val="Paragrafoelenco"/>
        <w:numPr>
          <w:ilvl w:val="0"/>
          <w:numId w:val="33"/>
        </w:numPr>
        <w:spacing w:line="276" w:lineRule="auto"/>
        <w:rPr>
          <w:rFonts w:cstheme="minorHAnsi"/>
        </w:rPr>
      </w:pPr>
      <w:r w:rsidRPr="00891316">
        <w:rPr>
          <w:b/>
        </w:rPr>
        <w:t>Borse di studio</w:t>
      </w:r>
      <w:r>
        <w:t xml:space="preserve">. Per quelle destinate al corso di formazione specifica in Medicina generale </w:t>
      </w:r>
      <w:r w:rsidR="00553BAD">
        <w:t xml:space="preserve">stanziati </w:t>
      </w:r>
      <w:r w:rsidR="00D93D3D">
        <w:t>€ 10 milioni</w:t>
      </w:r>
      <w:r>
        <w:t xml:space="preserve"> a decorrere dal 2019</w:t>
      </w:r>
      <w:r w:rsidR="00D93D3D">
        <w:t xml:space="preserve"> che garantisc</w:t>
      </w:r>
      <w:r w:rsidR="00553BAD">
        <w:t xml:space="preserve">ono </w:t>
      </w:r>
      <w:r w:rsidR="00D93D3D">
        <w:t>ogni anno</w:t>
      </w:r>
      <w:r w:rsidR="003D066E">
        <w:t xml:space="preserve"> circa</w:t>
      </w:r>
      <w:r w:rsidR="001C1EF5">
        <w:t xml:space="preserve"> </w:t>
      </w:r>
      <w:r w:rsidR="003D066E" w:rsidRPr="0023095C">
        <w:t>300</w:t>
      </w:r>
      <w:r w:rsidR="00D93D3D" w:rsidRPr="0023095C">
        <w:t xml:space="preserve"> </w:t>
      </w:r>
      <w:r w:rsidR="00D93D3D">
        <w:t>borse aggiuntive</w:t>
      </w:r>
      <w:r>
        <w:t xml:space="preserve">. </w:t>
      </w:r>
      <w:r w:rsidR="00491A38">
        <w:t xml:space="preserve">Per </w:t>
      </w:r>
      <w:r w:rsidR="00D93D3D">
        <w:t xml:space="preserve">le </w:t>
      </w:r>
      <w:r w:rsidR="00491A38">
        <w:t xml:space="preserve">scuole di specializzazione </w:t>
      </w:r>
      <w:r w:rsidR="002235D5">
        <w:t xml:space="preserve">previsto un </w:t>
      </w:r>
      <w:r w:rsidR="001D4BA6">
        <w:t xml:space="preserve">graduale </w:t>
      </w:r>
      <w:r w:rsidR="002235D5">
        <w:t>incremento di risorse</w:t>
      </w:r>
      <w:r w:rsidR="00E43BF0">
        <w:t xml:space="preserve"> </w:t>
      </w:r>
      <w:r w:rsidR="002A6B66">
        <w:t xml:space="preserve">per </w:t>
      </w:r>
      <w:r w:rsidR="00E43BF0">
        <w:t xml:space="preserve">finanziare circa </w:t>
      </w:r>
      <w:r w:rsidR="00E43BF0" w:rsidRPr="0023095C">
        <w:t xml:space="preserve">2.700 </w:t>
      </w:r>
      <w:r w:rsidR="00E43BF0">
        <w:t>borse di studio</w:t>
      </w:r>
      <w:r w:rsidR="002235D5">
        <w:t xml:space="preserve">: € </w:t>
      </w:r>
      <w:r w:rsidR="002235D5" w:rsidRPr="002235D5">
        <w:t xml:space="preserve">22,5 milioni per il 2019, </w:t>
      </w:r>
      <w:r w:rsidR="002235D5">
        <w:t xml:space="preserve">€ </w:t>
      </w:r>
      <w:r w:rsidR="002235D5" w:rsidRPr="002235D5">
        <w:t>45</w:t>
      </w:r>
      <w:r w:rsidR="00DE78AB">
        <w:t xml:space="preserve"> milioni</w:t>
      </w:r>
      <w:r w:rsidR="002235D5" w:rsidRPr="002235D5">
        <w:t xml:space="preserve"> per il 2020, </w:t>
      </w:r>
      <w:r w:rsidR="002235D5">
        <w:t xml:space="preserve">€ </w:t>
      </w:r>
      <w:r w:rsidR="002235D5" w:rsidRPr="002235D5">
        <w:t>68,4</w:t>
      </w:r>
      <w:r w:rsidR="00DE78AB">
        <w:t xml:space="preserve"> milioni</w:t>
      </w:r>
      <w:r w:rsidR="002235D5" w:rsidRPr="002235D5">
        <w:t xml:space="preserve"> per il 2021</w:t>
      </w:r>
      <w:r w:rsidR="002235D5">
        <w:t>,</w:t>
      </w:r>
      <w:r w:rsidR="001C1EF5">
        <w:t xml:space="preserve"> </w:t>
      </w:r>
      <w:r w:rsidR="002235D5">
        <w:t xml:space="preserve">€ </w:t>
      </w:r>
      <w:r w:rsidR="002235D5" w:rsidRPr="002235D5">
        <w:t xml:space="preserve">91,8 </w:t>
      </w:r>
      <w:r w:rsidR="00DE78AB">
        <w:t xml:space="preserve">milioni </w:t>
      </w:r>
      <w:r w:rsidR="002235D5" w:rsidRPr="002235D5">
        <w:t xml:space="preserve">per il 2022 e </w:t>
      </w:r>
      <w:r w:rsidR="002235D5">
        <w:t xml:space="preserve">€ </w:t>
      </w:r>
      <w:r w:rsidR="002235D5" w:rsidRPr="002235D5">
        <w:t>100 milioni a decorrere dall</w:t>
      </w:r>
      <w:r w:rsidR="001D4BA6">
        <w:t>’</w:t>
      </w:r>
      <w:r w:rsidR="002235D5" w:rsidRPr="002235D5">
        <w:t>anno 2023.</w:t>
      </w:r>
      <w:r w:rsidR="002235D5">
        <w:t xml:space="preserve"> </w:t>
      </w:r>
      <w:r w:rsidR="002235D5" w:rsidRPr="008173BE">
        <w:t>«</w:t>
      </w:r>
      <w:r w:rsidR="00E43BF0">
        <w:t xml:space="preserve">Intervento </w:t>
      </w:r>
      <w:r w:rsidR="00107509">
        <w:t xml:space="preserve">di grande rilevanza </w:t>
      </w:r>
      <w:r w:rsidR="002235D5" w:rsidRPr="008173BE">
        <w:t xml:space="preserve">– </w:t>
      </w:r>
      <w:r w:rsidR="002235D5">
        <w:t xml:space="preserve">commenta Cartabellotta </w:t>
      </w:r>
      <w:r w:rsidR="002235D5" w:rsidRPr="008173BE">
        <w:t>–</w:t>
      </w:r>
      <w:r w:rsidR="00107509">
        <w:t xml:space="preserve"> </w:t>
      </w:r>
      <w:r w:rsidR="00E43BF0">
        <w:t xml:space="preserve">per </w:t>
      </w:r>
      <w:r w:rsidR="002235D5">
        <w:t xml:space="preserve">ridurre </w:t>
      </w:r>
      <w:r w:rsidR="00427374">
        <w:t xml:space="preserve">gradualmente </w:t>
      </w:r>
      <w:r w:rsidR="002235D5">
        <w:t>l’attuale i</w:t>
      </w:r>
      <w:r w:rsidR="00D93D3D">
        <w:t>mbuto formativo</w:t>
      </w:r>
      <w:r w:rsidR="00107509">
        <w:t xml:space="preserve"> e ringiovanire il capitale umano; </w:t>
      </w:r>
      <w:r w:rsidR="00DE78AB">
        <w:t xml:space="preserve">tuttavia, per recuperare preziose risorse, rimane </w:t>
      </w:r>
      <w:r w:rsidR="00107509">
        <w:t>indispensabile</w:t>
      </w:r>
      <w:r w:rsidR="00DE78AB">
        <w:t xml:space="preserve"> </w:t>
      </w:r>
      <w:r w:rsidR="00E43BF0">
        <w:t>pr</w:t>
      </w:r>
      <w:r w:rsidR="00107509">
        <w:t xml:space="preserve">endere </w:t>
      </w:r>
      <w:r w:rsidR="002235D5">
        <w:t>atto del fe</w:t>
      </w:r>
      <w:r w:rsidR="00553BAD">
        <w:t>nomeno delle “borse perdute”</w:t>
      </w:r>
      <w:r w:rsidR="002235D5" w:rsidRPr="008173BE">
        <w:t>».</w:t>
      </w:r>
    </w:p>
    <w:p w14:paraId="110E1A1E" w14:textId="77777777" w:rsidR="002235D5" w:rsidRPr="0021093E" w:rsidRDefault="0021093E" w:rsidP="003D066E">
      <w:pPr>
        <w:pStyle w:val="Paragrafoelenco"/>
        <w:numPr>
          <w:ilvl w:val="0"/>
          <w:numId w:val="33"/>
        </w:numPr>
        <w:spacing w:line="276" w:lineRule="auto"/>
        <w:rPr>
          <w:rFonts w:cstheme="minorHAnsi"/>
          <w:b/>
        </w:rPr>
      </w:pPr>
      <w:r w:rsidRPr="0021093E">
        <w:rPr>
          <w:rFonts w:cstheme="minorHAnsi"/>
          <w:b/>
        </w:rPr>
        <w:t>Rinnovo contrattuale 2019-2021</w:t>
      </w:r>
      <w:r>
        <w:rPr>
          <w:rFonts w:cstheme="minorHAnsi"/>
        </w:rPr>
        <w:t xml:space="preserve">. </w:t>
      </w:r>
      <w:r w:rsidRPr="0021093E">
        <w:rPr>
          <w:rFonts w:cstheme="minorHAnsi"/>
        </w:rPr>
        <w:t xml:space="preserve">Per il personale dipendente </w:t>
      </w:r>
      <w:r>
        <w:rPr>
          <w:rFonts w:cstheme="minorHAnsi"/>
        </w:rPr>
        <w:t xml:space="preserve">e convenzionato </w:t>
      </w:r>
      <w:r w:rsidRPr="0021093E">
        <w:rPr>
          <w:rFonts w:cstheme="minorHAnsi"/>
        </w:rPr>
        <w:t>gli oneri per i rinnovi contrattuali, nonché quelli derivanti dalla corresponsione dei miglioramenti economici al personale</w:t>
      </w:r>
      <w:r w:rsidR="00493265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21093E">
        <w:rPr>
          <w:rFonts w:cstheme="minorHAnsi"/>
        </w:rPr>
        <w:t>sono posti a carico dei bilanci</w:t>
      </w:r>
      <w:r w:rsidR="00493265">
        <w:rPr>
          <w:rFonts w:cstheme="minorHAnsi"/>
        </w:rPr>
        <w:t xml:space="preserve"> regionali</w:t>
      </w:r>
      <w:r>
        <w:rPr>
          <w:rFonts w:cstheme="minorHAnsi"/>
        </w:rPr>
        <w:t xml:space="preserve">. </w:t>
      </w:r>
      <w:r w:rsidRPr="008173BE">
        <w:t>«</w:t>
      </w:r>
      <w:r>
        <w:t xml:space="preserve">Traducendo il politichese </w:t>
      </w:r>
      <w:r w:rsidRPr="008173BE">
        <w:t xml:space="preserve">– </w:t>
      </w:r>
      <w:r>
        <w:t xml:space="preserve">puntualizza il Presidente </w:t>
      </w:r>
      <w:r w:rsidRPr="008173BE">
        <w:t>–</w:t>
      </w:r>
      <w:r w:rsidR="00553BAD">
        <w:t xml:space="preserve"> il personale sanitario </w:t>
      </w:r>
      <w:r w:rsidR="00873B7C">
        <w:t>rimane</w:t>
      </w:r>
      <w:r w:rsidR="00DD55DA">
        <w:t xml:space="preserve"> tagliato</w:t>
      </w:r>
      <w:r w:rsidR="00873B7C">
        <w:t xml:space="preserve"> </w:t>
      </w:r>
      <w:r w:rsidR="00553BAD">
        <w:t>fuori da</w:t>
      </w:r>
      <w:r w:rsidR="003D066E">
        <w:t xml:space="preserve">i </w:t>
      </w:r>
      <w:r w:rsidR="002A6B66">
        <w:t xml:space="preserve">fondi stanziati per i </w:t>
      </w:r>
      <w:r w:rsidR="003D066E">
        <w:t>rinnovi contrattuali 2019-2021</w:t>
      </w:r>
      <w:r w:rsidR="00873B7C">
        <w:t xml:space="preserve"> e in assenza di </w:t>
      </w:r>
      <w:r w:rsidR="003D066E">
        <w:t xml:space="preserve">risorse dedicate le Regioni </w:t>
      </w:r>
      <w:r w:rsidR="00873B7C">
        <w:t xml:space="preserve">devono reperirle dal </w:t>
      </w:r>
      <w:r w:rsidR="003D066E">
        <w:t>fondo sanitario</w:t>
      </w:r>
      <w:r w:rsidRPr="008173BE">
        <w:t>».</w:t>
      </w:r>
    </w:p>
    <w:p w14:paraId="650C9DC7" w14:textId="77777777" w:rsidR="0021093E" w:rsidRDefault="0021093E" w:rsidP="003C4D0F">
      <w:pPr>
        <w:pStyle w:val="Paragrafoelenco"/>
        <w:numPr>
          <w:ilvl w:val="0"/>
          <w:numId w:val="33"/>
        </w:numPr>
        <w:spacing w:line="276" w:lineRule="auto"/>
        <w:rPr>
          <w:rFonts w:cstheme="minorHAnsi"/>
        </w:rPr>
      </w:pPr>
      <w:r w:rsidRPr="00851A60">
        <w:rPr>
          <w:rFonts w:cstheme="minorHAnsi"/>
          <w:b/>
        </w:rPr>
        <w:t>Finanziamento dei programmi di edilizia sanitaria</w:t>
      </w:r>
      <w:r w:rsidRPr="00851A60">
        <w:rPr>
          <w:rFonts w:cstheme="minorHAnsi"/>
        </w:rPr>
        <w:t>. Viene aumentato di € 2 miliardi l’importo destinato al programma pluriennale di interventi in materia di ristrutturazione edilizia e di ammodernamento tecnologico</w:t>
      </w:r>
      <w:r w:rsidR="00851A60" w:rsidRPr="00851A60">
        <w:rPr>
          <w:rFonts w:cstheme="minorHAnsi"/>
        </w:rPr>
        <w:t xml:space="preserve">, </w:t>
      </w:r>
      <w:r w:rsidR="00851A60">
        <w:rPr>
          <w:rFonts w:cstheme="minorHAnsi"/>
        </w:rPr>
        <w:t xml:space="preserve">seppur totalmente “a spese” </w:t>
      </w:r>
      <w:r w:rsidR="00851A60" w:rsidRPr="00851A60">
        <w:rPr>
          <w:rFonts w:cstheme="minorHAnsi"/>
        </w:rPr>
        <w:t>del Fondo investimenti enti territoriali</w:t>
      </w:r>
      <w:r w:rsidR="00851A60">
        <w:rPr>
          <w:rFonts w:cstheme="minorHAnsi"/>
        </w:rPr>
        <w:t>.</w:t>
      </w:r>
    </w:p>
    <w:p w14:paraId="300DD3EE" w14:textId="77777777" w:rsidR="00427374" w:rsidRDefault="00427374" w:rsidP="00427374">
      <w:pPr>
        <w:rPr>
          <w:rFonts w:cstheme="minorHAnsi"/>
        </w:rPr>
      </w:pPr>
    </w:p>
    <w:p w14:paraId="1D8815DF" w14:textId="77777777" w:rsidR="00427374" w:rsidRDefault="00DD55DA" w:rsidP="00427374">
      <w:pPr>
        <w:rPr>
          <w:rFonts w:cstheme="minorHAnsi"/>
        </w:rPr>
      </w:pPr>
      <w:r>
        <w:rPr>
          <w:rFonts w:cstheme="minorHAnsi"/>
          <w:b/>
        </w:rPr>
        <w:t>I g</w:t>
      </w:r>
      <w:r w:rsidR="00361C15">
        <w:rPr>
          <w:rFonts w:cstheme="minorHAnsi"/>
          <w:b/>
        </w:rPr>
        <w:t>randi assenti</w:t>
      </w:r>
      <w:r w:rsidR="00361C15">
        <w:rPr>
          <w:rFonts w:cstheme="minorHAnsi"/>
        </w:rPr>
        <w:t xml:space="preserve">. </w:t>
      </w:r>
      <w:r w:rsidR="00BA4B60">
        <w:rPr>
          <w:rFonts w:cstheme="minorHAnsi"/>
        </w:rPr>
        <w:t>Restano f</w:t>
      </w:r>
      <w:r w:rsidR="00361C15">
        <w:rPr>
          <w:rFonts w:cstheme="minorHAnsi"/>
        </w:rPr>
        <w:t>uori dalla manovra alcune indifferibili priorità</w:t>
      </w:r>
      <w:r w:rsidR="00C13B3E">
        <w:rPr>
          <w:rFonts w:cstheme="minorHAnsi"/>
        </w:rPr>
        <w:t xml:space="preserve"> per evitare il collasso del</w:t>
      </w:r>
      <w:r w:rsidR="0023095C">
        <w:rPr>
          <w:rFonts w:cstheme="minorHAnsi"/>
        </w:rPr>
        <w:t>la sanità</w:t>
      </w:r>
      <w:r w:rsidR="00C13B3E">
        <w:rPr>
          <w:rFonts w:cstheme="minorHAnsi"/>
        </w:rPr>
        <w:t xml:space="preserve">. </w:t>
      </w:r>
    </w:p>
    <w:p w14:paraId="08BBDFA3" w14:textId="77777777" w:rsidR="00361C15" w:rsidRPr="00361C15" w:rsidRDefault="00361C15" w:rsidP="003331C0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  <w:b/>
        </w:rPr>
      </w:pPr>
      <w:r w:rsidRPr="00361C15">
        <w:rPr>
          <w:rFonts w:cstheme="minorHAnsi"/>
          <w:b/>
        </w:rPr>
        <w:t>Rinnovi contrattuali</w:t>
      </w:r>
      <w:r>
        <w:rPr>
          <w:rFonts w:cstheme="minorHAnsi"/>
        </w:rPr>
        <w:t xml:space="preserve">. </w:t>
      </w:r>
      <w:r w:rsidR="00BA4B60">
        <w:rPr>
          <w:rFonts w:cstheme="minorHAnsi"/>
        </w:rPr>
        <w:t xml:space="preserve">Contrariamente </w:t>
      </w:r>
      <w:r w:rsidR="005404B8">
        <w:rPr>
          <w:rFonts w:cstheme="minorHAnsi"/>
        </w:rPr>
        <w:t xml:space="preserve">a </w:t>
      </w:r>
      <w:r w:rsidR="00FC7BAC">
        <w:rPr>
          <w:rFonts w:cstheme="minorHAnsi"/>
        </w:rPr>
        <w:t>quanto dichiarato dal</w:t>
      </w:r>
      <w:r w:rsidR="003331C0">
        <w:rPr>
          <w:rFonts w:cstheme="minorHAnsi"/>
        </w:rPr>
        <w:t xml:space="preserve"> </w:t>
      </w:r>
      <w:r w:rsidR="00571963">
        <w:rPr>
          <w:rFonts w:cstheme="minorHAnsi"/>
        </w:rPr>
        <w:t>sottosegretario</w:t>
      </w:r>
      <w:r>
        <w:rPr>
          <w:rFonts w:cstheme="minorHAnsi"/>
        </w:rPr>
        <w:t xml:space="preserve"> Garavaglia</w:t>
      </w:r>
      <w:r w:rsidR="00FC7BAC">
        <w:rPr>
          <w:rFonts w:cstheme="minorHAnsi"/>
        </w:rPr>
        <w:t xml:space="preserve">, </w:t>
      </w:r>
      <w:r w:rsidR="005404B8">
        <w:rPr>
          <w:rFonts w:cstheme="minorHAnsi"/>
        </w:rPr>
        <w:t xml:space="preserve">nessuna </w:t>
      </w:r>
      <w:r w:rsidR="005404B8" w:rsidRPr="003D066E">
        <w:rPr>
          <w:rFonts w:cstheme="minorHAnsi"/>
        </w:rPr>
        <w:t xml:space="preserve">conferma </w:t>
      </w:r>
      <w:r w:rsidR="00FC7BAC">
        <w:rPr>
          <w:rFonts w:cstheme="minorHAnsi"/>
        </w:rPr>
        <w:t xml:space="preserve">che </w:t>
      </w:r>
      <w:r>
        <w:rPr>
          <w:rFonts w:cstheme="minorHAnsi"/>
        </w:rPr>
        <w:t xml:space="preserve">il miliardo di </w:t>
      </w:r>
      <w:r w:rsidR="005404B8">
        <w:rPr>
          <w:rFonts w:cstheme="minorHAnsi"/>
        </w:rPr>
        <w:t xml:space="preserve">aumento </w:t>
      </w:r>
      <w:r>
        <w:rPr>
          <w:rFonts w:cstheme="minorHAnsi"/>
        </w:rPr>
        <w:t xml:space="preserve">del fondo sanitario 2019 </w:t>
      </w:r>
      <w:r w:rsidR="00FC7BAC">
        <w:rPr>
          <w:rFonts w:cstheme="minorHAnsi"/>
        </w:rPr>
        <w:t>sar</w:t>
      </w:r>
      <w:r w:rsidR="005404B8">
        <w:rPr>
          <w:rFonts w:cstheme="minorHAnsi"/>
        </w:rPr>
        <w:t xml:space="preserve">à </w:t>
      </w:r>
      <w:r>
        <w:rPr>
          <w:rFonts w:cstheme="minorHAnsi"/>
        </w:rPr>
        <w:t>inter</w:t>
      </w:r>
      <w:r w:rsidR="003331C0">
        <w:rPr>
          <w:rFonts w:cstheme="minorHAnsi"/>
        </w:rPr>
        <w:t xml:space="preserve">amente </w:t>
      </w:r>
      <w:r w:rsidR="00FC7BAC">
        <w:rPr>
          <w:rFonts w:cstheme="minorHAnsi"/>
        </w:rPr>
        <w:t xml:space="preserve">destinato </w:t>
      </w:r>
      <w:r w:rsidR="003331C0">
        <w:rPr>
          <w:rFonts w:cstheme="minorHAnsi"/>
        </w:rPr>
        <w:t xml:space="preserve">ai rinnovi </w:t>
      </w:r>
      <w:r w:rsidR="003331C0" w:rsidRPr="003D066E">
        <w:rPr>
          <w:rFonts w:cstheme="minorHAnsi"/>
        </w:rPr>
        <w:t>contrattuali</w:t>
      </w:r>
      <w:r w:rsidR="00FC7BAC">
        <w:rPr>
          <w:rFonts w:cstheme="minorHAnsi"/>
        </w:rPr>
        <w:t>.</w:t>
      </w:r>
      <w:r w:rsidR="00C13B3E" w:rsidRPr="003D066E">
        <w:rPr>
          <w:rFonts w:cstheme="minorHAnsi"/>
        </w:rPr>
        <w:t xml:space="preserve"> </w:t>
      </w:r>
    </w:p>
    <w:p w14:paraId="2A7F189A" w14:textId="77777777" w:rsidR="00361C15" w:rsidRDefault="00361C15" w:rsidP="00361C15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 w:rsidRPr="00A90870">
        <w:rPr>
          <w:rFonts w:cstheme="minorHAnsi"/>
          <w:b/>
        </w:rPr>
        <w:t>Sblocco turnover</w:t>
      </w:r>
      <w:r w:rsidRPr="00A90870">
        <w:rPr>
          <w:rFonts w:cstheme="minorHAnsi"/>
        </w:rPr>
        <w:t xml:space="preserve">. </w:t>
      </w:r>
      <w:r w:rsidR="00A8540D">
        <w:rPr>
          <w:rFonts w:cstheme="minorHAnsi"/>
        </w:rPr>
        <w:t>Nonostante la verosimile “emorragia” di professionisti dal SSN conseguente all’applicazione della “quota 100”, n</w:t>
      </w:r>
      <w:r>
        <w:rPr>
          <w:rFonts w:cstheme="minorHAnsi"/>
        </w:rPr>
        <w:t xml:space="preserve">essun riferimento alla </w:t>
      </w:r>
      <w:r w:rsidRPr="00A90870">
        <w:rPr>
          <w:rFonts w:cstheme="minorHAnsi"/>
        </w:rPr>
        <w:t>rimozione del</w:t>
      </w:r>
      <w:r>
        <w:rPr>
          <w:rFonts w:cstheme="minorHAnsi"/>
        </w:rPr>
        <w:t xml:space="preserve"> vincolo</w:t>
      </w:r>
      <w:r w:rsidRPr="00A90870">
        <w:rPr>
          <w:rFonts w:cstheme="minorHAnsi"/>
        </w:rPr>
        <w:t xml:space="preserve"> di spesa</w:t>
      </w:r>
      <w:r>
        <w:rPr>
          <w:rFonts w:cstheme="minorHAnsi"/>
        </w:rPr>
        <w:t>.</w:t>
      </w:r>
    </w:p>
    <w:p w14:paraId="68DFA21C" w14:textId="77777777" w:rsidR="00361C15" w:rsidRDefault="00361C15" w:rsidP="00361C15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Nuovi LEA</w:t>
      </w:r>
      <w:r>
        <w:rPr>
          <w:rFonts w:cstheme="minorHAnsi"/>
        </w:rPr>
        <w:t xml:space="preserve">. </w:t>
      </w:r>
      <w:r w:rsidR="00A8540D">
        <w:rPr>
          <w:rFonts w:cstheme="minorHAnsi"/>
        </w:rPr>
        <w:t xml:space="preserve">Con </w:t>
      </w:r>
      <w:r w:rsidR="00FC7BAC">
        <w:rPr>
          <w:rFonts w:cstheme="minorHAnsi"/>
        </w:rPr>
        <w:t xml:space="preserve">i </w:t>
      </w:r>
      <w:r>
        <w:rPr>
          <w:rFonts w:cstheme="minorHAnsi"/>
        </w:rPr>
        <w:t xml:space="preserve">nomenclatori tariffari </w:t>
      </w:r>
      <w:r w:rsidR="00FC7BAC">
        <w:rPr>
          <w:rFonts w:cstheme="minorHAnsi"/>
        </w:rPr>
        <w:t xml:space="preserve">ancora </w:t>
      </w:r>
      <w:r>
        <w:rPr>
          <w:rFonts w:cstheme="minorHAnsi"/>
        </w:rPr>
        <w:t xml:space="preserve">in “ostaggio” del MEF per </w:t>
      </w:r>
      <w:r w:rsidR="00FC7BAC">
        <w:rPr>
          <w:rFonts w:cstheme="minorHAnsi"/>
        </w:rPr>
        <w:t xml:space="preserve">mancata copertura finanziaria, </w:t>
      </w:r>
      <w:r>
        <w:rPr>
          <w:rFonts w:cstheme="minorHAnsi"/>
        </w:rPr>
        <w:t xml:space="preserve">i nuovi LEA non sono </w:t>
      </w:r>
      <w:r w:rsidR="00A8540D">
        <w:rPr>
          <w:rFonts w:cstheme="minorHAnsi"/>
        </w:rPr>
        <w:t xml:space="preserve">ancora </w:t>
      </w:r>
      <w:r>
        <w:rPr>
          <w:rFonts w:cstheme="minorHAnsi"/>
        </w:rPr>
        <w:t xml:space="preserve">esigibili sulla maggior parte del territorio nazionale. Le stime oscillano tra </w:t>
      </w:r>
      <w:r w:rsidRPr="00361C15">
        <w:rPr>
          <w:rFonts w:cstheme="minorHAnsi"/>
        </w:rPr>
        <w:t>€ 800 milioni</w:t>
      </w:r>
      <w:r>
        <w:rPr>
          <w:rFonts w:cstheme="minorHAnsi"/>
        </w:rPr>
        <w:t xml:space="preserve"> (</w:t>
      </w:r>
      <w:r w:rsidRPr="00361C15">
        <w:rPr>
          <w:rFonts w:cstheme="minorHAnsi"/>
        </w:rPr>
        <w:t>Ragioneria Generale dello Stato</w:t>
      </w:r>
      <w:r w:rsidR="003331C0">
        <w:rPr>
          <w:rFonts w:cstheme="minorHAnsi"/>
        </w:rPr>
        <w:t>) e</w:t>
      </w:r>
      <w:r>
        <w:rPr>
          <w:rFonts w:cstheme="minorHAnsi"/>
        </w:rPr>
        <w:t xml:space="preserve"> </w:t>
      </w:r>
      <w:r w:rsidRPr="00361C15">
        <w:rPr>
          <w:rFonts w:cstheme="minorHAnsi"/>
        </w:rPr>
        <w:t>€ 1.600</w:t>
      </w:r>
      <w:r w:rsidR="00AB0BEB">
        <w:rPr>
          <w:rFonts w:cstheme="minorHAnsi"/>
        </w:rPr>
        <w:t xml:space="preserve"> milioni</w:t>
      </w:r>
      <w:r w:rsidRPr="00361C15">
        <w:rPr>
          <w:rFonts w:cstheme="minorHAnsi"/>
        </w:rPr>
        <w:t xml:space="preserve"> </w:t>
      </w:r>
      <w:r w:rsidR="001D4BA6">
        <w:rPr>
          <w:rFonts w:cstheme="minorHAnsi"/>
        </w:rPr>
        <w:t>(</w:t>
      </w:r>
      <w:r w:rsidRPr="00361C15">
        <w:rPr>
          <w:rFonts w:cstheme="minorHAnsi"/>
        </w:rPr>
        <w:t xml:space="preserve">Conferenza </w:t>
      </w:r>
      <w:r>
        <w:rPr>
          <w:rFonts w:cstheme="minorHAnsi"/>
        </w:rPr>
        <w:t>Regioni e Province autonome</w:t>
      </w:r>
      <w:r w:rsidR="001D4BA6">
        <w:rPr>
          <w:rFonts w:cstheme="minorHAnsi"/>
        </w:rPr>
        <w:t>)</w:t>
      </w:r>
      <w:r w:rsidR="00C060D6">
        <w:rPr>
          <w:rFonts w:cstheme="minorHAnsi"/>
        </w:rPr>
        <w:t>.</w:t>
      </w:r>
    </w:p>
    <w:p w14:paraId="665B0807" w14:textId="77777777" w:rsidR="00361C15" w:rsidRDefault="00361C15" w:rsidP="00361C15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Residuo pay</w:t>
      </w:r>
      <w:r w:rsidRPr="0099708E">
        <w:rPr>
          <w:rFonts w:cstheme="minorHAnsi"/>
          <w:b/>
        </w:rPr>
        <w:t>-back</w:t>
      </w:r>
      <w:r>
        <w:rPr>
          <w:rFonts w:cstheme="minorHAnsi"/>
          <w:b/>
        </w:rPr>
        <w:t xml:space="preserve"> farmaceutico 2013-2016</w:t>
      </w:r>
      <w:r>
        <w:rPr>
          <w:rFonts w:cstheme="minorHAnsi"/>
        </w:rPr>
        <w:t>.</w:t>
      </w:r>
      <w:r w:rsidRPr="004E7D7F">
        <w:rPr>
          <w:rFonts w:cstheme="minorHAnsi"/>
        </w:rPr>
        <w:t xml:space="preserve"> </w:t>
      </w:r>
      <w:r w:rsidR="00012FB5">
        <w:rPr>
          <w:rFonts w:cstheme="minorHAnsi"/>
        </w:rPr>
        <w:t>Parte degli o</w:t>
      </w:r>
      <w:r w:rsidR="00553BAD">
        <w:rPr>
          <w:rFonts w:cstheme="minorHAnsi"/>
        </w:rPr>
        <w:t xml:space="preserve">ltre € 900 milioni </w:t>
      </w:r>
      <w:r>
        <w:rPr>
          <w:rFonts w:cstheme="minorHAnsi"/>
        </w:rPr>
        <w:t>contabilizzati come entrate nel bilancio dello Stato</w:t>
      </w:r>
      <w:r w:rsidR="00012FB5">
        <w:rPr>
          <w:rFonts w:cstheme="minorHAnsi"/>
        </w:rPr>
        <w:t xml:space="preserve"> sono </w:t>
      </w:r>
      <w:r>
        <w:rPr>
          <w:rFonts w:cstheme="minorHAnsi"/>
        </w:rPr>
        <w:t xml:space="preserve">oggetto di contenzioso </w:t>
      </w:r>
      <w:r w:rsidR="00012FB5">
        <w:rPr>
          <w:rFonts w:cstheme="minorHAnsi"/>
        </w:rPr>
        <w:t xml:space="preserve">e </w:t>
      </w:r>
      <w:r>
        <w:rPr>
          <w:rFonts w:cstheme="minorHAnsi"/>
        </w:rPr>
        <w:t>potrebbe</w:t>
      </w:r>
      <w:r w:rsidR="00A00C49">
        <w:rPr>
          <w:rFonts w:cstheme="minorHAnsi"/>
        </w:rPr>
        <w:t>ro</w:t>
      </w:r>
      <w:r>
        <w:rPr>
          <w:rFonts w:cstheme="minorHAnsi"/>
        </w:rPr>
        <w:t xml:space="preserve"> </w:t>
      </w:r>
      <w:r w:rsidR="00012FB5">
        <w:rPr>
          <w:rFonts w:cstheme="minorHAnsi"/>
        </w:rPr>
        <w:t xml:space="preserve">diventare </w:t>
      </w:r>
      <w:r>
        <w:rPr>
          <w:rFonts w:cstheme="minorHAnsi"/>
        </w:rPr>
        <w:t>una voce di passività.</w:t>
      </w:r>
    </w:p>
    <w:p w14:paraId="4D4FD80C" w14:textId="77777777" w:rsidR="00012FB5" w:rsidRDefault="00012FB5" w:rsidP="003C4D0F">
      <w:pPr>
        <w:rPr>
          <w:rFonts w:cstheme="minorHAnsi"/>
        </w:rPr>
      </w:pPr>
    </w:p>
    <w:p w14:paraId="0B202698" w14:textId="77777777" w:rsidR="00A8540D" w:rsidRDefault="00DF6C32" w:rsidP="003C4D0F">
      <w:pPr>
        <w:rPr>
          <w:rFonts w:cstheme="minorHAnsi"/>
        </w:rPr>
      </w:pPr>
      <w:r w:rsidRPr="0046020B">
        <w:rPr>
          <w:rFonts w:cstheme="minorHAnsi"/>
        </w:rPr>
        <w:t>«</w:t>
      </w:r>
      <w:r w:rsidR="00553BAD">
        <w:rPr>
          <w:rFonts w:cstheme="minorHAnsi"/>
        </w:rPr>
        <w:t>Considerato che il testo della Legge di Bilancio 2019</w:t>
      </w:r>
      <w:r w:rsidR="001C1EF5">
        <w:rPr>
          <w:rFonts w:cstheme="minorHAnsi"/>
        </w:rPr>
        <w:t xml:space="preserve"> </w:t>
      </w:r>
      <w:r w:rsidR="00151E5F" w:rsidRPr="0046020B">
        <w:rPr>
          <w:rFonts w:cstheme="minorHAnsi"/>
        </w:rPr>
        <w:t>–</w:t>
      </w:r>
      <w:r w:rsidR="00772E3A">
        <w:rPr>
          <w:rFonts w:cstheme="minorHAnsi"/>
        </w:rPr>
        <w:t xml:space="preserve"> </w:t>
      </w:r>
      <w:r w:rsidR="00151E5F">
        <w:rPr>
          <w:rFonts w:cstheme="minorHAnsi"/>
        </w:rPr>
        <w:t xml:space="preserve">conclude Cartabellotta </w:t>
      </w:r>
      <w:r w:rsidR="00151E5F" w:rsidRPr="0046020B">
        <w:rPr>
          <w:rFonts w:cstheme="minorHAnsi"/>
        </w:rPr>
        <w:t>–</w:t>
      </w:r>
      <w:r w:rsidR="00553BAD">
        <w:rPr>
          <w:rFonts w:cstheme="minorHAnsi"/>
        </w:rPr>
        <w:t xml:space="preserve"> approda in Parlamento con un paniere </w:t>
      </w:r>
      <w:r w:rsidR="00FC7BAC">
        <w:rPr>
          <w:rFonts w:cstheme="minorHAnsi"/>
        </w:rPr>
        <w:t xml:space="preserve">triennale </w:t>
      </w:r>
      <w:r w:rsidR="00553BAD">
        <w:rPr>
          <w:rFonts w:cstheme="minorHAnsi"/>
        </w:rPr>
        <w:t xml:space="preserve">per la sanità più ricco delle aspettative, </w:t>
      </w:r>
      <w:r w:rsidR="008F3893">
        <w:rPr>
          <w:rFonts w:cstheme="minorHAnsi"/>
        </w:rPr>
        <w:t xml:space="preserve">e in ogni caso legato </w:t>
      </w:r>
      <w:r w:rsidR="00AB0BEB">
        <w:rPr>
          <w:rFonts w:cstheme="minorHAnsi"/>
        </w:rPr>
        <w:t xml:space="preserve">alle ardite previsioni di </w:t>
      </w:r>
      <w:r w:rsidR="008F3893">
        <w:rPr>
          <w:rFonts w:cstheme="minorHAnsi"/>
        </w:rPr>
        <w:t xml:space="preserve">crescita, </w:t>
      </w:r>
      <w:r w:rsidR="00553BAD">
        <w:rPr>
          <w:rFonts w:cstheme="minorHAnsi"/>
        </w:rPr>
        <w:t xml:space="preserve">bisogna dare merito alla Ministra Grillo di avere sensibilizzato l’intero Esecutivo sui bisogni della sanità. Tuttavia, </w:t>
      </w:r>
      <w:r w:rsidR="008F3893">
        <w:rPr>
          <w:rFonts w:cstheme="minorHAnsi"/>
        </w:rPr>
        <w:t xml:space="preserve">alcune </w:t>
      </w:r>
      <w:r w:rsidR="00AB0BEB" w:rsidRPr="000D25B2">
        <w:rPr>
          <w:rFonts w:cstheme="minorHAnsi"/>
        </w:rPr>
        <w:t>lacune</w:t>
      </w:r>
      <w:r w:rsidR="00012FB5" w:rsidRPr="000D25B2">
        <w:rPr>
          <w:rFonts w:cstheme="minorHAnsi"/>
        </w:rPr>
        <w:t xml:space="preserve"> </w:t>
      </w:r>
      <w:r w:rsidR="00012FB5">
        <w:rPr>
          <w:rFonts w:cstheme="minorHAnsi"/>
        </w:rPr>
        <w:t>che rischiano di peggiorare lo “stato di salute” del SSN</w:t>
      </w:r>
      <w:r w:rsidR="008F3893">
        <w:rPr>
          <w:rFonts w:cstheme="minorHAnsi"/>
        </w:rPr>
        <w:t xml:space="preserve"> non possono essere </w:t>
      </w:r>
      <w:r w:rsidR="000D25B2">
        <w:rPr>
          <w:rFonts w:cstheme="minorHAnsi"/>
        </w:rPr>
        <w:t>ulteriormente</w:t>
      </w:r>
      <w:r w:rsidR="00AB0BEB">
        <w:rPr>
          <w:rFonts w:cstheme="minorHAnsi"/>
        </w:rPr>
        <w:t xml:space="preserve"> </w:t>
      </w:r>
      <w:r w:rsidR="000D25B2">
        <w:rPr>
          <w:rFonts w:cstheme="minorHAnsi"/>
        </w:rPr>
        <w:t>rinviate</w:t>
      </w:r>
      <w:r w:rsidR="00012FB5">
        <w:rPr>
          <w:rFonts w:cstheme="minorHAnsi"/>
        </w:rPr>
        <w:t xml:space="preserve">: ecco perché </w:t>
      </w:r>
      <w:r w:rsidR="000D25B2">
        <w:rPr>
          <w:rFonts w:cstheme="minorHAnsi"/>
        </w:rPr>
        <w:t xml:space="preserve">è indispensabile </w:t>
      </w:r>
      <w:r w:rsidR="00012FB5">
        <w:rPr>
          <w:rFonts w:cstheme="minorHAnsi"/>
        </w:rPr>
        <w:t xml:space="preserve">destinare interamente ai rinnovi contrattuali il miliardo già previsto dalla precedente legislatura ed anticipare al 2019 almeno un miliardo </w:t>
      </w:r>
      <w:r w:rsidR="008F3893">
        <w:rPr>
          <w:rFonts w:cstheme="minorHAnsi"/>
        </w:rPr>
        <w:t>per sdoganare</w:t>
      </w:r>
      <w:r w:rsidR="00696336">
        <w:rPr>
          <w:rFonts w:cstheme="minorHAnsi"/>
        </w:rPr>
        <w:t xml:space="preserve"> </w:t>
      </w:r>
      <w:r w:rsidR="008F3893">
        <w:rPr>
          <w:rFonts w:cstheme="minorHAnsi"/>
        </w:rPr>
        <w:t xml:space="preserve">i </w:t>
      </w:r>
      <w:r w:rsidR="00FC7BAC">
        <w:rPr>
          <w:rFonts w:cstheme="minorHAnsi"/>
        </w:rPr>
        <w:t xml:space="preserve">nuovi </w:t>
      </w:r>
      <w:r w:rsidR="00696336">
        <w:rPr>
          <w:rFonts w:cstheme="minorHAnsi"/>
        </w:rPr>
        <w:t>LEA</w:t>
      </w:r>
      <w:r w:rsidR="00012FB5">
        <w:rPr>
          <w:rFonts w:cstheme="minorHAnsi"/>
        </w:rPr>
        <w:t xml:space="preserve">, </w:t>
      </w:r>
      <w:r w:rsidR="008F3893">
        <w:rPr>
          <w:rFonts w:cstheme="minorHAnsi"/>
        </w:rPr>
        <w:t>eliminare il superticket e</w:t>
      </w:r>
      <w:r w:rsidR="00012FB5">
        <w:rPr>
          <w:rFonts w:cstheme="minorHAnsi"/>
        </w:rPr>
        <w:t xml:space="preserve"> avviare lo sblocco del turnover</w:t>
      </w:r>
      <w:r w:rsidRPr="0046020B">
        <w:rPr>
          <w:rFonts w:cstheme="minorHAnsi"/>
        </w:rPr>
        <w:t>».</w:t>
      </w:r>
    </w:p>
    <w:p w14:paraId="6B754DB6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lastRenderedPageBreak/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0E333DAD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5ED1C161" w14:textId="77777777" w:rsidR="008D1B70" w:rsidRDefault="00DC2A0C" w:rsidP="003C4D0F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14:paraId="2FF49489" w14:textId="77777777" w:rsidR="008F3893" w:rsidRDefault="008F3893" w:rsidP="003C4D0F">
      <w:pPr>
        <w:spacing w:after="0"/>
        <w:rPr>
          <w:rStyle w:val="Collegamentoipertestuale"/>
          <w:rFonts w:eastAsia="Calibri" w:cstheme="minorHAnsi"/>
        </w:rPr>
      </w:pPr>
    </w:p>
    <w:sectPr w:rsidR="008F3893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70187" w14:textId="77777777" w:rsidR="00952845" w:rsidRDefault="00952845" w:rsidP="00ED0CFD">
      <w:pPr>
        <w:spacing w:after="0" w:line="240" w:lineRule="auto"/>
      </w:pPr>
      <w:r>
        <w:separator/>
      </w:r>
    </w:p>
  </w:endnote>
  <w:endnote w:type="continuationSeparator" w:id="0">
    <w:p w14:paraId="6FF0CA1C" w14:textId="77777777" w:rsidR="00952845" w:rsidRDefault="00952845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2197" w14:textId="77777777" w:rsidR="00952845" w:rsidRDefault="00952845" w:rsidP="00ED0CFD">
      <w:pPr>
        <w:spacing w:after="0" w:line="240" w:lineRule="auto"/>
      </w:pPr>
      <w:r>
        <w:separator/>
      </w:r>
    </w:p>
  </w:footnote>
  <w:footnote w:type="continuationSeparator" w:id="0">
    <w:p w14:paraId="2E534B54" w14:textId="77777777" w:rsidR="00952845" w:rsidRDefault="00952845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86A83"/>
    <w:multiLevelType w:val="hybridMultilevel"/>
    <w:tmpl w:val="F3A83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25"/>
  </w:num>
  <w:num w:numId="5">
    <w:abstractNumId w:val="15"/>
  </w:num>
  <w:num w:numId="6">
    <w:abstractNumId w:val="10"/>
  </w:num>
  <w:num w:numId="7">
    <w:abstractNumId w:val="21"/>
  </w:num>
  <w:num w:numId="8">
    <w:abstractNumId w:val="19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7"/>
  </w:num>
  <w:num w:numId="14">
    <w:abstractNumId w:val="3"/>
  </w:num>
  <w:num w:numId="15">
    <w:abstractNumId w:val="16"/>
  </w:num>
  <w:num w:numId="16">
    <w:abstractNumId w:val="26"/>
  </w:num>
  <w:num w:numId="17">
    <w:abstractNumId w:val="13"/>
  </w:num>
  <w:num w:numId="18">
    <w:abstractNumId w:val="8"/>
  </w:num>
  <w:num w:numId="19">
    <w:abstractNumId w:val="23"/>
  </w:num>
  <w:num w:numId="20">
    <w:abstractNumId w:val="20"/>
  </w:num>
  <w:num w:numId="21">
    <w:abstractNumId w:val="2"/>
  </w:num>
  <w:num w:numId="22">
    <w:abstractNumId w:val="18"/>
  </w:num>
  <w:num w:numId="23">
    <w:abstractNumId w:val="9"/>
  </w:num>
  <w:num w:numId="24">
    <w:abstractNumId w:val="27"/>
  </w:num>
  <w:num w:numId="25">
    <w:abstractNumId w:val="32"/>
  </w:num>
  <w:num w:numId="26">
    <w:abstractNumId w:val="22"/>
  </w:num>
  <w:num w:numId="27">
    <w:abstractNumId w:val="7"/>
  </w:num>
  <w:num w:numId="28">
    <w:abstractNumId w:val="14"/>
  </w:num>
  <w:num w:numId="29">
    <w:abstractNumId w:val="30"/>
  </w:num>
  <w:num w:numId="30">
    <w:abstractNumId w:val="5"/>
  </w:num>
  <w:num w:numId="31">
    <w:abstractNumId w:val="29"/>
  </w:num>
  <w:num w:numId="32">
    <w:abstractNumId w:val="3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F78"/>
    <w:rsid w:val="00004B0A"/>
    <w:rsid w:val="00005664"/>
    <w:rsid w:val="00005B25"/>
    <w:rsid w:val="000064FE"/>
    <w:rsid w:val="00006555"/>
    <w:rsid w:val="0000695A"/>
    <w:rsid w:val="00010498"/>
    <w:rsid w:val="000123C4"/>
    <w:rsid w:val="00012FB5"/>
    <w:rsid w:val="0001384A"/>
    <w:rsid w:val="00013DFA"/>
    <w:rsid w:val="0001439D"/>
    <w:rsid w:val="000146FF"/>
    <w:rsid w:val="00015D8E"/>
    <w:rsid w:val="00017968"/>
    <w:rsid w:val="00017FB4"/>
    <w:rsid w:val="00021D7F"/>
    <w:rsid w:val="000239FE"/>
    <w:rsid w:val="00023D8A"/>
    <w:rsid w:val="000252D2"/>
    <w:rsid w:val="00034188"/>
    <w:rsid w:val="000346D7"/>
    <w:rsid w:val="00035404"/>
    <w:rsid w:val="00036089"/>
    <w:rsid w:val="00036788"/>
    <w:rsid w:val="000411ED"/>
    <w:rsid w:val="00043D1A"/>
    <w:rsid w:val="0004410A"/>
    <w:rsid w:val="0004703D"/>
    <w:rsid w:val="00051F7A"/>
    <w:rsid w:val="000538D8"/>
    <w:rsid w:val="00053EBE"/>
    <w:rsid w:val="0005402C"/>
    <w:rsid w:val="00054250"/>
    <w:rsid w:val="00055180"/>
    <w:rsid w:val="00055AE9"/>
    <w:rsid w:val="00055D27"/>
    <w:rsid w:val="00057043"/>
    <w:rsid w:val="000602AA"/>
    <w:rsid w:val="0006440E"/>
    <w:rsid w:val="0006471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103B"/>
    <w:rsid w:val="000815B7"/>
    <w:rsid w:val="000863FA"/>
    <w:rsid w:val="00090A39"/>
    <w:rsid w:val="00090B7E"/>
    <w:rsid w:val="00090CF8"/>
    <w:rsid w:val="000924AD"/>
    <w:rsid w:val="000927C7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4C27"/>
    <w:rsid w:val="000A58EB"/>
    <w:rsid w:val="000A62A9"/>
    <w:rsid w:val="000A6EB6"/>
    <w:rsid w:val="000A7B66"/>
    <w:rsid w:val="000B07B0"/>
    <w:rsid w:val="000B185F"/>
    <w:rsid w:val="000B1C52"/>
    <w:rsid w:val="000B2168"/>
    <w:rsid w:val="000B50CD"/>
    <w:rsid w:val="000B710C"/>
    <w:rsid w:val="000B7985"/>
    <w:rsid w:val="000B7E0B"/>
    <w:rsid w:val="000C098C"/>
    <w:rsid w:val="000C0B04"/>
    <w:rsid w:val="000C0DF4"/>
    <w:rsid w:val="000C344B"/>
    <w:rsid w:val="000C544C"/>
    <w:rsid w:val="000C6130"/>
    <w:rsid w:val="000C72F9"/>
    <w:rsid w:val="000D02E4"/>
    <w:rsid w:val="000D1377"/>
    <w:rsid w:val="000D17FB"/>
    <w:rsid w:val="000D25AC"/>
    <w:rsid w:val="000D25B2"/>
    <w:rsid w:val="000D3C58"/>
    <w:rsid w:val="000D44D4"/>
    <w:rsid w:val="000D5771"/>
    <w:rsid w:val="000D5893"/>
    <w:rsid w:val="000D6150"/>
    <w:rsid w:val="000D7252"/>
    <w:rsid w:val="000D7A72"/>
    <w:rsid w:val="000D7C66"/>
    <w:rsid w:val="000E2E4F"/>
    <w:rsid w:val="000E6B01"/>
    <w:rsid w:val="000E7CC2"/>
    <w:rsid w:val="000F0BBD"/>
    <w:rsid w:val="000F10F8"/>
    <w:rsid w:val="000F39EF"/>
    <w:rsid w:val="000F5C0F"/>
    <w:rsid w:val="0010059E"/>
    <w:rsid w:val="00101E16"/>
    <w:rsid w:val="001020FC"/>
    <w:rsid w:val="001043DB"/>
    <w:rsid w:val="0010593B"/>
    <w:rsid w:val="0010685E"/>
    <w:rsid w:val="00107096"/>
    <w:rsid w:val="0010719F"/>
    <w:rsid w:val="00107509"/>
    <w:rsid w:val="00107984"/>
    <w:rsid w:val="0011205F"/>
    <w:rsid w:val="001139A6"/>
    <w:rsid w:val="00113D4A"/>
    <w:rsid w:val="00113F3C"/>
    <w:rsid w:val="001167D9"/>
    <w:rsid w:val="0011796A"/>
    <w:rsid w:val="00117F68"/>
    <w:rsid w:val="00125838"/>
    <w:rsid w:val="00125C6A"/>
    <w:rsid w:val="001262A5"/>
    <w:rsid w:val="00130907"/>
    <w:rsid w:val="001317CF"/>
    <w:rsid w:val="00132082"/>
    <w:rsid w:val="00134A6D"/>
    <w:rsid w:val="00134C8C"/>
    <w:rsid w:val="00135D93"/>
    <w:rsid w:val="00143689"/>
    <w:rsid w:val="00144377"/>
    <w:rsid w:val="00144F94"/>
    <w:rsid w:val="001458FE"/>
    <w:rsid w:val="001465C6"/>
    <w:rsid w:val="001471AF"/>
    <w:rsid w:val="001504F4"/>
    <w:rsid w:val="00150EF3"/>
    <w:rsid w:val="00151E5F"/>
    <w:rsid w:val="0015229D"/>
    <w:rsid w:val="00154A3B"/>
    <w:rsid w:val="00155161"/>
    <w:rsid w:val="001560D3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85966"/>
    <w:rsid w:val="00186FCE"/>
    <w:rsid w:val="00192DAD"/>
    <w:rsid w:val="00192F75"/>
    <w:rsid w:val="00193A45"/>
    <w:rsid w:val="00193F19"/>
    <w:rsid w:val="00194C03"/>
    <w:rsid w:val="001A038D"/>
    <w:rsid w:val="001A3B01"/>
    <w:rsid w:val="001A3E0D"/>
    <w:rsid w:val="001A3E96"/>
    <w:rsid w:val="001A4E88"/>
    <w:rsid w:val="001A6181"/>
    <w:rsid w:val="001B1CE6"/>
    <w:rsid w:val="001B59E3"/>
    <w:rsid w:val="001C1EF5"/>
    <w:rsid w:val="001C367A"/>
    <w:rsid w:val="001C51E2"/>
    <w:rsid w:val="001C6507"/>
    <w:rsid w:val="001C6B8F"/>
    <w:rsid w:val="001C7324"/>
    <w:rsid w:val="001D0E41"/>
    <w:rsid w:val="001D153D"/>
    <w:rsid w:val="001D19F1"/>
    <w:rsid w:val="001D240E"/>
    <w:rsid w:val="001D38B9"/>
    <w:rsid w:val="001D4BA6"/>
    <w:rsid w:val="001D4CE8"/>
    <w:rsid w:val="001E42B9"/>
    <w:rsid w:val="001E53AB"/>
    <w:rsid w:val="001E6902"/>
    <w:rsid w:val="001F0746"/>
    <w:rsid w:val="001F1C35"/>
    <w:rsid w:val="001F20B8"/>
    <w:rsid w:val="001F22DB"/>
    <w:rsid w:val="00200F4E"/>
    <w:rsid w:val="002020DB"/>
    <w:rsid w:val="00202A01"/>
    <w:rsid w:val="0020435A"/>
    <w:rsid w:val="00206047"/>
    <w:rsid w:val="00206A88"/>
    <w:rsid w:val="002073BD"/>
    <w:rsid w:val="00207B90"/>
    <w:rsid w:val="00210158"/>
    <w:rsid w:val="0021093E"/>
    <w:rsid w:val="0021155E"/>
    <w:rsid w:val="00216F04"/>
    <w:rsid w:val="002235D5"/>
    <w:rsid w:val="0022389A"/>
    <w:rsid w:val="00223F01"/>
    <w:rsid w:val="00224E88"/>
    <w:rsid w:val="0023095C"/>
    <w:rsid w:val="0023266D"/>
    <w:rsid w:val="002328C6"/>
    <w:rsid w:val="00232ACF"/>
    <w:rsid w:val="00233EF5"/>
    <w:rsid w:val="002349C3"/>
    <w:rsid w:val="00235FC2"/>
    <w:rsid w:val="0023771D"/>
    <w:rsid w:val="00241AD5"/>
    <w:rsid w:val="00241E9C"/>
    <w:rsid w:val="00242077"/>
    <w:rsid w:val="00243B76"/>
    <w:rsid w:val="00243F05"/>
    <w:rsid w:val="0025100A"/>
    <w:rsid w:val="00251386"/>
    <w:rsid w:val="00251AC2"/>
    <w:rsid w:val="00251D02"/>
    <w:rsid w:val="002534BD"/>
    <w:rsid w:val="002551A1"/>
    <w:rsid w:val="0025596E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723FC"/>
    <w:rsid w:val="0027468B"/>
    <w:rsid w:val="002762A4"/>
    <w:rsid w:val="00282655"/>
    <w:rsid w:val="00282DAE"/>
    <w:rsid w:val="00284792"/>
    <w:rsid w:val="00287105"/>
    <w:rsid w:val="00287452"/>
    <w:rsid w:val="00290375"/>
    <w:rsid w:val="00291602"/>
    <w:rsid w:val="00293854"/>
    <w:rsid w:val="0029392F"/>
    <w:rsid w:val="00297583"/>
    <w:rsid w:val="002A2034"/>
    <w:rsid w:val="002A3232"/>
    <w:rsid w:val="002A5A93"/>
    <w:rsid w:val="002A6B66"/>
    <w:rsid w:val="002A7387"/>
    <w:rsid w:val="002B12E6"/>
    <w:rsid w:val="002B1329"/>
    <w:rsid w:val="002B7295"/>
    <w:rsid w:val="002B7C26"/>
    <w:rsid w:val="002B7F03"/>
    <w:rsid w:val="002C0B56"/>
    <w:rsid w:val="002C0B93"/>
    <w:rsid w:val="002C0F1B"/>
    <w:rsid w:val="002C4190"/>
    <w:rsid w:val="002C433C"/>
    <w:rsid w:val="002C4460"/>
    <w:rsid w:val="002C5187"/>
    <w:rsid w:val="002C5517"/>
    <w:rsid w:val="002C7967"/>
    <w:rsid w:val="002D1354"/>
    <w:rsid w:val="002D1A9D"/>
    <w:rsid w:val="002D1CBC"/>
    <w:rsid w:val="002D2C39"/>
    <w:rsid w:val="002D390F"/>
    <w:rsid w:val="002D4D2D"/>
    <w:rsid w:val="002D61E1"/>
    <w:rsid w:val="002D6AD0"/>
    <w:rsid w:val="002D7409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605D"/>
    <w:rsid w:val="00300EF7"/>
    <w:rsid w:val="00305113"/>
    <w:rsid w:val="00306B44"/>
    <w:rsid w:val="00310511"/>
    <w:rsid w:val="00310654"/>
    <w:rsid w:val="00311603"/>
    <w:rsid w:val="00311E5C"/>
    <w:rsid w:val="003121F3"/>
    <w:rsid w:val="00313AD1"/>
    <w:rsid w:val="003149A9"/>
    <w:rsid w:val="00314A83"/>
    <w:rsid w:val="00315407"/>
    <w:rsid w:val="00315734"/>
    <w:rsid w:val="0031648A"/>
    <w:rsid w:val="0031755E"/>
    <w:rsid w:val="003214AF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B49"/>
    <w:rsid w:val="00331F29"/>
    <w:rsid w:val="003331C0"/>
    <w:rsid w:val="00333A1D"/>
    <w:rsid w:val="0033460B"/>
    <w:rsid w:val="00334F92"/>
    <w:rsid w:val="00336D93"/>
    <w:rsid w:val="0033752D"/>
    <w:rsid w:val="0034291E"/>
    <w:rsid w:val="00343723"/>
    <w:rsid w:val="003443B4"/>
    <w:rsid w:val="0034453E"/>
    <w:rsid w:val="003456F8"/>
    <w:rsid w:val="00347675"/>
    <w:rsid w:val="00347BD4"/>
    <w:rsid w:val="00347CD5"/>
    <w:rsid w:val="00350B80"/>
    <w:rsid w:val="00351462"/>
    <w:rsid w:val="00353E36"/>
    <w:rsid w:val="00354FEC"/>
    <w:rsid w:val="003554E0"/>
    <w:rsid w:val="00355B64"/>
    <w:rsid w:val="00355DBF"/>
    <w:rsid w:val="00356991"/>
    <w:rsid w:val="003576FF"/>
    <w:rsid w:val="00357F80"/>
    <w:rsid w:val="0036003F"/>
    <w:rsid w:val="00361C15"/>
    <w:rsid w:val="003622B7"/>
    <w:rsid w:val="0036304D"/>
    <w:rsid w:val="003631B2"/>
    <w:rsid w:val="00363764"/>
    <w:rsid w:val="0036462F"/>
    <w:rsid w:val="00367A4B"/>
    <w:rsid w:val="00372887"/>
    <w:rsid w:val="00373EDC"/>
    <w:rsid w:val="00374404"/>
    <w:rsid w:val="0037559F"/>
    <w:rsid w:val="00375C4D"/>
    <w:rsid w:val="0037629E"/>
    <w:rsid w:val="00380A73"/>
    <w:rsid w:val="00382F29"/>
    <w:rsid w:val="00384AF1"/>
    <w:rsid w:val="00385A79"/>
    <w:rsid w:val="00386385"/>
    <w:rsid w:val="00386798"/>
    <w:rsid w:val="00387555"/>
    <w:rsid w:val="0039006E"/>
    <w:rsid w:val="00390F2A"/>
    <w:rsid w:val="00391AD2"/>
    <w:rsid w:val="003928A8"/>
    <w:rsid w:val="0039343C"/>
    <w:rsid w:val="00393B9D"/>
    <w:rsid w:val="00394823"/>
    <w:rsid w:val="003955A0"/>
    <w:rsid w:val="00395CA3"/>
    <w:rsid w:val="0039786B"/>
    <w:rsid w:val="003978DA"/>
    <w:rsid w:val="003A13B4"/>
    <w:rsid w:val="003A47A3"/>
    <w:rsid w:val="003A72AE"/>
    <w:rsid w:val="003B1262"/>
    <w:rsid w:val="003B4A8D"/>
    <w:rsid w:val="003B5D7A"/>
    <w:rsid w:val="003B72C4"/>
    <w:rsid w:val="003C276B"/>
    <w:rsid w:val="003C3908"/>
    <w:rsid w:val="003C48B6"/>
    <w:rsid w:val="003C4D0F"/>
    <w:rsid w:val="003C6B6D"/>
    <w:rsid w:val="003C7C89"/>
    <w:rsid w:val="003D0249"/>
    <w:rsid w:val="003D066E"/>
    <w:rsid w:val="003D4318"/>
    <w:rsid w:val="003D6200"/>
    <w:rsid w:val="003D66C8"/>
    <w:rsid w:val="003D6B2B"/>
    <w:rsid w:val="003E0375"/>
    <w:rsid w:val="003E2B21"/>
    <w:rsid w:val="003E4422"/>
    <w:rsid w:val="003E4FF7"/>
    <w:rsid w:val="003E7EEF"/>
    <w:rsid w:val="003F1AAC"/>
    <w:rsid w:val="003F35EF"/>
    <w:rsid w:val="003F3B35"/>
    <w:rsid w:val="003F470F"/>
    <w:rsid w:val="003F5B78"/>
    <w:rsid w:val="003F7BE5"/>
    <w:rsid w:val="00402689"/>
    <w:rsid w:val="00404BE7"/>
    <w:rsid w:val="004052B2"/>
    <w:rsid w:val="00405C0C"/>
    <w:rsid w:val="00405FC1"/>
    <w:rsid w:val="00405FFB"/>
    <w:rsid w:val="00410B6F"/>
    <w:rsid w:val="004115E0"/>
    <w:rsid w:val="00412253"/>
    <w:rsid w:val="00415770"/>
    <w:rsid w:val="00415FC6"/>
    <w:rsid w:val="004179EB"/>
    <w:rsid w:val="004235B1"/>
    <w:rsid w:val="00424784"/>
    <w:rsid w:val="00426711"/>
    <w:rsid w:val="00427102"/>
    <w:rsid w:val="00427374"/>
    <w:rsid w:val="00430270"/>
    <w:rsid w:val="004303BA"/>
    <w:rsid w:val="00434060"/>
    <w:rsid w:val="00436E44"/>
    <w:rsid w:val="00437173"/>
    <w:rsid w:val="0044012A"/>
    <w:rsid w:val="00441D52"/>
    <w:rsid w:val="00442312"/>
    <w:rsid w:val="004432F6"/>
    <w:rsid w:val="004443BE"/>
    <w:rsid w:val="004446C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42C0"/>
    <w:rsid w:val="0046775E"/>
    <w:rsid w:val="00470D92"/>
    <w:rsid w:val="00475510"/>
    <w:rsid w:val="0047586E"/>
    <w:rsid w:val="00475D67"/>
    <w:rsid w:val="00480E9D"/>
    <w:rsid w:val="004837A6"/>
    <w:rsid w:val="00485168"/>
    <w:rsid w:val="004851ED"/>
    <w:rsid w:val="0048588A"/>
    <w:rsid w:val="00487D31"/>
    <w:rsid w:val="00490397"/>
    <w:rsid w:val="00490692"/>
    <w:rsid w:val="00491A38"/>
    <w:rsid w:val="00493265"/>
    <w:rsid w:val="00494AD0"/>
    <w:rsid w:val="004952D7"/>
    <w:rsid w:val="00495C7D"/>
    <w:rsid w:val="00496108"/>
    <w:rsid w:val="00496192"/>
    <w:rsid w:val="00497373"/>
    <w:rsid w:val="00497823"/>
    <w:rsid w:val="004A0830"/>
    <w:rsid w:val="004A0E05"/>
    <w:rsid w:val="004A11C7"/>
    <w:rsid w:val="004A18D7"/>
    <w:rsid w:val="004A1B26"/>
    <w:rsid w:val="004A4A80"/>
    <w:rsid w:val="004A5489"/>
    <w:rsid w:val="004B7AD5"/>
    <w:rsid w:val="004C17CB"/>
    <w:rsid w:val="004C420E"/>
    <w:rsid w:val="004C6C35"/>
    <w:rsid w:val="004C7929"/>
    <w:rsid w:val="004D0248"/>
    <w:rsid w:val="004D0BDF"/>
    <w:rsid w:val="004D3A0B"/>
    <w:rsid w:val="004D469E"/>
    <w:rsid w:val="004D4B67"/>
    <w:rsid w:val="004D4F66"/>
    <w:rsid w:val="004E27A9"/>
    <w:rsid w:val="004E3A57"/>
    <w:rsid w:val="004E4113"/>
    <w:rsid w:val="004E472B"/>
    <w:rsid w:val="004E4A4C"/>
    <w:rsid w:val="004E4BBD"/>
    <w:rsid w:val="004E5018"/>
    <w:rsid w:val="004E5200"/>
    <w:rsid w:val="004E5EFE"/>
    <w:rsid w:val="004E66AC"/>
    <w:rsid w:val="004E6B7B"/>
    <w:rsid w:val="004E7D7F"/>
    <w:rsid w:val="004F064A"/>
    <w:rsid w:val="004F0FD3"/>
    <w:rsid w:val="004F1D5B"/>
    <w:rsid w:val="004F3FEB"/>
    <w:rsid w:val="004F5454"/>
    <w:rsid w:val="004F6AEC"/>
    <w:rsid w:val="005014CD"/>
    <w:rsid w:val="00501793"/>
    <w:rsid w:val="00505BFD"/>
    <w:rsid w:val="005074D5"/>
    <w:rsid w:val="00510653"/>
    <w:rsid w:val="00510AA1"/>
    <w:rsid w:val="00511E6F"/>
    <w:rsid w:val="005127CE"/>
    <w:rsid w:val="00512879"/>
    <w:rsid w:val="00513265"/>
    <w:rsid w:val="00513282"/>
    <w:rsid w:val="005151BE"/>
    <w:rsid w:val="00515F29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3D48"/>
    <w:rsid w:val="00535A6B"/>
    <w:rsid w:val="00537869"/>
    <w:rsid w:val="005404B8"/>
    <w:rsid w:val="005419E9"/>
    <w:rsid w:val="00541DC9"/>
    <w:rsid w:val="00542475"/>
    <w:rsid w:val="005440CF"/>
    <w:rsid w:val="00545910"/>
    <w:rsid w:val="00546397"/>
    <w:rsid w:val="00550C9C"/>
    <w:rsid w:val="00551444"/>
    <w:rsid w:val="005516A8"/>
    <w:rsid w:val="005533C4"/>
    <w:rsid w:val="00553BAD"/>
    <w:rsid w:val="00560786"/>
    <w:rsid w:val="0056268F"/>
    <w:rsid w:val="005653D8"/>
    <w:rsid w:val="00565C3C"/>
    <w:rsid w:val="00566974"/>
    <w:rsid w:val="00567623"/>
    <w:rsid w:val="0057085B"/>
    <w:rsid w:val="00570C6B"/>
    <w:rsid w:val="00571963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608A"/>
    <w:rsid w:val="00586657"/>
    <w:rsid w:val="0058695B"/>
    <w:rsid w:val="00586FDE"/>
    <w:rsid w:val="00587B6A"/>
    <w:rsid w:val="00587C9B"/>
    <w:rsid w:val="00587F5D"/>
    <w:rsid w:val="00590E5A"/>
    <w:rsid w:val="005940D1"/>
    <w:rsid w:val="00594E34"/>
    <w:rsid w:val="0059501A"/>
    <w:rsid w:val="00595908"/>
    <w:rsid w:val="00596B3D"/>
    <w:rsid w:val="005A07E1"/>
    <w:rsid w:val="005A2279"/>
    <w:rsid w:val="005A2BB7"/>
    <w:rsid w:val="005A3A8D"/>
    <w:rsid w:val="005A4ADA"/>
    <w:rsid w:val="005A4E09"/>
    <w:rsid w:val="005A6F2F"/>
    <w:rsid w:val="005A7757"/>
    <w:rsid w:val="005B283E"/>
    <w:rsid w:val="005B3A18"/>
    <w:rsid w:val="005B41AA"/>
    <w:rsid w:val="005B4F61"/>
    <w:rsid w:val="005B57EF"/>
    <w:rsid w:val="005B724E"/>
    <w:rsid w:val="005C5968"/>
    <w:rsid w:val="005C7707"/>
    <w:rsid w:val="005D133C"/>
    <w:rsid w:val="005D27B7"/>
    <w:rsid w:val="005D33D4"/>
    <w:rsid w:val="005D5CF2"/>
    <w:rsid w:val="005D72FB"/>
    <w:rsid w:val="005D7836"/>
    <w:rsid w:val="005D7FCA"/>
    <w:rsid w:val="005E1232"/>
    <w:rsid w:val="005E2F7A"/>
    <w:rsid w:val="005E37DA"/>
    <w:rsid w:val="005E485F"/>
    <w:rsid w:val="005F2729"/>
    <w:rsid w:val="005F3758"/>
    <w:rsid w:val="005F71F9"/>
    <w:rsid w:val="006002AA"/>
    <w:rsid w:val="0060698B"/>
    <w:rsid w:val="00611C67"/>
    <w:rsid w:val="00614076"/>
    <w:rsid w:val="00614E5A"/>
    <w:rsid w:val="00616235"/>
    <w:rsid w:val="00617492"/>
    <w:rsid w:val="00620244"/>
    <w:rsid w:val="00620B8A"/>
    <w:rsid w:val="0062275E"/>
    <w:rsid w:val="0062554E"/>
    <w:rsid w:val="0062693C"/>
    <w:rsid w:val="00630230"/>
    <w:rsid w:val="00631233"/>
    <w:rsid w:val="006316F4"/>
    <w:rsid w:val="0063197E"/>
    <w:rsid w:val="00633689"/>
    <w:rsid w:val="00636EB6"/>
    <w:rsid w:val="00640B8B"/>
    <w:rsid w:val="00640FE7"/>
    <w:rsid w:val="00640FEF"/>
    <w:rsid w:val="00642E98"/>
    <w:rsid w:val="00643AB4"/>
    <w:rsid w:val="00643E28"/>
    <w:rsid w:val="00644CF4"/>
    <w:rsid w:val="00645153"/>
    <w:rsid w:val="006455B8"/>
    <w:rsid w:val="00645EF2"/>
    <w:rsid w:val="00646223"/>
    <w:rsid w:val="00647993"/>
    <w:rsid w:val="00650304"/>
    <w:rsid w:val="006511EF"/>
    <w:rsid w:val="00651735"/>
    <w:rsid w:val="006529FA"/>
    <w:rsid w:val="006535F8"/>
    <w:rsid w:val="00653B45"/>
    <w:rsid w:val="0065485F"/>
    <w:rsid w:val="006548B7"/>
    <w:rsid w:val="00656745"/>
    <w:rsid w:val="00657376"/>
    <w:rsid w:val="00660EA6"/>
    <w:rsid w:val="00661FE9"/>
    <w:rsid w:val="00663B7B"/>
    <w:rsid w:val="006640FF"/>
    <w:rsid w:val="00664E77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CCA"/>
    <w:rsid w:val="00675E56"/>
    <w:rsid w:val="0067632C"/>
    <w:rsid w:val="00677934"/>
    <w:rsid w:val="00677A85"/>
    <w:rsid w:val="006805A5"/>
    <w:rsid w:val="006809F1"/>
    <w:rsid w:val="00680B51"/>
    <w:rsid w:val="006821E3"/>
    <w:rsid w:val="00685DB6"/>
    <w:rsid w:val="0069299B"/>
    <w:rsid w:val="00693518"/>
    <w:rsid w:val="00694C51"/>
    <w:rsid w:val="006955E7"/>
    <w:rsid w:val="00695FCF"/>
    <w:rsid w:val="00696336"/>
    <w:rsid w:val="00696965"/>
    <w:rsid w:val="00696DDA"/>
    <w:rsid w:val="006970D5"/>
    <w:rsid w:val="006A013E"/>
    <w:rsid w:val="006A135C"/>
    <w:rsid w:val="006A4CFB"/>
    <w:rsid w:val="006A65B1"/>
    <w:rsid w:val="006A704A"/>
    <w:rsid w:val="006A71A2"/>
    <w:rsid w:val="006B0DD2"/>
    <w:rsid w:val="006B2505"/>
    <w:rsid w:val="006B4075"/>
    <w:rsid w:val="006B55BE"/>
    <w:rsid w:val="006B5E7A"/>
    <w:rsid w:val="006B6956"/>
    <w:rsid w:val="006C09E3"/>
    <w:rsid w:val="006C0A34"/>
    <w:rsid w:val="006C3647"/>
    <w:rsid w:val="006C3B4B"/>
    <w:rsid w:val="006C41FF"/>
    <w:rsid w:val="006C4E62"/>
    <w:rsid w:val="006C6AAB"/>
    <w:rsid w:val="006D1D72"/>
    <w:rsid w:val="006D30E8"/>
    <w:rsid w:val="006D502F"/>
    <w:rsid w:val="006D5067"/>
    <w:rsid w:val="006D5713"/>
    <w:rsid w:val="006D7B5C"/>
    <w:rsid w:val="006E1EA3"/>
    <w:rsid w:val="006E265E"/>
    <w:rsid w:val="006E27FD"/>
    <w:rsid w:val="006E287C"/>
    <w:rsid w:val="006E4DAD"/>
    <w:rsid w:val="006E6CC2"/>
    <w:rsid w:val="006F16C8"/>
    <w:rsid w:val="006F5C05"/>
    <w:rsid w:val="006F5E1D"/>
    <w:rsid w:val="006F6ADA"/>
    <w:rsid w:val="006F707F"/>
    <w:rsid w:val="006F70DE"/>
    <w:rsid w:val="0070382E"/>
    <w:rsid w:val="0070621C"/>
    <w:rsid w:val="00706682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775F"/>
    <w:rsid w:val="0072122E"/>
    <w:rsid w:val="00723B85"/>
    <w:rsid w:val="007257B8"/>
    <w:rsid w:val="00727A83"/>
    <w:rsid w:val="00730A03"/>
    <w:rsid w:val="0073174A"/>
    <w:rsid w:val="007333BE"/>
    <w:rsid w:val="007335A8"/>
    <w:rsid w:val="00735079"/>
    <w:rsid w:val="0073593C"/>
    <w:rsid w:val="00736A14"/>
    <w:rsid w:val="00737013"/>
    <w:rsid w:val="0073764E"/>
    <w:rsid w:val="00737DDD"/>
    <w:rsid w:val="00743AC6"/>
    <w:rsid w:val="00744072"/>
    <w:rsid w:val="0075099D"/>
    <w:rsid w:val="00752052"/>
    <w:rsid w:val="00754EA3"/>
    <w:rsid w:val="00756B84"/>
    <w:rsid w:val="00757A75"/>
    <w:rsid w:val="00760136"/>
    <w:rsid w:val="00760496"/>
    <w:rsid w:val="0076053B"/>
    <w:rsid w:val="007622E3"/>
    <w:rsid w:val="00762CF6"/>
    <w:rsid w:val="00763FB0"/>
    <w:rsid w:val="007644E5"/>
    <w:rsid w:val="00765150"/>
    <w:rsid w:val="007675EB"/>
    <w:rsid w:val="00770D2D"/>
    <w:rsid w:val="00770D5D"/>
    <w:rsid w:val="00771FBC"/>
    <w:rsid w:val="00772C0B"/>
    <w:rsid w:val="00772E3A"/>
    <w:rsid w:val="007738D0"/>
    <w:rsid w:val="00773C80"/>
    <w:rsid w:val="00773EC0"/>
    <w:rsid w:val="00774DA4"/>
    <w:rsid w:val="00774E33"/>
    <w:rsid w:val="0077567A"/>
    <w:rsid w:val="00775DA1"/>
    <w:rsid w:val="00775F4F"/>
    <w:rsid w:val="00777690"/>
    <w:rsid w:val="00777C0A"/>
    <w:rsid w:val="00780533"/>
    <w:rsid w:val="00783A0B"/>
    <w:rsid w:val="00784DD0"/>
    <w:rsid w:val="0078737D"/>
    <w:rsid w:val="00790464"/>
    <w:rsid w:val="00791D81"/>
    <w:rsid w:val="007939B6"/>
    <w:rsid w:val="007964C7"/>
    <w:rsid w:val="007A35B4"/>
    <w:rsid w:val="007A4846"/>
    <w:rsid w:val="007A4969"/>
    <w:rsid w:val="007A66DF"/>
    <w:rsid w:val="007A6D9A"/>
    <w:rsid w:val="007A6FD9"/>
    <w:rsid w:val="007A7C15"/>
    <w:rsid w:val="007B01D2"/>
    <w:rsid w:val="007B05F7"/>
    <w:rsid w:val="007B1924"/>
    <w:rsid w:val="007B199A"/>
    <w:rsid w:val="007B1BA6"/>
    <w:rsid w:val="007B418A"/>
    <w:rsid w:val="007B48F8"/>
    <w:rsid w:val="007B51E6"/>
    <w:rsid w:val="007B55B5"/>
    <w:rsid w:val="007B5624"/>
    <w:rsid w:val="007C249E"/>
    <w:rsid w:val="007C3D92"/>
    <w:rsid w:val="007C5420"/>
    <w:rsid w:val="007D06C0"/>
    <w:rsid w:val="007D1008"/>
    <w:rsid w:val="007D1B67"/>
    <w:rsid w:val="007D2672"/>
    <w:rsid w:val="007D4B6B"/>
    <w:rsid w:val="007D62DC"/>
    <w:rsid w:val="007D6B1D"/>
    <w:rsid w:val="007D7930"/>
    <w:rsid w:val="007D7CCF"/>
    <w:rsid w:val="007E0965"/>
    <w:rsid w:val="007E457E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801420"/>
    <w:rsid w:val="00802069"/>
    <w:rsid w:val="008025DC"/>
    <w:rsid w:val="00802652"/>
    <w:rsid w:val="00802D8D"/>
    <w:rsid w:val="00803C62"/>
    <w:rsid w:val="00806EC8"/>
    <w:rsid w:val="00807EEF"/>
    <w:rsid w:val="00810A9B"/>
    <w:rsid w:val="00814CE9"/>
    <w:rsid w:val="00815D4F"/>
    <w:rsid w:val="00815D73"/>
    <w:rsid w:val="008173BE"/>
    <w:rsid w:val="008176D9"/>
    <w:rsid w:val="00820BE1"/>
    <w:rsid w:val="00825BCB"/>
    <w:rsid w:val="0082609D"/>
    <w:rsid w:val="008270A6"/>
    <w:rsid w:val="00827BB7"/>
    <w:rsid w:val="00831988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9ED"/>
    <w:rsid w:val="00837B9C"/>
    <w:rsid w:val="008409F8"/>
    <w:rsid w:val="00844028"/>
    <w:rsid w:val="0084493B"/>
    <w:rsid w:val="00844B59"/>
    <w:rsid w:val="00844F82"/>
    <w:rsid w:val="00845D51"/>
    <w:rsid w:val="008469EE"/>
    <w:rsid w:val="00851085"/>
    <w:rsid w:val="008513F9"/>
    <w:rsid w:val="00851A60"/>
    <w:rsid w:val="008521CA"/>
    <w:rsid w:val="008566B3"/>
    <w:rsid w:val="00856765"/>
    <w:rsid w:val="0085760A"/>
    <w:rsid w:val="00862746"/>
    <w:rsid w:val="008638C5"/>
    <w:rsid w:val="00864335"/>
    <w:rsid w:val="00867AEB"/>
    <w:rsid w:val="00870261"/>
    <w:rsid w:val="008727DE"/>
    <w:rsid w:val="008737DB"/>
    <w:rsid w:val="00873B7C"/>
    <w:rsid w:val="008775A4"/>
    <w:rsid w:val="008809B6"/>
    <w:rsid w:val="00881122"/>
    <w:rsid w:val="00881AF4"/>
    <w:rsid w:val="008834FE"/>
    <w:rsid w:val="00883BC1"/>
    <w:rsid w:val="00884AE7"/>
    <w:rsid w:val="00886263"/>
    <w:rsid w:val="00890070"/>
    <w:rsid w:val="00890405"/>
    <w:rsid w:val="00891316"/>
    <w:rsid w:val="008920DC"/>
    <w:rsid w:val="008927EE"/>
    <w:rsid w:val="0089511B"/>
    <w:rsid w:val="008952D7"/>
    <w:rsid w:val="008956D1"/>
    <w:rsid w:val="008957EF"/>
    <w:rsid w:val="00895BB6"/>
    <w:rsid w:val="008972B2"/>
    <w:rsid w:val="008976A1"/>
    <w:rsid w:val="00897928"/>
    <w:rsid w:val="00897CA1"/>
    <w:rsid w:val="008A0BDA"/>
    <w:rsid w:val="008A0E25"/>
    <w:rsid w:val="008A1766"/>
    <w:rsid w:val="008A1D53"/>
    <w:rsid w:val="008B2BA7"/>
    <w:rsid w:val="008B3494"/>
    <w:rsid w:val="008B5FC3"/>
    <w:rsid w:val="008B7022"/>
    <w:rsid w:val="008B743F"/>
    <w:rsid w:val="008C0A82"/>
    <w:rsid w:val="008C4980"/>
    <w:rsid w:val="008C5798"/>
    <w:rsid w:val="008C6B5E"/>
    <w:rsid w:val="008D1B70"/>
    <w:rsid w:val="008D2BDD"/>
    <w:rsid w:val="008D33F8"/>
    <w:rsid w:val="008D3BD3"/>
    <w:rsid w:val="008D4BC6"/>
    <w:rsid w:val="008D5631"/>
    <w:rsid w:val="008E190A"/>
    <w:rsid w:val="008E2453"/>
    <w:rsid w:val="008E4AD4"/>
    <w:rsid w:val="008E78E9"/>
    <w:rsid w:val="008F1906"/>
    <w:rsid w:val="008F1F12"/>
    <w:rsid w:val="008F2550"/>
    <w:rsid w:val="008F2BFA"/>
    <w:rsid w:val="008F2E54"/>
    <w:rsid w:val="008F3893"/>
    <w:rsid w:val="008F43E5"/>
    <w:rsid w:val="008F5A3B"/>
    <w:rsid w:val="008F6975"/>
    <w:rsid w:val="008F72C4"/>
    <w:rsid w:val="00900A5F"/>
    <w:rsid w:val="00902108"/>
    <w:rsid w:val="00902199"/>
    <w:rsid w:val="00902865"/>
    <w:rsid w:val="009030D3"/>
    <w:rsid w:val="00903342"/>
    <w:rsid w:val="009062C0"/>
    <w:rsid w:val="00906DD1"/>
    <w:rsid w:val="00913806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505"/>
    <w:rsid w:val="009277A7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7084"/>
    <w:rsid w:val="00947FBD"/>
    <w:rsid w:val="00951A4B"/>
    <w:rsid w:val="00952845"/>
    <w:rsid w:val="0095482F"/>
    <w:rsid w:val="00955403"/>
    <w:rsid w:val="00957526"/>
    <w:rsid w:val="00957C85"/>
    <w:rsid w:val="00957D24"/>
    <w:rsid w:val="009630B4"/>
    <w:rsid w:val="00963735"/>
    <w:rsid w:val="009650B3"/>
    <w:rsid w:val="00965964"/>
    <w:rsid w:val="0097162D"/>
    <w:rsid w:val="009721C4"/>
    <w:rsid w:val="009722DB"/>
    <w:rsid w:val="0097272E"/>
    <w:rsid w:val="00973B94"/>
    <w:rsid w:val="00974683"/>
    <w:rsid w:val="00976F80"/>
    <w:rsid w:val="009805F2"/>
    <w:rsid w:val="00984C33"/>
    <w:rsid w:val="00986052"/>
    <w:rsid w:val="00987C74"/>
    <w:rsid w:val="00991B11"/>
    <w:rsid w:val="00994D71"/>
    <w:rsid w:val="00996C28"/>
    <w:rsid w:val="00996FA7"/>
    <w:rsid w:val="0099708E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2E68"/>
    <w:rsid w:val="009B67E9"/>
    <w:rsid w:val="009C1A22"/>
    <w:rsid w:val="009C2C3C"/>
    <w:rsid w:val="009C60D3"/>
    <w:rsid w:val="009C6AFA"/>
    <w:rsid w:val="009C7037"/>
    <w:rsid w:val="009C7943"/>
    <w:rsid w:val="009D1A5C"/>
    <w:rsid w:val="009D217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F03B6"/>
    <w:rsid w:val="009F0432"/>
    <w:rsid w:val="009F2842"/>
    <w:rsid w:val="009F2CAA"/>
    <w:rsid w:val="009F3CB2"/>
    <w:rsid w:val="009F691A"/>
    <w:rsid w:val="00A004B0"/>
    <w:rsid w:val="00A00C49"/>
    <w:rsid w:val="00A0487E"/>
    <w:rsid w:val="00A04E54"/>
    <w:rsid w:val="00A061EB"/>
    <w:rsid w:val="00A0698F"/>
    <w:rsid w:val="00A12E53"/>
    <w:rsid w:val="00A13CF1"/>
    <w:rsid w:val="00A13DFC"/>
    <w:rsid w:val="00A14F7E"/>
    <w:rsid w:val="00A16B16"/>
    <w:rsid w:val="00A170FF"/>
    <w:rsid w:val="00A203F4"/>
    <w:rsid w:val="00A23E03"/>
    <w:rsid w:val="00A25176"/>
    <w:rsid w:val="00A269CF"/>
    <w:rsid w:val="00A3541E"/>
    <w:rsid w:val="00A364A1"/>
    <w:rsid w:val="00A36649"/>
    <w:rsid w:val="00A36D32"/>
    <w:rsid w:val="00A36E5F"/>
    <w:rsid w:val="00A401BC"/>
    <w:rsid w:val="00A40F25"/>
    <w:rsid w:val="00A423A7"/>
    <w:rsid w:val="00A44F7D"/>
    <w:rsid w:val="00A60FC8"/>
    <w:rsid w:val="00A61A79"/>
    <w:rsid w:val="00A63606"/>
    <w:rsid w:val="00A64D7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339D"/>
    <w:rsid w:val="00A74BBA"/>
    <w:rsid w:val="00A76386"/>
    <w:rsid w:val="00A7781C"/>
    <w:rsid w:val="00A84F3D"/>
    <w:rsid w:val="00A8540D"/>
    <w:rsid w:val="00A86DA7"/>
    <w:rsid w:val="00A90870"/>
    <w:rsid w:val="00A91DC0"/>
    <w:rsid w:val="00A91E49"/>
    <w:rsid w:val="00A9205A"/>
    <w:rsid w:val="00AA0FE4"/>
    <w:rsid w:val="00AA10CE"/>
    <w:rsid w:val="00AA2A57"/>
    <w:rsid w:val="00AA5738"/>
    <w:rsid w:val="00AA6191"/>
    <w:rsid w:val="00AA65EF"/>
    <w:rsid w:val="00AB0BEB"/>
    <w:rsid w:val="00AB0EF6"/>
    <w:rsid w:val="00AB0FBF"/>
    <w:rsid w:val="00AB1853"/>
    <w:rsid w:val="00AB2FF1"/>
    <w:rsid w:val="00AB4085"/>
    <w:rsid w:val="00AB5A9E"/>
    <w:rsid w:val="00AC0C82"/>
    <w:rsid w:val="00AC18D7"/>
    <w:rsid w:val="00AC2611"/>
    <w:rsid w:val="00AC2BF4"/>
    <w:rsid w:val="00AC2E6A"/>
    <w:rsid w:val="00AC3E12"/>
    <w:rsid w:val="00AC6B32"/>
    <w:rsid w:val="00AD01B1"/>
    <w:rsid w:val="00AD05A6"/>
    <w:rsid w:val="00AD436F"/>
    <w:rsid w:val="00AD5368"/>
    <w:rsid w:val="00AE0F77"/>
    <w:rsid w:val="00AE1EFF"/>
    <w:rsid w:val="00AE2657"/>
    <w:rsid w:val="00AE4385"/>
    <w:rsid w:val="00AE4C5E"/>
    <w:rsid w:val="00AE52B8"/>
    <w:rsid w:val="00AE7125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AF6FE5"/>
    <w:rsid w:val="00B00F06"/>
    <w:rsid w:val="00B01528"/>
    <w:rsid w:val="00B01C25"/>
    <w:rsid w:val="00B01F41"/>
    <w:rsid w:val="00B03791"/>
    <w:rsid w:val="00B047F1"/>
    <w:rsid w:val="00B051CC"/>
    <w:rsid w:val="00B05637"/>
    <w:rsid w:val="00B072C8"/>
    <w:rsid w:val="00B13092"/>
    <w:rsid w:val="00B13461"/>
    <w:rsid w:val="00B17FF8"/>
    <w:rsid w:val="00B20DA5"/>
    <w:rsid w:val="00B22D3D"/>
    <w:rsid w:val="00B22D55"/>
    <w:rsid w:val="00B235F7"/>
    <w:rsid w:val="00B242B8"/>
    <w:rsid w:val="00B244A4"/>
    <w:rsid w:val="00B24831"/>
    <w:rsid w:val="00B254D8"/>
    <w:rsid w:val="00B26022"/>
    <w:rsid w:val="00B265A5"/>
    <w:rsid w:val="00B30840"/>
    <w:rsid w:val="00B30A72"/>
    <w:rsid w:val="00B30CF7"/>
    <w:rsid w:val="00B30F3E"/>
    <w:rsid w:val="00B3280B"/>
    <w:rsid w:val="00B33A63"/>
    <w:rsid w:val="00B34570"/>
    <w:rsid w:val="00B365C9"/>
    <w:rsid w:val="00B40113"/>
    <w:rsid w:val="00B43BAA"/>
    <w:rsid w:val="00B444F7"/>
    <w:rsid w:val="00B46F5D"/>
    <w:rsid w:val="00B510D1"/>
    <w:rsid w:val="00B516F4"/>
    <w:rsid w:val="00B53695"/>
    <w:rsid w:val="00B56122"/>
    <w:rsid w:val="00B6021A"/>
    <w:rsid w:val="00B61CD8"/>
    <w:rsid w:val="00B61DDE"/>
    <w:rsid w:val="00B62892"/>
    <w:rsid w:val="00B63F07"/>
    <w:rsid w:val="00B64FD7"/>
    <w:rsid w:val="00B650D8"/>
    <w:rsid w:val="00B65FD9"/>
    <w:rsid w:val="00B6634F"/>
    <w:rsid w:val="00B67FDC"/>
    <w:rsid w:val="00B708CF"/>
    <w:rsid w:val="00B71697"/>
    <w:rsid w:val="00B71781"/>
    <w:rsid w:val="00B7222E"/>
    <w:rsid w:val="00B7336C"/>
    <w:rsid w:val="00B734C2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A424D"/>
    <w:rsid w:val="00BA4B60"/>
    <w:rsid w:val="00BB01C4"/>
    <w:rsid w:val="00BB1DDF"/>
    <w:rsid w:val="00BB1F05"/>
    <w:rsid w:val="00BB4665"/>
    <w:rsid w:val="00BB4A4E"/>
    <w:rsid w:val="00BC1CC8"/>
    <w:rsid w:val="00BC2D7C"/>
    <w:rsid w:val="00BC6124"/>
    <w:rsid w:val="00BC76D0"/>
    <w:rsid w:val="00BD3529"/>
    <w:rsid w:val="00BD5207"/>
    <w:rsid w:val="00BE0FF7"/>
    <w:rsid w:val="00BE134F"/>
    <w:rsid w:val="00BE1A23"/>
    <w:rsid w:val="00BE3538"/>
    <w:rsid w:val="00BE4EA8"/>
    <w:rsid w:val="00BE56ED"/>
    <w:rsid w:val="00BE67E4"/>
    <w:rsid w:val="00BE77A5"/>
    <w:rsid w:val="00BF158F"/>
    <w:rsid w:val="00BF1A98"/>
    <w:rsid w:val="00BF2576"/>
    <w:rsid w:val="00BF279A"/>
    <w:rsid w:val="00BF5106"/>
    <w:rsid w:val="00BF583E"/>
    <w:rsid w:val="00BF5D19"/>
    <w:rsid w:val="00BF5DF9"/>
    <w:rsid w:val="00C0043D"/>
    <w:rsid w:val="00C032E9"/>
    <w:rsid w:val="00C03950"/>
    <w:rsid w:val="00C04AEB"/>
    <w:rsid w:val="00C04E50"/>
    <w:rsid w:val="00C053AA"/>
    <w:rsid w:val="00C05572"/>
    <w:rsid w:val="00C060D6"/>
    <w:rsid w:val="00C10CA2"/>
    <w:rsid w:val="00C1154C"/>
    <w:rsid w:val="00C11CA8"/>
    <w:rsid w:val="00C13B3E"/>
    <w:rsid w:val="00C17B97"/>
    <w:rsid w:val="00C20338"/>
    <w:rsid w:val="00C20F02"/>
    <w:rsid w:val="00C2114D"/>
    <w:rsid w:val="00C21D67"/>
    <w:rsid w:val="00C24B34"/>
    <w:rsid w:val="00C26ABE"/>
    <w:rsid w:val="00C276B1"/>
    <w:rsid w:val="00C343BD"/>
    <w:rsid w:val="00C3561A"/>
    <w:rsid w:val="00C36730"/>
    <w:rsid w:val="00C374D4"/>
    <w:rsid w:val="00C4141D"/>
    <w:rsid w:val="00C437B1"/>
    <w:rsid w:val="00C45AAA"/>
    <w:rsid w:val="00C46721"/>
    <w:rsid w:val="00C46EC8"/>
    <w:rsid w:val="00C52FF7"/>
    <w:rsid w:val="00C536FD"/>
    <w:rsid w:val="00C54450"/>
    <w:rsid w:val="00C546FF"/>
    <w:rsid w:val="00C54B84"/>
    <w:rsid w:val="00C54C86"/>
    <w:rsid w:val="00C56178"/>
    <w:rsid w:val="00C56687"/>
    <w:rsid w:val="00C56F97"/>
    <w:rsid w:val="00C577A9"/>
    <w:rsid w:val="00C62367"/>
    <w:rsid w:val="00C674B4"/>
    <w:rsid w:val="00C717FC"/>
    <w:rsid w:val="00C72455"/>
    <w:rsid w:val="00C74392"/>
    <w:rsid w:val="00C74422"/>
    <w:rsid w:val="00C75948"/>
    <w:rsid w:val="00C76D3F"/>
    <w:rsid w:val="00C80D62"/>
    <w:rsid w:val="00C8337E"/>
    <w:rsid w:val="00C83CDE"/>
    <w:rsid w:val="00C83E21"/>
    <w:rsid w:val="00C85EEF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2AB4"/>
    <w:rsid w:val="00CA45DC"/>
    <w:rsid w:val="00CA492E"/>
    <w:rsid w:val="00CA4C09"/>
    <w:rsid w:val="00CA4FA9"/>
    <w:rsid w:val="00CA633A"/>
    <w:rsid w:val="00CA6DEF"/>
    <w:rsid w:val="00CA74CA"/>
    <w:rsid w:val="00CB09A1"/>
    <w:rsid w:val="00CB146D"/>
    <w:rsid w:val="00CB3355"/>
    <w:rsid w:val="00CB3F35"/>
    <w:rsid w:val="00CB4D1B"/>
    <w:rsid w:val="00CB69CF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4895"/>
    <w:rsid w:val="00CD4BD8"/>
    <w:rsid w:val="00CD671E"/>
    <w:rsid w:val="00CD683F"/>
    <w:rsid w:val="00CD6B90"/>
    <w:rsid w:val="00CD6DFA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6E3"/>
    <w:rsid w:val="00D04C48"/>
    <w:rsid w:val="00D05C60"/>
    <w:rsid w:val="00D0603C"/>
    <w:rsid w:val="00D061F7"/>
    <w:rsid w:val="00D06F63"/>
    <w:rsid w:val="00D07DF0"/>
    <w:rsid w:val="00D13147"/>
    <w:rsid w:val="00D14818"/>
    <w:rsid w:val="00D15111"/>
    <w:rsid w:val="00D167ED"/>
    <w:rsid w:val="00D17072"/>
    <w:rsid w:val="00D20341"/>
    <w:rsid w:val="00D21751"/>
    <w:rsid w:val="00D21F6E"/>
    <w:rsid w:val="00D22CFE"/>
    <w:rsid w:val="00D2380D"/>
    <w:rsid w:val="00D23A72"/>
    <w:rsid w:val="00D23AB2"/>
    <w:rsid w:val="00D24C4C"/>
    <w:rsid w:val="00D258D8"/>
    <w:rsid w:val="00D26331"/>
    <w:rsid w:val="00D2652D"/>
    <w:rsid w:val="00D27104"/>
    <w:rsid w:val="00D27341"/>
    <w:rsid w:val="00D301D2"/>
    <w:rsid w:val="00D309DD"/>
    <w:rsid w:val="00D30CEF"/>
    <w:rsid w:val="00D31C1B"/>
    <w:rsid w:val="00D33A1A"/>
    <w:rsid w:val="00D34424"/>
    <w:rsid w:val="00D34464"/>
    <w:rsid w:val="00D353A8"/>
    <w:rsid w:val="00D35969"/>
    <w:rsid w:val="00D377EE"/>
    <w:rsid w:val="00D40E17"/>
    <w:rsid w:val="00D413C5"/>
    <w:rsid w:val="00D42242"/>
    <w:rsid w:val="00D45208"/>
    <w:rsid w:val="00D45568"/>
    <w:rsid w:val="00D46F84"/>
    <w:rsid w:val="00D51C6E"/>
    <w:rsid w:val="00D51D87"/>
    <w:rsid w:val="00D53CE2"/>
    <w:rsid w:val="00D542CC"/>
    <w:rsid w:val="00D543F3"/>
    <w:rsid w:val="00D609E5"/>
    <w:rsid w:val="00D61F9A"/>
    <w:rsid w:val="00D62905"/>
    <w:rsid w:val="00D636FC"/>
    <w:rsid w:val="00D640C7"/>
    <w:rsid w:val="00D651BC"/>
    <w:rsid w:val="00D66971"/>
    <w:rsid w:val="00D708B7"/>
    <w:rsid w:val="00D755A7"/>
    <w:rsid w:val="00D77B37"/>
    <w:rsid w:val="00D80173"/>
    <w:rsid w:val="00D816A0"/>
    <w:rsid w:val="00D81D4D"/>
    <w:rsid w:val="00D823A9"/>
    <w:rsid w:val="00D83FB6"/>
    <w:rsid w:val="00D90217"/>
    <w:rsid w:val="00D91F7D"/>
    <w:rsid w:val="00D93D3D"/>
    <w:rsid w:val="00D95224"/>
    <w:rsid w:val="00D95989"/>
    <w:rsid w:val="00D96184"/>
    <w:rsid w:val="00D96B0A"/>
    <w:rsid w:val="00D96C89"/>
    <w:rsid w:val="00D97320"/>
    <w:rsid w:val="00DA2459"/>
    <w:rsid w:val="00DA52E8"/>
    <w:rsid w:val="00DA6836"/>
    <w:rsid w:val="00DB56F6"/>
    <w:rsid w:val="00DC2A0C"/>
    <w:rsid w:val="00DC511D"/>
    <w:rsid w:val="00DC54A4"/>
    <w:rsid w:val="00DD2C65"/>
    <w:rsid w:val="00DD491D"/>
    <w:rsid w:val="00DD4DEC"/>
    <w:rsid w:val="00DD55DA"/>
    <w:rsid w:val="00DD593A"/>
    <w:rsid w:val="00DD7BB6"/>
    <w:rsid w:val="00DE1FE9"/>
    <w:rsid w:val="00DE2B1F"/>
    <w:rsid w:val="00DE5012"/>
    <w:rsid w:val="00DE591C"/>
    <w:rsid w:val="00DE68E0"/>
    <w:rsid w:val="00DE6AEA"/>
    <w:rsid w:val="00DE78AB"/>
    <w:rsid w:val="00DF20F8"/>
    <w:rsid w:val="00DF274C"/>
    <w:rsid w:val="00DF2811"/>
    <w:rsid w:val="00DF3C21"/>
    <w:rsid w:val="00DF5912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102BB"/>
    <w:rsid w:val="00E118ED"/>
    <w:rsid w:val="00E126E0"/>
    <w:rsid w:val="00E13656"/>
    <w:rsid w:val="00E13E69"/>
    <w:rsid w:val="00E1655E"/>
    <w:rsid w:val="00E17D68"/>
    <w:rsid w:val="00E21DED"/>
    <w:rsid w:val="00E22DF8"/>
    <w:rsid w:val="00E22F11"/>
    <w:rsid w:val="00E25FA6"/>
    <w:rsid w:val="00E263F2"/>
    <w:rsid w:val="00E267F3"/>
    <w:rsid w:val="00E27E4C"/>
    <w:rsid w:val="00E301EE"/>
    <w:rsid w:val="00E30818"/>
    <w:rsid w:val="00E34AAD"/>
    <w:rsid w:val="00E36BE2"/>
    <w:rsid w:val="00E3755B"/>
    <w:rsid w:val="00E37CC9"/>
    <w:rsid w:val="00E4169D"/>
    <w:rsid w:val="00E42270"/>
    <w:rsid w:val="00E43930"/>
    <w:rsid w:val="00E43BF0"/>
    <w:rsid w:val="00E44E3C"/>
    <w:rsid w:val="00E45CD7"/>
    <w:rsid w:val="00E46DBD"/>
    <w:rsid w:val="00E4759B"/>
    <w:rsid w:val="00E50B8E"/>
    <w:rsid w:val="00E50D3A"/>
    <w:rsid w:val="00E5230C"/>
    <w:rsid w:val="00E52BE0"/>
    <w:rsid w:val="00E544CF"/>
    <w:rsid w:val="00E5485A"/>
    <w:rsid w:val="00E562B4"/>
    <w:rsid w:val="00E568E1"/>
    <w:rsid w:val="00E572F8"/>
    <w:rsid w:val="00E574FC"/>
    <w:rsid w:val="00E60629"/>
    <w:rsid w:val="00E60695"/>
    <w:rsid w:val="00E61043"/>
    <w:rsid w:val="00E61CF3"/>
    <w:rsid w:val="00E61E4D"/>
    <w:rsid w:val="00E63E75"/>
    <w:rsid w:val="00E64A0B"/>
    <w:rsid w:val="00E6515F"/>
    <w:rsid w:val="00E657FD"/>
    <w:rsid w:val="00E65AAE"/>
    <w:rsid w:val="00E65BF2"/>
    <w:rsid w:val="00E672C7"/>
    <w:rsid w:val="00E678EA"/>
    <w:rsid w:val="00E73406"/>
    <w:rsid w:val="00E75B91"/>
    <w:rsid w:val="00E7625C"/>
    <w:rsid w:val="00E76BC5"/>
    <w:rsid w:val="00E7781F"/>
    <w:rsid w:val="00E81782"/>
    <w:rsid w:val="00E824FD"/>
    <w:rsid w:val="00E83879"/>
    <w:rsid w:val="00E8596C"/>
    <w:rsid w:val="00E865C0"/>
    <w:rsid w:val="00E900AF"/>
    <w:rsid w:val="00E90AFB"/>
    <w:rsid w:val="00E91CC1"/>
    <w:rsid w:val="00E94FC2"/>
    <w:rsid w:val="00E95659"/>
    <w:rsid w:val="00E95C92"/>
    <w:rsid w:val="00E97CC8"/>
    <w:rsid w:val="00EA3C71"/>
    <w:rsid w:val="00EA4E3C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AFB"/>
    <w:rsid w:val="00EB7589"/>
    <w:rsid w:val="00EB76A8"/>
    <w:rsid w:val="00EC1E91"/>
    <w:rsid w:val="00EC3A18"/>
    <w:rsid w:val="00EC5217"/>
    <w:rsid w:val="00EC55CB"/>
    <w:rsid w:val="00EC5C09"/>
    <w:rsid w:val="00EC7638"/>
    <w:rsid w:val="00ED073D"/>
    <w:rsid w:val="00ED0CFD"/>
    <w:rsid w:val="00ED0ED7"/>
    <w:rsid w:val="00ED26C2"/>
    <w:rsid w:val="00ED3457"/>
    <w:rsid w:val="00ED6F5A"/>
    <w:rsid w:val="00EE622A"/>
    <w:rsid w:val="00EE6DB9"/>
    <w:rsid w:val="00EF21E1"/>
    <w:rsid w:val="00EF462D"/>
    <w:rsid w:val="00EF4908"/>
    <w:rsid w:val="00EF5B96"/>
    <w:rsid w:val="00EF67C4"/>
    <w:rsid w:val="00F00618"/>
    <w:rsid w:val="00F01ED5"/>
    <w:rsid w:val="00F06C54"/>
    <w:rsid w:val="00F07D74"/>
    <w:rsid w:val="00F1028E"/>
    <w:rsid w:val="00F11576"/>
    <w:rsid w:val="00F115AA"/>
    <w:rsid w:val="00F117D2"/>
    <w:rsid w:val="00F12BB1"/>
    <w:rsid w:val="00F12BCE"/>
    <w:rsid w:val="00F15DF9"/>
    <w:rsid w:val="00F16B41"/>
    <w:rsid w:val="00F17700"/>
    <w:rsid w:val="00F214DB"/>
    <w:rsid w:val="00F22502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5033A"/>
    <w:rsid w:val="00F61E47"/>
    <w:rsid w:val="00F61E7A"/>
    <w:rsid w:val="00F6436F"/>
    <w:rsid w:val="00F6596E"/>
    <w:rsid w:val="00F6679F"/>
    <w:rsid w:val="00F67BB5"/>
    <w:rsid w:val="00F67CAA"/>
    <w:rsid w:val="00F71E30"/>
    <w:rsid w:val="00F72F47"/>
    <w:rsid w:val="00F82796"/>
    <w:rsid w:val="00F83A61"/>
    <w:rsid w:val="00F845C6"/>
    <w:rsid w:val="00F86243"/>
    <w:rsid w:val="00F87942"/>
    <w:rsid w:val="00F9162E"/>
    <w:rsid w:val="00F916E8"/>
    <w:rsid w:val="00F948AD"/>
    <w:rsid w:val="00F97009"/>
    <w:rsid w:val="00F97E31"/>
    <w:rsid w:val="00FA028D"/>
    <w:rsid w:val="00FA1696"/>
    <w:rsid w:val="00FA1D06"/>
    <w:rsid w:val="00FA4086"/>
    <w:rsid w:val="00FA68F1"/>
    <w:rsid w:val="00FA6B98"/>
    <w:rsid w:val="00FA6CD2"/>
    <w:rsid w:val="00FB028A"/>
    <w:rsid w:val="00FB3E48"/>
    <w:rsid w:val="00FB41F7"/>
    <w:rsid w:val="00FB4811"/>
    <w:rsid w:val="00FB59BA"/>
    <w:rsid w:val="00FB5FD1"/>
    <w:rsid w:val="00FC01D2"/>
    <w:rsid w:val="00FC094C"/>
    <w:rsid w:val="00FC0D4E"/>
    <w:rsid w:val="00FC183E"/>
    <w:rsid w:val="00FC3BAE"/>
    <w:rsid w:val="00FC4E8E"/>
    <w:rsid w:val="00FC6102"/>
    <w:rsid w:val="00FC7166"/>
    <w:rsid w:val="00FC7BAC"/>
    <w:rsid w:val="00FD06B6"/>
    <w:rsid w:val="00FD1399"/>
    <w:rsid w:val="00FD146A"/>
    <w:rsid w:val="00FD1DDA"/>
    <w:rsid w:val="00FD237E"/>
    <w:rsid w:val="00FD47E8"/>
    <w:rsid w:val="00FD4B4C"/>
    <w:rsid w:val="00FD710E"/>
    <w:rsid w:val="00FD728D"/>
    <w:rsid w:val="00FE03AB"/>
    <w:rsid w:val="00FE09E6"/>
    <w:rsid w:val="00FE277E"/>
    <w:rsid w:val="00FE38BE"/>
    <w:rsid w:val="00FE5B99"/>
    <w:rsid w:val="00FE63F6"/>
    <w:rsid w:val="00FE7C89"/>
    <w:rsid w:val="00FF052C"/>
    <w:rsid w:val="00FF3ABB"/>
    <w:rsid w:val="00FF4002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5138"/>
  <w15:docId w15:val="{3800EDFA-A132-451E-96FA-4901BED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F257-0BFF-4967-AD98-071FA490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2</cp:revision>
  <cp:lastPrinted>2014-01-27T14:53:00Z</cp:lastPrinted>
  <dcterms:created xsi:type="dcterms:W3CDTF">2018-11-05T15:50:00Z</dcterms:created>
  <dcterms:modified xsi:type="dcterms:W3CDTF">2018-11-05T15:50:00Z</dcterms:modified>
</cp:coreProperties>
</file>