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597B19" w:rsidRDefault="00EA3906" w:rsidP="00D43524">
      <w:pPr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MANOVRA: PER LA SANITÀ BEN € 8,5 MILIARDI DAL 2020, </w:t>
      </w:r>
      <w:r>
        <w:rPr>
          <w:b/>
          <w:bCs/>
          <w:sz w:val="32"/>
          <w:szCs w:val="30"/>
        </w:rPr>
        <w:br/>
        <w:t>MA NIENTE RISORSE VINCOLATE PER IL PERSONALE E LO SBLOCCO DEI NUOVI LEA. CALA IL SILENZIO SUL FINANZIAMENTO 2022</w:t>
      </w:r>
    </w:p>
    <w:p w:rsidR="005F6AB4" w:rsidRDefault="00EA3906" w:rsidP="009C7EF6">
      <w:pPr>
        <w:jc w:val="both"/>
        <w:rPr>
          <w:b/>
        </w:rPr>
      </w:pPr>
      <w:r>
        <w:rPr>
          <w:b/>
        </w:rPr>
        <w:t>LA LEGGE DI BILANCIO ESCE DAL SENATO CON UN “PANIERE” MOLTO RICCO, SEMPRE CHE OGGI GOVERNO E REGIONI RIESCANO A SCRIVERE LA PAROLA FINE ALLA SAGA INFINITA DEL PATTO PER LA SALUTE SBLOCCANDO L’INCREMENTO DI € 3,5 MILIARDI DEL FABBISOGNO SANITARIO NAZIONALE. VA IN SOFFITTA IL SUPERTICKET, ARRIVANO € 2 MILIARDI IN 11 ANNI PER RISTRUTTURAZIONE EDILIZIA E AMMO</w:t>
      </w:r>
      <w:bookmarkStart w:id="0" w:name="_GoBack"/>
      <w:bookmarkEnd w:id="0"/>
      <w:r>
        <w:rPr>
          <w:b/>
        </w:rPr>
        <w:t xml:space="preserve">DERNAMENTO TECNOLOGICO, € 879 MILIONI IN 4 ANNI PER DISABILITÀ E NON AUTOSUFFICIENZA E </w:t>
      </w:r>
      <w:r w:rsidRPr="005F6AB4">
        <w:rPr>
          <w:b/>
        </w:rPr>
        <w:t xml:space="preserve">€ 157 MILIONI </w:t>
      </w:r>
      <w:r>
        <w:rPr>
          <w:b/>
        </w:rPr>
        <w:t>PER OLTRE 1.200 CONTRATTI DI FORMAZIONE SPECIALISTICA. RIMANGONO NEL DIMENTICATOIO SIA LE RISORSE VINCOLATE PER RINNOVI CONTRATTUALI E SBLOCCO DEI NUOVI LEA, SIA LA DEFINIZIONE DEL FABBISOGNO SANITARIO NAZIONALE PER IL 2022.</w:t>
      </w:r>
    </w:p>
    <w:p w:rsidR="005B4F61" w:rsidRDefault="00AE099E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18</w:t>
      </w:r>
      <w:r w:rsidR="00DE6AEA" w:rsidRPr="00CC2C8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185513" w:rsidRPr="00CC2C80">
        <w:rPr>
          <w:rFonts w:ascii="Calibri" w:eastAsia="Calibri" w:hAnsi="Calibri" w:cs="Times New Roman"/>
          <w:b/>
          <w:bCs/>
          <w:sz w:val="24"/>
          <w:szCs w:val="24"/>
        </w:rPr>
        <w:t>dicembre</w:t>
      </w:r>
      <w:r w:rsidR="00C62367" w:rsidRPr="00CC2C8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CC2C80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>
        <w:rPr>
          <w:rFonts w:ascii="Calibri" w:eastAsia="Calibri" w:hAnsi="Calibri" w:cs="Times New Roman"/>
          <w:b/>
          <w:bCs/>
          <w:sz w:val="24"/>
          <w:szCs w:val="24"/>
        </w:rPr>
        <w:t>9</w:t>
      </w:r>
      <w:r w:rsidR="005B4F61" w:rsidRPr="00CC2C8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815D4F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:rsidR="00B41222" w:rsidRPr="00B41222" w:rsidRDefault="00E33F59" w:rsidP="00B41222">
      <w:pPr>
        <w:jc w:val="both"/>
        <w:rPr>
          <w:rStyle w:val="Collegamentoipertestuale"/>
          <w:rFonts w:cstheme="minorHAnsi"/>
          <w:color w:val="auto"/>
          <w:u w:val="none"/>
        </w:rPr>
      </w:pPr>
      <w:r>
        <w:rPr>
          <w:rFonts w:cstheme="minorHAnsi"/>
        </w:rPr>
        <w:t>Dopo il</w:t>
      </w:r>
      <w:r w:rsidR="00E31DC7">
        <w:rPr>
          <w:rFonts w:cstheme="minorHAnsi"/>
        </w:rPr>
        <w:t xml:space="preserve"> via libera del Senato</w:t>
      </w:r>
      <w:r w:rsidR="001C579A">
        <w:rPr>
          <w:rFonts w:cstheme="minorHAnsi"/>
        </w:rPr>
        <w:t>,</w:t>
      </w:r>
      <w:r w:rsidR="00E31DC7">
        <w:rPr>
          <w:rFonts w:cstheme="minorHAnsi"/>
        </w:rPr>
        <w:t xml:space="preserve"> la Fondazione GIMBE </w:t>
      </w:r>
      <w:r w:rsidR="00E84075">
        <w:rPr>
          <w:rFonts w:cstheme="minorHAnsi"/>
        </w:rPr>
        <w:t>port</w:t>
      </w:r>
      <w:r w:rsidR="00E31DC7">
        <w:rPr>
          <w:rFonts w:cstheme="minorHAnsi"/>
        </w:rPr>
        <w:t>a</w:t>
      </w:r>
      <w:r w:rsidR="00632F90">
        <w:rPr>
          <w:rFonts w:cstheme="minorHAnsi"/>
        </w:rPr>
        <w:t xml:space="preserve"> </w:t>
      </w:r>
      <w:r w:rsidR="00E84075">
        <w:rPr>
          <w:rFonts w:cstheme="minorHAnsi"/>
        </w:rPr>
        <w:t xml:space="preserve">all’attenzione dell’opinione pubblica e della politica </w:t>
      </w:r>
      <w:r w:rsidR="00E31DC7">
        <w:rPr>
          <w:rFonts w:cstheme="minorHAnsi"/>
        </w:rPr>
        <w:t>un’analisi indipendente delle misure sanitarie e socio</w:t>
      </w:r>
      <w:r w:rsidR="00940DC6">
        <w:rPr>
          <w:rFonts w:cstheme="minorHAnsi"/>
        </w:rPr>
        <w:t>-</w:t>
      </w:r>
      <w:r w:rsidR="00E31DC7">
        <w:rPr>
          <w:rFonts w:cstheme="minorHAnsi"/>
        </w:rPr>
        <w:t>sanitarie contenute nella Legge di Bilancio</w:t>
      </w:r>
      <w:r w:rsidR="00897A0E">
        <w:rPr>
          <w:rFonts w:cstheme="minorHAnsi"/>
        </w:rPr>
        <w:t xml:space="preserve"> 2020</w:t>
      </w:r>
      <w:r w:rsidR="00B41222">
        <w:rPr>
          <w:rFonts w:cstheme="minorHAnsi"/>
        </w:rPr>
        <w:t>,</w:t>
      </w:r>
      <w:r w:rsidR="00632F90">
        <w:rPr>
          <w:rFonts w:cstheme="minorHAnsi"/>
        </w:rPr>
        <w:t xml:space="preserve"> </w:t>
      </w:r>
      <w:r w:rsidR="00712119">
        <w:rPr>
          <w:rFonts w:cstheme="minorHAnsi"/>
        </w:rPr>
        <w:t xml:space="preserve">al fine di </w:t>
      </w:r>
      <w:r w:rsidR="00703EE4">
        <w:rPr>
          <w:rFonts w:cstheme="minorHAnsi"/>
        </w:rPr>
        <w:t xml:space="preserve">fornire un contributo </w:t>
      </w:r>
      <w:r w:rsidR="003E2EC1">
        <w:rPr>
          <w:rFonts w:cstheme="minorHAnsi"/>
        </w:rPr>
        <w:t>al</w:t>
      </w:r>
      <w:r w:rsidR="00E84075">
        <w:rPr>
          <w:rFonts w:cstheme="minorHAnsi"/>
        </w:rPr>
        <w:t xml:space="preserve"> dibattito parlamentare conclusivo</w:t>
      </w:r>
      <w:r w:rsidR="003B6748">
        <w:rPr>
          <w:rFonts w:cstheme="minorHAnsi"/>
        </w:rPr>
        <w:t xml:space="preserve">, </w:t>
      </w:r>
      <w:r w:rsidR="00703EE4">
        <w:rPr>
          <w:rFonts w:cstheme="minorHAnsi"/>
        </w:rPr>
        <w:t>a</w:t>
      </w:r>
      <w:r w:rsidR="00597B19">
        <w:rPr>
          <w:rFonts w:cstheme="minorHAnsi"/>
        </w:rPr>
        <w:t xml:space="preserve">nche </w:t>
      </w:r>
      <w:r w:rsidR="00926440">
        <w:rPr>
          <w:rFonts w:cstheme="minorHAnsi"/>
        </w:rPr>
        <w:t>se</w:t>
      </w:r>
      <w:r w:rsidR="00897A0E">
        <w:rPr>
          <w:rFonts w:cstheme="minorHAnsi"/>
        </w:rPr>
        <w:t xml:space="preserve"> difficilmente </w:t>
      </w:r>
      <w:r w:rsidR="00597B19">
        <w:rPr>
          <w:rFonts w:cstheme="minorHAnsi"/>
        </w:rPr>
        <w:t xml:space="preserve">alla Camera </w:t>
      </w:r>
      <w:r w:rsidR="00703EE4">
        <w:rPr>
          <w:rFonts w:cstheme="minorHAnsi"/>
        </w:rPr>
        <w:t xml:space="preserve">potranno esserci </w:t>
      </w:r>
      <w:r w:rsidR="00597B19">
        <w:rPr>
          <w:rFonts w:cstheme="minorHAnsi"/>
        </w:rPr>
        <w:t xml:space="preserve">modifiche </w:t>
      </w:r>
      <w:r w:rsidR="00CA792A">
        <w:rPr>
          <w:rFonts w:cstheme="minorHAnsi"/>
        </w:rPr>
        <w:t xml:space="preserve">prima </w:t>
      </w:r>
      <w:r w:rsidR="00597B19">
        <w:rPr>
          <w:rFonts w:cstheme="minorHAnsi"/>
        </w:rPr>
        <w:t>del voto finale</w:t>
      </w:r>
      <w:r w:rsidR="00887B9E">
        <w:rPr>
          <w:rFonts w:cstheme="minorHAnsi"/>
        </w:rPr>
        <w:t>.</w:t>
      </w:r>
      <w:r w:rsidR="00632F90">
        <w:rPr>
          <w:rFonts w:cstheme="minorHAnsi"/>
        </w:rPr>
        <w:t xml:space="preserve"> </w:t>
      </w:r>
      <w:r w:rsidR="00887B9E" w:rsidRPr="0046020B">
        <w:rPr>
          <w:rFonts w:cstheme="minorHAnsi"/>
        </w:rPr>
        <w:t>«</w:t>
      </w:r>
      <w:r w:rsidR="00712119">
        <w:rPr>
          <w:rFonts w:cstheme="minorHAnsi"/>
        </w:rPr>
        <w:t>Fondamentale inna</w:t>
      </w:r>
      <w:r w:rsidR="00B41222">
        <w:rPr>
          <w:rFonts w:cstheme="minorHAnsi"/>
        </w:rPr>
        <w:t xml:space="preserve">nzitutto </w:t>
      </w:r>
      <w:r w:rsidR="00887B9E">
        <w:rPr>
          <w:rFonts w:cstheme="minorHAnsi"/>
        </w:rPr>
        <w:t xml:space="preserve">offrire </w:t>
      </w:r>
      <w:r w:rsidR="00B41222">
        <w:rPr>
          <w:rFonts w:cstheme="minorHAnsi"/>
        </w:rPr>
        <w:t>un prospetto sulle cifre</w:t>
      </w:r>
      <w:r w:rsidR="00C70BDC">
        <w:rPr>
          <w:rFonts w:cstheme="minorHAnsi"/>
        </w:rPr>
        <w:t xml:space="preserve"> </w:t>
      </w:r>
      <w:r w:rsidR="00F31A2A">
        <w:rPr>
          <w:rFonts w:cstheme="minorHAnsi"/>
        </w:rPr>
        <w:t>destinate al</w:t>
      </w:r>
      <w:r w:rsidR="008D1ADE">
        <w:rPr>
          <w:rFonts w:cstheme="minorHAnsi"/>
        </w:rPr>
        <w:t>la sanità</w:t>
      </w:r>
      <w:r w:rsidR="004379E3">
        <w:rPr>
          <w:rFonts w:cstheme="minorHAnsi"/>
        </w:rPr>
        <w:t xml:space="preserve"> sino a fine legislatura</w:t>
      </w:r>
      <w:r w:rsidR="00926440">
        <w:rPr>
          <w:rFonts w:cstheme="minorHAnsi"/>
        </w:rPr>
        <w:t xml:space="preserve"> </w:t>
      </w:r>
      <w:r w:rsidR="00940DC6" w:rsidRPr="0046020B">
        <w:rPr>
          <w:rFonts w:cstheme="minorHAnsi"/>
        </w:rPr>
        <w:t>– afferma Nino Cartabellotta, Presidente della Fondazione GIMBE –</w:t>
      </w:r>
      <w:r w:rsidR="00940DC6">
        <w:rPr>
          <w:rFonts w:cstheme="minorHAnsi"/>
        </w:rPr>
        <w:t xml:space="preserve"> </w:t>
      </w:r>
      <w:r w:rsidR="00FB6806">
        <w:rPr>
          <w:rFonts w:cstheme="minorHAnsi"/>
        </w:rPr>
        <w:t xml:space="preserve">perché </w:t>
      </w:r>
      <w:r w:rsidR="00B41222">
        <w:rPr>
          <w:rFonts w:cstheme="minorHAnsi"/>
        </w:rPr>
        <w:t xml:space="preserve">le dichiarazioni informali </w:t>
      </w:r>
      <w:r w:rsidR="00FB6806">
        <w:rPr>
          <w:rFonts w:cstheme="minorHAnsi"/>
        </w:rPr>
        <w:t xml:space="preserve">che si rincorrono su stampa, TV e </w:t>
      </w:r>
      <w:r w:rsidR="00B41222" w:rsidRPr="00682967">
        <w:rPr>
          <w:rFonts w:cstheme="minorHAnsi"/>
        </w:rPr>
        <w:t>social</w:t>
      </w:r>
      <w:r w:rsidR="001C579A">
        <w:rPr>
          <w:rFonts w:cstheme="minorHAnsi"/>
        </w:rPr>
        <w:t xml:space="preserve"> media</w:t>
      </w:r>
      <w:r w:rsidR="00011D93">
        <w:rPr>
          <w:rFonts w:cstheme="minorHAnsi"/>
        </w:rPr>
        <w:t xml:space="preserve"> </w:t>
      </w:r>
      <w:r w:rsidR="00B41222">
        <w:rPr>
          <w:rFonts w:cstheme="minorHAnsi"/>
        </w:rPr>
        <w:t>ripor</w:t>
      </w:r>
      <w:r w:rsidR="00887B9E">
        <w:rPr>
          <w:rFonts w:cstheme="minorHAnsi"/>
        </w:rPr>
        <w:t>tano dati parziali e incompleti e si prestano</w:t>
      </w:r>
      <w:r w:rsidR="00B41222">
        <w:rPr>
          <w:rFonts w:cstheme="minorHAnsi"/>
        </w:rPr>
        <w:t xml:space="preserve"> </w:t>
      </w:r>
      <w:r w:rsidR="00011D93">
        <w:rPr>
          <w:rFonts w:cstheme="minorHAnsi"/>
        </w:rPr>
        <w:t xml:space="preserve">a </w:t>
      </w:r>
      <w:r w:rsidR="00887B9E">
        <w:rPr>
          <w:rFonts w:cstheme="minorHAnsi"/>
        </w:rPr>
        <w:t>strumentalizzazioni politiche</w:t>
      </w:r>
      <w:r w:rsidR="00887B9E" w:rsidRPr="0046020B">
        <w:rPr>
          <w:rFonts w:cstheme="minorHAnsi"/>
        </w:rPr>
        <w:t>».</w:t>
      </w:r>
    </w:p>
    <w:tbl>
      <w:tblPr>
        <w:tblStyle w:val="Grigliatabella"/>
        <w:tblW w:w="4945" w:type="pct"/>
        <w:tblInd w:w="108" w:type="dxa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ook w:val="04A0" w:firstRow="1" w:lastRow="0" w:firstColumn="1" w:lastColumn="0" w:noHBand="0" w:noVBand="1"/>
      </w:tblPr>
      <w:tblGrid>
        <w:gridCol w:w="5246"/>
        <w:gridCol w:w="1004"/>
        <w:gridCol w:w="873"/>
        <w:gridCol w:w="873"/>
        <w:gridCol w:w="873"/>
        <w:gridCol w:w="877"/>
      </w:tblGrid>
      <w:tr w:rsidR="00B41222" w:rsidRPr="00324DED" w:rsidTr="00926440">
        <w:trPr>
          <w:trHeight w:val="397"/>
        </w:trPr>
        <w:tc>
          <w:tcPr>
            <w:tcW w:w="2691" w:type="pct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2159D7" w:rsidP="002159D7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LEGGE DI BILANCIO 2020</w:t>
            </w:r>
            <w:r w:rsidR="00B41222">
              <w:rPr>
                <w:rFonts w:cstheme="minorHAnsi"/>
                <w:b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</w:rPr>
              <w:br/>
              <w:t>M</w:t>
            </w:r>
            <w:r w:rsidR="00B41222" w:rsidRPr="00324DED">
              <w:rPr>
                <w:rFonts w:cstheme="minorHAnsi"/>
                <w:b/>
                <w:color w:val="FFFFFF" w:themeColor="background1"/>
              </w:rPr>
              <w:t>isure sanitarie</w:t>
            </w:r>
            <w:r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B41222" w:rsidRPr="00324DED">
              <w:rPr>
                <w:rFonts w:cstheme="minorHAnsi"/>
                <w:b/>
                <w:color w:val="FFFFFF" w:themeColor="background1"/>
              </w:rPr>
              <w:t>e soci</w:t>
            </w:r>
            <w:r w:rsidR="00B41222">
              <w:rPr>
                <w:rFonts w:cstheme="minorHAnsi"/>
                <w:b/>
                <w:color w:val="FFFFFF" w:themeColor="background1"/>
              </w:rPr>
              <w:t xml:space="preserve">o-sanitarie </w:t>
            </w:r>
            <w:r w:rsidR="00B41222" w:rsidRPr="00324DED">
              <w:rPr>
                <w:rFonts w:cstheme="minorHAnsi"/>
                <w:b/>
                <w:color w:val="FFFFFF" w:themeColor="background1"/>
              </w:rPr>
              <w:t>al 18</w:t>
            </w:r>
            <w:r w:rsidR="00224508">
              <w:rPr>
                <w:rFonts w:cstheme="minorHAnsi"/>
                <w:b/>
                <w:color w:val="FFFFFF" w:themeColor="background1"/>
              </w:rPr>
              <w:t>/</w:t>
            </w:r>
            <w:r w:rsidR="00B41222" w:rsidRPr="00324DED">
              <w:rPr>
                <w:rFonts w:cstheme="minorHAnsi"/>
                <w:b/>
                <w:color w:val="FFFFFF" w:themeColor="background1"/>
              </w:rPr>
              <w:t>12</w:t>
            </w:r>
            <w:r w:rsidR="00224508">
              <w:rPr>
                <w:rFonts w:cstheme="minorHAnsi"/>
                <w:b/>
                <w:color w:val="FFFFFF" w:themeColor="background1"/>
              </w:rPr>
              <w:t>/</w:t>
            </w:r>
            <w:r w:rsidR="00B41222" w:rsidRPr="00324DED">
              <w:rPr>
                <w:rFonts w:cstheme="minorHAnsi"/>
                <w:b/>
                <w:color w:val="FFFFFF" w:themeColor="background1"/>
              </w:rPr>
              <w:t>2019</w:t>
            </w:r>
          </w:p>
        </w:tc>
        <w:tc>
          <w:tcPr>
            <w:tcW w:w="2309" w:type="pct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B41222" w:rsidP="00A95C7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24DED">
              <w:rPr>
                <w:rFonts w:cstheme="minorHAnsi"/>
                <w:b/>
                <w:color w:val="FFFFFF" w:themeColor="background1"/>
              </w:rPr>
              <w:t>MILIONI DI EURO</w:t>
            </w:r>
          </w:p>
        </w:tc>
      </w:tr>
      <w:tr w:rsidR="00B41222" w:rsidRPr="00324DED" w:rsidTr="00B14504">
        <w:trPr>
          <w:trHeight w:val="397"/>
        </w:trPr>
        <w:tc>
          <w:tcPr>
            <w:tcW w:w="2691" w:type="pct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B41222" w:rsidP="00A95C70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1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926440" w:rsidP="00A95C7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Stanziati</w:t>
            </w:r>
          </w:p>
        </w:tc>
        <w:tc>
          <w:tcPr>
            <w:tcW w:w="44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B41222" w:rsidP="00A95C70">
            <w:pPr>
              <w:jc w:val="center"/>
              <w:rPr>
                <w:rFonts w:cstheme="minorHAnsi"/>
                <w:color w:val="FFFFFF" w:themeColor="background1"/>
              </w:rPr>
            </w:pPr>
            <w:r w:rsidRPr="00324DED">
              <w:rPr>
                <w:rFonts w:cstheme="minorHAnsi"/>
                <w:b/>
                <w:color w:val="FFFFFF" w:themeColor="background1"/>
              </w:rPr>
              <w:t>2020</w:t>
            </w:r>
          </w:p>
        </w:tc>
        <w:tc>
          <w:tcPr>
            <w:tcW w:w="44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B41222" w:rsidP="00A95C70">
            <w:pPr>
              <w:jc w:val="center"/>
              <w:rPr>
                <w:rFonts w:cstheme="minorHAnsi"/>
                <w:color w:val="FFFFFF" w:themeColor="background1"/>
              </w:rPr>
            </w:pPr>
            <w:r w:rsidRPr="00324DED">
              <w:rPr>
                <w:rFonts w:cstheme="minorHAnsi"/>
                <w:b/>
                <w:color w:val="FFFFFF" w:themeColor="background1"/>
              </w:rPr>
              <w:t>2021</w:t>
            </w:r>
          </w:p>
        </w:tc>
        <w:tc>
          <w:tcPr>
            <w:tcW w:w="44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B41222" w:rsidP="00A95C70">
            <w:pPr>
              <w:jc w:val="center"/>
              <w:rPr>
                <w:rFonts w:cstheme="minorHAnsi"/>
                <w:color w:val="FFFFFF" w:themeColor="background1"/>
              </w:rPr>
            </w:pPr>
            <w:r w:rsidRPr="00324DED">
              <w:rPr>
                <w:rFonts w:cstheme="minorHAnsi"/>
                <w:b/>
                <w:color w:val="FFFFFF" w:themeColor="background1"/>
              </w:rPr>
              <w:t>2022</w:t>
            </w:r>
          </w:p>
        </w:tc>
        <w:tc>
          <w:tcPr>
            <w:tcW w:w="450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vAlign w:val="center"/>
          </w:tcPr>
          <w:p w:rsidR="00B41222" w:rsidRPr="00324DED" w:rsidRDefault="00B41222" w:rsidP="00A95C7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24DED">
              <w:rPr>
                <w:rFonts w:cstheme="minorHAnsi"/>
                <w:b/>
                <w:color w:val="FFFFFF" w:themeColor="background1"/>
              </w:rPr>
              <w:t>2023</w:t>
            </w:r>
          </w:p>
        </w:tc>
      </w:tr>
      <w:tr w:rsidR="00B41222" w:rsidTr="004379E3">
        <w:trPr>
          <w:trHeight w:val="397"/>
        </w:trPr>
        <w:tc>
          <w:tcPr>
            <w:tcW w:w="2691" w:type="pct"/>
            <w:vAlign w:val="center"/>
          </w:tcPr>
          <w:p w:rsidR="00B41222" w:rsidRPr="00F21708" w:rsidRDefault="00B41222" w:rsidP="00A95C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Aumento del f</w:t>
            </w:r>
            <w:r w:rsidRPr="00537B61">
              <w:rPr>
                <w:rFonts w:cstheme="minorHAnsi"/>
                <w:b/>
              </w:rPr>
              <w:t>abbisogno sanitario</w:t>
            </w:r>
            <w:r>
              <w:rPr>
                <w:rFonts w:cstheme="minorHAnsi"/>
                <w:b/>
              </w:rPr>
              <w:t xml:space="preserve"> </w:t>
            </w:r>
            <w:r w:rsidRPr="00537B61">
              <w:rPr>
                <w:rFonts w:cstheme="minorHAnsi"/>
                <w:b/>
              </w:rPr>
              <w:t>nazionale standard</w:t>
            </w:r>
            <w:r w:rsidRPr="001255A7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515" w:type="pct"/>
            <w:vAlign w:val="center"/>
          </w:tcPr>
          <w:p w:rsidR="00B41222" w:rsidRPr="003B4671" w:rsidRDefault="00B41222" w:rsidP="00A95C70">
            <w:pPr>
              <w:jc w:val="right"/>
              <w:rPr>
                <w:rFonts w:cstheme="minorHAnsi"/>
                <w:b/>
              </w:rPr>
            </w:pPr>
            <w:r w:rsidRPr="003B4671">
              <w:rPr>
                <w:rFonts w:cstheme="minorHAnsi"/>
                <w:b/>
              </w:rPr>
              <w:t>3.500</w:t>
            </w:r>
          </w:p>
        </w:tc>
        <w:tc>
          <w:tcPr>
            <w:tcW w:w="448" w:type="pct"/>
            <w:vAlign w:val="center"/>
          </w:tcPr>
          <w:p w:rsidR="00B41222" w:rsidRDefault="00B41222" w:rsidP="00A95C7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2.000</w:t>
            </w:r>
          </w:p>
        </w:tc>
        <w:tc>
          <w:tcPr>
            <w:tcW w:w="448" w:type="pct"/>
            <w:vAlign w:val="center"/>
          </w:tcPr>
          <w:p w:rsidR="00B41222" w:rsidRDefault="00B41222" w:rsidP="00A95C7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1.500</w:t>
            </w:r>
          </w:p>
        </w:tc>
        <w:tc>
          <w:tcPr>
            <w:tcW w:w="448" w:type="pct"/>
            <w:vAlign w:val="center"/>
          </w:tcPr>
          <w:p w:rsidR="00B41222" w:rsidRPr="00C67A48" w:rsidRDefault="00B41222" w:rsidP="00A95C70">
            <w:pPr>
              <w:jc w:val="center"/>
              <w:rPr>
                <w:rFonts w:cstheme="minorHAnsi"/>
              </w:rPr>
            </w:pPr>
            <w:r w:rsidRPr="00C67A48">
              <w:rPr>
                <w:rFonts w:cstheme="minorHAnsi"/>
              </w:rPr>
              <w:t>-</w:t>
            </w:r>
          </w:p>
        </w:tc>
        <w:tc>
          <w:tcPr>
            <w:tcW w:w="450" w:type="pct"/>
            <w:shd w:val="clear" w:color="auto" w:fill="808080" w:themeFill="background1" w:themeFillShade="80"/>
            <w:vAlign w:val="center"/>
          </w:tcPr>
          <w:p w:rsidR="00B41222" w:rsidRDefault="00B41222" w:rsidP="00A95C70">
            <w:pPr>
              <w:jc w:val="center"/>
              <w:rPr>
                <w:rFonts w:cstheme="minorHAnsi"/>
              </w:rPr>
            </w:pP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FD6E01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Abolizione del superticket</w:t>
            </w:r>
          </w:p>
        </w:tc>
        <w:tc>
          <w:tcPr>
            <w:tcW w:w="515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1.847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185</w:t>
            </w:r>
            <w:r w:rsidR="00FD6E01" w:rsidRPr="008534EF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554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554</w:t>
            </w:r>
          </w:p>
        </w:tc>
        <w:tc>
          <w:tcPr>
            <w:tcW w:w="450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554</w:t>
            </w: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FD6E01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Edilizia sanitaria e ammodernamento tecnologico</w:t>
            </w:r>
          </w:p>
        </w:tc>
        <w:tc>
          <w:tcPr>
            <w:tcW w:w="515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  <w:b/>
              </w:rPr>
              <w:t>2.000</w:t>
            </w:r>
            <w:r w:rsidR="00FD6E01" w:rsidRPr="008534EF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center"/>
              <w:rPr>
                <w:rFonts w:cstheme="minorHAnsi"/>
              </w:rPr>
            </w:pPr>
            <w:r w:rsidRPr="008534EF">
              <w:rPr>
                <w:rFonts w:cstheme="minorHAnsi"/>
              </w:rPr>
              <w:t>-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center"/>
              <w:rPr>
                <w:rFonts w:cstheme="minorHAnsi"/>
              </w:rPr>
            </w:pPr>
            <w:r w:rsidRPr="008534EF">
              <w:rPr>
                <w:rFonts w:cstheme="minorHAnsi"/>
              </w:rPr>
              <w:t>-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100</w:t>
            </w:r>
          </w:p>
        </w:tc>
        <w:tc>
          <w:tcPr>
            <w:tcW w:w="450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100</w:t>
            </w: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A95C70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Fondo per la disabilità e la non autosufficienza</w:t>
            </w:r>
          </w:p>
        </w:tc>
        <w:tc>
          <w:tcPr>
            <w:tcW w:w="515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829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29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200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300</w:t>
            </w:r>
          </w:p>
        </w:tc>
        <w:tc>
          <w:tcPr>
            <w:tcW w:w="450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300</w:t>
            </w: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FD6E01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Fondo per la non autosufficienza</w:t>
            </w:r>
          </w:p>
        </w:tc>
        <w:tc>
          <w:tcPr>
            <w:tcW w:w="515" w:type="pct"/>
            <w:vAlign w:val="center"/>
          </w:tcPr>
          <w:p w:rsidR="00B41222" w:rsidRPr="008534EF" w:rsidRDefault="00A307D0" w:rsidP="00A95C7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8534EF">
              <w:rPr>
                <w:rFonts w:cstheme="minorHAnsi"/>
                <w:b/>
              </w:rPr>
              <w:t>0</w:t>
            </w:r>
            <w:r w:rsidR="00FD6E01" w:rsidRPr="00440BF0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448" w:type="pct"/>
            <w:vAlign w:val="center"/>
          </w:tcPr>
          <w:p w:rsidR="00B41222" w:rsidRPr="008534EF" w:rsidRDefault="00A307D0" w:rsidP="00A95C7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8534EF">
              <w:rPr>
                <w:rFonts w:cstheme="minorHAnsi"/>
              </w:rPr>
              <w:t>0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center"/>
              <w:rPr>
                <w:rFonts w:cstheme="minorHAnsi"/>
              </w:rPr>
            </w:pPr>
            <w:r w:rsidRPr="008534EF">
              <w:rPr>
                <w:rFonts w:cstheme="minorHAnsi"/>
              </w:rPr>
              <w:t>-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center"/>
              <w:rPr>
                <w:rFonts w:cstheme="minorHAnsi"/>
              </w:rPr>
            </w:pPr>
            <w:r w:rsidRPr="008534EF">
              <w:rPr>
                <w:rFonts w:cstheme="minorHAnsi"/>
              </w:rPr>
              <w:t>-</w:t>
            </w:r>
          </w:p>
        </w:tc>
        <w:tc>
          <w:tcPr>
            <w:tcW w:w="450" w:type="pct"/>
            <w:vAlign w:val="center"/>
          </w:tcPr>
          <w:p w:rsidR="00B41222" w:rsidRPr="008534EF" w:rsidRDefault="00B41222" w:rsidP="00A95C70">
            <w:pPr>
              <w:jc w:val="center"/>
              <w:rPr>
                <w:rFonts w:cstheme="minorHAnsi"/>
              </w:rPr>
            </w:pPr>
            <w:r w:rsidRPr="008534EF">
              <w:rPr>
                <w:rFonts w:cstheme="minorHAnsi"/>
              </w:rPr>
              <w:t>-</w:t>
            </w: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FD6E01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 xml:space="preserve">Contratti di formazione specialistica </w:t>
            </w:r>
            <w:r w:rsidRPr="008534EF">
              <w:rPr>
                <w:rFonts w:cstheme="minorHAnsi"/>
              </w:rPr>
              <w:t xml:space="preserve">(c. </w:t>
            </w:r>
            <w:r w:rsidR="00C70BDC" w:rsidRPr="008534EF">
              <w:rPr>
                <w:rFonts w:cstheme="minorHAnsi"/>
              </w:rPr>
              <w:t>2</w:t>
            </w:r>
            <w:r w:rsidR="00C70BDC">
              <w:rPr>
                <w:rFonts w:cstheme="minorHAnsi"/>
              </w:rPr>
              <w:t>71</w:t>
            </w:r>
            <w:r w:rsidRPr="008534EF">
              <w:rPr>
                <w:rFonts w:cstheme="minorHAnsi"/>
              </w:rPr>
              <w:t>)</w:t>
            </w:r>
          </w:p>
        </w:tc>
        <w:tc>
          <w:tcPr>
            <w:tcW w:w="515" w:type="pct"/>
            <w:vAlign w:val="center"/>
          </w:tcPr>
          <w:p w:rsidR="00B41222" w:rsidRPr="008534EF" w:rsidRDefault="00CA558E" w:rsidP="00A95C7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79</w:t>
            </w:r>
            <w:r w:rsidR="00B41222" w:rsidRPr="008534EF">
              <w:rPr>
                <w:rFonts w:cstheme="minorHAnsi"/>
                <w:b/>
              </w:rPr>
              <w:t>,9</w:t>
            </w:r>
            <w:r w:rsidR="00FD6E01" w:rsidRPr="008534EF">
              <w:rPr>
                <w:rFonts w:cstheme="minorHAnsi"/>
                <w:vertAlign w:val="superscript"/>
              </w:rPr>
              <w:t>5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5,4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10,9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16,5</w:t>
            </w:r>
          </w:p>
        </w:tc>
        <w:tc>
          <w:tcPr>
            <w:tcW w:w="450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22,1</w:t>
            </w: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C70BDC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 xml:space="preserve">Ulteriori contratti di formazione specialistica </w:t>
            </w:r>
            <w:r w:rsidRPr="008534EF">
              <w:rPr>
                <w:rFonts w:cstheme="minorHAnsi"/>
              </w:rPr>
              <w:t xml:space="preserve">(c. </w:t>
            </w:r>
            <w:r w:rsidR="00C70BDC">
              <w:rPr>
                <w:rFonts w:cstheme="minorHAnsi"/>
              </w:rPr>
              <w:t>859</w:t>
            </w:r>
            <w:r w:rsidRPr="008534EF">
              <w:rPr>
                <w:rFonts w:cstheme="minorHAnsi"/>
              </w:rPr>
              <w:t>)</w:t>
            </w:r>
          </w:p>
        </w:tc>
        <w:tc>
          <w:tcPr>
            <w:tcW w:w="515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102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25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25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26</w:t>
            </w:r>
          </w:p>
        </w:tc>
        <w:tc>
          <w:tcPr>
            <w:tcW w:w="450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26</w:t>
            </w: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A95C70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Assunzioni di medici INPS</w:t>
            </w:r>
          </w:p>
        </w:tc>
        <w:tc>
          <w:tcPr>
            <w:tcW w:w="515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21,6</w:t>
            </w:r>
          </w:p>
        </w:tc>
        <w:tc>
          <w:tcPr>
            <w:tcW w:w="448" w:type="pct"/>
            <w:vAlign w:val="center"/>
          </w:tcPr>
          <w:p w:rsidR="00B41222" w:rsidRPr="008534EF" w:rsidRDefault="00A307D0" w:rsidP="008D1A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7,2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7,2</w:t>
            </w:r>
          </w:p>
        </w:tc>
        <w:tc>
          <w:tcPr>
            <w:tcW w:w="450" w:type="pct"/>
            <w:vAlign w:val="center"/>
          </w:tcPr>
          <w:p w:rsidR="00B41222" w:rsidRPr="008534EF" w:rsidRDefault="00A307D0" w:rsidP="008D1AD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7,2</w:t>
            </w:r>
          </w:p>
        </w:tc>
      </w:tr>
      <w:tr w:rsidR="00B41222" w:rsidRPr="008534EF" w:rsidTr="00B14504">
        <w:trPr>
          <w:trHeight w:val="397"/>
        </w:trPr>
        <w:tc>
          <w:tcPr>
            <w:tcW w:w="2691" w:type="pct"/>
            <w:vAlign w:val="center"/>
          </w:tcPr>
          <w:p w:rsidR="00B41222" w:rsidRPr="008534EF" w:rsidRDefault="00B41222" w:rsidP="00A95C70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Sperimentazione della farmacia dei servizi</w:t>
            </w:r>
          </w:p>
        </w:tc>
        <w:tc>
          <w:tcPr>
            <w:tcW w:w="515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50,6</w:t>
            </w:r>
          </w:p>
        </w:tc>
        <w:tc>
          <w:tcPr>
            <w:tcW w:w="448" w:type="pct"/>
            <w:vAlign w:val="center"/>
          </w:tcPr>
          <w:p w:rsidR="00B41222" w:rsidRPr="008534EF" w:rsidRDefault="00A307D0" w:rsidP="008D1A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448" w:type="pct"/>
            <w:vAlign w:val="center"/>
          </w:tcPr>
          <w:p w:rsidR="00B41222" w:rsidRPr="008534EF" w:rsidRDefault="00B41222" w:rsidP="00A95C70">
            <w:pPr>
              <w:jc w:val="right"/>
              <w:rPr>
                <w:rFonts w:cstheme="minorHAnsi"/>
              </w:rPr>
            </w:pPr>
            <w:r w:rsidRPr="008534EF">
              <w:rPr>
                <w:rFonts w:cstheme="minorHAnsi"/>
              </w:rPr>
              <w:t>25,3</w:t>
            </w:r>
          </w:p>
        </w:tc>
        <w:tc>
          <w:tcPr>
            <w:tcW w:w="448" w:type="pct"/>
            <w:vAlign w:val="center"/>
          </w:tcPr>
          <w:p w:rsidR="00B41222" w:rsidRPr="008534EF" w:rsidRDefault="00A307D0" w:rsidP="008D1AD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25,3</w:t>
            </w:r>
          </w:p>
        </w:tc>
        <w:tc>
          <w:tcPr>
            <w:tcW w:w="450" w:type="pct"/>
            <w:vAlign w:val="center"/>
          </w:tcPr>
          <w:p w:rsidR="00B41222" w:rsidRPr="008534EF" w:rsidRDefault="00B41222" w:rsidP="00A95C70">
            <w:pPr>
              <w:jc w:val="center"/>
              <w:rPr>
                <w:rFonts w:cstheme="minorHAnsi"/>
              </w:rPr>
            </w:pPr>
            <w:r w:rsidRPr="008534EF">
              <w:rPr>
                <w:rFonts w:cstheme="minorHAnsi"/>
              </w:rPr>
              <w:t>-</w:t>
            </w:r>
          </w:p>
        </w:tc>
      </w:tr>
      <w:tr w:rsidR="001E724D" w:rsidRPr="008534EF" w:rsidTr="00926440">
        <w:trPr>
          <w:trHeight w:val="397"/>
        </w:trPr>
        <w:tc>
          <w:tcPr>
            <w:tcW w:w="2691" w:type="pct"/>
            <w:vAlign w:val="center"/>
          </w:tcPr>
          <w:p w:rsidR="001E724D" w:rsidRPr="008534EF" w:rsidRDefault="001E724D" w:rsidP="00A95C70">
            <w:pPr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Altre misure</w:t>
            </w:r>
          </w:p>
        </w:tc>
        <w:tc>
          <w:tcPr>
            <w:tcW w:w="515" w:type="pct"/>
            <w:vAlign w:val="center"/>
          </w:tcPr>
          <w:p w:rsidR="001E724D" w:rsidRPr="008534EF" w:rsidRDefault="001E724D" w:rsidP="00A95C70">
            <w:pPr>
              <w:jc w:val="right"/>
              <w:rPr>
                <w:rFonts w:cstheme="minorHAnsi"/>
                <w:b/>
              </w:rPr>
            </w:pPr>
            <w:r w:rsidRPr="008534EF">
              <w:rPr>
                <w:rFonts w:cstheme="minorHAnsi"/>
                <w:b/>
              </w:rPr>
              <w:t>33</w:t>
            </w:r>
          </w:p>
        </w:tc>
        <w:tc>
          <w:tcPr>
            <w:tcW w:w="1794" w:type="pct"/>
            <w:gridSpan w:val="4"/>
            <w:vAlign w:val="center"/>
          </w:tcPr>
          <w:p w:rsidR="001E724D" w:rsidRPr="008534EF" w:rsidRDefault="001E724D" w:rsidP="001E7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B41222" w:rsidRPr="00EE19FA" w:rsidTr="00625F7F">
        <w:trPr>
          <w:trHeight w:val="1644"/>
        </w:trPr>
        <w:tc>
          <w:tcPr>
            <w:tcW w:w="5000" w:type="pct"/>
            <w:gridSpan w:val="6"/>
            <w:vAlign w:val="center"/>
          </w:tcPr>
          <w:p w:rsidR="00B41222" w:rsidRPr="00EE19FA" w:rsidRDefault="00B41222" w:rsidP="00A95C70">
            <w:pPr>
              <w:rPr>
                <w:rFonts w:cstheme="minorHAnsi"/>
                <w:sz w:val="20"/>
              </w:rPr>
            </w:pPr>
            <w:r w:rsidRPr="00EE19FA">
              <w:rPr>
                <w:rFonts w:cstheme="minorHAnsi"/>
                <w:sz w:val="20"/>
                <w:vertAlign w:val="superscript"/>
              </w:rPr>
              <w:t>1</w:t>
            </w:r>
            <w:r>
              <w:rPr>
                <w:rFonts w:cstheme="minorHAnsi"/>
                <w:sz w:val="20"/>
                <w:vertAlign w:val="superscript"/>
              </w:rPr>
              <w:t xml:space="preserve"> </w:t>
            </w:r>
            <w:r w:rsidRPr="00EE19FA">
              <w:rPr>
                <w:rFonts w:cstheme="minorHAnsi"/>
                <w:sz w:val="20"/>
              </w:rPr>
              <w:t>Risorse assegnate dalla Legge di Bilan</w:t>
            </w:r>
            <w:r>
              <w:rPr>
                <w:rFonts w:cstheme="minorHAnsi"/>
                <w:sz w:val="20"/>
              </w:rPr>
              <w:t xml:space="preserve">cio </w:t>
            </w:r>
            <w:r w:rsidR="00625F7F">
              <w:rPr>
                <w:rFonts w:cstheme="minorHAnsi"/>
                <w:sz w:val="20"/>
              </w:rPr>
              <w:t xml:space="preserve">2019 </w:t>
            </w:r>
            <w:r>
              <w:rPr>
                <w:rFonts w:cstheme="minorHAnsi"/>
                <w:sz w:val="20"/>
              </w:rPr>
              <w:t xml:space="preserve">e subordinate alla stipula del </w:t>
            </w:r>
            <w:r w:rsidR="00625F7F">
              <w:rPr>
                <w:rFonts w:cstheme="minorHAnsi"/>
                <w:sz w:val="20"/>
              </w:rPr>
              <w:t>Patto per la Salute entro il 31/12/</w:t>
            </w:r>
            <w:r>
              <w:rPr>
                <w:rFonts w:cstheme="minorHAnsi"/>
                <w:sz w:val="20"/>
              </w:rPr>
              <w:t>2019</w:t>
            </w:r>
          </w:p>
          <w:p w:rsidR="00B41222" w:rsidRPr="00EE19FA" w:rsidRDefault="00B41222" w:rsidP="00A95C7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vertAlign w:val="superscript"/>
              </w:rPr>
              <w:t xml:space="preserve">2 </w:t>
            </w:r>
            <w:r>
              <w:rPr>
                <w:rFonts w:cstheme="minorHAnsi"/>
                <w:sz w:val="20"/>
              </w:rPr>
              <w:t>L’i</w:t>
            </w:r>
            <w:r w:rsidRPr="00EE19FA">
              <w:rPr>
                <w:rFonts w:cstheme="minorHAnsi"/>
                <w:sz w:val="20"/>
              </w:rPr>
              <w:t>mporto incrementa il fabbisogno sanitario nazionale standard</w:t>
            </w:r>
            <w:r>
              <w:rPr>
                <w:rFonts w:cstheme="minorHAnsi"/>
                <w:sz w:val="20"/>
              </w:rPr>
              <w:t xml:space="preserve">; nel 2020 agli € 185 milioni </w:t>
            </w:r>
            <w:r w:rsidRPr="00EE19FA">
              <w:rPr>
                <w:rFonts w:cstheme="minorHAnsi"/>
                <w:sz w:val="20"/>
              </w:rPr>
              <w:t xml:space="preserve">si aggiungono € 40 milioni del fondo per il superamento del </w:t>
            </w:r>
            <w:r>
              <w:rPr>
                <w:rFonts w:cstheme="minorHAnsi"/>
                <w:sz w:val="20"/>
              </w:rPr>
              <w:t>super</w:t>
            </w:r>
            <w:r w:rsidRPr="00EE19FA">
              <w:rPr>
                <w:rFonts w:cstheme="minorHAnsi"/>
                <w:sz w:val="20"/>
              </w:rPr>
              <w:t>t</w:t>
            </w:r>
            <w:r>
              <w:rPr>
                <w:rFonts w:cstheme="minorHAnsi"/>
                <w:sz w:val="20"/>
              </w:rPr>
              <w:t>icket, assegnati dalla Legge di Bilancio 2018</w:t>
            </w:r>
          </w:p>
          <w:p w:rsidR="00B41222" w:rsidRPr="00AA6D42" w:rsidRDefault="00B41222" w:rsidP="00A95C70">
            <w:pPr>
              <w:rPr>
                <w:rFonts w:cstheme="minorHAnsi"/>
                <w:color w:val="FF0000"/>
                <w:sz w:val="20"/>
              </w:rPr>
            </w:pPr>
            <w:r>
              <w:rPr>
                <w:rFonts w:cstheme="minorHAnsi"/>
                <w:sz w:val="20"/>
                <w:vertAlign w:val="superscript"/>
              </w:rPr>
              <w:t>3</w:t>
            </w:r>
            <w:r w:rsidRPr="00EE19FA">
              <w:rPr>
                <w:rFonts w:cstheme="minorHAnsi"/>
                <w:sz w:val="20"/>
                <w:vertAlign w:val="superscript"/>
              </w:rPr>
              <w:t xml:space="preserve"> </w:t>
            </w:r>
            <w:r w:rsidR="00D036CE">
              <w:rPr>
                <w:rFonts w:cstheme="minorHAnsi"/>
                <w:sz w:val="20"/>
              </w:rPr>
              <w:t>Modalità di ripartizione:</w:t>
            </w:r>
            <w:r w:rsidRPr="004C0DC2">
              <w:rPr>
                <w:rFonts w:cstheme="minorHAnsi"/>
                <w:sz w:val="20"/>
              </w:rPr>
              <w:t xml:space="preserve"> </w:t>
            </w:r>
            <w:r w:rsidR="001C579A">
              <w:rPr>
                <w:rFonts w:cstheme="minorHAnsi"/>
                <w:sz w:val="20"/>
              </w:rPr>
              <w:t xml:space="preserve">€ </w:t>
            </w:r>
            <w:r w:rsidRPr="004C0DC2">
              <w:rPr>
                <w:rFonts w:cstheme="minorHAnsi"/>
                <w:sz w:val="20"/>
              </w:rPr>
              <w:t>100 milioni per il 2022 e 2023 e € 200 milioni</w:t>
            </w:r>
            <w:r w:rsidR="00224508">
              <w:rPr>
                <w:rFonts w:cstheme="minorHAnsi"/>
                <w:sz w:val="20"/>
              </w:rPr>
              <w:t>/anno</w:t>
            </w:r>
            <w:r w:rsidRPr="004C0DC2">
              <w:rPr>
                <w:rFonts w:cstheme="minorHAnsi"/>
                <w:sz w:val="20"/>
              </w:rPr>
              <w:t xml:space="preserve"> dal 2024 al 2032</w:t>
            </w:r>
          </w:p>
          <w:p w:rsidR="00B41222" w:rsidRPr="00EE19FA" w:rsidRDefault="00B41222" w:rsidP="00A95C7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vertAlign w:val="superscript"/>
              </w:rPr>
              <w:t>4</w:t>
            </w:r>
            <w:r w:rsidRPr="00EE19FA">
              <w:rPr>
                <w:rFonts w:cstheme="minorHAnsi"/>
                <w:sz w:val="20"/>
                <w:vertAlign w:val="superscript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L’importo incrementa </w:t>
            </w:r>
            <w:r w:rsidRPr="00EE19FA">
              <w:rPr>
                <w:rFonts w:cstheme="minorHAnsi"/>
                <w:sz w:val="20"/>
              </w:rPr>
              <w:t xml:space="preserve">i € 571 milioni del </w:t>
            </w:r>
            <w:r>
              <w:rPr>
                <w:rFonts w:cstheme="minorHAnsi"/>
                <w:sz w:val="20"/>
              </w:rPr>
              <w:t xml:space="preserve">fondo per la non autosufficienza </w:t>
            </w:r>
            <w:r w:rsidRPr="00EE19FA">
              <w:rPr>
                <w:rFonts w:cstheme="minorHAnsi"/>
                <w:sz w:val="20"/>
              </w:rPr>
              <w:t>(L. 296/2006)</w:t>
            </w:r>
          </w:p>
          <w:p w:rsidR="00B41222" w:rsidRPr="00EE19FA" w:rsidRDefault="00B41222" w:rsidP="00CA558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vertAlign w:val="superscript"/>
              </w:rPr>
              <w:t xml:space="preserve">5 </w:t>
            </w:r>
            <w:r w:rsidR="00D036CE">
              <w:rPr>
                <w:rFonts w:cstheme="minorHAnsi"/>
                <w:sz w:val="20"/>
              </w:rPr>
              <w:t>L’importo i</w:t>
            </w:r>
            <w:r w:rsidR="00CA558E">
              <w:rPr>
                <w:rFonts w:cstheme="minorHAnsi"/>
                <w:sz w:val="20"/>
              </w:rPr>
              <w:t xml:space="preserve">nclude i </w:t>
            </w:r>
            <w:r w:rsidRPr="00CA558E">
              <w:rPr>
                <w:rFonts w:cstheme="minorHAnsi"/>
                <w:sz w:val="20"/>
              </w:rPr>
              <w:t>€ 25 milioni</w:t>
            </w:r>
            <w:r w:rsidR="00CA558E" w:rsidRPr="00CA558E">
              <w:rPr>
                <w:rFonts w:cstheme="minorHAnsi"/>
                <w:sz w:val="20"/>
              </w:rPr>
              <w:t xml:space="preserve"> </w:t>
            </w:r>
            <w:r w:rsidR="00CA558E">
              <w:rPr>
                <w:rFonts w:cstheme="minorHAnsi"/>
                <w:sz w:val="20"/>
              </w:rPr>
              <w:t>stanziati per il 2024</w:t>
            </w:r>
          </w:p>
        </w:tc>
      </w:tr>
    </w:tbl>
    <w:p w:rsidR="00632F90" w:rsidRPr="00632F90" w:rsidRDefault="00632F90" w:rsidP="007E5ECB">
      <w:pPr>
        <w:pStyle w:val="Paragrafoelenco"/>
        <w:numPr>
          <w:ilvl w:val="0"/>
          <w:numId w:val="36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lastRenderedPageBreak/>
        <w:t>Fabbisogno sanitario nazionale standard</w:t>
      </w:r>
      <w:r w:rsidR="001C579A">
        <w:rPr>
          <w:rFonts w:cstheme="minorHAnsi"/>
          <w:b/>
        </w:rPr>
        <w:t xml:space="preserve"> (FSN)</w:t>
      </w:r>
      <w:r w:rsidRPr="00632F9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317AE">
        <w:t>Se il testo della M</w:t>
      </w:r>
      <w:r>
        <w:t xml:space="preserve">anovra non menziona gli </w:t>
      </w:r>
      <w:r w:rsidR="00E17F41">
        <w:t>incrementi</w:t>
      </w:r>
      <w:r>
        <w:t xml:space="preserve"> previsti dal precedente </w:t>
      </w:r>
      <w:r w:rsidR="000317AE">
        <w:t>E</w:t>
      </w:r>
      <w:r>
        <w:t>secutivo con la Legge di Bilancio 2019</w:t>
      </w:r>
      <w:r w:rsidR="000317AE">
        <w:t xml:space="preserve">, </w:t>
      </w:r>
      <w:r w:rsidR="00E17F41">
        <w:t xml:space="preserve">i € 3,5 miliardi per il </w:t>
      </w:r>
      <w:r>
        <w:t>2020</w:t>
      </w:r>
      <w:r w:rsidR="00E17F41">
        <w:t>-</w:t>
      </w:r>
      <w:r>
        <w:t xml:space="preserve">2021 </w:t>
      </w:r>
      <w:r w:rsidR="001C579A">
        <w:t xml:space="preserve">rimangono </w:t>
      </w:r>
      <w:r w:rsidR="00777CB5">
        <w:t xml:space="preserve">appesi </w:t>
      </w:r>
      <w:r w:rsidR="00E17F41">
        <w:t xml:space="preserve">alla stipula </w:t>
      </w:r>
      <w:r>
        <w:t xml:space="preserve">del </w:t>
      </w:r>
      <w:r w:rsidR="00E17F41">
        <w:t xml:space="preserve">nuovo </w:t>
      </w:r>
      <w:r>
        <w:t>Patto per la Salut</w:t>
      </w:r>
      <w:r w:rsidR="00CA792A">
        <w:t xml:space="preserve">e che oggi </w:t>
      </w:r>
      <w:r w:rsidR="001C579A">
        <w:t xml:space="preserve">auspicabilmente </w:t>
      </w:r>
      <w:r w:rsidR="00CA792A">
        <w:t>dovrebbe vedere la luce</w:t>
      </w:r>
      <w:r w:rsidR="00E17F41">
        <w:t xml:space="preserve">. </w:t>
      </w:r>
      <w:r w:rsidR="00E17F41" w:rsidRPr="008173BE">
        <w:t>«</w:t>
      </w:r>
      <w:r w:rsidR="00E17F41">
        <w:t xml:space="preserve">La Fondazione GIMBE </w:t>
      </w:r>
      <w:r w:rsidR="00E17F41" w:rsidRPr="008173BE">
        <w:t xml:space="preserve">– </w:t>
      </w:r>
      <w:r w:rsidR="000317AE">
        <w:t xml:space="preserve">afferma </w:t>
      </w:r>
      <w:r w:rsidR="00E17F41">
        <w:t xml:space="preserve">il Presidente </w:t>
      </w:r>
      <w:r w:rsidR="00E17F41" w:rsidRPr="008173BE">
        <w:t>–</w:t>
      </w:r>
      <w:r w:rsidR="00E17F41">
        <w:t xml:space="preserve"> </w:t>
      </w:r>
      <w:r w:rsidR="004379E3">
        <w:t xml:space="preserve">oltre a </w:t>
      </w:r>
      <w:r w:rsidR="00E17F41">
        <w:t>lancia</w:t>
      </w:r>
      <w:r w:rsidR="004379E3">
        <w:t>re</w:t>
      </w:r>
      <w:r w:rsidR="00E17F41">
        <w:t xml:space="preserve"> un ultimo appello a Governo e Regioni per la stipula del Patto chiede di mettere nero su bianco il finanziamento per il 2022, su cui al momento la casella sta a zero</w:t>
      </w:r>
      <w:r w:rsidR="00E17F41" w:rsidRPr="00E17F41">
        <w:t xml:space="preserve"> </w:t>
      </w:r>
      <w:r w:rsidR="00E17F41">
        <w:t>euro</w:t>
      </w:r>
      <w:r w:rsidR="00E17F41" w:rsidRPr="008173BE">
        <w:t>».</w:t>
      </w:r>
      <w:r w:rsidR="000317AE">
        <w:t xml:space="preserve"> </w:t>
      </w:r>
    </w:p>
    <w:p w:rsidR="007E5ECB" w:rsidRDefault="003B4C78" w:rsidP="00F2326B">
      <w:pPr>
        <w:pStyle w:val="Paragrafoelenco"/>
        <w:numPr>
          <w:ilvl w:val="0"/>
          <w:numId w:val="36"/>
        </w:numPr>
        <w:spacing w:line="276" w:lineRule="auto"/>
        <w:rPr>
          <w:rFonts w:cstheme="minorHAnsi"/>
        </w:rPr>
      </w:pPr>
      <w:r>
        <w:rPr>
          <w:b/>
        </w:rPr>
        <w:t>Abolizione del superticket</w:t>
      </w:r>
      <w:r w:rsidR="007E5ECB">
        <w:t>.</w:t>
      </w:r>
      <w:r w:rsidR="000317AE">
        <w:t xml:space="preserve"> </w:t>
      </w:r>
      <w:r w:rsidR="00000D7C" w:rsidRPr="00000D7C">
        <w:t xml:space="preserve">Dal 1° settembre 2020 sarà </w:t>
      </w:r>
      <w:r w:rsidR="00777CB5">
        <w:t xml:space="preserve">definitivamente </w:t>
      </w:r>
      <w:r w:rsidR="00000D7C" w:rsidRPr="00000D7C">
        <w:t>abolito l’iniquo balzello applicato dalle Regioni per la compartecipazione alle prestazioni di assistenza specialistica ambulatoriale. «</w:t>
      </w:r>
      <w:r w:rsidR="00F2326B" w:rsidRPr="00000D7C">
        <w:t>Per garantire le coperture</w:t>
      </w:r>
      <w:r w:rsidR="00F2326B">
        <w:t xml:space="preserve"> </w:t>
      </w:r>
      <w:r w:rsidR="00000D7C" w:rsidRPr="00000D7C">
        <w:t xml:space="preserve">– </w:t>
      </w:r>
      <w:r w:rsidR="00F2326B">
        <w:t xml:space="preserve">spiega Cartabellotta </w:t>
      </w:r>
      <w:r w:rsidR="00000D7C" w:rsidRPr="00000D7C">
        <w:t>–</w:t>
      </w:r>
      <w:r w:rsidR="00F2326B">
        <w:t xml:space="preserve"> </w:t>
      </w:r>
      <w:r w:rsidR="00F2326B" w:rsidRPr="00000D7C">
        <w:t xml:space="preserve">il </w:t>
      </w:r>
      <w:r w:rsidR="00777CB5">
        <w:t>F</w:t>
      </w:r>
      <w:r w:rsidR="00F2326B" w:rsidRPr="00000D7C">
        <w:t>SN viene aumentato di € 185 milioni per il 2020 e di € 554 milioni annui a decorrere dal 2021</w:t>
      </w:r>
      <w:r w:rsidR="00F2326B">
        <w:t xml:space="preserve">. Per il 2020 vengono utilizzati ulteriori </w:t>
      </w:r>
      <w:r w:rsidR="00F2326B" w:rsidRPr="00F2326B">
        <w:t xml:space="preserve">€ 40 milioni del fondo per </w:t>
      </w:r>
      <w:r w:rsidR="00F2326B">
        <w:t>il superamento del superticket, stanziato dalla Legge di Bilancio 2018</w:t>
      </w:r>
      <w:r w:rsidR="007E5ECB" w:rsidRPr="00C95E92">
        <w:rPr>
          <w:rFonts w:cstheme="minorHAnsi"/>
        </w:rPr>
        <w:t>».</w:t>
      </w:r>
    </w:p>
    <w:p w:rsidR="00802484" w:rsidRPr="00C5483D" w:rsidRDefault="00B930EA" w:rsidP="00E75EB7">
      <w:pPr>
        <w:pStyle w:val="Paragrafoelenco"/>
        <w:numPr>
          <w:ilvl w:val="0"/>
          <w:numId w:val="36"/>
        </w:numPr>
        <w:spacing w:line="276" w:lineRule="auto"/>
        <w:rPr>
          <w:b/>
        </w:rPr>
      </w:pPr>
      <w:r>
        <w:rPr>
          <w:rFonts w:cstheme="minorHAnsi"/>
          <w:b/>
        </w:rPr>
        <w:t>Programma</w:t>
      </w:r>
      <w:r w:rsidR="00802484" w:rsidRPr="007E5ECB">
        <w:rPr>
          <w:rFonts w:cstheme="minorHAnsi"/>
          <w:b/>
        </w:rPr>
        <w:t xml:space="preserve"> di edilizia sanitaria</w:t>
      </w:r>
      <w:r w:rsidR="00802484">
        <w:rPr>
          <w:rFonts w:cstheme="minorHAnsi"/>
          <w:b/>
        </w:rPr>
        <w:t xml:space="preserve"> e ammodernamento tecnologico</w:t>
      </w:r>
      <w:r w:rsidR="00E75EB7">
        <w:rPr>
          <w:rFonts w:cstheme="minorHAnsi"/>
        </w:rPr>
        <w:t xml:space="preserve">. </w:t>
      </w:r>
      <w:r w:rsidR="00E75EB7" w:rsidRPr="00851A60">
        <w:rPr>
          <w:rFonts w:cstheme="minorHAnsi"/>
        </w:rPr>
        <w:t xml:space="preserve">€ 2 miliardi </w:t>
      </w:r>
      <w:r w:rsidR="00274D23">
        <w:rPr>
          <w:rFonts w:cstheme="minorHAnsi"/>
        </w:rPr>
        <w:t xml:space="preserve">in più </w:t>
      </w:r>
      <w:r w:rsidR="00E75EB7">
        <w:rPr>
          <w:rFonts w:cstheme="minorHAnsi"/>
        </w:rPr>
        <w:t>per</w:t>
      </w:r>
      <w:r w:rsidR="00E75EB7" w:rsidRPr="00851A60">
        <w:rPr>
          <w:rFonts w:cstheme="minorHAnsi"/>
        </w:rPr>
        <w:t xml:space="preserve"> </w:t>
      </w:r>
      <w:r w:rsidR="00E75EB7">
        <w:rPr>
          <w:rFonts w:cstheme="minorHAnsi"/>
        </w:rPr>
        <w:t>il programma pluriennale</w:t>
      </w:r>
      <w:r w:rsidR="009B2EF8">
        <w:rPr>
          <w:rFonts w:cstheme="minorHAnsi"/>
        </w:rPr>
        <w:t xml:space="preserve"> ma </w:t>
      </w:r>
      <w:r w:rsidR="00802484" w:rsidRPr="007E5ECB">
        <w:rPr>
          <w:rFonts w:cstheme="minorHAnsi"/>
        </w:rPr>
        <w:t>«</w:t>
      </w:r>
      <w:r w:rsidR="00274D23">
        <w:rPr>
          <w:rFonts w:cstheme="minorHAnsi"/>
        </w:rPr>
        <w:t>si tratta di risorse</w:t>
      </w:r>
      <w:r w:rsidR="009B2EF8">
        <w:rPr>
          <w:rFonts w:cstheme="minorHAnsi"/>
        </w:rPr>
        <w:t xml:space="preserve"> </w:t>
      </w:r>
      <w:r w:rsidR="001C579A" w:rsidRPr="00000D7C">
        <w:t>–</w:t>
      </w:r>
      <w:r w:rsidR="009B2EF8">
        <w:rPr>
          <w:rFonts w:cstheme="minorHAnsi"/>
        </w:rPr>
        <w:t xml:space="preserve"> commenta il Presidente </w:t>
      </w:r>
      <w:r w:rsidR="001C579A" w:rsidRPr="00000D7C">
        <w:t>–</w:t>
      </w:r>
      <w:r w:rsidR="009B2EF8">
        <w:rPr>
          <w:rFonts w:cstheme="minorHAnsi"/>
        </w:rPr>
        <w:t xml:space="preserve"> </w:t>
      </w:r>
      <w:r>
        <w:rPr>
          <w:rFonts w:cstheme="minorHAnsi"/>
        </w:rPr>
        <w:t>“</w:t>
      </w:r>
      <w:r w:rsidR="00E75EB7">
        <w:rPr>
          <w:rFonts w:cstheme="minorHAnsi"/>
        </w:rPr>
        <w:t>spalmate</w:t>
      </w:r>
      <w:r w:rsidR="003B4641">
        <w:rPr>
          <w:rFonts w:cstheme="minorHAnsi"/>
        </w:rPr>
        <w:t xml:space="preserve">” </w:t>
      </w:r>
      <w:r w:rsidR="00313B67">
        <w:rPr>
          <w:rFonts w:cstheme="minorHAnsi"/>
        </w:rPr>
        <w:t xml:space="preserve">su </w:t>
      </w:r>
      <w:r w:rsidR="009B2EF8">
        <w:rPr>
          <w:rFonts w:cstheme="minorHAnsi"/>
        </w:rPr>
        <w:t>11</w:t>
      </w:r>
      <w:r>
        <w:rPr>
          <w:rFonts w:cstheme="minorHAnsi"/>
        </w:rPr>
        <w:t xml:space="preserve"> anni</w:t>
      </w:r>
      <w:r w:rsidR="009B2EF8">
        <w:rPr>
          <w:rFonts w:cstheme="minorHAnsi"/>
        </w:rPr>
        <w:t xml:space="preserve">: </w:t>
      </w:r>
      <w:r w:rsidR="008534EF">
        <w:rPr>
          <w:rFonts w:cstheme="minorHAnsi"/>
        </w:rPr>
        <w:t xml:space="preserve">le </w:t>
      </w:r>
      <w:r w:rsidR="006E037B">
        <w:rPr>
          <w:rFonts w:cstheme="minorHAnsi"/>
        </w:rPr>
        <w:t xml:space="preserve">Regioni </w:t>
      </w:r>
      <w:r w:rsidR="00274D23">
        <w:rPr>
          <w:rFonts w:cstheme="minorHAnsi"/>
        </w:rPr>
        <w:t xml:space="preserve">infatti </w:t>
      </w:r>
      <w:r w:rsidR="008534EF">
        <w:rPr>
          <w:rFonts w:cstheme="minorHAnsi"/>
        </w:rPr>
        <w:t xml:space="preserve">potranno disporre di </w:t>
      </w:r>
      <w:r w:rsidRPr="00B930EA">
        <w:t>€ 100 milioni per il 2022 e 2023 e € 200 milioni/anno dal 2024 al 2032</w:t>
      </w:r>
      <w:r w:rsidR="00802484" w:rsidRPr="00B930EA">
        <w:rPr>
          <w:rFonts w:cstheme="minorHAnsi"/>
        </w:rPr>
        <w:t>».</w:t>
      </w:r>
      <w:r>
        <w:rPr>
          <w:rFonts w:cstheme="minorHAnsi"/>
        </w:rPr>
        <w:t xml:space="preserve"> </w:t>
      </w:r>
      <w:r w:rsidR="00E75EB7">
        <w:rPr>
          <w:rFonts w:cstheme="minorHAnsi"/>
        </w:rPr>
        <w:t>A valere su tale programma</w:t>
      </w:r>
      <w:r w:rsidR="001C579A">
        <w:rPr>
          <w:rFonts w:cstheme="minorHAnsi"/>
        </w:rPr>
        <w:t xml:space="preserve"> anche</w:t>
      </w:r>
      <w:r w:rsidR="00E75EB7">
        <w:rPr>
          <w:rFonts w:cstheme="minorHAnsi"/>
        </w:rPr>
        <w:t xml:space="preserve"> i </w:t>
      </w:r>
      <w:r w:rsidR="00E75EB7" w:rsidRPr="00E75EB7">
        <w:rPr>
          <w:rFonts w:cstheme="minorHAnsi"/>
        </w:rPr>
        <w:t>€ 235,8 milioni destinati ad apparecchiature sanitarie per erogare prestazioni di competenza dei medici di medicina general</w:t>
      </w:r>
      <w:r w:rsidR="00E75EB7">
        <w:rPr>
          <w:rFonts w:cstheme="minorHAnsi"/>
        </w:rPr>
        <w:t xml:space="preserve">e e dei pediatri di libera scelta. </w:t>
      </w:r>
      <w:r w:rsidR="00E75EB7" w:rsidRPr="007E5ECB">
        <w:rPr>
          <w:rFonts w:cstheme="minorHAnsi"/>
        </w:rPr>
        <w:t>«</w:t>
      </w:r>
      <w:r w:rsidR="00E75EB7">
        <w:rPr>
          <w:rFonts w:cstheme="minorHAnsi"/>
        </w:rPr>
        <w:t xml:space="preserve">Tuttavia </w:t>
      </w:r>
      <w:r w:rsidR="00440BF0">
        <w:rPr>
          <w:rFonts w:cstheme="minorHAnsi"/>
        </w:rPr>
        <w:t xml:space="preserve">non è chiaro </w:t>
      </w:r>
      <w:r w:rsidR="00E75EB7">
        <w:t xml:space="preserve">se questo investimento </w:t>
      </w:r>
      <w:r w:rsidR="00274D23">
        <w:t>attingerà</w:t>
      </w:r>
      <w:r w:rsidR="00E75EB7">
        <w:t xml:space="preserve"> da</w:t>
      </w:r>
      <w:r w:rsidR="00440BF0">
        <w:t xml:space="preserve"> quanto già stanziato</w:t>
      </w:r>
      <w:r w:rsidR="00E75EB7">
        <w:t xml:space="preserve"> dalla precedente Legge di Bilancio</w:t>
      </w:r>
      <w:r w:rsidR="00313B67" w:rsidRPr="00313B67">
        <w:t xml:space="preserve"> </w:t>
      </w:r>
      <w:r w:rsidR="00313B67" w:rsidRPr="00000D7C">
        <w:t xml:space="preserve">– </w:t>
      </w:r>
      <w:r w:rsidR="00313B67">
        <w:t xml:space="preserve">precisa Cartabellotta </w:t>
      </w:r>
      <w:r w:rsidR="00281343" w:rsidRPr="00000D7C">
        <w:t>–</w:t>
      </w:r>
      <w:r w:rsidR="00281343">
        <w:t xml:space="preserve"> perché</w:t>
      </w:r>
      <w:r w:rsidR="00E75EB7">
        <w:t xml:space="preserve"> in caso contrario</w:t>
      </w:r>
      <w:r w:rsidR="00274D23">
        <w:t xml:space="preserve"> l’</w:t>
      </w:r>
      <w:r w:rsidR="00C5483D">
        <w:t xml:space="preserve">importo </w:t>
      </w:r>
      <w:r w:rsidR="00274D23">
        <w:t xml:space="preserve">totale </w:t>
      </w:r>
      <w:r w:rsidR="00440BF0">
        <w:t xml:space="preserve">non </w:t>
      </w:r>
      <w:r w:rsidR="00C5483D">
        <w:t xml:space="preserve">sarà </w:t>
      </w:r>
      <w:r w:rsidR="00274D23">
        <w:t>disponibile</w:t>
      </w:r>
      <w:r w:rsidR="00C5483D">
        <w:t xml:space="preserve"> prima del 2024</w:t>
      </w:r>
      <w:r w:rsidR="00E75EB7" w:rsidRPr="00B930EA">
        <w:rPr>
          <w:rFonts w:cstheme="minorHAnsi"/>
        </w:rPr>
        <w:t>».</w:t>
      </w:r>
    </w:p>
    <w:p w:rsidR="00C5483D" w:rsidRPr="00177E44" w:rsidRDefault="00C5483D" w:rsidP="00C5483D">
      <w:pPr>
        <w:pStyle w:val="Paragrafoelenco"/>
        <w:numPr>
          <w:ilvl w:val="0"/>
          <w:numId w:val="36"/>
        </w:numPr>
        <w:spacing w:line="276" w:lineRule="auto"/>
        <w:jc w:val="both"/>
      </w:pPr>
      <w:r>
        <w:rPr>
          <w:rFonts w:cstheme="minorHAnsi"/>
          <w:b/>
        </w:rPr>
        <w:t>D</w:t>
      </w:r>
      <w:r w:rsidRPr="00595A5D">
        <w:rPr>
          <w:rFonts w:cstheme="minorHAnsi"/>
          <w:b/>
        </w:rPr>
        <w:t>isabilità e non autosufficienza</w:t>
      </w:r>
      <w:r>
        <w:rPr>
          <w:rFonts w:cstheme="minorHAnsi"/>
        </w:rPr>
        <w:t xml:space="preserve">. </w:t>
      </w:r>
      <w:r w:rsidR="009B2EF8">
        <w:rPr>
          <w:rFonts w:cstheme="minorHAnsi"/>
        </w:rPr>
        <w:t>I</w:t>
      </w:r>
      <w:r>
        <w:rPr>
          <w:rFonts w:cstheme="minorHAnsi"/>
        </w:rPr>
        <w:t>stituito il f</w:t>
      </w:r>
      <w:r w:rsidRPr="00C5483D">
        <w:rPr>
          <w:rFonts w:cstheme="minorHAnsi"/>
        </w:rPr>
        <w:t xml:space="preserve">ondo per la </w:t>
      </w:r>
      <w:r>
        <w:rPr>
          <w:rFonts w:cstheme="minorHAnsi"/>
        </w:rPr>
        <w:t>d</w:t>
      </w:r>
      <w:r w:rsidRPr="00C5483D">
        <w:rPr>
          <w:rFonts w:cstheme="minorHAnsi"/>
        </w:rPr>
        <w:t>isabilità e non autosufficienza</w:t>
      </w:r>
      <w:r>
        <w:rPr>
          <w:rFonts w:cstheme="minorHAnsi"/>
        </w:rPr>
        <w:t xml:space="preserve"> con una </w:t>
      </w:r>
      <w:r w:rsidRPr="00595A5D">
        <w:rPr>
          <w:rFonts w:cstheme="minorHAnsi"/>
        </w:rPr>
        <w:t>dotazione</w:t>
      </w:r>
      <w:r>
        <w:rPr>
          <w:rFonts w:cstheme="minorHAnsi"/>
        </w:rPr>
        <w:t xml:space="preserve"> di € 29</w:t>
      </w:r>
      <w:r w:rsidRPr="00595A5D">
        <w:rPr>
          <w:rFonts w:cstheme="minorHAnsi"/>
        </w:rPr>
        <w:t xml:space="preserve"> milioni per </w:t>
      </w:r>
      <w:r>
        <w:rPr>
          <w:rFonts w:cstheme="minorHAnsi"/>
        </w:rPr>
        <w:t xml:space="preserve">il 2020, € 200 milioni </w:t>
      </w:r>
      <w:r w:rsidRPr="00595A5D">
        <w:rPr>
          <w:rFonts w:cstheme="minorHAnsi"/>
        </w:rPr>
        <w:t xml:space="preserve">per </w:t>
      </w:r>
      <w:r>
        <w:rPr>
          <w:rFonts w:cstheme="minorHAnsi"/>
        </w:rPr>
        <w:t xml:space="preserve">il 2021 e € </w:t>
      </w:r>
      <w:r w:rsidRPr="00595A5D">
        <w:rPr>
          <w:rFonts w:cstheme="minorHAnsi"/>
        </w:rPr>
        <w:t>300 milioni</w:t>
      </w:r>
      <w:r>
        <w:rPr>
          <w:rFonts w:cstheme="minorHAnsi"/>
        </w:rPr>
        <w:t xml:space="preserve"> dal</w:t>
      </w:r>
      <w:r w:rsidRPr="00595A5D">
        <w:rPr>
          <w:rFonts w:cstheme="minorHAnsi"/>
        </w:rPr>
        <w:t xml:space="preserve"> 2022. </w:t>
      </w:r>
      <w:r w:rsidRPr="008173BE">
        <w:t>«</w:t>
      </w:r>
      <w:r>
        <w:t xml:space="preserve">Tali risorse </w:t>
      </w:r>
      <w:r w:rsidRPr="008173BE">
        <w:t xml:space="preserve">– </w:t>
      </w:r>
      <w:r>
        <w:t xml:space="preserve">spiega </w:t>
      </w:r>
      <w:r w:rsidR="00940DC6">
        <w:t xml:space="preserve">il Presidente </w:t>
      </w:r>
      <w:r w:rsidRPr="008173BE">
        <w:t>–</w:t>
      </w:r>
      <w:r w:rsidR="00CC225A">
        <w:t xml:space="preserve"> integrano</w:t>
      </w:r>
      <w:r>
        <w:t xml:space="preserve"> </w:t>
      </w:r>
      <w:r w:rsidR="00CC225A">
        <w:t xml:space="preserve">i € 571 milioni del </w:t>
      </w:r>
      <w:r>
        <w:t xml:space="preserve">Fondo nazionale per la non autosufficienza a cui la manovra aggiunge € </w:t>
      </w:r>
      <w:r w:rsidR="00A307D0">
        <w:t xml:space="preserve">50 </w:t>
      </w:r>
      <w:r w:rsidR="00CC225A">
        <w:t xml:space="preserve">milioni </w:t>
      </w:r>
      <w:r>
        <w:t>per il 2020</w:t>
      </w:r>
      <w:r w:rsidRPr="008173BE">
        <w:t>».</w:t>
      </w:r>
    </w:p>
    <w:p w:rsidR="00C5483D" w:rsidRPr="001C6A30" w:rsidRDefault="006D7990" w:rsidP="00850141">
      <w:pPr>
        <w:pStyle w:val="Paragrafoelenco"/>
        <w:numPr>
          <w:ilvl w:val="0"/>
          <w:numId w:val="36"/>
        </w:numPr>
        <w:spacing w:line="276" w:lineRule="auto"/>
        <w:rPr>
          <w:b/>
        </w:rPr>
      </w:pPr>
      <w:r>
        <w:rPr>
          <w:b/>
        </w:rPr>
        <w:t>Contratti di formazione specialistica</w:t>
      </w:r>
      <w:r>
        <w:t>. Oltre alle risorse già previste</w:t>
      </w:r>
      <w:r w:rsidR="00CA558E">
        <w:t xml:space="preserve"> dal testo arrivato in Senato</w:t>
      </w:r>
      <w:r>
        <w:t xml:space="preserve">, il comma </w:t>
      </w:r>
      <w:r w:rsidR="00C70BDC">
        <w:t xml:space="preserve">859 </w:t>
      </w:r>
      <w:r>
        <w:t xml:space="preserve">aggiunge ulteriori </w:t>
      </w:r>
      <w:r w:rsidR="00CC225A">
        <w:t>€ 102 milioni</w:t>
      </w:r>
      <w:r w:rsidR="00850141">
        <w:t xml:space="preserve">. </w:t>
      </w:r>
      <w:r w:rsidRPr="008173BE">
        <w:t>«</w:t>
      </w:r>
      <w:r w:rsidR="00CC225A">
        <w:t>Complessivamente</w:t>
      </w:r>
      <w:r w:rsidR="00850141">
        <w:t xml:space="preserve"> </w:t>
      </w:r>
      <w:r w:rsidRPr="008173BE">
        <w:t>–</w:t>
      </w:r>
      <w:r>
        <w:t xml:space="preserve"> commenta Cartabellotta </w:t>
      </w:r>
      <w:r w:rsidRPr="008173BE">
        <w:t>–</w:t>
      </w:r>
      <w:r>
        <w:t xml:space="preserve"> </w:t>
      </w:r>
      <w:r w:rsidR="00CC225A">
        <w:t xml:space="preserve">si tratta di </w:t>
      </w:r>
      <w:r w:rsidR="00850141">
        <w:t>€ 1</w:t>
      </w:r>
      <w:r w:rsidR="00CA558E">
        <w:t>82</w:t>
      </w:r>
      <w:r w:rsidR="00850141">
        <w:t xml:space="preserve"> milioni </w:t>
      </w:r>
      <w:r w:rsidR="00CC225A">
        <w:t>che permetteranno</w:t>
      </w:r>
      <w:r w:rsidR="00850141">
        <w:t xml:space="preserve"> </w:t>
      </w:r>
      <w:r w:rsidR="00CC225A">
        <w:t xml:space="preserve">di </w:t>
      </w:r>
      <w:r w:rsidR="00850141">
        <w:t>stipula</w:t>
      </w:r>
      <w:r w:rsidR="00CC225A">
        <w:t>re</w:t>
      </w:r>
      <w:r w:rsidR="00850141">
        <w:t xml:space="preserve"> 1.217 contratti di formazione specialistica</w:t>
      </w:r>
      <w:r w:rsidRPr="008173BE">
        <w:t>».</w:t>
      </w:r>
    </w:p>
    <w:p w:rsidR="00957064" w:rsidRPr="004379E3" w:rsidRDefault="001C6A30" w:rsidP="00957064">
      <w:pPr>
        <w:pStyle w:val="Paragrafoelenco"/>
        <w:numPr>
          <w:ilvl w:val="0"/>
          <w:numId w:val="36"/>
        </w:numPr>
        <w:spacing w:line="276" w:lineRule="auto"/>
      </w:pPr>
      <w:r w:rsidRPr="004379E3">
        <w:rPr>
          <w:b/>
        </w:rPr>
        <w:t>Personale sanitario</w:t>
      </w:r>
      <w:r w:rsidRPr="004379E3">
        <w:t xml:space="preserve">. La Manovra </w:t>
      </w:r>
      <w:r w:rsidR="00274D23" w:rsidRPr="004379E3">
        <w:t>stabilizza</w:t>
      </w:r>
      <w:r w:rsidRPr="004379E3">
        <w:t xml:space="preserve"> </w:t>
      </w:r>
      <w:r w:rsidR="00957064" w:rsidRPr="004379E3">
        <w:t xml:space="preserve">i </w:t>
      </w:r>
      <w:r w:rsidR="008147F1" w:rsidRPr="004379E3">
        <w:t xml:space="preserve">precari, </w:t>
      </w:r>
      <w:r w:rsidRPr="004379E3">
        <w:t>grazie all’estensione della Legge Madia</w:t>
      </w:r>
      <w:r w:rsidR="00957064" w:rsidRPr="004379E3">
        <w:t xml:space="preserve">, </w:t>
      </w:r>
      <w:r w:rsidR="00274D23" w:rsidRPr="004379E3">
        <w:t xml:space="preserve">e </w:t>
      </w:r>
      <w:r w:rsidRPr="004379E3">
        <w:t>i ricercatori di IRCCS e Istituti Zooprofilattici</w:t>
      </w:r>
      <w:r w:rsidR="00047B6E" w:rsidRPr="004379E3">
        <w:t>, ma non prevede n</w:t>
      </w:r>
      <w:r w:rsidR="00274D23" w:rsidRPr="004379E3">
        <w:t xml:space="preserve">essun finanziamento dedicato, a parte i medici INPS, al piano </w:t>
      </w:r>
      <w:r w:rsidR="00047B6E" w:rsidRPr="004379E3">
        <w:t xml:space="preserve">straordinario per le assunzioni più volte annunciato. Gli incrementi retributivi 2019-2021 </w:t>
      </w:r>
      <w:r w:rsidR="00047B6E" w:rsidRPr="004379E3">
        <w:rPr>
          <w:rFonts w:cstheme="minorHAnsi"/>
        </w:rPr>
        <w:t xml:space="preserve">per il personale dipendente e convenzionato del SSN (1,3% nel 2019, 1,9% nel 2020, 3,5% dal 2021) rimangono a carico dei bilanci regionali. </w:t>
      </w:r>
      <w:r w:rsidR="00047B6E" w:rsidRPr="004379E3">
        <w:t>«In altri termini – puntualizza il Presidente – la Manovra non prevede risorse vincolate e spetta alle Regioni reperirle dalla quota di riparto, grazie anche all’innalzamento del tetto di spesa dal 5% al 15% previsto dal Decreto fiscale».</w:t>
      </w:r>
    </w:p>
    <w:p w:rsidR="008534EF" w:rsidRDefault="00F65D0B" w:rsidP="00957064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Nuovi LEA</w:t>
      </w:r>
      <w:r>
        <w:rPr>
          <w:rFonts w:cstheme="minorHAnsi"/>
        </w:rPr>
        <w:t xml:space="preserve">. </w:t>
      </w:r>
      <w:r w:rsidR="00957064">
        <w:rPr>
          <w:rFonts w:cstheme="minorHAnsi"/>
        </w:rPr>
        <w:t>Nonostante l</w:t>
      </w:r>
      <w:r w:rsidR="00274D23">
        <w:rPr>
          <w:rFonts w:cstheme="minorHAnsi"/>
        </w:rPr>
        <w:t>a</w:t>
      </w:r>
      <w:r w:rsidR="00957064">
        <w:rPr>
          <w:rFonts w:cstheme="minorHAnsi"/>
        </w:rPr>
        <w:t xml:space="preserve"> bozza del Patto per la Salute preveda di </w:t>
      </w:r>
      <w:r w:rsidR="00957064" w:rsidRPr="00957064">
        <w:rPr>
          <w:rFonts w:cstheme="minorHAnsi"/>
        </w:rPr>
        <w:t xml:space="preserve">completare l’approvazione del </w:t>
      </w:r>
      <w:r w:rsidR="001042A1">
        <w:rPr>
          <w:rFonts w:cstheme="minorHAnsi"/>
        </w:rPr>
        <w:t>“</w:t>
      </w:r>
      <w:r w:rsidR="00957064" w:rsidRPr="00957064">
        <w:rPr>
          <w:rFonts w:cstheme="minorHAnsi"/>
        </w:rPr>
        <w:t>decreto tariffe</w:t>
      </w:r>
      <w:r w:rsidR="001042A1">
        <w:rPr>
          <w:rFonts w:cstheme="minorHAnsi"/>
        </w:rPr>
        <w:t xml:space="preserve">” </w:t>
      </w:r>
      <w:r w:rsidR="00957064" w:rsidRPr="00957064">
        <w:rPr>
          <w:rFonts w:cstheme="minorHAnsi"/>
        </w:rPr>
        <w:t xml:space="preserve">per </w:t>
      </w:r>
      <w:r w:rsidR="00440BF0">
        <w:rPr>
          <w:rFonts w:cstheme="minorHAnsi"/>
        </w:rPr>
        <w:t xml:space="preserve">dare il via libera ai </w:t>
      </w:r>
      <w:r w:rsidR="001042A1">
        <w:rPr>
          <w:rFonts w:cstheme="minorHAnsi"/>
        </w:rPr>
        <w:t>n</w:t>
      </w:r>
      <w:r w:rsidR="001042A1" w:rsidRPr="00957064">
        <w:rPr>
          <w:rFonts w:cstheme="minorHAnsi"/>
        </w:rPr>
        <w:t xml:space="preserve">omenclatori </w:t>
      </w:r>
      <w:r w:rsidR="00440BF0">
        <w:rPr>
          <w:rFonts w:cstheme="minorHAnsi"/>
        </w:rPr>
        <w:t xml:space="preserve">della </w:t>
      </w:r>
      <w:r w:rsidR="00957064" w:rsidRPr="00957064">
        <w:rPr>
          <w:rFonts w:cstheme="minorHAnsi"/>
        </w:rPr>
        <w:t xml:space="preserve">specialistica ambulatoriale e </w:t>
      </w:r>
      <w:r w:rsidR="00440BF0">
        <w:rPr>
          <w:rFonts w:cstheme="minorHAnsi"/>
        </w:rPr>
        <w:t>del</w:t>
      </w:r>
      <w:r w:rsidR="001042A1">
        <w:rPr>
          <w:rFonts w:cstheme="minorHAnsi"/>
        </w:rPr>
        <w:t xml:space="preserve">la </w:t>
      </w:r>
      <w:r w:rsidR="00957064" w:rsidRPr="00957064">
        <w:rPr>
          <w:rFonts w:cstheme="minorHAnsi"/>
        </w:rPr>
        <w:t>protesica</w:t>
      </w:r>
      <w:r w:rsidR="001042A1">
        <w:rPr>
          <w:rFonts w:cstheme="minorHAnsi"/>
        </w:rPr>
        <w:t xml:space="preserve">, </w:t>
      </w:r>
      <w:r w:rsidR="00957064">
        <w:rPr>
          <w:rFonts w:cstheme="minorHAnsi"/>
        </w:rPr>
        <w:t xml:space="preserve">la Legge di Bilancio non </w:t>
      </w:r>
      <w:r w:rsidR="001C579A">
        <w:rPr>
          <w:rFonts w:cstheme="minorHAnsi"/>
        </w:rPr>
        <w:t xml:space="preserve">stanzia </w:t>
      </w:r>
      <w:r w:rsidR="00957064">
        <w:rPr>
          <w:rFonts w:cstheme="minorHAnsi"/>
        </w:rPr>
        <w:t>risorse dedicate.</w:t>
      </w:r>
    </w:p>
    <w:p w:rsidR="00C5483D" w:rsidRPr="008D1ADE" w:rsidRDefault="008551B7" w:rsidP="003919B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Altre misure</w:t>
      </w:r>
      <w:r>
        <w:rPr>
          <w:rFonts w:cstheme="minorHAnsi"/>
        </w:rPr>
        <w:t xml:space="preserve">. </w:t>
      </w:r>
      <w:r w:rsidR="00940DC6">
        <w:rPr>
          <w:rFonts w:cstheme="minorHAnsi"/>
        </w:rPr>
        <w:t xml:space="preserve">La Manovra </w:t>
      </w:r>
      <w:r w:rsidR="00274D23">
        <w:rPr>
          <w:rFonts w:cstheme="minorHAnsi"/>
        </w:rPr>
        <w:t>assegna</w:t>
      </w:r>
      <w:r w:rsidR="00940DC6">
        <w:rPr>
          <w:rFonts w:cstheme="minorHAnsi"/>
        </w:rPr>
        <w:t xml:space="preserve"> </w:t>
      </w:r>
      <w:r w:rsidR="00897A0E">
        <w:rPr>
          <w:rFonts w:cstheme="minorHAnsi"/>
        </w:rPr>
        <w:t xml:space="preserve">ulteriori </w:t>
      </w:r>
      <w:r w:rsidR="00940DC6">
        <w:rPr>
          <w:rFonts w:cstheme="minorHAnsi"/>
        </w:rPr>
        <w:t xml:space="preserve">risorse </w:t>
      </w:r>
      <w:r w:rsidR="00274D23">
        <w:rPr>
          <w:rFonts w:cstheme="minorHAnsi"/>
        </w:rPr>
        <w:t xml:space="preserve">per </w:t>
      </w:r>
      <w:r w:rsidR="00940DC6">
        <w:rPr>
          <w:rFonts w:cstheme="minorHAnsi"/>
        </w:rPr>
        <w:t>specifici obiettivi: o</w:t>
      </w:r>
      <w:r w:rsidR="002A355B" w:rsidRPr="002A355B">
        <w:rPr>
          <w:rFonts w:cstheme="minorHAnsi"/>
        </w:rPr>
        <w:t>sservatorio sulla formazione specialistica e definizione del fabbisogno di medici e professionisti sanitari</w:t>
      </w:r>
      <w:r w:rsidR="0031194E">
        <w:rPr>
          <w:rFonts w:cstheme="minorHAnsi"/>
        </w:rPr>
        <w:t xml:space="preserve"> (€ 21 </w:t>
      </w:r>
      <w:r w:rsidR="00940DC6">
        <w:rPr>
          <w:rFonts w:cstheme="minorHAnsi"/>
        </w:rPr>
        <w:t>milioni</w:t>
      </w:r>
      <w:r w:rsidR="0031194E">
        <w:rPr>
          <w:rFonts w:cstheme="minorHAnsi"/>
        </w:rPr>
        <w:t>)</w:t>
      </w:r>
      <w:r w:rsidR="002A355B" w:rsidRPr="002A355B">
        <w:rPr>
          <w:rFonts w:cstheme="minorHAnsi"/>
        </w:rPr>
        <w:t xml:space="preserve">; </w:t>
      </w:r>
      <w:r w:rsidR="006F3A26" w:rsidRPr="002A355B">
        <w:rPr>
          <w:rFonts w:cstheme="minorHAnsi"/>
        </w:rPr>
        <w:t>disposizioni per l’acquisto di sostitutivi del latte matern</w:t>
      </w:r>
      <w:r w:rsidR="006F3A26">
        <w:rPr>
          <w:rFonts w:cstheme="minorHAnsi"/>
        </w:rPr>
        <w:t xml:space="preserve">o (€ 7 milioni); </w:t>
      </w:r>
      <w:r w:rsidR="006F3A26" w:rsidRPr="002A355B">
        <w:rPr>
          <w:rFonts w:cstheme="minorHAnsi"/>
        </w:rPr>
        <w:t>ricerca sull’endometriosi</w:t>
      </w:r>
      <w:r w:rsidR="006F3A26">
        <w:rPr>
          <w:rFonts w:cstheme="minorHAnsi"/>
        </w:rPr>
        <w:t xml:space="preserve"> (€ 4 milioni)</w:t>
      </w:r>
      <w:r w:rsidR="006F3A26" w:rsidRPr="002A355B">
        <w:rPr>
          <w:rFonts w:cstheme="minorHAnsi"/>
        </w:rPr>
        <w:t>,</w:t>
      </w:r>
      <w:r w:rsidR="00113F97">
        <w:rPr>
          <w:rFonts w:cstheme="minorHAnsi"/>
        </w:rPr>
        <w:t xml:space="preserve"> </w:t>
      </w:r>
      <w:r w:rsidR="002A355B" w:rsidRPr="002A355B">
        <w:rPr>
          <w:rFonts w:cstheme="minorHAnsi"/>
        </w:rPr>
        <w:t>rete nazionale dei registri dei tumori e dei sistemi di sorveglianza</w:t>
      </w:r>
      <w:r w:rsidR="0031194E">
        <w:rPr>
          <w:rFonts w:cstheme="minorHAnsi"/>
        </w:rPr>
        <w:t xml:space="preserve"> (€ 1 </w:t>
      </w:r>
      <w:r w:rsidR="00940DC6">
        <w:rPr>
          <w:rFonts w:cstheme="minorHAnsi"/>
        </w:rPr>
        <w:t>milione</w:t>
      </w:r>
      <w:r w:rsidR="0031194E">
        <w:rPr>
          <w:rFonts w:cstheme="minorHAnsi"/>
        </w:rPr>
        <w:t>)</w:t>
      </w:r>
      <w:r w:rsidR="006F3A26">
        <w:rPr>
          <w:rFonts w:cstheme="minorHAnsi"/>
        </w:rPr>
        <w:t>.</w:t>
      </w:r>
    </w:p>
    <w:p w:rsidR="000912F0" w:rsidRDefault="000912F0" w:rsidP="003B6748">
      <w:pPr>
        <w:jc w:val="both"/>
        <w:rPr>
          <w:rFonts w:cstheme="minorHAnsi"/>
        </w:rPr>
      </w:pPr>
    </w:p>
    <w:p w:rsidR="00425026" w:rsidRDefault="00B5363C" w:rsidP="003B6748">
      <w:pPr>
        <w:jc w:val="both"/>
        <w:rPr>
          <w:rFonts w:cstheme="minorHAnsi"/>
        </w:rPr>
      </w:pPr>
      <w:r w:rsidRPr="00B5363C">
        <w:rPr>
          <w:rFonts w:cstheme="minorHAnsi"/>
        </w:rPr>
        <w:t>«</w:t>
      </w:r>
      <w:r w:rsidR="001C579A">
        <w:rPr>
          <w:rFonts w:cstheme="minorHAnsi"/>
        </w:rPr>
        <w:t>Pur r</w:t>
      </w:r>
      <w:r w:rsidR="00FB6806">
        <w:rPr>
          <w:rFonts w:cstheme="minorHAnsi"/>
        </w:rPr>
        <w:t xml:space="preserve">iconoscendo a Governo e Parlamento </w:t>
      </w:r>
      <w:r w:rsidR="00F65D0B">
        <w:rPr>
          <w:rFonts w:cstheme="minorHAnsi"/>
        </w:rPr>
        <w:t xml:space="preserve">un </w:t>
      </w:r>
      <w:r w:rsidR="00274D23">
        <w:rPr>
          <w:rFonts w:cstheme="minorHAnsi"/>
        </w:rPr>
        <w:t>grande</w:t>
      </w:r>
      <w:r w:rsidR="00B61590">
        <w:rPr>
          <w:rFonts w:cstheme="minorHAnsi"/>
        </w:rPr>
        <w:t xml:space="preserve"> </w:t>
      </w:r>
      <w:r w:rsidR="00F65D0B">
        <w:rPr>
          <w:rFonts w:cstheme="minorHAnsi"/>
        </w:rPr>
        <w:t xml:space="preserve">impegno per </w:t>
      </w:r>
      <w:r w:rsidR="00274D23">
        <w:rPr>
          <w:rFonts w:cstheme="minorHAnsi"/>
        </w:rPr>
        <w:t xml:space="preserve">rifinanziare </w:t>
      </w:r>
      <w:r w:rsidR="00F65D0B">
        <w:rPr>
          <w:rFonts w:cstheme="minorHAnsi"/>
        </w:rPr>
        <w:t>la sanità p</w:t>
      </w:r>
      <w:r w:rsidR="003B6748">
        <w:rPr>
          <w:rFonts w:cstheme="minorHAnsi"/>
        </w:rPr>
        <w:t xml:space="preserve">ubblica </w:t>
      </w:r>
      <w:r w:rsidR="00E8579C" w:rsidRPr="00B5363C">
        <w:rPr>
          <w:rFonts w:cstheme="minorHAnsi"/>
        </w:rPr>
        <w:t>–</w:t>
      </w:r>
      <w:r w:rsidR="00E8579C">
        <w:rPr>
          <w:rFonts w:cstheme="minorHAnsi"/>
        </w:rPr>
        <w:t xml:space="preserve"> </w:t>
      </w:r>
      <w:r w:rsidR="00E8579C" w:rsidRPr="00B5363C">
        <w:rPr>
          <w:rFonts w:cstheme="minorHAnsi"/>
        </w:rPr>
        <w:t>conclude Cartabellotta –</w:t>
      </w:r>
      <w:r w:rsidR="00E8579C">
        <w:rPr>
          <w:rFonts w:cstheme="minorHAnsi"/>
        </w:rPr>
        <w:t xml:space="preserve"> </w:t>
      </w:r>
      <w:r w:rsidR="00440BF0">
        <w:rPr>
          <w:rFonts w:cstheme="minorHAnsi"/>
        </w:rPr>
        <w:t xml:space="preserve">le nostre analisi permettono di </w:t>
      </w:r>
      <w:r w:rsidR="000317AE">
        <w:rPr>
          <w:rFonts w:cstheme="minorHAnsi"/>
        </w:rPr>
        <w:t>rivalutare</w:t>
      </w:r>
      <w:r w:rsidR="008549BA">
        <w:rPr>
          <w:rFonts w:cstheme="minorHAnsi"/>
        </w:rPr>
        <w:t>,</w:t>
      </w:r>
      <w:r w:rsidR="00B61590">
        <w:rPr>
          <w:rFonts w:cstheme="minorHAnsi"/>
        </w:rPr>
        <w:t xml:space="preserve"> numeri alla mano</w:t>
      </w:r>
      <w:r w:rsidR="008549BA">
        <w:rPr>
          <w:rFonts w:cstheme="minorHAnsi"/>
        </w:rPr>
        <w:t>,</w:t>
      </w:r>
      <w:r w:rsidR="00B61590">
        <w:rPr>
          <w:rFonts w:cstheme="minorHAnsi"/>
        </w:rPr>
        <w:t xml:space="preserve"> </w:t>
      </w:r>
      <w:r w:rsidR="000317AE">
        <w:rPr>
          <w:rFonts w:cstheme="minorHAnsi"/>
        </w:rPr>
        <w:t xml:space="preserve">le </w:t>
      </w:r>
      <w:r w:rsidR="00BB6034">
        <w:rPr>
          <w:rFonts w:cstheme="minorHAnsi"/>
        </w:rPr>
        <w:t>recenti dichiarazioni</w:t>
      </w:r>
      <w:r w:rsidR="000317AE">
        <w:rPr>
          <w:rFonts w:cstheme="minorHAnsi"/>
        </w:rPr>
        <w:t xml:space="preserve"> </w:t>
      </w:r>
      <w:r w:rsidR="00B61590">
        <w:rPr>
          <w:rFonts w:cstheme="minorHAnsi"/>
        </w:rPr>
        <w:t>de</w:t>
      </w:r>
      <w:r w:rsidR="003B6748">
        <w:rPr>
          <w:rFonts w:cstheme="minorHAnsi"/>
        </w:rPr>
        <w:t>l Premier</w:t>
      </w:r>
      <w:r w:rsidR="00E8579C">
        <w:rPr>
          <w:rFonts w:cstheme="minorHAnsi"/>
        </w:rPr>
        <w:t xml:space="preserve"> </w:t>
      </w:r>
      <w:r w:rsidR="00B61590">
        <w:rPr>
          <w:rFonts w:cstheme="minorHAnsi"/>
        </w:rPr>
        <w:t>Conte</w:t>
      </w:r>
      <w:r w:rsidR="008549BA">
        <w:rPr>
          <w:rFonts w:cstheme="minorHAnsi"/>
        </w:rPr>
        <w:t xml:space="preserve"> che ha </w:t>
      </w:r>
      <w:r w:rsidR="000317AE">
        <w:rPr>
          <w:rFonts w:cstheme="minorHAnsi"/>
        </w:rPr>
        <w:t>espresso</w:t>
      </w:r>
      <w:r w:rsidR="008549BA">
        <w:rPr>
          <w:rFonts w:cstheme="minorHAnsi"/>
        </w:rPr>
        <w:t xml:space="preserve"> </w:t>
      </w:r>
      <w:r w:rsidR="000317AE">
        <w:rPr>
          <w:rFonts w:cstheme="minorHAnsi"/>
        </w:rPr>
        <w:t xml:space="preserve">il </w:t>
      </w:r>
      <w:r w:rsidR="00A6741C">
        <w:rPr>
          <w:rFonts w:cstheme="minorHAnsi"/>
        </w:rPr>
        <w:t xml:space="preserve">desiderio </w:t>
      </w:r>
      <w:r w:rsidR="008549BA">
        <w:rPr>
          <w:rFonts w:cstheme="minorHAnsi"/>
        </w:rPr>
        <w:t>di</w:t>
      </w:r>
      <w:r w:rsidR="00A6741C">
        <w:rPr>
          <w:rFonts w:cstheme="minorHAnsi"/>
        </w:rPr>
        <w:t xml:space="preserve"> </w:t>
      </w:r>
      <w:r w:rsidR="00B61590">
        <w:rPr>
          <w:rFonts w:cstheme="minorHAnsi"/>
        </w:rPr>
        <w:t>“</w:t>
      </w:r>
      <w:r w:rsidR="003B6748" w:rsidRPr="008534EF">
        <w:rPr>
          <w:rFonts w:cstheme="minorHAnsi"/>
        </w:rPr>
        <w:t xml:space="preserve">sforare o sfiorare i </w:t>
      </w:r>
      <w:r w:rsidR="003B6748">
        <w:rPr>
          <w:rFonts w:cstheme="minorHAnsi"/>
        </w:rPr>
        <w:t>10</w:t>
      </w:r>
      <w:r w:rsidR="003B6748" w:rsidRPr="008534EF">
        <w:rPr>
          <w:rFonts w:cstheme="minorHAnsi"/>
        </w:rPr>
        <w:t xml:space="preserve"> miliardi</w:t>
      </w:r>
      <w:r w:rsidR="003B6748">
        <w:rPr>
          <w:rFonts w:cstheme="minorHAnsi"/>
        </w:rPr>
        <w:t xml:space="preserve"> di investimenti sulla salute </w:t>
      </w:r>
      <w:r w:rsidR="00B61590">
        <w:rPr>
          <w:rFonts w:cstheme="minorHAnsi"/>
        </w:rPr>
        <w:t xml:space="preserve">entro la fine della legislatura”. Infatti, se </w:t>
      </w:r>
      <w:r w:rsidR="000317AE">
        <w:rPr>
          <w:rFonts w:cstheme="minorHAnsi"/>
        </w:rPr>
        <w:t xml:space="preserve">apparentemente le risorse assegnate </w:t>
      </w:r>
      <w:r w:rsidR="005C22D0" w:rsidRPr="008534EF">
        <w:rPr>
          <w:rFonts w:cstheme="minorHAnsi"/>
        </w:rPr>
        <w:t>dalla Legge di Bilancio 2020 ammonta</w:t>
      </w:r>
      <w:r w:rsidR="005C22D0">
        <w:rPr>
          <w:rFonts w:cstheme="minorHAnsi"/>
        </w:rPr>
        <w:t>no</w:t>
      </w:r>
      <w:r w:rsidR="005C22D0" w:rsidRPr="008534EF">
        <w:rPr>
          <w:rFonts w:cstheme="minorHAnsi"/>
        </w:rPr>
        <w:t xml:space="preserve"> a</w:t>
      </w:r>
      <w:r w:rsidR="00CD132F">
        <w:rPr>
          <w:rFonts w:cstheme="minorHAnsi"/>
        </w:rPr>
        <w:t xml:space="preserve">d oltre </w:t>
      </w:r>
      <w:r w:rsidR="005C22D0">
        <w:rPr>
          <w:rFonts w:cstheme="minorHAnsi"/>
        </w:rPr>
        <w:t>€ 8,5 miliardi</w:t>
      </w:r>
      <w:r w:rsidR="00B61590">
        <w:rPr>
          <w:rFonts w:cstheme="minorHAnsi"/>
        </w:rPr>
        <w:t xml:space="preserve">, bisogna </w:t>
      </w:r>
      <w:r w:rsidR="00FB6806">
        <w:rPr>
          <w:rFonts w:cstheme="minorHAnsi"/>
        </w:rPr>
        <w:t xml:space="preserve">anzitutto </w:t>
      </w:r>
      <w:r w:rsidR="001C579A">
        <w:rPr>
          <w:rFonts w:cstheme="minorHAnsi"/>
        </w:rPr>
        <w:t xml:space="preserve">ricordare </w:t>
      </w:r>
      <w:r w:rsidR="000317AE">
        <w:rPr>
          <w:rFonts w:cstheme="minorHAnsi"/>
        </w:rPr>
        <w:t>che</w:t>
      </w:r>
      <w:r w:rsidR="00897A0E">
        <w:rPr>
          <w:rFonts w:cstheme="minorHAnsi"/>
        </w:rPr>
        <w:t xml:space="preserve"> </w:t>
      </w:r>
      <w:r w:rsidR="003B6748" w:rsidRPr="008534EF">
        <w:rPr>
          <w:rFonts w:cstheme="minorHAnsi"/>
        </w:rPr>
        <w:t xml:space="preserve">i € 3,5 miliardi di incremento del </w:t>
      </w:r>
      <w:r w:rsidR="008147F1">
        <w:rPr>
          <w:rFonts w:cstheme="minorHAnsi"/>
        </w:rPr>
        <w:t>FSN</w:t>
      </w:r>
      <w:r w:rsidR="000317AE">
        <w:rPr>
          <w:rFonts w:cstheme="minorHAnsi"/>
        </w:rPr>
        <w:t xml:space="preserve">, </w:t>
      </w:r>
      <w:r w:rsidR="003B6748" w:rsidRPr="008534EF">
        <w:rPr>
          <w:rFonts w:cstheme="minorHAnsi"/>
        </w:rPr>
        <w:t xml:space="preserve">già </w:t>
      </w:r>
      <w:r w:rsidR="00B61590">
        <w:rPr>
          <w:rFonts w:cstheme="minorHAnsi"/>
        </w:rPr>
        <w:t>stanziati dal precedente E</w:t>
      </w:r>
      <w:r w:rsidR="003B6748" w:rsidRPr="008534EF">
        <w:rPr>
          <w:rFonts w:cstheme="minorHAnsi"/>
        </w:rPr>
        <w:t>secutivo</w:t>
      </w:r>
      <w:r w:rsidR="008147F1">
        <w:rPr>
          <w:rFonts w:cstheme="minorHAnsi"/>
        </w:rPr>
        <w:t xml:space="preserve">, non sono </w:t>
      </w:r>
      <w:r w:rsidR="00FB6806">
        <w:rPr>
          <w:rFonts w:cstheme="minorHAnsi"/>
        </w:rPr>
        <w:t>formalmente inclusi nella Manovra. I</w:t>
      </w:r>
      <w:r w:rsidR="005C22D0">
        <w:rPr>
          <w:rFonts w:cstheme="minorHAnsi"/>
        </w:rPr>
        <w:t xml:space="preserve">n </w:t>
      </w:r>
      <w:r w:rsidR="005C22D0">
        <w:rPr>
          <w:rFonts w:cstheme="minorHAnsi"/>
        </w:rPr>
        <w:lastRenderedPageBreak/>
        <w:t xml:space="preserve">secondo luogo, </w:t>
      </w:r>
      <w:r w:rsidR="00FB6806">
        <w:rPr>
          <w:rFonts w:cstheme="minorHAnsi"/>
        </w:rPr>
        <w:t>dei €</w:t>
      </w:r>
      <w:r w:rsidR="008D1ADE">
        <w:rPr>
          <w:rFonts w:cstheme="minorHAnsi"/>
        </w:rPr>
        <w:t xml:space="preserve"> 2 miliardi</w:t>
      </w:r>
      <w:r w:rsidR="00FB6806">
        <w:rPr>
          <w:rFonts w:cstheme="minorHAnsi"/>
        </w:rPr>
        <w:t xml:space="preserve"> </w:t>
      </w:r>
      <w:r w:rsidR="00B61590">
        <w:rPr>
          <w:rFonts w:cstheme="minorHAnsi"/>
        </w:rPr>
        <w:t xml:space="preserve">per il programma di ristrutturazione edilizia e ammodernamento tecnologico </w:t>
      </w:r>
      <w:r w:rsidR="00FB6806">
        <w:rPr>
          <w:rFonts w:cstheme="minorHAnsi"/>
        </w:rPr>
        <w:t xml:space="preserve">solo </w:t>
      </w:r>
      <w:r w:rsidR="00FF51D9">
        <w:rPr>
          <w:rFonts w:cstheme="minorHAnsi"/>
        </w:rPr>
        <w:t xml:space="preserve">€ </w:t>
      </w:r>
      <w:r w:rsidR="00FB6806">
        <w:rPr>
          <w:rFonts w:cstheme="minorHAnsi"/>
        </w:rPr>
        <w:t xml:space="preserve">200 </w:t>
      </w:r>
      <w:r w:rsidR="00FF51D9">
        <w:rPr>
          <w:rFonts w:cstheme="minorHAnsi"/>
        </w:rPr>
        <w:t xml:space="preserve">milioni </w:t>
      </w:r>
      <w:r w:rsidR="00FB6806">
        <w:rPr>
          <w:rFonts w:cstheme="minorHAnsi"/>
        </w:rPr>
        <w:t xml:space="preserve">saranno esigibili entro il 2023. Infine, </w:t>
      </w:r>
      <w:r w:rsidR="005C22D0">
        <w:rPr>
          <w:rFonts w:cstheme="minorHAnsi"/>
        </w:rPr>
        <w:t>manca</w:t>
      </w:r>
      <w:r w:rsidR="00FF51D9">
        <w:rPr>
          <w:rFonts w:cstheme="minorHAnsi"/>
        </w:rPr>
        <w:t>no</w:t>
      </w:r>
      <w:r w:rsidR="005C22D0">
        <w:rPr>
          <w:rFonts w:cstheme="minorHAnsi"/>
        </w:rPr>
        <w:t xml:space="preserve"> all’appello </w:t>
      </w:r>
      <w:r w:rsidR="008147F1">
        <w:rPr>
          <w:rFonts w:cstheme="minorHAnsi"/>
        </w:rPr>
        <w:t xml:space="preserve">sia il </w:t>
      </w:r>
      <w:r w:rsidR="005C22D0">
        <w:rPr>
          <w:rFonts w:cstheme="minorHAnsi"/>
        </w:rPr>
        <w:t>FSN per il 2022</w:t>
      </w:r>
      <w:r w:rsidR="008147F1">
        <w:rPr>
          <w:rFonts w:cstheme="minorHAnsi"/>
        </w:rPr>
        <w:t>, sia</w:t>
      </w:r>
      <w:r w:rsidR="00FF51D9">
        <w:rPr>
          <w:rFonts w:cstheme="minorHAnsi"/>
        </w:rPr>
        <w:t xml:space="preserve"> </w:t>
      </w:r>
      <w:r w:rsidR="00113F97">
        <w:rPr>
          <w:rFonts w:cstheme="minorHAnsi"/>
        </w:rPr>
        <w:t xml:space="preserve">le </w:t>
      </w:r>
      <w:r w:rsidR="005C22D0">
        <w:rPr>
          <w:rFonts w:cstheme="minorHAnsi"/>
        </w:rPr>
        <w:t xml:space="preserve">risorse </w:t>
      </w:r>
      <w:r w:rsidR="008147F1">
        <w:rPr>
          <w:rFonts w:cstheme="minorHAnsi"/>
        </w:rPr>
        <w:t>vincolate</w:t>
      </w:r>
      <w:r w:rsidR="005C22D0">
        <w:rPr>
          <w:rFonts w:cstheme="minorHAnsi"/>
        </w:rPr>
        <w:t xml:space="preserve"> ai rinnovi contrattuali</w:t>
      </w:r>
      <w:r w:rsidR="00A37935">
        <w:rPr>
          <w:rFonts w:cstheme="minorHAnsi"/>
        </w:rPr>
        <w:t>, al piano straordinario delle assunzioni per il personale</w:t>
      </w:r>
      <w:r w:rsidR="005C22D0">
        <w:rPr>
          <w:rFonts w:cstheme="minorHAnsi"/>
        </w:rPr>
        <w:t xml:space="preserve"> e allo sblocco dei nuovi </w:t>
      </w:r>
      <w:r w:rsidR="00A37935">
        <w:rPr>
          <w:rFonts w:cstheme="minorHAnsi"/>
        </w:rPr>
        <w:t>LEA</w:t>
      </w:r>
      <w:r w:rsidR="00FB6806">
        <w:rPr>
          <w:rFonts w:cstheme="minorHAnsi"/>
        </w:rPr>
        <w:t xml:space="preserve">, </w:t>
      </w:r>
      <w:r w:rsidR="001C579A">
        <w:rPr>
          <w:rFonts w:cstheme="minorHAnsi"/>
        </w:rPr>
        <w:t>pilastri portanti</w:t>
      </w:r>
      <w:r w:rsidR="00FB6806">
        <w:rPr>
          <w:rFonts w:cstheme="minorHAnsi"/>
        </w:rPr>
        <w:t xml:space="preserve"> per garantire quell’universalismo tanto caro al Ministro Speranza</w:t>
      </w:r>
      <w:r w:rsidR="0081416F">
        <w:rPr>
          <w:rFonts w:cstheme="minorHAnsi"/>
        </w:rPr>
        <w:t>».</w:t>
      </w:r>
    </w:p>
    <w:p w:rsidR="00001B76" w:rsidRDefault="00001B76" w:rsidP="003C4D0F">
      <w:pPr>
        <w:spacing w:after="0"/>
        <w:rPr>
          <w:rFonts w:eastAsia="Calibri" w:cstheme="minorHAnsi"/>
          <w:b/>
          <w:bCs/>
        </w:rPr>
      </w:pPr>
    </w:p>
    <w:p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:rsidR="00765D54" w:rsidRDefault="00DC2A0C" w:rsidP="003C4D0F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:rsidR="00597B19" w:rsidRDefault="00597B19" w:rsidP="003C4D0F">
      <w:pPr>
        <w:spacing w:after="0"/>
        <w:rPr>
          <w:rStyle w:val="Collegamentoipertestuale"/>
          <w:rFonts w:eastAsia="Calibri" w:cstheme="minorHAnsi"/>
        </w:rPr>
      </w:pPr>
    </w:p>
    <w:p w:rsidR="00597B19" w:rsidRDefault="00597B19" w:rsidP="003C4D0F">
      <w:pPr>
        <w:spacing w:after="0"/>
        <w:rPr>
          <w:rStyle w:val="Collegamentoipertestuale"/>
          <w:rFonts w:eastAsia="Calibri" w:cstheme="minorHAnsi"/>
        </w:rPr>
      </w:pPr>
    </w:p>
    <w:p w:rsidR="00597B19" w:rsidRDefault="00597B19" w:rsidP="003C4D0F">
      <w:pPr>
        <w:spacing w:after="0"/>
        <w:rPr>
          <w:rStyle w:val="Collegamentoipertestuale"/>
          <w:rFonts w:eastAsia="Calibri" w:cstheme="minorHAnsi"/>
        </w:rPr>
      </w:pPr>
    </w:p>
    <w:p w:rsidR="00597B19" w:rsidRDefault="00597B19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3B6748" w:rsidRDefault="003B6748" w:rsidP="003C4D0F">
      <w:pPr>
        <w:spacing w:after="0"/>
        <w:rPr>
          <w:rStyle w:val="Collegamentoipertestuale"/>
          <w:rFonts w:eastAsia="Calibri" w:cstheme="minorHAnsi"/>
        </w:rPr>
      </w:pPr>
    </w:p>
    <w:p w:rsidR="003B6748" w:rsidRDefault="003B6748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p w:rsidR="008551B7" w:rsidRDefault="008551B7" w:rsidP="003C4D0F">
      <w:pPr>
        <w:spacing w:after="0"/>
        <w:rPr>
          <w:rStyle w:val="Collegamentoipertestuale"/>
          <w:rFonts w:eastAsia="Calibri" w:cstheme="minorHAnsi"/>
        </w:rPr>
      </w:pPr>
    </w:p>
    <w:sectPr w:rsidR="008551B7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F8" w:rsidRDefault="007C43F8" w:rsidP="00ED0CFD">
      <w:pPr>
        <w:spacing w:after="0" w:line="240" w:lineRule="auto"/>
      </w:pPr>
      <w:r>
        <w:separator/>
      </w:r>
    </w:p>
  </w:endnote>
  <w:endnote w:type="continuationSeparator" w:id="0">
    <w:p w:rsidR="007C43F8" w:rsidRDefault="007C43F8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F8" w:rsidRDefault="007C43F8" w:rsidP="00ED0CFD">
      <w:pPr>
        <w:spacing w:after="0" w:line="240" w:lineRule="auto"/>
      </w:pPr>
      <w:r>
        <w:separator/>
      </w:r>
    </w:p>
  </w:footnote>
  <w:footnote w:type="continuationSeparator" w:id="0">
    <w:p w:rsidR="007C43F8" w:rsidRDefault="007C43F8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06088"/>
    <w:multiLevelType w:val="hybridMultilevel"/>
    <w:tmpl w:val="0F9085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37156"/>
    <w:multiLevelType w:val="hybridMultilevel"/>
    <w:tmpl w:val="79088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834C7"/>
    <w:multiLevelType w:val="hybridMultilevel"/>
    <w:tmpl w:val="C7FEF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86A83"/>
    <w:multiLevelType w:val="hybridMultilevel"/>
    <w:tmpl w:val="F3A83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7053B2"/>
    <w:multiLevelType w:val="multilevel"/>
    <w:tmpl w:val="41304E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8B57E2"/>
    <w:multiLevelType w:val="hybridMultilevel"/>
    <w:tmpl w:val="A8B6F9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B61594"/>
    <w:multiLevelType w:val="hybridMultilevel"/>
    <w:tmpl w:val="03029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C750FB"/>
    <w:multiLevelType w:val="hybridMultilevel"/>
    <w:tmpl w:val="D6FAC658"/>
    <w:lvl w:ilvl="0" w:tplc="841C8710">
      <w:start w:val="12"/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2C22A7"/>
    <w:multiLevelType w:val="hybridMultilevel"/>
    <w:tmpl w:val="327664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B5662"/>
    <w:multiLevelType w:val="hybridMultilevel"/>
    <w:tmpl w:val="76D4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B9081F"/>
    <w:multiLevelType w:val="hybridMultilevel"/>
    <w:tmpl w:val="53C89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0E5A6C"/>
    <w:multiLevelType w:val="hybridMultilevel"/>
    <w:tmpl w:val="5D7CB6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EE7716"/>
    <w:multiLevelType w:val="hybridMultilevel"/>
    <w:tmpl w:val="B2969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FE2386"/>
    <w:multiLevelType w:val="hybridMultilevel"/>
    <w:tmpl w:val="FABA43D0"/>
    <w:lvl w:ilvl="0" w:tplc="841C8710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13"/>
  </w:num>
  <w:num w:numId="4">
    <w:abstractNumId w:val="29"/>
  </w:num>
  <w:num w:numId="5">
    <w:abstractNumId w:val="16"/>
  </w:num>
  <w:num w:numId="6">
    <w:abstractNumId w:val="11"/>
  </w:num>
  <w:num w:numId="7">
    <w:abstractNumId w:val="23"/>
  </w:num>
  <w:num w:numId="8">
    <w:abstractNumId w:val="20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  <w:num w:numId="13">
    <w:abstractNumId w:val="18"/>
  </w:num>
  <w:num w:numId="14">
    <w:abstractNumId w:val="4"/>
  </w:num>
  <w:num w:numId="15">
    <w:abstractNumId w:val="17"/>
  </w:num>
  <w:num w:numId="16">
    <w:abstractNumId w:val="30"/>
  </w:num>
  <w:num w:numId="17">
    <w:abstractNumId w:val="14"/>
  </w:num>
  <w:num w:numId="18">
    <w:abstractNumId w:val="9"/>
  </w:num>
  <w:num w:numId="19">
    <w:abstractNumId w:val="26"/>
  </w:num>
  <w:num w:numId="20">
    <w:abstractNumId w:val="21"/>
  </w:num>
  <w:num w:numId="21">
    <w:abstractNumId w:val="3"/>
  </w:num>
  <w:num w:numId="22">
    <w:abstractNumId w:val="19"/>
  </w:num>
  <w:num w:numId="23">
    <w:abstractNumId w:val="10"/>
  </w:num>
  <w:num w:numId="24">
    <w:abstractNumId w:val="31"/>
  </w:num>
  <w:num w:numId="25">
    <w:abstractNumId w:val="36"/>
  </w:num>
  <w:num w:numId="26">
    <w:abstractNumId w:val="25"/>
  </w:num>
  <w:num w:numId="27">
    <w:abstractNumId w:val="8"/>
  </w:num>
  <w:num w:numId="28">
    <w:abstractNumId w:val="15"/>
  </w:num>
  <w:num w:numId="29">
    <w:abstractNumId w:val="34"/>
  </w:num>
  <w:num w:numId="30">
    <w:abstractNumId w:val="6"/>
  </w:num>
  <w:num w:numId="31">
    <w:abstractNumId w:val="33"/>
  </w:num>
  <w:num w:numId="32">
    <w:abstractNumId w:val="35"/>
  </w:num>
  <w:num w:numId="33">
    <w:abstractNumId w:val="12"/>
  </w:num>
  <w:num w:numId="34">
    <w:abstractNumId w:val="24"/>
  </w:num>
  <w:num w:numId="35">
    <w:abstractNumId w:val="22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0D7C"/>
    <w:rsid w:val="00001136"/>
    <w:rsid w:val="0000149C"/>
    <w:rsid w:val="00001B76"/>
    <w:rsid w:val="00002AAC"/>
    <w:rsid w:val="00002C1B"/>
    <w:rsid w:val="00002EC3"/>
    <w:rsid w:val="00003615"/>
    <w:rsid w:val="00003744"/>
    <w:rsid w:val="00003F78"/>
    <w:rsid w:val="00004B0A"/>
    <w:rsid w:val="00005664"/>
    <w:rsid w:val="00005B25"/>
    <w:rsid w:val="000064FE"/>
    <w:rsid w:val="00006555"/>
    <w:rsid w:val="0000695A"/>
    <w:rsid w:val="00010498"/>
    <w:rsid w:val="00011D93"/>
    <w:rsid w:val="000123C4"/>
    <w:rsid w:val="00012FB5"/>
    <w:rsid w:val="0001384A"/>
    <w:rsid w:val="00013DFA"/>
    <w:rsid w:val="0001439D"/>
    <w:rsid w:val="000146FF"/>
    <w:rsid w:val="00015D8E"/>
    <w:rsid w:val="00017968"/>
    <w:rsid w:val="00017FB4"/>
    <w:rsid w:val="00021D7F"/>
    <w:rsid w:val="000239FE"/>
    <w:rsid w:val="00023D8A"/>
    <w:rsid w:val="000252D2"/>
    <w:rsid w:val="000317AE"/>
    <w:rsid w:val="00034188"/>
    <w:rsid w:val="000346D7"/>
    <w:rsid w:val="00035404"/>
    <w:rsid w:val="00036089"/>
    <w:rsid w:val="00036788"/>
    <w:rsid w:val="000411ED"/>
    <w:rsid w:val="00043D1A"/>
    <w:rsid w:val="0004410A"/>
    <w:rsid w:val="0004703D"/>
    <w:rsid w:val="00047B6E"/>
    <w:rsid w:val="00051F7A"/>
    <w:rsid w:val="000538D8"/>
    <w:rsid w:val="00053EBE"/>
    <w:rsid w:val="0005402C"/>
    <w:rsid w:val="00054250"/>
    <w:rsid w:val="00055180"/>
    <w:rsid w:val="00055AE9"/>
    <w:rsid w:val="00055D27"/>
    <w:rsid w:val="000602AA"/>
    <w:rsid w:val="00061329"/>
    <w:rsid w:val="0006440E"/>
    <w:rsid w:val="0006471B"/>
    <w:rsid w:val="000657A8"/>
    <w:rsid w:val="000662E3"/>
    <w:rsid w:val="00067ACA"/>
    <w:rsid w:val="00067B8F"/>
    <w:rsid w:val="000707B3"/>
    <w:rsid w:val="000715A9"/>
    <w:rsid w:val="00071F0A"/>
    <w:rsid w:val="000730ED"/>
    <w:rsid w:val="00073870"/>
    <w:rsid w:val="00074788"/>
    <w:rsid w:val="0007663D"/>
    <w:rsid w:val="00076A48"/>
    <w:rsid w:val="000771A4"/>
    <w:rsid w:val="00077876"/>
    <w:rsid w:val="0008103B"/>
    <w:rsid w:val="000815B7"/>
    <w:rsid w:val="000863FA"/>
    <w:rsid w:val="00090A39"/>
    <w:rsid w:val="00090B7E"/>
    <w:rsid w:val="00090CF8"/>
    <w:rsid w:val="000912F0"/>
    <w:rsid w:val="000924AD"/>
    <w:rsid w:val="000927C7"/>
    <w:rsid w:val="000935F1"/>
    <w:rsid w:val="00094560"/>
    <w:rsid w:val="000947C4"/>
    <w:rsid w:val="00095589"/>
    <w:rsid w:val="00095BA9"/>
    <w:rsid w:val="00097150"/>
    <w:rsid w:val="00097C59"/>
    <w:rsid w:val="00097CF1"/>
    <w:rsid w:val="000A0FC3"/>
    <w:rsid w:val="000A1367"/>
    <w:rsid w:val="000A2084"/>
    <w:rsid w:val="000A226B"/>
    <w:rsid w:val="000A4C27"/>
    <w:rsid w:val="000A58EB"/>
    <w:rsid w:val="000A62A9"/>
    <w:rsid w:val="000A6EB6"/>
    <w:rsid w:val="000A7B66"/>
    <w:rsid w:val="000B07B0"/>
    <w:rsid w:val="000B185F"/>
    <w:rsid w:val="000B1C52"/>
    <w:rsid w:val="000B2168"/>
    <w:rsid w:val="000B50CD"/>
    <w:rsid w:val="000B710C"/>
    <w:rsid w:val="000B7985"/>
    <w:rsid w:val="000B7E0B"/>
    <w:rsid w:val="000C098C"/>
    <w:rsid w:val="000C0B04"/>
    <w:rsid w:val="000C0DF4"/>
    <w:rsid w:val="000C344B"/>
    <w:rsid w:val="000C544C"/>
    <w:rsid w:val="000C6130"/>
    <w:rsid w:val="000C72F9"/>
    <w:rsid w:val="000D02E4"/>
    <w:rsid w:val="000D1377"/>
    <w:rsid w:val="000D17FB"/>
    <w:rsid w:val="000D25AC"/>
    <w:rsid w:val="000D25B2"/>
    <w:rsid w:val="000D3C58"/>
    <w:rsid w:val="000D44D4"/>
    <w:rsid w:val="000D5771"/>
    <w:rsid w:val="000D5893"/>
    <w:rsid w:val="000D6150"/>
    <w:rsid w:val="000D7252"/>
    <w:rsid w:val="000D7A72"/>
    <w:rsid w:val="000D7C66"/>
    <w:rsid w:val="000D7D83"/>
    <w:rsid w:val="000E2E4F"/>
    <w:rsid w:val="000E6B01"/>
    <w:rsid w:val="000E7CC2"/>
    <w:rsid w:val="000F0BBD"/>
    <w:rsid w:val="000F10F8"/>
    <w:rsid w:val="000F39EF"/>
    <w:rsid w:val="000F5C0F"/>
    <w:rsid w:val="0010059E"/>
    <w:rsid w:val="0010076F"/>
    <w:rsid w:val="00101E16"/>
    <w:rsid w:val="001020FC"/>
    <w:rsid w:val="001042A1"/>
    <w:rsid w:val="001043DB"/>
    <w:rsid w:val="0010593B"/>
    <w:rsid w:val="0010685E"/>
    <w:rsid w:val="00107096"/>
    <w:rsid w:val="0010719F"/>
    <w:rsid w:val="00107509"/>
    <w:rsid w:val="001076DB"/>
    <w:rsid w:val="00107984"/>
    <w:rsid w:val="0011205F"/>
    <w:rsid w:val="001139A6"/>
    <w:rsid w:val="00113D4A"/>
    <w:rsid w:val="00113F3C"/>
    <w:rsid w:val="00113F97"/>
    <w:rsid w:val="001167D9"/>
    <w:rsid w:val="0011796A"/>
    <w:rsid w:val="00117F68"/>
    <w:rsid w:val="00121A50"/>
    <w:rsid w:val="0012313F"/>
    <w:rsid w:val="001255A7"/>
    <w:rsid w:val="00125838"/>
    <w:rsid w:val="00125C6A"/>
    <w:rsid w:val="001262A5"/>
    <w:rsid w:val="00130907"/>
    <w:rsid w:val="001317CF"/>
    <w:rsid w:val="00132082"/>
    <w:rsid w:val="0013473E"/>
    <w:rsid w:val="00134A6D"/>
    <w:rsid w:val="00134C8C"/>
    <w:rsid w:val="00135D93"/>
    <w:rsid w:val="00136C88"/>
    <w:rsid w:val="00143689"/>
    <w:rsid w:val="00144377"/>
    <w:rsid w:val="001446DF"/>
    <w:rsid w:val="00144F94"/>
    <w:rsid w:val="001458FE"/>
    <w:rsid w:val="001465C6"/>
    <w:rsid w:val="001471AF"/>
    <w:rsid w:val="001504F4"/>
    <w:rsid w:val="00150EF3"/>
    <w:rsid w:val="00151E5F"/>
    <w:rsid w:val="0015229D"/>
    <w:rsid w:val="00154A3B"/>
    <w:rsid w:val="00155161"/>
    <w:rsid w:val="001560D3"/>
    <w:rsid w:val="0015727C"/>
    <w:rsid w:val="001624A0"/>
    <w:rsid w:val="00162FBC"/>
    <w:rsid w:val="0016375C"/>
    <w:rsid w:val="00163D48"/>
    <w:rsid w:val="001654A5"/>
    <w:rsid w:val="00170760"/>
    <w:rsid w:val="00170B46"/>
    <w:rsid w:val="00171767"/>
    <w:rsid w:val="00173764"/>
    <w:rsid w:val="0017405D"/>
    <w:rsid w:val="001748BA"/>
    <w:rsid w:val="00185513"/>
    <w:rsid w:val="00185966"/>
    <w:rsid w:val="00186FCE"/>
    <w:rsid w:val="00192DAD"/>
    <w:rsid w:val="00192F75"/>
    <w:rsid w:val="00193A45"/>
    <w:rsid w:val="00193F19"/>
    <w:rsid w:val="00194C03"/>
    <w:rsid w:val="001A038D"/>
    <w:rsid w:val="001A3B01"/>
    <w:rsid w:val="001A3E0D"/>
    <w:rsid w:val="001A3E96"/>
    <w:rsid w:val="001A4E88"/>
    <w:rsid w:val="001A6181"/>
    <w:rsid w:val="001B0F0C"/>
    <w:rsid w:val="001B1CE6"/>
    <w:rsid w:val="001B59E3"/>
    <w:rsid w:val="001C1EF5"/>
    <w:rsid w:val="001C1FEA"/>
    <w:rsid w:val="001C367A"/>
    <w:rsid w:val="001C4605"/>
    <w:rsid w:val="001C51E2"/>
    <w:rsid w:val="001C579A"/>
    <w:rsid w:val="001C6507"/>
    <w:rsid w:val="001C6A30"/>
    <w:rsid w:val="001C6B8F"/>
    <w:rsid w:val="001C7324"/>
    <w:rsid w:val="001D0E41"/>
    <w:rsid w:val="001D153D"/>
    <w:rsid w:val="001D1796"/>
    <w:rsid w:val="001D19F1"/>
    <w:rsid w:val="001D240E"/>
    <w:rsid w:val="001D38B9"/>
    <w:rsid w:val="001D4BA6"/>
    <w:rsid w:val="001D4CE8"/>
    <w:rsid w:val="001E1792"/>
    <w:rsid w:val="001E42B9"/>
    <w:rsid w:val="001E53AB"/>
    <w:rsid w:val="001E6902"/>
    <w:rsid w:val="001E724D"/>
    <w:rsid w:val="001E7B12"/>
    <w:rsid w:val="001F0746"/>
    <w:rsid w:val="001F1C35"/>
    <w:rsid w:val="001F20B8"/>
    <w:rsid w:val="001F22DB"/>
    <w:rsid w:val="001F3FAE"/>
    <w:rsid w:val="00200F4E"/>
    <w:rsid w:val="002020DB"/>
    <w:rsid w:val="00202A01"/>
    <w:rsid w:val="0020435A"/>
    <w:rsid w:val="00206047"/>
    <w:rsid w:val="00206A88"/>
    <w:rsid w:val="002073BD"/>
    <w:rsid w:val="00207B90"/>
    <w:rsid w:val="00207DE7"/>
    <w:rsid w:val="00210158"/>
    <w:rsid w:val="0021093E"/>
    <w:rsid w:val="0021155E"/>
    <w:rsid w:val="00211A90"/>
    <w:rsid w:val="002139B6"/>
    <w:rsid w:val="00215466"/>
    <w:rsid w:val="002159D7"/>
    <w:rsid w:val="002166BA"/>
    <w:rsid w:val="00216F04"/>
    <w:rsid w:val="002235D5"/>
    <w:rsid w:val="0022389A"/>
    <w:rsid w:val="00223F01"/>
    <w:rsid w:val="0022444E"/>
    <w:rsid w:val="00224508"/>
    <w:rsid w:val="00224E88"/>
    <w:rsid w:val="0022530D"/>
    <w:rsid w:val="0023095C"/>
    <w:rsid w:val="0023266D"/>
    <w:rsid w:val="002328C6"/>
    <w:rsid w:val="00232ACF"/>
    <w:rsid w:val="00233EF5"/>
    <w:rsid w:val="002349C3"/>
    <w:rsid w:val="00235E45"/>
    <w:rsid w:val="00235FC2"/>
    <w:rsid w:val="0023771D"/>
    <w:rsid w:val="00241AD5"/>
    <w:rsid w:val="00241E9C"/>
    <w:rsid w:val="00242077"/>
    <w:rsid w:val="00243B76"/>
    <w:rsid w:val="00243F05"/>
    <w:rsid w:val="002454E7"/>
    <w:rsid w:val="00247C4F"/>
    <w:rsid w:val="0025100A"/>
    <w:rsid w:val="00251386"/>
    <w:rsid w:val="00251AC2"/>
    <w:rsid w:val="00251D02"/>
    <w:rsid w:val="0025324A"/>
    <w:rsid w:val="002534BD"/>
    <w:rsid w:val="00253B3D"/>
    <w:rsid w:val="002551A1"/>
    <w:rsid w:val="0025596E"/>
    <w:rsid w:val="002571A3"/>
    <w:rsid w:val="00257443"/>
    <w:rsid w:val="00260A01"/>
    <w:rsid w:val="00261479"/>
    <w:rsid w:val="00262274"/>
    <w:rsid w:val="00263D49"/>
    <w:rsid w:val="002653BB"/>
    <w:rsid w:val="00265450"/>
    <w:rsid w:val="00265B05"/>
    <w:rsid w:val="00265F6C"/>
    <w:rsid w:val="00266561"/>
    <w:rsid w:val="00266E0C"/>
    <w:rsid w:val="00266E1A"/>
    <w:rsid w:val="002701C8"/>
    <w:rsid w:val="002723FC"/>
    <w:rsid w:val="0027468B"/>
    <w:rsid w:val="00274D23"/>
    <w:rsid w:val="0027607C"/>
    <w:rsid w:val="002762A4"/>
    <w:rsid w:val="00281343"/>
    <w:rsid w:val="00282655"/>
    <w:rsid w:val="00282DAE"/>
    <w:rsid w:val="002837DF"/>
    <w:rsid w:val="00284792"/>
    <w:rsid w:val="00285E2B"/>
    <w:rsid w:val="00287105"/>
    <w:rsid w:val="00287452"/>
    <w:rsid w:val="00290375"/>
    <w:rsid w:val="00291602"/>
    <w:rsid w:val="0029318D"/>
    <w:rsid w:val="00293854"/>
    <w:rsid w:val="0029392F"/>
    <w:rsid w:val="00297583"/>
    <w:rsid w:val="002A1D64"/>
    <w:rsid w:val="002A2034"/>
    <w:rsid w:val="002A255B"/>
    <w:rsid w:val="002A3232"/>
    <w:rsid w:val="002A355B"/>
    <w:rsid w:val="002A5A93"/>
    <w:rsid w:val="002A6B66"/>
    <w:rsid w:val="002A7387"/>
    <w:rsid w:val="002B12E6"/>
    <w:rsid w:val="002B1329"/>
    <w:rsid w:val="002B18CF"/>
    <w:rsid w:val="002B57AA"/>
    <w:rsid w:val="002B7295"/>
    <w:rsid w:val="002B74B9"/>
    <w:rsid w:val="002B7C26"/>
    <w:rsid w:val="002B7F03"/>
    <w:rsid w:val="002C0B56"/>
    <w:rsid w:val="002C0B93"/>
    <w:rsid w:val="002C0F1B"/>
    <w:rsid w:val="002C40BF"/>
    <w:rsid w:val="002C4190"/>
    <w:rsid w:val="002C433C"/>
    <w:rsid w:val="002C4460"/>
    <w:rsid w:val="002C5187"/>
    <w:rsid w:val="002C5517"/>
    <w:rsid w:val="002C7967"/>
    <w:rsid w:val="002D1354"/>
    <w:rsid w:val="002D1A9D"/>
    <w:rsid w:val="002D1CBC"/>
    <w:rsid w:val="002D2C39"/>
    <w:rsid w:val="002D390F"/>
    <w:rsid w:val="002D4D2D"/>
    <w:rsid w:val="002D61E1"/>
    <w:rsid w:val="002D6A92"/>
    <w:rsid w:val="002D6AD0"/>
    <w:rsid w:val="002D7409"/>
    <w:rsid w:val="002E2D66"/>
    <w:rsid w:val="002E33A2"/>
    <w:rsid w:val="002E3609"/>
    <w:rsid w:val="002E5382"/>
    <w:rsid w:val="002E5E3C"/>
    <w:rsid w:val="002F0050"/>
    <w:rsid w:val="002F07F4"/>
    <w:rsid w:val="002F1433"/>
    <w:rsid w:val="002F2E6A"/>
    <w:rsid w:val="002F323D"/>
    <w:rsid w:val="002F605D"/>
    <w:rsid w:val="00300EF7"/>
    <w:rsid w:val="003030EA"/>
    <w:rsid w:val="00305113"/>
    <w:rsid w:val="00306B44"/>
    <w:rsid w:val="00310511"/>
    <w:rsid w:val="00310654"/>
    <w:rsid w:val="00311603"/>
    <w:rsid w:val="003118EF"/>
    <w:rsid w:val="0031194E"/>
    <w:rsid w:val="00311E5C"/>
    <w:rsid w:val="003121F3"/>
    <w:rsid w:val="00313AD1"/>
    <w:rsid w:val="00313B67"/>
    <w:rsid w:val="003149A9"/>
    <w:rsid w:val="00314A83"/>
    <w:rsid w:val="00315407"/>
    <w:rsid w:val="00315734"/>
    <w:rsid w:val="0031648A"/>
    <w:rsid w:val="0031752B"/>
    <w:rsid w:val="0031755E"/>
    <w:rsid w:val="00321188"/>
    <w:rsid w:val="003214AF"/>
    <w:rsid w:val="00321C3D"/>
    <w:rsid w:val="00323798"/>
    <w:rsid w:val="00323A55"/>
    <w:rsid w:val="00325137"/>
    <w:rsid w:val="00325E98"/>
    <w:rsid w:val="003268D1"/>
    <w:rsid w:val="00326DCF"/>
    <w:rsid w:val="00327AF0"/>
    <w:rsid w:val="00330694"/>
    <w:rsid w:val="00330A9B"/>
    <w:rsid w:val="00331AEA"/>
    <w:rsid w:val="00331B49"/>
    <w:rsid w:val="00331F29"/>
    <w:rsid w:val="003331C0"/>
    <w:rsid w:val="00333A1D"/>
    <w:rsid w:val="0033460B"/>
    <w:rsid w:val="00334F92"/>
    <w:rsid w:val="00336D93"/>
    <w:rsid w:val="0033752D"/>
    <w:rsid w:val="0034291E"/>
    <w:rsid w:val="00343723"/>
    <w:rsid w:val="003443B4"/>
    <w:rsid w:val="0034453E"/>
    <w:rsid w:val="003456F8"/>
    <w:rsid w:val="00347675"/>
    <w:rsid w:val="00347BD4"/>
    <w:rsid w:val="00347CD5"/>
    <w:rsid w:val="00350B7C"/>
    <w:rsid w:val="00350B80"/>
    <w:rsid w:val="00351462"/>
    <w:rsid w:val="00353E36"/>
    <w:rsid w:val="00354FEC"/>
    <w:rsid w:val="003554E0"/>
    <w:rsid w:val="00355B64"/>
    <w:rsid w:val="00355DBF"/>
    <w:rsid w:val="003563D0"/>
    <w:rsid w:val="00356991"/>
    <w:rsid w:val="003576FF"/>
    <w:rsid w:val="00357F80"/>
    <w:rsid w:val="0036003F"/>
    <w:rsid w:val="00361C15"/>
    <w:rsid w:val="003622B7"/>
    <w:rsid w:val="0036304D"/>
    <w:rsid w:val="003631B2"/>
    <w:rsid w:val="00363764"/>
    <w:rsid w:val="0036462F"/>
    <w:rsid w:val="00367A4B"/>
    <w:rsid w:val="00372887"/>
    <w:rsid w:val="00373EDC"/>
    <w:rsid w:val="00374404"/>
    <w:rsid w:val="00375C4D"/>
    <w:rsid w:val="0037629C"/>
    <w:rsid w:val="0037629E"/>
    <w:rsid w:val="00380A73"/>
    <w:rsid w:val="00382F29"/>
    <w:rsid w:val="00384AF1"/>
    <w:rsid w:val="00385A79"/>
    <w:rsid w:val="00386385"/>
    <w:rsid w:val="00386798"/>
    <w:rsid w:val="00387555"/>
    <w:rsid w:val="0039006E"/>
    <w:rsid w:val="00390F2A"/>
    <w:rsid w:val="003919B6"/>
    <w:rsid w:val="00391AD2"/>
    <w:rsid w:val="003928A8"/>
    <w:rsid w:val="0039343C"/>
    <w:rsid w:val="00393B9D"/>
    <w:rsid w:val="00394823"/>
    <w:rsid w:val="003955A0"/>
    <w:rsid w:val="00395CA3"/>
    <w:rsid w:val="0039786B"/>
    <w:rsid w:val="003978DA"/>
    <w:rsid w:val="003A13B4"/>
    <w:rsid w:val="003A47A3"/>
    <w:rsid w:val="003A72AE"/>
    <w:rsid w:val="003B1262"/>
    <w:rsid w:val="003B4641"/>
    <w:rsid w:val="003B4A8D"/>
    <w:rsid w:val="003B4C78"/>
    <w:rsid w:val="003B5D7A"/>
    <w:rsid w:val="003B6748"/>
    <w:rsid w:val="003B72C4"/>
    <w:rsid w:val="003C276B"/>
    <w:rsid w:val="003C2D45"/>
    <w:rsid w:val="003C3908"/>
    <w:rsid w:val="003C48B6"/>
    <w:rsid w:val="003C4D0F"/>
    <w:rsid w:val="003C5327"/>
    <w:rsid w:val="003C6B6D"/>
    <w:rsid w:val="003C7C89"/>
    <w:rsid w:val="003D0249"/>
    <w:rsid w:val="003D066E"/>
    <w:rsid w:val="003D2AE7"/>
    <w:rsid w:val="003D4318"/>
    <w:rsid w:val="003D4D00"/>
    <w:rsid w:val="003D5D9A"/>
    <w:rsid w:val="003D6200"/>
    <w:rsid w:val="003D66C8"/>
    <w:rsid w:val="003D6B2B"/>
    <w:rsid w:val="003E0375"/>
    <w:rsid w:val="003E16A2"/>
    <w:rsid w:val="003E2B21"/>
    <w:rsid w:val="003E2EC1"/>
    <w:rsid w:val="003E4422"/>
    <w:rsid w:val="003E4988"/>
    <w:rsid w:val="003E4FF7"/>
    <w:rsid w:val="003E7EEF"/>
    <w:rsid w:val="003F1AAC"/>
    <w:rsid w:val="003F35EF"/>
    <w:rsid w:val="003F3B35"/>
    <w:rsid w:val="003F470F"/>
    <w:rsid w:val="003F5B78"/>
    <w:rsid w:val="003F7BE5"/>
    <w:rsid w:val="0040063B"/>
    <w:rsid w:val="00402689"/>
    <w:rsid w:val="00404BE7"/>
    <w:rsid w:val="004052B2"/>
    <w:rsid w:val="00405C0C"/>
    <w:rsid w:val="00405FC1"/>
    <w:rsid w:val="00405FFB"/>
    <w:rsid w:val="00410B6F"/>
    <w:rsid w:val="004115E0"/>
    <w:rsid w:val="00412253"/>
    <w:rsid w:val="004145BD"/>
    <w:rsid w:val="00415770"/>
    <w:rsid w:val="00415FC6"/>
    <w:rsid w:val="004179EB"/>
    <w:rsid w:val="00420DA2"/>
    <w:rsid w:val="004235B1"/>
    <w:rsid w:val="00424784"/>
    <w:rsid w:val="00425026"/>
    <w:rsid w:val="00426711"/>
    <w:rsid w:val="00426F44"/>
    <w:rsid w:val="00427102"/>
    <w:rsid w:val="00427374"/>
    <w:rsid w:val="00430270"/>
    <w:rsid w:val="004303BA"/>
    <w:rsid w:val="0043101B"/>
    <w:rsid w:val="004320A9"/>
    <w:rsid w:val="00434060"/>
    <w:rsid w:val="00436E44"/>
    <w:rsid w:val="00437173"/>
    <w:rsid w:val="0043778D"/>
    <w:rsid w:val="004379E3"/>
    <w:rsid w:val="0044012A"/>
    <w:rsid w:val="00440BF0"/>
    <w:rsid w:val="00441D52"/>
    <w:rsid w:val="00442312"/>
    <w:rsid w:val="004432F6"/>
    <w:rsid w:val="004443BE"/>
    <w:rsid w:val="004446C5"/>
    <w:rsid w:val="00446600"/>
    <w:rsid w:val="004469F9"/>
    <w:rsid w:val="00446C98"/>
    <w:rsid w:val="00446D56"/>
    <w:rsid w:val="00446E52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5945"/>
    <w:rsid w:val="00456AC9"/>
    <w:rsid w:val="0046020B"/>
    <w:rsid w:val="004619D4"/>
    <w:rsid w:val="00461BFF"/>
    <w:rsid w:val="0046257E"/>
    <w:rsid w:val="004642C0"/>
    <w:rsid w:val="004676C5"/>
    <w:rsid w:val="0046775E"/>
    <w:rsid w:val="00470D92"/>
    <w:rsid w:val="0047390F"/>
    <w:rsid w:val="00475510"/>
    <w:rsid w:val="0047586E"/>
    <w:rsid w:val="00475D67"/>
    <w:rsid w:val="00480E9D"/>
    <w:rsid w:val="004837A6"/>
    <w:rsid w:val="00485168"/>
    <w:rsid w:val="004851ED"/>
    <w:rsid w:val="0048588A"/>
    <w:rsid w:val="00487D31"/>
    <w:rsid w:val="00490397"/>
    <w:rsid w:val="00490692"/>
    <w:rsid w:val="00491A38"/>
    <w:rsid w:val="00493265"/>
    <w:rsid w:val="00494AD0"/>
    <w:rsid w:val="004952D7"/>
    <w:rsid w:val="00495C7D"/>
    <w:rsid w:val="00496108"/>
    <w:rsid w:val="00496192"/>
    <w:rsid w:val="00497373"/>
    <w:rsid w:val="00497823"/>
    <w:rsid w:val="004A0830"/>
    <w:rsid w:val="004A0E05"/>
    <w:rsid w:val="004A11C7"/>
    <w:rsid w:val="004A12BF"/>
    <w:rsid w:val="004A18D7"/>
    <w:rsid w:val="004A1B26"/>
    <w:rsid w:val="004A2E08"/>
    <w:rsid w:val="004A4A80"/>
    <w:rsid w:val="004A5269"/>
    <w:rsid w:val="004A5489"/>
    <w:rsid w:val="004A72F5"/>
    <w:rsid w:val="004B7AD5"/>
    <w:rsid w:val="004C0A72"/>
    <w:rsid w:val="004C17CB"/>
    <w:rsid w:val="004C420E"/>
    <w:rsid w:val="004C6C35"/>
    <w:rsid w:val="004C7929"/>
    <w:rsid w:val="004D0248"/>
    <w:rsid w:val="004D0BDF"/>
    <w:rsid w:val="004D142A"/>
    <w:rsid w:val="004D3A0B"/>
    <w:rsid w:val="004D3FE3"/>
    <w:rsid w:val="004D469E"/>
    <w:rsid w:val="004D4B67"/>
    <w:rsid w:val="004D4F66"/>
    <w:rsid w:val="004E27A9"/>
    <w:rsid w:val="004E3A57"/>
    <w:rsid w:val="004E4113"/>
    <w:rsid w:val="004E472B"/>
    <w:rsid w:val="004E4A4C"/>
    <w:rsid w:val="004E4BBD"/>
    <w:rsid w:val="004E5018"/>
    <w:rsid w:val="004E5200"/>
    <w:rsid w:val="004E5EFE"/>
    <w:rsid w:val="004E66AC"/>
    <w:rsid w:val="004E6B7B"/>
    <w:rsid w:val="004E7D7F"/>
    <w:rsid w:val="004F064A"/>
    <w:rsid w:val="004F06C4"/>
    <w:rsid w:val="004F0AE2"/>
    <w:rsid w:val="004F0FD3"/>
    <w:rsid w:val="004F1D5B"/>
    <w:rsid w:val="004F35DB"/>
    <w:rsid w:val="004F3FEB"/>
    <w:rsid w:val="004F5454"/>
    <w:rsid w:val="004F6AEC"/>
    <w:rsid w:val="005014CD"/>
    <w:rsid w:val="00501793"/>
    <w:rsid w:val="00505BFD"/>
    <w:rsid w:val="005074D5"/>
    <w:rsid w:val="00510653"/>
    <w:rsid w:val="00510AA1"/>
    <w:rsid w:val="00511E6F"/>
    <w:rsid w:val="005127CE"/>
    <w:rsid w:val="00512879"/>
    <w:rsid w:val="00513265"/>
    <w:rsid w:val="00513282"/>
    <w:rsid w:val="005151BE"/>
    <w:rsid w:val="00515F29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3D48"/>
    <w:rsid w:val="00535A6B"/>
    <w:rsid w:val="00537071"/>
    <w:rsid w:val="00537869"/>
    <w:rsid w:val="00537B61"/>
    <w:rsid w:val="005404B8"/>
    <w:rsid w:val="005419E9"/>
    <w:rsid w:val="00541DC9"/>
    <w:rsid w:val="00542475"/>
    <w:rsid w:val="00542971"/>
    <w:rsid w:val="005440CF"/>
    <w:rsid w:val="00545910"/>
    <w:rsid w:val="00546397"/>
    <w:rsid w:val="005501B6"/>
    <w:rsid w:val="00550C9C"/>
    <w:rsid w:val="00551444"/>
    <w:rsid w:val="005516A8"/>
    <w:rsid w:val="00551AB8"/>
    <w:rsid w:val="0055202C"/>
    <w:rsid w:val="005533C4"/>
    <w:rsid w:val="00553BAD"/>
    <w:rsid w:val="00560786"/>
    <w:rsid w:val="005611CA"/>
    <w:rsid w:val="0056268F"/>
    <w:rsid w:val="00562BA3"/>
    <w:rsid w:val="005646DB"/>
    <w:rsid w:val="005653D8"/>
    <w:rsid w:val="00565C3C"/>
    <w:rsid w:val="00566974"/>
    <w:rsid w:val="00567623"/>
    <w:rsid w:val="0057085B"/>
    <w:rsid w:val="00570C6B"/>
    <w:rsid w:val="00571963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608A"/>
    <w:rsid w:val="00586657"/>
    <w:rsid w:val="0058695B"/>
    <w:rsid w:val="00586FDE"/>
    <w:rsid w:val="00587191"/>
    <w:rsid w:val="00587B6A"/>
    <w:rsid w:val="00587C9B"/>
    <w:rsid w:val="00587F5D"/>
    <w:rsid w:val="00590264"/>
    <w:rsid w:val="00590E5A"/>
    <w:rsid w:val="005940D1"/>
    <w:rsid w:val="00594E34"/>
    <w:rsid w:val="0059501A"/>
    <w:rsid w:val="00595908"/>
    <w:rsid w:val="00596B3D"/>
    <w:rsid w:val="00597B19"/>
    <w:rsid w:val="005A07E1"/>
    <w:rsid w:val="005A204E"/>
    <w:rsid w:val="005A2279"/>
    <w:rsid w:val="005A2BB7"/>
    <w:rsid w:val="005A3A8D"/>
    <w:rsid w:val="005A4055"/>
    <w:rsid w:val="005A4ADA"/>
    <w:rsid w:val="005A4E09"/>
    <w:rsid w:val="005A6F2F"/>
    <w:rsid w:val="005A7694"/>
    <w:rsid w:val="005A7757"/>
    <w:rsid w:val="005B09BE"/>
    <w:rsid w:val="005B283E"/>
    <w:rsid w:val="005B3A18"/>
    <w:rsid w:val="005B41AA"/>
    <w:rsid w:val="005B4F61"/>
    <w:rsid w:val="005B57EF"/>
    <w:rsid w:val="005B64F3"/>
    <w:rsid w:val="005B724E"/>
    <w:rsid w:val="005C22D0"/>
    <w:rsid w:val="005C5968"/>
    <w:rsid w:val="005C756F"/>
    <w:rsid w:val="005C7707"/>
    <w:rsid w:val="005C7E75"/>
    <w:rsid w:val="005D0514"/>
    <w:rsid w:val="005D133C"/>
    <w:rsid w:val="005D27B7"/>
    <w:rsid w:val="005D33D4"/>
    <w:rsid w:val="005D5CF2"/>
    <w:rsid w:val="005D72FB"/>
    <w:rsid w:val="005D7836"/>
    <w:rsid w:val="005D7FCA"/>
    <w:rsid w:val="005E1232"/>
    <w:rsid w:val="005E2F7A"/>
    <w:rsid w:val="005E37DA"/>
    <w:rsid w:val="005E485F"/>
    <w:rsid w:val="005E4B87"/>
    <w:rsid w:val="005F2729"/>
    <w:rsid w:val="005F3758"/>
    <w:rsid w:val="005F6AB4"/>
    <w:rsid w:val="005F71F9"/>
    <w:rsid w:val="006002AA"/>
    <w:rsid w:val="00603DB8"/>
    <w:rsid w:val="00605C58"/>
    <w:rsid w:val="00606784"/>
    <w:rsid w:val="0060698B"/>
    <w:rsid w:val="00606E7C"/>
    <w:rsid w:val="00611C67"/>
    <w:rsid w:val="00614076"/>
    <w:rsid w:val="00614E5A"/>
    <w:rsid w:val="00616235"/>
    <w:rsid w:val="00617492"/>
    <w:rsid w:val="00617CFE"/>
    <w:rsid w:val="00620244"/>
    <w:rsid w:val="00620B8A"/>
    <w:rsid w:val="0062275E"/>
    <w:rsid w:val="00623FEC"/>
    <w:rsid w:val="0062554E"/>
    <w:rsid w:val="006255E7"/>
    <w:rsid w:val="00625F7F"/>
    <w:rsid w:val="0062693C"/>
    <w:rsid w:val="00630230"/>
    <w:rsid w:val="00631233"/>
    <w:rsid w:val="006316F4"/>
    <w:rsid w:val="0063197E"/>
    <w:rsid w:val="00631B03"/>
    <w:rsid w:val="00632F90"/>
    <w:rsid w:val="00633689"/>
    <w:rsid w:val="00636EB6"/>
    <w:rsid w:val="00640B8B"/>
    <w:rsid w:val="00640FE7"/>
    <w:rsid w:val="00640FEF"/>
    <w:rsid w:val="00642BD7"/>
    <w:rsid w:val="00642E98"/>
    <w:rsid w:val="00643AB4"/>
    <w:rsid w:val="00643E28"/>
    <w:rsid w:val="00644CF4"/>
    <w:rsid w:val="00645153"/>
    <w:rsid w:val="006455B8"/>
    <w:rsid w:val="00645EF2"/>
    <w:rsid w:val="00646223"/>
    <w:rsid w:val="00647993"/>
    <w:rsid w:val="006479B5"/>
    <w:rsid w:val="00650304"/>
    <w:rsid w:val="006511EF"/>
    <w:rsid w:val="00651735"/>
    <w:rsid w:val="006529FA"/>
    <w:rsid w:val="006535F8"/>
    <w:rsid w:val="00653B45"/>
    <w:rsid w:val="0065485F"/>
    <w:rsid w:val="006548B7"/>
    <w:rsid w:val="00656745"/>
    <w:rsid w:val="00657376"/>
    <w:rsid w:val="00660EA6"/>
    <w:rsid w:val="006615FF"/>
    <w:rsid w:val="00661FE9"/>
    <w:rsid w:val="00663B7B"/>
    <w:rsid w:val="006640FF"/>
    <w:rsid w:val="00664E77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CCA"/>
    <w:rsid w:val="00675E56"/>
    <w:rsid w:val="0067632C"/>
    <w:rsid w:val="00676BDD"/>
    <w:rsid w:val="00677934"/>
    <w:rsid w:val="00677A85"/>
    <w:rsid w:val="006805A5"/>
    <w:rsid w:val="006809F1"/>
    <w:rsid w:val="00680B51"/>
    <w:rsid w:val="006821E3"/>
    <w:rsid w:val="00682967"/>
    <w:rsid w:val="00685DB6"/>
    <w:rsid w:val="0069299B"/>
    <w:rsid w:val="00692E9E"/>
    <w:rsid w:val="00693518"/>
    <w:rsid w:val="00694C51"/>
    <w:rsid w:val="006955E7"/>
    <w:rsid w:val="00695FCF"/>
    <w:rsid w:val="00696336"/>
    <w:rsid w:val="00696965"/>
    <w:rsid w:val="00696DDA"/>
    <w:rsid w:val="006970D5"/>
    <w:rsid w:val="006A013E"/>
    <w:rsid w:val="006A135C"/>
    <w:rsid w:val="006A4CFB"/>
    <w:rsid w:val="006A65B1"/>
    <w:rsid w:val="006A704A"/>
    <w:rsid w:val="006A71A2"/>
    <w:rsid w:val="006B0DD2"/>
    <w:rsid w:val="006B2505"/>
    <w:rsid w:val="006B3B10"/>
    <w:rsid w:val="006B4075"/>
    <w:rsid w:val="006B55BE"/>
    <w:rsid w:val="006B5E7A"/>
    <w:rsid w:val="006B6956"/>
    <w:rsid w:val="006C09E3"/>
    <w:rsid w:val="006C0A34"/>
    <w:rsid w:val="006C254B"/>
    <w:rsid w:val="006C3647"/>
    <w:rsid w:val="006C3947"/>
    <w:rsid w:val="006C3B4B"/>
    <w:rsid w:val="006C41FF"/>
    <w:rsid w:val="006C4C3E"/>
    <w:rsid w:val="006C4E62"/>
    <w:rsid w:val="006C5572"/>
    <w:rsid w:val="006C6AAB"/>
    <w:rsid w:val="006D1D72"/>
    <w:rsid w:val="006D267B"/>
    <w:rsid w:val="006D30E8"/>
    <w:rsid w:val="006D502F"/>
    <w:rsid w:val="006D5067"/>
    <w:rsid w:val="006D5713"/>
    <w:rsid w:val="006D7990"/>
    <w:rsid w:val="006D7B5C"/>
    <w:rsid w:val="006E037B"/>
    <w:rsid w:val="006E1EA3"/>
    <w:rsid w:val="006E265E"/>
    <w:rsid w:val="006E27FD"/>
    <w:rsid w:val="006E3ADD"/>
    <w:rsid w:val="006E4DAD"/>
    <w:rsid w:val="006E6CC2"/>
    <w:rsid w:val="006F1100"/>
    <w:rsid w:val="006F16C8"/>
    <w:rsid w:val="006F3A26"/>
    <w:rsid w:val="006F5C05"/>
    <w:rsid w:val="006F5E1D"/>
    <w:rsid w:val="006F6ADA"/>
    <w:rsid w:val="006F6EF7"/>
    <w:rsid w:val="006F707F"/>
    <w:rsid w:val="006F70DE"/>
    <w:rsid w:val="007033BE"/>
    <w:rsid w:val="0070382E"/>
    <w:rsid w:val="00703EE4"/>
    <w:rsid w:val="0070621C"/>
    <w:rsid w:val="00706682"/>
    <w:rsid w:val="00707993"/>
    <w:rsid w:val="0071123A"/>
    <w:rsid w:val="00711E25"/>
    <w:rsid w:val="00712119"/>
    <w:rsid w:val="00712AC4"/>
    <w:rsid w:val="00712FB7"/>
    <w:rsid w:val="007138CC"/>
    <w:rsid w:val="0071439B"/>
    <w:rsid w:val="00714EA4"/>
    <w:rsid w:val="00715755"/>
    <w:rsid w:val="0071775F"/>
    <w:rsid w:val="00720881"/>
    <w:rsid w:val="0072122E"/>
    <w:rsid w:val="00723B85"/>
    <w:rsid w:val="00724661"/>
    <w:rsid w:val="007257B8"/>
    <w:rsid w:val="0072594B"/>
    <w:rsid w:val="00727A83"/>
    <w:rsid w:val="00727E1C"/>
    <w:rsid w:val="00730A03"/>
    <w:rsid w:val="0073174A"/>
    <w:rsid w:val="007333BE"/>
    <w:rsid w:val="007335A8"/>
    <w:rsid w:val="0073506A"/>
    <w:rsid w:val="00735079"/>
    <w:rsid w:val="0073593C"/>
    <w:rsid w:val="00736A14"/>
    <w:rsid w:val="00737013"/>
    <w:rsid w:val="0073764E"/>
    <w:rsid w:val="00737DDD"/>
    <w:rsid w:val="00743AC6"/>
    <w:rsid w:val="00744072"/>
    <w:rsid w:val="0075099D"/>
    <w:rsid w:val="00752052"/>
    <w:rsid w:val="0075375F"/>
    <w:rsid w:val="00753BF3"/>
    <w:rsid w:val="00754EA3"/>
    <w:rsid w:val="00756B84"/>
    <w:rsid w:val="00756F62"/>
    <w:rsid w:val="00757A75"/>
    <w:rsid w:val="00760136"/>
    <w:rsid w:val="00760496"/>
    <w:rsid w:val="0076053B"/>
    <w:rsid w:val="007609A7"/>
    <w:rsid w:val="007622E3"/>
    <w:rsid w:val="00762CF6"/>
    <w:rsid w:val="00763FB0"/>
    <w:rsid w:val="007644E5"/>
    <w:rsid w:val="00765150"/>
    <w:rsid w:val="00765D54"/>
    <w:rsid w:val="007675EB"/>
    <w:rsid w:val="0077019C"/>
    <w:rsid w:val="00770D2D"/>
    <w:rsid w:val="00770D5D"/>
    <w:rsid w:val="00771FBC"/>
    <w:rsid w:val="00772897"/>
    <w:rsid w:val="00772C0B"/>
    <w:rsid w:val="00772E3A"/>
    <w:rsid w:val="00773068"/>
    <w:rsid w:val="007738D0"/>
    <w:rsid w:val="00773C80"/>
    <w:rsid w:val="00773EC0"/>
    <w:rsid w:val="00774DA4"/>
    <w:rsid w:val="00774E33"/>
    <w:rsid w:val="0077567A"/>
    <w:rsid w:val="00775DA1"/>
    <w:rsid w:val="00775F4F"/>
    <w:rsid w:val="00777690"/>
    <w:rsid w:val="00777C0A"/>
    <w:rsid w:val="00777CB5"/>
    <w:rsid w:val="00780533"/>
    <w:rsid w:val="00783A0B"/>
    <w:rsid w:val="00784DD0"/>
    <w:rsid w:val="0078737D"/>
    <w:rsid w:val="00790464"/>
    <w:rsid w:val="00791D81"/>
    <w:rsid w:val="007939B6"/>
    <w:rsid w:val="007964C7"/>
    <w:rsid w:val="007A35B4"/>
    <w:rsid w:val="007A4846"/>
    <w:rsid w:val="007A4969"/>
    <w:rsid w:val="007A5E92"/>
    <w:rsid w:val="007A66DF"/>
    <w:rsid w:val="007A6D9A"/>
    <w:rsid w:val="007A6FD9"/>
    <w:rsid w:val="007A7C15"/>
    <w:rsid w:val="007B01D2"/>
    <w:rsid w:val="007B05F7"/>
    <w:rsid w:val="007B1924"/>
    <w:rsid w:val="007B199A"/>
    <w:rsid w:val="007B1BA6"/>
    <w:rsid w:val="007B418A"/>
    <w:rsid w:val="007B48F8"/>
    <w:rsid w:val="007B51E6"/>
    <w:rsid w:val="007B55B5"/>
    <w:rsid w:val="007B5624"/>
    <w:rsid w:val="007C249E"/>
    <w:rsid w:val="007C3D92"/>
    <w:rsid w:val="007C43F8"/>
    <w:rsid w:val="007C5420"/>
    <w:rsid w:val="007D06C0"/>
    <w:rsid w:val="007D1008"/>
    <w:rsid w:val="007D1B67"/>
    <w:rsid w:val="007D2672"/>
    <w:rsid w:val="007D4B6B"/>
    <w:rsid w:val="007D62DC"/>
    <w:rsid w:val="007D6B1D"/>
    <w:rsid w:val="007D7930"/>
    <w:rsid w:val="007D7CCF"/>
    <w:rsid w:val="007E0965"/>
    <w:rsid w:val="007E457E"/>
    <w:rsid w:val="007E58BF"/>
    <w:rsid w:val="007E5ECB"/>
    <w:rsid w:val="007E65DB"/>
    <w:rsid w:val="007E728E"/>
    <w:rsid w:val="007E784C"/>
    <w:rsid w:val="007F0756"/>
    <w:rsid w:val="007F0EA5"/>
    <w:rsid w:val="007F130A"/>
    <w:rsid w:val="007F19B1"/>
    <w:rsid w:val="007F1C0D"/>
    <w:rsid w:val="007F1E22"/>
    <w:rsid w:val="007F3D4F"/>
    <w:rsid w:val="007F46C8"/>
    <w:rsid w:val="007F52BD"/>
    <w:rsid w:val="007F5D18"/>
    <w:rsid w:val="00801420"/>
    <w:rsid w:val="00802069"/>
    <w:rsid w:val="00802484"/>
    <w:rsid w:val="008025DC"/>
    <w:rsid w:val="00802652"/>
    <w:rsid w:val="00802D8D"/>
    <w:rsid w:val="00803C62"/>
    <w:rsid w:val="00806B72"/>
    <w:rsid w:val="00806EC8"/>
    <w:rsid w:val="00807EEF"/>
    <w:rsid w:val="00810A9B"/>
    <w:rsid w:val="00812D2F"/>
    <w:rsid w:val="0081416F"/>
    <w:rsid w:val="008147F1"/>
    <w:rsid w:val="00814CE9"/>
    <w:rsid w:val="008150BA"/>
    <w:rsid w:val="00815D4F"/>
    <w:rsid w:val="00815D73"/>
    <w:rsid w:val="008173BE"/>
    <w:rsid w:val="008176D9"/>
    <w:rsid w:val="00820BE1"/>
    <w:rsid w:val="00825BCB"/>
    <w:rsid w:val="0082609D"/>
    <w:rsid w:val="008270A6"/>
    <w:rsid w:val="00827BB7"/>
    <w:rsid w:val="00831988"/>
    <w:rsid w:val="00832233"/>
    <w:rsid w:val="00832428"/>
    <w:rsid w:val="00832BDC"/>
    <w:rsid w:val="008335D7"/>
    <w:rsid w:val="0083364D"/>
    <w:rsid w:val="0083385D"/>
    <w:rsid w:val="008340F1"/>
    <w:rsid w:val="00834A4A"/>
    <w:rsid w:val="0083539A"/>
    <w:rsid w:val="0083564F"/>
    <w:rsid w:val="008356C6"/>
    <w:rsid w:val="0083673F"/>
    <w:rsid w:val="008379ED"/>
    <w:rsid w:val="00837B9C"/>
    <w:rsid w:val="008409F8"/>
    <w:rsid w:val="00844028"/>
    <w:rsid w:val="0084493B"/>
    <w:rsid w:val="00844B59"/>
    <w:rsid w:val="00844F82"/>
    <w:rsid w:val="00845D51"/>
    <w:rsid w:val="008469EE"/>
    <w:rsid w:val="00850141"/>
    <w:rsid w:val="00851085"/>
    <w:rsid w:val="008513F9"/>
    <w:rsid w:val="00851A60"/>
    <w:rsid w:val="008521CA"/>
    <w:rsid w:val="008534EF"/>
    <w:rsid w:val="008549BA"/>
    <w:rsid w:val="00854E8A"/>
    <w:rsid w:val="008551B7"/>
    <w:rsid w:val="008566B3"/>
    <w:rsid w:val="00856765"/>
    <w:rsid w:val="0085760A"/>
    <w:rsid w:val="00860FB1"/>
    <w:rsid w:val="00862746"/>
    <w:rsid w:val="008638C5"/>
    <w:rsid w:val="008640E0"/>
    <w:rsid w:val="00864335"/>
    <w:rsid w:val="00867AEB"/>
    <w:rsid w:val="00870261"/>
    <w:rsid w:val="008727DE"/>
    <w:rsid w:val="008737DB"/>
    <w:rsid w:val="008737F2"/>
    <w:rsid w:val="00873B7C"/>
    <w:rsid w:val="008775A4"/>
    <w:rsid w:val="008809B6"/>
    <w:rsid w:val="00881122"/>
    <w:rsid w:val="00881AF4"/>
    <w:rsid w:val="008834FE"/>
    <w:rsid w:val="00883BC1"/>
    <w:rsid w:val="00884AE7"/>
    <w:rsid w:val="0088524E"/>
    <w:rsid w:val="00886263"/>
    <w:rsid w:val="00887B9E"/>
    <w:rsid w:val="00890070"/>
    <w:rsid w:val="00890405"/>
    <w:rsid w:val="00891316"/>
    <w:rsid w:val="00891A9D"/>
    <w:rsid w:val="008920DC"/>
    <w:rsid w:val="008925C6"/>
    <w:rsid w:val="008927EE"/>
    <w:rsid w:val="0089511B"/>
    <w:rsid w:val="008952D7"/>
    <w:rsid w:val="008956D1"/>
    <w:rsid w:val="008957EF"/>
    <w:rsid w:val="00895BB6"/>
    <w:rsid w:val="008972B2"/>
    <w:rsid w:val="008976A1"/>
    <w:rsid w:val="00897928"/>
    <w:rsid w:val="00897A0E"/>
    <w:rsid w:val="00897CA1"/>
    <w:rsid w:val="008A0790"/>
    <w:rsid w:val="008A0BDA"/>
    <w:rsid w:val="008A0E25"/>
    <w:rsid w:val="008A1766"/>
    <w:rsid w:val="008A1D53"/>
    <w:rsid w:val="008A4A80"/>
    <w:rsid w:val="008A7479"/>
    <w:rsid w:val="008B2BA7"/>
    <w:rsid w:val="008B3494"/>
    <w:rsid w:val="008B4DDD"/>
    <w:rsid w:val="008B5FC3"/>
    <w:rsid w:val="008B7022"/>
    <w:rsid w:val="008B743F"/>
    <w:rsid w:val="008C0A82"/>
    <w:rsid w:val="008C4980"/>
    <w:rsid w:val="008C5798"/>
    <w:rsid w:val="008C6B5E"/>
    <w:rsid w:val="008D1ADE"/>
    <w:rsid w:val="008D1B70"/>
    <w:rsid w:val="008D2BDD"/>
    <w:rsid w:val="008D33F8"/>
    <w:rsid w:val="008D3BD3"/>
    <w:rsid w:val="008D4BC6"/>
    <w:rsid w:val="008D5631"/>
    <w:rsid w:val="008D65BB"/>
    <w:rsid w:val="008E14D6"/>
    <w:rsid w:val="008E190A"/>
    <w:rsid w:val="008E2453"/>
    <w:rsid w:val="008E4822"/>
    <w:rsid w:val="008E4AD4"/>
    <w:rsid w:val="008E5E24"/>
    <w:rsid w:val="008E70A9"/>
    <w:rsid w:val="008E78E9"/>
    <w:rsid w:val="008F1906"/>
    <w:rsid w:val="008F1F12"/>
    <w:rsid w:val="008F2550"/>
    <w:rsid w:val="008F2BFA"/>
    <w:rsid w:val="008F2D5E"/>
    <w:rsid w:val="008F2E54"/>
    <w:rsid w:val="008F3893"/>
    <w:rsid w:val="008F43E5"/>
    <w:rsid w:val="008F5A3B"/>
    <w:rsid w:val="008F6975"/>
    <w:rsid w:val="008F6AE0"/>
    <w:rsid w:val="008F72C4"/>
    <w:rsid w:val="00900A5F"/>
    <w:rsid w:val="00901EC1"/>
    <w:rsid w:val="00902108"/>
    <w:rsid w:val="00902199"/>
    <w:rsid w:val="00902865"/>
    <w:rsid w:val="009030D3"/>
    <w:rsid w:val="00903342"/>
    <w:rsid w:val="009062C0"/>
    <w:rsid w:val="00906DD1"/>
    <w:rsid w:val="00913806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6440"/>
    <w:rsid w:val="00926D4F"/>
    <w:rsid w:val="00927505"/>
    <w:rsid w:val="009277A7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0DC6"/>
    <w:rsid w:val="0094183B"/>
    <w:rsid w:val="00942180"/>
    <w:rsid w:val="00947084"/>
    <w:rsid w:val="00947FBD"/>
    <w:rsid w:val="00951A4B"/>
    <w:rsid w:val="0095482F"/>
    <w:rsid w:val="00955403"/>
    <w:rsid w:val="00956775"/>
    <w:rsid w:val="00957064"/>
    <w:rsid w:val="00957526"/>
    <w:rsid w:val="00957C85"/>
    <w:rsid w:val="00957D24"/>
    <w:rsid w:val="009602DF"/>
    <w:rsid w:val="009630B4"/>
    <w:rsid w:val="00963735"/>
    <w:rsid w:val="009650B3"/>
    <w:rsid w:val="00965964"/>
    <w:rsid w:val="0097162D"/>
    <w:rsid w:val="00971CB7"/>
    <w:rsid w:val="009721C4"/>
    <w:rsid w:val="009722DB"/>
    <w:rsid w:val="0097272E"/>
    <w:rsid w:val="00972C66"/>
    <w:rsid w:val="00972DD1"/>
    <w:rsid w:val="00973B94"/>
    <w:rsid w:val="00974683"/>
    <w:rsid w:val="00976F80"/>
    <w:rsid w:val="009805F2"/>
    <w:rsid w:val="00984C33"/>
    <w:rsid w:val="00986052"/>
    <w:rsid w:val="00987C74"/>
    <w:rsid w:val="00990FBE"/>
    <w:rsid w:val="00991B11"/>
    <w:rsid w:val="00994D71"/>
    <w:rsid w:val="00996C28"/>
    <w:rsid w:val="00996FA7"/>
    <w:rsid w:val="0099708E"/>
    <w:rsid w:val="009A18A8"/>
    <w:rsid w:val="009A2DA3"/>
    <w:rsid w:val="009A37EB"/>
    <w:rsid w:val="009A388E"/>
    <w:rsid w:val="009A3ADF"/>
    <w:rsid w:val="009A662A"/>
    <w:rsid w:val="009A6C03"/>
    <w:rsid w:val="009A7840"/>
    <w:rsid w:val="009A7F2E"/>
    <w:rsid w:val="009B0C1D"/>
    <w:rsid w:val="009B2E68"/>
    <w:rsid w:val="009B2EF8"/>
    <w:rsid w:val="009B67E9"/>
    <w:rsid w:val="009C1528"/>
    <w:rsid w:val="009C152A"/>
    <w:rsid w:val="009C1A22"/>
    <w:rsid w:val="009C2C3C"/>
    <w:rsid w:val="009C60D3"/>
    <w:rsid w:val="009C662F"/>
    <w:rsid w:val="009C6AFA"/>
    <w:rsid w:val="009C7037"/>
    <w:rsid w:val="009C7943"/>
    <w:rsid w:val="009C7EF6"/>
    <w:rsid w:val="009D12C3"/>
    <w:rsid w:val="009D1A5C"/>
    <w:rsid w:val="009D217B"/>
    <w:rsid w:val="009D2EAC"/>
    <w:rsid w:val="009D4F4F"/>
    <w:rsid w:val="009D6E1C"/>
    <w:rsid w:val="009D7474"/>
    <w:rsid w:val="009D7945"/>
    <w:rsid w:val="009E0424"/>
    <w:rsid w:val="009E30A5"/>
    <w:rsid w:val="009E3CEE"/>
    <w:rsid w:val="009E3EAC"/>
    <w:rsid w:val="009E3F63"/>
    <w:rsid w:val="009E4342"/>
    <w:rsid w:val="009E5A3C"/>
    <w:rsid w:val="009E5DE8"/>
    <w:rsid w:val="009F03B6"/>
    <w:rsid w:val="009F0432"/>
    <w:rsid w:val="009F132D"/>
    <w:rsid w:val="009F2842"/>
    <w:rsid w:val="009F2CAA"/>
    <w:rsid w:val="009F3CB2"/>
    <w:rsid w:val="009F691A"/>
    <w:rsid w:val="00A004B0"/>
    <w:rsid w:val="00A00C49"/>
    <w:rsid w:val="00A01CD6"/>
    <w:rsid w:val="00A0487E"/>
    <w:rsid w:val="00A04E54"/>
    <w:rsid w:val="00A056C2"/>
    <w:rsid w:val="00A061EB"/>
    <w:rsid w:val="00A0698F"/>
    <w:rsid w:val="00A12E53"/>
    <w:rsid w:val="00A13CF1"/>
    <w:rsid w:val="00A13DFC"/>
    <w:rsid w:val="00A14F7E"/>
    <w:rsid w:val="00A16B16"/>
    <w:rsid w:val="00A170FF"/>
    <w:rsid w:val="00A203F4"/>
    <w:rsid w:val="00A23E03"/>
    <w:rsid w:val="00A242D1"/>
    <w:rsid w:val="00A25176"/>
    <w:rsid w:val="00A269CF"/>
    <w:rsid w:val="00A307D0"/>
    <w:rsid w:val="00A3541E"/>
    <w:rsid w:val="00A364A1"/>
    <w:rsid w:val="00A36649"/>
    <w:rsid w:val="00A36D32"/>
    <w:rsid w:val="00A36E5F"/>
    <w:rsid w:val="00A37935"/>
    <w:rsid w:val="00A37DD9"/>
    <w:rsid w:val="00A401BC"/>
    <w:rsid w:val="00A40F25"/>
    <w:rsid w:val="00A423A7"/>
    <w:rsid w:val="00A44F7D"/>
    <w:rsid w:val="00A452E4"/>
    <w:rsid w:val="00A52BDA"/>
    <w:rsid w:val="00A56DF9"/>
    <w:rsid w:val="00A60FC8"/>
    <w:rsid w:val="00A61A79"/>
    <w:rsid w:val="00A63606"/>
    <w:rsid w:val="00A63E3F"/>
    <w:rsid w:val="00A64D76"/>
    <w:rsid w:val="00A650B3"/>
    <w:rsid w:val="00A65B9D"/>
    <w:rsid w:val="00A66062"/>
    <w:rsid w:val="00A66317"/>
    <w:rsid w:val="00A66E9E"/>
    <w:rsid w:val="00A6741C"/>
    <w:rsid w:val="00A710F1"/>
    <w:rsid w:val="00A71493"/>
    <w:rsid w:val="00A71C8E"/>
    <w:rsid w:val="00A71D3F"/>
    <w:rsid w:val="00A71FF1"/>
    <w:rsid w:val="00A7213D"/>
    <w:rsid w:val="00A7320C"/>
    <w:rsid w:val="00A7339D"/>
    <w:rsid w:val="00A74BBA"/>
    <w:rsid w:val="00A76386"/>
    <w:rsid w:val="00A7751D"/>
    <w:rsid w:val="00A7781C"/>
    <w:rsid w:val="00A779B0"/>
    <w:rsid w:val="00A841CA"/>
    <w:rsid w:val="00A84F3D"/>
    <w:rsid w:val="00A8540D"/>
    <w:rsid w:val="00A85AFD"/>
    <w:rsid w:val="00A86DA7"/>
    <w:rsid w:val="00A90870"/>
    <w:rsid w:val="00A91DC0"/>
    <w:rsid w:val="00A91E49"/>
    <w:rsid w:val="00A9205A"/>
    <w:rsid w:val="00AA0FE4"/>
    <w:rsid w:val="00AA10CE"/>
    <w:rsid w:val="00AA2A57"/>
    <w:rsid w:val="00AA36C4"/>
    <w:rsid w:val="00AA5738"/>
    <w:rsid w:val="00AA6191"/>
    <w:rsid w:val="00AA65EF"/>
    <w:rsid w:val="00AB0BEB"/>
    <w:rsid w:val="00AB0EF6"/>
    <w:rsid w:val="00AB0FBF"/>
    <w:rsid w:val="00AB1853"/>
    <w:rsid w:val="00AB2FF1"/>
    <w:rsid w:val="00AB4085"/>
    <w:rsid w:val="00AB5A9E"/>
    <w:rsid w:val="00AC0044"/>
    <w:rsid w:val="00AC0C82"/>
    <w:rsid w:val="00AC18D7"/>
    <w:rsid w:val="00AC2611"/>
    <w:rsid w:val="00AC2BF4"/>
    <w:rsid w:val="00AC2E6A"/>
    <w:rsid w:val="00AC3E12"/>
    <w:rsid w:val="00AC6B32"/>
    <w:rsid w:val="00AD01B1"/>
    <w:rsid w:val="00AD05A6"/>
    <w:rsid w:val="00AD436F"/>
    <w:rsid w:val="00AD5368"/>
    <w:rsid w:val="00AE099E"/>
    <w:rsid w:val="00AE0F77"/>
    <w:rsid w:val="00AE1EFF"/>
    <w:rsid w:val="00AE2657"/>
    <w:rsid w:val="00AE4385"/>
    <w:rsid w:val="00AE4C5E"/>
    <w:rsid w:val="00AE52B8"/>
    <w:rsid w:val="00AE7125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AF6FE5"/>
    <w:rsid w:val="00B00F06"/>
    <w:rsid w:val="00B01528"/>
    <w:rsid w:val="00B01C25"/>
    <w:rsid w:val="00B01F41"/>
    <w:rsid w:val="00B03791"/>
    <w:rsid w:val="00B039F6"/>
    <w:rsid w:val="00B047F1"/>
    <w:rsid w:val="00B051CC"/>
    <w:rsid w:val="00B05637"/>
    <w:rsid w:val="00B072C8"/>
    <w:rsid w:val="00B106EA"/>
    <w:rsid w:val="00B10B5B"/>
    <w:rsid w:val="00B13092"/>
    <w:rsid w:val="00B13461"/>
    <w:rsid w:val="00B14504"/>
    <w:rsid w:val="00B17FF8"/>
    <w:rsid w:val="00B20DA5"/>
    <w:rsid w:val="00B22D3D"/>
    <w:rsid w:val="00B22D55"/>
    <w:rsid w:val="00B22FA4"/>
    <w:rsid w:val="00B235F7"/>
    <w:rsid w:val="00B23FA0"/>
    <w:rsid w:val="00B242B8"/>
    <w:rsid w:val="00B244A4"/>
    <w:rsid w:val="00B24831"/>
    <w:rsid w:val="00B254D8"/>
    <w:rsid w:val="00B25600"/>
    <w:rsid w:val="00B26022"/>
    <w:rsid w:val="00B265A5"/>
    <w:rsid w:val="00B30840"/>
    <w:rsid w:val="00B30A72"/>
    <w:rsid w:val="00B30CF7"/>
    <w:rsid w:val="00B30F3E"/>
    <w:rsid w:val="00B3280B"/>
    <w:rsid w:val="00B33A63"/>
    <w:rsid w:val="00B34570"/>
    <w:rsid w:val="00B358D0"/>
    <w:rsid w:val="00B365C9"/>
    <w:rsid w:val="00B40113"/>
    <w:rsid w:val="00B41222"/>
    <w:rsid w:val="00B415F1"/>
    <w:rsid w:val="00B42F88"/>
    <w:rsid w:val="00B43BAA"/>
    <w:rsid w:val="00B444F7"/>
    <w:rsid w:val="00B46F5D"/>
    <w:rsid w:val="00B510D1"/>
    <w:rsid w:val="00B516F4"/>
    <w:rsid w:val="00B5363C"/>
    <w:rsid w:val="00B53695"/>
    <w:rsid w:val="00B56122"/>
    <w:rsid w:val="00B56201"/>
    <w:rsid w:val="00B57E10"/>
    <w:rsid w:val="00B6021A"/>
    <w:rsid w:val="00B61590"/>
    <w:rsid w:val="00B61A64"/>
    <w:rsid w:val="00B61CD8"/>
    <w:rsid w:val="00B61DDE"/>
    <w:rsid w:val="00B62892"/>
    <w:rsid w:val="00B63F07"/>
    <w:rsid w:val="00B64FD7"/>
    <w:rsid w:val="00B650D8"/>
    <w:rsid w:val="00B65FD9"/>
    <w:rsid w:val="00B6634F"/>
    <w:rsid w:val="00B67FDC"/>
    <w:rsid w:val="00B708CF"/>
    <w:rsid w:val="00B71697"/>
    <w:rsid w:val="00B71781"/>
    <w:rsid w:val="00B7222E"/>
    <w:rsid w:val="00B7336C"/>
    <w:rsid w:val="00B734C2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1E74"/>
    <w:rsid w:val="00B9203C"/>
    <w:rsid w:val="00B92684"/>
    <w:rsid w:val="00B930EA"/>
    <w:rsid w:val="00B93167"/>
    <w:rsid w:val="00B95065"/>
    <w:rsid w:val="00B96704"/>
    <w:rsid w:val="00B96E93"/>
    <w:rsid w:val="00B971AE"/>
    <w:rsid w:val="00B97AE8"/>
    <w:rsid w:val="00BA2289"/>
    <w:rsid w:val="00BA2FCA"/>
    <w:rsid w:val="00BA3745"/>
    <w:rsid w:val="00BA424D"/>
    <w:rsid w:val="00BA4B60"/>
    <w:rsid w:val="00BA5BDB"/>
    <w:rsid w:val="00BA628A"/>
    <w:rsid w:val="00BB01C4"/>
    <w:rsid w:val="00BB1DDF"/>
    <w:rsid w:val="00BB1F05"/>
    <w:rsid w:val="00BB4665"/>
    <w:rsid w:val="00BB4A4E"/>
    <w:rsid w:val="00BB4DA0"/>
    <w:rsid w:val="00BB6034"/>
    <w:rsid w:val="00BB7166"/>
    <w:rsid w:val="00BC07F3"/>
    <w:rsid w:val="00BC1CC8"/>
    <w:rsid w:val="00BC2D7C"/>
    <w:rsid w:val="00BC5A06"/>
    <w:rsid w:val="00BC6124"/>
    <w:rsid w:val="00BC76D0"/>
    <w:rsid w:val="00BD3529"/>
    <w:rsid w:val="00BD5207"/>
    <w:rsid w:val="00BE0FF7"/>
    <w:rsid w:val="00BE134F"/>
    <w:rsid w:val="00BE1A23"/>
    <w:rsid w:val="00BE2843"/>
    <w:rsid w:val="00BE3538"/>
    <w:rsid w:val="00BE4EA8"/>
    <w:rsid w:val="00BE56ED"/>
    <w:rsid w:val="00BE67E4"/>
    <w:rsid w:val="00BE77A5"/>
    <w:rsid w:val="00BF158F"/>
    <w:rsid w:val="00BF1843"/>
    <w:rsid w:val="00BF1A98"/>
    <w:rsid w:val="00BF2576"/>
    <w:rsid w:val="00BF279A"/>
    <w:rsid w:val="00BF3D98"/>
    <w:rsid w:val="00BF5106"/>
    <w:rsid w:val="00BF5501"/>
    <w:rsid w:val="00BF583E"/>
    <w:rsid w:val="00BF5D19"/>
    <w:rsid w:val="00BF5DF9"/>
    <w:rsid w:val="00C0043D"/>
    <w:rsid w:val="00C0248D"/>
    <w:rsid w:val="00C032E9"/>
    <w:rsid w:val="00C03950"/>
    <w:rsid w:val="00C04AEB"/>
    <w:rsid w:val="00C04E50"/>
    <w:rsid w:val="00C053AA"/>
    <w:rsid w:val="00C05572"/>
    <w:rsid w:val="00C058A1"/>
    <w:rsid w:val="00C060D6"/>
    <w:rsid w:val="00C10CA2"/>
    <w:rsid w:val="00C1154C"/>
    <w:rsid w:val="00C11CA8"/>
    <w:rsid w:val="00C13B3E"/>
    <w:rsid w:val="00C17B97"/>
    <w:rsid w:val="00C20338"/>
    <w:rsid w:val="00C207EF"/>
    <w:rsid w:val="00C20F02"/>
    <w:rsid w:val="00C2114D"/>
    <w:rsid w:val="00C21D67"/>
    <w:rsid w:val="00C24B34"/>
    <w:rsid w:val="00C26ABE"/>
    <w:rsid w:val="00C276B1"/>
    <w:rsid w:val="00C33441"/>
    <w:rsid w:val="00C343BD"/>
    <w:rsid w:val="00C3561A"/>
    <w:rsid w:val="00C36730"/>
    <w:rsid w:val="00C374D4"/>
    <w:rsid w:val="00C4141D"/>
    <w:rsid w:val="00C43059"/>
    <w:rsid w:val="00C437B1"/>
    <w:rsid w:val="00C45AAA"/>
    <w:rsid w:val="00C46721"/>
    <w:rsid w:val="00C4672E"/>
    <w:rsid w:val="00C46EC8"/>
    <w:rsid w:val="00C472F0"/>
    <w:rsid w:val="00C52FF7"/>
    <w:rsid w:val="00C536FD"/>
    <w:rsid w:val="00C5407D"/>
    <w:rsid w:val="00C54450"/>
    <w:rsid w:val="00C546FF"/>
    <w:rsid w:val="00C5483D"/>
    <w:rsid w:val="00C54B84"/>
    <w:rsid w:val="00C54C86"/>
    <w:rsid w:val="00C56178"/>
    <w:rsid w:val="00C56687"/>
    <w:rsid w:val="00C566F6"/>
    <w:rsid w:val="00C56F97"/>
    <w:rsid w:val="00C577A9"/>
    <w:rsid w:val="00C62367"/>
    <w:rsid w:val="00C674B4"/>
    <w:rsid w:val="00C70BDC"/>
    <w:rsid w:val="00C717FC"/>
    <w:rsid w:val="00C72455"/>
    <w:rsid w:val="00C74392"/>
    <w:rsid w:val="00C74422"/>
    <w:rsid w:val="00C7479E"/>
    <w:rsid w:val="00C75948"/>
    <w:rsid w:val="00C76D3F"/>
    <w:rsid w:val="00C80D62"/>
    <w:rsid w:val="00C8337E"/>
    <w:rsid w:val="00C83CDE"/>
    <w:rsid w:val="00C83E21"/>
    <w:rsid w:val="00C85EEF"/>
    <w:rsid w:val="00C8624C"/>
    <w:rsid w:val="00C92B2B"/>
    <w:rsid w:val="00C93F32"/>
    <w:rsid w:val="00C94775"/>
    <w:rsid w:val="00C947A9"/>
    <w:rsid w:val="00C94D3F"/>
    <w:rsid w:val="00C95D73"/>
    <w:rsid w:val="00C95E92"/>
    <w:rsid w:val="00C96A92"/>
    <w:rsid w:val="00C97A89"/>
    <w:rsid w:val="00CA2AB4"/>
    <w:rsid w:val="00CA347A"/>
    <w:rsid w:val="00CA3FFC"/>
    <w:rsid w:val="00CA45DC"/>
    <w:rsid w:val="00CA492E"/>
    <w:rsid w:val="00CA4C09"/>
    <w:rsid w:val="00CA4FA9"/>
    <w:rsid w:val="00CA558E"/>
    <w:rsid w:val="00CA633A"/>
    <w:rsid w:val="00CA6DEF"/>
    <w:rsid w:val="00CA74CA"/>
    <w:rsid w:val="00CA792A"/>
    <w:rsid w:val="00CB09A1"/>
    <w:rsid w:val="00CB146D"/>
    <w:rsid w:val="00CB24AA"/>
    <w:rsid w:val="00CB3355"/>
    <w:rsid w:val="00CB3F35"/>
    <w:rsid w:val="00CB454D"/>
    <w:rsid w:val="00CB4D1B"/>
    <w:rsid w:val="00CB69CF"/>
    <w:rsid w:val="00CB7720"/>
    <w:rsid w:val="00CB79A7"/>
    <w:rsid w:val="00CC1780"/>
    <w:rsid w:val="00CC225A"/>
    <w:rsid w:val="00CC2C80"/>
    <w:rsid w:val="00CC4A07"/>
    <w:rsid w:val="00CC4E9E"/>
    <w:rsid w:val="00CC4F1D"/>
    <w:rsid w:val="00CC5F90"/>
    <w:rsid w:val="00CC6E1E"/>
    <w:rsid w:val="00CC7338"/>
    <w:rsid w:val="00CC7BDF"/>
    <w:rsid w:val="00CD132F"/>
    <w:rsid w:val="00CD2317"/>
    <w:rsid w:val="00CD4895"/>
    <w:rsid w:val="00CD4BD8"/>
    <w:rsid w:val="00CD5955"/>
    <w:rsid w:val="00CD671E"/>
    <w:rsid w:val="00CD683F"/>
    <w:rsid w:val="00CD6B90"/>
    <w:rsid w:val="00CD6DFA"/>
    <w:rsid w:val="00CD7ACC"/>
    <w:rsid w:val="00CE1E5E"/>
    <w:rsid w:val="00CE202C"/>
    <w:rsid w:val="00CE3821"/>
    <w:rsid w:val="00CE5CEA"/>
    <w:rsid w:val="00CE688C"/>
    <w:rsid w:val="00CE6911"/>
    <w:rsid w:val="00CE71E5"/>
    <w:rsid w:val="00CF1C62"/>
    <w:rsid w:val="00CF2B95"/>
    <w:rsid w:val="00CF3994"/>
    <w:rsid w:val="00CF3C1D"/>
    <w:rsid w:val="00CF540D"/>
    <w:rsid w:val="00CF5FA5"/>
    <w:rsid w:val="00CF6E6C"/>
    <w:rsid w:val="00CF77DC"/>
    <w:rsid w:val="00CF7D0F"/>
    <w:rsid w:val="00D0086F"/>
    <w:rsid w:val="00D01B22"/>
    <w:rsid w:val="00D01B5A"/>
    <w:rsid w:val="00D02682"/>
    <w:rsid w:val="00D036CE"/>
    <w:rsid w:val="00D03E15"/>
    <w:rsid w:val="00D046E3"/>
    <w:rsid w:val="00D04C48"/>
    <w:rsid w:val="00D04E5E"/>
    <w:rsid w:val="00D05C60"/>
    <w:rsid w:val="00D0603C"/>
    <w:rsid w:val="00D061F7"/>
    <w:rsid w:val="00D06F63"/>
    <w:rsid w:val="00D07DF0"/>
    <w:rsid w:val="00D1289B"/>
    <w:rsid w:val="00D13147"/>
    <w:rsid w:val="00D14818"/>
    <w:rsid w:val="00D15111"/>
    <w:rsid w:val="00D167ED"/>
    <w:rsid w:val="00D17072"/>
    <w:rsid w:val="00D20341"/>
    <w:rsid w:val="00D20A3F"/>
    <w:rsid w:val="00D21751"/>
    <w:rsid w:val="00D21F6E"/>
    <w:rsid w:val="00D22CFE"/>
    <w:rsid w:val="00D22E0A"/>
    <w:rsid w:val="00D2380D"/>
    <w:rsid w:val="00D23A72"/>
    <w:rsid w:val="00D23AB2"/>
    <w:rsid w:val="00D24C4C"/>
    <w:rsid w:val="00D258D8"/>
    <w:rsid w:val="00D26331"/>
    <w:rsid w:val="00D2652D"/>
    <w:rsid w:val="00D27104"/>
    <w:rsid w:val="00D27341"/>
    <w:rsid w:val="00D301D2"/>
    <w:rsid w:val="00D309DD"/>
    <w:rsid w:val="00D30CEF"/>
    <w:rsid w:val="00D31C1B"/>
    <w:rsid w:val="00D33A1A"/>
    <w:rsid w:val="00D34424"/>
    <w:rsid w:val="00D34464"/>
    <w:rsid w:val="00D353A8"/>
    <w:rsid w:val="00D35969"/>
    <w:rsid w:val="00D377EE"/>
    <w:rsid w:val="00D40E17"/>
    <w:rsid w:val="00D413C5"/>
    <w:rsid w:val="00D42242"/>
    <w:rsid w:val="00D43524"/>
    <w:rsid w:val="00D45208"/>
    <w:rsid w:val="00D45568"/>
    <w:rsid w:val="00D46039"/>
    <w:rsid w:val="00D46F84"/>
    <w:rsid w:val="00D51C6E"/>
    <w:rsid w:val="00D51D87"/>
    <w:rsid w:val="00D52992"/>
    <w:rsid w:val="00D53CE2"/>
    <w:rsid w:val="00D542CC"/>
    <w:rsid w:val="00D543F3"/>
    <w:rsid w:val="00D609E5"/>
    <w:rsid w:val="00D61F9A"/>
    <w:rsid w:val="00D62905"/>
    <w:rsid w:val="00D636FC"/>
    <w:rsid w:val="00D640C7"/>
    <w:rsid w:val="00D651BC"/>
    <w:rsid w:val="00D66971"/>
    <w:rsid w:val="00D708B7"/>
    <w:rsid w:val="00D70D80"/>
    <w:rsid w:val="00D74CC7"/>
    <w:rsid w:val="00D755A7"/>
    <w:rsid w:val="00D77B37"/>
    <w:rsid w:val="00D80173"/>
    <w:rsid w:val="00D816A0"/>
    <w:rsid w:val="00D81D4D"/>
    <w:rsid w:val="00D823A9"/>
    <w:rsid w:val="00D83FB6"/>
    <w:rsid w:val="00D86ECC"/>
    <w:rsid w:val="00D90217"/>
    <w:rsid w:val="00D91F7D"/>
    <w:rsid w:val="00D933EB"/>
    <w:rsid w:val="00D93D3D"/>
    <w:rsid w:val="00D94856"/>
    <w:rsid w:val="00D95224"/>
    <w:rsid w:val="00D95989"/>
    <w:rsid w:val="00D96184"/>
    <w:rsid w:val="00D96B0A"/>
    <w:rsid w:val="00D96C89"/>
    <w:rsid w:val="00D97320"/>
    <w:rsid w:val="00DA0672"/>
    <w:rsid w:val="00DA2459"/>
    <w:rsid w:val="00DA28FE"/>
    <w:rsid w:val="00DA40B6"/>
    <w:rsid w:val="00DA52E8"/>
    <w:rsid w:val="00DA5A77"/>
    <w:rsid w:val="00DA6550"/>
    <w:rsid w:val="00DA6836"/>
    <w:rsid w:val="00DB45F9"/>
    <w:rsid w:val="00DB511D"/>
    <w:rsid w:val="00DB56F6"/>
    <w:rsid w:val="00DB6A57"/>
    <w:rsid w:val="00DC2A0C"/>
    <w:rsid w:val="00DC511D"/>
    <w:rsid w:val="00DC54A4"/>
    <w:rsid w:val="00DD207F"/>
    <w:rsid w:val="00DD2C65"/>
    <w:rsid w:val="00DD491D"/>
    <w:rsid w:val="00DD4DEC"/>
    <w:rsid w:val="00DD55DA"/>
    <w:rsid w:val="00DD593A"/>
    <w:rsid w:val="00DD7BB6"/>
    <w:rsid w:val="00DE07A9"/>
    <w:rsid w:val="00DE1FE9"/>
    <w:rsid w:val="00DE2B1F"/>
    <w:rsid w:val="00DE5012"/>
    <w:rsid w:val="00DE591C"/>
    <w:rsid w:val="00DE6469"/>
    <w:rsid w:val="00DE68E0"/>
    <w:rsid w:val="00DE6AEA"/>
    <w:rsid w:val="00DE78AB"/>
    <w:rsid w:val="00DE7911"/>
    <w:rsid w:val="00DF20F8"/>
    <w:rsid w:val="00DF274C"/>
    <w:rsid w:val="00DF2811"/>
    <w:rsid w:val="00DF3C21"/>
    <w:rsid w:val="00DF5912"/>
    <w:rsid w:val="00DF6487"/>
    <w:rsid w:val="00DF6C32"/>
    <w:rsid w:val="00DF740D"/>
    <w:rsid w:val="00E00E5A"/>
    <w:rsid w:val="00E0144B"/>
    <w:rsid w:val="00E0203D"/>
    <w:rsid w:val="00E03F63"/>
    <w:rsid w:val="00E04BEC"/>
    <w:rsid w:val="00E0503D"/>
    <w:rsid w:val="00E06001"/>
    <w:rsid w:val="00E102BB"/>
    <w:rsid w:val="00E118ED"/>
    <w:rsid w:val="00E126E0"/>
    <w:rsid w:val="00E13656"/>
    <w:rsid w:val="00E13E69"/>
    <w:rsid w:val="00E1655E"/>
    <w:rsid w:val="00E17D68"/>
    <w:rsid w:val="00E17F41"/>
    <w:rsid w:val="00E21DED"/>
    <w:rsid w:val="00E22DF8"/>
    <w:rsid w:val="00E22F11"/>
    <w:rsid w:val="00E25FA6"/>
    <w:rsid w:val="00E263F2"/>
    <w:rsid w:val="00E2645D"/>
    <w:rsid w:val="00E267F3"/>
    <w:rsid w:val="00E27E4C"/>
    <w:rsid w:val="00E301EE"/>
    <w:rsid w:val="00E30818"/>
    <w:rsid w:val="00E31DC7"/>
    <w:rsid w:val="00E328A9"/>
    <w:rsid w:val="00E33F59"/>
    <w:rsid w:val="00E34AAD"/>
    <w:rsid w:val="00E36BE2"/>
    <w:rsid w:val="00E3755B"/>
    <w:rsid w:val="00E37CC9"/>
    <w:rsid w:val="00E4169D"/>
    <w:rsid w:val="00E42270"/>
    <w:rsid w:val="00E42A76"/>
    <w:rsid w:val="00E43930"/>
    <w:rsid w:val="00E43BF0"/>
    <w:rsid w:val="00E44792"/>
    <w:rsid w:val="00E44E3C"/>
    <w:rsid w:val="00E4549F"/>
    <w:rsid w:val="00E45CD7"/>
    <w:rsid w:val="00E46DBD"/>
    <w:rsid w:val="00E4759B"/>
    <w:rsid w:val="00E47909"/>
    <w:rsid w:val="00E50B8E"/>
    <w:rsid w:val="00E50D3A"/>
    <w:rsid w:val="00E5230C"/>
    <w:rsid w:val="00E52A50"/>
    <w:rsid w:val="00E52BE0"/>
    <w:rsid w:val="00E53BE3"/>
    <w:rsid w:val="00E544CF"/>
    <w:rsid w:val="00E5485A"/>
    <w:rsid w:val="00E562B4"/>
    <w:rsid w:val="00E568E1"/>
    <w:rsid w:val="00E572F8"/>
    <w:rsid w:val="00E574FC"/>
    <w:rsid w:val="00E60629"/>
    <w:rsid w:val="00E60695"/>
    <w:rsid w:val="00E60B1F"/>
    <w:rsid w:val="00E61043"/>
    <w:rsid w:val="00E61CF3"/>
    <w:rsid w:val="00E61E4D"/>
    <w:rsid w:val="00E63E75"/>
    <w:rsid w:val="00E64A0B"/>
    <w:rsid w:val="00E6515F"/>
    <w:rsid w:val="00E657FD"/>
    <w:rsid w:val="00E65AAE"/>
    <w:rsid w:val="00E65BF2"/>
    <w:rsid w:val="00E672C7"/>
    <w:rsid w:val="00E678EA"/>
    <w:rsid w:val="00E71123"/>
    <w:rsid w:val="00E72865"/>
    <w:rsid w:val="00E73406"/>
    <w:rsid w:val="00E75B91"/>
    <w:rsid w:val="00E75EB7"/>
    <w:rsid w:val="00E7625C"/>
    <w:rsid w:val="00E76BC5"/>
    <w:rsid w:val="00E7781F"/>
    <w:rsid w:val="00E81782"/>
    <w:rsid w:val="00E824FD"/>
    <w:rsid w:val="00E83879"/>
    <w:rsid w:val="00E84075"/>
    <w:rsid w:val="00E855D4"/>
    <w:rsid w:val="00E8579C"/>
    <w:rsid w:val="00E8596C"/>
    <w:rsid w:val="00E865C0"/>
    <w:rsid w:val="00E900AF"/>
    <w:rsid w:val="00E91CC1"/>
    <w:rsid w:val="00E94FC2"/>
    <w:rsid w:val="00E95659"/>
    <w:rsid w:val="00E95C92"/>
    <w:rsid w:val="00E97CC8"/>
    <w:rsid w:val="00EA3906"/>
    <w:rsid w:val="00EA3C71"/>
    <w:rsid w:val="00EA4E3C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AFB"/>
    <w:rsid w:val="00EB64A8"/>
    <w:rsid w:val="00EB7589"/>
    <w:rsid w:val="00EB76A8"/>
    <w:rsid w:val="00EC1E91"/>
    <w:rsid w:val="00EC3A18"/>
    <w:rsid w:val="00EC5217"/>
    <w:rsid w:val="00EC55CB"/>
    <w:rsid w:val="00EC5C09"/>
    <w:rsid w:val="00EC741A"/>
    <w:rsid w:val="00EC7638"/>
    <w:rsid w:val="00ED073D"/>
    <w:rsid w:val="00ED0CFD"/>
    <w:rsid w:val="00ED0ED7"/>
    <w:rsid w:val="00ED26C2"/>
    <w:rsid w:val="00ED3457"/>
    <w:rsid w:val="00ED3A8D"/>
    <w:rsid w:val="00ED6F5A"/>
    <w:rsid w:val="00EE229B"/>
    <w:rsid w:val="00EE26C1"/>
    <w:rsid w:val="00EE622A"/>
    <w:rsid w:val="00EE6DB9"/>
    <w:rsid w:val="00EF21E1"/>
    <w:rsid w:val="00EF2A8E"/>
    <w:rsid w:val="00EF462D"/>
    <w:rsid w:val="00EF47DB"/>
    <w:rsid w:val="00EF4908"/>
    <w:rsid w:val="00EF5B96"/>
    <w:rsid w:val="00EF67C4"/>
    <w:rsid w:val="00F00618"/>
    <w:rsid w:val="00F01ED5"/>
    <w:rsid w:val="00F04874"/>
    <w:rsid w:val="00F04CC5"/>
    <w:rsid w:val="00F0678B"/>
    <w:rsid w:val="00F06C54"/>
    <w:rsid w:val="00F07D74"/>
    <w:rsid w:val="00F1028E"/>
    <w:rsid w:val="00F11576"/>
    <w:rsid w:val="00F115AA"/>
    <w:rsid w:val="00F117D2"/>
    <w:rsid w:val="00F12BB1"/>
    <w:rsid w:val="00F12BCE"/>
    <w:rsid w:val="00F15DF9"/>
    <w:rsid w:val="00F16B41"/>
    <w:rsid w:val="00F17700"/>
    <w:rsid w:val="00F214DB"/>
    <w:rsid w:val="00F21708"/>
    <w:rsid w:val="00F22502"/>
    <w:rsid w:val="00F2326B"/>
    <w:rsid w:val="00F2429D"/>
    <w:rsid w:val="00F24571"/>
    <w:rsid w:val="00F245C8"/>
    <w:rsid w:val="00F25642"/>
    <w:rsid w:val="00F275D7"/>
    <w:rsid w:val="00F31A2A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47A77"/>
    <w:rsid w:val="00F5033A"/>
    <w:rsid w:val="00F51F36"/>
    <w:rsid w:val="00F61E47"/>
    <w:rsid w:val="00F61E7A"/>
    <w:rsid w:val="00F6436F"/>
    <w:rsid w:val="00F6596E"/>
    <w:rsid w:val="00F65D0B"/>
    <w:rsid w:val="00F6679F"/>
    <w:rsid w:val="00F678F8"/>
    <w:rsid w:val="00F67BB5"/>
    <w:rsid w:val="00F67CAA"/>
    <w:rsid w:val="00F71E30"/>
    <w:rsid w:val="00F72F47"/>
    <w:rsid w:val="00F77D49"/>
    <w:rsid w:val="00F82796"/>
    <w:rsid w:val="00F83A61"/>
    <w:rsid w:val="00F845C6"/>
    <w:rsid w:val="00F86243"/>
    <w:rsid w:val="00F87942"/>
    <w:rsid w:val="00F9162E"/>
    <w:rsid w:val="00F916E8"/>
    <w:rsid w:val="00F948AD"/>
    <w:rsid w:val="00F97009"/>
    <w:rsid w:val="00F97E31"/>
    <w:rsid w:val="00FA028D"/>
    <w:rsid w:val="00FA1696"/>
    <w:rsid w:val="00FA1D06"/>
    <w:rsid w:val="00FA4086"/>
    <w:rsid w:val="00FA68F1"/>
    <w:rsid w:val="00FA6B98"/>
    <w:rsid w:val="00FA6CD2"/>
    <w:rsid w:val="00FA6E63"/>
    <w:rsid w:val="00FB028A"/>
    <w:rsid w:val="00FB3E48"/>
    <w:rsid w:val="00FB41F7"/>
    <w:rsid w:val="00FB4811"/>
    <w:rsid w:val="00FB59BA"/>
    <w:rsid w:val="00FB5FD1"/>
    <w:rsid w:val="00FB6806"/>
    <w:rsid w:val="00FC01D2"/>
    <w:rsid w:val="00FC094C"/>
    <w:rsid w:val="00FC0D4E"/>
    <w:rsid w:val="00FC183E"/>
    <w:rsid w:val="00FC3BAE"/>
    <w:rsid w:val="00FC4781"/>
    <w:rsid w:val="00FC4E8E"/>
    <w:rsid w:val="00FC6102"/>
    <w:rsid w:val="00FC6B85"/>
    <w:rsid w:val="00FC7166"/>
    <w:rsid w:val="00FC7BAC"/>
    <w:rsid w:val="00FD06B6"/>
    <w:rsid w:val="00FD1399"/>
    <w:rsid w:val="00FD146A"/>
    <w:rsid w:val="00FD1DDA"/>
    <w:rsid w:val="00FD237E"/>
    <w:rsid w:val="00FD47E8"/>
    <w:rsid w:val="00FD4B4C"/>
    <w:rsid w:val="00FD6E01"/>
    <w:rsid w:val="00FD710E"/>
    <w:rsid w:val="00FD728D"/>
    <w:rsid w:val="00FE03AB"/>
    <w:rsid w:val="00FE054B"/>
    <w:rsid w:val="00FE09E6"/>
    <w:rsid w:val="00FE1D1D"/>
    <w:rsid w:val="00FE277E"/>
    <w:rsid w:val="00FE38BE"/>
    <w:rsid w:val="00FE5B99"/>
    <w:rsid w:val="00FE63F6"/>
    <w:rsid w:val="00FE7C89"/>
    <w:rsid w:val="00FF052C"/>
    <w:rsid w:val="00FF3ABB"/>
    <w:rsid w:val="00FF4002"/>
    <w:rsid w:val="00FF4296"/>
    <w:rsid w:val="00FF4DD0"/>
    <w:rsid w:val="00FF51D9"/>
    <w:rsid w:val="00FF59C8"/>
    <w:rsid w:val="00FF6705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2ABD45-884B-490F-A2BE-951416A5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F3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A26"/>
  </w:style>
  <w:style w:type="paragraph" w:styleId="Pidipagina">
    <w:name w:val="footer"/>
    <w:basedOn w:val="Normale"/>
    <w:link w:val="PidipaginaCarattere"/>
    <w:uiPriority w:val="99"/>
    <w:unhideWhenUsed/>
    <w:rsid w:val="006F3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7F89-0499-4961-9071-2BB3466B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7</cp:revision>
  <cp:lastPrinted>2014-01-27T14:53:00Z</cp:lastPrinted>
  <dcterms:created xsi:type="dcterms:W3CDTF">2019-12-18T08:14:00Z</dcterms:created>
  <dcterms:modified xsi:type="dcterms:W3CDTF">2019-12-18T15:37:00Z</dcterms:modified>
</cp:coreProperties>
</file>