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E2C62" w14:textId="77777777" w:rsidR="005256C7" w:rsidRDefault="005256C7" w:rsidP="005256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 w14:paraId="3B7969CB" w14:textId="1914E89B" w:rsidR="005256C7" w:rsidRDefault="005256C7" w:rsidP="005256C7">
      <w:pPr>
        <w:jc w:val="center"/>
        <w:rPr>
          <w:b/>
          <w:bCs/>
          <w:sz w:val="32"/>
          <w:szCs w:val="32"/>
        </w:rPr>
      </w:pPr>
      <w:bookmarkStart w:id="0" w:name="_Hlk129770404"/>
      <w:r>
        <w:rPr>
          <w:b/>
          <w:bCs/>
          <w:sz w:val="32"/>
          <w:szCs w:val="32"/>
        </w:rPr>
        <w:t xml:space="preserve">NEL 2020 LA PANDEMIA FRENA LA MIGRAZIONE SANITARIA: </w:t>
      </w:r>
      <w:r>
        <w:rPr>
          <w:b/>
          <w:bCs/>
          <w:sz w:val="32"/>
          <w:szCs w:val="32"/>
        </w:rPr>
        <w:br/>
        <w:t xml:space="preserve">€ 3,33 MILIARDI SI SPOSTANO DAL SUD AL NORD. </w:t>
      </w:r>
      <w:r>
        <w:rPr>
          <w:b/>
          <w:bCs/>
          <w:sz w:val="32"/>
          <w:szCs w:val="32"/>
        </w:rPr>
        <w:br/>
        <w:t xml:space="preserve">ALLE “AUTONOMISTE” </w:t>
      </w:r>
      <w:r w:rsidRPr="00163309">
        <w:rPr>
          <w:b/>
          <w:bCs/>
          <w:sz w:val="32"/>
          <w:szCs w:val="32"/>
        </w:rPr>
        <w:t>EMILIA</w:t>
      </w:r>
      <w:r>
        <w:rPr>
          <w:b/>
          <w:bCs/>
          <w:sz w:val="32"/>
          <w:szCs w:val="32"/>
        </w:rPr>
        <w:t>-</w:t>
      </w:r>
      <w:r w:rsidRPr="00163309">
        <w:rPr>
          <w:b/>
          <w:bCs/>
          <w:sz w:val="32"/>
          <w:szCs w:val="32"/>
        </w:rPr>
        <w:t>ROMAGNA</w:t>
      </w:r>
      <w:r>
        <w:rPr>
          <w:b/>
          <w:bCs/>
          <w:sz w:val="32"/>
          <w:szCs w:val="32"/>
        </w:rPr>
        <w:t>,</w:t>
      </w:r>
      <w:r w:rsidRPr="00163309">
        <w:rPr>
          <w:b/>
          <w:bCs/>
          <w:sz w:val="32"/>
          <w:szCs w:val="32"/>
        </w:rPr>
        <w:t xml:space="preserve"> LOMBARDIA</w:t>
      </w:r>
      <w:r>
        <w:rPr>
          <w:b/>
          <w:bCs/>
          <w:sz w:val="32"/>
          <w:szCs w:val="32"/>
        </w:rPr>
        <w:t xml:space="preserve"> E</w:t>
      </w:r>
      <w:r w:rsidRPr="00163309">
        <w:rPr>
          <w:b/>
          <w:bCs/>
          <w:sz w:val="32"/>
          <w:szCs w:val="32"/>
        </w:rPr>
        <w:t xml:space="preserve"> VENETO </w:t>
      </w:r>
      <w:r>
        <w:rPr>
          <w:b/>
          <w:bCs/>
          <w:sz w:val="32"/>
          <w:szCs w:val="32"/>
        </w:rPr>
        <w:t>IL 94,1%</w:t>
      </w:r>
      <w:r w:rsidRPr="0016330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4337BE">
        <w:rPr>
          <w:b/>
          <w:bCs/>
          <w:sz w:val="32"/>
          <w:szCs w:val="32"/>
        </w:rPr>
        <w:t>EL SALDO DELLA</w:t>
      </w:r>
      <w:r>
        <w:rPr>
          <w:b/>
          <w:bCs/>
          <w:sz w:val="32"/>
          <w:szCs w:val="32"/>
        </w:rPr>
        <w:t xml:space="preserve"> MOBILITÀ</w:t>
      </w:r>
      <w:bookmarkStart w:id="1" w:name="_GoBack"/>
      <w:bookmarkEnd w:id="1"/>
      <w:r>
        <w:rPr>
          <w:b/>
          <w:bCs/>
          <w:sz w:val="32"/>
          <w:szCs w:val="32"/>
        </w:rPr>
        <w:t xml:space="preserve"> ATTIVA. </w:t>
      </w:r>
      <w:r w:rsidRPr="00E9271D">
        <w:rPr>
          <w:b/>
          <w:bCs/>
          <w:sz w:val="32"/>
          <w:szCs w:val="32"/>
        </w:rPr>
        <w:t xml:space="preserve">L’83,4% DEL SALDO PASSIVO </w:t>
      </w:r>
      <w:r>
        <w:rPr>
          <w:b/>
          <w:bCs/>
          <w:sz w:val="32"/>
          <w:szCs w:val="32"/>
        </w:rPr>
        <w:t>GRAVA</w:t>
      </w:r>
      <w:r w:rsidRPr="00E9271D">
        <w:rPr>
          <w:b/>
          <w:bCs/>
          <w:sz w:val="32"/>
          <w:szCs w:val="32"/>
        </w:rPr>
        <w:t xml:space="preserve"> SU CAMPANIA, LAZIO, SICILIA, PUGLIA, ABRUZZO E BASILICATA.</w:t>
      </w:r>
      <w:r>
        <w:rPr>
          <w:b/>
          <w:bCs/>
          <w:sz w:val="32"/>
          <w:szCs w:val="32"/>
        </w:rPr>
        <w:br/>
        <w:t xml:space="preserve">MOBILITÀ ATTIVA: LE </w:t>
      </w:r>
      <w:r w:rsidRPr="00E9271D">
        <w:rPr>
          <w:b/>
          <w:bCs/>
          <w:sz w:val="32"/>
          <w:szCs w:val="32"/>
        </w:rPr>
        <w:t xml:space="preserve">STRUTTURE PRIVATE </w:t>
      </w:r>
      <w:r>
        <w:rPr>
          <w:b/>
          <w:bCs/>
          <w:sz w:val="32"/>
          <w:szCs w:val="32"/>
        </w:rPr>
        <w:t xml:space="preserve">INCASSANO OLTRE </w:t>
      </w:r>
      <w:r w:rsidRPr="00E9271D">
        <w:rPr>
          <w:b/>
          <w:bCs/>
          <w:sz w:val="32"/>
          <w:szCs w:val="32"/>
        </w:rPr>
        <w:t xml:space="preserve">LA METÀ </w:t>
      </w:r>
      <w:r>
        <w:rPr>
          <w:b/>
          <w:bCs/>
          <w:sz w:val="32"/>
          <w:szCs w:val="32"/>
        </w:rPr>
        <w:t xml:space="preserve">DI RICOVERI E PRESTAZIONI DI SPECIALISTICA AMBULATORIALE </w:t>
      </w:r>
    </w:p>
    <w:bookmarkEnd w:id="0"/>
    <w:p w14:paraId="3BDC6172" w14:textId="77777777" w:rsidR="005256C7" w:rsidRDefault="005256C7" w:rsidP="005256C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16 marzo 2023 - </w:t>
      </w:r>
      <w:r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10931DF2" w14:textId="77777777" w:rsidR="005256C7" w:rsidRDefault="005256C7" w:rsidP="005256C7">
      <w:pPr>
        <w:jc w:val="both"/>
        <w:rPr>
          <w:rFonts w:eastAsia="Times New Roman" w:cstheme="minorHAnsi"/>
        </w:rPr>
      </w:pPr>
      <w:r w:rsidRPr="004E3720">
        <w:rPr>
          <w:rFonts w:eastAsia="Times New Roman" w:cstheme="minorHAnsi"/>
        </w:rPr>
        <w:t xml:space="preserve">Nel 2020, la mobilità sanitaria interregionale in Italia ha raggiunto un valore di </w:t>
      </w:r>
      <w:r>
        <w:rPr>
          <w:rFonts w:eastAsia="Times New Roman" w:cstheme="minorHAnsi"/>
        </w:rPr>
        <w:t xml:space="preserve">€ </w:t>
      </w:r>
      <w:r w:rsidRPr="004E3720">
        <w:rPr>
          <w:rFonts w:eastAsia="Times New Roman" w:cstheme="minorHAnsi"/>
        </w:rPr>
        <w:t xml:space="preserve">3,33 miliardi, con saldi estremamente </w:t>
      </w:r>
      <w:r>
        <w:rPr>
          <w:rFonts w:eastAsia="Times New Roman" w:cstheme="minorHAnsi"/>
        </w:rPr>
        <w:t>variabili</w:t>
      </w:r>
      <w:r w:rsidRPr="004E3720">
        <w:rPr>
          <w:rFonts w:eastAsia="Times New Roman" w:cstheme="minorHAnsi"/>
        </w:rPr>
        <w:t xml:space="preserve"> tra </w:t>
      </w:r>
      <w:r>
        <w:rPr>
          <w:rFonts w:eastAsia="Times New Roman" w:cstheme="minorHAnsi"/>
        </w:rPr>
        <w:t>le R</w:t>
      </w:r>
      <w:r w:rsidRPr="004E3720">
        <w:rPr>
          <w:rFonts w:eastAsia="Times New Roman" w:cstheme="minorHAnsi"/>
        </w:rPr>
        <w:t xml:space="preserve">egioni del Nord e quelle del Sud. </w:t>
      </w:r>
      <w:r>
        <w:rPr>
          <w:rFonts w:eastAsia="Times New Roman" w:cstheme="minorHAnsi"/>
        </w:rPr>
        <w:t xml:space="preserve">Il saldo è un dato che risulta dalla differenza tra </w:t>
      </w:r>
      <w:r w:rsidRPr="004E3720">
        <w:rPr>
          <w:rFonts w:eastAsia="Times New Roman" w:cstheme="minorHAnsi"/>
        </w:rPr>
        <w:t xml:space="preserve">mobilità attiva, </w:t>
      </w:r>
      <w:r>
        <w:rPr>
          <w:rFonts w:eastAsia="Times New Roman" w:cstheme="minorHAnsi"/>
        </w:rPr>
        <w:t>ovvero l’</w:t>
      </w:r>
      <w:r w:rsidRPr="004E3720">
        <w:rPr>
          <w:rFonts w:eastAsia="Times New Roman" w:cstheme="minorHAnsi"/>
        </w:rPr>
        <w:t xml:space="preserve">attrazione di </w:t>
      </w:r>
      <w:r>
        <w:rPr>
          <w:rFonts w:eastAsia="Times New Roman" w:cstheme="minorHAnsi"/>
        </w:rPr>
        <w:t>pazienti da altre Regioni</w:t>
      </w:r>
      <w:r w:rsidRPr="004E3720">
        <w:rPr>
          <w:rFonts w:eastAsia="Times New Roman" w:cstheme="minorHAnsi"/>
        </w:rPr>
        <w:t xml:space="preserve">, e quella passiva, cioè la </w:t>
      </w:r>
      <w:r>
        <w:rPr>
          <w:rFonts w:eastAsia="Times New Roman" w:cstheme="minorHAnsi"/>
        </w:rPr>
        <w:t>“migrazione sanitaria”</w:t>
      </w:r>
      <w:r w:rsidRPr="004E372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dalla R</w:t>
      </w:r>
      <w:r w:rsidRPr="004E3720">
        <w:rPr>
          <w:rFonts w:eastAsia="Times New Roman" w:cstheme="minorHAnsi"/>
        </w:rPr>
        <w:t>egione</w:t>
      </w:r>
      <w:r>
        <w:rPr>
          <w:rFonts w:eastAsia="Times New Roman" w:cstheme="minorHAnsi"/>
        </w:rPr>
        <w:t xml:space="preserve"> di residenza</w:t>
      </w:r>
      <w:r w:rsidRPr="004E372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4E3720">
        <w:rPr>
          <w:rFonts w:eastAsia="Times New Roman" w:cstheme="minorHAnsi"/>
        </w:rPr>
        <w:t>Emilia-Romagna, Lombardia e Veneto</w:t>
      </w:r>
      <w:r>
        <w:rPr>
          <w:rFonts w:eastAsia="Times New Roman" w:cstheme="minorHAnsi"/>
        </w:rPr>
        <w:t xml:space="preserve"> </w:t>
      </w:r>
      <w:r>
        <w:t>–</w:t>
      </w:r>
      <w:r>
        <w:rPr>
          <w:rFonts w:eastAsia="Times New Roman" w:cstheme="minorHAnsi"/>
        </w:rPr>
        <w:t xml:space="preserve"> l</w:t>
      </w:r>
      <w:r w:rsidRPr="004E3720">
        <w:rPr>
          <w:rFonts w:eastAsia="Times New Roman" w:cstheme="minorHAnsi"/>
        </w:rPr>
        <w:t xml:space="preserve">e </w:t>
      </w:r>
      <w:r>
        <w:rPr>
          <w:rFonts w:eastAsia="Times New Roman" w:cstheme="minorHAnsi"/>
        </w:rPr>
        <w:t>R</w:t>
      </w:r>
      <w:r w:rsidRPr="004E3720">
        <w:rPr>
          <w:rFonts w:eastAsia="Times New Roman" w:cstheme="minorHAnsi"/>
        </w:rPr>
        <w:t xml:space="preserve">egioni </w:t>
      </w:r>
      <w:r>
        <w:rPr>
          <w:rFonts w:eastAsia="Times New Roman" w:cstheme="minorHAnsi"/>
        </w:rPr>
        <w:t>capofila del</w:t>
      </w:r>
      <w:r w:rsidRPr="004E3720">
        <w:rPr>
          <w:rFonts w:eastAsia="Times New Roman" w:cstheme="minorHAnsi"/>
        </w:rPr>
        <w:t>l</w:t>
      </w:r>
      <w:r>
        <w:rPr>
          <w:rFonts w:eastAsia="Times New Roman" w:cstheme="minorHAnsi"/>
        </w:rPr>
        <w:t>’</w:t>
      </w:r>
      <w:r w:rsidRPr="004E3720">
        <w:rPr>
          <w:rFonts w:eastAsia="Times New Roman" w:cstheme="minorHAnsi"/>
        </w:rPr>
        <w:t>autonomia differenziata</w:t>
      </w:r>
      <w:r>
        <w:rPr>
          <w:rFonts w:eastAsia="Times New Roman" w:cstheme="minorHAnsi"/>
        </w:rPr>
        <w:t xml:space="preserve"> </w:t>
      </w:r>
      <w:r>
        <w:t>–</w:t>
      </w:r>
      <w:r>
        <w:rPr>
          <w:rFonts w:eastAsia="Times New Roman" w:cstheme="minorHAnsi"/>
        </w:rPr>
        <w:t xml:space="preserve"> raccolgono </w:t>
      </w:r>
      <w:r w:rsidRPr="004E3720">
        <w:rPr>
          <w:rFonts w:eastAsia="Times New Roman" w:cstheme="minorHAnsi"/>
        </w:rPr>
        <w:t>il 94,1% del saldo attivo, mentre l</w:t>
      </w:r>
      <w:r>
        <w:rPr>
          <w:rFonts w:eastAsia="Times New Roman" w:cstheme="minorHAnsi"/>
        </w:rPr>
        <w:t>’</w:t>
      </w:r>
      <w:r w:rsidRPr="004E3720">
        <w:rPr>
          <w:rFonts w:eastAsia="Times New Roman" w:cstheme="minorHAnsi"/>
        </w:rPr>
        <w:t>83,4% d</w:t>
      </w:r>
      <w:r>
        <w:rPr>
          <w:rFonts w:eastAsia="Times New Roman" w:cstheme="minorHAnsi"/>
        </w:rPr>
        <w:t xml:space="preserve">el saldo </w:t>
      </w:r>
      <w:r w:rsidRPr="004E3720">
        <w:rPr>
          <w:rFonts w:eastAsia="Times New Roman" w:cstheme="minorHAnsi"/>
        </w:rPr>
        <w:t xml:space="preserve">passivo si concentra in Campania, Lazio, Sicilia, Puglia, Abruzzo e Basilicata. </w:t>
      </w:r>
      <w:r w:rsidRPr="001D2DB3">
        <w:rPr>
          <w:rFonts w:eastAsia="Times New Roman" w:cstheme="minorHAnsi"/>
        </w:rPr>
        <w:t>«</w:t>
      </w:r>
      <w:r>
        <w:rPr>
          <w:rFonts w:eastAsia="Times New Roman" w:cstheme="minorHAnsi"/>
        </w:rPr>
        <w:t>La mobilità sanitaria –</w:t>
      </w:r>
      <w:r w:rsidRPr="001D2DB3">
        <w:rPr>
          <w:rFonts w:eastAsia="Times New Roman" w:cstheme="minorHAnsi"/>
        </w:rPr>
        <w:t xml:space="preserve"> spiega </w:t>
      </w:r>
      <w:r w:rsidRPr="00B14F8D">
        <w:t xml:space="preserve">Nino Cartabellotta, Presidente della Fondazione GIMBE </w:t>
      </w:r>
      <w:r>
        <w:rPr>
          <w:rFonts w:eastAsia="Times New Roman" w:cstheme="minorHAnsi"/>
        </w:rPr>
        <w:t>–</w:t>
      </w:r>
      <w:r w:rsidRPr="00E9271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è un fenomeno dalle enormi implicazioni sanitarie, sociali etiche ed economiche, che riflette le grandi diseguaglianze nell’offerta di servizi sanitari tra le varie Regioni e, soprattutto, tra il Nord e il Sud del Paese. Infatti, </w:t>
      </w:r>
      <w:r w:rsidRPr="00E762A0">
        <w:rPr>
          <w:rFonts w:eastAsia="Times New Roman" w:cstheme="minorHAnsi"/>
        </w:rPr>
        <w:t>le Regioni con maggiore capacità</w:t>
      </w:r>
      <w:r>
        <w:rPr>
          <w:rFonts w:eastAsia="Times New Roman" w:cstheme="minorHAnsi"/>
        </w:rPr>
        <w:t xml:space="preserve"> </w:t>
      </w:r>
      <w:r w:rsidRPr="00E762A0">
        <w:rPr>
          <w:rFonts w:eastAsia="Times New Roman" w:cstheme="minorHAnsi"/>
        </w:rPr>
        <w:t>attrattiv</w:t>
      </w:r>
      <w:r>
        <w:rPr>
          <w:rFonts w:eastAsia="Times New Roman" w:cstheme="minorHAnsi"/>
        </w:rPr>
        <w:t>a</w:t>
      </w:r>
      <w:r w:rsidRPr="00E762A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si trovano ai primi posti </w:t>
      </w:r>
      <w:r w:rsidRPr="00E762A0">
        <w:rPr>
          <w:rFonts w:eastAsia="Times New Roman" w:cstheme="minorHAnsi"/>
        </w:rPr>
        <w:t>ne</w:t>
      </w:r>
      <w:r>
        <w:rPr>
          <w:rFonts w:eastAsia="Times New Roman" w:cstheme="minorHAnsi"/>
        </w:rPr>
        <w:t>i</w:t>
      </w:r>
      <w:r w:rsidRPr="00E762A0">
        <w:rPr>
          <w:rFonts w:eastAsia="Times New Roman" w:cstheme="minorHAnsi"/>
        </w:rPr>
        <w:t xml:space="preserve"> punteggi LEA</w:t>
      </w:r>
      <w:r>
        <w:rPr>
          <w:rFonts w:eastAsia="Times New Roman" w:cstheme="minorHAnsi"/>
        </w:rPr>
        <w:t>, mentre gli ultimi posti sono occupati da quelle con mobilità passiva più elevata</w:t>
      </w:r>
      <w:r w:rsidRPr="001D2DB3">
        <w:rPr>
          <w:rFonts w:eastAsia="Times New Roman" w:cstheme="minorHAnsi"/>
        </w:rPr>
        <w:t>».</w:t>
      </w:r>
    </w:p>
    <w:p w14:paraId="76F083FC" w14:textId="77777777" w:rsidR="005256C7" w:rsidRDefault="005256C7" w:rsidP="005256C7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 dati sulla mobilità sanitaria riguardano</w:t>
      </w:r>
      <w:r w:rsidRPr="001D2DB3">
        <w:rPr>
          <w:rFonts w:eastAsia="Times New Roman" w:cstheme="minorHAnsi"/>
        </w:rPr>
        <w:t xml:space="preserve"> 7 </w:t>
      </w:r>
      <w:r>
        <w:rPr>
          <w:rFonts w:eastAsia="Times New Roman" w:cstheme="minorHAnsi"/>
        </w:rPr>
        <w:t>tipologie di prestazioni</w:t>
      </w:r>
      <w:r w:rsidRPr="001D2DB3">
        <w:rPr>
          <w:rFonts w:eastAsia="Times New Roman" w:cstheme="minorHAnsi"/>
        </w:rPr>
        <w:t xml:space="preserve">: ricoveri </w:t>
      </w:r>
      <w:r>
        <w:rPr>
          <w:rFonts w:eastAsia="Times New Roman" w:cstheme="minorHAnsi"/>
        </w:rPr>
        <w:t>ordinari</w:t>
      </w:r>
      <w:r w:rsidRPr="001D2DB3">
        <w:rPr>
          <w:rFonts w:eastAsia="Times New Roman" w:cstheme="minorHAnsi"/>
        </w:rPr>
        <w:t xml:space="preserve"> e day hospital (differenziati per pubblico e privato), medicina generale, specialistica ambulatoriale (differenziata per pubblico e privato), farmaceutica, cure termali, somministrazione diretta di farmaci, trasporti con ambulanza ed elisoccorso.</w:t>
      </w:r>
      <w:r w:rsidRPr="00AA01C9">
        <w:rPr>
          <w:rFonts w:eastAsia="Times New Roman" w:cstheme="minorHAnsi"/>
          <w:i/>
        </w:rPr>
        <w:t xml:space="preserve"> </w:t>
      </w:r>
      <w:r w:rsidRPr="001D2DB3">
        <w:rPr>
          <w:rFonts w:eastAsia="Times New Roman" w:cstheme="minorHAnsi"/>
        </w:rPr>
        <w:t>«</w:t>
      </w:r>
      <w:r>
        <w:rPr>
          <w:rFonts w:eastAsia="Times New Roman" w:cstheme="minorHAnsi"/>
        </w:rPr>
        <w:t xml:space="preserve">La Fondazione GIMBE ha elaborato un report sulla mobilità sanitaria </w:t>
      </w:r>
      <w:r w:rsidRPr="001D2DB3">
        <w:rPr>
          <w:rFonts w:eastAsia="Times New Roman" w:cstheme="minorHAnsi"/>
        </w:rPr>
        <w:t>– p</w:t>
      </w:r>
      <w:r>
        <w:rPr>
          <w:rFonts w:eastAsia="Times New Roman" w:cstheme="minorHAnsi"/>
        </w:rPr>
        <w:t>recisa</w:t>
      </w:r>
      <w:r w:rsidRPr="001D2DB3">
        <w:rPr>
          <w:rFonts w:eastAsia="Times New Roman" w:cstheme="minorHAnsi"/>
        </w:rPr>
        <w:t xml:space="preserve"> Cartabellotta – </w:t>
      </w:r>
      <w:r>
        <w:rPr>
          <w:rFonts w:eastAsia="Times New Roman" w:cstheme="minorHAnsi"/>
        </w:rPr>
        <w:t>utilizzando</w:t>
      </w:r>
      <w:r w:rsidRPr="001D2DB3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sia </w:t>
      </w:r>
      <w:r w:rsidRPr="001D2DB3">
        <w:rPr>
          <w:rFonts w:eastAsia="Times New Roman" w:cstheme="minorHAnsi"/>
        </w:rPr>
        <w:t xml:space="preserve">i dati economici </w:t>
      </w:r>
      <w:r w:rsidRPr="0028754D">
        <w:rPr>
          <w:rFonts w:eastAsia="Times New Roman" w:cstheme="minorHAnsi"/>
        </w:rPr>
        <w:t>aggregati</w:t>
      </w:r>
      <w:r>
        <w:rPr>
          <w:rFonts w:eastAsia="Times New Roman" w:cstheme="minorHAnsi"/>
        </w:rPr>
        <w:t xml:space="preserve"> per analizzare mobilità attiva, passiva e saldi, sia </w:t>
      </w:r>
      <w:r w:rsidRPr="0028754D">
        <w:rPr>
          <w:rFonts w:eastAsia="Times New Roman" w:cstheme="minorHAnsi"/>
        </w:rPr>
        <w:t>i flussi trasmessi dalle Regioni al Ministero della Salute</w:t>
      </w:r>
      <w:r>
        <w:rPr>
          <w:rFonts w:eastAsia="Times New Roman" w:cstheme="minorHAnsi"/>
        </w:rPr>
        <w:t xml:space="preserve"> con il cosiddetto</w:t>
      </w:r>
      <w:r w:rsidRPr="0028754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Modello M, </w:t>
      </w:r>
      <w:r w:rsidRPr="0028754D">
        <w:rPr>
          <w:rFonts w:eastAsia="Times New Roman" w:cstheme="minorHAnsi"/>
        </w:rPr>
        <w:t xml:space="preserve">che </w:t>
      </w:r>
      <w:r>
        <w:rPr>
          <w:rFonts w:eastAsia="Times New Roman" w:cstheme="minorHAnsi"/>
        </w:rPr>
        <w:t xml:space="preserve">permettono </w:t>
      </w:r>
      <w:r w:rsidRPr="0028754D">
        <w:rPr>
          <w:rFonts w:eastAsia="Times New Roman" w:cstheme="minorHAnsi"/>
        </w:rPr>
        <w:t xml:space="preserve">di </w:t>
      </w:r>
      <w:r>
        <w:rPr>
          <w:rFonts w:eastAsia="Times New Roman" w:cstheme="minorHAnsi"/>
        </w:rPr>
        <w:t>analizzare</w:t>
      </w:r>
      <w:r w:rsidRPr="0028754D">
        <w:rPr>
          <w:rFonts w:eastAsia="Times New Roman" w:cstheme="minorHAnsi"/>
        </w:rPr>
        <w:t xml:space="preserve"> la differente capacità di attrazione del pubblico e del privato di ogni Regione</w:t>
      </w:r>
      <w:r>
        <w:rPr>
          <w:rFonts w:eastAsia="Times New Roman" w:cstheme="minorHAnsi"/>
        </w:rPr>
        <w:t>, oltre alla tipologia di prestazioni erogate in mobilità</w:t>
      </w:r>
      <w:r w:rsidRPr="0028754D">
        <w:rPr>
          <w:rFonts w:eastAsia="Times New Roman" w:cstheme="minorHAnsi"/>
        </w:rPr>
        <w:t>».</w:t>
      </w:r>
    </w:p>
    <w:p w14:paraId="040447CC" w14:textId="77777777" w:rsidR="005256C7" w:rsidRPr="00477127" w:rsidRDefault="005256C7" w:rsidP="005256C7">
      <w:pPr>
        <w:jc w:val="both"/>
        <w:rPr>
          <w:rFonts w:eastAsia="Times New Roman" w:cstheme="minorHAnsi"/>
          <w:color w:val="FF0000"/>
        </w:rPr>
      </w:pPr>
      <w:r w:rsidRPr="00F622AA">
        <w:rPr>
          <w:b/>
        </w:rPr>
        <w:t>Nel 20</w:t>
      </w:r>
      <w:r>
        <w:rPr>
          <w:b/>
        </w:rPr>
        <w:t>20</w:t>
      </w:r>
      <w:r w:rsidRPr="00F622AA">
        <w:rPr>
          <w:b/>
        </w:rPr>
        <w:t xml:space="preserve"> il valore della mobilità sanitaria ammonta a € </w:t>
      </w:r>
      <w:r>
        <w:rPr>
          <w:b/>
        </w:rPr>
        <w:t>3.330</w:t>
      </w:r>
      <w:r w:rsidRPr="00F622AA">
        <w:rPr>
          <w:b/>
        </w:rPr>
        <w:t>,</w:t>
      </w:r>
      <w:r>
        <w:rPr>
          <w:b/>
        </w:rPr>
        <w:t>47</w:t>
      </w:r>
      <w:r w:rsidRPr="00F622AA">
        <w:rPr>
          <w:b/>
        </w:rPr>
        <w:t xml:space="preserve"> milioni</w:t>
      </w:r>
      <w:r>
        <w:t>: si tratta di una c</w:t>
      </w:r>
      <w:r w:rsidRPr="006E7074">
        <w:t>ifra inferiore</w:t>
      </w:r>
      <w:r>
        <w:t xml:space="preserve"> a quella degli anni precedenti </w:t>
      </w:r>
      <w:r w:rsidRPr="004742CA">
        <w:t>(</w:t>
      </w:r>
      <w:r w:rsidRPr="004742CA">
        <w:rPr>
          <w:highlight w:val="yellow"/>
        </w:rPr>
        <w:t>figura</w:t>
      </w:r>
      <w:r w:rsidRPr="00241DC9">
        <w:rPr>
          <w:highlight w:val="yellow"/>
        </w:rPr>
        <w:t xml:space="preserve"> 1</w:t>
      </w:r>
      <w:r w:rsidRPr="004742CA">
        <w:t>),</w:t>
      </w:r>
      <w:r w:rsidRPr="006E7074">
        <w:t xml:space="preserve"> </w:t>
      </w:r>
      <w:r>
        <w:t xml:space="preserve">spiega il Presidente, </w:t>
      </w:r>
      <w:r w:rsidRPr="001D2DB3">
        <w:rPr>
          <w:rFonts w:eastAsia="Times New Roman" w:cstheme="minorHAnsi"/>
        </w:rPr>
        <w:t>«</w:t>
      </w:r>
      <w:r w:rsidRPr="006E7074">
        <w:t xml:space="preserve">in parte in ragione dell’emergenza pandemica COVID-19 che ha ridotto gli spostamenti delle persone e l’offerta di prestazioni ospedaliere e ambulatoriali, in parte </w:t>
      </w:r>
      <w:r>
        <w:t xml:space="preserve">per </w:t>
      </w:r>
      <w:r w:rsidRPr="006E7074">
        <w:t xml:space="preserve">l’esclusione </w:t>
      </w:r>
      <w:r>
        <w:t xml:space="preserve">nel 2020 </w:t>
      </w:r>
      <w:r w:rsidRPr="006E7074">
        <w:t>de</w:t>
      </w:r>
      <w:r>
        <w:t>l valore della mobilità</w:t>
      </w:r>
      <w:r w:rsidRPr="006E7074">
        <w:t xml:space="preserve"> della Regione Calabria</w:t>
      </w:r>
      <w:r>
        <w:t>, che ammonta a circa € 250 milioni</w:t>
      </w:r>
      <w:r w:rsidRPr="0028754D">
        <w:rPr>
          <w:rFonts w:eastAsia="Times New Roman" w:cstheme="minorHAnsi"/>
        </w:rPr>
        <w:t>».</w:t>
      </w:r>
      <w:r>
        <w:rPr>
          <w:rFonts w:eastAsia="Times New Roman" w:cstheme="minorHAnsi"/>
        </w:rPr>
        <w:t xml:space="preserve"> Infatti, </w:t>
      </w:r>
      <w:r>
        <w:t>in base ai dati del</w:t>
      </w:r>
      <w:r w:rsidRPr="009652BF">
        <w:t xml:space="preserve"> Modello M, la Calabria ha € 224,4 milioni di debiti e € 27,2 milioni di crediti, somme </w:t>
      </w:r>
      <w:r>
        <w:t xml:space="preserve">che </w:t>
      </w:r>
      <w:r w:rsidRPr="009652BF">
        <w:t>saranno compensate a partire dal 2026</w:t>
      </w:r>
      <w:r>
        <w:t>: di conseguenza, la Regione è stata esclusa dalle analisi su mobilità attiva, mobilità passiva, saldi e saldi pro-capite.</w:t>
      </w:r>
    </w:p>
    <w:p w14:paraId="33430A4B" w14:textId="77777777" w:rsidR="005256C7" w:rsidRPr="00477127" w:rsidRDefault="005256C7" w:rsidP="005256C7">
      <w:pPr>
        <w:jc w:val="both"/>
      </w:pPr>
      <w:r w:rsidRPr="00525952">
        <w:rPr>
          <w:b/>
        </w:rPr>
        <w:t xml:space="preserve">Mobilità </w:t>
      </w:r>
      <w:r>
        <w:rPr>
          <w:b/>
        </w:rPr>
        <w:t>attiva</w:t>
      </w:r>
      <w:r>
        <w:t xml:space="preserve">. </w:t>
      </w:r>
      <w:r w:rsidRPr="006E7074">
        <w:t xml:space="preserve">6 Regioni con maggiori capacità di attrazione vantano crediti superiori a € 150 milioni: Lombardia (20,2%), Emilia-Romagna (16,5%) e Veneto (12,7%) </w:t>
      </w:r>
      <w:r>
        <w:t xml:space="preserve">raccolgono complessivamente </w:t>
      </w:r>
      <w:r w:rsidRPr="006E7074">
        <w:t>quasi la metà della mobilità attiva. Un ulteriore 20,7% viene attratto da Lazio (8,4%), Piemonte (6,9%) e Toscana (5,4%). Il rimanente 29,9% della mobilità attiva si distribuisce nelle altre Regioni e Province autonome. I dati documentano la forte capacità attrattiva delle grandi Regioni del Nord a cui corrisponde quella estremamente limitata delle Regioni del Centro-Sud, con la sola eccezione del Lazio</w:t>
      </w:r>
      <w:r>
        <w:t xml:space="preserve"> </w:t>
      </w:r>
      <w:r w:rsidRPr="004742CA">
        <w:t>(</w:t>
      </w:r>
      <w:r w:rsidRPr="00241DC9">
        <w:rPr>
          <w:highlight w:val="yellow"/>
        </w:rPr>
        <w:t>figura 2</w:t>
      </w:r>
      <w:r w:rsidRPr="004742CA">
        <w:t>)</w:t>
      </w:r>
      <w:r>
        <w:t>.</w:t>
      </w:r>
    </w:p>
    <w:p w14:paraId="2DEEA707" w14:textId="77777777" w:rsidR="005256C7" w:rsidRDefault="005256C7" w:rsidP="005256C7">
      <w:pPr>
        <w:jc w:val="both"/>
      </w:pPr>
      <w:r w:rsidRPr="004E3720">
        <w:rPr>
          <w:b/>
        </w:rPr>
        <w:lastRenderedPageBreak/>
        <w:t>Mobilità passiva.</w:t>
      </w:r>
      <w:r>
        <w:t xml:space="preserve"> 3 Regioni con maggiore indice di fuga generano debiti per oltre € 300 milioni: in testa Lazio (13,8%), Lombardia (10,9%) e Campania (10,2%), che insieme compongono oltre un terzo della mobilità passiva. Il restante 65,1% si distribuisce nelle rimanenti 17 Regioni e Province autonome. </w:t>
      </w:r>
      <w:r w:rsidRPr="001D2DB3">
        <w:rPr>
          <w:rFonts w:eastAsia="Times New Roman" w:cstheme="minorHAnsi"/>
        </w:rPr>
        <w:t>«</w:t>
      </w:r>
      <w:r>
        <w:t xml:space="preserve">I dati della mobilità passiva – commenta Cartabellotta – documentano differenze più sfumate tra Nord e Sud. In particolare, </w:t>
      </w:r>
      <w:r w:rsidRPr="00F4392E">
        <w:t xml:space="preserve">se quasi tutte le Regioni del Sud hanno elevati indici di fuga, questi sono rilevanti anche in tutte le grandi Regioni del Nord con elevata mobilità attiva, </w:t>
      </w:r>
      <w:r>
        <w:t xml:space="preserve">per la cosiddetta mobilità di prossimità, ovvero lo spostamento </w:t>
      </w:r>
      <w:r w:rsidRPr="00F4392E">
        <w:t xml:space="preserve">tra Regioni </w:t>
      </w:r>
      <w:r>
        <w:t>vicine</w:t>
      </w:r>
      <w:r w:rsidRPr="00F4392E">
        <w:t xml:space="preserve"> con elevata qualità dei servizi sanitari</w:t>
      </w:r>
      <w:r>
        <w:t xml:space="preserve">, secondo </w:t>
      </w:r>
      <w:r w:rsidRPr="00F4392E">
        <w:t>specifiche preferenze dei cittadini</w:t>
      </w:r>
      <w:r w:rsidRPr="0028754D">
        <w:rPr>
          <w:rFonts w:eastAsia="Times New Roman" w:cstheme="minorHAnsi"/>
        </w:rPr>
        <w:t>».</w:t>
      </w:r>
      <w:r>
        <w:rPr>
          <w:rFonts w:eastAsia="Times New Roman" w:cstheme="minorHAnsi"/>
        </w:rPr>
        <w:t xml:space="preserve"> In dettaglio</w:t>
      </w:r>
      <w:r>
        <w:t xml:space="preserve">: Lombardia (-€ 362,9 milioni), Veneto (-€ 220,1 milioni), Piemonte (-€ 210,8 milioni) ed Emilia-Romagna (-€ 201,7 milioni) </w:t>
      </w:r>
      <w:r w:rsidRPr="004742CA">
        <w:t>(</w:t>
      </w:r>
      <w:r w:rsidRPr="00241DC9">
        <w:rPr>
          <w:highlight w:val="yellow"/>
        </w:rPr>
        <w:t>figura 3</w:t>
      </w:r>
      <w:r w:rsidRPr="004742CA">
        <w:t>).</w:t>
      </w:r>
    </w:p>
    <w:p w14:paraId="378A91D5" w14:textId="77777777" w:rsidR="005256C7" w:rsidRPr="0058232D" w:rsidRDefault="005256C7" w:rsidP="005256C7">
      <w:pPr>
        <w:jc w:val="both"/>
        <w:rPr>
          <w:b/>
        </w:rPr>
      </w:pPr>
      <w:r>
        <w:rPr>
          <w:b/>
        </w:rPr>
        <w:t xml:space="preserve">Saldi. </w:t>
      </w:r>
      <w:r>
        <w:t>Le Regioni con saldo positivo superiore a € 100 milioni sono tutte del Nord, mentre quelle con saldo negativo maggiore di € 100 milioni tutte del Centro-Sud (</w:t>
      </w:r>
      <w:r w:rsidRPr="00241DC9">
        <w:rPr>
          <w:highlight w:val="yellow"/>
        </w:rPr>
        <w:t>figura 4</w:t>
      </w:r>
      <w:r>
        <w:t>). In particolare:</w:t>
      </w:r>
    </w:p>
    <w:p w14:paraId="5A096D7F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BB5D12">
        <w:rPr>
          <w:b/>
        </w:rPr>
        <w:t>Saldo positivo rilevante</w:t>
      </w:r>
      <w:r w:rsidRPr="0058232D">
        <w:t xml:space="preserve">: </w:t>
      </w:r>
      <w:r>
        <w:t>Emilia-Romagna (€ 300,1</w:t>
      </w:r>
      <w:r w:rsidRPr="0058232D">
        <w:t xml:space="preserve"> milioni), </w:t>
      </w:r>
      <w:r>
        <w:t xml:space="preserve">Lombardia (€ 250,9 milioni) e </w:t>
      </w:r>
      <w:r w:rsidRPr="0058232D">
        <w:t>Veneto (€</w:t>
      </w:r>
      <w:r>
        <w:t xml:space="preserve"> 165,9</w:t>
      </w:r>
      <w:r w:rsidRPr="0058232D">
        <w:t xml:space="preserve"> milioni) </w:t>
      </w:r>
    </w:p>
    <w:p w14:paraId="36BA882A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6E1E2F">
        <w:rPr>
          <w:b/>
        </w:rPr>
        <w:t xml:space="preserve">Saldo positivo </w:t>
      </w:r>
      <w:r>
        <w:rPr>
          <w:b/>
        </w:rPr>
        <w:t>moderato</w:t>
      </w:r>
      <w:r w:rsidRPr="0058232D">
        <w:t xml:space="preserve">: Molise (€ </w:t>
      </w:r>
      <w:r>
        <w:t>34,3 milioni)</w:t>
      </w:r>
    </w:p>
    <w:p w14:paraId="2D0683BB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6E1E2F">
        <w:rPr>
          <w:b/>
        </w:rPr>
        <w:t xml:space="preserve">Saldo </w:t>
      </w:r>
      <w:r>
        <w:rPr>
          <w:b/>
        </w:rPr>
        <w:t>positivo</w:t>
      </w:r>
      <w:r w:rsidRPr="006E1E2F">
        <w:rPr>
          <w:b/>
        </w:rPr>
        <w:t xml:space="preserve"> minimo</w:t>
      </w:r>
      <w:r w:rsidRPr="0058232D">
        <w:t xml:space="preserve">: </w:t>
      </w:r>
      <w:r>
        <w:t>Toscana (</w:t>
      </w:r>
      <w:r w:rsidRPr="0058232D">
        <w:t xml:space="preserve">€ </w:t>
      </w:r>
      <w:r>
        <w:t>8,8</w:t>
      </w:r>
      <w:r w:rsidRPr="0058232D">
        <w:t xml:space="preserve"> milioni)</w:t>
      </w:r>
      <w:r>
        <w:t>, Friuli-Venezia Giulia (€ 1,6 milioni)</w:t>
      </w:r>
      <w:r w:rsidRPr="0058232D">
        <w:t xml:space="preserve"> </w:t>
      </w:r>
    </w:p>
    <w:p w14:paraId="6DF879EB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BB5D12">
        <w:rPr>
          <w:b/>
        </w:rPr>
        <w:t xml:space="preserve">Saldo negativo </w:t>
      </w:r>
      <w:r>
        <w:rPr>
          <w:b/>
        </w:rPr>
        <w:t>minimo</w:t>
      </w:r>
      <w:r w:rsidRPr="0058232D">
        <w:t xml:space="preserve">: </w:t>
      </w:r>
      <w:r>
        <w:t>Prov. Aut. di Bolzano</w:t>
      </w:r>
      <w:r w:rsidRPr="0058232D">
        <w:t xml:space="preserve"> (-€ </w:t>
      </w:r>
      <w:r>
        <w:t>2</w:t>
      </w:r>
      <w:r w:rsidRPr="0058232D">
        <w:t xml:space="preserve"> milioni), </w:t>
      </w:r>
      <w:r>
        <w:t xml:space="preserve">Piemonte </w:t>
      </w:r>
      <w:r w:rsidRPr="0058232D">
        <w:t xml:space="preserve">(-€ </w:t>
      </w:r>
      <w:r>
        <w:t>2,3</w:t>
      </w:r>
      <w:r w:rsidRPr="0058232D">
        <w:t xml:space="preserve"> milioni),</w:t>
      </w:r>
      <w:r>
        <w:t xml:space="preserve"> Provincia autonoma di Trento </w:t>
      </w:r>
      <w:r w:rsidRPr="0058232D">
        <w:t xml:space="preserve">(-€ </w:t>
      </w:r>
      <w:r>
        <w:t>3,8</w:t>
      </w:r>
      <w:r w:rsidRPr="0058232D">
        <w:t xml:space="preserve"> milioni),</w:t>
      </w:r>
      <w:r>
        <w:t xml:space="preserve"> Valle d’Aosta </w:t>
      </w:r>
      <w:r w:rsidRPr="0058232D">
        <w:t xml:space="preserve">(-€ </w:t>
      </w:r>
      <w:r>
        <w:t>10,7</w:t>
      </w:r>
      <w:r w:rsidRPr="0058232D">
        <w:t xml:space="preserve"> milioni),</w:t>
      </w:r>
      <w:r>
        <w:t xml:space="preserve"> Umbria </w:t>
      </w:r>
      <w:r w:rsidRPr="0058232D">
        <w:t xml:space="preserve">(-€ </w:t>
      </w:r>
      <w:r>
        <w:t>20,1 milioni)</w:t>
      </w:r>
    </w:p>
    <w:p w14:paraId="706A162B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BB5D12">
        <w:rPr>
          <w:b/>
        </w:rPr>
        <w:t xml:space="preserve">Saldo negativo </w:t>
      </w:r>
      <w:r>
        <w:rPr>
          <w:b/>
        </w:rPr>
        <w:t>moderato</w:t>
      </w:r>
      <w:r>
        <w:t>: Marche</w:t>
      </w:r>
      <w:r w:rsidRPr="0058232D">
        <w:t xml:space="preserve"> (-€ </w:t>
      </w:r>
      <w:r>
        <w:t>25,4</w:t>
      </w:r>
      <w:r w:rsidRPr="0058232D">
        <w:t xml:space="preserve"> milioni), </w:t>
      </w:r>
      <w:r>
        <w:t xml:space="preserve">Liguria </w:t>
      </w:r>
      <w:r w:rsidRPr="0058232D">
        <w:t xml:space="preserve">(-€ </w:t>
      </w:r>
      <w:r>
        <w:t>51,5</w:t>
      </w:r>
      <w:r w:rsidRPr="0058232D">
        <w:t xml:space="preserve"> milioni),</w:t>
      </w:r>
      <w:r>
        <w:t xml:space="preserve"> Sardegna </w:t>
      </w:r>
      <w:r w:rsidRPr="0058232D">
        <w:t xml:space="preserve">(-€ </w:t>
      </w:r>
      <w:r>
        <w:t>57,6</w:t>
      </w:r>
      <w:r w:rsidRPr="0058232D">
        <w:t xml:space="preserve"> milioni),</w:t>
      </w:r>
      <w:r>
        <w:t xml:space="preserve"> Basilicata </w:t>
      </w:r>
      <w:r w:rsidRPr="0058232D">
        <w:t xml:space="preserve">(-€ </w:t>
      </w:r>
      <w:r>
        <w:t>62,5</w:t>
      </w:r>
      <w:r w:rsidRPr="0058232D">
        <w:t xml:space="preserve"> milioni),</w:t>
      </w:r>
      <w:r>
        <w:t xml:space="preserve"> Abruzzo </w:t>
      </w:r>
      <w:r w:rsidRPr="0058232D">
        <w:t xml:space="preserve">(-€ </w:t>
      </w:r>
      <w:r>
        <w:t>84,7 milioni)</w:t>
      </w:r>
    </w:p>
    <w:p w14:paraId="30E15BBE" w14:textId="77777777" w:rsidR="005256C7" w:rsidRPr="0058232D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BB5D12">
        <w:rPr>
          <w:b/>
        </w:rPr>
        <w:t xml:space="preserve">Saldo negativo </w:t>
      </w:r>
      <w:r>
        <w:rPr>
          <w:b/>
        </w:rPr>
        <w:t>rilevante</w:t>
      </w:r>
      <w:r>
        <w:t>: Puglia</w:t>
      </w:r>
      <w:r w:rsidRPr="0058232D">
        <w:t xml:space="preserve"> (-€ </w:t>
      </w:r>
      <w:r>
        <w:t>124,9</w:t>
      </w:r>
      <w:r w:rsidRPr="0058232D">
        <w:t xml:space="preserve"> milioni), </w:t>
      </w:r>
      <w:r>
        <w:t xml:space="preserve">Sicilia </w:t>
      </w:r>
      <w:r w:rsidRPr="0058232D">
        <w:t xml:space="preserve">(-€ </w:t>
      </w:r>
      <w:r>
        <w:t>173,3</w:t>
      </w:r>
      <w:r w:rsidRPr="0058232D">
        <w:t xml:space="preserve"> milioni),</w:t>
      </w:r>
      <w:r>
        <w:t xml:space="preserve"> Lazio </w:t>
      </w:r>
      <w:r w:rsidRPr="0058232D">
        <w:t xml:space="preserve">(-€ </w:t>
      </w:r>
      <w:r>
        <w:t>202,2</w:t>
      </w:r>
      <w:r w:rsidRPr="0058232D">
        <w:t xml:space="preserve"> milioni),</w:t>
      </w:r>
      <w:r>
        <w:t xml:space="preserve"> Campania </w:t>
      </w:r>
      <w:r w:rsidRPr="0058232D">
        <w:t xml:space="preserve">(-€ </w:t>
      </w:r>
      <w:r>
        <w:t>222,9 milioni)</w:t>
      </w:r>
    </w:p>
    <w:p w14:paraId="5089660F" w14:textId="77777777" w:rsidR="005256C7" w:rsidRDefault="005256C7" w:rsidP="005256C7">
      <w:pPr>
        <w:jc w:val="both"/>
      </w:pPr>
      <w:r>
        <w:br/>
      </w:r>
      <w:r w:rsidRPr="00E5671C">
        <w:rPr>
          <w:b/>
        </w:rPr>
        <w:t>Saldo pro-capite di mobilità sanitaria</w:t>
      </w:r>
      <w:r>
        <w:t>. «Con questo indicatore elaborato dalla Fondazione GIMBE – puntualizza Cartabellotta –</w:t>
      </w:r>
      <w:r w:rsidRPr="0056133B">
        <w:t xml:space="preserve"> la classifica</w:t>
      </w:r>
      <w:r>
        <w:t xml:space="preserve"> dei saldi si </w:t>
      </w:r>
      <w:r w:rsidRPr="0056133B">
        <w:t>ricompo</w:t>
      </w:r>
      <w:r>
        <w:t>ne dimostrando che, al di là del valore economico, gli importi relativi alla mobilità sanitaria devono sempre essere interpretati in relazione alla popolazione residente</w:t>
      </w:r>
      <w:r w:rsidRPr="00B20DA5">
        <w:rPr>
          <w:color w:val="000000" w:themeColor="text1"/>
        </w:rPr>
        <w:t>»</w:t>
      </w:r>
      <w:r>
        <w:t xml:space="preserve">. In particolare </w:t>
      </w:r>
      <w:r w:rsidRPr="00102802">
        <w:t xml:space="preserve">il Molise </w:t>
      </w:r>
      <w:r>
        <w:t xml:space="preserve">è in </w:t>
      </w:r>
      <w:r w:rsidRPr="00102802">
        <w:t>prima posizione per saldo pro-capite attivo con € 116</w:t>
      </w:r>
      <w:r>
        <w:t xml:space="preserve"> mentre </w:t>
      </w:r>
      <w:r w:rsidRPr="00102802">
        <w:t xml:space="preserve">la Basilicata, </w:t>
      </w:r>
      <w:r>
        <w:t>fanalino di coda</w:t>
      </w:r>
      <w:r w:rsidRPr="00102802">
        <w:t>, ha un saldo pro-capite negativo di € 115</w:t>
      </w:r>
      <w:r>
        <w:t xml:space="preserve"> (</w:t>
      </w:r>
      <w:r w:rsidRPr="00263304">
        <w:rPr>
          <w:highlight w:val="yellow"/>
        </w:rPr>
        <w:t>figura 5</w:t>
      </w:r>
      <w:r w:rsidRPr="004742CA">
        <w:t>)</w:t>
      </w:r>
      <w:r>
        <w:t>.</w:t>
      </w:r>
    </w:p>
    <w:p w14:paraId="421D25B7" w14:textId="77777777" w:rsidR="005256C7" w:rsidRDefault="005256C7" w:rsidP="005256C7">
      <w:pPr>
        <w:jc w:val="both"/>
      </w:pPr>
      <w:r w:rsidRPr="003A106D">
        <w:rPr>
          <w:b/>
        </w:rPr>
        <w:t>Valore delle tipologie di prestazioni erogate in mobilità.</w:t>
      </w:r>
      <w:r w:rsidRPr="004742CA">
        <w:t xml:space="preserve"> </w:t>
      </w:r>
      <w:r w:rsidRPr="00102802">
        <w:t xml:space="preserve">Complessivamente, </w:t>
      </w:r>
      <w:r>
        <w:t xml:space="preserve">l’85,8% del valore della mobilità sanitaria riguarda i ricoveri </w:t>
      </w:r>
      <w:r w:rsidRPr="00102802">
        <w:t>ordinari e in day hospital</w:t>
      </w:r>
      <w:r>
        <w:t xml:space="preserve"> </w:t>
      </w:r>
      <w:r w:rsidRPr="00102802">
        <w:t>(69,6%)</w:t>
      </w:r>
      <w:r>
        <w:t xml:space="preserve"> e le </w:t>
      </w:r>
      <w:r w:rsidRPr="00102802">
        <w:t>prestazioni di specialistica ambulatoriale</w:t>
      </w:r>
      <w:r>
        <w:t xml:space="preserve"> (</w:t>
      </w:r>
      <w:r w:rsidRPr="00102802">
        <w:t>16,2%</w:t>
      </w:r>
      <w:r>
        <w:t xml:space="preserve">). Il 9,3% è relativo alla somministrazione diretta di farmaci e il rimanente 4,9% alle altre prestazioni </w:t>
      </w:r>
      <w:r w:rsidRPr="004742CA">
        <w:t>(</w:t>
      </w:r>
      <w:r w:rsidRPr="004742CA">
        <w:rPr>
          <w:highlight w:val="yellow"/>
        </w:rPr>
        <w:t xml:space="preserve">figura </w:t>
      </w:r>
      <w:r w:rsidRPr="00263304">
        <w:rPr>
          <w:highlight w:val="yellow"/>
        </w:rPr>
        <w:t>6</w:t>
      </w:r>
      <w:r w:rsidRPr="004742CA">
        <w:t>)</w:t>
      </w:r>
      <w:r>
        <w:t>.</w:t>
      </w:r>
    </w:p>
    <w:p w14:paraId="733CB645" w14:textId="77777777" w:rsidR="005256C7" w:rsidRPr="004E3720" w:rsidRDefault="005256C7" w:rsidP="005256C7">
      <w:pPr>
        <w:suppressAutoHyphens/>
        <w:jc w:val="both"/>
      </w:pPr>
      <w:r w:rsidRPr="00102802">
        <w:rPr>
          <w:b/>
        </w:rPr>
        <w:t>Mobilità verso le strutture private</w:t>
      </w:r>
      <w:r w:rsidRPr="004E3720">
        <w:rPr>
          <w:b/>
        </w:rPr>
        <w:t>.</w:t>
      </w:r>
      <w:r w:rsidRPr="004E3720">
        <w:t xml:space="preserve"> </w:t>
      </w:r>
      <w:r>
        <w:t xml:space="preserve">«Grazie alla </w:t>
      </w:r>
      <w:r w:rsidRPr="004E3720">
        <w:t xml:space="preserve">Commissione Salute della Conferenza delle Regioni e Province autonome </w:t>
      </w:r>
      <w:r>
        <w:t xml:space="preserve">– spiega il Presidente – che, </w:t>
      </w:r>
      <w:r w:rsidRPr="004E3720">
        <w:t>in risposta a una richiesta di accesso civico</w:t>
      </w:r>
      <w:r>
        <w:t xml:space="preserve">, </w:t>
      </w:r>
      <w:r w:rsidRPr="004E3720">
        <w:t>ha fornito alla Fondazione GIMBE i dati completi relativi alla mobilità sanitaria inviati dalle Regioni al Ministero della Salute,</w:t>
      </w:r>
      <w:r>
        <w:t xml:space="preserve"> il report si è arricchito di ulteriori analisi</w:t>
      </w:r>
      <w:r w:rsidRPr="00A05DF8">
        <w:t xml:space="preserve"> </w:t>
      </w:r>
      <w:r>
        <w:t>rispetto ai precedenti</w:t>
      </w:r>
      <w:r w:rsidRPr="00B20DA5">
        <w:rPr>
          <w:color w:val="000000" w:themeColor="text1"/>
        </w:rPr>
        <w:t>»</w:t>
      </w:r>
      <w:r>
        <w:rPr>
          <w:color w:val="000000" w:themeColor="text1"/>
        </w:rPr>
        <w:t>.</w:t>
      </w:r>
      <w:r w:rsidRPr="004E3720">
        <w:t xml:space="preserve"> </w:t>
      </w:r>
      <w:r>
        <w:t xml:space="preserve">In particolare, </w:t>
      </w:r>
      <w:r w:rsidRPr="004E3720">
        <w:t xml:space="preserve">emerge che più della metà del valore della mobilità sanitaria </w:t>
      </w:r>
      <w:r>
        <w:t xml:space="preserve">per ricoveri e prestazioni specialistiche </w:t>
      </w:r>
      <w:r w:rsidRPr="004E3720">
        <w:t xml:space="preserve">è erogata da strutture private, </w:t>
      </w:r>
      <w:r>
        <w:t>per un valore di</w:t>
      </w:r>
      <w:r w:rsidRPr="004E3720">
        <w:t xml:space="preserve"> € 1.422,2 milioni (52,6%), rispetto ai € 1.278,9 milioni (47,4%) delle strutture pubbliche. In particolare, per i ricoveri ordinari e in day hospital le strutture private hanno </w:t>
      </w:r>
      <w:r>
        <w:t>incassato</w:t>
      </w:r>
      <w:r w:rsidRPr="004E3720">
        <w:t xml:space="preserve"> € 1.173,1 milioni, mentre quelle pubbliche € 1.019,8 milioni. Per quanto riguarda le prestazioni di specialistica ambulatoriale in mobilità, il valore erogato dal privato è di € 249,1 milioni, mentre quello pubblico è di € 259,1 milioni</w:t>
      </w:r>
      <w:r>
        <w:t xml:space="preserve"> (</w:t>
      </w:r>
      <w:r w:rsidRPr="004742CA">
        <w:rPr>
          <w:highlight w:val="yellow"/>
        </w:rPr>
        <w:t>f</w:t>
      </w:r>
      <w:r w:rsidRPr="00263304">
        <w:rPr>
          <w:highlight w:val="yellow"/>
        </w:rPr>
        <w:t>igura 7</w:t>
      </w:r>
      <w:r w:rsidRPr="004742CA">
        <w:t>)</w:t>
      </w:r>
      <w:r w:rsidRPr="00102802">
        <w:t>.</w:t>
      </w:r>
    </w:p>
    <w:p w14:paraId="7B295845" w14:textId="77777777" w:rsidR="005256C7" w:rsidRPr="004E3720" w:rsidRDefault="005256C7" w:rsidP="005256C7">
      <w:pPr>
        <w:suppressAutoHyphens/>
        <w:jc w:val="both"/>
      </w:pPr>
      <w:r>
        <w:t>«</w:t>
      </w:r>
      <w:r w:rsidRPr="004E3720">
        <w:t xml:space="preserve">Il </w:t>
      </w:r>
      <w:r>
        <w:t>volume</w:t>
      </w:r>
      <w:r w:rsidRPr="004E3720">
        <w:t xml:space="preserve"> dell</w:t>
      </w:r>
      <w:r>
        <w:t>’</w:t>
      </w:r>
      <w:r w:rsidRPr="004E3720">
        <w:t xml:space="preserve">erogazione </w:t>
      </w:r>
      <w:r>
        <w:t xml:space="preserve">di ricoveri e prestazioni specialistiche da parte di strutture private – spiega Cartabellotta – </w:t>
      </w:r>
      <w:r w:rsidRPr="004E3720">
        <w:t>varia notevolmente tra le Regioni ed è un indicatore</w:t>
      </w:r>
      <w:r>
        <w:t xml:space="preserve"> della presenza e della </w:t>
      </w:r>
      <w:r w:rsidRPr="004E3720">
        <w:t xml:space="preserve">capacità attrattiva </w:t>
      </w:r>
      <w:r w:rsidRPr="004E3720">
        <w:lastRenderedPageBreak/>
        <w:t>delle strutture private accreditate</w:t>
      </w:r>
      <w:r w:rsidRPr="00B20DA5">
        <w:rPr>
          <w:color w:val="000000" w:themeColor="text1"/>
        </w:rPr>
        <w:t>»</w:t>
      </w:r>
      <w:r>
        <w:t>.</w:t>
      </w:r>
      <w:r w:rsidRPr="009B5897">
        <w:t xml:space="preserve"> Infatti, accanto a Regioni dove la sanità privata eroga oltre il 60% del valore totale della mobilità</w:t>
      </w:r>
      <w:r>
        <w:t xml:space="preserve"> attiva </w:t>
      </w:r>
      <w:r w:rsidRPr="009B5897">
        <w:t xml:space="preserve">– Molise (87,2%), Puglia (71,5%), Lombardia (69,2%) e Lazio (62,6%) – ci sono Regioni dove le strutture private erogano meno del 20% del valore totale della mobilità: Umbria (15,2%), Sardegna (14,5%), Valle d'Aosta (11,5%), Liguria (9,9%), Basilicata (8,1%) e nella Provincia autonoma di Bolzano (3,4%) </w:t>
      </w:r>
      <w:r w:rsidRPr="004742CA">
        <w:t>(</w:t>
      </w:r>
      <w:r w:rsidRPr="004742CA">
        <w:rPr>
          <w:highlight w:val="yellow"/>
        </w:rPr>
        <w:t xml:space="preserve">figura </w:t>
      </w:r>
      <w:r w:rsidRPr="00263304">
        <w:rPr>
          <w:highlight w:val="yellow"/>
        </w:rPr>
        <w:t>8</w:t>
      </w:r>
      <w:r w:rsidRPr="004742CA">
        <w:t>).</w:t>
      </w:r>
    </w:p>
    <w:p w14:paraId="7C2C3BC9" w14:textId="77777777" w:rsidR="005256C7" w:rsidRDefault="005256C7" w:rsidP="005256C7">
      <w:pPr>
        <w:jc w:val="both"/>
        <w:rPr>
          <w:color w:val="FF0000"/>
        </w:rPr>
      </w:pPr>
      <w:r>
        <w:t xml:space="preserve">«Le nostre analisi – conclude Cartabellotta – dimostrano che i </w:t>
      </w:r>
      <w:r w:rsidRPr="00375D42">
        <w:t>flussi economici della mobilità sanitaria scorrono prevalentemente da Sud a Nord</w:t>
      </w:r>
      <w:r>
        <w:t>,</w:t>
      </w:r>
      <w:r w:rsidRPr="00375D42">
        <w:t xml:space="preserve"> in particolare verso le Regioni che hanno già sottoscritto i </w:t>
      </w:r>
      <w:proofErr w:type="spellStart"/>
      <w:r w:rsidRPr="00375D42">
        <w:t>pre</w:t>
      </w:r>
      <w:proofErr w:type="spellEnd"/>
      <w:r w:rsidRPr="00375D42">
        <w:t>-accordi con il Governo per la richiesta di maggiori autonomie.</w:t>
      </w:r>
      <w:r>
        <w:t xml:space="preserve"> E che oltre la metà delle prestazioni di ricovero e specialistica ambulatoriale finisce nelle casse delle strutture private, ulteriore segnale d’indebolimento della sanità pubblica. In ogni caso, è impossibile stimare </w:t>
      </w:r>
      <w:r w:rsidRPr="00E0019B">
        <w:t>l’impatto economico complessivo della mobilità sanitaria</w:t>
      </w:r>
      <w:r>
        <w:t xml:space="preserve"> che include sia i </w:t>
      </w:r>
      <w:r w:rsidRPr="00E0019B">
        <w:t>costi sostenuti da pazienti e familiari per gli spostamenti</w:t>
      </w:r>
      <w:r>
        <w:t xml:space="preserve">, sia </w:t>
      </w:r>
      <w:r w:rsidRPr="00E0019B">
        <w:t>i costi indiretti</w:t>
      </w:r>
      <w:r>
        <w:t xml:space="preserve"> </w:t>
      </w:r>
      <w:r w:rsidRPr="00E0019B">
        <w:t>(assenze dal lavoro di familiari, permessi retribuiti)</w:t>
      </w:r>
      <w:r>
        <w:t>, sia quelli intangibili che conseguono alla non esigibilità di un diritto fondamentale sancito dalla Costituzione</w:t>
      </w:r>
      <w:r w:rsidRPr="00B20DA5">
        <w:rPr>
          <w:color w:val="000000" w:themeColor="text1"/>
        </w:rPr>
        <w:t>»</w:t>
      </w:r>
      <w:r>
        <w:t>.</w:t>
      </w:r>
    </w:p>
    <w:p w14:paraId="47FE7D70" w14:textId="77777777" w:rsidR="005256C7" w:rsidRDefault="005256C7" w:rsidP="005256C7">
      <w:pPr>
        <w:jc w:val="both"/>
      </w:pPr>
      <w:r>
        <w:t>Il report dell’Osservatorio GIMBE “</w:t>
      </w:r>
      <w:r w:rsidRPr="00FA2363">
        <w:t>La mobilità s</w:t>
      </w:r>
      <w:r>
        <w:t xml:space="preserve">anitaria interregionale nel 2020” è disponibile a: </w:t>
      </w:r>
      <w:hyperlink r:id="rId8" w:history="1">
        <w:r w:rsidRPr="00B210AD">
          <w:rPr>
            <w:rStyle w:val="Collegamentoipertestuale"/>
          </w:rPr>
          <w:t>www.gimbe.org/mobilita2020</w:t>
        </w:r>
      </w:hyperlink>
    </w:p>
    <w:p w14:paraId="091F0F6D" w14:textId="77777777" w:rsidR="005256C7" w:rsidRPr="00E3755B" w:rsidRDefault="005256C7" w:rsidP="005256C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079F84FE" w14:textId="77777777" w:rsidR="005256C7" w:rsidRPr="00E3755B" w:rsidRDefault="005256C7" w:rsidP="005256C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0DBDC730" w14:textId="77777777" w:rsidR="005256C7" w:rsidRDefault="005256C7" w:rsidP="005256C7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B0449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0134C7AA" w14:textId="77777777" w:rsidR="00241DC9" w:rsidRDefault="00241DC9">
      <w:pPr>
        <w:rPr>
          <w:rStyle w:val="Collegamentoipertestuale"/>
          <w:rFonts w:ascii="Calibri" w:eastAsia="Calibri" w:hAnsi="Calibri" w:cs="Times New Roman"/>
          <w:sz w:val="20"/>
          <w:szCs w:val="20"/>
        </w:rPr>
      </w:pPr>
      <w:r>
        <w:rPr>
          <w:rStyle w:val="Collegamentoipertestuale"/>
          <w:rFonts w:ascii="Calibri" w:eastAsia="Calibri" w:hAnsi="Calibri" w:cs="Times New Roman"/>
          <w:sz w:val="20"/>
          <w:szCs w:val="20"/>
        </w:rPr>
        <w:br w:type="page"/>
      </w:r>
    </w:p>
    <w:p w14:paraId="3F341830" w14:textId="21F4AAA4" w:rsidR="00241DC9" w:rsidRDefault="004337BE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  <w:lastRenderedPageBreak/>
        <w:pict w14:anchorId="66F64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300pt">
            <v:imagedata r:id="rId10" o:title="Figura_01_20230316"/>
          </v:shape>
        </w:pict>
      </w:r>
    </w:p>
    <w:p w14:paraId="4D960429" w14:textId="0F2A786E" w:rsidR="00241DC9" w:rsidRDefault="00241DC9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</w:p>
    <w:p w14:paraId="6B5ADE23" w14:textId="0F0644A0" w:rsidR="00241DC9" w:rsidRDefault="004337BE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noProof/>
          <w:color w:val="244061" w:themeColor="accent1" w:themeShade="80"/>
          <w:sz w:val="20"/>
          <w:szCs w:val="20"/>
          <w:lang w:eastAsia="it-IT"/>
        </w:rPr>
        <w:pict w14:anchorId="655D45AA">
          <v:shape id="_x0000_i1026" type="#_x0000_t75" style="width:423pt;height:312.75pt">
            <v:imagedata r:id="rId11" o:title="Figura_02_20230316"/>
          </v:shape>
        </w:pict>
      </w:r>
    </w:p>
    <w:p w14:paraId="5FC3AA6F" w14:textId="77777777" w:rsidR="00241DC9" w:rsidRDefault="00241DC9">
      <w:pPr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  <w:br w:type="page"/>
      </w:r>
    </w:p>
    <w:p w14:paraId="15CA1AAB" w14:textId="7E835F33" w:rsidR="00241DC9" w:rsidRDefault="00241DC9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</w:p>
    <w:p w14:paraId="194759E3" w14:textId="49ED0C45" w:rsidR="00241DC9" w:rsidRDefault="004337BE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  <w:pict w14:anchorId="3E8DDB66">
          <v:shape id="_x0000_i1027" type="#_x0000_t75" style="width:420pt;height:312pt">
            <v:imagedata r:id="rId12" o:title="Figura_03_20230316"/>
          </v:shape>
        </w:pict>
      </w:r>
    </w:p>
    <w:p w14:paraId="5DC2EE5C" w14:textId="1A3F209B" w:rsidR="00241DC9" w:rsidRDefault="00241DC9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</w:p>
    <w:p w14:paraId="43D9CD48" w14:textId="2003C845" w:rsidR="00E860AF" w:rsidRDefault="004337BE" w:rsidP="00E860AF">
      <w:pPr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  <w:pict w14:anchorId="173AD4C7">
          <v:shape id="_x0000_i1028" type="#_x0000_t75" style="width:481.5pt;height:324.75pt">
            <v:imagedata r:id="rId13" o:title="Figura_04_20230316"/>
          </v:shape>
        </w:pict>
      </w:r>
    </w:p>
    <w:p w14:paraId="1F185D9F" w14:textId="699CEFFB" w:rsidR="00263304" w:rsidRDefault="00E860AF" w:rsidP="00E860AF">
      <w:pPr>
        <w:pStyle w:val="Didascalia"/>
        <w:suppressAutoHyphens/>
        <w:spacing w:before="120" w:after="400"/>
        <w:jc w:val="center"/>
        <w:rPr>
          <w:rFonts w:ascii="Calibri" w:eastAsia="Calibri" w:hAnsi="Calibri" w:cs="Times New Roman"/>
          <w:b w:val="0"/>
          <w:color w:val="244061" w:themeColor="accent1" w:themeShade="80"/>
          <w:sz w:val="20"/>
          <w:szCs w:val="20"/>
        </w:rPr>
      </w:pPr>
      <w:r w:rsidRPr="00263304">
        <w:rPr>
          <w:rFonts w:cstheme="minorHAnsi"/>
          <w:color w:val="00457D"/>
          <w:lang w:val="it-IT"/>
        </w:rPr>
        <w:t xml:space="preserve">Figura </w:t>
      </w:r>
      <w:r w:rsidRPr="00E860AF">
        <w:rPr>
          <w:rFonts w:cstheme="minorHAnsi"/>
          <w:color w:val="00457D"/>
          <w:lang w:val="it-IT"/>
        </w:rPr>
        <w:t>4</w:t>
      </w:r>
      <w:r w:rsidR="00263304">
        <w:rPr>
          <w:rFonts w:ascii="Calibri" w:eastAsia="Calibri" w:hAnsi="Calibri" w:cs="Times New Roman"/>
          <w:color w:val="244061" w:themeColor="accent1" w:themeShade="80"/>
          <w:sz w:val="20"/>
          <w:szCs w:val="20"/>
        </w:rPr>
        <w:br w:type="page"/>
      </w:r>
    </w:p>
    <w:p w14:paraId="47B29883" w14:textId="3ED80382" w:rsidR="00263304" w:rsidRDefault="004337BE" w:rsidP="00263304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  <w:lastRenderedPageBreak/>
        <w:pict w14:anchorId="289C7A88">
          <v:shape id="_x0000_i1029" type="#_x0000_t75" style="width:428.25pt;height:304.5pt">
            <v:imagedata r:id="rId14" o:title="Figura_05_20230316"/>
          </v:shape>
        </w:pict>
      </w:r>
    </w:p>
    <w:p w14:paraId="0D69F9D0" w14:textId="77777777" w:rsidR="00263304" w:rsidRDefault="00263304" w:rsidP="00263304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</w:p>
    <w:p w14:paraId="6FD12C35" w14:textId="000B6853" w:rsidR="00263304" w:rsidRDefault="00263304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</w:p>
    <w:p w14:paraId="1401D108" w14:textId="732C1279" w:rsidR="00263304" w:rsidRDefault="004337BE" w:rsidP="00E860AF">
      <w:pPr>
        <w:jc w:val="center"/>
        <w:rPr>
          <w:rFonts w:eastAsiaTheme="minorEastAsia" w:cstheme="minorHAnsi"/>
          <w:b/>
          <w:bCs/>
          <w:color w:val="00457D"/>
          <w:sz w:val="18"/>
          <w:szCs w:val="18"/>
          <w:lang w:eastAsia="zh-CN"/>
        </w:rPr>
      </w:pPr>
      <w:r>
        <w:rPr>
          <w:rFonts w:cstheme="minorHAnsi"/>
          <w:color w:val="00457D"/>
        </w:rPr>
        <w:pict w14:anchorId="1B637798">
          <v:shape id="_x0000_i1030" type="#_x0000_t75" style="width:446.25pt;height:282.75pt">
            <v:imagedata r:id="rId15" o:title="Figura_06_20230316"/>
          </v:shape>
        </w:pict>
      </w:r>
      <w:r w:rsidR="00263304">
        <w:rPr>
          <w:rFonts w:cstheme="minorHAnsi"/>
          <w:color w:val="00457D"/>
        </w:rPr>
        <w:br w:type="page"/>
      </w:r>
    </w:p>
    <w:p w14:paraId="2F93AFB2" w14:textId="27302724" w:rsidR="00263304" w:rsidRDefault="004337BE" w:rsidP="00E860AF">
      <w:pPr>
        <w:jc w:val="center"/>
        <w:rPr>
          <w:lang w:eastAsia="zh-CN"/>
        </w:rPr>
      </w:pPr>
      <w:r>
        <w:rPr>
          <w:lang w:eastAsia="zh-CN"/>
        </w:rPr>
        <w:lastRenderedPageBreak/>
        <w:pict w14:anchorId="3798D07A">
          <v:shape id="_x0000_i1031" type="#_x0000_t75" style="width:465pt;height:280.5pt">
            <v:imagedata r:id="rId16" o:title="Figura_07_20230316"/>
          </v:shape>
        </w:pict>
      </w:r>
    </w:p>
    <w:p w14:paraId="4AF7567E" w14:textId="7D5A4CD7" w:rsidR="00263304" w:rsidRDefault="00263304" w:rsidP="00263304">
      <w:pPr>
        <w:spacing w:after="0"/>
        <w:jc w:val="center"/>
        <w:rPr>
          <w:lang w:eastAsia="zh-CN"/>
        </w:rPr>
      </w:pPr>
    </w:p>
    <w:p w14:paraId="0FFD59B7" w14:textId="6B978EB4" w:rsidR="00263304" w:rsidRPr="00241DC9" w:rsidRDefault="004337BE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  <w:pict w14:anchorId="6368BD50">
          <v:shape id="_x0000_i1032" type="#_x0000_t75" style="width:441.75pt;height:364.5pt">
            <v:imagedata r:id="rId17" o:title="Figura_08_20230316"/>
          </v:shape>
        </w:pict>
      </w:r>
    </w:p>
    <w:sectPr w:rsidR="00263304" w:rsidRPr="00241DC9" w:rsidSect="00282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3708" w16cex:dateUtc="2023-03-15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B9094" w14:textId="77777777" w:rsidR="002404E3" w:rsidRDefault="002404E3" w:rsidP="00ED0CFD">
      <w:pPr>
        <w:spacing w:after="0" w:line="240" w:lineRule="auto"/>
      </w:pPr>
      <w:r>
        <w:separator/>
      </w:r>
    </w:p>
  </w:endnote>
  <w:endnote w:type="continuationSeparator" w:id="0">
    <w:p w14:paraId="59404CEE" w14:textId="77777777" w:rsidR="002404E3" w:rsidRDefault="002404E3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19CE" w14:textId="77777777" w:rsidR="002404E3" w:rsidRDefault="002404E3" w:rsidP="00ED0CFD">
      <w:pPr>
        <w:spacing w:after="0" w:line="240" w:lineRule="auto"/>
      </w:pPr>
      <w:r>
        <w:separator/>
      </w:r>
    </w:p>
  </w:footnote>
  <w:footnote w:type="continuationSeparator" w:id="0">
    <w:p w14:paraId="5636F5F6" w14:textId="77777777" w:rsidR="002404E3" w:rsidRDefault="002404E3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D0B44"/>
    <w:multiLevelType w:val="hybridMultilevel"/>
    <w:tmpl w:val="C164C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7641A"/>
    <w:multiLevelType w:val="hybridMultilevel"/>
    <w:tmpl w:val="B914B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C3FE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457D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7A5BB8"/>
    <w:multiLevelType w:val="hybridMultilevel"/>
    <w:tmpl w:val="C6787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8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1"/>
  </w:num>
  <w:num w:numId="16">
    <w:abstractNumId w:val="19"/>
  </w:num>
  <w:num w:numId="17">
    <w:abstractNumId w:val="16"/>
  </w:num>
  <w:num w:numId="18">
    <w:abstractNumId w:val="5"/>
  </w:num>
  <w:num w:numId="19">
    <w:abstractNumId w:val="15"/>
  </w:num>
  <w:num w:numId="20">
    <w:abstractNumId w:val="2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F78"/>
    <w:rsid w:val="00004B0A"/>
    <w:rsid w:val="00005126"/>
    <w:rsid w:val="00005316"/>
    <w:rsid w:val="00005B25"/>
    <w:rsid w:val="00006555"/>
    <w:rsid w:val="00010498"/>
    <w:rsid w:val="0001111C"/>
    <w:rsid w:val="0001384A"/>
    <w:rsid w:val="00013DFA"/>
    <w:rsid w:val="0001439D"/>
    <w:rsid w:val="000151FC"/>
    <w:rsid w:val="00015D8E"/>
    <w:rsid w:val="00017968"/>
    <w:rsid w:val="00017FB4"/>
    <w:rsid w:val="000202BF"/>
    <w:rsid w:val="00020F55"/>
    <w:rsid w:val="00021D7F"/>
    <w:rsid w:val="00023462"/>
    <w:rsid w:val="00023D8A"/>
    <w:rsid w:val="00024DD4"/>
    <w:rsid w:val="00027E3B"/>
    <w:rsid w:val="000314E4"/>
    <w:rsid w:val="000340C1"/>
    <w:rsid w:val="00035404"/>
    <w:rsid w:val="00035633"/>
    <w:rsid w:val="00042141"/>
    <w:rsid w:val="0004342B"/>
    <w:rsid w:val="0004410A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CA3"/>
    <w:rsid w:val="00055D27"/>
    <w:rsid w:val="000602AA"/>
    <w:rsid w:val="00060A59"/>
    <w:rsid w:val="0006440E"/>
    <w:rsid w:val="000657A8"/>
    <w:rsid w:val="000662E3"/>
    <w:rsid w:val="00067B8F"/>
    <w:rsid w:val="000707B3"/>
    <w:rsid w:val="00070F64"/>
    <w:rsid w:val="000715A9"/>
    <w:rsid w:val="000718E4"/>
    <w:rsid w:val="00071F0A"/>
    <w:rsid w:val="00071F88"/>
    <w:rsid w:val="00072570"/>
    <w:rsid w:val="000733A7"/>
    <w:rsid w:val="0007355C"/>
    <w:rsid w:val="00073870"/>
    <w:rsid w:val="00074788"/>
    <w:rsid w:val="000771A4"/>
    <w:rsid w:val="00077EF1"/>
    <w:rsid w:val="00080E0C"/>
    <w:rsid w:val="00082EDA"/>
    <w:rsid w:val="000905D1"/>
    <w:rsid w:val="00090A39"/>
    <w:rsid w:val="00090B7E"/>
    <w:rsid w:val="000927C7"/>
    <w:rsid w:val="000935F1"/>
    <w:rsid w:val="00094560"/>
    <w:rsid w:val="000965BE"/>
    <w:rsid w:val="00096FA1"/>
    <w:rsid w:val="000A05CF"/>
    <w:rsid w:val="000A0FC3"/>
    <w:rsid w:val="000A1367"/>
    <w:rsid w:val="000A2084"/>
    <w:rsid w:val="000A5E93"/>
    <w:rsid w:val="000A62A9"/>
    <w:rsid w:val="000A7B66"/>
    <w:rsid w:val="000A7ED4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1E30"/>
    <w:rsid w:val="000D25AC"/>
    <w:rsid w:val="000D44D4"/>
    <w:rsid w:val="000D5771"/>
    <w:rsid w:val="000D5893"/>
    <w:rsid w:val="000D7252"/>
    <w:rsid w:val="000E2E4F"/>
    <w:rsid w:val="000E4E47"/>
    <w:rsid w:val="000E7CC2"/>
    <w:rsid w:val="000F0BBD"/>
    <w:rsid w:val="000F10F8"/>
    <w:rsid w:val="000F39EF"/>
    <w:rsid w:val="000F43FE"/>
    <w:rsid w:val="000F5C0F"/>
    <w:rsid w:val="000F7FF9"/>
    <w:rsid w:val="0010059E"/>
    <w:rsid w:val="0010173D"/>
    <w:rsid w:val="00102802"/>
    <w:rsid w:val="001033BE"/>
    <w:rsid w:val="00107096"/>
    <w:rsid w:val="00110237"/>
    <w:rsid w:val="00111D08"/>
    <w:rsid w:val="0011205F"/>
    <w:rsid w:val="001139A6"/>
    <w:rsid w:val="00113D4A"/>
    <w:rsid w:val="00113F3C"/>
    <w:rsid w:val="00115344"/>
    <w:rsid w:val="001167D9"/>
    <w:rsid w:val="00123196"/>
    <w:rsid w:val="00123378"/>
    <w:rsid w:val="00123634"/>
    <w:rsid w:val="001246E0"/>
    <w:rsid w:val="00125C6A"/>
    <w:rsid w:val="001262A5"/>
    <w:rsid w:val="001317CF"/>
    <w:rsid w:val="00131E99"/>
    <w:rsid w:val="001329EC"/>
    <w:rsid w:val="00134C8C"/>
    <w:rsid w:val="00143689"/>
    <w:rsid w:val="00143A68"/>
    <w:rsid w:val="00144408"/>
    <w:rsid w:val="001446A5"/>
    <w:rsid w:val="00144F94"/>
    <w:rsid w:val="001458FE"/>
    <w:rsid w:val="00145BA6"/>
    <w:rsid w:val="001471AF"/>
    <w:rsid w:val="00150EF3"/>
    <w:rsid w:val="0015229D"/>
    <w:rsid w:val="00153328"/>
    <w:rsid w:val="0015377E"/>
    <w:rsid w:val="00156B19"/>
    <w:rsid w:val="001608BE"/>
    <w:rsid w:val="00162FBC"/>
    <w:rsid w:val="00163309"/>
    <w:rsid w:val="0016375C"/>
    <w:rsid w:val="001654A5"/>
    <w:rsid w:val="00170760"/>
    <w:rsid w:val="0017089E"/>
    <w:rsid w:val="00170B46"/>
    <w:rsid w:val="00171767"/>
    <w:rsid w:val="00173764"/>
    <w:rsid w:val="0017405D"/>
    <w:rsid w:val="001748BA"/>
    <w:rsid w:val="00176531"/>
    <w:rsid w:val="00183DFD"/>
    <w:rsid w:val="00191F59"/>
    <w:rsid w:val="00192DAD"/>
    <w:rsid w:val="00192F75"/>
    <w:rsid w:val="00193B5E"/>
    <w:rsid w:val="00193F19"/>
    <w:rsid w:val="001A3E0D"/>
    <w:rsid w:val="001A3E96"/>
    <w:rsid w:val="001A6181"/>
    <w:rsid w:val="001B39C4"/>
    <w:rsid w:val="001B3C16"/>
    <w:rsid w:val="001C00F9"/>
    <w:rsid w:val="001C067C"/>
    <w:rsid w:val="001C48AA"/>
    <w:rsid w:val="001C51E2"/>
    <w:rsid w:val="001C60EA"/>
    <w:rsid w:val="001C611E"/>
    <w:rsid w:val="001C6D0F"/>
    <w:rsid w:val="001C7F98"/>
    <w:rsid w:val="001D04DB"/>
    <w:rsid w:val="001D0E41"/>
    <w:rsid w:val="001D153D"/>
    <w:rsid w:val="001D19F1"/>
    <w:rsid w:val="001D2DB3"/>
    <w:rsid w:val="001D33BD"/>
    <w:rsid w:val="001D3E45"/>
    <w:rsid w:val="001D4CE8"/>
    <w:rsid w:val="001D79A8"/>
    <w:rsid w:val="001E0E42"/>
    <w:rsid w:val="001E2726"/>
    <w:rsid w:val="001E35BC"/>
    <w:rsid w:val="001E469E"/>
    <w:rsid w:val="001E5245"/>
    <w:rsid w:val="001E6902"/>
    <w:rsid w:val="001E6CBA"/>
    <w:rsid w:val="001F1C35"/>
    <w:rsid w:val="001F20B8"/>
    <w:rsid w:val="001F3354"/>
    <w:rsid w:val="001F7833"/>
    <w:rsid w:val="00201481"/>
    <w:rsid w:val="002020DB"/>
    <w:rsid w:val="00202A01"/>
    <w:rsid w:val="0020435A"/>
    <w:rsid w:val="002056E1"/>
    <w:rsid w:val="00206047"/>
    <w:rsid w:val="002073BD"/>
    <w:rsid w:val="00207B90"/>
    <w:rsid w:val="00210158"/>
    <w:rsid w:val="00210291"/>
    <w:rsid w:val="0021155E"/>
    <w:rsid w:val="002137D4"/>
    <w:rsid w:val="00213F7C"/>
    <w:rsid w:val="0021535A"/>
    <w:rsid w:val="002158D6"/>
    <w:rsid w:val="002206B0"/>
    <w:rsid w:val="002236BC"/>
    <w:rsid w:val="00223C4D"/>
    <w:rsid w:val="00223F01"/>
    <w:rsid w:val="00224E88"/>
    <w:rsid w:val="00226406"/>
    <w:rsid w:val="00232C0A"/>
    <w:rsid w:val="00233EF5"/>
    <w:rsid w:val="002349C3"/>
    <w:rsid w:val="0023771D"/>
    <w:rsid w:val="002404E3"/>
    <w:rsid w:val="00241AB7"/>
    <w:rsid w:val="00241CF7"/>
    <w:rsid w:val="00241DC9"/>
    <w:rsid w:val="00241E9C"/>
    <w:rsid w:val="00242077"/>
    <w:rsid w:val="00244FA4"/>
    <w:rsid w:val="0025050F"/>
    <w:rsid w:val="0025076D"/>
    <w:rsid w:val="0025100A"/>
    <w:rsid w:val="00251AC2"/>
    <w:rsid w:val="002551A1"/>
    <w:rsid w:val="002616ED"/>
    <w:rsid w:val="00263304"/>
    <w:rsid w:val="0026358E"/>
    <w:rsid w:val="00265B05"/>
    <w:rsid w:val="00266561"/>
    <w:rsid w:val="00266D0D"/>
    <w:rsid w:val="00266E0C"/>
    <w:rsid w:val="00266E1A"/>
    <w:rsid w:val="00271105"/>
    <w:rsid w:val="002723FC"/>
    <w:rsid w:val="002726D7"/>
    <w:rsid w:val="00272C42"/>
    <w:rsid w:val="00272D7A"/>
    <w:rsid w:val="00272FAB"/>
    <w:rsid w:val="00273235"/>
    <w:rsid w:val="0027468B"/>
    <w:rsid w:val="00275042"/>
    <w:rsid w:val="00276B9E"/>
    <w:rsid w:val="00277114"/>
    <w:rsid w:val="0028259D"/>
    <w:rsid w:val="00282655"/>
    <w:rsid w:val="00282D8A"/>
    <w:rsid w:val="00282DAE"/>
    <w:rsid w:val="00287105"/>
    <w:rsid w:val="0028754D"/>
    <w:rsid w:val="00291602"/>
    <w:rsid w:val="00292151"/>
    <w:rsid w:val="00292718"/>
    <w:rsid w:val="0029392F"/>
    <w:rsid w:val="00294338"/>
    <w:rsid w:val="002953E0"/>
    <w:rsid w:val="00297583"/>
    <w:rsid w:val="002A2034"/>
    <w:rsid w:val="002A3232"/>
    <w:rsid w:val="002A3B41"/>
    <w:rsid w:val="002A51D6"/>
    <w:rsid w:val="002B12E6"/>
    <w:rsid w:val="002B1329"/>
    <w:rsid w:val="002B7295"/>
    <w:rsid w:val="002B7C26"/>
    <w:rsid w:val="002B7F03"/>
    <w:rsid w:val="002C0B56"/>
    <w:rsid w:val="002C0B93"/>
    <w:rsid w:val="002C0F1B"/>
    <w:rsid w:val="002C2712"/>
    <w:rsid w:val="002C3123"/>
    <w:rsid w:val="002C433C"/>
    <w:rsid w:val="002C4FFE"/>
    <w:rsid w:val="002C5187"/>
    <w:rsid w:val="002C5517"/>
    <w:rsid w:val="002C58B9"/>
    <w:rsid w:val="002D1A9D"/>
    <w:rsid w:val="002D1D66"/>
    <w:rsid w:val="002D2C39"/>
    <w:rsid w:val="002D3092"/>
    <w:rsid w:val="002D3943"/>
    <w:rsid w:val="002D3B2F"/>
    <w:rsid w:val="002D4D2D"/>
    <w:rsid w:val="002D61E1"/>
    <w:rsid w:val="002D6E9B"/>
    <w:rsid w:val="002D7409"/>
    <w:rsid w:val="002E0F88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1EA6"/>
    <w:rsid w:val="003045CF"/>
    <w:rsid w:val="00305113"/>
    <w:rsid w:val="003059C3"/>
    <w:rsid w:val="00305B3F"/>
    <w:rsid w:val="00310511"/>
    <w:rsid w:val="00310654"/>
    <w:rsid w:val="00313AD1"/>
    <w:rsid w:val="00315407"/>
    <w:rsid w:val="00315734"/>
    <w:rsid w:val="00315E74"/>
    <w:rsid w:val="0031648A"/>
    <w:rsid w:val="00316F39"/>
    <w:rsid w:val="0031755E"/>
    <w:rsid w:val="00321C3D"/>
    <w:rsid w:val="00323A55"/>
    <w:rsid w:val="003257BC"/>
    <w:rsid w:val="00325A97"/>
    <w:rsid w:val="00325E98"/>
    <w:rsid w:val="003268D1"/>
    <w:rsid w:val="00327AF0"/>
    <w:rsid w:val="00331B49"/>
    <w:rsid w:val="00331F29"/>
    <w:rsid w:val="00332812"/>
    <w:rsid w:val="00333A1D"/>
    <w:rsid w:val="00333B9B"/>
    <w:rsid w:val="0033460B"/>
    <w:rsid w:val="00334F92"/>
    <w:rsid w:val="0033752D"/>
    <w:rsid w:val="00341F1E"/>
    <w:rsid w:val="00341F7E"/>
    <w:rsid w:val="0034291E"/>
    <w:rsid w:val="00343639"/>
    <w:rsid w:val="00344C5E"/>
    <w:rsid w:val="003456F8"/>
    <w:rsid w:val="00347675"/>
    <w:rsid w:val="00347BD4"/>
    <w:rsid w:val="00347CD5"/>
    <w:rsid w:val="00350B80"/>
    <w:rsid w:val="00351462"/>
    <w:rsid w:val="00352BE2"/>
    <w:rsid w:val="00353E36"/>
    <w:rsid w:val="003554E0"/>
    <w:rsid w:val="00355DBF"/>
    <w:rsid w:val="003563F4"/>
    <w:rsid w:val="003576FF"/>
    <w:rsid w:val="00357F80"/>
    <w:rsid w:val="00362111"/>
    <w:rsid w:val="0036304D"/>
    <w:rsid w:val="003631B2"/>
    <w:rsid w:val="00363764"/>
    <w:rsid w:val="0036462F"/>
    <w:rsid w:val="00364E32"/>
    <w:rsid w:val="003653A3"/>
    <w:rsid w:val="00365753"/>
    <w:rsid w:val="00366C45"/>
    <w:rsid w:val="00367A4B"/>
    <w:rsid w:val="00370768"/>
    <w:rsid w:val="0037397E"/>
    <w:rsid w:val="00375D42"/>
    <w:rsid w:val="003764CF"/>
    <w:rsid w:val="00380A73"/>
    <w:rsid w:val="00382F29"/>
    <w:rsid w:val="00384AF1"/>
    <w:rsid w:val="00384EDE"/>
    <w:rsid w:val="00385A79"/>
    <w:rsid w:val="00386385"/>
    <w:rsid w:val="00386FD8"/>
    <w:rsid w:val="00387555"/>
    <w:rsid w:val="0039006E"/>
    <w:rsid w:val="00391AD2"/>
    <w:rsid w:val="00393B9D"/>
    <w:rsid w:val="00394823"/>
    <w:rsid w:val="003955A0"/>
    <w:rsid w:val="003978DA"/>
    <w:rsid w:val="003A0A46"/>
    <w:rsid w:val="003A106D"/>
    <w:rsid w:val="003A13B4"/>
    <w:rsid w:val="003A25F6"/>
    <w:rsid w:val="003A72AE"/>
    <w:rsid w:val="003A7632"/>
    <w:rsid w:val="003A7E5F"/>
    <w:rsid w:val="003B2F64"/>
    <w:rsid w:val="003B3381"/>
    <w:rsid w:val="003B4A8D"/>
    <w:rsid w:val="003B5D17"/>
    <w:rsid w:val="003B5D7A"/>
    <w:rsid w:val="003B72C4"/>
    <w:rsid w:val="003C2417"/>
    <w:rsid w:val="003C276B"/>
    <w:rsid w:val="003C3404"/>
    <w:rsid w:val="003C48B6"/>
    <w:rsid w:val="003C75E1"/>
    <w:rsid w:val="003D4318"/>
    <w:rsid w:val="003D66C8"/>
    <w:rsid w:val="003E0375"/>
    <w:rsid w:val="003E2D1E"/>
    <w:rsid w:val="003E4422"/>
    <w:rsid w:val="003E44CA"/>
    <w:rsid w:val="003E4FF7"/>
    <w:rsid w:val="003E6B2B"/>
    <w:rsid w:val="003E76C4"/>
    <w:rsid w:val="003F0B23"/>
    <w:rsid w:val="003F1AAC"/>
    <w:rsid w:val="003F1E08"/>
    <w:rsid w:val="003F35EF"/>
    <w:rsid w:val="003F3B35"/>
    <w:rsid w:val="003F470F"/>
    <w:rsid w:val="003F52F6"/>
    <w:rsid w:val="004052B2"/>
    <w:rsid w:val="00405C0C"/>
    <w:rsid w:val="00406018"/>
    <w:rsid w:val="004063A2"/>
    <w:rsid w:val="00412253"/>
    <w:rsid w:val="00413B2C"/>
    <w:rsid w:val="00414C6F"/>
    <w:rsid w:val="00415770"/>
    <w:rsid w:val="00415FC6"/>
    <w:rsid w:val="0041646F"/>
    <w:rsid w:val="0041674A"/>
    <w:rsid w:val="00423B3B"/>
    <w:rsid w:val="004247AF"/>
    <w:rsid w:val="00425913"/>
    <w:rsid w:val="00430270"/>
    <w:rsid w:val="004337BE"/>
    <w:rsid w:val="00434060"/>
    <w:rsid w:val="00434921"/>
    <w:rsid w:val="004350BB"/>
    <w:rsid w:val="00436E44"/>
    <w:rsid w:val="00437569"/>
    <w:rsid w:val="0044012A"/>
    <w:rsid w:val="00440D4A"/>
    <w:rsid w:val="00441D52"/>
    <w:rsid w:val="004420B7"/>
    <w:rsid w:val="00442312"/>
    <w:rsid w:val="00442E37"/>
    <w:rsid w:val="004432F6"/>
    <w:rsid w:val="00446F85"/>
    <w:rsid w:val="004512AA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775E"/>
    <w:rsid w:val="00467895"/>
    <w:rsid w:val="0047038B"/>
    <w:rsid w:val="00470740"/>
    <w:rsid w:val="00470D92"/>
    <w:rsid w:val="0047196C"/>
    <w:rsid w:val="0047354E"/>
    <w:rsid w:val="004742CA"/>
    <w:rsid w:val="004752D9"/>
    <w:rsid w:val="00475510"/>
    <w:rsid w:val="0047586E"/>
    <w:rsid w:val="00477127"/>
    <w:rsid w:val="00477873"/>
    <w:rsid w:val="00480E9D"/>
    <w:rsid w:val="00481D22"/>
    <w:rsid w:val="00483720"/>
    <w:rsid w:val="0048588A"/>
    <w:rsid w:val="00490397"/>
    <w:rsid w:val="00490692"/>
    <w:rsid w:val="00490EB3"/>
    <w:rsid w:val="004952D7"/>
    <w:rsid w:val="004955F7"/>
    <w:rsid w:val="00495941"/>
    <w:rsid w:val="00496108"/>
    <w:rsid w:val="004971EA"/>
    <w:rsid w:val="004A07FF"/>
    <w:rsid w:val="004A0830"/>
    <w:rsid w:val="004A0E05"/>
    <w:rsid w:val="004A11C7"/>
    <w:rsid w:val="004A18D7"/>
    <w:rsid w:val="004A1B26"/>
    <w:rsid w:val="004A1BFD"/>
    <w:rsid w:val="004A31D4"/>
    <w:rsid w:val="004A5489"/>
    <w:rsid w:val="004B3935"/>
    <w:rsid w:val="004B447F"/>
    <w:rsid w:val="004B4909"/>
    <w:rsid w:val="004B7ACD"/>
    <w:rsid w:val="004C17CB"/>
    <w:rsid w:val="004C1F06"/>
    <w:rsid w:val="004C2236"/>
    <w:rsid w:val="004C285E"/>
    <w:rsid w:val="004C6784"/>
    <w:rsid w:val="004C679F"/>
    <w:rsid w:val="004D0248"/>
    <w:rsid w:val="004D0BDF"/>
    <w:rsid w:val="004D3A0B"/>
    <w:rsid w:val="004D469E"/>
    <w:rsid w:val="004D4B67"/>
    <w:rsid w:val="004D5883"/>
    <w:rsid w:val="004E003D"/>
    <w:rsid w:val="004E3720"/>
    <w:rsid w:val="004E4BBD"/>
    <w:rsid w:val="004E5018"/>
    <w:rsid w:val="004E5EFE"/>
    <w:rsid w:val="004F0578"/>
    <w:rsid w:val="004F064A"/>
    <w:rsid w:val="004F0C29"/>
    <w:rsid w:val="004F0FD3"/>
    <w:rsid w:val="004F1688"/>
    <w:rsid w:val="004F3FEB"/>
    <w:rsid w:val="004F58E5"/>
    <w:rsid w:val="004F69B2"/>
    <w:rsid w:val="004F751C"/>
    <w:rsid w:val="005014CD"/>
    <w:rsid w:val="00501793"/>
    <w:rsid w:val="00505B7D"/>
    <w:rsid w:val="00505BFD"/>
    <w:rsid w:val="00510AA1"/>
    <w:rsid w:val="00511D86"/>
    <w:rsid w:val="00511E6F"/>
    <w:rsid w:val="00512868"/>
    <w:rsid w:val="00512879"/>
    <w:rsid w:val="00514990"/>
    <w:rsid w:val="00517170"/>
    <w:rsid w:val="005203E7"/>
    <w:rsid w:val="005204CB"/>
    <w:rsid w:val="00520DE3"/>
    <w:rsid w:val="00521D99"/>
    <w:rsid w:val="00522C6E"/>
    <w:rsid w:val="00524F37"/>
    <w:rsid w:val="005256C7"/>
    <w:rsid w:val="00525952"/>
    <w:rsid w:val="00525AEA"/>
    <w:rsid w:val="00525FA8"/>
    <w:rsid w:val="005272D8"/>
    <w:rsid w:val="00530B7D"/>
    <w:rsid w:val="00530BB4"/>
    <w:rsid w:val="00530FB0"/>
    <w:rsid w:val="00531550"/>
    <w:rsid w:val="00531EA2"/>
    <w:rsid w:val="005320A9"/>
    <w:rsid w:val="00532D90"/>
    <w:rsid w:val="00533D48"/>
    <w:rsid w:val="005341D8"/>
    <w:rsid w:val="005419E9"/>
    <w:rsid w:val="00541AF9"/>
    <w:rsid w:val="00541DC9"/>
    <w:rsid w:val="00542475"/>
    <w:rsid w:val="005440CF"/>
    <w:rsid w:val="00550ABA"/>
    <w:rsid w:val="00550C9C"/>
    <w:rsid w:val="005516A8"/>
    <w:rsid w:val="00552A16"/>
    <w:rsid w:val="00553691"/>
    <w:rsid w:val="00560786"/>
    <w:rsid w:val="0056133B"/>
    <w:rsid w:val="005614F9"/>
    <w:rsid w:val="0056268F"/>
    <w:rsid w:val="00563BF8"/>
    <w:rsid w:val="0056476B"/>
    <w:rsid w:val="00565187"/>
    <w:rsid w:val="00565C3C"/>
    <w:rsid w:val="0057085B"/>
    <w:rsid w:val="00570C6B"/>
    <w:rsid w:val="00572C27"/>
    <w:rsid w:val="00572DF6"/>
    <w:rsid w:val="00573141"/>
    <w:rsid w:val="00573388"/>
    <w:rsid w:val="00573AB6"/>
    <w:rsid w:val="005751E5"/>
    <w:rsid w:val="00577D77"/>
    <w:rsid w:val="00580725"/>
    <w:rsid w:val="0058232D"/>
    <w:rsid w:val="00586657"/>
    <w:rsid w:val="005869A8"/>
    <w:rsid w:val="00586FDE"/>
    <w:rsid w:val="00587C9B"/>
    <w:rsid w:val="00590653"/>
    <w:rsid w:val="00590E5A"/>
    <w:rsid w:val="00591F4E"/>
    <w:rsid w:val="005932A0"/>
    <w:rsid w:val="005940D1"/>
    <w:rsid w:val="00594E34"/>
    <w:rsid w:val="005A2BB7"/>
    <w:rsid w:val="005A3A8D"/>
    <w:rsid w:val="005A4ADA"/>
    <w:rsid w:val="005A6F2F"/>
    <w:rsid w:val="005B0CBF"/>
    <w:rsid w:val="005B0FDD"/>
    <w:rsid w:val="005B1626"/>
    <w:rsid w:val="005B283E"/>
    <w:rsid w:val="005B2FB4"/>
    <w:rsid w:val="005B3A18"/>
    <w:rsid w:val="005B41AA"/>
    <w:rsid w:val="005B4E45"/>
    <w:rsid w:val="005B4F61"/>
    <w:rsid w:val="005B57EF"/>
    <w:rsid w:val="005B5EC9"/>
    <w:rsid w:val="005B678F"/>
    <w:rsid w:val="005B7A0D"/>
    <w:rsid w:val="005C110E"/>
    <w:rsid w:val="005C387E"/>
    <w:rsid w:val="005C455A"/>
    <w:rsid w:val="005C5968"/>
    <w:rsid w:val="005C726D"/>
    <w:rsid w:val="005C7593"/>
    <w:rsid w:val="005C7707"/>
    <w:rsid w:val="005D0B90"/>
    <w:rsid w:val="005D133C"/>
    <w:rsid w:val="005D33D4"/>
    <w:rsid w:val="005D5CF2"/>
    <w:rsid w:val="005D7FCA"/>
    <w:rsid w:val="005E1232"/>
    <w:rsid w:val="005E485F"/>
    <w:rsid w:val="005E548F"/>
    <w:rsid w:val="005F26F4"/>
    <w:rsid w:val="005F7B05"/>
    <w:rsid w:val="006002AA"/>
    <w:rsid w:val="006007E1"/>
    <w:rsid w:val="006032BF"/>
    <w:rsid w:val="00605C92"/>
    <w:rsid w:val="00606191"/>
    <w:rsid w:val="006068C6"/>
    <w:rsid w:val="00606B8C"/>
    <w:rsid w:val="00611C67"/>
    <w:rsid w:val="00614076"/>
    <w:rsid w:val="0061416D"/>
    <w:rsid w:val="00614E5A"/>
    <w:rsid w:val="00616235"/>
    <w:rsid w:val="00617A65"/>
    <w:rsid w:val="00617D4B"/>
    <w:rsid w:val="00620244"/>
    <w:rsid w:val="00620B8A"/>
    <w:rsid w:val="00621D5A"/>
    <w:rsid w:val="0062275E"/>
    <w:rsid w:val="0062554E"/>
    <w:rsid w:val="006258B1"/>
    <w:rsid w:val="00630230"/>
    <w:rsid w:val="00630E03"/>
    <w:rsid w:val="00631233"/>
    <w:rsid w:val="0063197E"/>
    <w:rsid w:val="00633A2F"/>
    <w:rsid w:val="006342E2"/>
    <w:rsid w:val="00636EB6"/>
    <w:rsid w:val="00640B8B"/>
    <w:rsid w:val="006414FA"/>
    <w:rsid w:val="00642B24"/>
    <w:rsid w:val="00643E28"/>
    <w:rsid w:val="0064462F"/>
    <w:rsid w:val="00645153"/>
    <w:rsid w:val="00646223"/>
    <w:rsid w:val="00646F8C"/>
    <w:rsid w:val="00650304"/>
    <w:rsid w:val="00650FCC"/>
    <w:rsid w:val="00652002"/>
    <w:rsid w:val="00652695"/>
    <w:rsid w:val="006529FA"/>
    <w:rsid w:val="00653501"/>
    <w:rsid w:val="006535F8"/>
    <w:rsid w:val="00653B45"/>
    <w:rsid w:val="0065498E"/>
    <w:rsid w:val="00657085"/>
    <w:rsid w:val="00660E10"/>
    <w:rsid w:val="006638E0"/>
    <w:rsid w:val="00663B7B"/>
    <w:rsid w:val="00663CB0"/>
    <w:rsid w:val="00663DAE"/>
    <w:rsid w:val="006640FF"/>
    <w:rsid w:val="00666CF5"/>
    <w:rsid w:val="00667145"/>
    <w:rsid w:val="006673BB"/>
    <w:rsid w:val="00670AD9"/>
    <w:rsid w:val="00670C35"/>
    <w:rsid w:val="006713C2"/>
    <w:rsid w:val="00671713"/>
    <w:rsid w:val="00673AE4"/>
    <w:rsid w:val="0067402D"/>
    <w:rsid w:val="00675E56"/>
    <w:rsid w:val="0067632C"/>
    <w:rsid w:val="00677A85"/>
    <w:rsid w:val="006805A5"/>
    <w:rsid w:val="006807B1"/>
    <w:rsid w:val="00680B51"/>
    <w:rsid w:val="006821E3"/>
    <w:rsid w:val="0068386F"/>
    <w:rsid w:val="00683FFA"/>
    <w:rsid w:val="0068552E"/>
    <w:rsid w:val="00687427"/>
    <w:rsid w:val="00687C90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46FB"/>
    <w:rsid w:val="006A4CFB"/>
    <w:rsid w:val="006A52B4"/>
    <w:rsid w:val="006A71A2"/>
    <w:rsid w:val="006A7D1E"/>
    <w:rsid w:val="006B2505"/>
    <w:rsid w:val="006B4075"/>
    <w:rsid w:val="006B5E7A"/>
    <w:rsid w:val="006B6817"/>
    <w:rsid w:val="006B6956"/>
    <w:rsid w:val="006C09E3"/>
    <w:rsid w:val="006C0EFE"/>
    <w:rsid w:val="006C1110"/>
    <w:rsid w:val="006C15D9"/>
    <w:rsid w:val="006C2CFA"/>
    <w:rsid w:val="006C41FF"/>
    <w:rsid w:val="006C4E62"/>
    <w:rsid w:val="006C514B"/>
    <w:rsid w:val="006D165F"/>
    <w:rsid w:val="006D30E8"/>
    <w:rsid w:val="006D3E4C"/>
    <w:rsid w:val="006D3EB8"/>
    <w:rsid w:val="006D502F"/>
    <w:rsid w:val="006D5067"/>
    <w:rsid w:val="006D549D"/>
    <w:rsid w:val="006D5AAC"/>
    <w:rsid w:val="006E031B"/>
    <w:rsid w:val="006E0BE5"/>
    <w:rsid w:val="006E14D4"/>
    <w:rsid w:val="006E19A5"/>
    <w:rsid w:val="006E1E2F"/>
    <w:rsid w:val="006E1EA3"/>
    <w:rsid w:val="006E265E"/>
    <w:rsid w:val="006E27FD"/>
    <w:rsid w:val="006E3A2A"/>
    <w:rsid w:val="006E3EA3"/>
    <w:rsid w:val="006E4DAD"/>
    <w:rsid w:val="006E6CC2"/>
    <w:rsid w:val="006E7074"/>
    <w:rsid w:val="006E7463"/>
    <w:rsid w:val="006E7D1F"/>
    <w:rsid w:val="006F0C20"/>
    <w:rsid w:val="006F39C8"/>
    <w:rsid w:val="006F41BB"/>
    <w:rsid w:val="006F5C05"/>
    <w:rsid w:val="006F5E1D"/>
    <w:rsid w:val="006F5E63"/>
    <w:rsid w:val="006F6ADA"/>
    <w:rsid w:val="006F707F"/>
    <w:rsid w:val="00701CC2"/>
    <w:rsid w:val="007027C3"/>
    <w:rsid w:val="0070382E"/>
    <w:rsid w:val="00704AF2"/>
    <w:rsid w:val="00704F88"/>
    <w:rsid w:val="0070621C"/>
    <w:rsid w:val="00706682"/>
    <w:rsid w:val="00707993"/>
    <w:rsid w:val="0071123A"/>
    <w:rsid w:val="00711E25"/>
    <w:rsid w:val="0071252F"/>
    <w:rsid w:val="00712A2C"/>
    <w:rsid w:val="007138CC"/>
    <w:rsid w:val="0071439B"/>
    <w:rsid w:val="007204A2"/>
    <w:rsid w:val="00720BA2"/>
    <w:rsid w:val="0072122E"/>
    <w:rsid w:val="00723351"/>
    <w:rsid w:val="00723B85"/>
    <w:rsid w:val="007250A2"/>
    <w:rsid w:val="007257B8"/>
    <w:rsid w:val="007260E1"/>
    <w:rsid w:val="00727341"/>
    <w:rsid w:val="00727A83"/>
    <w:rsid w:val="00727B49"/>
    <w:rsid w:val="00730E03"/>
    <w:rsid w:val="0073174A"/>
    <w:rsid w:val="007333BE"/>
    <w:rsid w:val="007335A8"/>
    <w:rsid w:val="00737013"/>
    <w:rsid w:val="0073764E"/>
    <w:rsid w:val="00737DDD"/>
    <w:rsid w:val="00741123"/>
    <w:rsid w:val="00743430"/>
    <w:rsid w:val="00744544"/>
    <w:rsid w:val="00750239"/>
    <w:rsid w:val="0075099D"/>
    <w:rsid w:val="00751807"/>
    <w:rsid w:val="0075219A"/>
    <w:rsid w:val="007537ED"/>
    <w:rsid w:val="00754B1B"/>
    <w:rsid w:val="00754F30"/>
    <w:rsid w:val="00756B84"/>
    <w:rsid w:val="00757A75"/>
    <w:rsid w:val="00760136"/>
    <w:rsid w:val="00760496"/>
    <w:rsid w:val="0076053B"/>
    <w:rsid w:val="0076327B"/>
    <w:rsid w:val="00763FB0"/>
    <w:rsid w:val="0077041A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0C2C"/>
    <w:rsid w:val="0078579B"/>
    <w:rsid w:val="007866FF"/>
    <w:rsid w:val="0078737D"/>
    <w:rsid w:val="00790464"/>
    <w:rsid w:val="00792F39"/>
    <w:rsid w:val="007939B6"/>
    <w:rsid w:val="00794F61"/>
    <w:rsid w:val="007964C7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3D92"/>
    <w:rsid w:val="007C5420"/>
    <w:rsid w:val="007D1008"/>
    <w:rsid w:val="007D1505"/>
    <w:rsid w:val="007D1B67"/>
    <w:rsid w:val="007D2672"/>
    <w:rsid w:val="007D315D"/>
    <w:rsid w:val="007D4B6B"/>
    <w:rsid w:val="007D62DC"/>
    <w:rsid w:val="007D714C"/>
    <w:rsid w:val="007D7930"/>
    <w:rsid w:val="007E0965"/>
    <w:rsid w:val="007E0BA2"/>
    <w:rsid w:val="007E312F"/>
    <w:rsid w:val="007E45BB"/>
    <w:rsid w:val="007E5E04"/>
    <w:rsid w:val="007E728E"/>
    <w:rsid w:val="007E784C"/>
    <w:rsid w:val="007F130A"/>
    <w:rsid w:val="007F2BD9"/>
    <w:rsid w:val="007F3912"/>
    <w:rsid w:val="007F3D4F"/>
    <w:rsid w:val="007F46C8"/>
    <w:rsid w:val="007F5D18"/>
    <w:rsid w:val="007F7C88"/>
    <w:rsid w:val="00802069"/>
    <w:rsid w:val="008025DC"/>
    <w:rsid w:val="00802970"/>
    <w:rsid w:val="00802B47"/>
    <w:rsid w:val="00802D51"/>
    <w:rsid w:val="00803C62"/>
    <w:rsid w:val="00804056"/>
    <w:rsid w:val="00804BDB"/>
    <w:rsid w:val="00806EC8"/>
    <w:rsid w:val="008105B4"/>
    <w:rsid w:val="00812D5B"/>
    <w:rsid w:val="00813C6C"/>
    <w:rsid w:val="00814CE9"/>
    <w:rsid w:val="00815D73"/>
    <w:rsid w:val="00815EBF"/>
    <w:rsid w:val="00816569"/>
    <w:rsid w:val="008176D9"/>
    <w:rsid w:val="00821721"/>
    <w:rsid w:val="00823FD5"/>
    <w:rsid w:val="008246EF"/>
    <w:rsid w:val="00824CD0"/>
    <w:rsid w:val="00825BCB"/>
    <w:rsid w:val="0082609D"/>
    <w:rsid w:val="0082651A"/>
    <w:rsid w:val="008268DC"/>
    <w:rsid w:val="008270A6"/>
    <w:rsid w:val="00827BB7"/>
    <w:rsid w:val="0083089C"/>
    <w:rsid w:val="00830CA8"/>
    <w:rsid w:val="00831276"/>
    <w:rsid w:val="00831988"/>
    <w:rsid w:val="00832233"/>
    <w:rsid w:val="00832BDC"/>
    <w:rsid w:val="0083364D"/>
    <w:rsid w:val="008340F1"/>
    <w:rsid w:val="0083420C"/>
    <w:rsid w:val="00834A4A"/>
    <w:rsid w:val="0083539A"/>
    <w:rsid w:val="0083564F"/>
    <w:rsid w:val="008356C6"/>
    <w:rsid w:val="00835BAF"/>
    <w:rsid w:val="0083673F"/>
    <w:rsid w:val="008403E5"/>
    <w:rsid w:val="008409F8"/>
    <w:rsid w:val="008426A9"/>
    <w:rsid w:val="00844028"/>
    <w:rsid w:val="00844290"/>
    <w:rsid w:val="0084493B"/>
    <w:rsid w:val="00845D51"/>
    <w:rsid w:val="00845E94"/>
    <w:rsid w:val="008469EE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624D0"/>
    <w:rsid w:val="00864979"/>
    <w:rsid w:val="00864FF7"/>
    <w:rsid w:val="00865069"/>
    <w:rsid w:val="00867113"/>
    <w:rsid w:val="00867AEB"/>
    <w:rsid w:val="008775A4"/>
    <w:rsid w:val="00881122"/>
    <w:rsid w:val="00881AF4"/>
    <w:rsid w:val="00882430"/>
    <w:rsid w:val="00882476"/>
    <w:rsid w:val="008834FE"/>
    <w:rsid w:val="00883BC1"/>
    <w:rsid w:val="00884AE7"/>
    <w:rsid w:val="0088673B"/>
    <w:rsid w:val="008878B8"/>
    <w:rsid w:val="00890405"/>
    <w:rsid w:val="008920DC"/>
    <w:rsid w:val="008956D1"/>
    <w:rsid w:val="008957EF"/>
    <w:rsid w:val="008972B2"/>
    <w:rsid w:val="008976A1"/>
    <w:rsid w:val="008A0E25"/>
    <w:rsid w:val="008A1766"/>
    <w:rsid w:val="008A5B0F"/>
    <w:rsid w:val="008A639D"/>
    <w:rsid w:val="008A7AFF"/>
    <w:rsid w:val="008B1F09"/>
    <w:rsid w:val="008B2BA7"/>
    <w:rsid w:val="008B3494"/>
    <w:rsid w:val="008B505C"/>
    <w:rsid w:val="008B7022"/>
    <w:rsid w:val="008B7198"/>
    <w:rsid w:val="008C08BA"/>
    <w:rsid w:val="008C0A82"/>
    <w:rsid w:val="008C2356"/>
    <w:rsid w:val="008C29D7"/>
    <w:rsid w:val="008C4980"/>
    <w:rsid w:val="008C4A1C"/>
    <w:rsid w:val="008C5798"/>
    <w:rsid w:val="008D06CB"/>
    <w:rsid w:val="008D2BDD"/>
    <w:rsid w:val="008D2CD5"/>
    <w:rsid w:val="008D2EE7"/>
    <w:rsid w:val="008D33F8"/>
    <w:rsid w:val="008D4BC6"/>
    <w:rsid w:val="008D4E8C"/>
    <w:rsid w:val="008E1615"/>
    <w:rsid w:val="008E4235"/>
    <w:rsid w:val="008E4AD4"/>
    <w:rsid w:val="008F0D6A"/>
    <w:rsid w:val="008F1906"/>
    <w:rsid w:val="008F1B08"/>
    <w:rsid w:val="008F2550"/>
    <w:rsid w:val="008F2E54"/>
    <w:rsid w:val="008F3B48"/>
    <w:rsid w:val="008F4A94"/>
    <w:rsid w:val="008F52F1"/>
    <w:rsid w:val="008F6563"/>
    <w:rsid w:val="008F6975"/>
    <w:rsid w:val="008F72C4"/>
    <w:rsid w:val="008F766D"/>
    <w:rsid w:val="00900A5F"/>
    <w:rsid w:val="00902865"/>
    <w:rsid w:val="00902D10"/>
    <w:rsid w:val="00904E80"/>
    <w:rsid w:val="0090623C"/>
    <w:rsid w:val="00906DD1"/>
    <w:rsid w:val="00912AE4"/>
    <w:rsid w:val="00914310"/>
    <w:rsid w:val="00916F07"/>
    <w:rsid w:val="009171F5"/>
    <w:rsid w:val="00917BA0"/>
    <w:rsid w:val="00917D94"/>
    <w:rsid w:val="00920382"/>
    <w:rsid w:val="00920E58"/>
    <w:rsid w:val="00921057"/>
    <w:rsid w:val="00921E42"/>
    <w:rsid w:val="009221E2"/>
    <w:rsid w:val="00923A38"/>
    <w:rsid w:val="00924122"/>
    <w:rsid w:val="009241E0"/>
    <w:rsid w:val="00924583"/>
    <w:rsid w:val="00924DF0"/>
    <w:rsid w:val="009265E3"/>
    <w:rsid w:val="009269CC"/>
    <w:rsid w:val="00930CCE"/>
    <w:rsid w:val="00931A17"/>
    <w:rsid w:val="00933206"/>
    <w:rsid w:val="00934C1A"/>
    <w:rsid w:val="009353AC"/>
    <w:rsid w:val="009360C0"/>
    <w:rsid w:val="00936208"/>
    <w:rsid w:val="0093653B"/>
    <w:rsid w:val="00936FF7"/>
    <w:rsid w:val="00937550"/>
    <w:rsid w:val="00945596"/>
    <w:rsid w:val="00946D07"/>
    <w:rsid w:val="00947084"/>
    <w:rsid w:val="00947FBD"/>
    <w:rsid w:val="00952489"/>
    <w:rsid w:val="00954B63"/>
    <w:rsid w:val="00956111"/>
    <w:rsid w:val="0095655A"/>
    <w:rsid w:val="00957526"/>
    <w:rsid w:val="00957D24"/>
    <w:rsid w:val="0096002A"/>
    <w:rsid w:val="0096003B"/>
    <w:rsid w:val="009630B4"/>
    <w:rsid w:val="009631A8"/>
    <w:rsid w:val="009650B3"/>
    <w:rsid w:val="009652BF"/>
    <w:rsid w:val="00965964"/>
    <w:rsid w:val="0097162D"/>
    <w:rsid w:val="009722DB"/>
    <w:rsid w:val="00972A01"/>
    <w:rsid w:val="00973B94"/>
    <w:rsid w:val="00975859"/>
    <w:rsid w:val="00976F80"/>
    <w:rsid w:val="009805F2"/>
    <w:rsid w:val="00981A5E"/>
    <w:rsid w:val="0098563F"/>
    <w:rsid w:val="00986052"/>
    <w:rsid w:val="00987C74"/>
    <w:rsid w:val="009905E7"/>
    <w:rsid w:val="00995DD9"/>
    <w:rsid w:val="00996FA7"/>
    <w:rsid w:val="009A14D2"/>
    <w:rsid w:val="009A1C97"/>
    <w:rsid w:val="009A2DA3"/>
    <w:rsid w:val="009A3ADF"/>
    <w:rsid w:val="009A662A"/>
    <w:rsid w:val="009A6C03"/>
    <w:rsid w:val="009A7BFF"/>
    <w:rsid w:val="009A7F2E"/>
    <w:rsid w:val="009B0C1D"/>
    <w:rsid w:val="009B2E68"/>
    <w:rsid w:val="009B32CB"/>
    <w:rsid w:val="009B43B7"/>
    <w:rsid w:val="009B5897"/>
    <w:rsid w:val="009B5BF8"/>
    <w:rsid w:val="009C18B3"/>
    <w:rsid w:val="009C1A22"/>
    <w:rsid w:val="009C2C3C"/>
    <w:rsid w:val="009C4BF1"/>
    <w:rsid w:val="009C7037"/>
    <w:rsid w:val="009C7943"/>
    <w:rsid w:val="009D1A5C"/>
    <w:rsid w:val="009D4F4F"/>
    <w:rsid w:val="009D5F17"/>
    <w:rsid w:val="009D6E1C"/>
    <w:rsid w:val="009D7351"/>
    <w:rsid w:val="009D73B8"/>
    <w:rsid w:val="009D7945"/>
    <w:rsid w:val="009E090D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2842"/>
    <w:rsid w:val="009F2CAA"/>
    <w:rsid w:val="009F2F35"/>
    <w:rsid w:val="009F4B17"/>
    <w:rsid w:val="009F4C61"/>
    <w:rsid w:val="009F5340"/>
    <w:rsid w:val="009F5683"/>
    <w:rsid w:val="009F691A"/>
    <w:rsid w:val="009F6B11"/>
    <w:rsid w:val="00A04DE3"/>
    <w:rsid w:val="00A04E54"/>
    <w:rsid w:val="00A05DF8"/>
    <w:rsid w:val="00A061EB"/>
    <w:rsid w:val="00A0698F"/>
    <w:rsid w:val="00A12E53"/>
    <w:rsid w:val="00A13DFC"/>
    <w:rsid w:val="00A16B16"/>
    <w:rsid w:val="00A21946"/>
    <w:rsid w:val="00A237FB"/>
    <w:rsid w:val="00A23E03"/>
    <w:rsid w:val="00A27978"/>
    <w:rsid w:val="00A27DA6"/>
    <w:rsid w:val="00A30449"/>
    <w:rsid w:val="00A31873"/>
    <w:rsid w:val="00A3297D"/>
    <w:rsid w:val="00A35B4A"/>
    <w:rsid w:val="00A364A1"/>
    <w:rsid w:val="00A36649"/>
    <w:rsid w:val="00A36D32"/>
    <w:rsid w:val="00A401BC"/>
    <w:rsid w:val="00A40F25"/>
    <w:rsid w:val="00A44F7D"/>
    <w:rsid w:val="00A460DA"/>
    <w:rsid w:val="00A470BC"/>
    <w:rsid w:val="00A50C7C"/>
    <w:rsid w:val="00A527F6"/>
    <w:rsid w:val="00A545A7"/>
    <w:rsid w:val="00A561C1"/>
    <w:rsid w:val="00A570D9"/>
    <w:rsid w:val="00A579AC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3568"/>
    <w:rsid w:val="00A76386"/>
    <w:rsid w:val="00A7781C"/>
    <w:rsid w:val="00A8006F"/>
    <w:rsid w:val="00A82A30"/>
    <w:rsid w:val="00A853FB"/>
    <w:rsid w:val="00A8572E"/>
    <w:rsid w:val="00A86DA7"/>
    <w:rsid w:val="00A87DF7"/>
    <w:rsid w:val="00A919A4"/>
    <w:rsid w:val="00A91E49"/>
    <w:rsid w:val="00A9205A"/>
    <w:rsid w:val="00A93EF9"/>
    <w:rsid w:val="00A96450"/>
    <w:rsid w:val="00A96809"/>
    <w:rsid w:val="00AA01C9"/>
    <w:rsid w:val="00AA2509"/>
    <w:rsid w:val="00AA2A57"/>
    <w:rsid w:val="00AA5409"/>
    <w:rsid w:val="00AA5738"/>
    <w:rsid w:val="00AB0720"/>
    <w:rsid w:val="00AB0DA6"/>
    <w:rsid w:val="00AB0FBF"/>
    <w:rsid w:val="00AB114B"/>
    <w:rsid w:val="00AB4190"/>
    <w:rsid w:val="00AB4309"/>
    <w:rsid w:val="00AB46CD"/>
    <w:rsid w:val="00AB51F3"/>
    <w:rsid w:val="00AB5A9E"/>
    <w:rsid w:val="00AC18D7"/>
    <w:rsid w:val="00AC2611"/>
    <w:rsid w:val="00AC2E6A"/>
    <w:rsid w:val="00AC5221"/>
    <w:rsid w:val="00AD05A6"/>
    <w:rsid w:val="00AD2810"/>
    <w:rsid w:val="00AD3255"/>
    <w:rsid w:val="00AD436F"/>
    <w:rsid w:val="00AD48FB"/>
    <w:rsid w:val="00AD5FFC"/>
    <w:rsid w:val="00AE0F77"/>
    <w:rsid w:val="00AE4C5E"/>
    <w:rsid w:val="00AE52B8"/>
    <w:rsid w:val="00AE52E4"/>
    <w:rsid w:val="00AE6DD3"/>
    <w:rsid w:val="00AE7BCB"/>
    <w:rsid w:val="00AE7C72"/>
    <w:rsid w:val="00AF0726"/>
    <w:rsid w:val="00AF1FBF"/>
    <w:rsid w:val="00AF24B2"/>
    <w:rsid w:val="00AF262F"/>
    <w:rsid w:val="00AF404A"/>
    <w:rsid w:val="00AF529C"/>
    <w:rsid w:val="00AF5345"/>
    <w:rsid w:val="00AF5B03"/>
    <w:rsid w:val="00AF60B7"/>
    <w:rsid w:val="00AF6AB3"/>
    <w:rsid w:val="00B01613"/>
    <w:rsid w:val="00B02E3C"/>
    <w:rsid w:val="00B03791"/>
    <w:rsid w:val="00B047F1"/>
    <w:rsid w:val="00B051CC"/>
    <w:rsid w:val="00B05844"/>
    <w:rsid w:val="00B06745"/>
    <w:rsid w:val="00B07636"/>
    <w:rsid w:val="00B105BD"/>
    <w:rsid w:val="00B11C7D"/>
    <w:rsid w:val="00B11ED7"/>
    <w:rsid w:val="00B12B60"/>
    <w:rsid w:val="00B15995"/>
    <w:rsid w:val="00B16885"/>
    <w:rsid w:val="00B179E4"/>
    <w:rsid w:val="00B17FF8"/>
    <w:rsid w:val="00B20543"/>
    <w:rsid w:val="00B20B9D"/>
    <w:rsid w:val="00B20DA5"/>
    <w:rsid w:val="00B210AD"/>
    <w:rsid w:val="00B221CD"/>
    <w:rsid w:val="00B22FEF"/>
    <w:rsid w:val="00B235F7"/>
    <w:rsid w:val="00B2374C"/>
    <w:rsid w:val="00B242B8"/>
    <w:rsid w:val="00B24831"/>
    <w:rsid w:val="00B25A1C"/>
    <w:rsid w:val="00B265A5"/>
    <w:rsid w:val="00B30840"/>
    <w:rsid w:val="00B30A72"/>
    <w:rsid w:val="00B30CF7"/>
    <w:rsid w:val="00B30F3E"/>
    <w:rsid w:val="00B3280B"/>
    <w:rsid w:val="00B34570"/>
    <w:rsid w:val="00B365C9"/>
    <w:rsid w:val="00B36A4E"/>
    <w:rsid w:val="00B375D7"/>
    <w:rsid w:val="00B40BD6"/>
    <w:rsid w:val="00B41F38"/>
    <w:rsid w:val="00B42671"/>
    <w:rsid w:val="00B42F3A"/>
    <w:rsid w:val="00B43AA7"/>
    <w:rsid w:val="00B43BAA"/>
    <w:rsid w:val="00B4496C"/>
    <w:rsid w:val="00B46F5D"/>
    <w:rsid w:val="00B510D1"/>
    <w:rsid w:val="00B516F4"/>
    <w:rsid w:val="00B52090"/>
    <w:rsid w:val="00B52F5B"/>
    <w:rsid w:val="00B53695"/>
    <w:rsid w:val="00B549A7"/>
    <w:rsid w:val="00B6021A"/>
    <w:rsid w:val="00B61CD8"/>
    <w:rsid w:val="00B6245E"/>
    <w:rsid w:val="00B63F07"/>
    <w:rsid w:val="00B63F8B"/>
    <w:rsid w:val="00B64FD7"/>
    <w:rsid w:val="00B65FD9"/>
    <w:rsid w:val="00B6634F"/>
    <w:rsid w:val="00B67FDC"/>
    <w:rsid w:val="00B708CF"/>
    <w:rsid w:val="00B71781"/>
    <w:rsid w:val="00B7222E"/>
    <w:rsid w:val="00B7336C"/>
    <w:rsid w:val="00B73AD6"/>
    <w:rsid w:val="00B745E2"/>
    <w:rsid w:val="00B7548C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5161"/>
    <w:rsid w:val="00B860F7"/>
    <w:rsid w:val="00B87617"/>
    <w:rsid w:val="00B92522"/>
    <w:rsid w:val="00B92684"/>
    <w:rsid w:val="00B95065"/>
    <w:rsid w:val="00B96E93"/>
    <w:rsid w:val="00B96EBE"/>
    <w:rsid w:val="00B971AE"/>
    <w:rsid w:val="00B97AE8"/>
    <w:rsid w:val="00B97F40"/>
    <w:rsid w:val="00BA0ADF"/>
    <w:rsid w:val="00BA0B8A"/>
    <w:rsid w:val="00BA2289"/>
    <w:rsid w:val="00BA3745"/>
    <w:rsid w:val="00BA58A0"/>
    <w:rsid w:val="00BA7C24"/>
    <w:rsid w:val="00BA7DD7"/>
    <w:rsid w:val="00BB01C4"/>
    <w:rsid w:val="00BB1DDF"/>
    <w:rsid w:val="00BB1F05"/>
    <w:rsid w:val="00BB2C30"/>
    <w:rsid w:val="00BB4665"/>
    <w:rsid w:val="00BB4A4E"/>
    <w:rsid w:val="00BB5D12"/>
    <w:rsid w:val="00BB6339"/>
    <w:rsid w:val="00BC0981"/>
    <w:rsid w:val="00BC1CC8"/>
    <w:rsid w:val="00BC2D7C"/>
    <w:rsid w:val="00BC48CD"/>
    <w:rsid w:val="00BD1BA8"/>
    <w:rsid w:val="00BD3529"/>
    <w:rsid w:val="00BD77CC"/>
    <w:rsid w:val="00BE0898"/>
    <w:rsid w:val="00BE0CE0"/>
    <w:rsid w:val="00BE1D03"/>
    <w:rsid w:val="00BE3538"/>
    <w:rsid w:val="00BE4166"/>
    <w:rsid w:val="00BE4EA8"/>
    <w:rsid w:val="00BE56ED"/>
    <w:rsid w:val="00BE684C"/>
    <w:rsid w:val="00BE77A5"/>
    <w:rsid w:val="00BF06C7"/>
    <w:rsid w:val="00BF158F"/>
    <w:rsid w:val="00BF16AA"/>
    <w:rsid w:val="00BF4B71"/>
    <w:rsid w:val="00BF4D87"/>
    <w:rsid w:val="00BF5106"/>
    <w:rsid w:val="00BF5D19"/>
    <w:rsid w:val="00BF5DF9"/>
    <w:rsid w:val="00BF6428"/>
    <w:rsid w:val="00C032E9"/>
    <w:rsid w:val="00C04E50"/>
    <w:rsid w:val="00C053AA"/>
    <w:rsid w:val="00C05572"/>
    <w:rsid w:val="00C1019C"/>
    <w:rsid w:val="00C102A5"/>
    <w:rsid w:val="00C10CA2"/>
    <w:rsid w:val="00C1154C"/>
    <w:rsid w:val="00C11CA8"/>
    <w:rsid w:val="00C1502D"/>
    <w:rsid w:val="00C171EF"/>
    <w:rsid w:val="00C1767A"/>
    <w:rsid w:val="00C17B97"/>
    <w:rsid w:val="00C20338"/>
    <w:rsid w:val="00C2114D"/>
    <w:rsid w:val="00C239D5"/>
    <w:rsid w:val="00C24B34"/>
    <w:rsid w:val="00C26CBC"/>
    <w:rsid w:val="00C33EEC"/>
    <w:rsid w:val="00C343BD"/>
    <w:rsid w:val="00C34966"/>
    <w:rsid w:val="00C34AD9"/>
    <w:rsid w:val="00C35159"/>
    <w:rsid w:val="00C3561A"/>
    <w:rsid w:val="00C36730"/>
    <w:rsid w:val="00C374D4"/>
    <w:rsid w:val="00C37631"/>
    <w:rsid w:val="00C4141D"/>
    <w:rsid w:val="00C41825"/>
    <w:rsid w:val="00C41CB1"/>
    <w:rsid w:val="00C43A0C"/>
    <w:rsid w:val="00C43F45"/>
    <w:rsid w:val="00C459CE"/>
    <w:rsid w:val="00C46721"/>
    <w:rsid w:val="00C46EC8"/>
    <w:rsid w:val="00C52FF7"/>
    <w:rsid w:val="00C546FF"/>
    <w:rsid w:val="00C54A92"/>
    <w:rsid w:val="00C56178"/>
    <w:rsid w:val="00C573F1"/>
    <w:rsid w:val="00C62B94"/>
    <w:rsid w:val="00C62EE7"/>
    <w:rsid w:val="00C63CEE"/>
    <w:rsid w:val="00C674B4"/>
    <w:rsid w:val="00C70D8D"/>
    <w:rsid w:val="00C72455"/>
    <w:rsid w:val="00C74392"/>
    <w:rsid w:val="00C74422"/>
    <w:rsid w:val="00C75948"/>
    <w:rsid w:val="00C767A4"/>
    <w:rsid w:val="00C76D3F"/>
    <w:rsid w:val="00C76EC6"/>
    <w:rsid w:val="00C777C6"/>
    <w:rsid w:val="00C8337E"/>
    <w:rsid w:val="00C83CDE"/>
    <w:rsid w:val="00C85A02"/>
    <w:rsid w:val="00C8624C"/>
    <w:rsid w:val="00C8765E"/>
    <w:rsid w:val="00C90E7B"/>
    <w:rsid w:val="00C913DC"/>
    <w:rsid w:val="00C92371"/>
    <w:rsid w:val="00C92B2B"/>
    <w:rsid w:val="00C93F32"/>
    <w:rsid w:val="00C94775"/>
    <w:rsid w:val="00C947A9"/>
    <w:rsid w:val="00C94D3F"/>
    <w:rsid w:val="00C95D73"/>
    <w:rsid w:val="00CA1292"/>
    <w:rsid w:val="00CA2177"/>
    <w:rsid w:val="00CA492E"/>
    <w:rsid w:val="00CA4C09"/>
    <w:rsid w:val="00CA4FA9"/>
    <w:rsid w:val="00CA57DA"/>
    <w:rsid w:val="00CA6DEF"/>
    <w:rsid w:val="00CB09A1"/>
    <w:rsid w:val="00CB146D"/>
    <w:rsid w:val="00CB18E2"/>
    <w:rsid w:val="00CB1A57"/>
    <w:rsid w:val="00CB4302"/>
    <w:rsid w:val="00CB4D1B"/>
    <w:rsid w:val="00CB6CD5"/>
    <w:rsid w:val="00CB79A7"/>
    <w:rsid w:val="00CC1780"/>
    <w:rsid w:val="00CC24DD"/>
    <w:rsid w:val="00CC2DCE"/>
    <w:rsid w:val="00CC4A07"/>
    <w:rsid w:val="00CC4F69"/>
    <w:rsid w:val="00CC5D1F"/>
    <w:rsid w:val="00CC64B0"/>
    <w:rsid w:val="00CC7BDF"/>
    <w:rsid w:val="00CD2571"/>
    <w:rsid w:val="00CD671E"/>
    <w:rsid w:val="00CD6AB8"/>
    <w:rsid w:val="00CD6C69"/>
    <w:rsid w:val="00CD770C"/>
    <w:rsid w:val="00CD7ACC"/>
    <w:rsid w:val="00CE13E0"/>
    <w:rsid w:val="00CE202C"/>
    <w:rsid w:val="00CE4A36"/>
    <w:rsid w:val="00CE5BC4"/>
    <w:rsid w:val="00CE5CEA"/>
    <w:rsid w:val="00CE6911"/>
    <w:rsid w:val="00CF1C62"/>
    <w:rsid w:val="00CF38D7"/>
    <w:rsid w:val="00CF540D"/>
    <w:rsid w:val="00CF7D0F"/>
    <w:rsid w:val="00D0086F"/>
    <w:rsid w:val="00D01053"/>
    <w:rsid w:val="00D01B22"/>
    <w:rsid w:val="00D0205F"/>
    <w:rsid w:val="00D02682"/>
    <w:rsid w:val="00D03E15"/>
    <w:rsid w:val="00D05FE2"/>
    <w:rsid w:val="00D06ABF"/>
    <w:rsid w:val="00D07DF0"/>
    <w:rsid w:val="00D13147"/>
    <w:rsid w:val="00D13B9D"/>
    <w:rsid w:val="00D1424F"/>
    <w:rsid w:val="00D14818"/>
    <w:rsid w:val="00D15111"/>
    <w:rsid w:val="00D167ED"/>
    <w:rsid w:val="00D170D5"/>
    <w:rsid w:val="00D1740B"/>
    <w:rsid w:val="00D20341"/>
    <w:rsid w:val="00D21751"/>
    <w:rsid w:val="00D21F6E"/>
    <w:rsid w:val="00D22CFE"/>
    <w:rsid w:val="00D23A72"/>
    <w:rsid w:val="00D23AB2"/>
    <w:rsid w:val="00D27104"/>
    <w:rsid w:val="00D301D2"/>
    <w:rsid w:val="00D31C1B"/>
    <w:rsid w:val="00D33A1A"/>
    <w:rsid w:val="00D3467B"/>
    <w:rsid w:val="00D34A64"/>
    <w:rsid w:val="00D353A8"/>
    <w:rsid w:val="00D37685"/>
    <w:rsid w:val="00D37882"/>
    <w:rsid w:val="00D40B5C"/>
    <w:rsid w:val="00D41C2B"/>
    <w:rsid w:val="00D42242"/>
    <w:rsid w:val="00D45208"/>
    <w:rsid w:val="00D45568"/>
    <w:rsid w:val="00D51C6E"/>
    <w:rsid w:val="00D609E5"/>
    <w:rsid w:val="00D61986"/>
    <w:rsid w:val="00D61DBD"/>
    <w:rsid w:val="00D636FC"/>
    <w:rsid w:val="00D651BC"/>
    <w:rsid w:val="00D667E5"/>
    <w:rsid w:val="00D66971"/>
    <w:rsid w:val="00D67764"/>
    <w:rsid w:val="00D67D59"/>
    <w:rsid w:val="00D708B7"/>
    <w:rsid w:val="00D70E8C"/>
    <w:rsid w:val="00D71C4B"/>
    <w:rsid w:val="00D755A7"/>
    <w:rsid w:val="00D77B37"/>
    <w:rsid w:val="00D80173"/>
    <w:rsid w:val="00D823A9"/>
    <w:rsid w:val="00D82903"/>
    <w:rsid w:val="00D831BB"/>
    <w:rsid w:val="00D83FB6"/>
    <w:rsid w:val="00D85B1A"/>
    <w:rsid w:val="00D8687D"/>
    <w:rsid w:val="00D90217"/>
    <w:rsid w:val="00D91D2A"/>
    <w:rsid w:val="00D91F7D"/>
    <w:rsid w:val="00D95224"/>
    <w:rsid w:val="00D95989"/>
    <w:rsid w:val="00D96C89"/>
    <w:rsid w:val="00D96D8D"/>
    <w:rsid w:val="00D97320"/>
    <w:rsid w:val="00DA0BFE"/>
    <w:rsid w:val="00DA1FEC"/>
    <w:rsid w:val="00DA275A"/>
    <w:rsid w:val="00DA4A4F"/>
    <w:rsid w:val="00DA52E8"/>
    <w:rsid w:val="00DA6264"/>
    <w:rsid w:val="00DA6360"/>
    <w:rsid w:val="00DA6836"/>
    <w:rsid w:val="00DA7539"/>
    <w:rsid w:val="00DC2A0C"/>
    <w:rsid w:val="00DC41F6"/>
    <w:rsid w:val="00DC54A4"/>
    <w:rsid w:val="00DC6552"/>
    <w:rsid w:val="00DC6619"/>
    <w:rsid w:val="00DC6D8B"/>
    <w:rsid w:val="00DC7D6A"/>
    <w:rsid w:val="00DD2C65"/>
    <w:rsid w:val="00DD3AF7"/>
    <w:rsid w:val="00DD491D"/>
    <w:rsid w:val="00DD7BB6"/>
    <w:rsid w:val="00DE1F70"/>
    <w:rsid w:val="00DE2308"/>
    <w:rsid w:val="00DE3150"/>
    <w:rsid w:val="00DE437C"/>
    <w:rsid w:val="00DE5012"/>
    <w:rsid w:val="00DE591C"/>
    <w:rsid w:val="00DE68E0"/>
    <w:rsid w:val="00DE6D16"/>
    <w:rsid w:val="00DF20F8"/>
    <w:rsid w:val="00DF274C"/>
    <w:rsid w:val="00DF2BB6"/>
    <w:rsid w:val="00DF2C50"/>
    <w:rsid w:val="00DF3C21"/>
    <w:rsid w:val="00DF3CD3"/>
    <w:rsid w:val="00DF50F1"/>
    <w:rsid w:val="00DF5824"/>
    <w:rsid w:val="00DF6010"/>
    <w:rsid w:val="00DF6487"/>
    <w:rsid w:val="00E0019B"/>
    <w:rsid w:val="00E00E5A"/>
    <w:rsid w:val="00E011B1"/>
    <w:rsid w:val="00E0203D"/>
    <w:rsid w:val="00E0255C"/>
    <w:rsid w:val="00E02E10"/>
    <w:rsid w:val="00E034C8"/>
    <w:rsid w:val="00E03634"/>
    <w:rsid w:val="00E04093"/>
    <w:rsid w:val="00E06474"/>
    <w:rsid w:val="00E102BB"/>
    <w:rsid w:val="00E102ED"/>
    <w:rsid w:val="00E126E0"/>
    <w:rsid w:val="00E129B1"/>
    <w:rsid w:val="00E146FE"/>
    <w:rsid w:val="00E1501D"/>
    <w:rsid w:val="00E1655E"/>
    <w:rsid w:val="00E17D68"/>
    <w:rsid w:val="00E21DED"/>
    <w:rsid w:val="00E22F11"/>
    <w:rsid w:val="00E24AD4"/>
    <w:rsid w:val="00E25FA6"/>
    <w:rsid w:val="00E260B2"/>
    <w:rsid w:val="00E26262"/>
    <w:rsid w:val="00E263F2"/>
    <w:rsid w:val="00E27B21"/>
    <w:rsid w:val="00E27E4C"/>
    <w:rsid w:val="00E301EE"/>
    <w:rsid w:val="00E3042A"/>
    <w:rsid w:val="00E31033"/>
    <w:rsid w:val="00E3113D"/>
    <w:rsid w:val="00E33ACC"/>
    <w:rsid w:val="00E36BE2"/>
    <w:rsid w:val="00E36EA7"/>
    <w:rsid w:val="00E36F73"/>
    <w:rsid w:val="00E3755B"/>
    <w:rsid w:val="00E37CC9"/>
    <w:rsid w:val="00E43930"/>
    <w:rsid w:val="00E44DE1"/>
    <w:rsid w:val="00E44E3C"/>
    <w:rsid w:val="00E45CD7"/>
    <w:rsid w:val="00E4759B"/>
    <w:rsid w:val="00E500E9"/>
    <w:rsid w:val="00E51A3D"/>
    <w:rsid w:val="00E51F04"/>
    <w:rsid w:val="00E53229"/>
    <w:rsid w:val="00E53F46"/>
    <w:rsid w:val="00E544CF"/>
    <w:rsid w:val="00E5485A"/>
    <w:rsid w:val="00E5490A"/>
    <w:rsid w:val="00E5649C"/>
    <w:rsid w:val="00E5671C"/>
    <w:rsid w:val="00E568E1"/>
    <w:rsid w:val="00E56BB8"/>
    <w:rsid w:val="00E574FC"/>
    <w:rsid w:val="00E60695"/>
    <w:rsid w:val="00E6090C"/>
    <w:rsid w:val="00E60FC1"/>
    <w:rsid w:val="00E61043"/>
    <w:rsid w:val="00E61A0E"/>
    <w:rsid w:val="00E61CF3"/>
    <w:rsid w:val="00E61E4D"/>
    <w:rsid w:val="00E63C04"/>
    <w:rsid w:val="00E6515F"/>
    <w:rsid w:val="00E65AAE"/>
    <w:rsid w:val="00E65BF2"/>
    <w:rsid w:val="00E671D3"/>
    <w:rsid w:val="00E67592"/>
    <w:rsid w:val="00E67D85"/>
    <w:rsid w:val="00E72160"/>
    <w:rsid w:val="00E73406"/>
    <w:rsid w:val="00E75B91"/>
    <w:rsid w:val="00E762A0"/>
    <w:rsid w:val="00E76BC5"/>
    <w:rsid w:val="00E7781F"/>
    <w:rsid w:val="00E824FD"/>
    <w:rsid w:val="00E83879"/>
    <w:rsid w:val="00E83949"/>
    <w:rsid w:val="00E83DA8"/>
    <w:rsid w:val="00E83F0D"/>
    <w:rsid w:val="00E8596C"/>
    <w:rsid w:val="00E860AF"/>
    <w:rsid w:val="00E865C0"/>
    <w:rsid w:val="00E8775A"/>
    <w:rsid w:val="00E87C2E"/>
    <w:rsid w:val="00E900AF"/>
    <w:rsid w:val="00E90ADB"/>
    <w:rsid w:val="00E9271D"/>
    <w:rsid w:val="00E93334"/>
    <w:rsid w:val="00E9460D"/>
    <w:rsid w:val="00E94FC2"/>
    <w:rsid w:val="00E9505B"/>
    <w:rsid w:val="00E95C92"/>
    <w:rsid w:val="00E9631B"/>
    <w:rsid w:val="00E964EE"/>
    <w:rsid w:val="00E97CC8"/>
    <w:rsid w:val="00EA129E"/>
    <w:rsid w:val="00EA2570"/>
    <w:rsid w:val="00EA37A2"/>
    <w:rsid w:val="00EA39DF"/>
    <w:rsid w:val="00EA3C71"/>
    <w:rsid w:val="00EA43BE"/>
    <w:rsid w:val="00EA5DD7"/>
    <w:rsid w:val="00EA69D4"/>
    <w:rsid w:val="00EB0134"/>
    <w:rsid w:val="00EB14C9"/>
    <w:rsid w:val="00EB1723"/>
    <w:rsid w:val="00EB2C5F"/>
    <w:rsid w:val="00EB32CE"/>
    <w:rsid w:val="00EB33E2"/>
    <w:rsid w:val="00EB7134"/>
    <w:rsid w:val="00EC1E91"/>
    <w:rsid w:val="00EC3A18"/>
    <w:rsid w:val="00EC55CB"/>
    <w:rsid w:val="00EC5C09"/>
    <w:rsid w:val="00EC718D"/>
    <w:rsid w:val="00ED073D"/>
    <w:rsid w:val="00ED07ED"/>
    <w:rsid w:val="00ED0CFD"/>
    <w:rsid w:val="00ED264A"/>
    <w:rsid w:val="00ED26C2"/>
    <w:rsid w:val="00ED748B"/>
    <w:rsid w:val="00EE1CAB"/>
    <w:rsid w:val="00EE4C7B"/>
    <w:rsid w:val="00EE6DB9"/>
    <w:rsid w:val="00EE7508"/>
    <w:rsid w:val="00EE7DFC"/>
    <w:rsid w:val="00EE7F9E"/>
    <w:rsid w:val="00EF00F9"/>
    <w:rsid w:val="00EF2B2D"/>
    <w:rsid w:val="00EF462D"/>
    <w:rsid w:val="00EF4908"/>
    <w:rsid w:val="00EF5942"/>
    <w:rsid w:val="00EF5B96"/>
    <w:rsid w:val="00EF62C6"/>
    <w:rsid w:val="00EF67C4"/>
    <w:rsid w:val="00F00618"/>
    <w:rsid w:val="00F013D1"/>
    <w:rsid w:val="00F01ED5"/>
    <w:rsid w:val="00F030E1"/>
    <w:rsid w:val="00F1028E"/>
    <w:rsid w:val="00F10350"/>
    <w:rsid w:val="00F10D0E"/>
    <w:rsid w:val="00F11576"/>
    <w:rsid w:val="00F115AA"/>
    <w:rsid w:val="00F117D2"/>
    <w:rsid w:val="00F12784"/>
    <w:rsid w:val="00F12BB1"/>
    <w:rsid w:val="00F12BCE"/>
    <w:rsid w:val="00F16B41"/>
    <w:rsid w:val="00F17700"/>
    <w:rsid w:val="00F201D0"/>
    <w:rsid w:val="00F2429D"/>
    <w:rsid w:val="00F245C8"/>
    <w:rsid w:val="00F259C7"/>
    <w:rsid w:val="00F275D7"/>
    <w:rsid w:val="00F27A45"/>
    <w:rsid w:val="00F3173A"/>
    <w:rsid w:val="00F318E1"/>
    <w:rsid w:val="00F320EE"/>
    <w:rsid w:val="00F33B5B"/>
    <w:rsid w:val="00F34775"/>
    <w:rsid w:val="00F35090"/>
    <w:rsid w:val="00F36DEA"/>
    <w:rsid w:val="00F374D0"/>
    <w:rsid w:val="00F4050E"/>
    <w:rsid w:val="00F4071A"/>
    <w:rsid w:val="00F41283"/>
    <w:rsid w:val="00F416C6"/>
    <w:rsid w:val="00F4392E"/>
    <w:rsid w:val="00F4406F"/>
    <w:rsid w:val="00F474CB"/>
    <w:rsid w:val="00F61203"/>
    <w:rsid w:val="00F61E47"/>
    <w:rsid w:val="00F61E7A"/>
    <w:rsid w:val="00F622AA"/>
    <w:rsid w:val="00F633AD"/>
    <w:rsid w:val="00F6436F"/>
    <w:rsid w:val="00F6596E"/>
    <w:rsid w:val="00F6678B"/>
    <w:rsid w:val="00F6679F"/>
    <w:rsid w:val="00F67569"/>
    <w:rsid w:val="00F67CAA"/>
    <w:rsid w:val="00F71577"/>
    <w:rsid w:val="00F71A61"/>
    <w:rsid w:val="00F71EE1"/>
    <w:rsid w:val="00F722DA"/>
    <w:rsid w:val="00F72CF5"/>
    <w:rsid w:val="00F72F47"/>
    <w:rsid w:val="00F75017"/>
    <w:rsid w:val="00F76C82"/>
    <w:rsid w:val="00F80495"/>
    <w:rsid w:val="00F81A00"/>
    <w:rsid w:val="00F82796"/>
    <w:rsid w:val="00F83A61"/>
    <w:rsid w:val="00F84C6C"/>
    <w:rsid w:val="00F86243"/>
    <w:rsid w:val="00F87942"/>
    <w:rsid w:val="00F907E3"/>
    <w:rsid w:val="00F92B36"/>
    <w:rsid w:val="00F93802"/>
    <w:rsid w:val="00F93E53"/>
    <w:rsid w:val="00F94455"/>
    <w:rsid w:val="00F948AD"/>
    <w:rsid w:val="00F95A25"/>
    <w:rsid w:val="00F962FB"/>
    <w:rsid w:val="00FA028D"/>
    <w:rsid w:val="00FA1D06"/>
    <w:rsid w:val="00FA2363"/>
    <w:rsid w:val="00FA2D7C"/>
    <w:rsid w:val="00FA320D"/>
    <w:rsid w:val="00FA4086"/>
    <w:rsid w:val="00FA40ED"/>
    <w:rsid w:val="00FA421E"/>
    <w:rsid w:val="00FA68F1"/>
    <w:rsid w:val="00FA6B98"/>
    <w:rsid w:val="00FB028A"/>
    <w:rsid w:val="00FB0F42"/>
    <w:rsid w:val="00FB114E"/>
    <w:rsid w:val="00FB1E23"/>
    <w:rsid w:val="00FB3557"/>
    <w:rsid w:val="00FB3E48"/>
    <w:rsid w:val="00FB41F7"/>
    <w:rsid w:val="00FB50EE"/>
    <w:rsid w:val="00FC01D2"/>
    <w:rsid w:val="00FC1144"/>
    <w:rsid w:val="00FC183E"/>
    <w:rsid w:val="00FC3282"/>
    <w:rsid w:val="00FC4E8E"/>
    <w:rsid w:val="00FC7166"/>
    <w:rsid w:val="00FC7F9C"/>
    <w:rsid w:val="00FD1399"/>
    <w:rsid w:val="00FD146A"/>
    <w:rsid w:val="00FD1655"/>
    <w:rsid w:val="00FD1DDA"/>
    <w:rsid w:val="00FD22E1"/>
    <w:rsid w:val="00FD47E8"/>
    <w:rsid w:val="00FD4B4C"/>
    <w:rsid w:val="00FD7969"/>
    <w:rsid w:val="00FD796E"/>
    <w:rsid w:val="00FE09E6"/>
    <w:rsid w:val="00FE1C23"/>
    <w:rsid w:val="00FE277E"/>
    <w:rsid w:val="00FE3399"/>
    <w:rsid w:val="00FE38BE"/>
    <w:rsid w:val="00FE463C"/>
    <w:rsid w:val="00FE63F6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A615"/>
  <w15:docId w15:val="{576E86C4-5742-43F1-BDBF-373F52F5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4342B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6C4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26330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be.org/mobilita202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image" Target="media/image5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B562-4349-4DBC-A9DB-E5FCFD2C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Luca Bellusci</cp:lastModifiedBy>
  <cp:revision>8</cp:revision>
  <cp:lastPrinted>2019-07-29T14:21:00Z</cp:lastPrinted>
  <dcterms:created xsi:type="dcterms:W3CDTF">2023-03-15T14:53:00Z</dcterms:created>
  <dcterms:modified xsi:type="dcterms:W3CDTF">2023-03-16T08:57:00Z</dcterms:modified>
</cp:coreProperties>
</file>