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C7DF" w14:textId="77777777" w:rsidR="005256C7" w:rsidRDefault="005256C7" w:rsidP="005256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14:paraId="28E68104" w14:textId="5862F050" w:rsidR="00577261" w:rsidRDefault="0057392B" w:rsidP="00577261">
      <w:pPr>
        <w:spacing w:after="120"/>
        <w:jc w:val="center"/>
        <w:rPr>
          <w:b/>
          <w:bCs/>
          <w:sz w:val="32"/>
          <w:szCs w:val="32"/>
        </w:rPr>
      </w:pPr>
      <w:bookmarkStart w:id="0" w:name="_Hlk129770404"/>
      <w:r>
        <w:rPr>
          <w:b/>
          <w:bCs/>
          <w:sz w:val="32"/>
          <w:szCs w:val="32"/>
        </w:rPr>
        <w:t xml:space="preserve">NEL 2021 </w:t>
      </w:r>
      <w:r w:rsidR="003A6135">
        <w:rPr>
          <w:b/>
          <w:bCs/>
          <w:sz w:val="32"/>
          <w:szCs w:val="32"/>
        </w:rPr>
        <w:t xml:space="preserve">CRESCE </w:t>
      </w:r>
      <w:r w:rsidR="005256C7">
        <w:rPr>
          <w:b/>
          <w:bCs/>
          <w:sz w:val="32"/>
          <w:szCs w:val="32"/>
        </w:rPr>
        <w:t xml:space="preserve">LA MIGRAZIONE SANITARIA: </w:t>
      </w:r>
      <w:r w:rsidR="000E37B1">
        <w:rPr>
          <w:b/>
          <w:bCs/>
          <w:sz w:val="32"/>
          <w:szCs w:val="32"/>
        </w:rPr>
        <w:br/>
      </w:r>
      <w:r w:rsidR="006434D4">
        <w:rPr>
          <w:b/>
          <w:bCs/>
          <w:sz w:val="32"/>
          <w:szCs w:val="32"/>
        </w:rPr>
        <w:t xml:space="preserve">UN FIUME DA </w:t>
      </w:r>
      <w:r w:rsidR="005256C7">
        <w:rPr>
          <w:b/>
          <w:bCs/>
          <w:sz w:val="32"/>
          <w:szCs w:val="32"/>
        </w:rPr>
        <w:t xml:space="preserve">€ </w:t>
      </w:r>
      <w:r w:rsidR="000A0218">
        <w:rPr>
          <w:b/>
          <w:bCs/>
          <w:sz w:val="32"/>
          <w:szCs w:val="32"/>
        </w:rPr>
        <w:t>4,25</w:t>
      </w:r>
      <w:r w:rsidR="005256C7">
        <w:rPr>
          <w:b/>
          <w:bCs/>
          <w:sz w:val="32"/>
          <w:szCs w:val="32"/>
        </w:rPr>
        <w:t xml:space="preserve"> MILIARDI </w:t>
      </w:r>
      <w:r w:rsidR="006434D4">
        <w:rPr>
          <w:b/>
          <w:bCs/>
          <w:sz w:val="32"/>
          <w:szCs w:val="32"/>
        </w:rPr>
        <w:t xml:space="preserve">SCORRE </w:t>
      </w:r>
      <w:r w:rsidR="00AA22F6">
        <w:rPr>
          <w:b/>
          <w:bCs/>
          <w:sz w:val="32"/>
          <w:szCs w:val="32"/>
        </w:rPr>
        <w:t>VERSO LE REGIONI DEL</w:t>
      </w:r>
      <w:r w:rsidR="005256C7">
        <w:rPr>
          <w:b/>
          <w:bCs/>
          <w:sz w:val="32"/>
          <w:szCs w:val="32"/>
        </w:rPr>
        <w:t xml:space="preserve"> NORD. </w:t>
      </w:r>
    </w:p>
    <w:p w14:paraId="2DF0497A" w14:textId="77777777" w:rsidR="00577261" w:rsidRDefault="00336656" w:rsidP="00577261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</w:t>
      </w:r>
      <w:r w:rsidR="005256C7" w:rsidRPr="00163309">
        <w:rPr>
          <w:b/>
          <w:bCs/>
          <w:sz w:val="32"/>
          <w:szCs w:val="32"/>
        </w:rPr>
        <w:t>EMILIA</w:t>
      </w:r>
      <w:r w:rsidR="005256C7">
        <w:rPr>
          <w:b/>
          <w:bCs/>
          <w:sz w:val="32"/>
          <w:szCs w:val="32"/>
        </w:rPr>
        <w:t>-</w:t>
      </w:r>
      <w:r w:rsidR="005256C7" w:rsidRPr="00163309">
        <w:rPr>
          <w:b/>
          <w:bCs/>
          <w:sz w:val="32"/>
          <w:szCs w:val="32"/>
        </w:rPr>
        <w:t>ROMAGNA</w:t>
      </w:r>
      <w:r w:rsidR="005256C7">
        <w:rPr>
          <w:b/>
          <w:bCs/>
          <w:sz w:val="32"/>
          <w:szCs w:val="32"/>
        </w:rPr>
        <w:t>,</w:t>
      </w:r>
      <w:r w:rsidR="005256C7" w:rsidRPr="00163309">
        <w:rPr>
          <w:b/>
          <w:bCs/>
          <w:sz w:val="32"/>
          <w:szCs w:val="32"/>
        </w:rPr>
        <w:t xml:space="preserve"> LOMBARDIA</w:t>
      </w:r>
      <w:r w:rsidR="005256C7">
        <w:rPr>
          <w:b/>
          <w:bCs/>
          <w:sz w:val="32"/>
          <w:szCs w:val="32"/>
        </w:rPr>
        <w:t xml:space="preserve"> E</w:t>
      </w:r>
      <w:r w:rsidR="005256C7" w:rsidRPr="00163309">
        <w:rPr>
          <w:b/>
          <w:bCs/>
          <w:sz w:val="32"/>
          <w:szCs w:val="32"/>
        </w:rPr>
        <w:t xml:space="preserve"> VENETO </w:t>
      </w:r>
      <w:r w:rsidR="005256C7">
        <w:rPr>
          <w:b/>
          <w:bCs/>
          <w:sz w:val="32"/>
          <w:szCs w:val="32"/>
        </w:rPr>
        <w:t xml:space="preserve">IL </w:t>
      </w:r>
      <w:r w:rsidR="000A0218">
        <w:rPr>
          <w:b/>
          <w:bCs/>
          <w:sz w:val="32"/>
          <w:szCs w:val="32"/>
        </w:rPr>
        <w:t>93,3</w:t>
      </w:r>
      <w:r w:rsidR="005256C7">
        <w:rPr>
          <w:b/>
          <w:bCs/>
          <w:sz w:val="32"/>
          <w:szCs w:val="32"/>
        </w:rPr>
        <w:t>%</w:t>
      </w:r>
      <w:r w:rsidR="005256C7" w:rsidRPr="00163309">
        <w:rPr>
          <w:b/>
          <w:bCs/>
          <w:sz w:val="32"/>
          <w:szCs w:val="32"/>
        </w:rPr>
        <w:t xml:space="preserve"> </w:t>
      </w:r>
      <w:r w:rsidR="005256C7">
        <w:rPr>
          <w:b/>
          <w:bCs/>
          <w:sz w:val="32"/>
          <w:szCs w:val="32"/>
        </w:rPr>
        <w:t>DEL</w:t>
      </w:r>
      <w:r w:rsidR="00AA22F6">
        <w:rPr>
          <w:b/>
          <w:bCs/>
          <w:sz w:val="32"/>
          <w:szCs w:val="32"/>
        </w:rPr>
        <w:t xml:space="preserve"> SALDO ATTIVO</w:t>
      </w:r>
      <w:r w:rsidR="005256C7">
        <w:rPr>
          <w:b/>
          <w:bCs/>
          <w:sz w:val="32"/>
          <w:szCs w:val="32"/>
        </w:rPr>
        <w:t xml:space="preserve">. </w:t>
      </w:r>
      <w:r w:rsidR="000A0218">
        <w:rPr>
          <w:b/>
          <w:bCs/>
          <w:sz w:val="32"/>
          <w:szCs w:val="32"/>
        </w:rPr>
        <w:t>IL 76,9</w:t>
      </w:r>
      <w:r w:rsidR="005256C7" w:rsidRPr="00E9271D">
        <w:rPr>
          <w:b/>
          <w:bCs/>
          <w:sz w:val="32"/>
          <w:szCs w:val="32"/>
        </w:rPr>
        <w:t xml:space="preserve">% DEL SALDO PASSIVO </w:t>
      </w:r>
      <w:r w:rsidR="005256C7">
        <w:rPr>
          <w:b/>
          <w:bCs/>
          <w:sz w:val="32"/>
          <w:szCs w:val="32"/>
        </w:rPr>
        <w:t>GRAVA</w:t>
      </w:r>
      <w:r w:rsidR="005256C7" w:rsidRPr="00E9271D">
        <w:rPr>
          <w:b/>
          <w:bCs/>
          <w:sz w:val="32"/>
          <w:szCs w:val="32"/>
        </w:rPr>
        <w:t xml:space="preserve"> SU</w:t>
      </w:r>
      <w:r w:rsidR="000A0218">
        <w:rPr>
          <w:b/>
          <w:bCs/>
          <w:sz w:val="32"/>
          <w:szCs w:val="32"/>
        </w:rPr>
        <w:t>L CENTRO-SUD</w:t>
      </w:r>
      <w:r w:rsidR="005256C7" w:rsidRPr="00E9271D">
        <w:rPr>
          <w:b/>
          <w:bCs/>
          <w:sz w:val="32"/>
          <w:szCs w:val="32"/>
        </w:rPr>
        <w:t>.</w:t>
      </w:r>
    </w:p>
    <w:p w14:paraId="763F8AAF" w14:textId="28248C0F" w:rsidR="000733E1" w:rsidRDefault="000733E1" w:rsidP="00577261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DELLE PRESTAZIONI OSPEDALIERE E AMBULATORIALI EROGATE IN MOBILITÀ OLTRE </w:t>
      </w:r>
      <w:r w:rsidR="006434D4"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</w:rPr>
        <w:t xml:space="preserve">EURO SU </w:t>
      </w:r>
      <w:r w:rsidR="006434D4"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</w:rPr>
        <w:t>VA NELLE CASSE DEL PRIVATO.</w:t>
      </w:r>
    </w:p>
    <w:p w14:paraId="7EB852B5" w14:textId="77777777" w:rsidR="005256C7" w:rsidRPr="000E37B1" w:rsidRDefault="000733E1" w:rsidP="000733E1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</w:t>
      </w:r>
      <w:r w:rsidR="000E37B1">
        <w:rPr>
          <w:b/>
          <w:bCs/>
          <w:sz w:val="32"/>
          <w:szCs w:val="32"/>
        </w:rPr>
        <w:t xml:space="preserve">AUTONOMIA DIFFERENZIATA È UNO </w:t>
      </w:r>
      <w:r w:rsidR="007D1A20">
        <w:rPr>
          <w:b/>
          <w:bCs/>
          <w:sz w:val="32"/>
          <w:szCs w:val="32"/>
        </w:rPr>
        <w:t xml:space="preserve">SCHIAFFO AL </w:t>
      </w:r>
      <w:r w:rsidR="00463E9D">
        <w:rPr>
          <w:b/>
          <w:bCs/>
          <w:sz w:val="32"/>
          <w:szCs w:val="32"/>
        </w:rPr>
        <w:t>MERIDIONE</w:t>
      </w:r>
      <w:r w:rsidR="007D1A20">
        <w:rPr>
          <w:b/>
          <w:bCs/>
          <w:sz w:val="32"/>
          <w:szCs w:val="32"/>
        </w:rPr>
        <w:t>:</w:t>
      </w:r>
      <w:r w:rsidR="000E37B1">
        <w:rPr>
          <w:b/>
          <w:bCs/>
          <w:sz w:val="32"/>
          <w:szCs w:val="32"/>
        </w:rPr>
        <w:t xml:space="preserve"> </w:t>
      </w:r>
      <w:r w:rsidR="00463E9D">
        <w:rPr>
          <w:b/>
          <w:bCs/>
          <w:sz w:val="32"/>
          <w:szCs w:val="32"/>
        </w:rPr>
        <w:t xml:space="preserve">IL SUD SARÀ </w:t>
      </w:r>
      <w:r w:rsidR="000E37B1">
        <w:rPr>
          <w:b/>
          <w:bCs/>
          <w:sz w:val="32"/>
          <w:szCs w:val="32"/>
        </w:rPr>
        <w:t>SEMPRE PIÙ</w:t>
      </w:r>
      <w:r w:rsidR="007D1A20">
        <w:rPr>
          <w:b/>
          <w:bCs/>
          <w:sz w:val="32"/>
          <w:szCs w:val="32"/>
        </w:rPr>
        <w:t xml:space="preserve"> </w:t>
      </w:r>
      <w:r w:rsidR="000E37B1">
        <w:rPr>
          <w:b/>
          <w:bCs/>
          <w:sz w:val="32"/>
          <w:szCs w:val="32"/>
        </w:rPr>
        <w:t>DIPENDENT</w:t>
      </w:r>
      <w:r w:rsidR="00463E9D">
        <w:rPr>
          <w:b/>
          <w:bCs/>
          <w:sz w:val="32"/>
          <w:szCs w:val="32"/>
        </w:rPr>
        <w:t>E</w:t>
      </w:r>
      <w:r w:rsidR="000E37B1">
        <w:rPr>
          <w:b/>
          <w:bCs/>
          <w:sz w:val="32"/>
          <w:szCs w:val="32"/>
        </w:rPr>
        <w:t xml:space="preserve"> DA</w:t>
      </w:r>
      <w:r w:rsidR="00463E9D">
        <w:rPr>
          <w:b/>
          <w:bCs/>
          <w:sz w:val="32"/>
          <w:szCs w:val="32"/>
        </w:rPr>
        <w:t>LLA SANITÀ</w:t>
      </w:r>
      <w:r w:rsidR="000E37B1">
        <w:rPr>
          <w:b/>
          <w:bCs/>
          <w:sz w:val="32"/>
          <w:szCs w:val="32"/>
        </w:rPr>
        <w:t xml:space="preserve"> DEL NORD.</w:t>
      </w:r>
      <w:r w:rsidR="00AA22F6">
        <w:rPr>
          <w:b/>
          <w:bCs/>
          <w:sz w:val="32"/>
          <w:szCs w:val="32"/>
        </w:rPr>
        <w:br/>
      </w:r>
      <w:bookmarkEnd w:id="0"/>
      <w:r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5256C7">
        <w:rPr>
          <w:rFonts w:ascii="Calibri" w:eastAsia="Calibri" w:hAnsi="Calibri" w:cs="Times New Roman"/>
          <w:b/>
          <w:bCs/>
          <w:sz w:val="24"/>
          <w:szCs w:val="24"/>
        </w:rPr>
        <w:t xml:space="preserve">16 </w:t>
      </w:r>
      <w:r w:rsidR="000A0218">
        <w:rPr>
          <w:rFonts w:ascii="Calibri" w:eastAsia="Calibri" w:hAnsi="Calibri" w:cs="Times New Roman"/>
          <w:b/>
          <w:bCs/>
          <w:sz w:val="24"/>
          <w:szCs w:val="24"/>
        </w:rPr>
        <w:t>gennaio</w:t>
      </w:r>
      <w:r w:rsidR="005256C7">
        <w:rPr>
          <w:rFonts w:ascii="Calibri" w:eastAsia="Calibri" w:hAnsi="Calibri" w:cs="Times New Roman"/>
          <w:b/>
          <w:bCs/>
          <w:sz w:val="24"/>
          <w:szCs w:val="24"/>
        </w:rPr>
        <w:t xml:space="preserve"> 202</w:t>
      </w:r>
      <w:r w:rsidR="000A0218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256C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256C7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0049E2C4" w14:textId="77777777" w:rsidR="005256C7" w:rsidRPr="00252636" w:rsidRDefault="005256C7" w:rsidP="005256C7">
      <w:pPr>
        <w:jc w:val="both"/>
        <w:rPr>
          <w:rFonts w:eastAsia="Times New Roman" w:cstheme="minorHAnsi"/>
        </w:rPr>
      </w:pPr>
      <w:r w:rsidRPr="004E3720">
        <w:rPr>
          <w:rFonts w:eastAsia="Times New Roman" w:cstheme="minorHAnsi"/>
        </w:rPr>
        <w:t>Nel 202</w:t>
      </w:r>
      <w:r w:rsidR="00AC269B">
        <w:rPr>
          <w:rFonts w:eastAsia="Times New Roman" w:cstheme="minorHAnsi"/>
        </w:rPr>
        <w:t>1</w:t>
      </w:r>
      <w:r w:rsidRPr="004E3720">
        <w:rPr>
          <w:rFonts w:eastAsia="Times New Roman" w:cstheme="minorHAnsi"/>
        </w:rPr>
        <w:t xml:space="preserve">, la mobilità sanitaria interregionale in Italia ha raggiunto un valore di </w:t>
      </w:r>
      <w:r>
        <w:rPr>
          <w:rFonts w:eastAsia="Times New Roman" w:cstheme="minorHAnsi"/>
        </w:rPr>
        <w:t xml:space="preserve">€ </w:t>
      </w:r>
      <w:r w:rsidR="00AC269B">
        <w:rPr>
          <w:rFonts w:eastAsia="Times New Roman" w:cstheme="minorHAnsi"/>
        </w:rPr>
        <w:t>4,25</w:t>
      </w:r>
      <w:r w:rsidRPr="004E3720">
        <w:rPr>
          <w:rFonts w:eastAsia="Times New Roman" w:cstheme="minorHAnsi"/>
        </w:rPr>
        <w:t xml:space="preserve"> miliardi, </w:t>
      </w:r>
      <w:r w:rsidR="008860BD" w:rsidRPr="00AC269B">
        <w:rPr>
          <w:rFonts w:eastAsia="Times New Roman" w:cstheme="minorHAnsi"/>
        </w:rPr>
        <w:t>cifra nettamente superiore a</w:t>
      </w:r>
      <w:r w:rsidR="008F61DA">
        <w:rPr>
          <w:rFonts w:eastAsia="Times New Roman" w:cstheme="minorHAnsi"/>
        </w:rPr>
        <w:t xml:space="preserve"> quella de</w:t>
      </w:r>
      <w:r w:rsidR="008860BD" w:rsidRPr="00AC269B">
        <w:rPr>
          <w:rFonts w:eastAsia="Times New Roman" w:cstheme="minorHAnsi"/>
        </w:rPr>
        <w:t>l 2020 (€ 3</w:t>
      </w:r>
      <w:r w:rsidR="008F61DA">
        <w:rPr>
          <w:rFonts w:eastAsia="Times New Roman" w:cstheme="minorHAnsi"/>
        </w:rPr>
        <w:t>,</w:t>
      </w:r>
      <w:r w:rsidR="008860BD" w:rsidRPr="00AC269B">
        <w:rPr>
          <w:rFonts w:eastAsia="Times New Roman" w:cstheme="minorHAnsi"/>
        </w:rPr>
        <w:t>33</w:t>
      </w:r>
      <w:r w:rsidR="008860BD">
        <w:rPr>
          <w:rFonts w:eastAsia="Times New Roman" w:cstheme="minorHAnsi"/>
        </w:rPr>
        <w:t xml:space="preserve"> miliard</w:t>
      </w:r>
      <w:r w:rsidR="008860BD" w:rsidRPr="00AC269B">
        <w:rPr>
          <w:rFonts w:eastAsia="Times New Roman" w:cstheme="minorHAnsi"/>
        </w:rPr>
        <w:t>i)</w:t>
      </w:r>
      <w:r w:rsidR="008860BD">
        <w:rPr>
          <w:rFonts w:eastAsia="Times New Roman" w:cstheme="minorHAnsi"/>
        </w:rPr>
        <w:t xml:space="preserve">, </w:t>
      </w:r>
      <w:r w:rsidRPr="004E3720">
        <w:rPr>
          <w:rFonts w:eastAsia="Times New Roman" w:cstheme="minorHAnsi"/>
        </w:rPr>
        <w:t xml:space="preserve">con saldi estremamente </w:t>
      </w:r>
      <w:r>
        <w:rPr>
          <w:rFonts w:eastAsia="Times New Roman" w:cstheme="minorHAnsi"/>
        </w:rPr>
        <w:t>variabili</w:t>
      </w:r>
      <w:r w:rsidRPr="004E3720">
        <w:rPr>
          <w:rFonts w:eastAsia="Times New Roman" w:cstheme="minorHAnsi"/>
        </w:rPr>
        <w:t xml:space="preserve"> tra </w:t>
      </w:r>
      <w:r w:rsidR="008860BD">
        <w:rPr>
          <w:rFonts w:eastAsia="Times New Roman" w:cstheme="minorHAnsi"/>
        </w:rPr>
        <w:t xml:space="preserve">le </w:t>
      </w:r>
      <w:r>
        <w:rPr>
          <w:rFonts w:eastAsia="Times New Roman" w:cstheme="minorHAnsi"/>
        </w:rPr>
        <w:t>R</w:t>
      </w:r>
      <w:r w:rsidRPr="004E3720">
        <w:rPr>
          <w:rFonts w:eastAsia="Times New Roman" w:cstheme="minorHAnsi"/>
        </w:rPr>
        <w:t xml:space="preserve">egioni del Nord e quelle del Sud. </w:t>
      </w:r>
      <w:r>
        <w:rPr>
          <w:rFonts w:eastAsia="Times New Roman" w:cstheme="minorHAnsi"/>
        </w:rPr>
        <w:t xml:space="preserve">Il saldo è </w:t>
      </w:r>
      <w:r w:rsidR="008860BD">
        <w:rPr>
          <w:rFonts w:eastAsia="Times New Roman" w:cstheme="minorHAnsi"/>
        </w:rPr>
        <w:t xml:space="preserve">la </w:t>
      </w:r>
      <w:r>
        <w:rPr>
          <w:rFonts w:eastAsia="Times New Roman" w:cstheme="minorHAnsi"/>
        </w:rPr>
        <w:t xml:space="preserve">differenza tra </w:t>
      </w:r>
      <w:r w:rsidRPr="004E3720">
        <w:rPr>
          <w:rFonts w:eastAsia="Times New Roman" w:cstheme="minorHAnsi"/>
        </w:rPr>
        <w:t xml:space="preserve">mobilità attiva, </w:t>
      </w:r>
      <w:r>
        <w:rPr>
          <w:rFonts w:eastAsia="Times New Roman" w:cstheme="minorHAnsi"/>
        </w:rPr>
        <w:t>ovvero l’</w:t>
      </w:r>
      <w:r w:rsidRPr="004E3720">
        <w:rPr>
          <w:rFonts w:eastAsia="Times New Roman" w:cstheme="minorHAnsi"/>
        </w:rPr>
        <w:t xml:space="preserve">attrazione di </w:t>
      </w:r>
      <w:r>
        <w:rPr>
          <w:rFonts w:eastAsia="Times New Roman" w:cstheme="minorHAnsi"/>
        </w:rPr>
        <w:t xml:space="preserve">pazienti </w:t>
      </w:r>
      <w:r w:rsidR="008F61DA">
        <w:rPr>
          <w:rFonts w:eastAsia="Times New Roman" w:cstheme="minorHAnsi"/>
        </w:rPr>
        <w:t xml:space="preserve">provenienti </w:t>
      </w:r>
      <w:r>
        <w:rPr>
          <w:rFonts w:eastAsia="Times New Roman" w:cstheme="minorHAnsi"/>
        </w:rPr>
        <w:t>da altre Regioni</w:t>
      </w:r>
      <w:r w:rsidRPr="004E3720">
        <w:rPr>
          <w:rFonts w:eastAsia="Times New Roman" w:cstheme="minorHAnsi"/>
        </w:rPr>
        <w:t xml:space="preserve">, e quella passiva, cioè la </w:t>
      </w:r>
      <w:r>
        <w:rPr>
          <w:rFonts w:eastAsia="Times New Roman" w:cstheme="minorHAnsi"/>
        </w:rPr>
        <w:t>“migrazione”</w:t>
      </w:r>
      <w:r w:rsidRPr="004E3720">
        <w:rPr>
          <w:rFonts w:eastAsia="Times New Roman" w:cstheme="minorHAnsi"/>
        </w:rPr>
        <w:t xml:space="preserve"> </w:t>
      </w:r>
      <w:r w:rsidR="008F61DA">
        <w:rPr>
          <w:rFonts w:eastAsia="Times New Roman" w:cstheme="minorHAnsi"/>
        </w:rPr>
        <w:t xml:space="preserve">dei pazienti </w:t>
      </w:r>
      <w:r>
        <w:rPr>
          <w:rFonts w:eastAsia="Times New Roman" w:cstheme="minorHAnsi"/>
        </w:rPr>
        <w:t>dalla R</w:t>
      </w:r>
      <w:r w:rsidRPr="004E3720">
        <w:rPr>
          <w:rFonts w:eastAsia="Times New Roman" w:cstheme="minorHAnsi"/>
        </w:rPr>
        <w:t>egione</w:t>
      </w:r>
      <w:r>
        <w:rPr>
          <w:rFonts w:eastAsia="Times New Roman" w:cstheme="minorHAnsi"/>
        </w:rPr>
        <w:t xml:space="preserve"> di residenza</w:t>
      </w:r>
      <w:r w:rsidRPr="004E372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4E3720">
        <w:rPr>
          <w:rFonts w:eastAsia="Times New Roman" w:cstheme="minorHAnsi"/>
        </w:rPr>
        <w:t>Emilia-Romagna, Lombardia e Veneto</w:t>
      </w:r>
      <w:r>
        <w:rPr>
          <w:rFonts w:eastAsia="Times New Roman" w:cstheme="minorHAnsi"/>
        </w:rPr>
        <w:t xml:space="preserve"> </w:t>
      </w:r>
      <w:r>
        <w:t>–</w:t>
      </w:r>
      <w:r>
        <w:rPr>
          <w:rFonts w:eastAsia="Times New Roman" w:cstheme="minorHAnsi"/>
        </w:rPr>
        <w:t xml:space="preserve"> R</w:t>
      </w:r>
      <w:r w:rsidRPr="004E3720">
        <w:rPr>
          <w:rFonts w:eastAsia="Times New Roman" w:cstheme="minorHAnsi"/>
        </w:rPr>
        <w:t xml:space="preserve">egioni </w:t>
      </w:r>
      <w:r>
        <w:rPr>
          <w:rFonts w:eastAsia="Times New Roman" w:cstheme="minorHAnsi"/>
        </w:rPr>
        <w:t>capofila del</w:t>
      </w:r>
      <w:r w:rsidRPr="004E3720">
        <w:rPr>
          <w:rFonts w:eastAsia="Times New Roman" w:cstheme="minorHAnsi"/>
        </w:rPr>
        <w:t>l</w:t>
      </w:r>
      <w:r>
        <w:rPr>
          <w:rFonts w:eastAsia="Times New Roman" w:cstheme="minorHAnsi"/>
        </w:rPr>
        <w:t>’</w:t>
      </w:r>
      <w:r w:rsidRPr="004E3720">
        <w:rPr>
          <w:rFonts w:eastAsia="Times New Roman" w:cstheme="minorHAnsi"/>
        </w:rPr>
        <w:t>autonomia differenziata</w:t>
      </w:r>
      <w:r>
        <w:rPr>
          <w:rFonts w:eastAsia="Times New Roman" w:cstheme="minorHAnsi"/>
        </w:rPr>
        <w:t xml:space="preserve"> </w:t>
      </w:r>
      <w:r>
        <w:t>–</w:t>
      </w:r>
      <w:r>
        <w:rPr>
          <w:rFonts w:eastAsia="Times New Roman" w:cstheme="minorHAnsi"/>
        </w:rPr>
        <w:t xml:space="preserve"> raccolgono </w:t>
      </w:r>
      <w:r w:rsidRPr="004E3720">
        <w:rPr>
          <w:rFonts w:eastAsia="Times New Roman" w:cstheme="minorHAnsi"/>
        </w:rPr>
        <w:t xml:space="preserve">il </w:t>
      </w:r>
      <w:r w:rsidR="00AC269B">
        <w:rPr>
          <w:rFonts w:eastAsia="Times New Roman" w:cstheme="minorHAnsi"/>
        </w:rPr>
        <w:t>93,3</w:t>
      </w:r>
      <w:r w:rsidRPr="004E3720">
        <w:rPr>
          <w:rFonts w:eastAsia="Times New Roman" w:cstheme="minorHAnsi"/>
        </w:rPr>
        <w:t xml:space="preserve">% del saldo attivo, mentre </w:t>
      </w:r>
      <w:r w:rsidR="00AC269B">
        <w:rPr>
          <w:rFonts w:eastAsia="Times New Roman" w:cstheme="minorHAnsi"/>
        </w:rPr>
        <w:t>il 76,9</w:t>
      </w:r>
      <w:r w:rsidRPr="004E3720">
        <w:rPr>
          <w:rFonts w:eastAsia="Times New Roman" w:cstheme="minorHAnsi"/>
        </w:rPr>
        <w:t>% d</w:t>
      </w:r>
      <w:r>
        <w:rPr>
          <w:rFonts w:eastAsia="Times New Roman" w:cstheme="minorHAnsi"/>
        </w:rPr>
        <w:t xml:space="preserve">el saldo </w:t>
      </w:r>
      <w:r w:rsidRPr="004E3720">
        <w:rPr>
          <w:rFonts w:eastAsia="Times New Roman" w:cstheme="minorHAnsi"/>
        </w:rPr>
        <w:t xml:space="preserve">passivo si concentra in </w:t>
      </w:r>
      <w:r w:rsidR="00AC269B">
        <w:rPr>
          <w:rFonts w:eastAsia="Times New Roman" w:cstheme="minorHAnsi"/>
        </w:rPr>
        <w:t>Calabria, Campania, Sicilia, Lazio, Puglia</w:t>
      </w:r>
      <w:r w:rsidR="008F61DA">
        <w:rPr>
          <w:rFonts w:eastAsia="Times New Roman" w:cstheme="minorHAnsi"/>
        </w:rPr>
        <w:t xml:space="preserve"> e </w:t>
      </w:r>
      <w:r w:rsidR="00AC269B">
        <w:rPr>
          <w:rFonts w:eastAsia="Times New Roman" w:cstheme="minorHAnsi"/>
        </w:rPr>
        <w:t>Abruzzo</w:t>
      </w:r>
      <w:r w:rsidRPr="004E3720">
        <w:rPr>
          <w:rFonts w:eastAsia="Times New Roman" w:cstheme="minorHAnsi"/>
        </w:rPr>
        <w:t xml:space="preserve">. </w:t>
      </w:r>
      <w:r w:rsidRPr="009E0966">
        <w:rPr>
          <w:rFonts w:eastAsia="Times New Roman" w:cstheme="minorHAnsi"/>
        </w:rPr>
        <w:t xml:space="preserve">«La mobilità sanitaria – spiega </w:t>
      </w:r>
      <w:r w:rsidRPr="009E0966">
        <w:t xml:space="preserve">Nino Cartabellotta, Presidente della Fondazione GIMBE </w:t>
      </w:r>
      <w:r w:rsidRPr="009E0966">
        <w:rPr>
          <w:rFonts w:eastAsia="Times New Roman" w:cstheme="minorHAnsi"/>
        </w:rPr>
        <w:t>– è un fenomeno dalle enormi implicazioni sanitarie, sociali</w:t>
      </w:r>
      <w:r w:rsidR="00BB529C">
        <w:rPr>
          <w:rFonts w:eastAsia="Times New Roman" w:cstheme="minorHAnsi"/>
        </w:rPr>
        <w:t>,</w:t>
      </w:r>
      <w:r w:rsidRPr="009E0966">
        <w:rPr>
          <w:rFonts w:eastAsia="Times New Roman" w:cstheme="minorHAnsi"/>
        </w:rPr>
        <w:t xml:space="preserve"> etiche </w:t>
      </w:r>
      <w:r w:rsidRPr="00525411">
        <w:rPr>
          <w:rFonts w:eastAsia="Times New Roman" w:cstheme="minorHAnsi"/>
        </w:rPr>
        <w:t>ed economiche, che riflette le grandi diseguaglianze nell’offerta di servizi sanitari tra le varie Regioni e, soprattutto</w:t>
      </w:r>
      <w:r w:rsidRPr="00252636">
        <w:rPr>
          <w:rFonts w:eastAsia="Times New Roman" w:cstheme="minorHAnsi"/>
        </w:rPr>
        <w:t>, tra il Nord e il Sud del Paese.</w:t>
      </w:r>
      <w:r w:rsidR="009E0966" w:rsidRPr="00252636">
        <w:rPr>
          <w:rFonts w:eastAsia="Times New Roman" w:cstheme="minorHAnsi"/>
        </w:rPr>
        <w:t xml:space="preserve"> Un</w:t>
      </w:r>
      <w:r w:rsidR="00A162A7" w:rsidRPr="00252636">
        <w:rPr>
          <w:rFonts w:eastAsia="Times New Roman" w:cstheme="minorHAnsi"/>
        </w:rPr>
        <w:t xml:space="preserve"> gap diventato ormai una </w:t>
      </w:r>
      <w:r w:rsidR="009E0966" w:rsidRPr="00252636">
        <w:rPr>
          <w:rFonts w:eastAsia="Times New Roman" w:cstheme="minorHAnsi"/>
        </w:rPr>
        <w:t xml:space="preserve">“frattura strutturale” </w:t>
      </w:r>
      <w:r w:rsidR="00FF2569" w:rsidRPr="00252636">
        <w:rPr>
          <w:rFonts w:eastAsia="Times New Roman" w:cstheme="minorHAnsi"/>
        </w:rPr>
        <w:t>destinata ad essere</w:t>
      </w:r>
      <w:r w:rsidR="009E0966" w:rsidRPr="00252636">
        <w:rPr>
          <w:rFonts w:eastAsia="Times New Roman" w:cstheme="minorHAnsi"/>
        </w:rPr>
        <w:t xml:space="preserve"> </w:t>
      </w:r>
      <w:r w:rsidR="00A162A7" w:rsidRPr="00252636">
        <w:rPr>
          <w:rFonts w:eastAsia="Times New Roman" w:cstheme="minorHAnsi"/>
        </w:rPr>
        <w:t xml:space="preserve">aggravata </w:t>
      </w:r>
      <w:r w:rsidR="009E0966" w:rsidRPr="00252636">
        <w:rPr>
          <w:rFonts w:eastAsia="Times New Roman" w:cstheme="minorHAnsi"/>
        </w:rPr>
        <w:t>dall’autonomia differenziata</w:t>
      </w:r>
      <w:r w:rsidR="0095305E" w:rsidRPr="00252636">
        <w:rPr>
          <w:rFonts w:eastAsia="Times New Roman" w:cstheme="minorHAnsi"/>
        </w:rPr>
        <w:t xml:space="preserve">, </w:t>
      </w:r>
      <w:r w:rsidR="00A162A7" w:rsidRPr="00252636">
        <w:rPr>
          <w:rFonts w:eastAsia="Times New Roman" w:cstheme="minorHAnsi"/>
        </w:rPr>
        <w:t>che in sanità legittim</w:t>
      </w:r>
      <w:r w:rsidR="00577261" w:rsidRPr="00252636">
        <w:rPr>
          <w:rFonts w:eastAsia="Times New Roman" w:cstheme="minorHAnsi"/>
        </w:rPr>
        <w:t xml:space="preserve">erà </w:t>
      </w:r>
      <w:r w:rsidR="00A162A7" w:rsidRPr="00252636">
        <w:rPr>
          <w:rFonts w:eastAsia="Times New Roman" w:cstheme="minorHAnsi"/>
        </w:rPr>
        <w:t xml:space="preserve">normativamente il divario Nord-Sud, </w:t>
      </w:r>
      <w:r w:rsidR="002A0C7B" w:rsidRPr="00252636">
        <w:t>amplifica</w:t>
      </w:r>
      <w:r w:rsidR="00A162A7" w:rsidRPr="00252636">
        <w:t>ndo</w:t>
      </w:r>
      <w:r w:rsidR="002A0C7B" w:rsidRPr="00252636">
        <w:t xml:space="preserve"> le inaccettabili diseguaglianze </w:t>
      </w:r>
      <w:r w:rsidR="00A162A7" w:rsidRPr="00252636">
        <w:t xml:space="preserve">nell’esigibilità del diritto costituzionale alla </w:t>
      </w:r>
      <w:r w:rsidR="002A0C7B" w:rsidRPr="00252636">
        <w:t>tutela della salute</w:t>
      </w:r>
      <w:r w:rsidRPr="00252636">
        <w:rPr>
          <w:rFonts w:eastAsia="Times New Roman" w:cstheme="minorHAnsi"/>
        </w:rPr>
        <w:t>».</w:t>
      </w:r>
    </w:p>
    <w:p w14:paraId="2D8D3A2B" w14:textId="1D1DEF5F" w:rsidR="00BD72E6" w:rsidRPr="00152E41" w:rsidRDefault="00A162A7" w:rsidP="005256C7">
      <w:pPr>
        <w:jc w:val="both"/>
      </w:pPr>
      <w:r w:rsidRPr="00252636">
        <w:rPr>
          <w:rFonts w:eastAsia="Times New Roman" w:cstheme="minorHAnsi"/>
        </w:rPr>
        <w:t>Ecco perché, i</w:t>
      </w:r>
      <w:r w:rsidR="00BD72E6" w:rsidRPr="00252636">
        <w:rPr>
          <w:rFonts w:eastAsia="Times New Roman" w:cstheme="minorHAnsi"/>
        </w:rPr>
        <w:t xml:space="preserve">n occasione </w:t>
      </w:r>
      <w:r w:rsidR="003C0D0D" w:rsidRPr="00252636">
        <w:t xml:space="preserve">dell’avvio </w:t>
      </w:r>
      <w:r w:rsidR="00BD72E6" w:rsidRPr="00252636">
        <w:t xml:space="preserve">della discussione </w:t>
      </w:r>
      <w:r w:rsidR="0095305E" w:rsidRPr="00252636">
        <w:t xml:space="preserve">in Aula al Senato </w:t>
      </w:r>
      <w:r w:rsidR="00BD72E6" w:rsidRPr="00252636">
        <w:t xml:space="preserve">del </w:t>
      </w:r>
      <w:r w:rsidR="003C0D0D" w:rsidRPr="00252636">
        <w:t xml:space="preserve">DdL </w:t>
      </w:r>
      <w:r w:rsidR="00BD72E6" w:rsidRPr="00252636">
        <w:t>Calderoli</w:t>
      </w:r>
      <w:r w:rsidRPr="00252636">
        <w:t>,</w:t>
      </w:r>
      <w:r w:rsidR="00BD72E6" w:rsidRPr="00252636">
        <w:t xml:space="preserve"> </w:t>
      </w:r>
      <w:r w:rsidRPr="00252636">
        <w:t>continua Cartabellotta</w:t>
      </w:r>
      <w:r w:rsidR="007C3356">
        <w:t>,</w:t>
      </w:r>
      <w:r w:rsidRPr="00252636">
        <w:t xml:space="preserve"> </w:t>
      </w:r>
      <w:r w:rsidRPr="00252636">
        <w:rPr>
          <w:rFonts w:eastAsia="Times New Roman" w:cstheme="minorHAnsi"/>
        </w:rPr>
        <w:t>«</w:t>
      </w:r>
      <w:r w:rsidR="003C0D0D" w:rsidRPr="00252636">
        <w:t xml:space="preserve">la Fondazione GIMBE </w:t>
      </w:r>
      <w:r w:rsidR="00BD72E6" w:rsidRPr="00252636">
        <w:t xml:space="preserve">ribadisce quanto </w:t>
      </w:r>
      <w:r w:rsidRPr="00252636">
        <w:t xml:space="preserve">già </w:t>
      </w:r>
      <w:r w:rsidR="00BD72E6" w:rsidRPr="00252636">
        <w:t xml:space="preserve">riferito </w:t>
      </w:r>
      <w:r w:rsidR="00577261" w:rsidRPr="00252636">
        <w:t xml:space="preserve">nell’audizione in </w:t>
      </w:r>
      <w:r w:rsidRPr="00252636">
        <w:t>1</w:t>
      </w:r>
      <w:r w:rsidRPr="00252636">
        <w:rPr>
          <w:vertAlign w:val="superscript"/>
        </w:rPr>
        <w:t>a</w:t>
      </w:r>
      <w:r w:rsidRPr="00252636">
        <w:t xml:space="preserve"> </w:t>
      </w:r>
      <w:r w:rsidR="00BD72E6" w:rsidRPr="00252636">
        <w:t>Commissione Affari Costituzionali del Senato</w:t>
      </w:r>
      <w:r w:rsidR="00577261" w:rsidRPr="00252636">
        <w:t xml:space="preserve">: </w:t>
      </w:r>
      <w:r w:rsidR="00BD72E6" w:rsidRPr="00252636">
        <w:rPr>
          <w:b/>
          <w:bCs/>
        </w:rPr>
        <w:t>la tutela della salute deve essere espunta dalle materie su cui le Regioni possono richiedere maggiori autonomie</w:t>
      </w:r>
      <w:r w:rsidRPr="00252636">
        <w:rPr>
          <w:rFonts w:eastAsia="Times New Roman" w:cstheme="minorHAnsi"/>
        </w:rPr>
        <w:t>»</w:t>
      </w:r>
      <w:r w:rsidRPr="00252636">
        <w:t>.</w:t>
      </w:r>
      <w:r w:rsidR="00BD72E6" w:rsidRPr="00252636">
        <w:t xml:space="preserve"> </w:t>
      </w:r>
      <w:r w:rsidR="007C3356">
        <w:t>Numerose</w:t>
      </w:r>
      <w:r w:rsidR="00FF2569" w:rsidRPr="00252636">
        <w:t xml:space="preserve"> le </w:t>
      </w:r>
      <w:r w:rsidR="00EA6BBC">
        <w:t>motivazioni</w:t>
      </w:r>
      <w:r w:rsidR="00FF2569" w:rsidRPr="00252636">
        <w:t>:</w:t>
      </w:r>
    </w:p>
    <w:p w14:paraId="1DFD499C" w14:textId="6ED61606" w:rsidR="009E0966" w:rsidRPr="00152E41" w:rsidRDefault="00BD72E6" w:rsidP="00C2699C">
      <w:pPr>
        <w:pStyle w:val="Paragrafoelenco"/>
        <w:numPr>
          <w:ilvl w:val="0"/>
          <w:numId w:val="23"/>
        </w:numPr>
        <w:spacing w:line="276" w:lineRule="auto"/>
        <w:jc w:val="both"/>
        <w:rPr>
          <w:rFonts w:eastAsia="Times New Roman" w:cstheme="minorHAnsi"/>
        </w:rPr>
      </w:pPr>
      <w:r w:rsidRPr="00152E41">
        <w:t>Il Servizio Sanitario Nazionale attraversa una grav</w:t>
      </w:r>
      <w:r w:rsidR="008F4962">
        <w:t xml:space="preserve">issima </w:t>
      </w:r>
      <w:r w:rsidRPr="00152E41">
        <w:t>crisi di sostenibilità</w:t>
      </w:r>
      <w:r w:rsidR="000A1A5C" w:rsidRPr="00152E41">
        <w:t xml:space="preserve"> e il sotto-finanziamento costringe anche le </w:t>
      </w:r>
      <w:r w:rsidR="00BB529C">
        <w:t>R</w:t>
      </w:r>
      <w:r w:rsidR="00BB529C" w:rsidRPr="00152E41">
        <w:t xml:space="preserve">egioni </w:t>
      </w:r>
      <w:r w:rsidR="000A1A5C" w:rsidRPr="00152E41">
        <w:t xml:space="preserve">virtuose del Nord a tagliare i servizi </w:t>
      </w:r>
      <w:r w:rsidR="008374B6">
        <w:t>e/</w:t>
      </w:r>
      <w:r w:rsidR="000A1A5C" w:rsidRPr="00152E41">
        <w:t xml:space="preserve">o </w:t>
      </w:r>
      <w:r w:rsidR="000A1A5C" w:rsidRPr="00252636">
        <w:t>ad aumentare le imposte regionali.</w:t>
      </w:r>
      <w:r w:rsidR="00BA5FD9" w:rsidRPr="00252636">
        <w:t xml:space="preserve"> </w:t>
      </w:r>
      <w:r w:rsidR="007C3356">
        <w:t>In altri termini</w:t>
      </w:r>
      <w:r w:rsidR="00BA5FD9" w:rsidRPr="00252636">
        <w:t xml:space="preserve"> non ci sono risorse da mettere in campo per colmare le diseguaglianze in sanità.</w:t>
      </w:r>
    </w:p>
    <w:p w14:paraId="18FD9A33" w14:textId="77777777" w:rsidR="00BA5FD9" w:rsidRPr="00152E41" w:rsidRDefault="00BA5FD9" w:rsidP="00BA5FD9">
      <w:pPr>
        <w:pStyle w:val="Paragrafoelenco"/>
        <w:numPr>
          <w:ilvl w:val="0"/>
          <w:numId w:val="23"/>
        </w:numPr>
        <w:spacing w:line="276" w:lineRule="auto"/>
        <w:jc w:val="both"/>
        <w:rPr>
          <w:rFonts w:eastAsia="Times New Roman" w:cstheme="minorHAnsi"/>
        </w:rPr>
      </w:pPr>
      <w:r w:rsidRPr="00152E41">
        <w:rPr>
          <w:rFonts w:eastAsia="Times New Roman" w:cstheme="minorHAnsi"/>
        </w:rPr>
        <w:t>Il Dd</w:t>
      </w:r>
      <w:r>
        <w:rPr>
          <w:rFonts w:eastAsia="Times New Roman" w:cstheme="minorHAnsi"/>
        </w:rPr>
        <w:t>L</w:t>
      </w:r>
      <w:r w:rsidRPr="00152E41">
        <w:rPr>
          <w:rFonts w:eastAsia="Times New Roman" w:cstheme="minorHAnsi"/>
        </w:rPr>
        <w:t xml:space="preserve"> Calderoli rimane molto vago sul</w:t>
      </w:r>
      <w:r>
        <w:rPr>
          <w:rFonts w:eastAsia="Times New Roman" w:cstheme="minorHAnsi"/>
        </w:rPr>
        <w:t xml:space="preserve">le modalità di </w:t>
      </w:r>
      <w:r w:rsidRPr="00152E41">
        <w:rPr>
          <w:rFonts w:eastAsia="Times New Roman" w:cstheme="minorHAnsi"/>
        </w:rPr>
        <w:t>finanziamento</w:t>
      </w:r>
      <w:r>
        <w:rPr>
          <w:rFonts w:eastAsia="Times New Roman" w:cstheme="minorHAnsi"/>
        </w:rPr>
        <w:t>,</w:t>
      </w:r>
      <w:r w:rsidRPr="00152E41">
        <w:rPr>
          <w:rFonts w:eastAsia="Times New Roman" w:cstheme="minorHAnsi"/>
        </w:rPr>
        <w:t xml:space="preserve"> oltre</w:t>
      </w:r>
      <w:r>
        <w:rPr>
          <w:rFonts w:eastAsia="Times New Roman" w:cstheme="minorHAnsi"/>
        </w:rPr>
        <w:t xml:space="preserve"> che sugli strumenti per garantire</w:t>
      </w:r>
      <w:r w:rsidRPr="00152E41">
        <w:rPr>
          <w:rFonts w:eastAsia="Times New Roman" w:cstheme="minorHAnsi"/>
        </w:rPr>
        <w:t xml:space="preserve"> i Livelli Essenziali delle Prestazioni (LEP) secondo quanto previsto dalla Carta Costituzionale.</w:t>
      </w:r>
    </w:p>
    <w:p w14:paraId="541156AA" w14:textId="77777777" w:rsidR="00BD72E6" w:rsidRPr="00152E41" w:rsidRDefault="00BD72E6" w:rsidP="00C2699C">
      <w:pPr>
        <w:pStyle w:val="Paragrafoelenco"/>
        <w:numPr>
          <w:ilvl w:val="0"/>
          <w:numId w:val="23"/>
        </w:numPr>
        <w:spacing w:line="276" w:lineRule="auto"/>
        <w:jc w:val="both"/>
        <w:rPr>
          <w:rFonts w:eastAsia="Times New Roman" w:cstheme="minorHAnsi"/>
        </w:rPr>
      </w:pPr>
      <w:r w:rsidRPr="00152E41">
        <w:t xml:space="preserve">Il gap </w:t>
      </w:r>
      <w:r w:rsidR="007C3356">
        <w:t xml:space="preserve">in sanità </w:t>
      </w:r>
      <w:r w:rsidRPr="00152E41">
        <w:t xml:space="preserve">tra Regioni del Nord e del Sud è sempre più ampio, come dimostrano </w:t>
      </w:r>
      <w:r w:rsidR="00BB529C">
        <w:t>i dati su</w:t>
      </w:r>
      <w:r w:rsidRPr="00152E41">
        <w:t xml:space="preserve">gli adempimenti ai Livelli Essenziali di Assistenza (LEA) e </w:t>
      </w:r>
      <w:r w:rsidR="00BB529C">
        <w:t>quelli</w:t>
      </w:r>
      <w:r w:rsidRPr="00152E41">
        <w:t xml:space="preserve"> sulla mobilità sanitaria qui </w:t>
      </w:r>
      <w:r w:rsidR="000A1A5C" w:rsidRPr="00152E41">
        <w:t>riportati.</w:t>
      </w:r>
    </w:p>
    <w:p w14:paraId="3836A42E" w14:textId="7CF7BCE6" w:rsidR="00F533FC" w:rsidRDefault="002A6FEF" w:rsidP="00584280">
      <w:pPr>
        <w:pStyle w:val="Paragrafoelenco"/>
        <w:numPr>
          <w:ilvl w:val="0"/>
          <w:numId w:val="23"/>
        </w:numPr>
        <w:spacing w:line="276" w:lineRule="auto"/>
        <w:jc w:val="both"/>
        <w:rPr>
          <w:rFonts w:eastAsia="Times New Roman" w:cstheme="minorHAnsi"/>
        </w:rPr>
      </w:pPr>
      <w:r w:rsidRPr="002A6FEF">
        <w:rPr>
          <w:rFonts w:eastAsia="Times New Roman" w:cstheme="minorHAnsi"/>
        </w:rPr>
        <w:t>Le maggiori autonomie già richieste da Emilia-Romagna, Lombardia e Veneto potenzieranno le performance</w:t>
      </w:r>
      <w:r w:rsidR="007C3356">
        <w:rPr>
          <w:rFonts w:eastAsia="Times New Roman" w:cstheme="minorHAnsi"/>
        </w:rPr>
        <w:t xml:space="preserve"> di queste Regioni</w:t>
      </w:r>
      <w:r w:rsidRPr="002A6FEF">
        <w:rPr>
          <w:rFonts w:eastAsia="Times New Roman" w:cstheme="minorHAnsi"/>
        </w:rPr>
        <w:t xml:space="preserve"> e, al tempo stesso, indeboliranno ulteriormente </w:t>
      </w:r>
      <w:r w:rsidR="007C3356">
        <w:rPr>
          <w:rFonts w:eastAsia="Times New Roman" w:cstheme="minorHAnsi"/>
        </w:rPr>
        <w:t>quelle</w:t>
      </w:r>
      <w:r w:rsidRPr="002A6FEF">
        <w:rPr>
          <w:rFonts w:eastAsia="Times New Roman" w:cstheme="minorHAnsi"/>
        </w:rPr>
        <w:t xml:space="preserve"> del Sud</w:t>
      </w:r>
      <w:r w:rsidR="006E6098">
        <w:rPr>
          <w:rFonts w:eastAsia="Times New Roman" w:cstheme="minorHAnsi"/>
        </w:rPr>
        <w:t>, anche quelle a statuto speciale</w:t>
      </w:r>
      <w:r w:rsidRPr="002A6FEF">
        <w:rPr>
          <w:rFonts w:eastAsia="Times New Roman" w:cstheme="minorHAnsi"/>
        </w:rPr>
        <w:t xml:space="preserve">. Un esempio fra tutti: una maggiore autonomia in termini di contrattazione del personale, rischia di provocare una fuga </w:t>
      </w:r>
      <w:r w:rsidR="006E6098">
        <w:rPr>
          <w:rFonts w:eastAsia="Times New Roman" w:cstheme="minorHAnsi"/>
        </w:rPr>
        <w:t xml:space="preserve">dei professionisti sanitari </w:t>
      </w:r>
      <w:r w:rsidRPr="002A6FEF">
        <w:rPr>
          <w:rFonts w:eastAsia="Times New Roman" w:cstheme="minorHAnsi"/>
        </w:rPr>
        <w:t>verso le Regioni in grado di offrire condizioni economiche più vantaggiose.</w:t>
      </w:r>
    </w:p>
    <w:p w14:paraId="23454C2F" w14:textId="77777777" w:rsidR="00584280" w:rsidRDefault="000A1A5C" w:rsidP="00491F63">
      <w:pPr>
        <w:pStyle w:val="Paragrafoelenco"/>
        <w:numPr>
          <w:ilvl w:val="0"/>
          <w:numId w:val="23"/>
        </w:numPr>
        <w:spacing w:line="276" w:lineRule="auto"/>
        <w:jc w:val="both"/>
        <w:rPr>
          <w:rFonts w:eastAsia="Times New Roman" w:cstheme="minorHAnsi"/>
        </w:rPr>
      </w:pPr>
      <w:r w:rsidRPr="00152E41">
        <w:rPr>
          <w:rFonts w:eastAsia="Times New Roman" w:cstheme="minorHAnsi"/>
        </w:rPr>
        <w:lastRenderedPageBreak/>
        <w:t>Le Regioni del Sud non avranno alcun vantaggio</w:t>
      </w:r>
      <w:r w:rsidR="006E6098">
        <w:rPr>
          <w:rFonts w:eastAsia="Times New Roman" w:cstheme="minorHAnsi"/>
        </w:rPr>
        <w:t xml:space="preserve">: </w:t>
      </w:r>
      <w:r w:rsidR="00044625">
        <w:rPr>
          <w:rFonts w:eastAsia="Times New Roman" w:cstheme="minorHAnsi"/>
        </w:rPr>
        <w:t xml:space="preserve">essendo </w:t>
      </w:r>
      <w:r w:rsidRPr="00152E41">
        <w:rPr>
          <w:rFonts w:eastAsia="Times New Roman" w:cstheme="minorHAnsi"/>
        </w:rPr>
        <w:t xml:space="preserve">tutte </w:t>
      </w:r>
      <w:r w:rsidR="006E6098">
        <w:rPr>
          <w:rFonts w:eastAsia="Times New Roman" w:cstheme="minorHAnsi"/>
        </w:rPr>
        <w:t>(</w:t>
      </w:r>
      <w:r w:rsidR="00584280">
        <w:rPr>
          <w:rFonts w:eastAsia="Times New Roman" w:cstheme="minorHAnsi"/>
        </w:rPr>
        <w:t xml:space="preserve">tranne la </w:t>
      </w:r>
      <w:r w:rsidR="00044625" w:rsidRPr="00152E41">
        <w:rPr>
          <w:rFonts w:eastAsia="Times New Roman" w:cstheme="minorHAnsi"/>
        </w:rPr>
        <w:t>Basilicata</w:t>
      </w:r>
      <w:r w:rsidR="006E6098">
        <w:rPr>
          <w:rFonts w:eastAsia="Times New Roman" w:cstheme="minorHAnsi"/>
        </w:rPr>
        <w:t>)</w:t>
      </w:r>
      <w:r w:rsidR="00584280">
        <w:rPr>
          <w:rFonts w:eastAsia="Times New Roman" w:cstheme="minorHAnsi"/>
        </w:rPr>
        <w:t xml:space="preserve"> </w:t>
      </w:r>
      <w:r w:rsidRPr="00152E41">
        <w:rPr>
          <w:rFonts w:eastAsia="Times New Roman" w:cstheme="minorHAnsi"/>
        </w:rPr>
        <w:t xml:space="preserve">in Piano di rientro o </w:t>
      </w:r>
      <w:r w:rsidR="00044625">
        <w:rPr>
          <w:rFonts w:eastAsia="Times New Roman" w:cstheme="minorHAnsi"/>
        </w:rPr>
        <w:t xml:space="preserve">addirittura </w:t>
      </w:r>
      <w:r w:rsidRPr="00152E41">
        <w:rPr>
          <w:rFonts w:eastAsia="Times New Roman" w:cstheme="minorHAnsi"/>
        </w:rPr>
        <w:t xml:space="preserve">commissariate </w:t>
      </w:r>
      <w:r w:rsidR="006E6098">
        <w:rPr>
          <w:rFonts w:eastAsia="Times New Roman" w:cstheme="minorHAnsi"/>
        </w:rPr>
        <w:t xml:space="preserve">come </w:t>
      </w:r>
      <w:r w:rsidRPr="00152E41">
        <w:rPr>
          <w:rFonts w:eastAsia="Times New Roman" w:cstheme="minorHAnsi"/>
        </w:rPr>
        <w:t>Calabria e Molise</w:t>
      </w:r>
      <w:r w:rsidR="006E6098">
        <w:rPr>
          <w:rFonts w:eastAsia="Times New Roman" w:cstheme="minorHAnsi"/>
        </w:rPr>
        <w:t xml:space="preserve">, </w:t>
      </w:r>
      <w:r w:rsidR="00044625">
        <w:rPr>
          <w:rFonts w:eastAsia="Times New Roman" w:cstheme="minorHAnsi"/>
        </w:rPr>
        <w:t>non</w:t>
      </w:r>
      <w:r w:rsidR="00584280">
        <w:rPr>
          <w:rFonts w:eastAsia="Times New Roman" w:cstheme="minorHAnsi"/>
        </w:rPr>
        <w:t xml:space="preserve"> avrebbero</w:t>
      </w:r>
      <w:r w:rsidR="00044625">
        <w:rPr>
          <w:rFonts w:eastAsia="Times New Roman" w:cstheme="minorHAnsi"/>
        </w:rPr>
        <w:t xml:space="preserve"> </w:t>
      </w:r>
      <w:r w:rsidR="00584280">
        <w:rPr>
          <w:rFonts w:eastAsia="Times New Roman" w:cstheme="minorHAnsi"/>
        </w:rPr>
        <w:t xml:space="preserve">nemmeno le condizioni </w:t>
      </w:r>
      <w:r w:rsidR="00044625">
        <w:rPr>
          <w:rFonts w:eastAsia="Times New Roman" w:cstheme="minorHAnsi"/>
        </w:rPr>
        <w:t xml:space="preserve">per richiedere </w:t>
      </w:r>
      <w:r w:rsidR="00044625" w:rsidRPr="00152E41">
        <w:rPr>
          <w:rFonts w:eastAsia="Times New Roman" w:cstheme="minorHAnsi"/>
        </w:rPr>
        <w:t>maggiori autonomie</w:t>
      </w:r>
      <w:r w:rsidR="00044625">
        <w:rPr>
          <w:rFonts w:eastAsia="Times New Roman" w:cstheme="minorHAnsi"/>
        </w:rPr>
        <w:t xml:space="preserve"> in sanità.</w:t>
      </w:r>
    </w:p>
    <w:p w14:paraId="348867E3" w14:textId="77777777" w:rsidR="00491F63" w:rsidRPr="00584280" w:rsidRDefault="00491F63" w:rsidP="00491F63">
      <w:pPr>
        <w:pStyle w:val="Paragrafoelenco"/>
        <w:numPr>
          <w:ilvl w:val="0"/>
          <w:numId w:val="23"/>
        </w:numPr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Il</w:t>
      </w:r>
      <w:r w:rsidRPr="00491F63">
        <w:rPr>
          <w:rFonts w:eastAsia="Times New Roman" w:cstheme="minorHAnsi"/>
        </w:rPr>
        <w:t xml:space="preserve"> Paese, indebitando</w:t>
      </w:r>
      <w:r>
        <w:rPr>
          <w:rFonts w:eastAsia="Times New Roman" w:cstheme="minorHAnsi"/>
        </w:rPr>
        <w:t xml:space="preserve"> le future generazioni, </w:t>
      </w:r>
      <w:r w:rsidRPr="00491F63">
        <w:rPr>
          <w:rFonts w:eastAsia="Times New Roman" w:cstheme="minorHAnsi"/>
        </w:rPr>
        <w:t xml:space="preserve">ha sottoscritto il PNRR che </w:t>
      </w:r>
      <w:r>
        <w:rPr>
          <w:rFonts w:eastAsia="Times New Roman" w:cstheme="minorHAnsi"/>
        </w:rPr>
        <w:t xml:space="preserve">ha come obiettivo trasversale a tutte le missioni </w:t>
      </w:r>
      <w:r w:rsidRPr="00491F63">
        <w:rPr>
          <w:rFonts w:eastAsia="Times New Roman" w:cstheme="minorHAnsi"/>
        </w:rPr>
        <w:t xml:space="preserve">proprio </w:t>
      </w:r>
      <w:r>
        <w:rPr>
          <w:rFonts w:eastAsia="Times New Roman" w:cstheme="minorHAnsi"/>
        </w:rPr>
        <w:t xml:space="preserve">quello di </w:t>
      </w:r>
      <w:r w:rsidRPr="00491F63">
        <w:rPr>
          <w:rFonts w:eastAsia="Times New Roman" w:cstheme="minorHAnsi"/>
        </w:rPr>
        <w:t>ridurre le diseguaglianze regionali e territoriali</w:t>
      </w:r>
      <w:r>
        <w:rPr>
          <w:rFonts w:eastAsia="Times New Roman" w:cstheme="minorHAnsi"/>
        </w:rPr>
        <w:t>.</w:t>
      </w:r>
    </w:p>
    <w:p w14:paraId="70064DDF" w14:textId="77777777" w:rsidR="00491F63" w:rsidRDefault="00491F63" w:rsidP="0053292F">
      <w:pPr>
        <w:spacing w:after="0"/>
        <w:jc w:val="both"/>
        <w:rPr>
          <w:rFonts w:eastAsia="Times New Roman" w:cstheme="minorHAnsi"/>
        </w:rPr>
      </w:pPr>
    </w:p>
    <w:p w14:paraId="3CE65F1F" w14:textId="3CED4DAD" w:rsidR="002A6FEF" w:rsidRDefault="002A6FEF" w:rsidP="005256C7">
      <w:pPr>
        <w:jc w:val="both"/>
        <w:rPr>
          <w:rFonts w:eastAsia="Times New Roman" w:cstheme="minorHAnsi"/>
        </w:rPr>
      </w:pPr>
      <w:r w:rsidRPr="002A6FEF">
        <w:rPr>
          <w:rFonts w:eastAsia="Times New Roman" w:cstheme="minorHAnsi"/>
        </w:rPr>
        <w:t xml:space="preserve">«In tal senso – chiosa Cartabellotta – </w:t>
      </w:r>
      <w:r w:rsidR="007C3356">
        <w:rPr>
          <w:rFonts w:eastAsia="Times New Roman" w:cstheme="minorHAnsi"/>
        </w:rPr>
        <w:t>risulta</w:t>
      </w:r>
      <w:r w:rsidR="007C3356" w:rsidRPr="002A6FEF">
        <w:rPr>
          <w:rFonts w:eastAsia="Times New Roman" w:cstheme="minorHAnsi"/>
        </w:rPr>
        <w:t xml:space="preserve"> </w:t>
      </w:r>
      <w:r w:rsidRPr="002A6FEF">
        <w:rPr>
          <w:rFonts w:eastAsia="Times New Roman" w:cstheme="minorHAnsi"/>
        </w:rPr>
        <w:t>ai limiti del grottesco la posizione dei Presidenti delle Regioni meridionali governate dal Centro-Destra</w:t>
      </w:r>
      <w:r w:rsidR="007C3356">
        <w:rPr>
          <w:rFonts w:eastAsia="Times New Roman" w:cstheme="minorHAnsi"/>
        </w:rPr>
        <w:t xml:space="preserve">, </w:t>
      </w:r>
      <w:r w:rsidR="007C3356" w:rsidRPr="002A6FEF">
        <w:rPr>
          <w:rFonts w:eastAsia="Times New Roman" w:cstheme="minorHAnsi"/>
        </w:rPr>
        <w:t>favorevol</w:t>
      </w:r>
      <w:r w:rsidR="007C3356">
        <w:rPr>
          <w:rFonts w:eastAsia="Times New Roman" w:cstheme="minorHAnsi"/>
        </w:rPr>
        <w:t>i</w:t>
      </w:r>
      <w:r w:rsidR="007C3356" w:rsidRPr="002A6FEF">
        <w:rPr>
          <w:rFonts w:eastAsia="Times New Roman" w:cstheme="minorHAnsi"/>
        </w:rPr>
        <w:t xml:space="preserve"> all’autonomia differenziata</w:t>
      </w:r>
      <w:r w:rsidRPr="002A6FEF">
        <w:rPr>
          <w:rFonts w:eastAsia="Times New Roman" w:cstheme="minorHAnsi"/>
        </w:rPr>
        <w:t>. Una posizione autolesionistica che dimostra come gli accordi di coalizione partitica prevalgano sugli interessi della popolazione».</w:t>
      </w:r>
    </w:p>
    <w:p w14:paraId="6CDBEC85" w14:textId="77777777" w:rsidR="005256C7" w:rsidRPr="00C2699C" w:rsidRDefault="00C2699C" w:rsidP="005256C7">
      <w:pPr>
        <w:jc w:val="both"/>
        <w:rPr>
          <w:rFonts w:eastAsia="Times New Roman" w:cstheme="minorHAnsi"/>
        </w:rPr>
      </w:pPr>
      <w:r w:rsidRPr="00C2699C">
        <w:rPr>
          <w:rFonts w:eastAsia="Times New Roman" w:cstheme="minorHAnsi"/>
        </w:rPr>
        <w:t xml:space="preserve">Il </w:t>
      </w:r>
      <w:hyperlink r:id="rId8" w:history="1">
        <w:r w:rsidRPr="00DF7B95">
          <w:rPr>
            <w:rStyle w:val="Collegamentoipertestuale"/>
            <w:rFonts w:eastAsia="Times New Roman" w:cstheme="minorHAnsi"/>
          </w:rPr>
          <w:t>Report sulla mobilità sanitaria</w:t>
        </w:r>
        <w:r w:rsidR="00DF7B95" w:rsidRPr="00DF7B95">
          <w:rPr>
            <w:rStyle w:val="Collegamentoipertestuale"/>
            <w:rFonts w:eastAsia="Times New Roman" w:cstheme="minorHAnsi"/>
          </w:rPr>
          <w:t xml:space="preserve"> 2021</w:t>
        </w:r>
      </w:hyperlink>
      <w:r w:rsidRPr="00C2699C">
        <w:rPr>
          <w:rFonts w:eastAsia="Times New Roman" w:cstheme="minorHAnsi"/>
        </w:rPr>
        <w:t xml:space="preserve"> elaborato dalla </w:t>
      </w:r>
      <w:r w:rsidR="005256C7" w:rsidRPr="00C2699C">
        <w:rPr>
          <w:rFonts w:eastAsia="Times New Roman" w:cstheme="minorHAnsi"/>
        </w:rPr>
        <w:t>Fondazione GIMBE ha utilizz</w:t>
      </w:r>
      <w:r w:rsidRPr="00C2699C">
        <w:rPr>
          <w:rFonts w:eastAsia="Times New Roman" w:cstheme="minorHAnsi"/>
        </w:rPr>
        <w:t>ato</w:t>
      </w:r>
      <w:r w:rsidR="005256C7" w:rsidRPr="00C2699C">
        <w:rPr>
          <w:rFonts w:eastAsia="Times New Roman" w:cstheme="minorHAnsi"/>
        </w:rPr>
        <w:t xml:space="preserve"> i dati economici aggregati per analizzare mobilità attiva, passiva e saldi, </w:t>
      </w:r>
      <w:r w:rsidR="00BB529C">
        <w:rPr>
          <w:rFonts w:eastAsia="Times New Roman" w:cstheme="minorHAnsi"/>
        </w:rPr>
        <w:t>e</w:t>
      </w:r>
      <w:r w:rsidR="00BB529C" w:rsidRPr="00C2699C">
        <w:rPr>
          <w:rFonts w:eastAsia="Times New Roman" w:cstheme="minorHAnsi"/>
        </w:rPr>
        <w:t xml:space="preserve"> </w:t>
      </w:r>
      <w:r w:rsidR="005256C7" w:rsidRPr="00C2699C">
        <w:rPr>
          <w:rFonts w:eastAsia="Times New Roman" w:cstheme="minorHAnsi"/>
        </w:rPr>
        <w:t>i flussi trasmessi dalle Regioni al Ministero della Salute</w:t>
      </w:r>
      <w:r w:rsidR="006B4B20">
        <w:rPr>
          <w:rFonts w:eastAsia="Times New Roman" w:cstheme="minorHAnsi"/>
        </w:rPr>
        <w:t xml:space="preserve"> per </w:t>
      </w:r>
      <w:r w:rsidR="005256C7" w:rsidRPr="00C2699C">
        <w:rPr>
          <w:rFonts w:eastAsia="Times New Roman" w:cstheme="minorHAnsi"/>
        </w:rPr>
        <w:t xml:space="preserve">analizzare la differente capacità di attrazione </w:t>
      </w:r>
      <w:r w:rsidR="00BB529C">
        <w:rPr>
          <w:rFonts w:eastAsia="Times New Roman" w:cstheme="minorHAnsi"/>
        </w:rPr>
        <w:t xml:space="preserve">delle strutture </w:t>
      </w:r>
      <w:r w:rsidR="005256C7" w:rsidRPr="00C2699C">
        <w:rPr>
          <w:rFonts w:eastAsia="Times New Roman" w:cstheme="minorHAnsi"/>
        </w:rPr>
        <w:t>pubblic</w:t>
      </w:r>
      <w:r w:rsidR="00BB529C">
        <w:rPr>
          <w:rFonts w:eastAsia="Times New Roman" w:cstheme="minorHAnsi"/>
        </w:rPr>
        <w:t>he</w:t>
      </w:r>
      <w:r w:rsidR="005256C7" w:rsidRPr="00C2699C">
        <w:rPr>
          <w:rFonts w:eastAsia="Times New Roman" w:cstheme="minorHAnsi"/>
        </w:rPr>
        <w:t xml:space="preserve"> e privat</w:t>
      </w:r>
      <w:r w:rsidR="00BB529C">
        <w:rPr>
          <w:rFonts w:eastAsia="Times New Roman" w:cstheme="minorHAnsi"/>
        </w:rPr>
        <w:t>e</w:t>
      </w:r>
      <w:r w:rsidR="005256C7" w:rsidRPr="00C2699C">
        <w:rPr>
          <w:rFonts w:eastAsia="Times New Roman" w:cstheme="minorHAnsi"/>
        </w:rPr>
        <w:t xml:space="preserve"> di ogni Regione</w:t>
      </w:r>
      <w:r w:rsidR="00BB529C">
        <w:rPr>
          <w:rFonts w:eastAsia="Times New Roman" w:cstheme="minorHAnsi"/>
        </w:rPr>
        <w:t xml:space="preserve"> per le differenti </w:t>
      </w:r>
      <w:r w:rsidR="005256C7" w:rsidRPr="00C2699C">
        <w:rPr>
          <w:rFonts w:eastAsia="Times New Roman" w:cstheme="minorHAnsi"/>
        </w:rPr>
        <w:t>tipologi</w:t>
      </w:r>
      <w:r w:rsidR="00BB529C">
        <w:rPr>
          <w:rFonts w:eastAsia="Times New Roman" w:cstheme="minorHAnsi"/>
        </w:rPr>
        <w:t>e</w:t>
      </w:r>
      <w:r w:rsidR="005256C7" w:rsidRPr="00C2699C">
        <w:rPr>
          <w:rFonts w:eastAsia="Times New Roman" w:cstheme="minorHAnsi"/>
        </w:rPr>
        <w:t xml:space="preserve"> di prestazioni erogate in mobilità.</w:t>
      </w:r>
    </w:p>
    <w:p w14:paraId="4C0D965D" w14:textId="77777777" w:rsidR="00751DB7" w:rsidRPr="00751DB7" w:rsidRDefault="00751DB7" w:rsidP="005256C7">
      <w:pPr>
        <w:jc w:val="both"/>
        <w:rPr>
          <w:rFonts w:eastAsia="Times New Roman" w:cstheme="minorHAnsi"/>
        </w:rPr>
      </w:pPr>
      <w:r w:rsidRPr="00751DB7">
        <w:rPr>
          <w:rFonts w:eastAsia="Times New Roman" w:cstheme="minorHAnsi"/>
          <w:b/>
        </w:rPr>
        <w:t>Nel 2021 il valore della mobilità sanitaria ammonta a € 4.247,29 milioni</w:t>
      </w:r>
      <w:r w:rsidRPr="00751DB7">
        <w:rPr>
          <w:rFonts w:eastAsia="Times New Roman" w:cstheme="minorHAnsi"/>
        </w:rPr>
        <w:t xml:space="preserve">, cifra </w:t>
      </w:r>
      <w:r w:rsidR="00A162A7">
        <w:rPr>
          <w:rFonts w:eastAsia="Times New Roman" w:cstheme="minorHAnsi"/>
        </w:rPr>
        <w:t>ben</w:t>
      </w:r>
      <w:r w:rsidRPr="00751DB7">
        <w:rPr>
          <w:rFonts w:eastAsia="Times New Roman" w:cstheme="minorHAnsi"/>
        </w:rPr>
        <w:t xml:space="preserve"> </w:t>
      </w:r>
      <w:r w:rsidR="00A162A7">
        <w:rPr>
          <w:rFonts w:eastAsia="Times New Roman" w:cstheme="minorHAnsi"/>
        </w:rPr>
        <w:t xml:space="preserve">più elevata </w:t>
      </w:r>
      <w:r w:rsidRPr="00751DB7">
        <w:rPr>
          <w:rFonts w:eastAsia="Times New Roman" w:cstheme="minorHAnsi"/>
        </w:rPr>
        <w:t>del 2020 (€ 3.330,47 milioni)</w:t>
      </w:r>
      <w:r w:rsidRPr="00751DB7">
        <w:t xml:space="preserve">, </w:t>
      </w:r>
      <w:r w:rsidRPr="00631B66">
        <w:rPr>
          <w:rFonts w:eastAsia="Times New Roman" w:cstheme="minorHAnsi"/>
        </w:rPr>
        <w:t xml:space="preserve">«anno </w:t>
      </w:r>
      <w:r w:rsidR="00631B66" w:rsidRPr="00631B66">
        <w:rPr>
          <w:rFonts w:eastAsia="Times New Roman" w:cstheme="minorHAnsi"/>
        </w:rPr>
        <w:t xml:space="preserve">in cui </w:t>
      </w:r>
      <w:r w:rsidR="00BB57EA">
        <w:rPr>
          <w:rFonts w:eastAsia="Times New Roman" w:cstheme="minorHAnsi"/>
        </w:rPr>
        <w:t xml:space="preserve">– </w:t>
      </w:r>
      <w:r w:rsidR="00BB57EA" w:rsidRPr="00751DB7">
        <w:t xml:space="preserve">spiega il </w:t>
      </w:r>
      <w:r w:rsidR="00BB57EA" w:rsidRPr="00631B66">
        <w:t>Presidente</w:t>
      </w:r>
      <w:r w:rsidR="00BB57EA">
        <w:t xml:space="preserve"> </w:t>
      </w:r>
      <w:r w:rsidR="00BB57EA">
        <w:rPr>
          <w:rFonts w:eastAsia="Times New Roman" w:cstheme="minorHAnsi"/>
        </w:rPr>
        <w:t>–</w:t>
      </w:r>
      <w:r w:rsidR="00BB57EA" w:rsidRPr="00631B66">
        <w:t xml:space="preserve"> </w:t>
      </w:r>
      <w:r w:rsidRPr="00631B66">
        <w:rPr>
          <w:rFonts w:eastAsia="Times New Roman" w:cstheme="minorHAnsi"/>
        </w:rPr>
        <w:t xml:space="preserve">l’emergenza pandemica COVID-19 ha </w:t>
      </w:r>
      <w:r w:rsidR="00BB57EA">
        <w:rPr>
          <w:rFonts w:eastAsia="Times New Roman" w:cstheme="minorHAnsi"/>
        </w:rPr>
        <w:t>determinato</w:t>
      </w:r>
      <w:r w:rsidR="00BB57EA" w:rsidRPr="00631B66">
        <w:rPr>
          <w:rFonts w:eastAsia="Times New Roman" w:cstheme="minorHAnsi"/>
        </w:rPr>
        <w:t xml:space="preserve"> </w:t>
      </w:r>
      <w:r w:rsidRPr="00631B66">
        <w:rPr>
          <w:rFonts w:eastAsia="Times New Roman" w:cstheme="minorHAnsi"/>
        </w:rPr>
        <w:t xml:space="preserve">una </w:t>
      </w:r>
      <w:r w:rsidR="00BB57EA">
        <w:rPr>
          <w:rFonts w:eastAsia="Times New Roman" w:cstheme="minorHAnsi"/>
        </w:rPr>
        <w:t xml:space="preserve">netta </w:t>
      </w:r>
      <w:r w:rsidRPr="00631B66">
        <w:rPr>
          <w:rFonts w:eastAsia="Times New Roman" w:cstheme="minorHAnsi"/>
        </w:rPr>
        <w:t>riduzione degli spostamenti delle persone e dell’offerta di prestazioni ospedaliere e ambulatoriali».</w:t>
      </w:r>
    </w:p>
    <w:p w14:paraId="404E44ED" w14:textId="77777777" w:rsidR="005256C7" w:rsidRPr="00477127" w:rsidRDefault="005256C7" w:rsidP="005256C7">
      <w:pPr>
        <w:jc w:val="both"/>
      </w:pPr>
      <w:r w:rsidRPr="00525952">
        <w:rPr>
          <w:b/>
        </w:rPr>
        <w:t xml:space="preserve">Mobilità </w:t>
      </w:r>
      <w:r>
        <w:rPr>
          <w:b/>
        </w:rPr>
        <w:t>attiva</w:t>
      </w:r>
      <w:r>
        <w:t>.</w:t>
      </w:r>
      <w:r w:rsidR="00751DB7" w:rsidRPr="00751DB7">
        <w:t xml:space="preserve"> Lombardia (18,7%), Emilia-Romagna (17,4%), Veneto (12,7%) </w:t>
      </w:r>
      <w:r w:rsidR="006B4B20">
        <w:t>raccolgono</w:t>
      </w:r>
      <w:r w:rsidR="00751DB7" w:rsidRPr="00751DB7">
        <w:t xml:space="preserve"> quasi la metà della mobilità attiva</w:t>
      </w:r>
      <w:r w:rsidR="006F7074">
        <w:t>, u</w:t>
      </w:r>
      <w:r w:rsidR="00751DB7" w:rsidRPr="00751DB7">
        <w:t xml:space="preserve">n ulteriore 25,6% viene attratto da Lazio (9,5%), Piemonte (6,8%), Toscana (4,9%) e Campania (4,4%). Il rimanente 25,6% della mobilità attiva si distribuisce nelle altre 14 Regioni e Province autonome. </w:t>
      </w:r>
      <w:r w:rsidR="0053292F" w:rsidRPr="00631B66">
        <w:rPr>
          <w:rFonts w:eastAsia="Times New Roman" w:cstheme="minorHAnsi"/>
        </w:rPr>
        <w:t>«</w:t>
      </w:r>
      <w:r w:rsidR="0053292F">
        <w:rPr>
          <w:rFonts w:eastAsia="Times New Roman" w:cstheme="minorHAnsi"/>
        </w:rPr>
        <w:t xml:space="preserve">I dati della mobilità attiva </w:t>
      </w:r>
      <w:r w:rsidR="0053292F" w:rsidRPr="00631B66">
        <w:t xml:space="preserve">– commenta </w:t>
      </w:r>
      <w:r w:rsidR="0053292F">
        <w:t>il Presidente</w:t>
      </w:r>
      <w:r w:rsidR="0053292F" w:rsidRPr="00631B66">
        <w:t xml:space="preserve"> –</w:t>
      </w:r>
      <w:r w:rsidR="00A162A7">
        <w:t xml:space="preserve"> </w:t>
      </w:r>
      <w:r w:rsidR="00751DB7" w:rsidRPr="00751DB7">
        <w:t xml:space="preserve">documentano </w:t>
      </w:r>
      <w:r w:rsidR="0053292F">
        <w:t>una</w:t>
      </w:r>
      <w:r w:rsidR="00751DB7" w:rsidRPr="00751DB7">
        <w:t xml:space="preserve"> forte capacità attrattiva delle grandi Regioni </w:t>
      </w:r>
      <w:r w:rsidR="0053292F">
        <w:t>del Nord</w:t>
      </w:r>
      <w:r w:rsidR="00751DB7" w:rsidRPr="00751DB7">
        <w:t xml:space="preserve"> </w:t>
      </w:r>
      <w:r w:rsidR="0053292F">
        <w:t xml:space="preserve">e, con la sola eccezione del Lazio, </w:t>
      </w:r>
      <w:r w:rsidR="00751DB7" w:rsidRPr="00751DB7">
        <w:t>quella estremamente limitata delle Regioni del Centro-Sud</w:t>
      </w:r>
      <w:r w:rsidR="0053292F" w:rsidRPr="00631B66">
        <w:rPr>
          <w:rFonts w:eastAsia="Times New Roman" w:cstheme="minorHAnsi"/>
        </w:rPr>
        <w:t>»</w:t>
      </w:r>
      <w:r w:rsidR="00751DB7">
        <w:t xml:space="preserve"> </w:t>
      </w:r>
      <w:r w:rsidRPr="004742CA">
        <w:t>(</w:t>
      </w:r>
      <w:r w:rsidRPr="00241DC9">
        <w:rPr>
          <w:highlight w:val="yellow"/>
        </w:rPr>
        <w:t xml:space="preserve">figura </w:t>
      </w:r>
      <w:r w:rsidR="00E75A58">
        <w:rPr>
          <w:highlight w:val="yellow"/>
        </w:rPr>
        <w:t>1</w:t>
      </w:r>
      <w:r w:rsidRPr="004742CA">
        <w:t>)</w:t>
      </w:r>
      <w:r>
        <w:t>.</w:t>
      </w:r>
    </w:p>
    <w:p w14:paraId="15B71B75" w14:textId="4339A5CC" w:rsidR="005256C7" w:rsidRDefault="005256C7" w:rsidP="005256C7">
      <w:pPr>
        <w:jc w:val="both"/>
      </w:pPr>
      <w:r w:rsidRPr="004E3720">
        <w:rPr>
          <w:b/>
        </w:rPr>
        <w:t>Mobilità passiva.</w:t>
      </w:r>
      <w:r>
        <w:t xml:space="preserve"> </w:t>
      </w:r>
      <w:r w:rsidR="00751DB7" w:rsidRPr="00751DB7">
        <w:t>3 Regioni con maggiore indice di fuga generano debiti per oltre € 300 milioni ciascuna: in testa Lazio (12%), Lombardia (10,9%) e Campania (9,3%), che insieme compongono quasi un terzo della mobilità passiva. Il restante 67,9% della mobilità passiva si distribuisce nelle rimanenti</w:t>
      </w:r>
      <w:r w:rsidR="00751DB7">
        <w:t xml:space="preserve"> 18 Regioni e Province autonome</w:t>
      </w:r>
      <w:r w:rsidRPr="00631B66">
        <w:t xml:space="preserve">. </w:t>
      </w:r>
      <w:r w:rsidRPr="00631B66">
        <w:rPr>
          <w:rFonts w:eastAsia="Times New Roman" w:cstheme="minorHAnsi"/>
        </w:rPr>
        <w:t>«</w:t>
      </w:r>
      <w:r w:rsidRPr="00631B66">
        <w:t xml:space="preserve">I dati della mobilità passiva – commenta Cartabellotta – documentano differenze più sfumate tra Nord e Sud. In particolare, se quasi tutte le Regioni </w:t>
      </w:r>
      <w:r w:rsidR="00BB57EA">
        <w:t>meridionali</w:t>
      </w:r>
      <w:r w:rsidRPr="00631B66">
        <w:t xml:space="preserve"> hanno elevati indici di fuga, questi sono rilevanti anche in </w:t>
      </w:r>
      <w:r w:rsidR="00631B66">
        <w:t xml:space="preserve">4 </w:t>
      </w:r>
      <w:r w:rsidRPr="00631B66">
        <w:t>grandi Regioni del Nord c</w:t>
      </w:r>
      <w:r w:rsidR="00631B66">
        <w:t xml:space="preserve">he </w:t>
      </w:r>
      <w:r w:rsidR="00BB57EA">
        <w:t>presentano un’</w:t>
      </w:r>
      <w:r w:rsidRPr="00631B66">
        <w:t>elevata mobilità attiva</w:t>
      </w:r>
      <w:r w:rsidR="00631B66">
        <w:t xml:space="preserve">. Una conseguenza della </w:t>
      </w:r>
      <w:r w:rsidRPr="00631B66">
        <w:t xml:space="preserve">cosiddetta mobilità di prossimità, </w:t>
      </w:r>
      <w:r w:rsidR="007C3356">
        <w:t>determinata da</w:t>
      </w:r>
      <w:r w:rsidR="007C3356" w:rsidRPr="00631B66">
        <w:t xml:space="preserve"> </w:t>
      </w:r>
      <w:r w:rsidR="0028430A">
        <w:t xml:space="preserve">pazienti </w:t>
      </w:r>
      <w:r w:rsidR="00A162A7">
        <w:t xml:space="preserve">che preferiscono spostarsi in </w:t>
      </w:r>
      <w:r w:rsidRPr="00631B66">
        <w:t>Regioni vicine con elevata qualità dei servizi sanitari</w:t>
      </w:r>
      <w:r w:rsidRPr="00631B66">
        <w:rPr>
          <w:rFonts w:eastAsia="Times New Roman" w:cstheme="minorHAnsi"/>
        </w:rPr>
        <w:t xml:space="preserve">». </w:t>
      </w:r>
      <w:r>
        <w:rPr>
          <w:rFonts w:eastAsia="Times New Roman" w:cstheme="minorHAnsi"/>
        </w:rPr>
        <w:t>In dettaglio</w:t>
      </w:r>
      <w:r>
        <w:t xml:space="preserve">: </w:t>
      </w:r>
      <w:r w:rsidR="00751DB7" w:rsidRPr="00751DB7">
        <w:t xml:space="preserve">Lombardia (-€ 461,4 milioni), Veneto (-€ </w:t>
      </w:r>
      <w:r w:rsidR="006F7074">
        <w:t>270,3</w:t>
      </w:r>
      <w:r w:rsidR="00751DB7" w:rsidRPr="00751DB7">
        <w:t xml:space="preserve"> milioni), Piemonte (-€ 253,7 milioni) ed Emilia-Romagna (-€ 239,5 milioni) </w:t>
      </w:r>
      <w:r w:rsidRPr="004742CA">
        <w:t>(</w:t>
      </w:r>
      <w:r w:rsidRPr="00241DC9">
        <w:rPr>
          <w:highlight w:val="yellow"/>
        </w:rPr>
        <w:t xml:space="preserve">figura </w:t>
      </w:r>
      <w:r w:rsidR="00E75A58">
        <w:rPr>
          <w:highlight w:val="yellow"/>
        </w:rPr>
        <w:t>2</w:t>
      </w:r>
      <w:r w:rsidRPr="004742CA">
        <w:t>).</w:t>
      </w:r>
    </w:p>
    <w:p w14:paraId="2CA50570" w14:textId="159A68F1" w:rsidR="005256C7" w:rsidRPr="0058232D" w:rsidRDefault="005256C7" w:rsidP="005256C7">
      <w:pPr>
        <w:jc w:val="both"/>
        <w:rPr>
          <w:b/>
        </w:rPr>
      </w:pPr>
      <w:r>
        <w:rPr>
          <w:b/>
        </w:rPr>
        <w:t xml:space="preserve">Saldi. </w:t>
      </w:r>
      <w:r w:rsidR="00631B66" w:rsidRPr="00631B66">
        <w:rPr>
          <w:rFonts w:eastAsia="Times New Roman" w:cstheme="minorHAnsi"/>
        </w:rPr>
        <w:t>«</w:t>
      </w:r>
      <w:r w:rsidR="00631B66">
        <w:rPr>
          <w:bCs/>
        </w:rPr>
        <w:t xml:space="preserve">I dati – commenta il Presidente </w:t>
      </w:r>
      <w:r w:rsidR="007C3356">
        <w:rPr>
          <w:bCs/>
        </w:rPr>
        <w:t>–</w:t>
      </w:r>
      <w:r w:rsidR="00631B66">
        <w:rPr>
          <w:bCs/>
        </w:rPr>
        <w:t xml:space="preserve"> confermano la “frattura strutturale” tra Nord e Sud, visto che l</w:t>
      </w:r>
      <w:r>
        <w:t xml:space="preserve">e Regioni con saldo positivo superiore a € </w:t>
      </w:r>
      <w:r w:rsidR="00751DB7">
        <w:t>2</w:t>
      </w:r>
      <w:r>
        <w:t>00 milioni sono tutte del Nord, mentre quelle con saldo negativo maggiore di € 100 milioni tutte del Centro-Sud</w:t>
      </w:r>
      <w:r w:rsidR="00631B66" w:rsidRPr="00631B66">
        <w:rPr>
          <w:rFonts w:eastAsia="Times New Roman" w:cstheme="minorHAnsi"/>
        </w:rPr>
        <w:t>»</w:t>
      </w:r>
      <w:r w:rsidR="00631B66">
        <w:rPr>
          <w:rFonts w:eastAsia="Times New Roman" w:cstheme="minorHAnsi"/>
        </w:rPr>
        <w:t>. In dettaglio</w:t>
      </w:r>
      <w:r>
        <w:t xml:space="preserve"> (</w:t>
      </w:r>
      <w:r w:rsidRPr="00241DC9">
        <w:rPr>
          <w:highlight w:val="yellow"/>
        </w:rPr>
        <w:t xml:space="preserve">figura </w:t>
      </w:r>
      <w:r w:rsidR="00E75A58">
        <w:rPr>
          <w:highlight w:val="yellow"/>
        </w:rPr>
        <w:t>3</w:t>
      </w:r>
      <w:r>
        <w:t>):</w:t>
      </w:r>
    </w:p>
    <w:p w14:paraId="51CE5A6D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>Saldo positivo rilevante</w:t>
      </w:r>
      <w:r w:rsidRPr="0058232D">
        <w:t xml:space="preserve">: </w:t>
      </w:r>
      <w:r>
        <w:t xml:space="preserve">Emilia-Romagna (€ </w:t>
      </w:r>
      <w:r w:rsidR="00A54801">
        <w:t>442</w:t>
      </w:r>
      <w:r w:rsidRPr="0058232D">
        <w:t xml:space="preserve"> milioni), </w:t>
      </w:r>
      <w:r>
        <w:t xml:space="preserve">Lombardia (€ </w:t>
      </w:r>
      <w:r w:rsidR="00A54801">
        <w:t>271,1</w:t>
      </w:r>
      <w:r>
        <w:t xml:space="preserve"> milioni) e </w:t>
      </w:r>
      <w:r w:rsidRPr="0058232D">
        <w:t>Veneto (€</w:t>
      </w:r>
      <w:r>
        <w:t xml:space="preserve"> </w:t>
      </w:r>
      <w:r w:rsidR="00A54801">
        <w:t>228,1</w:t>
      </w:r>
      <w:r w:rsidRPr="0058232D">
        <w:t xml:space="preserve"> milioni) </w:t>
      </w:r>
    </w:p>
    <w:p w14:paraId="746FDF09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6E1E2F">
        <w:rPr>
          <w:b/>
        </w:rPr>
        <w:t xml:space="preserve">Saldo positivo </w:t>
      </w:r>
      <w:r>
        <w:rPr>
          <w:b/>
        </w:rPr>
        <w:t>moderato</w:t>
      </w:r>
      <w:r w:rsidRPr="0058232D">
        <w:t xml:space="preserve">: Molise (€ </w:t>
      </w:r>
      <w:r w:rsidR="00A54801">
        <w:t>43,9</w:t>
      </w:r>
      <w:r w:rsidR="00BB57EA">
        <w:t xml:space="preserve"> </w:t>
      </w:r>
      <w:r>
        <w:t>milioni)</w:t>
      </w:r>
    </w:p>
    <w:p w14:paraId="02CC5B80" w14:textId="77777777" w:rsidR="005256C7" w:rsidRDefault="005256C7" w:rsidP="00A54801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6E1E2F">
        <w:rPr>
          <w:b/>
        </w:rPr>
        <w:t xml:space="preserve">Saldo </w:t>
      </w:r>
      <w:r>
        <w:rPr>
          <w:b/>
        </w:rPr>
        <w:t>positivo</w:t>
      </w:r>
      <w:r w:rsidRPr="006E1E2F">
        <w:rPr>
          <w:b/>
        </w:rPr>
        <w:t xml:space="preserve"> minimo</w:t>
      </w:r>
      <w:r w:rsidRPr="0058232D">
        <w:t xml:space="preserve">: </w:t>
      </w:r>
      <w:r w:rsidR="00A54801">
        <w:t xml:space="preserve">Piemonte (€ 12,2 milioni), </w:t>
      </w:r>
      <w:r>
        <w:t>Toscana (</w:t>
      </w:r>
      <w:r w:rsidRPr="0058232D">
        <w:t xml:space="preserve">€ </w:t>
      </w:r>
      <w:r w:rsidR="00A54801">
        <w:t>9,2</w:t>
      </w:r>
      <w:r w:rsidRPr="0058232D">
        <w:t xml:space="preserve"> milioni)</w:t>
      </w:r>
      <w:r>
        <w:t xml:space="preserve">, </w:t>
      </w:r>
      <w:r w:rsidR="00A54801">
        <w:t xml:space="preserve">Provincia autonoma di Trento </w:t>
      </w:r>
      <w:r>
        <w:t>(€ 1,</w:t>
      </w:r>
      <w:r w:rsidR="00A54801">
        <w:t>4</w:t>
      </w:r>
      <w:r>
        <w:t xml:space="preserve"> milioni)</w:t>
      </w:r>
      <w:r w:rsidR="00A54801">
        <w:t>,</w:t>
      </w:r>
      <w:r w:rsidRPr="0058232D">
        <w:t xml:space="preserve"> </w:t>
      </w:r>
      <w:r w:rsidR="00A54801">
        <w:t>Provincia autonoma di Bolzano (€ 0,4 milioni)</w:t>
      </w:r>
    </w:p>
    <w:p w14:paraId="74DF0175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 xml:space="preserve">Saldo negativo </w:t>
      </w:r>
      <w:r>
        <w:rPr>
          <w:b/>
        </w:rPr>
        <w:t>minimo</w:t>
      </w:r>
      <w:r w:rsidRPr="0058232D">
        <w:t xml:space="preserve">: </w:t>
      </w:r>
      <w:r w:rsidR="00A54801">
        <w:t>Friuli Venezia Giulia</w:t>
      </w:r>
      <w:r w:rsidRPr="0058232D">
        <w:t xml:space="preserve"> (-€ </w:t>
      </w:r>
      <w:r w:rsidR="00A54801">
        <w:t>7,6</w:t>
      </w:r>
      <w:r w:rsidRPr="0058232D">
        <w:t xml:space="preserve"> milioni), </w:t>
      </w:r>
      <w:r>
        <w:t xml:space="preserve">Valle d’Aosta </w:t>
      </w:r>
      <w:r w:rsidRPr="0058232D">
        <w:t>(-€</w:t>
      </w:r>
      <w:r w:rsidR="00A54801">
        <w:t>13,6 milioni)</w:t>
      </w:r>
    </w:p>
    <w:p w14:paraId="2A47DC0B" w14:textId="77777777" w:rsidR="005256C7" w:rsidRDefault="005256C7" w:rsidP="005256C7">
      <w:pPr>
        <w:pStyle w:val="Paragrafoelenco"/>
        <w:numPr>
          <w:ilvl w:val="0"/>
          <w:numId w:val="21"/>
        </w:numPr>
        <w:spacing w:line="276" w:lineRule="auto"/>
        <w:jc w:val="both"/>
      </w:pPr>
      <w:r w:rsidRPr="00BB5D12">
        <w:rPr>
          <w:b/>
        </w:rPr>
        <w:t xml:space="preserve">Saldo negativo </w:t>
      </w:r>
      <w:r>
        <w:rPr>
          <w:b/>
        </w:rPr>
        <w:t>moderato</w:t>
      </w:r>
      <w:r>
        <w:t xml:space="preserve">: </w:t>
      </w:r>
      <w:r w:rsidR="00A54801">
        <w:t xml:space="preserve">Umbria </w:t>
      </w:r>
      <w:r w:rsidR="00A54801" w:rsidRPr="0058232D">
        <w:t xml:space="preserve">(-€ </w:t>
      </w:r>
      <w:r w:rsidR="00A54801">
        <w:t xml:space="preserve">31,2 milioni), </w:t>
      </w:r>
      <w:r>
        <w:t>Marche</w:t>
      </w:r>
      <w:r w:rsidRPr="0058232D">
        <w:t xml:space="preserve"> (-€ </w:t>
      </w:r>
      <w:r w:rsidR="00A54801">
        <w:t>38,5</w:t>
      </w:r>
      <w:r w:rsidRPr="0058232D">
        <w:t xml:space="preserve"> milioni), </w:t>
      </w:r>
      <w:r>
        <w:t xml:space="preserve">Sardegna </w:t>
      </w:r>
      <w:r w:rsidRPr="0058232D">
        <w:t xml:space="preserve">(-€ </w:t>
      </w:r>
      <w:r w:rsidR="00A54801">
        <w:t>64,7</w:t>
      </w:r>
      <w:r w:rsidRPr="0058232D">
        <w:t xml:space="preserve"> milioni),</w:t>
      </w:r>
      <w:r>
        <w:t xml:space="preserve"> </w:t>
      </w:r>
      <w:r w:rsidR="00A54801">
        <w:t xml:space="preserve">Liguria </w:t>
      </w:r>
      <w:r w:rsidR="00A54801" w:rsidRPr="0058232D">
        <w:t xml:space="preserve">(-€ </w:t>
      </w:r>
      <w:r w:rsidR="00A54801">
        <w:t>69,5</w:t>
      </w:r>
      <w:r w:rsidR="00A54801" w:rsidRPr="0058232D">
        <w:t xml:space="preserve"> milioni),</w:t>
      </w:r>
      <w:r w:rsidR="00A54801">
        <w:t xml:space="preserve"> </w:t>
      </w:r>
      <w:r>
        <w:t xml:space="preserve">Basilicata </w:t>
      </w:r>
      <w:r w:rsidRPr="0058232D">
        <w:t xml:space="preserve">(-€ </w:t>
      </w:r>
      <w:r w:rsidR="00A54801">
        <w:t>83,5</w:t>
      </w:r>
      <w:r w:rsidR="00EE27BD">
        <w:t xml:space="preserve"> milioni)</w:t>
      </w:r>
      <w:r>
        <w:t xml:space="preserve"> </w:t>
      </w:r>
    </w:p>
    <w:p w14:paraId="21D16A30" w14:textId="77777777" w:rsidR="005256C7" w:rsidRDefault="005256C7" w:rsidP="006F7074">
      <w:pPr>
        <w:pStyle w:val="Paragrafoelenco"/>
        <w:numPr>
          <w:ilvl w:val="0"/>
          <w:numId w:val="21"/>
        </w:numPr>
        <w:spacing w:after="200" w:line="276" w:lineRule="auto"/>
        <w:ind w:left="357" w:hanging="357"/>
        <w:contextualSpacing w:val="0"/>
        <w:jc w:val="both"/>
      </w:pPr>
      <w:r w:rsidRPr="00BB5D12">
        <w:rPr>
          <w:b/>
        </w:rPr>
        <w:lastRenderedPageBreak/>
        <w:t xml:space="preserve">Saldo negativo </w:t>
      </w:r>
      <w:r>
        <w:rPr>
          <w:b/>
        </w:rPr>
        <w:t>rilevante</w:t>
      </w:r>
      <w:r>
        <w:t xml:space="preserve">: </w:t>
      </w:r>
      <w:r w:rsidR="00A54801">
        <w:t xml:space="preserve">Abruzzo </w:t>
      </w:r>
      <w:r w:rsidR="00A54801" w:rsidRPr="0058232D">
        <w:t xml:space="preserve">(-€ </w:t>
      </w:r>
      <w:r w:rsidR="00A54801">
        <w:t xml:space="preserve">108,1 milioni), </w:t>
      </w:r>
      <w:r>
        <w:t>Puglia</w:t>
      </w:r>
      <w:r w:rsidRPr="0058232D">
        <w:t xml:space="preserve"> (-€ </w:t>
      </w:r>
      <w:r w:rsidR="00A54801">
        <w:t>131,4</w:t>
      </w:r>
      <w:r w:rsidRPr="0058232D">
        <w:t xml:space="preserve"> milioni), </w:t>
      </w:r>
      <w:r w:rsidR="00A54801">
        <w:t>Lazio</w:t>
      </w:r>
      <w:r>
        <w:t xml:space="preserve"> </w:t>
      </w:r>
      <w:r w:rsidRPr="0058232D">
        <w:t xml:space="preserve">(-€ </w:t>
      </w:r>
      <w:r w:rsidR="00A54801">
        <w:t>139,7</w:t>
      </w:r>
      <w:r w:rsidRPr="0058232D">
        <w:t xml:space="preserve"> milioni),</w:t>
      </w:r>
      <w:r>
        <w:t xml:space="preserve"> </w:t>
      </w:r>
      <w:r w:rsidR="00A54801">
        <w:t>Sicilia</w:t>
      </w:r>
      <w:r>
        <w:t xml:space="preserve"> </w:t>
      </w:r>
      <w:r w:rsidRPr="0058232D">
        <w:t xml:space="preserve">(-€ </w:t>
      </w:r>
      <w:r w:rsidR="00A54801">
        <w:t>177,4</w:t>
      </w:r>
      <w:r w:rsidRPr="0058232D">
        <w:t xml:space="preserve"> milioni),</w:t>
      </w:r>
      <w:r>
        <w:t xml:space="preserve"> Campania </w:t>
      </w:r>
      <w:r w:rsidRPr="0058232D">
        <w:t xml:space="preserve">(-€ </w:t>
      </w:r>
      <w:r>
        <w:t>22</w:t>
      </w:r>
      <w:r w:rsidR="00A54801">
        <w:t>0,9</w:t>
      </w:r>
      <w:r w:rsidR="003D67F0">
        <w:t xml:space="preserve"> </w:t>
      </w:r>
      <w:r>
        <w:t>milioni)</w:t>
      </w:r>
      <w:r w:rsidR="00A54801">
        <w:t>, Calabria (-€ 252,4)</w:t>
      </w:r>
      <w:r w:rsidR="006F7074">
        <w:t>.</w:t>
      </w:r>
    </w:p>
    <w:p w14:paraId="79E38542" w14:textId="5FB89341" w:rsidR="005256C7" w:rsidRDefault="006B4B20" w:rsidP="005256C7">
      <w:pPr>
        <w:jc w:val="both"/>
      </w:pPr>
      <w:r>
        <w:rPr>
          <w:b/>
        </w:rPr>
        <w:t>T</w:t>
      </w:r>
      <w:r w:rsidR="005256C7" w:rsidRPr="003A106D">
        <w:rPr>
          <w:b/>
        </w:rPr>
        <w:t>ipologie di prestazioni erogate in mobilità.</w:t>
      </w:r>
      <w:r w:rsidR="005256C7" w:rsidRPr="004742CA">
        <w:t xml:space="preserve"> </w:t>
      </w:r>
      <w:r w:rsidR="005256C7" w:rsidRPr="00102802">
        <w:t xml:space="preserve">Complessivamente, </w:t>
      </w:r>
      <w:r w:rsidR="005256C7">
        <w:t>l’8</w:t>
      </w:r>
      <w:r w:rsidR="000E7667">
        <w:t>6</w:t>
      </w:r>
      <w:r w:rsidR="005256C7">
        <w:t xml:space="preserve">% del valore della mobilità sanitaria riguarda i ricoveri </w:t>
      </w:r>
      <w:r w:rsidR="005256C7" w:rsidRPr="00102802">
        <w:t>ordinari e in day hospital</w:t>
      </w:r>
      <w:r w:rsidR="005256C7">
        <w:t xml:space="preserve"> </w:t>
      </w:r>
      <w:r w:rsidR="005256C7" w:rsidRPr="00102802">
        <w:t>(69,6%)</w:t>
      </w:r>
      <w:r w:rsidR="005256C7">
        <w:t xml:space="preserve"> e le </w:t>
      </w:r>
      <w:r w:rsidR="005256C7" w:rsidRPr="00102802">
        <w:t>prestazioni di specialistica ambulatoriale</w:t>
      </w:r>
      <w:r w:rsidR="005256C7">
        <w:t xml:space="preserve"> (</w:t>
      </w:r>
      <w:r w:rsidR="005256C7" w:rsidRPr="00102802">
        <w:t>16,</w:t>
      </w:r>
      <w:r w:rsidR="006F7074">
        <w:t>4</w:t>
      </w:r>
      <w:r w:rsidR="005256C7" w:rsidRPr="00102802">
        <w:t>%</w:t>
      </w:r>
      <w:r w:rsidR="005256C7">
        <w:t>). Il 9,</w:t>
      </w:r>
      <w:r w:rsidR="000E7667">
        <w:t>4</w:t>
      </w:r>
      <w:r w:rsidR="005256C7">
        <w:t>% è relativo alla somministrazione diretta di farmaci e il rimanente 4,</w:t>
      </w:r>
      <w:r w:rsidR="006F7074">
        <w:t>6</w:t>
      </w:r>
      <w:r w:rsidR="005256C7">
        <w:t>% a</w:t>
      </w:r>
      <w:r w:rsidR="00E8602D">
        <w:t xml:space="preserve">d </w:t>
      </w:r>
      <w:r w:rsidR="005256C7">
        <w:t>altre prestazioni</w:t>
      </w:r>
      <w:r w:rsidR="00E8602D">
        <w:t xml:space="preserve"> (</w:t>
      </w:r>
      <w:r w:rsidR="00E8602D" w:rsidRPr="00E8602D">
        <w:t>medicina generale, farmaceutica, cure termali, trasporti con ambulanza ed elisoccorso</w:t>
      </w:r>
      <w:r w:rsidR="00E8602D">
        <w:t>).</w:t>
      </w:r>
    </w:p>
    <w:p w14:paraId="287C1C4E" w14:textId="0EA58490" w:rsidR="002E1659" w:rsidRPr="00E5432B" w:rsidRDefault="005256C7" w:rsidP="00E5432B">
      <w:pPr>
        <w:suppressAutoHyphens/>
        <w:jc w:val="both"/>
      </w:pPr>
      <w:r w:rsidRPr="00102802">
        <w:rPr>
          <w:b/>
        </w:rPr>
        <w:t>Mobilità verso le strutture private</w:t>
      </w:r>
      <w:r w:rsidRPr="004E3720">
        <w:rPr>
          <w:b/>
        </w:rPr>
        <w:t>.</w:t>
      </w:r>
      <w:r w:rsidRPr="004E3720">
        <w:t xml:space="preserve"> </w:t>
      </w:r>
      <w:r w:rsidR="00C2699C">
        <w:t xml:space="preserve">Oltre </w:t>
      </w:r>
      <w:r w:rsidR="007C3356">
        <w:t xml:space="preserve">1 </w:t>
      </w:r>
      <w:r w:rsidR="00003970">
        <w:t xml:space="preserve">euro su </w:t>
      </w:r>
      <w:r w:rsidR="007C3356">
        <w:t>2 speso per</w:t>
      </w:r>
      <w:r w:rsidR="00003970">
        <w:t xml:space="preserve"> </w:t>
      </w:r>
      <w:r>
        <w:t xml:space="preserve">ricoveri e prestazioni specialistiche </w:t>
      </w:r>
      <w:r w:rsidR="007C3356">
        <w:t>finisce</w:t>
      </w:r>
      <w:r w:rsidR="00003970">
        <w:t xml:space="preserve"> nelle casse del privato</w:t>
      </w:r>
      <w:r w:rsidR="00C2699C">
        <w:t xml:space="preserve">: </w:t>
      </w:r>
      <w:r w:rsidR="00003970">
        <w:t xml:space="preserve">esattamente </w:t>
      </w:r>
      <w:r w:rsidRPr="004E3720">
        <w:t>€ 1.</w:t>
      </w:r>
      <w:r w:rsidR="003B04E0">
        <w:t>727,5</w:t>
      </w:r>
      <w:r w:rsidRPr="004E3720">
        <w:t xml:space="preserve"> milioni (5</w:t>
      </w:r>
      <w:r w:rsidR="003B04E0">
        <w:t>4</w:t>
      </w:r>
      <w:r w:rsidRPr="004E3720">
        <w:t>,6%)</w:t>
      </w:r>
      <w:r w:rsidR="00003970">
        <w:t>, rispetto a</w:t>
      </w:r>
      <w:r w:rsidRPr="004E3720">
        <w:t xml:space="preserve"> € 1.</w:t>
      </w:r>
      <w:r w:rsidR="003B04E0">
        <w:t>433</w:t>
      </w:r>
      <w:r w:rsidRPr="004E3720">
        <w:t>,</w:t>
      </w:r>
      <w:r w:rsidR="003B04E0">
        <w:t>4</w:t>
      </w:r>
      <w:r w:rsidRPr="004E3720">
        <w:t xml:space="preserve"> milioni (4</w:t>
      </w:r>
      <w:r w:rsidR="003B04E0">
        <w:t>5</w:t>
      </w:r>
      <w:r w:rsidRPr="004E3720">
        <w:t xml:space="preserve">,4%) delle strutture pubbliche. In particolare, per i ricoveri ordinari e in day hospital le strutture private hanno </w:t>
      </w:r>
      <w:r>
        <w:t>incassato</w:t>
      </w:r>
      <w:r w:rsidRPr="004E3720">
        <w:t xml:space="preserve"> € 1.</w:t>
      </w:r>
      <w:r w:rsidR="007549E0">
        <w:t>426,2</w:t>
      </w:r>
      <w:r w:rsidRPr="004E3720">
        <w:t xml:space="preserve"> milioni, mentre quelle pubbliche € 1.</w:t>
      </w:r>
      <w:r w:rsidR="007549E0">
        <w:t>132,8</w:t>
      </w:r>
      <w:r w:rsidRPr="004E3720">
        <w:t xml:space="preserve"> milioni. Per le prestazioni di specialistica ambulatoriale in mobilità, il valore erogato dal privato è di € </w:t>
      </w:r>
      <w:r w:rsidR="007549E0">
        <w:t>301,3</w:t>
      </w:r>
      <w:r w:rsidRPr="004E3720">
        <w:t xml:space="preserve"> milioni</w:t>
      </w:r>
      <w:r w:rsidR="00C2699C">
        <w:t xml:space="preserve">, </w:t>
      </w:r>
      <w:r w:rsidRPr="004E3720">
        <w:t xml:space="preserve">quello pubblico di € </w:t>
      </w:r>
      <w:r w:rsidR="007549E0">
        <w:t>300,6</w:t>
      </w:r>
      <w:r w:rsidRPr="004E3720">
        <w:t xml:space="preserve"> milioni</w:t>
      </w:r>
      <w:r>
        <w:t xml:space="preserve"> (</w:t>
      </w:r>
      <w:r w:rsidRPr="004742CA">
        <w:rPr>
          <w:highlight w:val="yellow"/>
        </w:rPr>
        <w:t>f</w:t>
      </w:r>
      <w:r w:rsidRPr="00263304">
        <w:rPr>
          <w:highlight w:val="yellow"/>
        </w:rPr>
        <w:t xml:space="preserve">igura </w:t>
      </w:r>
      <w:r w:rsidR="00E75A58" w:rsidRPr="00E75A58">
        <w:rPr>
          <w:highlight w:val="yellow"/>
        </w:rPr>
        <w:t>4</w:t>
      </w:r>
      <w:r w:rsidRPr="004742CA">
        <w:t>)</w:t>
      </w:r>
      <w:r w:rsidRPr="00102802">
        <w:t>.</w:t>
      </w:r>
      <w:r w:rsidR="00C2699C">
        <w:t xml:space="preserve"> </w:t>
      </w:r>
      <w:r w:rsidRPr="00C2699C">
        <w:t>«Il volume dell’erogazione di ricoveri e prestazioni specialistiche da parte di strutture private – spiega Cartabellotta – varia notevolmente tra le Regioni ed è un indicatore della presenza e della capacità attrattiva delle strutture private accreditate</w:t>
      </w:r>
      <w:r w:rsidR="00C2699C">
        <w:t>, oltre che dell’indebolimento di quelle pubbliche</w:t>
      </w:r>
      <w:r w:rsidRPr="00C2699C">
        <w:t xml:space="preserve">». </w:t>
      </w:r>
      <w:r w:rsidRPr="009B5897">
        <w:t>Infatti, accanto a Regioni dove la sanità privata eroga oltre il 60% del valore totale della mobilità</w:t>
      </w:r>
      <w:r>
        <w:t xml:space="preserve"> attiva </w:t>
      </w:r>
      <w:r w:rsidRPr="009B5897">
        <w:t>– Molise (</w:t>
      </w:r>
      <w:r w:rsidR="007549E0">
        <w:t>90,5</w:t>
      </w:r>
      <w:r w:rsidRPr="009B5897">
        <w:t>%), Puglia (</w:t>
      </w:r>
      <w:r w:rsidR="007549E0">
        <w:t>73,1</w:t>
      </w:r>
      <w:r w:rsidRPr="009B5897">
        <w:t>%), Lombardia (</w:t>
      </w:r>
      <w:r w:rsidR="007549E0">
        <w:t>71,2</w:t>
      </w:r>
      <w:r w:rsidRPr="009B5897">
        <w:t>%) e Lazio (</w:t>
      </w:r>
      <w:r w:rsidR="007549E0">
        <w:t>64,1</w:t>
      </w:r>
      <w:r w:rsidRPr="009B5897">
        <w:t xml:space="preserve">%) – ci sono Regioni dove le strutture private erogano meno del 20% del valore totale della mobilità: </w:t>
      </w:r>
      <w:r w:rsidR="007549E0" w:rsidRPr="007549E0">
        <w:t>Valle D’Aosta (19,1%), Umbria (17,6%), Sardegna (16,4%), Liguria (10%), Provincia autonoma di Bolzano (9,7%) e Basilicata (8,6%)</w:t>
      </w:r>
      <w:r w:rsidRPr="009B5897">
        <w:t xml:space="preserve"> </w:t>
      </w:r>
      <w:r w:rsidRPr="004742CA">
        <w:t>(</w:t>
      </w:r>
      <w:r w:rsidRPr="004742CA">
        <w:rPr>
          <w:highlight w:val="yellow"/>
        </w:rPr>
        <w:t>figura</w:t>
      </w:r>
      <w:r w:rsidR="00E75A58">
        <w:rPr>
          <w:highlight w:val="yellow"/>
        </w:rPr>
        <w:t xml:space="preserve"> 5</w:t>
      </w:r>
      <w:r w:rsidRPr="004742CA">
        <w:t>).</w:t>
      </w:r>
    </w:p>
    <w:p w14:paraId="3C56A265" w14:textId="7EDB47EC" w:rsidR="002E1659" w:rsidRPr="00E5432B" w:rsidRDefault="002E1659" w:rsidP="00661F5E">
      <w:pPr>
        <w:jc w:val="both"/>
      </w:pPr>
      <w:r w:rsidRPr="00661F5E">
        <w:t xml:space="preserve">«Le nostre analisi – conclude Cartabellotta – dimostrano che i flussi economici della mobilità sanitaria scorrono prevalentemente da Sud a Nord, in particolare verso le Regioni che hanno già sottoscritto i pre-accordi con il Governo per la richiesta di maggiori autonomie. E che oltre la metà </w:t>
      </w:r>
      <w:r w:rsidR="00E0066F" w:rsidRPr="00661F5E">
        <w:t>de</w:t>
      </w:r>
      <w:r w:rsidR="00E0066F">
        <w:t>l valore delle</w:t>
      </w:r>
      <w:r w:rsidR="00E0066F" w:rsidRPr="00661F5E">
        <w:t xml:space="preserve"> </w:t>
      </w:r>
      <w:r w:rsidRPr="00661F5E">
        <w:t xml:space="preserve">prestazioni di ricovero e specialistica ambulatoriale </w:t>
      </w:r>
      <w:r w:rsidR="0028430A">
        <w:t>vengono erogate</w:t>
      </w:r>
      <w:r w:rsidR="00C2699C" w:rsidRPr="00661F5E">
        <w:t xml:space="preserve"> dal privato accreditato, </w:t>
      </w:r>
      <w:r w:rsidR="0053292F">
        <w:t xml:space="preserve">ulteriore </w:t>
      </w:r>
      <w:r w:rsidRPr="00661F5E">
        <w:t>segnale d’indebolimento della sanità pubblica.</w:t>
      </w:r>
      <w:r w:rsidR="00E5432B" w:rsidRPr="00661F5E">
        <w:t xml:space="preserve"> Questi dati, insieme </w:t>
      </w:r>
      <w:r w:rsidRPr="00661F5E">
        <w:t>a quelli sull’esigibilità dei LEA, confermano un gap enorme tra il Nord e il Sud del Paese</w:t>
      </w:r>
      <w:r w:rsidR="00E5432B" w:rsidRPr="00661F5E">
        <w:t xml:space="preserve">, </w:t>
      </w:r>
      <w:r w:rsidRPr="00661F5E">
        <w:t xml:space="preserve">inevitabilmente destinato ad aumentare se verranno </w:t>
      </w:r>
      <w:r w:rsidR="0028430A">
        <w:t>concesse</w:t>
      </w:r>
      <w:r w:rsidR="0028430A" w:rsidRPr="00661F5E">
        <w:t xml:space="preserve"> </w:t>
      </w:r>
      <w:r w:rsidRPr="00661F5E">
        <w:t xml:space="preserve">maggiori autonomie alle più ricche Regioni </w:t>
      </w:r>
      <w:r w:rsidR="00BB57EA">
        <w:t>settentrionali</w:t>
      </w:r>
      <w:r w:rsidR="00F768FF" w:rsidRPr="00661F5E">
        <w:t xml:space="preserve">. </w:t>
      </w:r>
      <w:r w:rsidRPr="00661F5E">
        <w:t>Ecco perché la Fondazione GIMBE</w:t>
      </w:r>
      <w:r w:rsidR="00BB57EA">
        <w:t>,</w:t>
      </w:r>
      <w:r w:rsidR="00E5432B" w:rsidRPr="00661F5E">
        <w:t xml:space="preserve"> </w:t>
      </w:r>
      <w:r w:rsidRPr="00661F5E">
        <w:t xml:space="preserve">all’avvio della discussione </w:t>
      </w:r>
      <w:r w:rsidR="00F768FF" w:rsidRPr="00661F5E">
        <w:t xml:space="preserve">in Senato </w:t>
      </w:r>
      <w:r w:rsidRPr="00661F5E">
        <w:t xml:space="preserve">del </w:t>
      </w:r>
      <w:r w:rsidR="00F768FF" w:rsidRPr="00661F5E">
        <w:t xml:space="preserve">DdL </w:t>
      </w:r>
      <w:r w:rsidRPr="00661F5E">
        <w:t>Calderoli</w:t>
      </w:r>
      <w:r w:rsidR="00BB57EA">
        <w:t>,</w:t>
      </w:r>
      <w:r w:rsidRPr="00661F5E">
        <w:t xml:space="preserve"> ribadisce </w:t>
      </w:r>
      <w:r w:rsidR="00BB57EA">
        <w:t>la richiesta di espungere</w:t>
      </w:r>
      <w:r w:rsidR="00BB57EA" w:rsidRPr="00661F5E">
        <w:t xml:space="preserve"> </w:t>
      </w:r>
      <w:r w:rsidR="00E5432B" w:rsidRPr="00661F5E">
        <w:t xml:space="preserve">la tutela della salute </w:t>
      </w:r>
      <w:r w:rsidRPr="00661F5E">
        <w:t>dalle materie su cui le Regioni possono richiedere maggiori autonomie. Perché</w:t>
      </w:r>
      <w:r w:rsidR="00636B33">
        <w:t xml:space="preserve">, se così non fosse, </w:t>
      </w:r>
      <w:r w:rsidRPr="00661F5E">
        <w:t xml:space="preserve">la conseguenza </w:t>
      </w:r>
      <w:r w:rsidR="00BB57EA">
        <w:t xml:space="preserve">sarebbe </w:t>
      </w:r>
      <w:r w:rsidR="00376B4F">
        <w:t xml:space="preserve">la </w:t>
      </w:r>
      <w:r w:rsidR="00BB57EA">
        <w:t>legittim</w:t>
      </w:r>
      <w:r w:rsidR="00376B4F">
        <w:t xml:space="preserve">azione </w:t>
      </w:r>
      <w:r w:rsidR="00BB57EA">
        <w:t>normativa</w:t>
      </w:r>
      <w:r w:rsidR="00376B4F">
        <w:t xml:space="preserve"> del</w:t>
      </w:r>
      <w:r w:rsidR="00BB57EA">
        <w:t xml:space="preserve">la </w:t>
      </w:r>
      <w:r w:rsidRPr="00661F5E">
        <w:t xml:space="preserve">“frattura strutturale” Nord-Sud, </w:t>
      </w:r>
      <w:r w:rsidR="00376B4F">
        <w:t xml:space="preserve">che </w:t>
      </w:r>
      <w:r w:rsidRPr="00661F5E">
        <w:t>compromette</w:t>
      </w:r>
      <w:r w:rsidR="00E5432B" w:rsidRPr="00661F5E">
        <w:t xml:space="preserve"> </w:t>
      </w:r>
      <w:r w:rsidRPr="00661F5E">
        <w:t xml:space="preserve">l’uguaglianza dei cittadini </w:t>
      </w:r>
      <w:r w:rsidR="00BB57EA">
        <w:t>nell’esercizio del</w:t>
      </w:r>
      <w:r w:rsidRPr="00661F5E">
        <w:t xml:space="preserve"> diritto costituzionale alla tutela della salute</w:t>
      </w:r>
      <w:r w:rsidR="00F768FF" w:rsidRPr="00661F5E">
        <w:t xml:space="preserve">, </w:t>
      </w:r>
      <w:r w:rsidR="00BB57EA">
        <w:t>aument</w:t>
      </w:r>
      <w:r w:rsidR="00DF7B95">
        <w:t xml:space="preserve">a </w:t>
      </w:r>
      <w:r w:rsidR="00F768FF" w:rsidRPr="00661F5E">
        <w:t xml:space="preserve">la dipendenza delle </w:t>
      </w:r>
      <w:r w:rsidR="00BB57EA">
        <w:t>R</w:t>
      </w:r>
      <w:r w:rsidR="00BB57EA" w:rsidRPr="00661F5E">
        <w:t xml:space="preserve">egioni </w:t>
      </w:r>
      <w:r w:rsidR="00F768FF" w:rsidRPr="00661F5E">
        <w:t xml:space="preserve">meridionali </w:t>
      </w:r>
      <w:r w:rsidR="00661F5E">
        <w:t xml:space="preserve">dalla </w:t>
      </w:r>
      <w:r w:rsidR="00F768FF" w:rsidRPr="00661F5E">
        <w:t xml:space="preserve">sanità del </w:t>
      </w:r>
      <w:r w:rsidR="00BB57EA">
        <w:t>N</w:t>
      </w:r>
      <w:r w:rsidR="00BB57EA" w:rsidRPr="00661F5E">
        <w:t xml:space="preserve">ord </w:t>
      </w:r>
      <w:r w:rsidRPr="00661F5E">
        <w:t xml:space="preserve">e </w:t>
      </w:r>
      <w:r w:rsidR="00DF7B95">
        <w:t>assesta</w:t>
      </w:r>
      <w:r w:rsidR="00376B4F">
        <w:t xml:space="preserve"> </w:t>
      </w:r>
      <w:r w:rsidRPr="00661F5E">
        <w:t>il colpo di grazia al Servizio Sanitario Nazionale».</w:t>
      </w:r>
    </w:p>
    <w:p w14:paraId="62A0D029" w14:textId="77777777" w:rsidR="005256C7" w:rsidRDefault="005256C7" w:rsidP="005256C7">
      <w:pPr>
        <w:jc w:val="both"/>
      </w:pPr>
      <w:r>
        <w:t>Il report dell’Osservatorio GIMBE “</w:t>
      </w:r>
      <w:r w:rsidRPr="00FA2363">
        <w:t>La mobilità s</w:t>
      </w:r>
      <w:r>
        <w:t>anitaria interregionale nel 202</w:t>
      </w:r>
      <w:r w:rsidR="007549E0">
        <w:t>1</w:t>
      </w:r>
      <w:r>
        <w:t xml:space="preserve">” è disponibile a: </w:t>
      </w:r>
      <w:hyperlink r:id="rId9" w:history="1">
        <w:r w:rsidR="007549E0" w:rsidRPr="00E53573">
          <w:rPr>
            <w:rStyle w:val="Collegamentoipertestuale"/>
          </w:rPr>
          <w:t>www.gimbe.org/mobilita2021</w:t>
        </w:r>
      </w:hyperlink>
    </w:p>
    <w:p w14:paraId="4E5E9C12" w14:textId="77777777" w:rsidR="005256C7" w:rsidRPr="00E3755B" w:rsidRDefault="005256C7" w:rsidP="005256C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1E963CF3" w14:textId="77777777" w:rsidR="005256C7" w:rsidRPr="00E3755B" w:rsidRDefault="005256C7" w:rsidP="005256C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04AD0B06" w14:textId="77777777" w:rsidR="005256C7" w:rsidRDefault="005256C7" w:rsidP="005256C7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Pr="00B0449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7D8CA95C" w14:textId="77777777" w:rsidR="00241DC9" w:rsidRDefault="00241DC9">
      <w:pPr>
        <w:rPr>
          <w:rStyle w:val="Collegamentoipertestuale"/>
          <w:rFonts w:ascii="Calibri" w:eastAsia="Calibri" w:hAnsi="Calibri" w:cs="Times New Roman"/>
          <w:sz w:val="20"/>
          <w:szCs w:val="20"/>
        </w:rPr>
      </w:pPr>
      <w:r>
        <w:rPr>
          <w:rStyle w:val="Collegamentoipertestuale"/>
          <w:rFonts w:ascii="Calibri" w:eastAsia="Calibri" w:hAnsi="Calibri" w:cs="Times New Roman"/>
          <w:sz w:val="20"/>
          <w:szCs w:val="20"/>
        </w:rPr>
        <w:br w:type="page"/>
      </w:r>
    </w:p>
    <w:p w14:paraId="184A39DE" w14:textId="77777777" w:rsidR="0053137E" w:rsidRDefault="0053137E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>Figura 1</w:t>
      </w:r>
    </w:p>
    <w:p w14:paraId="729AAE78" w14:textId="6AF5DD0E" w:rsidR="0053137E" w:rsidRDefault="00A25B6A" w:rsidP="003D67F0">
      <w:pPr>
        <w:spacing w:after="0" w:line="240" w:lineRule="auto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noProof/>
          <w:color w:val="244061" w:themeColor="accent1" w:themeShade="80"/>
          <w:sz w:val="20"/>
          <w:szCs w:val="20"/>
          <w:lang w:eastAsia="it-IT"/>
        </w:rPr>
        <w:drawing>
          <wp:inline distT="0" distB="0" distL="0" distR="0" wp14:anchorId="59F0C029" wp14:editId="7B0431C2">
            <wp:extent cx="6115050" cy="4286250"/>
            <wp:effectExtent l="0" t="0" r="0" b="0"/>
            <wp:docPr id="2" name="Immagine 2" descr="C:\Users\Roberto Lucieri\AppData\Local\Microsoft\Windows\INetCache\Content.Word\Figura_01_20240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o Lucieri\AppData\Local\Microsoft\Windows\INetCache\Content.Word\Figura_01_202401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1" b="10760"/>
                    <a:stretch/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433F8" w14:textId="77777777" w:rsidR="00241DC9" w:rsidRDefault="00241DC9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0EEA8D09" w14:textId="77777777" w:rsidR="0053137E" w:rsidRDefault="0053137E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F03FC6">
        <w:rPr>
          <w:b/>
          <w:bCs/>
          <w:color w:val="05457D"/>
          <w:sz w:val="24"/>
          <w:szCs w:val="24"/>
          <w:u w:color="00457D"/>
        </w:rPr>
        <w:t>2</w:t>
      </w:r>
    </w:p>
    <w:p w14:paraId="573140E0" w14:textId="689009AE" w:rsidR="003D67F0" w:rsidRDefault="00A25B6A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>
        <w:rPr>
          <w:rFonts w:ascii="Calibri" w:eastAsia="Calibri" w:hAnsi="Calibri" w:cs="Times New Roman"/>
          <w:b/>
          <w:noProof/>
          <w:color w:val="244061" w:themeColor="accent1" w:themeShade="80"/>
          <w:sz w:val="20"/>
          <w:szCs w:val="20"/>
          <w:lang w:eastAsia="it-IT"/>
        </w:rPr>
        <w:pict w14:anchorId="77102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5pt;height:339pt">
            <v:imagedata r:id="rId12" o:title="Figura_02_20240116" croptop="3648f" cropbottom="6930f"/>
          </v:shape>
        </w:pict>
      </w:r>
    </w:p>
    <w:p w14:paraId="1792AA78" w14:textId="77777777" w:rsidR="00241DC9" w:rsidRDefault="00241DC9" w:rsidP="00241DC9">
      <w:pPr>
        <w:spacing w:after="0"/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</w:p>
    <w:p w14:paraId="70A26FF1" w14:textId="77777777" w:rsidR="0053137E" w:rsidRDefault="0053137E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22AD7327" w14:textId="77777777" w:rsidR="00F03FC6" w:rsidRDefault="00F03FC6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732769B8" w14:textId="77777777" w:rsidR="00F03FC6" w:rsidRDefault="00F03FC6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4A0FADC8" w14:textId="77777777" w:rsidR="0053137E" w:rsidRDefault="0053137E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F03FC6">
        <w:rPr>
          <w:b/>
          <w:bCs/>
          <w:color w:val="05457D"/>
          <w:sz w:val="24"/>
          <w:szCs w:val="24"/>
          <w:u w:color="00457D"/>
        </w:rPr>
        <w:t>3</w:t>
      </w:r>
    </w:p>
    <w:p w14:paraId="568AA7E6" w14:textId="77777777" w:rsidR="00F03FC6" w:rsidRPr="00F03FC6" w:rsidRDefault="00505CBC" w:rsidP="00F03FC6">
      <w:pPr>
        <w:jc w:val="center"/>
        <w:rPr>
          <w:rFonts w:ascii="Calibri" w:eastAsia="Calibri" w:hAnsi="Calibri" w:cs="Times New Roman"/>
          <w:b/>
          <w:color w:val="244061" w:themeColor="accent1" w:themeShade="80"/>
          <w:sz w:val="20"/>
          <w:szCs w:val="20"/>
        </w:rPr>
      </w:pPr>
      <w:r w:rsidRPr="00505CBC">
        <w:rPr>
          <w:rFonts w:ascii="Calibri" w:eastAsia="Calibri" w:hAnsi="Calibri" w:cs="Times New Roman"/>
          <w:b/>
          <w:noProof/>
          <w:color w:val="244061" w:themeColor="accent1" w:themeShade="80"/>
          <w:sz w:val="20"/>
          <w:szCs w:val="20"/>
          <w:lang w:eastAsia="it-IT"/>
        </w:rPr>
        <w:drawing>
          <wp:inline distT="0" distB="0" distL="0" distR="0" wp14:anchorId="5F4D4883" wp14:editId="4E2519A9">
            <wp:extent cx="5962650" cy="4023928"/>
            <wp:effectExtent l="0" t="0" r="0" b="0"/>
            <wp:docPr id="1" name="Immagine 1" descr="F:\Fondazione GIMBE Dropbox\Fondazione GIMBE\A00. Coronavirus\Ufficio stampa\Comunicati Stampa\20240116 Mobilità sanitaria interregionale nel 2021\HQ\Mobilità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Fondazione GIMBE Dropbox\Fondazione GIMBE\A00. Coronavirus\Ufficio stampa\Comunicati Stampa\20240116 Mobilità sanitaria interregionale nel 2021\HQ\Mobilità 20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18" cy="40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FF05" w14:textId="77777777" w:rsidR="003D67F0" w:rsidRDefault="003D67F0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6ADF1BD6" w14:textId="77777777" w:rsidR="0053137E" w:rsidRDefault="0053137E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F03FC6">
        <w:rPr>
          <w:b/>
          <w:bCs/>
          <w:color w:val="05457D"/>
          <w:sz w:val="24"/>
          <w:szCs w:val="24"/>
          <w:u w:color="00457D"/>
        </w:rPr>
        <w:t>4</w:t>
      </w:r>
    </w:p>
    <w:p w14:paraId="36B32EBB" w14:textId="161EFCF3" w:rsidR="00A25B6A" w:rsidRDefault="00A25B6A" w:rsidP="0053137E">
      <w:pPr>
        <w:spacing w:after="0" w:line="240" w:lineRule="auto"/>
        <w:jc w:val="center"/>
        <w:rPr>
          <w:b/>
          <w:bCs/>
          <w:noProof/>
          <w:color w:val="05457D"/>
          <w:sz w:val="24"/>
          <w:szCs w:val="24"/>
          <w:u w:color="00457D"/>
          <w:lang w:eastAsia="it-IT"/>
        </w:rPr>
      </w:pPr>
      <w:r>
        <w:rPr>
          <w:b/>
          <w:bCs/>
          <w:noProof/>
          <w:color w:val="05457D"/>
          <w:sz w:val="24"/>
          <w:szCs w:val="24"/>
          <w:u w:color="00457D"/>
          <w:lang w:eastAsia="it-IT"/>
        </w:rPr>
        <w:pict w14:anchorId="20DFD96A">
          <v:shape id="_x0000_i1031" type="#_x0000_t75" style="width:465.75pt;height:289.5pt">
            <v:imagedata r:id="rId14" o:title="Figura_04_20240116" croptop="2101f" cropbottom="7562f"/>
          </v:shape>
        </w:pict>
      </w:r>
    </w:p>
    <w:p w14:paraId="0C3BC35A" w14:textId="00CC3FAB" w:rsidR="00F03FC6" w:rsidRDefault="00F03FC6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6BC208AB" w14:textId="77777777" w:rsidR="00F03FC6" w:rsidRDefault="00F03FC6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03CBF063" w14:textId="00565472" w:rsidR="003D67F0" w:rsidRDefault="003D67F0">
      <w:pPr>
        <w:rPr>
          <w:b/>
          <w:bCs/>
          <w:color w:val="05457D"/>
          <w:sz w:val="24"/>
          <w:szCs w:val="24"/>
          <w:u w:color="00457D"/>
        </w:rPr>
      </w:pPr>
      <w:bookmarkStart w:id="1" w:name="_GoBack"/>
      <w:bookmarkEnd w:id="1"/>
    </w:p>
    <w:p w14:paraId="41D1C342" w14:textId="77777777" w:rsidR="00263304" w:rsidRDefault="0053137E" w:rsidP="0053137E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F03FC6">
        <w:rPr>
          <w:b/>
          <w:bCs/>
          <w:color w:val="05457D"/>
          <w:sz w:val="24"/>
          <w:szCs w:val="24"/>
          <w:u w:color="00457D"/>
        </w:rPr>
        <w:t>5</w:t>
      </w:r>
    </w:p>
    <w:p w14:paraId="273C84C8" w14:textId="5BC90F8E" w:rsidR="003D67F0" w:rsidRDefault="00A25B6A" w:rsidP="0053137E">
      <w:pPr>
        <w:spacing w:after="0" w:line="240" w:lineRule="auto"/>
        <w:jc w:val="center"/>
        <w:rPr>
          <w:lang w:eastAsia="zh-CN"/>
        </w:rPr>
      </w:pPr>
      <w:r>
        <w:rPr>
          <w:noProof/>
          <w:lang w:eastAsia="it-IT"/>
        </w:rPr>
        <w:pict w14:anchorId="26BB7699">
          <v:shape id="_x0000_i1036" type="#_x0000_t75" style="width:481.5pt;height:376.5pt">
            <v:imagedata r:id="rId15" o:title="Figura_05_20240116" cropbottom="4499f"/>
          </v:shape>
        </w:pict>
      </w:r>
    </w:p>
    <w:sectPr w:rsidR="003D67F0" w:rsidSect="00282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0DCCD" w14:textId="77777777" w:rsidR="00900548" w:rsidRDefault="00900548" w:rsidP="00ED0CFD">
      <w:pPr>
        <w:spacing w:after="0" w:line="240" w:lineRule="auto"/>
      </w:pPr>
      <w:r>
        <w:separator/>
      </w:r>
    </w:p>
  </w:endnote>
  <w:endnote w:type="continuationSeparator" w:id="0">
    <w:p w14:paraId="3264E695" w14:textId="77777777" w:rsidR="00900548" w:rsidRDefault="00900548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3AEE" w14:textId="77777777" w:rsidR="00900548" w:rsidRDefault="00900548" w:rsidP="00ED0CFD">
      <w:pPr>
        <w:spacing w:after="0" w:line="240" w:lineRule="auto"/>
      </w:pPr>
      <w:r>
        <w:separator/>
      </w:r>
    </w:p>
  </w:footnote>
  <w:footnote w:type="continuationSeparator" w:id="0">
    <w:p w14:paraId="178EA7E0" w14:textId="77777777" w:rsidR="00900548" w:rsidRDefault="00900548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D36B28"/>
    <w:multiLevelType w:val="hybridMultilevel"/>
    <w:tmpl w:val="3FB442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8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19"/>
  </w:num>
  <w:num w:numId="17">
    <w:abstractNumId w:val="16"/>
  </w:num>
  <w:num w:numId="18">
    <w:abstractNumId w:val="5"/>
  </w:num>
  <w:num w:numId="19">
    <w:abstractNumId w:val="15"/>
  </w:num>
  <w:num w:numId="20">
    <w:abstractNumId w:val="21"/>
  </w:num>
  <w:num w:numId="21">
    <w:abstractNumId w:val="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970"/>
    <w:rsid w:val="00003F78"/>
    <w:rsid w:val="00004B0A"/>
    <w:rsid w:val="00005126"/>
    <w:rsid w:val="00005316"/>
    <w:rsid w:val="00005B25"/>
    <w:rsid w:val="00006555"/>
    <w:rsid w:val="00010498"/>
    <w:rsid w:val="0001111C"/>
    <w:rsid w:val="0001384A"/>
    <w:rsid w:val="00013DFA"/>
    <w:rsid w:val="0001439D"/>
    <w:rsid w:val="000151FC"/>
    <w:rsid w:val="00015D8E"/>
    <w:rsid w:val="00017968"/>
    <w:rsid w:val="00017FB4"/>
    <w:rsid w:val="000202BF"/>
    <w:rsid w:val="00020F55"/>
    <w:rsid w:val="00021D7F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342B"/>
    <w:rsid w:val="0004410A"/>
    <w:rsid w:val="00044625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CA3"/>
    <w:rsid w:val="00055D27"/>
    <w:rsid w:val="000602AA"/>
    <w:rsid w:val="00060A59"/>
    <w:rsid w:val="0006440E"/>
    <w:rsid w:val="000657A8"/>
    <w:rsid w:val="000662E3"/>
    <w:rsid w:val="00067B8F"/>
    <w:rsid w:val="000707B3"/>
    <w:rsid w:val="00070F64"/>
    <w:rsid w:val="000715A9"/>
    <w:rsid w:val="000718E4"/>
    <w:rsid w:val="00071F0A"/>
    <w:rsid w:val="00071F88"/>
    <w:rsid w:val="00072570"/>
    <w:rsid w:val="000733A7"/>
    <w:rsid w:val="000733E1"/>
    <w:rsid w:val="0007355C"/>
    <w:rsid w:val="00073870"/>
    <w:rsid w:val="00074788"/>
    <w:rsid w:val="000771A4"/>
    <w:rsid w:val="00077EF1"/>
    <w:rsid w:val="00080E0C"/>
    <w:rsid w:val="00082EDA"/>
    <w:rsid w:val="000905D1"/>
    <w:rsid w:val="00090A39"/>
    <w:rsid w:val="00090B7E"/>
    <w:rsid w:val="000927C7"/>
    <w:rsid w:val="000935F1"/>
    <w:rsid w:val="00094560"/>
    <w:rsid w:val="000965BE"/>
    <w:rsid w:val="00096FA1"/>
    <w:rsid w:val="000A0218"/>
    <w:rsid w:val="000A05CF"/>
    <w:rsid w:val="000A0FC3"/>
    <w:rsid w:val="000A1367"/>
    <w:rsid w:val="000A1A5C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265C"/>
    <w:rsid w:val="000C344B"/>
    <w:rsid w:val="000C544C"/>
    <w:rsid w:val="000C6130"/>
    <w:rsid w:val="000D02E4"/>
    <w:rsid w:val="000D17FB"/>
    <w:rsid w:val="000D18C7"/>
    <w:rsid w:val="000D1E30"/>
    <w:rsid w:val="000D25AC"/>
    <w:rsid w:val="000D44D4"/>
    <w:rsid w:val="000D5771"/>
    <w:rsid w:val="000D5893"/>
    <w:rsid w:val="000D7252"/>
    <w:rsid w:val="000E2E4F"/>
    <w:rsid w:val="000E37B1"/>
    <w:rsid w:val="000E4E47"/>
    <w:rsid w:val="000E7667"/>
    <w:rsid w:val="000E7CC2"/>
    <w:rsid w:val="000F0BBD"/>
    <w:rsid w:val="000F10F8"/>
    <w:rsid w:val="000F39EF"/>
    <w:rsid w:val="000F43FE"/>
    <w:rsid w:val="000F5C0F"/>
    <w:rsid w:val="000F7FF9"/>
    <w:rsid w:val="0010059E"/>
    <w:rsid w:val="0010173D"/>
    <w:rsid w:val="00102802"/>
    <w:rsid w:val="001033BE"/>
    <w:rsid w:val="00107066"/>
    <w:rsid w:val="00107096"/>
    <w:rsid w:val="00110237"/>
    <w:rsid w:val="00111D08"/>
    <w:rsid w:val="0011205F"/>
    <w:rsid w:val="001139A6"/>
    <w:rsid w:val="00113D4A"/>
    <w:rsid w:val="00113F3C"/>
    <w:rsid w:val="00115344"/>
    <w:rsid w:val="001167D9"/>
    <w:rsid w:val="00123196"/>
    <w:rsid w:val="00123378"/>
    <w:rsid w:val="00123634"/>
    <w:rsid w:val="001246E0"/>
    <w:rsid w:val="00125C6A"/>
    <w:rsid w:val="001262A5"/>
    <w:rsid w:val="001317CF"/>
    <w:rsid w:val="00131E99"/>
    <w:rsid w:val="001329EC"/>
    <w:rsid w:val="00134C8C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2E41"/>
    <w:rsid w:val="00153328"/>
    <w:rsid w:val="0015377E"/>
    <w:rsid w:val="00156B19"/>
    <w:rsid w:val="001608BE"/>
    <w:rsid w:val="00162FBC"/>
    <w:rsid w:val="00163309"/>
    <w:rsid w:val="0016375C"/>
    <w:rsid w:val="001654A5"/>
    <w:rsid w:val="00170760"/>
    <w:rsid w:val="0017089E"/>
    <w:rsid w:val="00170B46"/>
    <w:rsid w:val="00171767"/>
    <w:rsid w:val="00173764"/>
    <w:rsid w:val="0017405D"/>
    <w:rsid w:val="001748BA"/>
    <w:rsid w:val="00176531"/>
    <w:rsid w:val="00183DFD"/>
    <w:rsid w:val="00191F59"/>
    <w:rsid w:val="00192DAD"/>
    <w:rsid w:val="00192F75"/>
    <w:rsid w:val="00193B5E"/>
    <w:rsid w:val="00193F19"/>
    <w:rsid w:val="001A3E0D"/>
    <w:rsid w:val="001A3E96"/>
    <w:rsid w:val="001A6181"/>
    <w:rsid w:val="001B39C4"/>
    <w:rsid w:val="001B3C16"/>
    <w:rsid w:val="001C00F9"/>
    <w:rsid w:val="001C0121"/>
    <w:rsid w:val="001C067C"/>
    <w:rsid w:val="001C48AA"/>
    <w:rsid w:val="001C51E2"/>
    <w:rsid w:val="001C60EA"/>
    <w:rsid w:val="001C611E"/>
    <w:rsid w:val="001C6D0F"/>
    <w:rsid w:val="001C7F98"/>
    <w:rsid w:val="001D04DB"/>
    <w:rsid w:val="001D0E41"/>
    <w:rsid w:val="001D153D"/>
    <w:rsid w:val="001D19F1"/>
    <w:rsid w:val="001D2DB3"/>
    <w:rsid w:val="001D3E45"/>
    <w:rsid w:val="001D4CE8"/>
    <w:rsid w:val="001D79A8"/>
    <w:rsid w:val="001E0E42"/>
    <w:rsid w:val="001E2726"/>
    <w:rsid w:val="001E35BC"/>
    <w:rsid w:val="001E469E"/>
    <w:rsid w:val="001E5245"/>
    <w:rsid w:val="001E6902"/>
    <w:rsid w:val="001E6CBA"/>
    <w:rsid w:val="001F1C35"/>
    <w:rsid w:val="001F20B8"/>
    <w:rsid w:val="001F3354"/>
    <w:rsid w:val="001F7833"/>
    <w:rsid w:val="00201481"/>
    <w:rsid w:val="002020DB"/>
    <w:rsid w:val="00202A01"/>
    <w:rsid w:val="0020435A"/>
    <w:rsid w:val="002054C1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158D6"/>
    <w:rsid w:val="002206B0"/>
    <w:rsid w:val="002236BC"/>
    <w:rsid w:val="00223C4D"/>
    <w:rsid w:val="00223F01"/>
    <w:rsid w:val="00224E88"/>
    <w:rsid w:val="00226406"/>
    <w:rsid w:val="00232C0A"/>
    <w:rsid w:val="00233EF5"/>
    <w:rsid w:val="002349C3"/>
    <w:rsid w:val="0023771D"/>
    <w:rsid w:val="00241AB7"/>
    <w:rsid w:val="00241CF7"/>
    <w:rsid w:val="00241DC9"/>
    <w:rsid w:val="00241E9C"/>
    <w:rsid w:val="00242077"/>
    <w:rsid w:val="00244FA4"/>
    <w:rsid w:val="0025050F"/>
    <w:rsid w:val="0025076D"/>
    <w:rsid w:val="0025100A"/>
    <w:rsid w:val="00251AC2"/>
    <w:rsid w:val="00252636"/>
    <w:rsid w:val="002551A1"/>
    <w:rsid w:val="002616ED"/>
    <w:rsid w:val="00263304"/>
    <w:rsid w:val="0026358E"/>
    <w:rsid w:val="002640C6"/>
    <w:rsid w:val="00265B05"/>
    <w:rsid w:val="00266561"/>
    <w:rsid w:val="00266D0D"/>
    <w:rsid w:val="00266E0C"/>
    <w:rsid w:val="00266E1A"/>
    <w:rsid w:val="00271105"/>
    <w:rsid w:val="002723FC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259D"/>
    <w:rsid w:val="00282655"/>
    <w:rsid w:val="00282D8A"/>
    <w:rsid w:val="00282DAE"/>
    <w:rsid w:val="0028430A"/>
    <w:rsid w:val="00287105"/>
    <w:rsid w:val="0028754D"/>
    <w:rsid w:val="00287CF0"/>
    <w:rsid w:val="00291602"/>
    <w:rsid w:val="00292151"/>
    <w:rsid w:val="00292718"/>
    <w:rsid w:val="0029392F"/>
    <w:rsid w:val="00294338"/>
    <w:rsid w:val="0029471C"/>
    <w:rsid w:val="002953E0"/>
    <w:rsid w:val="00297583"/>
    <w:rsid w:val="002A0C7B"/>
    <w:rsid w:val="002A2034"/>
    <w:rsid w:val="002A3232"/>
    <w:rsid w:val="002A3B41"/>
    <w:rsid w:val="002A51D6"/>
    <w:rsid w:val="002A6FEF"/>
    <w:rsid w:val="002B12E6"/>
    <w:rsid w:val="002B1329"/>
    <w:rsid w:val="002B7295"/>
    <w:rsid w:val="002B7C26"/>
    <w:rsid w:val="002B7F03"/>
    <w:rsid w:val="002C0B56"/>
    <w:rsid w:val="002C0B93"/>
    <w:rsid w:val="002C0F1B"/>
    <w:rsid w:val="002C2712"/>
    <w:rsid w:val="002C3123"/>
    <w:rsid w:val="002C433C"/>
    <w:rsid w:val="002C4FFE"/>
    <w:rsid w:val="002C5187"/>
    <w:rsid w:val="002C5517"/>
    <w:rsid w:val="002C58B9"/>
    <w:rsid w:val="002D1A9D"/>
    <w:rsid w:val="002D1D66"/>
    <w:rsid w:val="002D2C39"/>
    <w:rsid w:val="002D3092"/>
    <w:rsid w:val="002D3943"/>
    <w:rsid w:val="002D3B2F"/>
    <w:rsid w:val="002D4D2D"/>
    <w:rsid w:val="002D61E1"/>
    <w:rsid w:val="002D6E9B"/>
    <w:rsid w:val="002D7409"/>
    <w:rsid w:val="002E0F88"/>
    <w:rsid w:val="002E165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1EA6"/>
    <w:rsid w:val="003045CF"/>
    <w:rsid w:val="00305113"/>
    <w:rsid w:val="003059C3"/>
    <w:rsid w:val="00305B3F"/>
    <w:rsid w:val="00310511"/>
    <w:rsid w:val="00310654"/>
    <w:rsid w:val="00313AD1"/>
    <w:rsid w:val="00315407"/>
    <w:rsid w:val="00315734"/>
    <w:rsid w:val="00315E74"/>
    <w:rsid w:val="0031648A"/>
    <w:rsid w:val="00316F39"/>
    <w:rsid w:val="0031755E"/>
    <w:rsid w:val="00321C3D"/>
    <w:rsid w:val="00323A55"/>
    <w:rsid w:val="003257BC"/>
    <w:rsid w:val="00325A97"/>
    <w:rsid w:val="00325E98"/>
    <w:rsid w:val="003268D1"/>
    <w:rsid w:val="00327AF0"/>
    <w:rsid w:val="00331B49"/>
    <w:rsid w:val="00331F29"/>
    <w:rsid w:val="00332812"/>
    <w:rsid w:val="00332B34"/>
    <w:rsid w:val="00333A1D"/>
    <w:rsid w:val="00333B9B"/>
    <w:rsid w:val="0033460B"/>
    <w:rsid w:val="00334F92"/>
    <w:rsid w:val="00336656"/>
    <w:rsid w:val="0033752D"/>
    <w:rsid w:val="00341F1E"/>
    <w:rsid w:val="00341F7E"/>
    <w:rsid w:val="0034291E"/>
    <w:rsid w:val="00343639"/>
    <w:rsid w:val="00344C5E"/>
    <w:rsid w:val="003456F8"/>
    <w:rsid w:val="00347675"/>
    <w:rsid w:val="00347BD4"/>
    <w:rsid w:val="00347CD5"/>
    <w:rsid w:val="00350B80"/>
    <w:rsid w:val="00351462"/>
    <w:rsid w:val="00352BE2"/>
    <w:rsid w:val="00353E36"/>
    <w:rsid w:val="003554E0"/>
    <w:rsid w:val="00355DBF"/>
    <w:rsid w:val="003563F4"/>
    <w:rsid w:val="003576FF"/>
    <w:rsid w:val="00357F80"/>
    <w:rsid w:val="00362111"/>
    <w:rsid w:val="0036304D"/>
    <w:rsid w:val="003631B2"/>
    <w:rsid w:val="00363764"/>
    <w:rsid w:val="0036462F"/>
    <w:rsid w:val="00364E32"/>
    <w:rsid w:val="003653A3"/>
    <w:rsid w:val="00365753"/>
    <w:rsid w:val="00366C45"/>
    <w:rsid w:val="00367A4B"/>
    <w:rsid w:val="00370768"/>
    <w:rsid w:val="0037397E"/>
    <w:rsid w:val="00375D42"/>
    <w:rsid w:val="003764CF"/>
    <w:rsid w:val="00376B4F"/>
    <w:rsid w:val="00380A73"/>
    <w:rsid w:val="00382F29"/>
    <w:rsid w:val="00384AF1"/>
    <w:rsid w:val="00384EDE"/>
    <w:rsid w:val="00385A79"/>
    <w:rsid w:val="00386385"/>
    <w:rsid w:val="00386FD8"/>
    <w:rsid w:val="00387555"/>
    <w:rsid w:val="0039006E"/>
    <w:rsid w:val="00391AD2"/>
    <w:rsid w:val="00393A84"/>
    <w:rsid w:val="00393B9D"/>
    <w:rsid w:val="00394823"/>
    <w:rsid w:val="003955A0"/>
    <w:rsid w:val="003978DA"/>
    <w:rsid w:val="003A0A46"/>
    <w:rsid w:val="003A106D"/>
    <w:rsid w:val="003A13B4"/>
    <w:rsid w:val="003A25F6"/>
    <w:rsid w:val="003A6135"/>
    <w:rsid w:val="003A72AE"/>
    <w:rsid w:val="003A7632"/>
    <w:rsid w:val="003A7E5F"/>
    <w:rsid w:val="003B04E0"/>
    <w:rsid w:val="003B2F64"/>
    <w:rsid w:val="003B3381"/>
    <w:rsid w:val="003B4A8D"/>
    <w:rsid w:val="003B5D17"/>
    <w:rsid w:val="003B5D7A"/>
    <w:rsid w:val="003B72C4"/>
    <w:rsid w:val="003C0D0D"/>
    <w:rsid w:val="003C2417"/>
    <w:rsid w:val="003C276B"/>
    <w:rsid w:val="003C3404"/>
    <w:rsid w:val="003C48B6"/>
    <w:rsid w:val="003C75E1"/>
    <w:rsid w:val="003D4318"/>
    <w:rsid w:val="003D66C8"/>
    <w:rsid w:val="003D67F0"/>
    <w:rsid w:val="003E0375"/>
    <w:rsid w:val="003E2D1E"/>
    <w:rsid w:val="003E4422"/>
    <w:rsid w:val="003E44CA"/>
    <w:rsid w:val="003E4FF7"/>
    <w:rsid w:val="003E6B2B"/>
    <w:rsid w:val="003E76C4"/>
    <w:rsid w:val="003F0B23"/>
    <w:rsid w:val="003F1AAC"/>
    <w:rsid w:val="003F1E08"/>
    <w:rsid w:val="003F35EF"/>
    <w:rsid w:val="003F3B35"/>
    <w:rsid w:val="003F470F"/>
    <w:rsid w:val="003F52F6"/>
    <w:rsid w:val="00402E1F"/>
    <w:rsid w:val="004052B2"/>
    <w:rsid w:val="00405C0C"/>
    <w:rsid w:val="00406018"/>
    <w:rsid w:val="004063A2"/>
    <w:rsid w:val="00412253"/>
    <w:rsid w:val="00413B2C"/>
    <w:rsid w:val="00414C6F"/>
    <w:rsid w:val="00415770"/>
    <w:rsid w:val="00415FC6"/>
    <w:rsid w:val="0041646F"/>
    <w:rsid w:val="0041674A"/>
    <w:rsid w:val="00423B3B"/>
    <w:rsid w:val="004247AF"/>
    <w:rsid w:val="00425913"/>
    <w:rsid w:val="00430270"/>
    <w:rsid w:val="00434060"/>
    <w:rsid w:val="00434921"/>
    <w:rsid w:val="004350BB"/>
    <w:rsid w:val="00436E44"/>
    <w:rsid w:val="00437569"/>
    <w:rsid w:val="0044012A"/>
    <w:rsid w:val="00440D4A"/>
    <w:rsid w:val="00441D52"/>
    <w:rsid w:val="004420B7"/>
    <w:rsid w:val="00442312"/>
    <w:rsid w:val="00442E37"/>
    <w:rsid w:val="004432F6"/>
    <w:rsid w:val="00446F85"/>
    <w:rsid w:val="004512AA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3E9D"/>
    <w:rsid w:val="0046775E"/>
    <w:rsid w:val="00467895"/>
    <w:rsid w:val="0047038B"/>
    <w:rsid w:val="00470740"/>
    <w:rsid w:val="00470D92"/>
    <w:rsid w:val="0047196C"/>
    <w:rsid w:val="0047354E"/>
    <w:rsid w:val="004742CA"/>
    <w:rsid w:val="004752D9"/>
    <w:rsid w:val="00475510"/>
    <w:rsid w:val="0047586E"/>
    <w:rsid w:val="0047594B"/>
    <w:rsid w:val="00477127"/>
    <w:rsid w:val="00477873"/>
    <w:rsid w:val="00480227"/>
    <w:rsid w:val="00480E9D"/>
    <w:rsid w:val="00481D22"/>
    <w:rsid w:val="00483720"/>
    <w:rsid w:val="0048588A"/>
    <w:rsid w:val="00490397"/>
    <w:rsid w:val="00490692"/>
    <w:rsid w:val="00490EB3"/>
    <w:rsid w:val="00491F63"/>
    <w:rsid w:val="004952D7"/>
    <w:rsid w:val="004955F7"/>
    <w:rsid w:val="00495941"/>
    <w:rsid w:val="00496108"/>
    <w:rsid w:val="004971EA"/>
    <w:rsid w:val="004A07FF"/>
    <w:rsid w:val="004A0830"/>
    <w:rsid w:val="004A0E05"/>
    <w:rsid w:val="004A11C7"/>
    <w:rsid w:val="004A18D7"/>
    <w:rsid w:val="004A1B26"/>
    <w:rsid w:val="004A1BFD"/>
    <w:rsid w:val="004A31D4"/>
    <w:rsid w:val="004A5489"/>
    <w:rsid w:val="004B3935"/>
    <w:rsid w:val="004B4350"/>
    <w:rsid w:val="004B447F"/>
    <w:rsid w:val="004B4909"/>
    <w:rsid w:val="004B7ACD"/>
    <w:rsid w:val="004C17CB"/>
    <w:rsid w:val="004C1F06"/>
    <w:rsid w:val="004C2236"/>
    <w:rsid w:val="004C285E"/>
    <w:rsid w:val="004C6784"/>
    <w:rsid w:val="004C679F"/>
    <w:rsid w:val="004D0248"/>
    <w:rsid w:val="004D03D7"/>
    <w:rsid w:val="004D0BDF"/>
    <w:rsid w:val="004D3A0B"/>
    <w:rsid w:val="004D469E"/>
    <w:rsid w:val="004D4B67"/>
    <w:rsid w:val="004D5883"/>
    <w:rsid w:val="004E003D"/>
    <w:rsid w:val="004E3720"/>
    <w:rsid w:val="004E4BBD"/>
    <w:rsid w:val="004E5018"/>
    <w:rsid w:val="004E5EFE"/>
    <w:rsid w:val="004F0578"/>
    <w:rsid w:val="004F064A"/>
    <w:rsid w:val="004F0C29"/>
    <w:rsid w:val="004F0FD3"/>
    <w:rsid w:val="004F1688"/>
    <w:rsid w:val="004F3FEB"/>
    <w:rsid w:val="004F58E5"/>
    <w:rsid w:val="004F69B2"/>
    <w:rsid w:val="004F751C"/>
    <w:rsid w:val="005014CD"/>
    <w:rsid w:val="00501793"/>
    <w:rsid w:val="00504CE6"/>
    <w:rsid w:val="00505B7D"/>
    <w:rsid w:val="00505BFD"/>
    <w:rsid w:val="00505CBC"/>
    <w:rsid w:val="00510AA1"/>
    <w:rsid w:val="00511D86"/>
    <w:rsid w:val="00511E6F"/>
    <w:rsid w:val="00512868"/>
    <w:rsid w:val="00512879"/>
    <w:rsid w:val="00514990"/>
    <w:rsid w:val="00517170"/>
    <w:rsid w:val="005203E7"/>
    <w:rsid w:val="005204CB"/>
    <w:rsid w:val="00520DE3"/>
    <w:rsid w:val="00521D99"/>
    <w:rsid w:val="00522C6E"/>
    <w:rsid w:val="00524F37"/>
    <w:rsid w:val="00525411"/>
    <w:rsid w:val="005256C7"/>
    <w:rsid w:val="00525952"/>
    <w:rsid w:val="00525AEA"/>
    <w:rsid w:val="00525FA8"/>
    <w:rsid w:val="005272D8"/>
    <w:rsid w:val="00530B7D"/>
    <w:rsid w:val="00530BB4"/>
    <w:rsid w:val="00530FB0"/>
    <w:rsid w:val="0053137E"/>
    <w:rsid w:val="00531550"/>
    <w:rsid w:val="00531EA2"/>
    <w:rsid w:val="005320A9"/>
    <w:rsid w:val="0053292F"/>
    <w:rsid w:val="00532D90"/>
    <w:rsid w:val="00533D48"/>
    <w:rsid w:val="005341D8"/>
    <w:rsid w:val="005346A6"/>
    <w:rsid w:val="00541946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53691"/>
    <w:rsid w:val="00560786"/>
    <w:rsid w:val="0056133B"/>
    <w:rsid w:val="005614F9"/>
    <w:rsid w:val="0056268F"/>
    <w:rsid w:val="00563BF8"/>
    <w:rsid w:val="0056476B"/>
    <w:rsid w:val="00565187"/>
    <w:rsid w:val="00565C3C"/>
    <w:rsid w:val="0057085B"/>
    <w:rsid w:val="00570C6B"/>
    <w:rsid w:val="00572C27"/>
    <w:rsid w:val="00572DF6"/>
    <w:rsid w:val="00573141"/>
    <w:rsid w:val="00573388"/>
    <w:rsid w:val="0057392B"/>
    <w:rsid w:val="00573AB6"/>
    <w:rsid w:val="005751E5"/>
    <w:rsid w:val="00577261"/>
    <w:rsid w:val="00577D77"/>
    <w:rsid w:val="00580725"/>
    <w:rsid w:val="0058232D"/>
    <w:rsid w:val="00584280"/>
    <w:rsid w:val="00586657"/>
    <w:rsid w:val="005869A8"/>
    <w:rsid w:val="00586FDE"/>
    <w:rsid w:val="00587C9B"/>
    <w:rsid w:val="00590653"/>
    <w:rsid w:val="00590E5A"/>
    <w:rsid w:val="00591F4E"/>
    <w:rsid w:val="005931C4"/>
    <w:rsid w:val="005932A0"/>
    <w:rsid w:val="00593641"/>
    <w:rsid w:val="005940D1"/>
    <w:rsid w:val="00594E34"/>
    <w:rsid w:val="005A2BB7"/>
    <w:rsid w:val="005A3A8D"/>
    <w:rsid w:val="005A4ADA"/>
    <w:rsid w:val="005A6F2F"/>
    <w:rsid w:val="005B0CBF"/>
    <w:rsid w:val="005B0FDD"/>
    <w:rsid w:val="005B1626"/>
    <w:rsid w:val="005B283E"/>
    <w:rsid w:val="005B2FB4"/>
    <w:rsid w:val="005B38BE"/>
    <w:rsid w:val="005B3A18"/>
    <w:rsid w:val="005B4007"/>
    <w:rsid w:val="005B41AA"/>
    <w:rsid w:val="005B4E45"/>
    <w:rsid w:val="005B4F61"/>
    <w:rsid w:val="005B57EF"/>
    <w:rsid w:val="005B5EC9"/>
    <w:rsid w:val="005B678F"/>
    <w:rsid w:val="005B7A0D"/>
    <w:rsid w:val="005C110E"/>
    <w:rsid w:val="005C387E"/>
    <w:rsid w:val="005C455A"/>
    <w:rsid w:val="005C5968"/>
    <w:rsid w:val="005C726D"/>
    <w:rsid w:val="005C7593"/>
    <w:rsid w:val="005C7707"/>
    <w:rsid w:val="005C7E60"/>
    <w:rsid w:val="005D0B90"/>
    <w:rsid w:val="005D133C"/>
    <w:rsid w:val="005D33D4"/>
    <w:rsid w:val="005D5CF2"/>
    <w:rsid w:val="005D7FCA"/>
    <w:rsid w:val="005E1232"/>
    <w:rsid w:val="005E485F"/>
    <w:rsid w:val="005E548F"/>
    <w:rsid w:val="005F26F4"/>
    <w:rsid w:val="005F7B05"/>
    <w:rsid w:val="006002AA"/>
    <w:rsid w:val="006007E1"/>
    <w:rsid w:val="006032BF"/>
    <w:rsid w:val="00605C92"/>
    <w:rsid w:val="00606191"/>
    <w:rsid w:val="006068C6"/>
    <w:rsid w:val="00606B8C"/>
    <w:rsid w:val="00611C67"/>
    <w:rsid w:val="00614076"/>
    <w:rsid w:val="0061416D"/>
    <w:rsid w:val="00614E5A"/>
    <w:rsid w:val="00616235"/>
    <w:rsid w:val="00617A65"/>
    <w:rsid w:val="00617D4B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1B66"/>
    <w:rsid w:val="00633A2F"/>
    <w:rsid w:val="006342E2"/>
    <w:rsid w:val="00634D21"/>
    <w:rsid w:val="00636B33"/>
    <w:rsid w:val="00636EB6"/>
    <w:rsid w:val="00640B8B"/>
    <w:rsid w:val="006414FA"/>
    <w:rsid w:val="00642B24"/>
    <w:rsid w:val="006434D4"/>
    <w:rsid w:val="00643E28"/>
    <w:rsid w:val="0064462F"/>
    <w:rsid w:val="00645153"/>
    <w:rsid w:val="00646223"/>
    <w:rsid w:val="00646F8C"/>
    <w:rsid w:val="00650304"/>
    <w:rsid w:val="00650FCC"/>
    <w:rsid w:val="00652002"/>
    <w:rsid w:val="00652695"/>
    <w:rsid w:val="006529FA"/>
    <w:rsid w:val="00653501"/>
    <w:rsid w:val="006535F8"/>
    <w:rsid w:val="00653B45"/>
    <w:rsid w:val="0065498E"/>
    <w:rsid w:val="00657085"/>
    <w:rsid w:val="00660E10"/>
    <w:rsid w:val="00661F5E"/>
    <w:rsid w:val="006638E0"/>
    <w:rsid w:val="00663B7B"/>
    <w:rsid w:val="00663CB0"/>
    <w:rsid w:val="00663DAE"/>
    <w:rsid w:val="006640FF"/>
    <w:rsid w:val="00666CF5"/>
    <w:rsid w:val="00667145"/>
    <w:rsid w:val="006673BB"/>
    <w:rsid w:val="00670AD9"/>
    <w:rsid w:val="00670C35"/>
    <w:rsid w:val="006713C2"/>
    <w:rsid w:val="00671713"/>
    <w:rsid w:val="00673AE4"/>
    <w:rsid w:val="0067402D"/>
    <w:rsid w:val="00675E56"/>
    <w:rsid w:val="0067632C"/>
    <w:rsid w:val="00677A85"/>
    <w:rsid w:val="006805A5"/>
    <w:rsid w:val="006807B1"/>
    <w:rsid w:val="00680B51"/>
    <w:rsid w:val="006821E3"/>
    <w:rsid w:val="0068386F"/>
    <w:rsid w:val="00683FFA"/>
    <w:rsid w:val="0068552E"/>
    <w:rsid w:val="00687427"/>
    <w:rsid w:val="00687C90"/>
    <w:rsid w:val="00692417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71A2"/>
    <w:rsid w:val="006A7D1E"/>
    <w:rsid w:val="006B2505"/>
    <w:rsid w:val="006B4075"/>
    <w:rsid w:val="006B4B20"/>
    <w:rsid w:val="006B5E7A"/>
    <w:rsid w:val="006B6817"/>
    <w:rsid w:val="006B6956"/>
    <w:rsid w:val="006C09E3"/>
    <w:rsid w:val="006C0EFE"/>
    <w:rsid w:val="006C1110"/>
    <w:rsid w:val="006C15D9"/>
    <w:rsid w:val="006C2CFA"/>
    <w:rsid w:val="006C41FF"/>
    <w:rsid w:val="006C4E62"/>
    <w:rsid w:val="006C514B"/>
    <w:rsid w:val="006D165F"/>
    <w:rsid w:val="006D30E8"/>
    <w:rsid w:val="006D3E4C"/>
    <w:rsid w:val="006D502F"/>
    <w:rsid w:val="006D5067"/>
    <w:rsid w:val="006D549D"/>
    <w:rsid w:val="006D5AAC"/>
    <w:rsid w:val="006D666E"/>
    <w:rsid w:val="006E031B"/>
    <w:rsid w:val="006E0BE5"/>
    <w:rsid w:val="006E14D4"/>
    <w:rsid w:val="006E19A5"/>
    <w:rsid w:val="006E1E2F"/>
    <w:rsid w:val="006E1EA3"/>
    <w:rsid w:val="006E265E"/>
    <w:rsid w:val="006E27FD"/>
    <w:rsid w:val="006E3A2A"/>
    <w:rsid w:val="006E3EA3"/>
    <w:rsid w:val="006E4DAD"/>
    <w:rsid w:val="006E6098"/>
    <w:rsid w:val="006E6CC2"/>
    <w:rsid w:val="006E7074"/>
    <w:rsid w:val="006E7D1F"/>
    <w:rsid w:val="006F0C20"/>
    <w:rsid w:val="006F39C8"/>
    <w:rsid w:val="006F41BB"/>
    <w:rsid w:val="006F5C05"/>
    <w:rsid w:val="006F5E1D"/>
    <w:rsid w:val="006F5E63"/>
    <w:rsid w:val="006F6ADA"/>
    <w:rsid w:val="006F7074"/>
    <w:rsid w:val="006F707F"/>
    <w:rsid w:val="00701CC2"/>
    <w:rsid w:val="007027C3"/>
    <w:rsid w:val="0070382E"/>
    <w:rsid w:val="00704AF2"/>
    <w:rsid w:val="00704F88"/>
    <w:rsid w:val="0070621C"/>
    <w:rsid w:val="0070640E"/>
    <w:rsid w:val="00706682"/>
    <w:rsid w:val="00707993"/>
    <w:rsid w:val="0071123A"/>
    <w:rsid w:val="00711E25"/>
    <w:rsid w:val="0071252F"/>
    <w:rsid w:val="00712A2C"/>
    <w:rsid w:val="007138CC"/>
    <w:rsid w:val="0071439B"/>
    <w:rsid w:val="007204A2"/>
    <w:rsid w:val="00720BA2"/>
    <w:rsid w:val="0072122E"/>
    <w:rsid w:val="00723351"/>
    <w:rsid w:val="00723B85"/>
    <w:rsid w:val="007250A2"/>
    <w:rsid w:val="007257B8"/>
    <w:rsid w:val="007260E1"/>
    <w:rsid w:val="00727341"/>
    <w:rsid w:val="00727A83"/>
    <w:rsid w:val="00727B49"/>
    <w:rsid w:val="00730E03"/>
    <w:rsid w:val="0073174A"/>
    <w:rsid w:val="007333BE"/>
    <w:rsid w:val="007335A8"/>
    <w:rsid w:val="00733CFA"/>
    <w:rsid w:val="00734728"/>
    <w:rsid w:val="00735320"/>
    <w:rsid w:val="00737013"/>
    <w:rsid w:val="0073764E"/>
    <w:rsid w:val="00737DDD"/>
    <w:rsid w:val="00741123"/>
    <w:rsid w:val="00743430"/>
    <w:rsid w:val="00744544"/>
    <w:rsid w:val="00750239"/>
    <w:rsid w:val="0075099D"/>
    <w:rsid w:val="00751807"/>
    <w:rsid w:val="00751DB7"/>
    <w:rsid w:val="0075219A"/>
    <w:rsid w:val="007537ED"/>
    <w:rsid w:val="007549E0"/>
    <w:rsid w:val="00754B1B"/>
    <w:rsid w:val="00754F30"/>
    <w:rsid w:val="00756B84"/>
    <w:rsid w:val="00757A75"/>
    <w:rsid w:val="00760136"/>
    <w:rsid w:val="00760496"/>
    <w:rsid w:val="0076053B"/>
    <w:rsid w:val="0076327B"/>
    <w:rsid w:val="00763FB0"/>
    <w:rsid w:val="0077041A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C2C"/>
    <w:rsid w:val="0078579B"/>
    <w:rsid w:val="007866FF"/>
    <w:rsid w:val="0078737D"/>
    <w:rsid w:val="00790464"/>
    <w:rsid w:val="00792F39"/>
    <w:rsid w:val="007939B6"/>
    <w:rsid w:val="00794F61"/>
    <w:rsid w:val="007964C7"/>
    <w:rsid w:val="007A2EE1"/>
    <w:rsid w:val="007A4969"/>
    <w:rsid w:val="007A6D9A"/>
    <w:rsid w:val="007B01D2"/>
    <w:rsid w:val="007B05F7"/>
    <w:rsid w:val="007B1924"/>
    <w:rsid w:val="007B199A"/>
    <w:rsid w:val="007B1BA6"/>
    <w:rsid w:val="007B4530"/>
    <w:rsid w:val="007B48F8"/>
    <w:rsid w:val="007B4C9D"/>
    <w:rsid w:val="007B55B5"/>
    <w:rsid w:val="007B5624"/>
    <w:rsid w:val="007B6874"/>
    <w:rsid w:val="007B6E73"/>
    <w:rsid w:val="007C0939"/>
    <w:rsid w:val="007C0C20"/>
    <w:rsid w:val="007C3356"/>
    <w:rsid w:val="007C3D92"/>
    <w:rsid w:val="007C5420"/>
    <w:rsid w:val="007D1008"/>
    <w:rsid w:val="007D1505"/>
    <w:rsid w:val="007D1A20"/>
    <w:rsid w:val="007D1B67"/>
    <w:rsid w:val="007D2672"/>
    <w:rsid w:val="007D315D"/>
    <w:rsid w:val="007D4B6B"/>
    <w:rsid w:val="007D5435"/>
    <w:rsid w:val="007D62DC"/>
    <w:rsid w:val="007D714C"/>
    <w:rsid w:val="007D7930"/>
    <w:rsid w:val="007E0965"/>
    <w:rsid w:val="007E0BA2"/>
    <w:rsid w:val="007E312F"/>
    <w:rsid w:val="007E45BB"/>
    <w:rsid w:val="007E5E04"/>
    <w:rsid w:val="007E728E"/>
    <w:rsid w:val="007E784C"/>
    <w:rsid w:val="007F130A"/>
    <w:rsid w:val="007F2BD9"/>
    <w:rsid w:val="007F3912"/>
    <w:rsid w:val="007F3D4F"/>
    <w:rsid w:val="007F46C8"/>
    <w:rsid w:val="007F5D18"/>
    <w:rsid w:val="007F7C88"/>
    <w:rsid w:val="00802069"/>
    <w:rsid w:val="008025DC"/>
    <w:rsid w:val="00802970"/>
    <w:rsid w:val="00802B47"/>
    <w:rsid w:val="00802D51"/>
    <w:rsid w:val="00803C62"/>
    <w:rsid w:val="00804056"/>
    <w:rsid w:val="00804BDB"/>
    <w:rsid w:val="00806EC8"/>
    <w:rsid w:val="008105B4"/>
    <w:rsid w:val="00812D5B"/>
    <w:rsid w:val="00813C6C"/>
    <w:rsid w:val="00814CE9"/>
    <w:rsid w:val="00815D73"/>
    <w:rsid w:val="00815EBF"/>
    <w:rsid w:val="00816569"/>
    <w:rsid w:val="008176D9"/>
    <w:rsid w:val="00821721"/>
    <w:rsid w:val="00823FD5"/>
    <w:rsid w:val="008246EF"/>
    <w:rsid w:val="00824CD0"/>
    <w:rsid w:val="00825BCB"/>
    <w:rsid w:val="0082609D"/>
    <w:rsid w:val="0082651A"/>
    <w:rsid w:val="008268DC"/>
    <w:rsid w:val="008270A6"/>
    <w:rsid w:val="00827BB7"/>
    <w:rsid w:val="0083089C"/>
    <w:rsid w:val="00830CA8"/>
    <w:rsid w:val="00831276"/>
    <w:rsid w:val="00831988"/>
    <w:rsid w:val="00832233"/>
    <w:rsid w:val="00832BDC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374B6"/>
    <w:rsid w:val="008403E5"/>
    <w:rsid w:val="008409F8"/>
    <w:rsid w:val="008426A9"/>
    <w:rsid w:val="00844028"/>
    <w:rsid w:val="00844290"/>
    <w:rsid w:val="0084493B"/>
    <w:rsid w:val="00845D51"/>
    <w:rsid w:val="00845E94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610DC"/>
    <w:rsid w:val="008624D0"/>
    <w:rsid w:val="00864979"/>
    <w:rsid w:val="00864FF7"/>
    <w:rsid w:val="00865069"/>
    <w:rsid w:val="00867113"/>
    <w:rsid w:val="00867AEB"/>
    <w:rsid w:val="008775A4"/>
    <w:rsid w:val="00881122"/>
    <w:rsid w:val="00881AF4"/>
    <w:rsid w:val="00882430"/>
    <w:rsid w:val="00882476"/>
    <w:rsid w:val="008834FE"/>
    <w:rsid w:val="00883BC1"/>
    <w:rsid w:val="00884AE7"/>
    <w:rsid w:val="008860BD"/>
    <w:rsid w:val="0088673B"/>
    <w:rsid w:val="008878B8"/>
    <w:rsid w:val="00890405"/>
    <w:rsid w:val="008920DC"/>
    <w:rsid w:val="008956D1"/>
    <w:rsid w:val="008957EF"/>
    <w:rsid w:val="008972B2"/>
    <w:rsid w:val="008976A1"/>
    <w:rsid w:val="008A0E25"/>
    <w:rsid w:val="008A1766"/>
    <w:rsid w:val="008A2A76"/>
    <w:rsid w:val="008A5B0F"/>
    <w:rsid w:val="008A639D"/>
    <w:rsid w:val="008A7AFF"/>
    <w:rsid w:val="008B1F09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D06CB"/>
    <w:rsid w:val="008D2BDD"/>
    <w:rsid w:val="008D2CD5"/>
    <w:rsid w:val="008D2EE7"/>
    <w:rsid w:val="008D33F8"/>
    <w:rsid w:val="008D4BC6"/>
    <w:rsid w:val="008D4E8C"/>
    <w:rsid w:val="008D63AD"/>
    <w:rsid w:val="008E1615"/>
    <w:rsid w:val="008E4235"/>
    <w:rsid w:val="008E4AD4"/>
    <w:rsid w:val="008F0D6A"/>
    <w:rsid w:val="008F1906"/>
    <w:rsid w:val="008F1B08"/>
    <w:rsid w:val="008F2550"/>
    <w:rsid w:val="008F2E54"/>
    <w:rsid w:val="008F3B48"/>
    <w:rsid w:val="008F4962"/>
    <w:rsid w:val="008F4A94"/>
    <w:rsid w:val="008F52F1"/>
    <w:rsid w:val="008F61DA"/>
    <w:rsid w:val="008F6563"/>
    <w:rsid w:val="008F6975"/>
    <w:rsid w:val="008F72C4"/>
    <w:rsid w:val="008F766D"/>
    <w:rsid w:val="00900548"/>
    <w:rsid w:val="00900A5F"/>
    <w:rsid w:val="00902865"/>
    <w:rsid w:val="00902D10"/>
    <w:rsid w:val="00904E80"/>
    <w:rsid w:val="0090623C"/>
    <w:rsid w:val="00906DD1"/>
    <w:rsid w:val="00912AE4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3A38"/>
    <w:rsid w:val="00924122"/>
    <w:rsid w:val="009241E0"/>
    <w:rsid w:val="00924583"/>
    <w:rsid w:val="00924DF0"/>
    <w:rsid w:val="009265E3"/>
    <w:rsid w:val="009269CC"/>
    <w:rsid w:val="00930CCE"/>
    <w:rsid w:val="00931A17"/>
    <w:rsid w:val="00933206"/>
    <w:rsid w:val="00934C1A"/>
    <w:rsid w:val="009353AC"/>
    <w:rsid w:val="009360C0"/>
    <w:rsid w:val="00936208"/>
    <w:rsid w:val="0093653B"/>
    <w:rsid w:val="00936FF7"/>
    <w:rsid w:val="00937550"/>
    <w:rsid w:val="00945596"/>
    <w:rsid w:val="00946D07"/>
    <w:rsid w:val="00947084"/>
    <w:rsid w:val="00947FBD"/>
    <w:rsid w:val="00952489"/>
    <w:rsid w:val="0095305E"/>
    <w:rsid w:val="00954B63"/>
    <w:rsid w:val="00956111"/>
    <w:rsid w:val="0095655A"/>
    <w:rsid w:val="00957526"/>
    <w:rsid w:val="00957D24"/>
    <w:rsid w:val="0096002A"/>
    <w:rsid w:val="0096003B"/>
    <w:rsid w:val="009630B4"/>
    <w:rsid w:val="009631A8"/>
    <w:rsid w:val="009650B3"/>
    <w:rsid w:val="009652BF"/>
    <w:rsid w:val="009656F5"/>
    <w:rsid w:val="00965964"/>
    <w:rsid w:val="00965E48"/>
    <w:rsid w:val="0097162D"/>
    <w:rsid w:val="009722DB"/>
    <w:rsid w:val="00972A01"/>
    <w:rsid w:val="00973B94"/>
    <w:rsid w:val="009749F4"/>
    <w:rsid w:val="00975859"/>
    <w:rsid w:val="00976F80"/>
    <w:rsid w:val="009805F2"/>
    <w:rsid w:val="00981A5E"/>
    <w:rsid w:val="0098563F"/>
    <w:rsid w:val="00986052"/>
    <w:rsid w:val="00987C74"/>
    <w:rsid w:val="009905E7"/>
    <w:rsid w:val="009951DA"/>
    <w:rsid w:val="00995DD9"/>
    <w:rsid w:val="00996FA7"/>
    <w:rsid w:val="009A14D2"/>
    <w:rsid w:val="009A1C97"/>
    <w:rsid w:val="009A2DA3"/>
    <w:rsid w:val="009A3ADF"/>
    <w:rsid w:val="009A5993"/>
    <w:rsid w:val="009A662A"/>
    <w:rsid w:val="009A6C03"/>
    <w:rsid w:val="009A7BFF"/>
    <w:rsid w:val="009A7F2E"/>
    <w:rsid w:val="009B0C1D"/>
    <w:rsid w:val="009B2E68"/>
    <w:rsid w:val="009B32CB"/>
    <w:rsid w:val="009B43B7"/>
    <w:rsid w:val="009B5897"/>
    <w:rsid w:val="009B5BF8"/>
    <w:rsid w:val="009C18B3"/>
    <w:rsid w:val="009C1A22"/>
    <w:rsid w:val="009C2C3C"/>
    <w:rsid w:val="009C4BF1"/>
    <w:rsid w:val="009C7037"/>
    <w:rsid w:val="009C7943"/>
    <w:rsid w:val="009D1A5C"/>
    <w:rsid w:val="009D4F4F"/>
    <w:rsid w:val="009D5F17"/>
    <w:rsid w:val="009D6E1C"/>
    <w:rsid w:val="009D7351"/>
    <w:rsid w:val="009D73B8"/>
    <w:rsid w:val="009D7945"/>
    <w:rsid w:val="009E090D"/>
    <w:rsid w:val="009E0966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A04DE3"/>
    <w:rsid w:val="00A04E54"/>
    <w:rsid w:val="00A05DF8"/>
    <w:rsid w:val="00A061EB"/>
    <w:rsid w:val="00A0698F"/>
    <w:rsid w:val="00A12E53"/>
    <w:rsid w:val="00A13DFC"/>
    <w:rsid w:val="00A162A7"/>
    <w:rsid w:val="00A16B16"/>
    <w:rsid w:val="00A21946"/>
    <w:rsid w:val="00A237FB"/>
    <w:rsid w:val="00A23E03"/>
    <w:rsid w:val="00A25B6A"/>
    <w:rsid w:val="00A27978"/>
    <w:rsid w:val="00A27DA6"/>
    <w:rsid w:val="00A30449"/>
    <w:rsid w:val="00A31873"/>
    <w:rsid w:val="00A3297D"/>
    <w:rsid w:val="00A35B4A"/>
    <w:rsid w:val="00A364A1"/>
    <w:rsid w:val="00A36649"/>
    <w:rsid w:val="00A36D32"/>
    <w:rsid w:val="00A401BC"/>
    <w:rsid w:val="00A40F25"/>
    <w:rsid w:val="00A44F7D"/>
    <w:rsid w:val="00A460DA"/>
    <w:rsid w:val="00A470BC"/>
    <w:rsid w:val="00A50C7C"/>
    <w:rsid w:val="00A527F6"/>
    <w:rsid w:val="00A545A7"/>
    <w:rsid w:val="00A54801"/>
    <w:rsid w:val="00A561C1"/>
    <w:rsid w:val="00A570D9"/>
    <w:rsid w:val="00A579AC"/>
    <w:rsid w:val="00A63118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3568"/>
    <w:rsid w:val="00A76386"/>
    <w:rsid w:val="00A7781C"/>
    <w:rsid w:val="00A8006F"/>
    <w:rsid w:val="00A82A30"/>
    <w:rsid w:val="00A853FB"/>
    <w:rsid w:val="00A8572E"/>
    <w:rsid w:val="00A86DA7"/>
    <w:rsid w:val="00A87DF7"/>
    <w:rsid w:val="00A919A4"/>
    <w:rsid w:val="00A91E49"/>
    <w:rsid w:val="00A9205A"/>
    <w:rsid w:val="00A93EF9"/>
    <w:rsid w:val="00A96450"/>
    <w:rsid w:val="00A96809"/>
    <w:rsid w:val="00AA01C9"/>
    <w:rsid w:val="00AA22F6"/>
    <w:rsid w:val="00AA2509"/>
    <w:rsid w:val="00AA2A57"/>
    <w:rsid w:val="00AA5409"/>
    <w:rsid w:val="00AA5738"/>
    <w:rsid w:val="00AB0720"/>
    <w:rsid w:val="00AB0DA6"/>
    <w:rsid w:val="00AB0FBF"/>
    <w:rsid w:val="00AB114B"/>
    <w:rsid w:val="00AB4190"/>
    <w:rsid w:val="00AB4309"/>
    <w:rsid w:val="00AB46CD"/>
    <w:rsid w:val="00AB51F3"/>
    <w:rsid w:val="00AB5A9E"/>
    <w:rsid w:val="00AC18D7"/>
    <w:rsid w:val="00AC22E1"/>
    <w:rsid w:val="00AC2611"/>
    <w:rsid w:val="00AC269B"/>
    <w:rsid w:val="00AC2E6A"/>
    <w:rsid w:val="00AC5221"/>
    <w:rsid w:val="00AD05A6"/>
    <w:rsid w:val="00AD2810"/>
    <w:rsid w:val="00AD3255"/>
    <w:rsid w:val="00AD436F"/>
    <w:rsid w:val="00AD48FB"/>
    <w:rsid w:val="00AD5FFC"/>
    <w:rsid w:val="00AE0F77"/>
    <w:rsid w:val="00AE4C5E"/>
    <w:rsid w:val="00AE52B8"/>
    <w:rsid w:val="00AE52E4"/>
    <w:rsid w:val="00AE6DD3"/>
    <w:rsid w:val="00AE7BCB"/>
    <w:rsid w:val="00AE7C72"/>
    <w:rsid w:val="00AF0726"/>
    <w:rsid w:val="00AF1FBF"/>
    <w:rsid w:val="00AF24B2"/>
    <w:rsid w:val="00AF262F"/>
    <w:rsid w:val="00AF404A"/>
    <w:rsid w:val="00AF529C"/>
    <w:rsid w:val="00AF5345"/>
    <w:rsid w:val="00AF5B03"/>
    <w:rsid w:val="00AF60B7"/>
    <w:rsid w:val="00AF6AB3"/>
    <w:rsid w:val="00B01613"/>
    <w:rsid w:val="00B02E3C"/>
    <w:rsid w:val="00B03791"/>
    <w:rsid w:val="00B047F1"/>
    <w:rsid w:val="00B051CC"/>
    <w:rsid w:val="00B05844"/>
    <w:rsid w:val="00B06745"/>
    <w:rsid w:val="00B07636"/>
    <w:rsid w:val="00B105BD"/>
    <w:rsid w:val="00B11C7D"/>
    <w:rsid w:val="00B11ED7"/>
    <w:rsid w:val="00B12B60"/>
    <w:rsid w:val="00B15995"/>
    <w:rsid w:val="00B16885"/>
    <w:rsid w:val="00B179E4"/>
    <w:rsid w:val="00B17FF8"/>
    <w:rsid w:val="00B20543"/>
    <w:rsid w:val="00B20B9D"/>
    <w:rsid w:val="00B20DA5"/>
    <w:rsid w:val="00B210AD"/>
    <w:rsid w:val="00B221CD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3E"/>
    <w:rsid w:val="00B3280B"/>
    <w:rsid w:val="00B34570"/>
    <w:rsid w:val="00B365C9"/>
    <w:rsid w:val="00B36A4E"/>
    <w:rsid w:val="00B375D7"/>
    <w:rsid w:val="00B40BD6"/>
    <w:rsid w:val="00B41F38"/>
    <w:rsid w:val="00B42671"/>
    <w:rsid w:val="00B42F3A"/>
    <w:rsid w:val="00B43AA7"/>
    <w:rsid w:val="00B43BAA"/>
    <w:rsid w:val="00B4496C"/>
    <w:rsid w:val="00B46F5D"/>
    <w:rsid w:val="00B510D1"/>
    <w:rsid w:val="00B516F4"/>
    <w:rsid w:val="00B52090"/>
    <w:rsid w:val="00B52F5B"/>
    <w:rsid w:val="00B53695"/>
    <w:rsid w:val="00B549A7"/>
    <w:rsid w:val="00B6021A"/>
    <w:rsid w:val="00B61CD8"/>
    <w:rsid w:val="00B6245E"/>
    <w:rsid w:val="00B63F07"/>
    <w:rsid w:val="00B63F8B"/>
    <w:rsid w:val="00B64FD7"/>
    <w:rsid w:val="00B65FD9"/>
    <w:rsid w:val="00B6634F"/>
    <w:rsid w:val="00B67FDC"/>
    <w:rsid w:val="00B708CF"/>
    <w:rsid w:val="00B71781"/>
    <w:rsid w:val="00B7222E"/>
    <w:rsid w:val="00B7336C"/>
    <w:rsid w:val="00B73AD6"/>
    <w:rsid w:val="00B745E2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5161"/>
    <w:rsid w:val="00B860F7"/>
    <w:rsid w:val="00B87617"/>
    <w:rsid w:val="00B92522"/>
    <w:rsid w:val="00B92684"/>
    <w:rsid w:val="00B95065"/>
    <w:rsid w:val="00B96E93"/>
    <w:rsid w:val="00B96EBE"/>
    <w:rsid w:val="00B97188"/>
    <w:rsid w:val="00B971AE"/>
    <w:rsid w:val="00B97AE8"/>
    <w:rsid w:val="00B97F40"/>
    <w:rsid w:val="00BA0ADF"/>
    <w:rsid w:val="00BA0B8A"/>
    <w:rsid w:val="00BA2289"/>
    <w:rsid w:val="00BA3745"/>
    <w:rsid w:val="00BA58A0"/>
    <w:rsid w:val="00BA5FD9"/>
    <w:rsid w:val="00BA7C24"/>
    <w:rsid w:val="00BA7DD7"/>
    <w:rsid w:val="00BB01C4"/>
    <w:rsid w:val="00BB0FB6"/>
    <w:rsid w:val="00BB1DDF"/>
    <w:rsid w:val="00BB1F05"/>
    <w:rsid w:val="00BB2C30"/>
    <w:rsid w:val="00BB4665"/>
    <w:rsid w:val="00BB4A4E"/>
    <w:rsid w:val="00BB529C"/>
    <w:rsid w:val="00BB57EA"/>
    <w:rsid w:val="00BB5D12"/>
    <w:rsid w:val="00BB6339"/>
    <w:rsid w:val="00BC0981"/>
    <w:rsid w:val="00BC1CC8"/>
    <w:rsid w:val="00BC2D7C"/>
    <w:rsid w:val="00BC48CD"/>
    <w:rsid w:val="00BD1BA8"/>
    <w:rsid w:val="00BD3529"/>
    <w:rsid w:val="00BD72E6"/>
    <w:rsid w:val="00BD77CC"/>
    <w:rsid w:val="00BE0898"/>
    <w:rsid w:val="00BE0CE0"/>
    <w:rsid w:val="00BE1D03"/>
    <w:rsid w:val="00BE3538"/>
    <w:rsid w:val="00BE4166"/>
    <w:rsid w:val="00BE4EA8"/>
    <w:rsid w:val="00BE56ED"/>
    <w:rsid w:val="00BE684C"/>
    <w:rsid w:val="00BE77A5"/>
    <w:rsid w:val="00BF06C7"/>
    <w:rsid w:val="00BF158F"/>
    <w:rsid w:val="00BF16AA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1019C"/>
    <w:rsid w:val="00C102A5"/>
    <w:rsid w:val="00C10CA2"/>
    <w:rsid w:val="00C1154C"/>
    <w:rsid w:val="00C11CA8"/>
    <w:rsid w:val="00C1502D"/>
    <w:rsid w:val="00C171EF"/>
    <w:rsid w:val="00C1767A"/>
    <w:rsid w:val="00C17B97"/>
    <w:rsid w:val="00C20338"/>
    <w:rsid w:val="00C2114D"/>
    <w:rsid w:val="00C239D5"/>
    <w:rsid w:val="00C24B34"/>
    <w:rsid w:val="00C2699C"/>
    <w:rsid w:val="00C26CBC"/>
    <w:rsid w:val="00C33EEC"/>
    <w:rsid w:val="00C343BD"/>
    <w:rsid w:val="00C34966"/>
    <w:rsid w:val="00C34AD9"/>
    <w:rsid w:val="00C35159"/>
    <w:rsid w:val="00C3561A"/>
    <w:rsid w:val="00C36730"/>
    <w:rsid w:val="00C374D4"/>
    <w:rsid w:val="00C37631"/>
    <w:rsid w:val="00C4141D"/>
    <w:rsid w:val="00C41825"/>
    <w:rsid w:val="00C41CB1"/>
    <w:rsid w:val="00C43A0C"/>
    <w:rsid w:val="00C43F45"/>
    <w:rsid w:val="00C459CE"/>
    <w:rsid w:val="00C46721"/>
    <w:rsid w:val="00C46EC8"/>
    <w:rsid w:val="00C52FF7"/>
    <w:rsid w:val="00C546FF"/>
    <w:rsid w:val="00C54A92"/>
    <w:rsid w:val="00C56178"/>
    <w:rsid w:val="00C573F1"/>
    <w:rsid w:val="00C62B94"/>
    <w:rsid w:val="00C62EE7"/>
    <w:rsid w:val="00C63CEE"/>
    <w:rsid w:val="00C674B4"/>
    <w:rsid w:val="00C70D8D"/>
    <w:rsid w:val="00C72455"/>
    <w:rsid w:val="00C74392"/>
    <w:rsid w:val="00C74422"/>
    <w:rsid w:val="00C75948"/>
    <w:rsid w:val="00C767A4"/>
    <w:rsid w:val="00C76D3F"/>
    <w:rsid w:val="00C76EC6"/>
    <w:rsid w:val="00C777C6"/>
    <w:rsid w:val="00C8337E"/>
    <w:rsid w:val="00C83CDE"/>
    <w:rsid w:val="00C84BA8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5D73"/>
    <w:rsid w:val="00CA1292"/>
    <w:rsid w:val="00CA2177"/>
    <w:rsid w:val="00CA492E"/>
    <w:rsid w:val="00CA4C09"/>
    <w:rsid w:val="00CA4FA9"/>
    <w:rsid w:val="00CA57DA"/>
    <w:rsid w:val="00CA6DEF"/>
    <w:rsid w:val="00CB09A1"/>
    <w:rsid w:val="00CB146D"/>
    <w:rsid w:val="00CB18E2"/>
    <w:rsid w:val="00CB1A57"/>
    <w:rsid w:val="00CB4302"/>
    <w:rsid w:val="00CB4D1B"/>
    <w:rsid w:val="00CB6CD5"/>
    <w:rsid w:val="00CB79A7"/>
    <w:rsid w:val="00CC1780"/>
    <w:rsid w:val="00CC24DD"/>
    <w:rsid w:val="00CC2DCE"/>
    <w:rsid w:val="00CC4A07"/>
    <w:rsid w:val="00CC4F69"/>
    <w:rsid w:val="00CC5D1F"/>
    <w:rsid w:val="00CC64B0"/>
    <w:rsid w:val="00CC7BDF"/>
    <w:rsid w:val="00CD2571"/>
    <w:rsid w:val="00CD671E"/>
    <w:rsid w:val="00CD6AB8"/>
    <w:rsid w:val="00CD6C69"/>
    <w:rsid w:val="00CD770C"/>
    <w:rsid w:val="00CD7ACC"/>
    <w:rsid w:val="00CE13E0"/>
    <w:rsid w:val="00CE202C"/>
    <w:rsid w:val="00CE2FEB"/>
    <w:rsid w:val="00CE4A36"/>
    <w:rsid w:val="00CE5BC4"/>
    <w:rsid w:val="00CE5CEA"/>
    <w:rsid w:val="00CE6911"/>
    <w:rsid w:val="00CF1C62"/>
    <w:rsid w:val="00CF38D7"/>
    <w:rsid w:val="00CF540D"/>
    <w:rsid w:val="00CF7D0F"/>
    <w:rsid w:val="00D0086F"/>
    <w:rsid w:val="00D00DF6"/>
    <w:rsid w:val="00D01053"/>
    <w:rsid w:val="00D01B22"/>
    <w:rsid w:val="00D0205F"/>
    <w:rsid w:val="00D02682"/>
    <w:rsid w:val="00D03E15"/>
    <w:rsid w:val="00D05FE2"/>
    <w:rsid w:val="00D06ABF"/>
    <w:rsid w:val="00D07DF0"/>
    <w:rsid w:val="00D106FA"/>
    <w:rsid w:val="00D13147"/>
    <w:rsid w:val="00D13B9D"/>
    <w:rsid w:val="00D1424F"/>
    <w:rsid w:val="00D14818"/>
    <w:rsid w:val="00D15111"/>
    <w:rsid w:val="00D167ED"/>
    <w:rsid w:val="00D170D5"/>
    <w:rsid w:val="00D1740B"/>
    <w:rsid w:val="00D17A41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3A1A"/>
    <w:rsid w:val="00D3467B"/>
    <w:rsid w:val="00D34A64"/>
    <w:rsid w:val="00D353A8"/>
    <w:rsid w:val="00D37685"/>
    <w:rsid w:val="00D37882"/>
    <w:rsid w:val="00D40B5C"/>
    <w:rsid w:val="00D41C2B"/>
    <w:rsid w:val="00D42242"/>
    <w:rsid w:val="00D45208"/>
    <w:rsid w:val="00D45568"/>
    <w:rsid w:val="00D51C6E"/>
    <w:rsid w:val="00D566F5"/>
    <w:rsid w:val="00D609E5"/>
    <w:rsid w:val="00D61986"/>
    <w:rsid w:val="00D61DBD"/>
    <w:rsid w:val="00D636FC"/>
    <w:rsid w:val="00D651BC"/>
    <w:rsid w:val="00D667E5"/>
    <w:rsid w:val="00D66971"/>
    <w:rsid w:val="00D67764"/>
    <w:rsid w:val="00D67D59"/>
    <w:rsid w:val="00D708B7"/>
    <w:rsid w:val="00D70E8C"/>
    <w:rsid w:val="00D71C4B"/>
    <w:rsid w:val="00D755A7"/>
    <w:rsid w:val="00D77B37"/>
    <w:rsid w:val="00D80173"/>
    <w:rsid w:val="00D823A9"/>
    <w:rsid w:val="00D82903"/>
    <w:rsid w:val="00D831BB"/>
    <w:rsid w:val="00D83FB6"/>
    <w:rsid w:val="00D85B1A"/>
    <w:rsid w:val="00D8687D"/>
    <w:rsid w:val="00D90217"/>
    <w:rsid w:val="00D91243"/>
    <w:rsid w:val="00D91D2A"/>
    <w:rsid w:val="00D91F7D"/>
    <w:rsid w:val="00D95224"/>
    <w:rsid w:val="00D95989"/>
    <w:rsid w:val="00D96C89"/>
    <w:rsid w:val="00D96D8D"/>
    <w:rsid w:val="00D97320"/>
    <w:rsid w:val="00DA0BFE"/>
    <w:rsid w:val="00DA1FEC"/>
    <w:rsid w:val="00DA275A"/>
    <w:rsid w:val="00DA4A4F"/>
    <w:rsid w:val="00DA52E8"/>
    <w:rsid w:val="00DA6264"/>
    <w:rsid w:val="00DA6360"/>
    <w:rsid w:val="00DA6836"/>
    <w:rsid w:val="00DA7539"/>
    <w:rsid w:val="00DB3F41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BB6"/>
    <w:rsid w:val="00DE1F70"/>
    <w:rsid w:val="00DE2308"/>
    <w:rsid w:val="00DE3150"/>
    <w:rsid w:val="00DE437C"/>
    <w:rsid w:val="00DE5012"/>
    <w:rsid w:val="00DE591C"/>
    <w:rsid w:val="00DE68E0"/>
    <w:rsid w:val="00DE6D16"/>
    <w:rsid w:val="00DF20F8"/>
    <w:rsid w:val="00DF274C"/>
    <w:rsid w:val="00DF2BB6"/>
    <w:rsid w:val="00DF2C50"/>
    <w:rsid w:val="00DF3C21"/>
    <w:rsid w:val="00DF3CD3"/>
    <w:rsid w:val="00DF4037"/>
    <w:rsid w:val="00DF50F1"/>
    <w:rsid w:val="00DF5824"/>
    <w:rsid w:val="00DF6010"/>
    <w:rsid w:val="00DF6487"/>
    <w:rsid w:val="00DF7B95"/>
    <w:rsid w:val="00E0019B"/>
    <w:rsid w:val="00E0066F"/>
    <w:rsid w:val="00E00E5A"/>
    <w:rsid w:val="00E011B1"/>
    <w:rsid w:val="00E0203D"/>
    <w:rsid w:val="00E0255C"/>
    <w:rsid w:val="00E02E10"/>
    <w:rsid w:val="00E034C8"/>
    <w:rsid w:val="00E03634"/>
    <w:rsid w:val="00E04093"/>
    <w:rsid w:val="00E06474"/>
    <w:rsid w:val="00E102BB"/>
    <w:rsid w:val="00E102ED"/>
    <w:rsid w:val="00E126E0"/>
    <w:rsid w:val="00E129B1"/>
    <w:rsid w:val="00E146FE"/>
    <w:rsid w:val="00E1501D"/>
    <w:rsid w:val="00E1655E"/>
    <w:rsid w:val="00E17D68"/>
    <w:rsid w:val="00E21DED"/>
    <w:rsid w:val="00E22F11"/>
    <w:rsid w:val="00E24AD4"/>
    <w:rsid w:val="00E25FA6"/>
    <w:rsid w:val="00E260B2"/>
    <w:rsid w:val="00E26262"/>
    <w:rsid w:val="00E263F2"/>
    <w:rsid w:val="00E2651C"/>
    <w:rsid w:val="00E27B21"/>
    <w:rsid w:val="00E27E4C"/>
    <w:rsid w:val="00E301EE"/>
    <w:rsid w:val="00E3042A"/>
    <w:rsid w:val="00E31033"/>
    <w:rsid w:val="00E3113D"/>
    <w:rsid w:val="00E33ACC"/>
    <w:rsid w:val="00E36BE2"/>
    <w:rsid w:val="00E36EA7"/>
    <w:rsid w:val="00E36F73"/>
    <w:rsid w:val="00E3755B"/>
    <w:rsid w:val="00E37CC9"/>
    <w:rsid w:val="00E43930"/>
    <w:rsid w:val="00E44DE1"/>
    <w:rsid w:val="00E44E3C"/>
    <w:rsid w:val="00E45CD7"/>
    <w:rsid w:val="00E4759B"/>
    <w:rsid w:val="00E500E9"/>
    <w:rsid w:val="00E51A3D"/>
    <w:rsid w:val="00E51F04"/>
    <w:rsid w:val="00E53229"/>
    <w:rsid w:val="00E53F46"/>
    <w:rsid w:val="00E5432B"/>
    <w:rsid w:val="00E544CF"/>
    <w:rsid w:val="00E5485A"/>
    <w:rsid w:val="00E5490A"/>
    <w:rsid w:val="00E5649C"/>
    <w:rsid w:val="00E5671C"/>
    <w:rsid w:val="00E568E1"/>
    <w:rsid w:val="00E56BB8"/>
    <w:rsid w:val="00E574FC"/>
    <w:rsid w:val="00E60695"/>
    <w:rsid w:val="00E6090C"/>
    <w:rsid w:val="00E60EB2"/>
    <w:rsid w:val="00E60FC1"/>
    <w:rsid w:val="00E61043"/>
    <w:rsid w:val="00E61A0E"/>
    <w:rsid w:val="00E61CF3"/>
    <w:rsid w:val="00E61E4D"/>
    <w:rsid w:val="00E63C04"/>
    <w:rsid w:val="00E6515F"/>
    <w:rsid w:val="00E65AAE"/>
    <w:rsid w:val="00E65BF2"/>
    <w:rsid w:val="00E671D3"/>
    <w:rsid w:val="00E67592"/>
    <w:rsid w:val="00E67D85"/>
    <w:rsid w:val="00E72160"/>
    <w:rsid w:val="00E73406"/>
    <w:rsid w:val="00E75A58"/>
    <w:rsid w:val="00E75B91"/>
    <w:rsid w:val="00E762A0"/>
    <w:rsid w:val="00E76BC5"/>
    <w:rsid w:val="00E7781F"/>
    <w:rsid w:val="00E824FD"/>
    <w:rsid w:val="00E83879"/>
    <w:rsid w:val="00E83949"/>
    <w:rsid w:val="00E83DA8"/>
    <w:rsid w:val="00E83F0D"/>
    <w:rsid w:val="00E8596C"/>
    <w:rsid w:val="00E8602D"/>
    <w:rsid w:val="00E860AF"/>
    <w:rsid w:val="00E865C0"/>
    <w:rsid w:val="00E8775A"/>
    <w:rsid w:val="00E87C2E"/>
    <w:rsid w:val="00E900AF"/>
    <w:rsid w:val="00E90ADB"/>
    <w:rsid w:val="00E9271D"/>
    <w:rsid w:val="00E93334"/>
    <w:rsid w:val="00E9460D"/>
    <w:rsid w:val="00E94FC2"/>
    <w:rsid w:val="00E9505B"/>
    <w:rsid w:val="00E95C92"/>
    <w:rsid w:val="00E9631B"/>
    <w:rsid w:val="00E964EE"/>
    <w:rsid w:val="00E97CC8"/>
    <w:rsid w:val="00EA129E"/>
    <w:rsid w:val="00EA13F9"/>
    <w:rsid w:val="00EA2570"/>
    <w:rsid w:val="00EA37A2"/>
    <w:rsid w:val="00EA39DF"/>
    <w:rsid w:val="00EA3C71"/>
    <w:rsid w:val="00EA43BE"/>
    <w:rsid w:val="00EA5DD7"/>
    <w:rsid w:val="00EA69D4"/>
    <w:rsid w:val="00EA6BBC"/>
    <w:rsid w:val="00EB0134"/>
    <w:rsid w:val="00EB14C9"/>
    <w:rsid w:val="00EB1723"/>
    <w:rsid w:val="00EB2C5F"/>
    <w:rsid w:val="00EB32CE"/>
    <w:rsid w:val="00EB33E2"/>
    <w:rsid w:val="00EB7134"/>
    <w:rsid w:val="00EC1E91"/>
    <w:rsid w:val="00EC3A18"/>
    <w:rsid w:val="00EC55CB"/>
    <w:rsid w:val="00EC574E"/>
    <w:rsid w:val="00EC5C09"/>
    <w:rsid w:val="00EC718D"/>
    <w:rsid w:val="00EC72E1"/>
    <w:rsid w:val="00ED073D"/>
    <w:rsid w:val="00ED07ED"/>
    <w:rsid w:val="00ED0CFD"/>
    <w:rsid w:val="00ED264A"/>
    <w:rsid w:val="00ED26C2"/>
    <w:rsid w:val="00ED748B"/>
    <w:rsid w:val="00EE0AD3"/>
    <w:rsid w:val="00EE169B"/>
    <w:rsid w:val="00EE1CAB"/>
    <w:rsid w:val="00EE27BD"/>
    <w:rsid w:val="00EE4B80"/>
    <w:rsid w:val="00EE4C7B"/>
    <w:rsid w:val="00EE6DB9"/>
    <w:rsid w:val="00EE7508"/>
    <w:rsid w:val="00EE7DFC"/>
    <w:rsid w:val="00EE7F9E"/>
    <w:rsid w:val="00EF00F9"/>
    <w:rsid w:val="00EF2B2D"/>
    <w:rsid w:val="00EF462D"/>
    <w:rsid w:val="00EF4908"/>
    <w:rsid w:val="00EF5942"/>
    <w:rsid w:val="00EF5B96"/>
    <w:rsid w:val="00EF62C6"/>
    <w:rsid w:val="00EF67C4"/>
    <w:rsid w:val="00F00618"/>
    <w:rsid w:val="00F013D1"/>
    <w:rsid w:val="00F01ED5"/>
    <w:rsid w:val="00F030E1"/>
    <w:rsid w:val="00F03FC6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6B41"/>
    <w:rsid w:val="00F17700"/>
    <w:rsid w:val="00F201D0"/>
    <w:rsid w:val="00F216EA"/>
    <w:rsid w:val="00F2429D"/>
    <w:rsid w:val="00F245C8"/>
    <w:rsid w:val="00F259C7"/>
    <w:rsid w:val="00F275D7"/>
    <w:rsid w:val="00F27A45"/>
    <w:rsid w:val="00F3173A"/>
    <w:rsid w:val="00F318E1"/>
    <w:rsid w:val="00F320EE"/>
    <w:rsid w:val="00F33B5B"/>
    <w:rsid w:val="00F34775"/>
    <w:rsid w:val="00F35090"/>
    <w:rsid w:val="00F36DEA"/>
    <w:rsid w:val="00F374D0"/>
    <w:rsid w:val="00F4050E"/>
    <w:rsid w:val="00F4071A"/>
    <w:rsid w:val="00F41283"/>
    <w:rsid w:val="00F416C6"/>
    <w:rsid w:val="00F4392E"/>
    <w:rsid w:val="00F4406F"/>
    <w:rsid w:val="00F474CB"/>
    <w:rsid w:val="00F533FC"/>
    <w:rsid w:val="00F61203"/>
    <w:rsid w:val="00F61E47"/>
    <w:rsid w:val="00F61E7A"/>
    <w:rsid w:val="00F622AA"/>
    <w:rsid w:val="00F633AD"/>
    <w:rsid w:val="00F6436F"/>
    <w:rsid w:val="00F6596E"/>
    <w:rsid w:val="00F6678B"/>
    <w:rsid w:val="00F6679F"/>
    <w:rsid w:val="00F67569"/>
    <w:rsid w:val="00F67CAA"/>
    <w:rsid w:val="00F71577"/>
    <w:rsid w:val="00F71A61"/>
    <w:rsid w:val="00F71EE1"/>
    <w:rsid w:val="00F722DA"/>
    <w:rsid w:val="00F72CF5"/>
    <w:rsid w:val="00F72F47"/>
    <w:rsid w:val="00F75017"/>
    <w:rsid w:val="00F768FF"/>
    <w:rsid w:val="00F76C82"/>
    <w:rsid w:val="00F80495"/>
    <w:rsid w:val="00F81A00"/>
    <w:rsid w:val="00F82796"/>
    <w:rsid w:val="00F83A61"/>
    <w:rsid w:val="00F84C6C"/>
    <w:rsid w:val="00F86243"/>
    <w:rsid w:val="00F87942"/>
    <w:rsid w:val="00F907E3"/>
    <w:rsid w:val="00F92B36"/>
    <w:rsid w:val="00F93802"/>
    <w:rsid w:val="00F93E53"/>
    <w:rsid w:val="00F94455"/>
    <w:rsid w:val="00F948AD"/>
    <w:rsid w:val="00F95A25"/>
    <w:rsid w:val="00F962FB"/>
    <w:rsid w:val="00FA028D"/>
    <w:rsid w:val="00FA1D06"/>
    <w:rsid w:val="00FA2363"/>
    <w:rsid w:val="00FA2D7C"/>
    <w:rsid w:val="00FA320D"/>
    <w:rsid w:val="00FA4086"/>
    <w:rsid w:val="00FA40ED"/>
    <w:rsid w:val="00FA421E"/>
    <w:rsid w:val="00FA68F1"/>
    <w:rsid w:val="00FA6B98"/>
    <w:rsid w:val="00FB028A"/>
    <w:rsid w:val="00FB0F42"/>
    <w:rsid w:val="00FB114E"/>
    <w:rsid w:val="00FB1E23"/>
    <w:rsid w:val="00FB3557"/>
    <w:rsid w:val="00FB3E48"/>
    <w:rsid w:val="00FB41F7"/>
    <w:rsid w:val="00FB50EE"/>
    <w:rsid w:val="00FC01D2"/>
    <w:rsid w:val="00FC1144"/>
    <w:rsid w:val="00FC183E"/>
    <w:rsid w:val="00FC3282"/>
    <w:rsid w:val="00FC4E8E"/>
    <w:rsid w:val="00FC7166"/>
    <w:rsid w:val="00FC7F9C"/>
    <w:rsid w:val="00FD1399"/>
    <w:rsid w:val="00FD146A"/>
    <w:rsid w:val="00FD1655"/>
    <w:rsid w:val="00FD1DDA"/>
    <w:rsid w:val="00FD22E1"/>
    <w:rsid w:val="00FD47E8"/>
    <w:rsid w:val="00FD4B4C"/>
    <w:rsid w:val="00FD58E9"/>
    <w:rsid w:val="00FD7969"/>
    <w:rsid w:val="00FD796E"/>
    <w:rsid w:val="00FE09E6"/>
    <w:rsid w:val="00FE1C23"/>
    <w:rsid w:val="00FE277E"/>
    <w:rsid w:val="00FE3399"/>
    <w:rsid w:val="00FE38BE"/>
    <w:rsid w:val="00FE463C"/>
    <w:rsid w:val="00FE63F6"/>
    <w:rsid w:val="00FE7C89"/>
    <w:rsid w:val="00FF22A7"/>
    <w:rsid w:val="00FF2569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8D88"/>
  <w15:docId w15:val="{576E86C4-5742-43F1-BDBF-373F52F5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4342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6C4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26330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be.org/mobilita2021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be.org/mobilita202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0DFF-27C3-44FE-852A-D9524DA6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</cp:revision>
  <cp:lastPrinted>2024-01-12T12:14:00Z</cp:lastPrinted>
  <dcterms:created xsi:type="dcterms:W3CDTF">2024-01-18T08:18:00Z</dcterms:created>
  <dcterms:modified xsi:type="dcterms:W3CDTF">2024-01-18T08:18:00Z</dcterms:modified>
</cp:coreProperties>
</file>