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68F0" w14:textId="77777777" w:rsidR="000151CE" w:rsidRDefault="000151CE" w:rsidP="000151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14:paraId="299AA371" w14:textId="5AD8CE41" w:rsidR="002E40FD" w:rsidRDefault="002E40FD" w:rsidP="007E362B">
      <w:pPr>
        <w:spacing w:after="120"/>
        <w:jc w:val="center"/>
        <w:rPr>
          <w:b/>
          <w:bCs/>
          <w:sz w:val="32"/>
          <w:szCs w:val="32"/>
        </w:rPr>
      </w:pPr>
      <w:bookmarkStart w:id="0" w:name="_Hlk129770404"/>
      <w:r>
        <w:rPr>
          <w:b/>
          <w:bCs/>
          <w:sz w:val="32"/>
          <w:szCs w:val="32"/>
        </w:rPr>
        <w:t>M</w:t>
      </w:r>
      <w:r w:rsidR="007E362B">
        <w:rPr>
          <w:b/>
          <w:bCs/>
          <w:sz w:val="32"/>
          <w:szCs w:val="32"/>
        </w:rPr>
        <w:t xml:space="preserve">IGRAZIONE </w:t>
      </w:r>
      <w:r w:rsidRPr="00D94DAC">
        <w:rPr>
          <w:b/>
          <w:bCs/>
          <w:sz w:val="32"/>
          <w:szCs w:val="32"/>
        </w:rPr>
        <w:t>SANITARIA</w:t>
      </w:r>
      <w:r>
        <w:rPr>
          <w:b/>
          <w:bCs/>
          <w:sz w:val="32"/>
          <w:szCs w:val="32"/>
        </w:rPr>
        <w:t xml:space="preserve">: NEL 2022 SFONDATO IL TETTO </w:t>
      </w:r>
      <w:r w:rsidR="007E362B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DEI € 5 MILIARDI.</w:t>
      </w:r>
      <w:r w:rsidRPr="00D94DAC">
        <w:rPr>
          <w:b/>
          <w:bCs/>
          <w:sz w:val="32"/>
          <w:szCs w:val="32"/>
        </w:rPr>
        <w:t xml:space="preserve"> </w:t>
      </w:r>
      <w:r w:rsidR="007E362B">
        <w:rPr>
          <w:b/>
          <w:bCs/>
          <w:sz w:val="32"/>
          <w:szCs w:val="32"/>
        </w:rPr>
        <w:br/>
      </w:r>
      <w:r w:rsidR="00261361">
        <w:rPr>
          <w:b/>
          <w:bCs/>
          <w:sz w:val="32"/>
          <w:szCs w:val="32"/>
        </w:rPr>
        <w:t xml:space="preserve">SI AGGRAVA </w:t>
      </w:r>
      <w:r w:rsidR="007E362B" w:rsidRPr="007E362B">
        <w:rPr>
          <w:b/>
          <w:bCs/>
          <w:sz w:val="32"/>
          <w:szCs w:val="32"/>
        </w:rPr>
        <w:t>LO SQUILIBRIO NORD-SUD</w:t>
      </w:r>
      <w:r>
        <w:rPr>
          <w:b/>
          <w:bCs/>
          <w:sz w:val="32"/>
          <w:szCs w:val="32"/>
        </w:rPr>
        <w:t xml:space="preserve">: </w:t>
      </w:r>
      <w:r w:rsidR="00261361" w:rsidRPr="00DB7AB8">
        <w:rPr>
          <w:b/>
          <w:bCs/>
          <w:sz w:val="32"/>
          <w:szCs w:val="32"/>
        </w:rPr>
        <w:t>LOMBARDIA</w:t>
      </w:r>
      <w:r w:rsidR="00261361">
        <w:rPr>
          <w:b/>
          <w:bCs/>
          <w:sz w:val="32"/>
          <w:szCs w:val="32"/>
        </w:rPr>
        <w:t xml:space="preserve">, </w:t>
      </w:r>
      <w:r w:rsidRPr="00DB7AB8">
        <w:rPr>
          <w:b/>
          <w:bCs/>
          <w:sz w:val="32"/>
          <w:szCs w:val="32"/>
        </w:rPr>
        <w:t xml:space="preserve">EMILIA-ROMAGNA E VENETO INCASSANO IL 94,1% DEL SALDO ATTIVO, </w:t>
      </w:r>
      <w:r w:rsidR="00261361">
        <w:rPr>
          <w:b/>
          <w:bCs/>
          <w:sz w:val="32"/>
          <w:szCs w:val="32"/>
        </w:rPr>
        <w:t xml:space="preserve">MENTRE </w:t>
      </w:r>
      <w:r w:rsidRPr="00DB7AB8">
        <w:rPr>
          <w:b/>
          <w:bCs/>
          <w:sz w:val="32"/>
          <w:szCs w:val="32"/>
        </w:rPr>
        <w:t xml:space="preserve">IL 78,8% DEL SALDO PASSIVO </w:t>
      </w:r>
      <w:r w:rsidR="00B948E1">
        <w:rPr>
          <w:b/>
          <w:bCs/>
          <w:sz w:val="32"/>
          <w:szCs w:val="32"/>
        </w:rPr>
        <w:t>GRAVA</w:t>
      </w:r>
      <w:r w:rsidRPr="00DB7AB8">
        <w:rPr>
          <w:b/>
          <w:bCs/>
          <w:sz w:val="32"/>
          <w:szCs w:val="32"/>
        </w:rPr>
        <w:t xml:space="preserve"> SUL CENTRO-SUD. </w:t>
      </w:r>
      <w:r>
        <w:rPr>
          <w:b/>
          <w:bCs/>
          <w:sz w:val="32"/>
          <w:szCs w:val="32"/>
        </w:rPr>
        <w:br/>
      </w:r>
      <w:r w:rsidRPr="00DB7AB8">
        <w:rPr>
          <w:b/>
          <w:bCs/>
          <w:sz w:val="32"/>
          <w:szCs w:val="32"/>
        </w:rPr>
        <w:t xml:space="preserve">IL 54,4% </w:t>
      </w:r>
      <w:r w:rsidRPr="00261361">
        <w:rPr>
          <w:b/>
          <w:bCs/>
          <w:sz w:val="32"/>
          <w:szCs w:val="32"/>
        </w:rPr>
        <w:t>DELLE PRESTAZIONI EROGATE FUORI REGION</w:t>
      </w:r>
      <w:r w:rsidRPr="008E6184">
        <w:rPr>
          <w:b/>
          <w:bCs/>
          <w:sz w:val="32"/>
          <w:szCs w:val="32"/>
        </w:rPr>
        <w:t>E</w:t>
      </w:r>
      <w:r w:rsidR="00000C58" w:rsidRPr="008E6184">
        <w:rPr>
          <w:b/>
          <w:bCs/>
          <w:sz w:val="32"/>
          <w:szCs w:val="32"/>
        </w:rPr>
        <w:t xml:space="preserve"> </w:t>
      </w:r>
      <w:r w:rsidR="00261361" w:rsidRPr="008E6184">
        <w:rPr>
          <w:b/>
          <w:bCs/>
          <w:sz w:val="32"/>
          <w:szCs w:val="32"/>
        </w:rPr>
        <w:t>VA AL</w:t>
      </w:r>
      <w:r w:rsidR="00000C58" w:rsidRPr="008E6184">
        <w:rPr>
          <w:b/>
          <w:bCs/>
          <w:sz w:val="32"/>
          <w:szCs w:val="32"/>
        </w:rPr>
        <w:t xml:space="preserve"> PRIVATO</w:t>
      </w:r>
      <w:r w:rsidR="007E362B" w:rsidRPr="008E6184">
        <w:rPr>
          <w:b/>
          <w:bCs/>
          <w:sz w:val="32"/>
          <w:szCs w:val="32"/>
        </w:rPr>
        <w:t xml:space="preserve"> ACCREDITATO</w:t>
      </w:r>
    </w:p>
    <w:bookmarkEnd w:id="0"/>
    <w:p w14:paraId="2C7D013D" w14:textId="77777777" w:rsidR="000151CE" w:rsidRDefault="000151CE" w:rsidP="000151CE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BE3D30"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E40FD">
        <w:rPr>
          <w:rFonts w:ascii="Calibri" w:eastAsia="Calibri" w:hAnsi="Calibri" w:cs="Times New Roman"/>
          <w:b/>
          <w:bCs/>
          <w:sz w:val="24"/>
          <w:szCs w:val="24"/>
        </w:rPr>
        <w:t>febbraio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2025 - </w:t>
      </w:r>
      <w:r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35371355" w14:textId="396188E3" w:rsidR="00160C67" w:rsidRDefault="000151CE" w:rsidP="000151CE">
      <w:pPr>
        <w:jc w:val="both"/>
        <w:rPr>
          <w:rFonts w:eastAsia="Times New Roman" w:cstheme="minorHAnsi"/>
        </w:rPr>
      </w:pPr>
      <w:r w:rsidRPr="000151CE">
        <w:rPr>
          <w:rFonts w:eastAsia="Times New Roman" w:cstheme="minorHAnsi"/>
        </w:rPr>
        <w:t xml:space="preserve">Nel 2022, la mobilità sanitaria interregionale ha </w:t>
      </w:r>
      <w:r w:rsidR="00062A9B">
        <w:rPr>
          <w:rFonts w:eastAsia="Times New Roman" w:cstheme="minorHAnsi"/>
        </w:rPr>
        <w:t>raggiunto</w:t>
      </w:r>
      <w:r w:rsidR="00062A9B" w:rsidRPr="000151CE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</w:rPr>
        <w:t xml:space="preserve">la cifra record di </w:t>
      </w:r>
      <w:r w:rsidRPr="000151CE">
        <w:rPr>
          <w:rFonts w:eastAsia="Times New Roman" w:cstheme="minorHAnsi"/>
          <w:bCs/>
        </w:rPr>
        <w:t>€ 5,04 miliardi</w:t>
      </w:r>
      <w:r w:rsidRPr="000151CE">
        <w:rPr>
          <w:rFonts w:eastAsia="Times New Roman" w:cstheme="minorHAnsi"/>
        </w:rPr>
        <w:t xml:space="preserve">, </w:t>
      </w:r>
      <w:r w:rsidR="00062A9B">
        <w:rPr>
          <w:rFonts w:eastAsia="Times New Roman" w:cstheme="minorHAnsi"/>
        </w:rPr>
        <w:t xml:space="preserve">il livello più alto mai registrato </w:t>
      </w:r>
      <w:r w:rsidRPr="000151CE">
        <w:rPr>
          <w:rFonts w:eastAsia="Times New Roman" w:cstheme="minorHAnsi"/>
        </w:rPr>
        <w:t xml:space="preserve">e superiore </w:t>
      </w:r>
      <w:r w:rsidR="006D4744">
        <w:rPr>
          <w:rFonts w:eastAsia="Times New Roman" w:cstheme="minorHAnsi"/>
        </w:rPr>
        <w:t xml:space="preserve">del </w:t>
      </w:r>
      <w:r w:rsidR="00B1392A">
        <w:rPr>
          <w:rFonts w:eastAsia="Times New Roman" w:cstheme="minorHAnsi"/>
        </w:rPr>
        <w:t>18,6%</w:t>
      </w:r>
      <w:r w:rsidR="006D4744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</w:rPr>
        <w:t>a quello del 2021 (</w:t>
      </w:r>
      <w:r w:rsidRPr="000151CE">
        <w:rPr>
          <w:rFonts w:eastAsia="Times New Roman" w:cstheme="minorHAnsi"/>
          <w:bCs/>
        </w:rPr>
        <w:t>€ 4,25 miliardi</w:t>
      </w:r>
      <w:r w:rsidRPr="000151CE">
        <w:rPr>
          <w:rFonts w:eastAsia="Times New Roman" w:cstheme="minorHAnsi"/>
        </w:rPr>
        <w:t xml:space="preserve">). I dati elaborati dalla </w:t>
      </w:r>
      <w:r w:rsidRPr="000151CE">
        <w:rPr>
          <w:rFonts w:eastAsia="Times New Roman" w:cstheme="minorHAnsi"/>
          <w:bCs/>
        </w:rPr>
        <w:t>Fondazione GIMBE</w:t>
      </w:r>
      <w:r w:rsidRPr="000151CE"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>confermano</w:t>
      </w:r>
      <w:r w:rsidR="00062A9B" w:rsidRPr="000151CE">
        <w:rPr>
          <w:rFonts w:eastAsia="Times New Roman" w:cstheme="minorHAnsi"/>
        </w:rPr>
        <w:t xml:space="preserve"> </w:t>
      </w:r>
      <w:r w:rsidR="00B1392A">
        <w:rPr>
          <w:rFonts w:eastAsia="Times New Roman" w:cstheme="minorHAnsi"/>
        </w:rPr>
        <w:t xml:space="preserve">anche </w:t>
      </w:r>
      <w:r w:rsidR="006A3BEE">
        <w:rPr>
          <w:rFonts w:eastAsia="Times New Roman" w:cstheme="minorHAnsi"/>
        </w:rPr>
        <w:t>il</w:t>
      </w:r>
      <w:r w:rsidR="00062A9B">
        <w:rPr>
          <w:rFonts w:eastAsia="Times New Roman" w:cstheme="minorHAnsi"/>
        </w:rPr>
        <w:t xml:space="preserve"> </w:t>
      </w:r>
      <w:r w:rsidR="006A3BEE">
        <w:rPr>
          <w:rFonts w:eastAsia="Times New Roman" w:cstheme="minorHAnsi"/>
        </w:rPr>
        <w:t>peggioramento del</w:t>
      </w:r>
      <w:r w:rsidR="00160C67">
        <w:rPr>
          <w:rFonts w:eastAsia="Times New Roman" w:cstheme="minorHAnsi"/>
        </w:rPr>
        <w:t>lo</w:t>
      </w:r>
      <w:r w:rsidR="006A3BEE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  <w:bCs/>
        </w:rPr>
        <w:t>squilibrio tra Nord e Sud</w:t>
      </w:r>
      <w:r w:rsidRPr="000151CE">
        <w:rPr>
          <w:rFonts w:eastAsia="Times New Roman" w:cstheme="minorHAnsi"/>
        </w:rPr>
        <w:t xml:space="preserve">, con </w:t>
      </w:r>
      <w:r w:rsidR="00062A9B">
        <w:rPr>
          <w:rFonts w:eastAsia="Times New Roman" w:cstheme="minorHAnsi"/>
        </w:rPr>
        <w:t>un flusso enorme</w:t>
      </w:r>
      <w:r w:rsidRPr="000151CE">
        <w:rPr>
          <w:rFonts w:eastAsia="Times New Roman" w:cstheme="minorHAnsi"/>
        </w:rPr>
        <w:t xml:space="preserve"> di pazienti</w:t>
      </w:r>
      <w:r w:rsidR="00B1392A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</w:rPr>
        <w:t>e di risorse economiche</w:t>
      </w:r>
      <w:r w:rsidR="00B1392A"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>in uscita</w:t>
      </w:r>
      <w:r w:rsidR="006D4744">
        <w:rPr>
          <w:rFonts w:eastAsia="Times New Roman" w:cstheme="minorHAnsi"/>
        </w:rPr>
        <w:t xml:space="preserve"> dal Mezzogiorno </w:t>
      </w:r>
      <w:r w:rsidRPr="000151CE">
        <w:rPr>
          <w:rFonts w:eastAsia="Times New Roman" w:cstheme="minorHAnsi"/>
        </w:rPr>
        <w:t xml:space="preserve">verso </w:t>
      </w:r>
      <w:r w:rsidR="00160C67">
        <w:rPr>
          <w:rFonts w:eastAsia="Times New Roman" w:cstheme="minorHAnsi"/>
        </w:rPr>
        <w:t xml:space="preserve">Lombardia, </w:t>
      </w:r>
      <w:r w:rsidR="0041707B">
        <w:rPr>
          <w:rFonts w:eastAsia="Times New Roman" w:cstheme="minorHAnsi"/>
        </w:rPr>
        <w:t>Emilia-</w:t>
      </w:r>
      <w:r w:rsidR="00160C67">
        <w:rPr>
          <w:rFonts w:eastAsia="Times New Roman" w:cstheme="minorHAnsi"/>
        </w:rPr>
        <w:t>Romagna e Veneto</w:t>
      </w:r>
      <w:r w:rsidR="0041707B">
        <w:rPr>
          <w:rFonts w:eastAsia="Times New Roman" w:cstheme="minorHAnsi"/>
        </w:rPr>
        <w:t xml:space="preserve">, </w:t>
      </w:r>
      <w:r w:rsidR="00160C67">
        <w:rPr>
          <w:rFonts w:eastAsia="Times New Roman" w:cstheme="minorHAnsi"/>
        </w:rPr>
        <w:t xml:space="preserve">che </w:t>
      </w:r>
      <w:r w:rsidR="00062A9B" w:rsidRPr="00062A9B">
        <w:rPr>
          <w:rFonts w:eastAsia="Times New Roman" w:cstheme="minorHAnsi"/>
        </w:rPr>
        <w:t xml:space="preserve">si confermano le </w:t>
      </w:r>
      <w:r w:rsidR="00B1392A">
        <w:rPr>
          <w:rFonts w:eastAsia="Times New Roman" w:cstheme="minorHAnsi"/>
        </w:rPr>
        <w:t xml:space="preserve">Regioni </w:t>
      </w:r>
      <w:r w:rsidR="00062A9B" w:rsidRPr="00062A9B">
        <w:rPr>
          <w:rFonts w:eastAsia="Times New Roman" w:cstheme="minorHAnsi"/>
        </w:rPr>
        <w:t>più attrattive.</w:t>
      </w:r>
      <w:r w:rsidR="00062A9B">
        <w:rPr>
          <w:rFonts w:eastAsia="Times New Roman" w:cstheme="minorHAnsi"/>
        </w:rPr>
        <w:t xml:space="preserve"> </w:t>
      </w:r>
    </w:p>
    <w:p w14:paraId="2CF43CEC" w14:textId="402E0135" w:rsidR="00062A9B" w:rsidRDefault="000151CE" w:rsidP="000151CE">
      <w:pPr>
        <w:jc w:val="both"/>
        <w:rPr>
          <w:rFonts w:eastAsia="Times New Roman" w:cstheme="minorHAnsi"/>
        </w:rPr>
      </w:pPr>
      <w:r w:rsidRPr="000151CE">
        <w:rPr>
          <w:rFonts w:eastAsia="Times New Roman" w:cstheme="minorHAnsi"/>
        </w:rPr>
        <w:t>«</w:t>
      </w:r>
      <w:r w:rsidRPr="000151CE">
        <w:rPr>
          <w:rFonts w:eastAsia="Times New Roman" w:cstheme="minorHAnsi"/>
          <w:bCs/>
        </w:rPr>
        <w:t xml:space="preserve">Questi numeri – afferma Nino Cartabellotta, Presidente della Fondazione GIMBE – </w:t>
      </w:r>
      <w:r w:rsidR="00062A9B">
        <w:rPr>
          <w:rFonts w:eastAsia="Times New Roman" w:cstheme="minorHAnsi"/>
          <w:bCs/>
        </w:rPr>
        <w:t>certificano</w:t>
      </w:r>
      <w:r w:rsidR="00062A9B" w:rsidRPr="000151CE">
        <w:rPr>
          <w:rFonts w:eastAsia="Times New Roman" w:cstheme="minorHAnsi"/>
          <w:bCs/>
        </w:rPr>
        <w:t xml:space="preserve"> </w:t>
      </w:r>
      <w:r w:rsidRPr="000151CE">
        <w:rPr>
          <w:rFonts w:eastAsia="Times New Roman" w:cstheme="minorHAnsi"/>
          <w:bCs/>
        </w:rPr>
        <w:t xml:space="preserve">che la mobilità sanitaria non è </w:t>
      </w:r>
      <w:r w:rsidR="006D4744">
        <w:rPr>
          <w:rFonts w:eastAsia="Times New Roman" w:cstheme="minorHAnsi"/>
          <w:bCs/>
        </w:rPr>
        <w:t xml:space="preserve">più </w:t>
      </w:r>
      <w:r w:rsidRPr="000151CE">
        <w:rPr>
          <w:rFonts w:eastAsia="Times New Roman" w:cstheme="minorHAnsi"/>
          <w:bCs/>
        </w:rPr>
        <w:t xml:space="preserve">una libera scelta del cittadino, ma una necessità </w:t>
      </w:r>
      <w:r w:rsidR="00062A9B">
        <w:rPr>
          <w:rFonts w:eastAsia="Times New Roman" w:cstheme="minorHAnsi"/>
          <w:bCs/>
        </w:rPr>
        <w:t>imposta</w:t>
      </w:r>
      <w:r w:rsidR="00062A9B" w:rsidRPr="000151CE">
        <w:rPr>
          <w:rFonts w:eastAsia="Times New Roman" w:cstheme="minorHAnsi"/>
          <w:bCs/>
        </w:rPr>
        <w:t xml:space="preserve"> </w:t>
      </w:r>
      <w:r w:rsidRPr="000151CE">
        <w:rPr>
          <w:rFonts w:eastAsia="Times New Roman" w:cstheme="minorHAnsi"/>
          <w:bCs/>
        </w:rPr>
        <w:t xml:space="preserve">dalle profonde diseguaglianze nell’offerta </w:t>
      </w:r>
      <w:r w:rsidR="006D4744">
        <w:rPr>
          <w:rFonts w:eastAsia="Times New Roman" w:cstheme="minorHAnsi"/>
          <w:bCs/>
        </w:rPr>
        <w:t xml:space="preserve">dei servizi </w:t>
      </w:r>
      <w:r w:rsidRPr="000151CE">
        <w:rPr>
          <w:rFonts w:eastAsia="Times New Roman" w:cstheme="minorHAnsi"/>
          <w:bCs/>
        </w:rPr>
        <w:t>sanitari regional</w:t>
      </w:r>
      <w:r w:rsidR="006D4744">
        <w:rPr>
          <w:rFonts w:eastAsia="Times New Roman" w:cstheme="minorHAnsi"/>
          <w:bCs/>
        </w:rPr>
        <w:t>i</w:t>
      </w:r>
      <w:r w:rsidRPr="000151CE">
        <w:rPr>
          <w:rFonts w:eastAsia="Times New Roman" w:cstheme="minorHAnsi"/>
          <w:bCs/>
        </w:rPr>
        <w:t xml:space="preserve">. Sempre più persone sono costrette a spostarsi per </w:t>
      </w:r>
      <w:r w:rsidR="00062A9B">
        <w:rPr>
          <w:rFonts w:eastAsia="Times New Roman" w:cstheme="minorHAnsi"/>
          <w:bCs/>
        </w:rPr>
        <w:t>ricevere cure adeguate</w:t>
      </w:r>
      <w:r w:rsidRPr="000151CE">
        <w:rPr>
          <w:rFonts w:eastAsia="Times New Roman" w:cstheme="minorHAnsi"/>
          <w:bCs/>
        </w:rPr>
        <w:t>, con costi economici, psicologici e sociali insostenibili</w:t>
      </w:r>
      <w:r w:rsidRPr="000151CE">
        <w:rPr>
          <w:rFonts w:eastAsia="Times New Roman" w:cstheme="minorHAnsi"/>
        </w:rPr>
        <w:t>».</w:t>
      </w:r>
      <w:bookmarkStart w:id="1" w:name="_GoBack"/>
      <w:bookmarkEnd w:id="1"/>
    </w:p>
    <w:p w14:paraId="30D1FEB4" w14:textId="22DBFF66" w:rsidR="00062A9B" w:rsidRDefault="009B4734" w:rsidP="000151CE">
      <w:pPr>
        <w:jc w:val="both"/>
        <w:rPr>
          <w:rFonts w:eastAsia="Times New Roman" w:cstheme="minorHAnsi"/>
        </w:rPr>
      </w:pPr>
      <w:r w:rsidRPr="00C2699C">
        <w:rPr>
          <w:rFonts w:eastAsia="Times New Roman" w:cstheme="minorHAnsi"/>
        </w:rPr>
        <w:t xml:space="preserve">Il </w:t>
      </w:r>
      <w:hyperlink r:id="rId7" w:history="1">
        <w:r w:rsidRPr="00DF7B95">
          <w:rPr>
            <w:rStyle w:val="Collegamentoipertestuale"/>
            <w:rFonts w:eastAsia="Times New Roman" w:cstheme="minorHAnsi"/>
          </w:rPr>
          <w:t xml:space="preserve">Report </w:t>
        </w:r>
        <w:r w:rsidR="0041707B">
          <w:rPr>
            <w:rStyle w:val="Collegamentoipertestuale"/>
            <w:rFonts w:eastAsia="Times New Roman" w:cstheme="minorHAnsi"/>
          </w:rPr>
          <w:t xml:space="preserve">GIMBE </w:t>
        </w:r>
        <w:r w:rsidRPr="00DF7B95">
          <w:rPr>
            <w:rStyle w:val="Collegamentoipertestuale"/>
            <w:rFonts w:eastAsia="Times New Roman" w:cstheme="minorHAnsi"/>
          </w:rPr>
          <w:t>sulla mobilità sanitaria 202</w:t>
        </w:r>
        <w:r>
          <w:rPr>
            <w:rStyle w:val="Collegamentoipertestuale"/>
            <w:rFonts w:eastAsia="Times New Roman" w:cstheme="minorHAnsi"/>
          </w:rPr>
          <w:t>2</w:t>
        </w:r>
      </w:hyperlink>
      <w:r w:rsidRPr="00C2699C"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>si basa su</w:t>
      </w:r>
      <w:r w:rsidRPr="00C2699C">
        <w:rPr>
          <w:rFonts w:eastAsia="Times New Roman" w:cstheme="minorHAnsi"/>
        </w:rPr>
        <w:t xml:space="preserve"> </w:t>
      </w:r>
      <w:r w:rsidR="006A3BEE">
        <w:rPr>
          <w:rFonts w:eastAsia="Times New Roman" w:cstheme="minorHAnsi"/>
        </w:rPr>
        <w:t>tre fonti</w:t>
      </w:r>
      <w:r w:rsidR="00062A9B">
        <w:rPr>
          <w:rFonts w:eastAsia="Times New Roman" w:cstheme="minorHAnsi"/>
        </w:rPr>
        <w:t xml:space="preserve"> dati</w:t>
      </w:r>
      <w:r w:rsidR="006A3BEE">
        <w:rPr>
          <w:rFonts w:eastAsia="Times New Roman" w:cstheme="minorHAnsi"/>
        </w:rPr>
        <w:t xml:space="preserve">: </w:t>
      </w:r>
      <w:r w:rsidRPr="00C2699C">
        <w:rPr>
          <w:rFonts w:eastAsia="Times New Roman" w:cstheme="minorHAnsi"/>
        </w:rPr>
        <w:t xml:space="preserve">i dati economici aggregati </w:t>
      </w:r>
      <w:r w:rsidR="006A3BEE">
        <w:rPr>
          <w:rFonts w:eastAsia="Times New Roman" w:cstheme="minorHAnsi"/>
        </w:rPr>
        <w:t xml:space="preserve">dal </w:t>
      </w:r>
      <w:hyperlink r:id="rId8" w:history="1">
        <w:r w:rsidR="006A3BEE" w:rsidRPr="009D209B">
          <w:rPr>
            <w:rStyle w:val="Collegamentoipertestuale"/>
            <w:rFonts w:eastAsia="Times New Roman" w:cstheme="minorHAnsi"/>
          </w:rPr>
          <w:t>Riparto 2024</w:t>
        </w:r>
      </w:hyperlink>
      <w:r w:rsidR="006A3BEE"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 xml:space="preserve">sono stati utilizzati </w:t>
      </w:r>
      <w:r w:rsidRPr="00C2699C">
        <w:rPr>
          <w:rFonts w:eastAsia="Times New Roman" w:cstheme="minorHAnsi"/>
        </w:rPr>
        <w:t>per analizzare mobilità attiva, passiva e saldi</w:t>
      </w:r>
      <w:r w:rsidR="006A3BEE">
        <w:rPr>
          <w:rFonts w:eastAsia="Times New Roman" w:cstheme="minorHAnsi"/>
        </w:rPr>
        <w:t xml:space="preserve">; </w:t>
      </w:r>
      <w:r w:rsidRPr="00C2699C">
        <w:rPr>
          <w:rFonts w:eastAsia="Times New Roman" w:cstheme="minorHAnsi"/>
        </w:rPr>
        <w:t xml:space="preserve">i flussi </w:t>
      </w:r>
      <w:r w:rsidR="009203C1">
        <w:rPr>
          <w:rFonts w:eastAsia="Times New Roman" w:cstheme="minorHAnsi"/>
        </w:rPr>
        <w:t xml:space="preserve">dei Modelli M </w:t>
      </w:r>
      <w:r w:rsidRPr="00C2699C">
        <w:rPr>
          <w:rFonts w:eastAsia="Times New Roman" w:cstheme="minorHAnsi"/>
        </w:rPr>
        <w:t>trasmessi dalle Regioni al Ministero della Salute</w:t>
      </w:r>
      <w:r w:rsidR="0041707B">
        <w:rPr>
          <w:rFonts w:eastAsia="Times New Roman" w:cstheme="minorHAnsi"/>
        </w:rPr>
        <w:t xml:space="preserve">, </w:t>
      </w:r>
      <w:r w:rsidR="0041707B" w:rsidRPr="009203C1">
        <w:rPr>
          <w:rFonts w:eastAsia="Times New Roman" w:cstheme="minorHAnsi"/>
        </w:rPr>
        <w:t xml:space="preserve">acquisiti </w:t>
      </w:r>
      <w:r w:rsidR="0041707B">
        <w:rPr>
          <w:rFonts w:eastAsia="Times New Roman" w:cstheme="minorHAnsi"/>
        </w:rPr>
        <w:t>tramite</w:t>
      </w:r>
      <w:r w:rsidR="0041707B" w:rsidRPr="009203C1">
        <w:rPr>
          <w:rFonts w:eastAsia="Times New Roman" w:cstheme="minorHAnsi"/>
        </w:rPr>
        <w:t xml:space="preserve"> accesso civico generalizzato</w:t>
      </w:r>
      <w:r w:rsidR="0041707B">
        <w:rPr>
          <w:rFonts w:eastAsia="Times New Roman" w:cstheme="minorHAnsi"/>
        </w:rPr>
        <w:t xml:space="preserve">, </w:t>
      </w:r>
      <w:r w:rsidR="00062A9B">
        <w:rPr>
          <w:rFonts w:eastAsia="Times New Roman" w:cstheme="minorHAnsi"/>
        </w:rPr>
        <w:t>hanno permesso di valutare la</w:t>
      </w:r>
      <w:r w:rsidRPr="00C2699C">
        <w:rPr>
          <w:rFonts w:eastAsia="Times New Roman" w:cstheme="minorHAnsi"/>
        </w:rPr>
        <w:t xml:space="preserve"> differente capacità di attrazione </w:t>
      </w:r>
      <w:r>
        <w:rPr>
          <w:rFonts w:eastAsia="Times New Roman" w:cstheme="minorHAnsi"/>
        </w:rPr>
        <w:t xml:space="preserve">delle strutture </w:t>
      </w:r>
      <w:r w:rsidRPr="00C2699C">
        <w:rPr>
          <w:rFonts w:eastAsia="Times New Roman" w:cstheme="minorHAnsi"/>
        </w:rPr>
        <w:t>pubblic</w:t>
      </w:r>
      <w:r>
        <w:rPr>
          <w:rFonts w:eastAsia="Times New Roman" w:cstheme="minorHAnsi"/>
        </w:rPr>
        <w:t>he</w:t>
      </w:r>
      <w:r w:rsidRPr="00C2699C">
        <w:rPr>
          <w:rFonts w:eastAsia="Times New Roman" w:cstheme="minorHAnsi"/>
        </w:rPr>
        <w:t xml:space="preserve"> e privat</w:t>
      </w:r>
      <w:r>
        <w:rPr>
          <w:rFonts w:eastAsia="Times New Roman" w:cstheme="minorHAnsi"/>
        </w:rPr>
        <w:t>e</w:t>
      </w:r>
      <w:r w:rsidRPr="00C269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per le </w:t>
      </w:r>
      <w:r w:rsidR="00924547">
        <w:rPr>
          <w:rFonts w:eastAsia="Times New Roman" w:cstheme="minorHAnsi"/>
        </w:rPr>
        <w:t xml:space="preserve">varie </w:t>
      </w:r>
      <w:r w:rsidRPr="00C2699C">
        <w:rPr>
          <w:rFonts w:eastAsia="Times New Roman" w:cstheme="minorHAnsi"/>
        </w:rPr>
        <w:t>tipologi</w:t>
      </w:r>
      <w:r>
        <w:rPr>
          <w:rFonts w:eastAsia="Times New Roman" w:cstheme="minorHAnsi"/>
        </w:rPr>
        <w:t>e</w:t>
      </w:r>
      <w:r w:rsidRPr="00C2699C">
        <w:rPr>
          <w:rFonts w:eastAsia="Times New Roman" w:cstheme="minorHAnsi"/>
        </w:rPr>
        <w:t xml:space="preserve"> di prestazioni erogate in mobilità</w:t>
      </w:r>
      <w:r w:rsidR="006A3BEE">
        <w:rPr>
          <w:rFonts w:eastAsia="Times New Roman" w:cstheme="minorHAnsi"/>
        </w:rPr>
        <w:t>;</w:t>
      </w:r>
      <w:r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 xml:space="preserve">infine, </w:t>
      </w:r>
      <w:r>
        <w:rPr>
          <w:rFonts w:eastAsia="Times New Roman" w:cstheme="minorHAnsi"/>
        </w:rPr>
        <w:t xml:space="preserve">i dati del </w:t>
      </w:r>
      <w:hyperlink r:id="rId9" w:history="1">
        <w:r w:rsidRPr="009D209B">
          <w:rPr>
            <w:rStyle w:val="Collegamentoipertestuale"/>
            <w:rFonts w:eastAsia="Times New Roman" w:cstheme="minorHAnsi"/>
          </w:rPr>
          <w:t xml:space="preserve">Report </w:t>
        </w:r>
        <w:proofErr w:type="spellStart"/>
        <w:r w:rsidRPr="009D209B">
          <w:rPr>
            <w:rStyle w:val="Collegamentoipertestuale"/>
            <w:rFonts w:eastAsia="Times New Roman" w:cstheme="minorHAnsi"/>
          </w:rPr>
          <w:t>Agenas</w:t>
        </w:r>
        <w:proofErr w:type="spellEnd"/>
      </w:hyperlink>
      <w:r>
        <w:rPr>
          <w:rFonts w:eastAsia="Times New Roman" w:cstheme="minorHAnsi"/>
        </w:rPr>
        <w:t xml:space="preserve"> </w:t>
      </w:r>
      <w:r w:rsidR="00062A9B">
        <w:rPr>
          <w:rFonts w:eastAsia="Times New Roman" w:cstheme="minorHAnsi"/>
        </w:rPr>
        <w:t xml:space="preserve">hanno consentito </w:t>
      </w:r>
      <w:r w:rsidR="006A3BEE">
        <w:rPr>
          <w:rFonts w:eastAsia="Times New Roman" w:cstheme="minorHAnsi"/>
        </w:rPr>
        <w:t xml:space="preserve">un </w:t>
      </w:r>
      <w:r w:rsidR="00062A9B">
        <w:rPr>
          <w:rFonts w:eastAsia="Times New Roman" w:cstheme="minorHAnsi"/>
        </w:rPr>
        <w:t xml:space="preserve">approfondimento specifico </w:t>
      </w:r>
      <w:r w:rsidR="006A3BEE">
        <w:rPr>
          <w:rFonts w:eastAsia="Times New Roman" w:cstheme="minorHAnsi"/>
        </w:rPr>
        <w:t>su ricoveri e specialistica ambulatoriale.</w:t>
      </w:r>
    </w:p>
    <w:p w14:paraId="0325187C" w14:textId="20282D2E" w:rsidR="00EE21AA" w:rsidRPr="000151CE" w:rsidRDefault="000151CE" w:rsidP="00EE21AA">
      <w:pPr>
        <w:jc w:val="both"/>
        <w:rPr>
          <w:rFonts w:eastAsia="Times New Roman" w:cstheme="minorHAnsi"/>
        </w:rPr>
      </w:pPr>
      <w:r w:rsidRPr="000151CE">
        <w:rPr>
          <w:rFonts w:eastAsia="Times New Roman" w:cstheme="minorHAnsi"/>
          <w:b/>
          <w:bCs/>
        </w:rPr>
        <w:t>Flussi economici e squilibri territoriali</w:t>
      </w:r>
      <w:r>
        <w:rPr>
          <w:rFonts w:eastAsia="Times New Roman" w:cstheme="minorHAnsi"/>
          <w:b/>
          <w:bCs/>
        </w:rPr>
        <w:t xml:space="preserve">. </w:t>
      </w:r>
      <w:r w:rsidR="006D4744" w:rsidRPr="000151CE">
        <w:rPr>
          <w:rFonts w:eastAsia="Times New Roman" w:cstheme="minorHAnsi"/>
        </w:rPr>
        <w:t>Lombardia</w:t>
      </w:r>
      <w:r w:rsidR="006D4744">
        <w:rPr>
          <w:rFonts w:eastAsia="Times New Roman" w:cstheme="minorHAnsi"/>
        </w:rPr>
        <w:t xml:space="preserve">, </w:t>
      </w:r>
      <w:r w:rsidRPr="000151CE">
        <w:rPr>
          <w:rFonts w:eastAsia="Times New Roman" w:cstheme="minorHAnsi"/>
        </w:rPr>
        <w:t xml:space="preserve">Emilia-Romagna e Veneto </w:t>
      </w:r>
      <w:r w:rsidRPr="000151CE">
        <w:rPr>
          <w:rFonts w:eastAsia="Times New Roman" w:cstheme="minorHAnsi"/>
          <w:bCs/>
        </w:rPr>
        <w:t xml:space="preserve">raccolgono </w:t>
      </w:r>
      <w:r w:rsidR="006A3BEE" w:rsidRPr="000151CE">
        <w:rPr>
          <w:rFonts w:eastAsia="Times New Roman" w:cstheme="minorHAnsi"/>
          <w:bCs/>
        </w:rPr>
        <w:t xml:space="preserve">da sole </w:t>
      </w:r>
      <w:r w:rsidRPr="000151CE">
        <w:rPr>
          <w:rFonts w:eastAsia="Times New Roman" w:cstheme="minorHAnsi"/>
          <w:bCs/>
        </w:rPr>
        <w:t>il 94,1% del saldo attivo</w:t>
      </w:r>
      <w:r w:rsidR="00F156A0">
        <w:rPr>
          <w:rFonts w:eastAsia="Times New Roman" w:cstheme="minorHAnsi"/>
          <w:bCs/>
        </w:rPr>
        <w:t xml:space="preserve"> della mobilità sanitaria</w:t>
      </w:r>
      <w:r w:rsidRPr="000151CE">
        <w:rPr>
          <w:rFonts w:eastAsia="Times New Roman" w:cstheme="minorHAnsi"/>
        </w:rPr>
        <w:t xml:space="preserve">, ovvero la differenza tra </w:t>
      </w:r>
      <w:r w:rsidR="00F156A0">
        <w:rPr>
          <w:rFonts w:eastAsia="Times New Roman" w:cstheme="minorHAnsi"/>
        </w:rPr>
        <w:t>risorse</w:t>
      </w:r>
      <w:r w:rsidR="00F156A0" w:rsidRPr="000151CE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</w:rPr>
        <w:t>ricevut</w:t>
      </w:r>
      <w:r w:rsidR="00F156A0">
        <w:rPr>
          <w:rFonts w:eastAsia="Times New Roman" w:cstheme="minorHAnsi"/>
        </w:rPr>
        <w:t>e</w:t>
      </w:r>
      <w:r w:rsidRPr="000151CE">
        <w:rPr>
          <w:rFonts w:eastAsia="Times New Roman" w:cstheme="minorHAnsi"/>
        </w:rPr>
        <w:t xml:space="preserve"> per curare pazienti provenienti da altre Regioni e </w:t>
      </w:r>
      <w:r w:rsidR="00F156A0">
        <w:rPr>
          <w:rFonts w:eastAsia="Times New Roman" w:cstheme="minorHAnsi"/>
        </w:rPr>
        <w:t>quelle</w:t>
      </w:r>
      <w:r w:rsidR="00F156A0" w:rsidRPr="000151CE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</w:rPr>
        <w:t>versat</w:t>
      </w:r>
      <w:r w:rsidR="00F156A0">
        <w:rPr>
          <w:rFonts w:eastAsia="Times New Roman" w:cstheme="minorHAnsi"/>
        </w:rPr>
        <w:t>e</w:t>
      </w:r>
      <w:r w:rsidRPr="000151CE">
        <w:rPr>
          <w:rFonts w:eastAsia="Times New Roman" w:cstheme="minorHAnsi"/>
        </w:rPr>
        <w:t xml:space="preserve"> per i propri cittadini che si sono spostati altrove. A pagare il prezzo più alto sono </w:t>
      </w:r>
      <w:r w:rsidRPr="000151CE">
        <w:rPr>
          <w:rFonts w:eastAsia="Times New Roman" w:cstheme="minorHAnsi"/>
          <w:bCs/>
        </w:rPr>
        <w:t>Abruzzo, Calabria, Campania, Sicilia, Lazio e Puglia</w:t>
      </w:r>
      <w:r w:rsidRPr="000151CE">
        <w:rPr>
          <w:rFonts w:eastAsia="Times New Roman" w:cstheme="minorHAnsi"/>
        </w:rPr>
        <w:t xml:space="preserve">, che </w:t>
      </w:r>
      <w:r w:rsidR="006A3BEE">
        <w:rPr>
          <w:rFonts w:eastAsia="Times New Roman" w:cstheme="minorHAnsi"/>
        </w:rPr>
        <w:t xml:space="preserve">insieme </w:t>
      </w:r>
      <w:r w:rsidRPr="000151CE">
        <w:rPr>
          <w:rFonts w:eastAsia="Times New Roman" w:cstheme="minorHAnsi"/>
        </w:rPr>
        <w:t xml:space="preserve">rappresentano </w:t>
      </w:r>
      <w:r w:rsidRPr="000151CE">
        <w:rPr>
          <w:rFonts w:eastAsia="Times New Roman" w:cstheme="minorHAnsi"/>
          <w:bCs/>
        </w:rPr>
        <w:t>il 78,8% del saldo passivo</w:t>
      </w:r>
      <w:r w:rsidRPr="000151CE">
        <w:rPr>
          <w:rFonts w:eastAsia="Times New Roman" w:cstheme="minorHAnsi"/>
        </w:rPr>
        <w:t>.</w:t>
      </w:r>
      <w:r w:rsidR="006D4744">
        <w:rPr>
          <w:rFonts w:eastAsia="Times New Roman" w:cstheme="minorHAnsi"/>
        </w:rPr>
        <w:t xml:space="preserve"> </w:t>
      </w:r>
      <w:r w:rsidRPr="000151CE">
        <w:rPr>
          <w:rFonts w:eastAsia="Times New Roman" w:cstheme="minorHAnsi"/>
          <w:bCs/>
        </w:rPr>
        <w:t xml:space="preserve">«Il divario tra Nord e Sud non è più solo una criticità, ma una frattura strutturale del Servizio Sanitario Nazionale – </w:t>
      </w:r>
      <w:r w:rsidR="00F156A0">
        <w:rPr>
          <w:rFonts w:eastAsia="Times New Roman" w:cstheme="minorHAnsi"/>
          <w:bCs/>
        </w:rPr>
        <w:t>avverte</w:t>
      </w:r>
      <w:r w:rsidR="00F156A0" w:rsidRPr="000151CE">
        <w:rPr>
          <w:rFonts w:eastAsia="Times New Roman" w:cstheme="minorHAnsi"/>
          <w:bCs/>
        </w:rPr>
        <w:t xml:space="preserve"> </w:t>
      </w:r>
      <w:r w:rsidRPr="000151CE">
        <w:rPr>
          <w:rFonts w:eastAsia="Times New Roman" w:cstheme="minorHAnsi"/>
          <w:bCs/>
        </w:rPr>
        <w:t>Cartabellotta – che rischia di aggravarsi con la</w:t>
      </w:r>
      <w:r w:rsidR="00F156A0">
        <w:rPr>
          <w:rFonts w:eastAsia="Times New Roman" w:cstheme="minorHAnsi"/>
          <w:bCs/>
        </w:rPr>
        <w:t xml:space="preserve"> recente approvazione della</w:t>
      </w:r>
      <w:r w:rsidRPr="000151CE">
        <w:rPr>
          <w:rFonts w:eastAsia="Times New Roman" w:cstheme="minorHAnsi"/>
          <w:bCs/>
        </w:rPr>
        <w:t xml:space="preserve"> legge sull’autonomia differenziata. Una riforma che, senza adeguati correttivi, finirà per cristallizzare </w:t>
      </w:r>
      <w:r w:rsidR="006A3BEE">
        <w:rPr>
          <w:rFonts w:eastAsia="Times New Roman" w:cstheme="minorHAnsi"/>
          <w:bCs/>
        </w:rPr>
        <w:t xml:space="preserve">e legittimare </w:t>
      </w:r>
      <w:r w:rsidRPr="000151CE">
        <w:rPr>
          <w:rFonts w:eastAsia="Times New Roman" w:cstheme="minorHAnsi"/>
          <w:bCs/>
        </w:rPr>
        <w:t>le diseguaglianze</w:t>
      </w:r>
      <w:r w:rsidR="006A3BEE">
        <w:rPr>
          <w:rFonts w:eastAsia="Times New Roman" w:cstheme="minorHAnsi"/>
          <w:bCs/>
        </w:rPr>
        <w:t>,</w:t>
      </w:r>
      <w:r w:rsidRPr="000151CE">
        <w:rPr>
          <w:rFonts w:eastAsia="Times New Roman" w:cstheme="minorHAnsi"/>
          <w:bCs/>
        </w:rPr>
        <w:t xml:space="preserve"> </w:t>
      </w:r>
      <w:r w:rsidR="00F156A0">
        <w:rPr>
          <w:rFonts w:eastAsia="Times New Roman" w:cstheme="minorHAnsi"/>
          <w:bCs/>
        </w:rPr>
        <w:t xml:space="preserve">trasformando </w:t>
      </w:r>
      <w:r w:rsidRPr="000151CE">
        <w:rPr>
          <w:rFonts w:eastAsia="Times New Roman" w:cstheme="minorHAnsi"/>
          <w:bCs/>
        </w:rPr>
        <w:t xml:space="preserve">il diritto alla </w:t>
      </w:r>
      <w:r w:rsidR="006D4744">
        <w:rPr>
          <w:rFonts w:eastAsia="Times New Roman" w:cstheme="minorHAnsi"/>
          <w:bCs/>
        </w:rPr>
        <w:t xml:space="preserve">tutela della </w:t>
      </w:r>
      <w:r w:rsidRPr="000151CE">
        <w:rPr>
          <w:rFonts w:eastAsia="Times New Roman" w:cstheme="minorHAnsi"/>
          <w:bCs/>
        </w:rPr>
        <w:t xml:space="preserve">salute </w:t>
      </w:r>
      <w:r w:rsidR="00F156A0">
        <w:rPr>
          <w:rFonts w:eastAsia="Times New Roman" w:cstheme="minorHAnsi"/>
          <w:bCs/>
        </w:rPr>
        <w:t xml:space="preserve">in </w:t>
      </w:r>
      <w:r w:rsidRPr="000151CE">
        <w:rPr>
          <w:rFonts w:eastAsia="Times New Roman" w:cstheme="minorHAnsi"/>
          <w:bCs/>
        </w:rPr>
        <w:t>un privilegio legato al CAP di residenza»</w:t>
      </w:r>
      <w:r w:rsidRPr="000151CE">
        <w:rPr>
          <w:rFonts w:eastAsia="Times New Roman" w:cstheme="minorHAnsi"/>
        </w:rPr>
        <w:t>.</w:t>
      </w:r>
    </w:p>
    <w:p w14:paraId="4128FF66" w14:textId="32B55C73" w:rsidR="0036058E" w:rsidRDefault="000151CE" w:rsidP="000151CE">
      <w:pPr>
        <w:jc w:val="both"/>
        <w:rPr>
          <w:rFonts w:eastAsia="Times New Roman" w:cstheme="minorHAnsi"/>
        </w:rPr>
      </w:pPr>
      <w:r w:rsidRPr="00D16EB6">
        <w:rPr>
          <w:rFonts w:eastAsia="Times New Roman" w:cstheme="minorHAnsi"/>
          <w:b/>
          <w:bCs/>
        </w:rPr>
        <w:t>Regioni “attrattive” e pazienti “in fuga”.</w:t>
      </w:r>
      <w:r w:rsidR="00D16EB6">
        <w:rPr>
          <w:rFonts w:eastAsia="Times New Roman" w:cstheme="minorHAnsi"/>
          <w:bCs/>
        </w:rPr>
        <w:t xml:space="preserve"> </w:t>
      </w:r>
      <w:r w:rsidRPr="00D16EB6">
        <w:rPr>
          <w:rFonts w:eastAsia="Times New Roman" w:cstheme="minorHAnsi"/>
        </w:rPr>
        <w:t xml:space="preserve">La mobilità attiva, </w:t>
      </w:r>
      <w:r w:rsidR="0036058E">
        <w:rPr>
          <w:rFonts w:eastAsia="Times New Roman" w:cstheme="minorHAnsi"/>
        </w:rPr>
        <w:t>ovvero</w:t>
      </w:r>
      <w:r w:rsidR="0036058E" w:rsidRPr="00D16EB6">
        <w:rPr>
          <w:rFonts w:eastAsia="Times New Roman" w:cstheme="minorHAnsi"/>
        </w:rPr>
        <w:t xml:space="preserve"> </w:t>
      </w:r>
      <w:r w:rsidRPr="00D16EB6">
        <w:rPr>
          <w:rFonts w:eastAsia="Times New Roman" w:cstheme="minorHAnsi"/>
        </w:rPr>
        <w:t xml:space="preserve">l’attrazione di pazienti da altre Regioni, si concentra per oltre la metà in </w:t>
      </w:r>
      <w:r w:rsidRPr="00D16EB6">
        <w:rPr>
          <w:rFonts w:eastAsia="Times New Roman" w:cstheme="minorHAnsi"/>
          <w:bCs/>
        </w:rPr>
        <w:t>Lombardia (22,8%), Emilia-Romagna (17,1%) e Veneto (10,7%)</w:t>
      </w:r>
      <w:r w:rsidRPr="00D16EB6">
        <w:rPr>
          <w:rFonts w:eastAsia="Times New Roman" w:cstheme="minorHAnsi"/>
        </w:rPr>
        <w:t>, seguite da Lazio (8,6%), Piemonte (6,1%) e Toscana (6,0%)</w:t>
      </w:r>
      <w:r w:rsidR="00FC49A5">
        <w:rPr>
          <w:rFonts w:eastAsia="Times New Roman" w:cstheme="minorHAnsi"/>
        </w:rPr>
        <w:t xml:space="preserve"> (</w:t>
      </w:r>
      <w:r w:rsidR="00FC49A5" w:rsidRPr="00FC49A5">
        <w:rPr>
          <w:rFonts w:eastAsia="Times New Roman" w:cstheme="minorHAnsi"/>
          <w:highlight w:val="yellow"/>
        </w:rPr>
        <w:t>figura 1</w:t>
      </w:r>
      <w:r w:rsidR="00FC49A5">
        <w:rPr>
          <w:rFonts w:eastAsia="Times New Roman" w:cstheme="minorHAnsi"/>
        </w:rPr>
        <w:t>)</w:t>
      </w:r>
      <w:r w:rsidRPr="00D16EB6">
        <w:rPr>
          <w:rFonts w:eastAsia="Times New Roman" w:cstheme="minorHAnsi"/>
        </w:rPr>
        <w:t>.</w:t>
      </w:r>
      <w:r w:rsidR="006A3BEE">
        <w:rPr>
          <w:rFonts w:eastAsia="Times New Roman" w:cstheme="minorHAnsi"/>
        </w:rPr>
        <w:t xml:space="preserve"> </w:t>
      </w:r>
      <w:r w:rsidRPr="00D16EB6">
        <w:rPr>
          <w:rFonts w:eastAsia="Times New Roman" w:cstheme="minorHAnsi"/>
        </w:rPr>
        <w:t xml:space="preserve">Sul fronte </w:t>
      </w:r>
      <w:r w:rsidR="0036058E">
        <w:rPr>
          <w:rFonts w:eastAsia="Times New Roman" w:cstheme="minorHAnsi"/>
        </w:rPr>
        <w:t>oppo</w:t>
      </w:r>
      <w:r w:rsidR="00160C67">
        <w:rPr>
          <w:rFonts w:eastAsia="Times New Roman" w:cstheme="minorHAnsi"/>
        </w:rPr>
        <w:t>s</w:t>
      </w:r>
      <w:r w:rsidR="0036058E">
        <w:rPr>
          <w:rFonts w:eastAsia="Times New Roman" w:cstheme="minorHAnsi"/>
        </w:rPr>
        <w:t>to,</w:t>
      </w:r>
      <w:r w:rsidRPr="00D16EB6">
        <w:rPr>
          <w:rFonts w:eastAsia="Times New Roman" w:cstheme="minorHAnsi"/>
        </w:rPr>
        <w:t xml:space="preserve"> </w:t>
      </w:r>
      <w:r w:rsidR="006A3BEE">
        <w:rPr>
          <w:rFonts w:eastAsia="Times New Roman" w:cstheme="minorHAnsi"/>
        </w:rPr>
        <w:t xml:space="preserve">a </w:t>
      </w:r>
      <w:r w:rsidRPr="00D16EB6">
        <w:rPr>
          <w:rFonts w:eastAsia="Times New Roman" w:cstheme="minorHAnsi"/>
        </w:rPr>
        <w:t xml:space="preserve">generare i maggiori debiti per cure ricevute </w:t>
      </w:r>
      <w:r w:rsidR="00924547">
        <w:rPr>
          <w:rFonts w:eastAsia="Times New Roman" w:cstheme="minorHAnsi"/>
        </w:rPr>
        <w:t>dai propri residenti in altre Regioni</w:t>
      </w:r>
      <w:r w:rsidR="0036058E">
        <w:rPr>
          <w:rFonts w:eastAsia="Times New Roman" w:cstheme="minorHAnsi"/>
        </w:rPr>
        <w:t>,</w:t>
      </w:r>
      <w:r w:rsidRPr="00D16EB6">
        <w:rPr>
          <w:rFonts w:eastAsia="Times New Roman" w:cstheme="minorHAnsi"/>
        </w:rPr>
        <w:t xml:space="preserve"> sono </w:t>
      </w:r>
      <w:r w:rsidR="00D16EB6" w:rsidRPr="00D16EB6">
        <w:rPr>
          <w:rFonts w:eastAsia="Times New Roman" w:cstheme="minorHAnsi"/>
          <w:bCs/>
        </w:rPr>
        <w:t>Lazio (11,8%), Campania (9,6%) e Lombardia (</w:t>
      </w:r>
      <w:r w:rsidRPr="00D16EB6">
        <w:rPr>
          <w:rFonts w:eastAsia="Times New Roman" w:cstheme="minorHAnsi"/>
          <w:bCs/>
        </w:rPr>
        <w:t>8,9%)</w:t>
      </w:r>
      <w:r w:rsidRPr="00D16EB6">
        <w:rPr>
          <w:rFonts w:eastAsia="Times New Roman" w:cstheme="minorHAnsi"/>
        </w:rPr>
        <w:t>, che da sole rappresentano quasi un terzo della mobilità passiva</w:t>
      </w:r>
      <w:r w:rsidR="006A3BEE">
        <w:rPr>
          <w:rFonts w:eastAsia="Times New Roman" w:cstheme="minorHAnsi"/>
        </w:rPr>
        <w:t xml:space="preserve">, con </w:t>
      </w:r>
      <w:r w:rsidR="0036058E">
        <w:t>un esborso superiore ai</w:t>
      </w:r>
      <w:r w:rsidR="00D16EB6" w:rsidRPr="00D16EB6">
        <w:t xml:space="preserve"> € 400 milioni ciascuna</w:t>
      </w:r>
      <w:r w:rsidRPr="00D16EB6">
        <w:rPr>
          <w:rFonts w:eastAsia="Times New Roman" w:cstheme="minorHAnsi"/>
        </w:rPr>
        <w:t xml:space="preserve">. </w:t>
      </w:r>
      <w:r w:rsidR="0036058E" w:rsidRPr="00D16EB6">
        <w:rPr>
          <w:rFonts w:eastAsia="Times New Roman" w:cstheme="minorHAnsi"/>
        </w:rPr>
        <w:t>Segu</w:t>
      </w:r>
      <w:r w:rsidR="0036058E">
        <w:rPr>
          <w:rFonts w:eastAsia="Times New Roman" w:cstheme="minorHAnsi"/>
        </w:rPr>
        <w:t>ono</w:t>
      </w:r>
      <w:r w:rsidR="0036058E" w:rsidRPr="00D16EB6">
        <w:rPr>
          <w:rFonts w:eastAsia="Times New Roman" w:cstheme="minorHAnsi"/>
        </w:rPr>
        <w:t xml:space="preserve"> </w:t>
      </w:r>
      <w:r w:rsidR="0036058E" w:rsidRPr="0036058E">
        <w:rPr>
          <w:rFonts w:eastAsia="Times New Roman" w:cstheme="minorHAnsi"/>
        </w:rPr>
        <w:t xml:space="preserve">Puglia, Calabria e Sicilia, </w:t>
      </w:r>
      <w:r w:rsidRPr="00D16EB6">
        <w:rPr>
          <w:rFonts w:eastAsia="Times New Roman" w:cstheme="minorHAnsi"/>
        </w:rPr>
        <w:t>che nel 2022 ha</w:t>
      </w:r>
      <w:r w:rsidR="0036058E">
        <w:rPr>
          <w:rFonts w:eastAsia="Times New Roman" w:cstheme="minorHAnsi"/>
        </w:rPr>
        <w:t>nno</w:t>
      </w:r>
      <w:r w:rsidRPr="00D16EB6">
        <w:rPr>
          <w:rFonts w:eastAsia="Times New Roman" w:cstheme="minorHAnsi"/>
        </w:rPr>
        <w:t xml:space="preserve"> visto il proprio saldo negativo</w:t>
      </w:r>
      <w:r w:rsidR="0036058E">
        <w:rPr>
          <w:rFonts w:eastAsia="Times New Roman" w:cstheme="minorHAnsi"/>
        </w:rPr>
        <w:t xml:space="preserve"> aggravarsi </w:t>
      </w:r>
      <w:r w:rsidR="0036058E">
        <w:rPr>
          <w:rFonts w:eastAsia="Times New Roman" w:cstheme="minorHAnsi"/>
        </w:rPr>
        <w:lastRenderedPageBreak/>
        <w:t>ulteriormente</w:t>
      </w:r>
      <w:r w:rsidRPr="00D16EB6">
        <w:rPr>
          <w:rFonts w:eastAsia="Times New Roman" w:cstheme="minorHAnsi"/>
        </w:rPr>
        <w:t xml:space="preserve">, superando i </w:t>
      </w:r>
      <w:r w:rsidRPr="00D16EB6">
        <w:rPr>
          <w:rFonts w:eastAsia="Times New Roman" w:cstheme="minorHAnsi"/>
          <w:bCs/>
        </w:rPr>
        <w:t>300 milioni di euro</w:t>
      </w:r>
      <w:r w:rsidR="00D16EB6" w:rsidRPr="00D16EB6">
        <w:rPr>
          <w:rFonts w:eastAsia="Times New Roman" w:cstheme="minorHAnsi"/>
          <w:bCs/>
        </w:rPr>
        <w:t xml:space="preserve"> rispetto al 2021</w:t>
      </w:r>
      <w:r w:rsidR="00FC49A5">
        <w:rPr>
          <w:rFonts w:eastAsia="Times New Roman" w:cstheme="minorHAnsi"/>
          <w:bCs/>
        </w:rPr>
        <w:t xml:space="preserve"> </w:t>
      </w:r>
      <w:r w:rsidR="00FC49A5">
        <w:t>(</w:t>
      </w:r>
      <w:r w:rsidR="00FC49A5" w:rsidRPr="00FC49A5">
        <w:rPr>
          <w:highlight w:val="yellow"/>
        </w:rPr>
        <w:t>figura 2</w:t>
      </w:r>
      <w:r w:rsidR="00FC49A5">
        <w:t>)</w:t>
      </w:r>
      <w:r w:rsidR="0036058E">
        <w:rPr>
          <w:rFonts w:eastAsia="Times New Roman" w:cstheme="minorHAnsi"/>
          <w:bCs/>
        </w:rPr>
        <w:t>.</w:t>
      </w:r>
      <w:r w:rsidR="006A3BEE">
        <w:rPr>
          <w:rFonts w:eastAsia="Times New Roman" w:cstheme="minorHAnsi"/>
        </w:rPr>
        <w:t xml:space="preserve"> </w:t>
      </w:r>
      <w:r w:rsidRPr="00D16EB6">
        <w:rPr>
          <w:rFonts w:eastAsia="Times New Roman" w:cstheme="minorHAnsi"/>
        </w:rPr>
        <w:t>«</w:t>
      </w:r>
      <w:r w:rsidRPr="00D16EB6">
        <w:rPr>
          <w:rFonts w:eastAsia="Times New Roman" w:cstheme="minorHAnsi"/>
          <w:bCs/>
        </w:rPr>
        <w:t>I dati della mobilità passiva mostrano un fenomeno ancora più complesso – spiega Cartabellotta – perché, oltre alla fuga di pazienti dal Sud, esiste anche una mobilità di prossimità</w:t>
      </w:r>
      <w:r w:rsidR="0036058E">
        <w:rPr>
          <w:rFonts w:eastAsia="Times New Roman" w:cstheme="minorHAnsi"/>
          <w:bCs/>
        </w:rPr>
        <w:t xml:space="preserve">. </w:t>
      </w:r>
      <w:r w:rsidR="006A3BEE">
        <w:rPr>
          <w:rFonts w:eastAsia="Times New Roman" w:cstheme="minorHAnsi"/>
          <w:bCs/>
        </w:rPr>
        <w:t>R</w:t>
      </w:r>
      <w:r w:rsidRPr="00D16EB6">
        <w:rPr>
          <w:rFonts w:eastAsia="Times New Roman" w:cstheme="minorHAnsi"/>
          <w:bCs/>
        </w:rPr>
        <w:t xml:space="preserve">egioni come </w:t>
      </w:r>
      <w:r w:rsidR="006A3BEE" w:rsidRPr="00D16EB6">
        <w:rPr>
          <w:rFonts w:eastAsia="Times New Roman" w:cstheme="minorHAnsi"/>
          <w:bCs/>
        </w:rPr>
        <w:t>Lombardia</w:t>
      </w:r>
      <w:r w:rsidR="006A3BEE">
        <w:rPr>
          <w:rFonts w:eastAsia="Times New Roman" w:cstheme="minorHAnsi"/>
          <w:bCs/>
        </w:rPr>
        <w:t xml:space="preserve">, </w:t>
      </w:r>
      <w:r w:rsidR="00D16EB6" w:rsidRPr="00D16EB6">
        <w:rPr>
          <w:rFonts w:eastAsia="Times New Roman" w:cstheme="minorHAnsi"/>
          <w:bCs/>
        </w:rPr>
        <w:t>Emilia-Romagna</w:t>
      </w:r>
      <w:r w:rsidR="006A3BEE">
        <w:rPr>
          <w:rFonts w:eastAsia="Times New Roman" w:cstheme="minorHAnsi"/>
          <w:bCs/>
        </w:rPr>
        <w:t xml:space="preserve"> e </w:t>
      </w:r>
      <w:r w:rsidR="00D16EB6" w:rsidRPr="00D16EB6">
        <w:rPr>
          <w:rFonts w:eastAsia="Times New Roman" w:cstheme="minorHAnsi"/>
          <w:bCs/>
        </w:rPr>
        <w:t xml:space="preserve">Veneto </w:t>
      </w:r>
      <w:r w:rsidRPr="00D16EB6">
        <w:rPr>
          <w:rFonts w:eastAsia="Times New Roman" w:cstheme="minorHAnsi"/>
          <w:bCs/>
        </w:rPr>
        <w:t xml:space="preserve">pur essendo molto attrattive, registrano </w:t>
      </w:r>
      <w:r w:rsidR="0036058E">
        <w:rPr>
          <w:rFonts w:eastAsia="Times New Roman" w:cstheme="minorHAnsi"/>
          <w:bCs/>
        </w:rPr>
        <w:t xml:space="preserve">comunque </w:t>
      </w:r>
      <w:r w:rsidR="00D16EB6" w:rsidRPr="00D16EB6">
        <w:rPr>
          <w:rFonts w:eastAsia="Times New Roman" w:cstheme="minorHAnsi"/>
          <w:bCs/>
        </w:rPr>
        <w:t>una mobilità passiva</w:t>
      </w:r>
      <w:r w:rsidRPr="00D16EB6">
        <w:rPr>
          <w:rFonts w:eastAsia="Times New Roman" w:cstheme="minorHAnsi"/>
          <w:bCs/>
        </w:rPr>
        <w:t xml:space="preserve"> </w:t>
      </w:r>
      <w:r w:rsidR="00160C67">
        <w:rPr>
          <w:rFonts w:eastAsia="Times New Roman" w:cstheme="minorHAnsi"/>
          <w:bCs/>
        </w:rPr>
        <w:t>rilevante</w:t>
      </w:r>
      <w:r w:rsidR="0036058E" w:rsidRPr="00F812AE">
        <w:rPr>
          <w:rFonts w:eastAsia="Times New Roman" w:cstheme="minorHAnsi"/>
          <w:bCs/>
        </w:rPr>
        <w:t xml:space="preserve">. Questo dimostra </w:t>
      </w:r>
      <w:r w:rsidR="00F812AE" w:rsidRPr="00F812AE">
        <w:rPr>
          <w:rFonts w:eastAsia="Times New Roman" w:cstheme="minorHAnsi"/>
          <w:bCs/>
        </w:rPr>
        <w:t xml:space="preserve">l’elevata circolazione di </w:t>
      </w:r>
      <w:r w:rsidR="00F812AE">
        <w:rPr>
          <w:rFonts w:eastAsia="Times New Roman" w:cstheme="minorHAnsi"/>
          <w:bCs/>
        </w:rPr>
        <w:t>pazienti</w:t>
      </w:r>
      <w:r w:rsidRPr="00F812AE">
        <w:rPr>
          <w:rFonts w:eastAsia="Times New Roman" w:cstheme="minorHAnsi"/>
          <w:bCs/>
        </w:rPr>
        <w:t xml:space="preserve"> </w:t>
      </w:r>
      <w:r w:rsidR="00D16EB6" w:rsidRPr="00F812AE">
        <w:rPr>
          <w:rFonts w:eastAsia="Times New Roman" w:cstheme="minorHAnsi"/>
          <w:bCs/>
        </w:rPr>
        <w:t xml:space="preserve">verso </w:t>
      </w:r>
      <w:r w:rsidR="006A3BEE" w:rsidRPr="00F812AE">
        <w:rPr>
          <w:rFonts w:eastAsia="Times New Roman" w:cstheme="minorHAnsi"/>
          <w:bCs/>
        </w:rPr>
        <w:t>R</w:t>
      </w:r>
      <w:r w:rsidR="00D16EB6" w:rsidRPr="00F812AE">
        <w:rPr>
          <w:rFonts w:eastAsia="Times New Roman" w:cstheme="minorHAnsi"/>
          <w:bCs/>
        </w:rPr>
        <w:t xml:space="preserve">egioni </w:t>
      </w:r>
      <w:r w:rsidR="006A3BEE" w:rsidRPr="00F812AE">
        <w:rPr>
          <w:rFonts w:eastAsia="Times New Roman" w:cstheme="minorHAnsi"/>
          <w:bCs/>
        </w:rPr>
        <w:t xml:space="preserve">vicine </w:t>
      </w:r>
      <w:r w:rsidR="00F812AE" w:rsidRPr="00F812AE">
        <w:rPr>
          <w:rFonts w:eastAsia="Times New Roman" w:cstheme="minorHAnsi"/>
          <w:bCs/>
        </w:rPr>
        <w:t xml:space="preserve">con </w:t>
      </w:r>
      <w:r w:rsidR="0036058E" w:rsidRPr="00F812AE">
        <w:rPr>
          <w:rFonts w:eastAsia="Times New Roman" w:cstheme="minorHAnsi"/>
        </w:rPr>
        <w:t>offerta sanitaria di qualità elevata</w:t>
      </w:r>
      <w:r w:rsidRPr="00F812AE">
        <w:rPr>
          <w:rFonts w:eastAsia="Times New Roman" w:cstheme="minorHAnsi"/>
          <w:bCs/>
        </w:rPr>
        <w:t>»</w:t>
      </w:r>
      <w:r w:rsidRPr="00F812AE">
        <w:rPr>
          <w:rFonts w:eastAsia="Times New Roman" w:cstheme="minorHAnsi"/>
        </w:rPr>
        <w:t>.</w:t>
      </w:r>
    </w:p>
    <w:p w14:paraId="5CDAC84B" w14:textId="219D63DF" w:rsidR="00BE3D30" w:rsidRPr="0058232D" w:rsidRDefault="006A3BEE" w:rsidP="00BE3D30">
      <w:pPr>
        <w:jc w:val="both"/>
        <w:rPr>
          <w:b/>
        </w:rPr>
      </w:pPr>
      <w:r>
        <w:rPr>
          <w:b/>
        </w:rPr>
        <w:t xml:space="preserve">SALDI </w:t>
      </w:r>
      <w:r w:rsidRPr="00FC49A5">
        <w:rPr>
          <w:b/>
        </w:rPr>
        <w:t>REGIONALI,</w:t>
      </w:r>
      <w:r>
        <w:rPr>
          <w:b/>
        </w:rPr>
        <w:t xml:space="preserve"> i </w:t>
      </w:r>
      <w:r w:rsidR="00BE3D30" w:rsidRPr="00BE3D30">
        <w:rPr>
          <w:rFonts w:eastAsia="Times New Roman" w:cstheme="minorHAnsi"/>
          <w:b/>
        </w:rPr>
        <w:t>dati in dettaglio</w:t>
      </w:r>
      <w:r w:rsidR="00FC49A5">
        <w:rPr>
          <w:rFonts w:eastAsia="Times New Roman" w:cstheme="minorHAnsi"/>
          <w:b/>
        </w:rPr>
        <w:t xml:space="preserve"> </w:t>
      </w:r>
      <w:r w:rsidR="00FC49A5" w:rsidRPr="00FC49A5">
        <w:rPr>
          <w:b/>
        </w:rPr>
        <w:t>(</w:t>
      </w:r>
      <w:r w:rsidR="00FC49A5" w:rsidRPr="00FC49A5">
        <w:rPr>
          <w:b/>
          <w:highlight w:val="yellow"/>
        </w:rPr>
        <w:t>figura 3</w:t>
      </w:r>
      <w:r w:rsidR="00FC49A5" w:rsidRPr="00FC49A5">
        <w:rPr>
          <w:b/>
        </w:rPr>
        <w:t>)</w:t>
      </w:r>
      <w:r w:rsidR="00BE3D30" w:rsidRPr="00BE3D30">
        <w:rPr>
          <w:b/>
        </w:rPr>
        <w:t>:</w:t>
      </w:r>
    </w:p>
    <w:p w14:paraId="5042C6BA" w14:textId="77777777" w:rsidR="00BE3D30" w:rsidRPr="002634B7" w:rsidRDefault="00BE3D30" w:rsidP="00BE3D3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positivo rilevante</w:t>
      </w:r>
      <w:r w:rsidRPr="002634B7">
        <w:rPr>
          <w:rFonts w:asciiTheme="minorHAnsi" w:hAnsiTheme="minorHAnsi" w:cstheme="minorHAnsi"/>
        </w:rPr>
        <w:t xml:space="preserve">: Lombardia (€ </w:t>
      </w:r>
      <w:r w:rsidRPr="002634B7">
        <w:rPr>
          <w:rFonts w:asciiTheme="minorHAnsi" w:hAnsiTheme="minorHAnsi" w:cstheme="minorHAnsi"/>
          <w:color w:val="000000"/>
        </w:rPr>
        <w:t xml:space="preserve">623,6 </w:t>
      </w:r>
      <w:r w:rsidRPr="002634B7">
        <w:rPr>
          <w:rFonts w:asciiTheme="minorHAnsi" w:hAnsiTheme="minorHAnsi" w:cstheme="minorHAnsi"/>
        </w:rPr>
        <w:t xml:space="preserve">milioni), Emilia-Romagna (€ </w:t>
      </w:r>
      <w:r w:rsidRPr="002634B7">
        <w:rPr>
          <w:rFonts w:asciiTheme="minorHAnsi" w:hAnsiTheme="minorHAnsi" w:cstheme="minorHAnsi"/>
          <w:color w:val="000000"/>
        </w:rPr>
        <w:t>525,4</w:t>
      </w:r>
      <w:r w:rsidRPr="002634B7">
        <w:rPr>
          <w:rFonts w:asciiTheme="minorHAnsi" w:hAnsiTheme="minorHAnsi" w:cstheme="minorHAnsi"/>
        </w:rPr>
        <w:t xml:space="preserve"> milioni) e Veneto (€ </w:t>
      </w:r>
      <w:r w:rsidRPr="002634B7">
        <w:rPr>
          <w:rFonts w:asciiTheme="minorHAnsi" w:hAnsiTheme="minorHAnsi" w:cstheme="minorHAnsi"/>
          <w:color w:val="000000"/>
        </w:rPr>
        <w:t xml:space="preserve">198,2 </w:t>
      </w:r>
      <w:r w:rsidRPr="002634B7">
        <w:rPr>
          <w:rFonts w:asciiTheme="minorHAnsi" w:hAnsiTheme="minorHAnsi" w:cstheme="minorHAnsi"/>
        </w:rPr>
        <w:t xml:space="preserve">milioni) </w:t>
      </w:r>
    </w:p>
    <w:p w14:paraId="2CCEB379" w14:textId="77777777" w:rsidR="00BE3D30" w:rsidRPr="002634B7" w:rsidRDefault="00BE3D30" w:rsidP="00BE3D3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positivo moderato</w:t>
      </w:r>
      <w:r w:rsidRPr="002634B7">
        <w:rPr>
          <w:rFonts w:asciiTheme="minorHAnsi" w:hAnsiTheme="minorHAnsi" w:cstheme="minorHAnsi"/>
        </w:rPr>
        <w:t xml:space="preserve">: Toscana (€ </w:t>
      </w:r>
      <w:r w:rsidRPr="002634B7">
        <w:rPr>
          <w:rFonts w:asciiTheme="minorHAnsi" w:hAnsiTheme="minorHAnsi" w:cstheme="minorHAnsi"/>
          <w:color w:val="000000"/>
        </w:rPr>
        <w:t xml:space="preserve">49,3 </w:t>
      </w:r>
      <w:r w:rsidRPr="002634B7">
        <w:rPr>
          <w:rFonts w:asciiTheme="minorHAnsi" w:hAnsiTheme="minorHAnsi" w:cstheme="minorHAnsi"/>
        </w:rPr>
        <w:t xml:space="preserve">milioni) e Molise (€ </w:t>
      </w:r>
      <w:r w:rsidRPr="002634B7">
        <w:rPr>
          <w:rFonts w:asciiTheme="minorHAnsi" w:hAnsiTheme="minorHAnsi" w:cstheme="minorHAnsi"/>
          <w:color w:val="000000"/>
        </w:rPr>
        <w:t xml:space="preserve">26,4 </w:t>
      </w:r>
      <w:r w:rsidRPr="002634B7">
        <w:rPr>
          <w:rFonts w:asciiTheme="minorHAnsi" w:hAnsiTheme="minorHAnsi" w:cstheme="minorHAnsi"/>
        </w:rPr>
        <w:t>milioni)</w:t>
      </w:r>
    </w:p>
    <w:p w14:paraId="10C80400" w14:textId="77777777" w:rsidR="00BE3D30" w:rsidRPr="002634B7" w:rsidRDefault="00BE3D30" w:rsidP="00BE3D3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positivo minimo</w:t>
      </w:r>
      <w:r w:rsidRPr="002634B7">
        <w:rPr>
          <w:rFonts w:asciiTheme="minorHAnsi" w:hAnsiTheme="minorHAnsi" w:cstheme="minorHAnsi"/>
        </w:rPr>
        <w:t xml:space="preserve">: Provincia autonoma di Trento (€ </w:t>
      </w:r>
      <w:r w:rsidRPr="002634B7">
        <w:rPr>
          <w:rFonts w:asciiTheme="minorHAnsi" w:hAnsiTheme="minorHAnsi" w:cstheme="minorHAnsi"/>
          <w:color w:val="000000"/>
        </w:rPr>
        <w:t xml:space="preserve">7,1 </w:t>
      </w:r>
      <w:r w:rsidRPr="002634B7">
        <w:rPr>
          <w:rFonts w:asciiTheme="minorHAnsi" w:hAnsiTheme="minorHAnsi" w:cstheme="minorHAnsi"/>
        </w:rPr>
        <w:t xml:space="preserve">milioni), Provincia autonoma di Bolzano (€ </w:t>
      </w:r>
      <w:r w:rsidRPr="002634B7">
        <w:rPr>
          <w:rFonts w:asciiTheme="minorHAnsi" w:hAnsiTheme="minorHAnsi" w:cstheme="minorHAnsi"/>
          <w:color w:val="000000"/>
        </w:rPr>
        <w:t xml:space="preserve">2,2 </w:t>
      </w:r>
      <w:r w:rsidRPr="002634B7">
        <w:rPr>
          <w:rFonts w:asciiTheme="minorHAnsi" w:hAnsiTheme="minorHAnsi" w:cstheme="minorHAnsi"/>
        </w:rPr>
        <w:t>milioni)</w:t>
      </w:r>
    </w:p>
    <w:p w14:paraId="644E1BB6" w14:textId="77777777" w:rsidR="00BE3D30" w:rsidRPr="002634B7" w:rsidRDefault="00BE3D30" w:rsidP="00BE3D3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negativo minimo</w:t>
      </w:r>
      <w:r w:rsidRPr="002634B7">
        <w:rPr>
          <w:rFonts w:asciiTheme="minorHAnsi" w:hAnsiTheme="minorHAnsi" w:cstheme="minorHAnsi"/>
        </w:rPr>
        <w:t xml:space="preserve">: Piemonte (-€ </w:t>
      </w:r>
      <w:r w:rsidRPr="002634B7">
        <w:rPr>
          <w:rFonts w:asciiTheme="minorHAnsi" w:hAnsiTheme="minorHAnsi" w:cstheme="minorHAnsi"/>
          <w:color w:val="000000"/>
        </w:rPr>
        <w:t xml:space="preserve">6,3 </w:t>
      </w:r>
      <w:r w:rsidRPr="002634B7">
        <w:rPr>
          <w:rFonts w:asciiTheme="minorHAnsi" w:hAnsiTheme="minorHAnsi" w:cstheme="minorHAnsi"/>
        </w:rPr>
        <w:t xml:space="preserve">milioni), Friuli Venezia Giulia (-€ </w:t>
      </w:r>
      <w:r w:rsidRPr="002634B7">
        <w:rPr>
          <w:rFonts w:asciiTheme="minorHAnsi" w:hAnsiTheme="minorHAnsi" w:cstheme="minorHAnsi"/>
          <w:color w:val="000000"/>
        </w:rPr>
        <w:t>11,8</w:t>
      </w:r>
      <w:r w:rsidRPr="002634B7">
        <w:rPr>
          <w:rFonts w:asciiTheme="minorHAnsi" w:hAnsiTheme="minorHAnsi" w:cstheme="minorHAnsi"/>
        </w:rPr>
        <w:t xml:space="preserve"> milioni), Valle d’Aosta (-€ </w:t>
      </w:r>
      <w:r w:rsidRPr="002634B7">
        <w:rPr>
          <w:rFonts w:asciiTheme="minorHAnsi" w:hAnsiTheme="minorHAnsi" w:cstheme="minorHAnsi"/>
          <w:color w:val="000000"/>
        </w:rPr>
        <w:t xml:space="preserve">11,9 </w:t>
      </w:r>
      <w:r w:rsidRPr="002634B7">
        <w:rPr>
          <w:rFonts w:asciiTheme="minorHAnsi" w:hAnsiTheme="minorHAnsi" w:cstheme="minorHAnsi"/>
        </w:rPr>
        <w:t>milioni)</w:t>
      </w:r>
    </w:p>
    <w:p w14:paraId="2389F94C" w14:textId="77777777" w:rsidR="00BE3D30" w:rsidRPr="002634B7" w:rsidRDefault="00BE3D30" w:rsidP="00BE3D3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negativo moderato</w:t>
      </w:r>
      <w:r w:rsidRPr="002634B7">
        <w:rPr>
          <w:rFonts w:asciiTheme="minorHAnsi" w:hAnsiTheme="minorHAnsi" w:cstheme="minorHAnsi"/>
        </w:rPr>
        <w:t xml:space="preserve">: Umbria (-€ </w:t>
      </w:r>
      <w:r w:rsidRPr="002634B7">
        <w:rPr>
          <w:rFonts w:asciiTheme="minorHAnsi" w:hAnsiTheme="minorHAnsi" w:cstheme="minorHAnsi"/>
          <w:color w:val="000000"/>
        </w:rPr>
        <w:t xml:space="preserve">36,6 </w:t>
      </w:r>
      <w:r w:rsidRPr="002634B7">
        <w:rPr>
          <w:rFonts w:asciiTheme="minorHAnsi" w:hAnsiTheme="minorHAnsi" w:cstheme="minorHAnsi"/>
        </w:rPr>
        <w:t xml:space="preserve">milioni), Marche (-€ </w:t>
      </w:r>
      <w:r w:rsidRPr="002634B7">
        <w:rPr>
          <w:rFonts w:asciiTheme="minorHAnsi" w:hAnsiTheme="minorHAnsi" w:cstheme="minorHAnsi"/>
          <w:color w:val="000000"/>
        </w:rPr>
        <w:t xml:space="preserve">53,7 </w:t>
      </w:r>
      <w:r w:rsidRPr="002634B7">
        <w:rPr>
          <w:rFonts w:asciiTheme="minorHAnsi" w:hAnsiTheme="minorHAnsi" w:cstheme="minorHAnsi"/>
        </w:rPr>
        <w:t xml:space="preserve">milioni), Liguria (-€ </w:t>
      </w:r>
      <w:r w:rsidRPr="002634B7">
        <w:rPr>
          <w:rFonts w:asciiTheme="minorHAnsi" w:hAnsiTheme="minorHAnsi" w:cstheme="minorHAnsi"/>
          <w:color w:val="000000"/>
        </w:rPr>
        <w:t xml:space="preserve">74,6 </w:t>
      </w:r>
      <w:r w:rsidRPr="002634B7">
        <w:rPr>
          <w:rFonts w:asciiTheme="minorHAnsi" w:hAnsiTheme="minorHAnsi" w:cstheme="minorHAnsi"/>
        </w:rPr>
        <w:t xml:space="preserve">milioni), Basilicata (-€ </w:t>
      </w:r>
      <w:r w:rsidRPr="002634B7">
        <w:rPr>
          <w:rFonts w:asciiTheme="minorHAnsi" w:hAnsiTheme="minorHAnsi" w:cstheme="minorHAnsi"/>
          <w:color w:val="000000"/>
        </w:rPr>
        <w:t xml:space="preserve">80,8 </w:t>
      </w:r>
      <w:r w:rsidRPr="002634B7">
        <w:rPr>
          <w:rFonts w:asciiTheme="minorHAnsi" w:hAnsiTheme="minorHAnsi" w:cstheme="minorHAnsi"/>
        </w:rPr>
        <w:t xml:space="preserve">milioni) e Sardegna (-€ </w:t>
      </w:r>
      <w:r w:rsidRPr="002634B7">
        <w:rPr>
          <w:rFonts w:asciiTheme="minorHAnsi" w:hAnsiTheme="minorHAnsi" w:cstheme="minorHAnsi"/>
          <w:color w:val="000000"/>
        </w:rPr>
        <w:t xml:space="preserve">96,3 </w:t>
      </w:r>
      <w:r w:rsidRPr="002634B7">
        <w:rPr>
          <w:rFonts w:asciiTheme="minorHAnsi" w:hAnsiTheme="minorHAnsi" w:cstheme="minorHAnsi"/>
        </w:rPr>
        <w:t xml:space="preserve">milioni), </w:t>
      </w:r>
    </w:p>
    <w:p w14:paraId="7F2DACD3" w14:textId="77777777" w:rsidR="00BE3D30" w:rsidRDefault="00BE3D30" w:rsidP="00BE3D30">
      <w:pPr>
        <w:pStyle w:val="Paragrafoelenco"/>
        <w:numPr>
          <w:ilvl w:val="0"/>
          <w:numId w:val="1"/>
        </w:numPr>
        <w:spacing w:after="200" w:line="276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2634B7">
        <w:rPr>
          <w:rFonts w:asciiTheme="minorHAnsi" w:hAnsiTheme="minorHAnsi" w:cstheme="minorHAnsi"/>
          <w:b/>
        </w:rPr>
        <w:t>Saldo negativo rilevante</w:t>
      </w:r>
      <w:r w:rsidRPr="002634B7">
        <w:rPr>
          <w:rFonts w:asciiTheme="minorHAnsi" w:hAnsiTheme="minorHAnsi" w:cstheme="minorHAnsi"/>
        </w:rPr>
        <w:t xml:space="preserve">: Abruzzo (-€ </w:t>
      </w:r>
      <w:r w:rsidRPr="002634B7">
        <w:rPr>
          <w:rFonts w:asciiTheme="minorHAnsi" w:hAnsiTheme="minorHAnsi" w:cstheme="minorHAnsi"/>
          <w:color w:val="000000"/>
        </w:rPr>
        <w:t xml:space="preserve">104,1 </w:t>
      </w:r>
      <w:r w:rsidRPr="002634B7">
        <w:rPr>
          <w:rFonts w:asciiTheme="minorHAnsi" w:hAnsiTheme="minorHAnsi" w:cstheme="minorHAnsi"/>
        </w:rPr>
        <w:t xml:space="preserve">milioni), Lazio (-€ </w:t>
      </w:r>
      <w:r w:rsidRPr="002634B7">
        <w:rPr>
          <w:rFonts w:asciiTheme="minorHAnsi" w:hAnsiTheme="minorHAnsi" w:cstheme="minorHAnsi"/>
          <w:color w:val="000000"/>
        </w:rPr>
        <w:t xml:space="preserve">193,4 </w:t>
      </w:r>
      <w:r w:rsidRPr="002634B7">
        <w:rPr>
          <w:rFonts w:asciiTheme="minorHAnsi" w:hAnsiTheme="minorHAnsi" w:cstheme="minorHAnsi"/>
        </w:rPr>
        <w:t xml:space="preserve">milioni), Puglia (-€ </w:t>
      </w:r>
      <w:r w:rsidRPr="002634B7">
        <w:rPr>
          <w:rFonts w:asciiTheme="minorHAnsi" w:hAnsiTheme="minorHAnsi" w:cstheme="minorHAnsi"/>
          <w:color w:val="000000"/>
        </w:rPr>
        <w:t xml:space="preserve">230,2 </w:t>
      </w:r>
      <w:r w:rsidRPr="002634B7">
        <w:rPr>
          <w:rFonts w:asciiTheme="minorHAnsi" w:hAnsiTheme="minorHAnsi" w:cstheme="minorHAnsi"/>
        </w:rPr>
        <w:t xml:space="preserve">milioni), Sicilia (-€ </w:t>
      </w:r>
      <w:r w:rsidRPr="002634B7">
        <w:rPr>
          <w:rFonts w:asciiTheme="minorHAnsi" w:hAnsiTheme="minorHAnsi" w:cstheme="minorHAnsi"/>
          <w:color w:val="000000"/>
        </w:rPr>
        <w:t xml:space="preserve">241,8 </w:t>
      </w:r>
      <w:r w:rsidRPr="002634B7">
        <w:rPr>
          <w:rFonts w:asciiTheme="minorHAnsi" w:hAnsiTheme="minorHAnsi" w:cstheme="minorHAnsi"/>
        </w:rPr>
        <w:t xml:space="preserve">milioni), Calabria (-€ </w:t>
      </w:r>
      <w:r w:rsidRPr="002634B7">
        <w:rPr>
          <w:rFonts w:asciiTheme="minorHAnsi" w:hAnsiTheme="minorHAnsi" w:cstheme="minorHAnsi"/>
          <w:color w:val="000000"/>
        </w:rPr>
        <w:t>304,8</w:t>
      </w:r>
      <w:r w:rsidRPr="002634B7">
        <w:rPr>
          <w:rFonts w:asciiTheme="minorHAnsi" w:hAnsiTheme="minorHAnsi" w:cstheme="minorHAnsi"/>
        </w:rPr>
        <w:t xml:space="preserve">) e Campania (-€ </w:t>
      </w:r>
      <w:r w:rsidRPr="002634B7">
        <w:rPr>
          <w:rFonts w:asciiTheme="minorHAnsi" w:hAnsiTheme="minorHAnsi" w:cstheme="minorHAnsi"/>
          <w:color w:val="000000"/>
        </w:rPr>
        <w:t xml:space="preserve">308,4 </w:t>
      </w:r>
      <w:r w:rsidRPr="002634B7">
        <w:rPr>
          <w:rFonts w:asciiTheme="minorHAnsi" w:hAnsiTheme="minorHAnsi" w:cstheme="minorHAnsi"/>
        </w:rPr>
        <w:t>milioni).</w:t>
      </w:r>
    </w:p>
    <w:p w14:paraId="66AA7A2C" w14:textId="23D0EEA0" w:rsidR="008E6184" w:rsidRPr="008E6184" w:rsidRDefault="00BE3D30" w:rsidP="000140CD">
      <w:pPr>
        <w:jc w:val="both"/>
        <w:rPr>
          <w:rFonts w:eastAsia="Times New Roman" w:cstheme="minorHAnsi"/>
          <w:bCs/>
        </w:rPr>
      </w:pPr>
      <w:r w:rsidRPr="00BE3D30">
        <w:rPr>
          <w:rFonts w:eastAsia="Times New Roman" w:cstheme="minorHAnsi"/>
          <w:bCs/>
        </w:rPr>
        <w:t>«</w:t>
      </w:r>
      <w:r w:rsidR="00D9539C">
        <w:rPr>
          <w:rFonts w:eastAsia="Times New Roman" w:cstheme="minorHAnsi"/>
          <w:bCs/>
        </w:rPr>
        <w:t>Questi</w:t>
      </w:r>
      <w:r w:rsidRPr="00BE3D30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valori </w:t>
      </w:r>
      <w:r w:rsidRPr="00BE3D30">
        <w:rPr>
          <w:rFonts w:eastAsia="Times New Roman" w:cstheme="minorHAnsi"/>
          <w:bCs/>
        </w:rPr>
        <w:t>– commenta il Presidente – confermano</w:t>
      </w:r>
      <w:r w:rsidR="00D9539C">
        <w:rPr>
          <w:rFonts w:eastAsia="Times New Roman" w:cstheme="minorHAnsi"/>
          <w:bCs/>
        </w:rPr>
        <w:t xml:space="preserve"> che</w:t>
      </w:r>
      <w:r w:rsidRPr="00BE3D30">
        <w:rPr>
          <w:rFonts w:eastAsia="Times New Roman" w:cstheme="minorHAnsi"/>
          <w:bCs/>
        </w:rPr>
        <w:t xml:space="preserve"> tra Nord e Sud</w:t>
      </w:r>
      <w:r w:rsidR="00D9539C">
        <w:rPr>
          <w:rFonts w:eastAsia="Times New Roman" w:cstheme="minorHAnsi"/>
          <w:bCs/>
        </w:rPr>
        <w:t xml:space="preserve"> </w:t>
      </w:r>
      <w:r w:rsidR="00D9539C" w:rsidRPr="00D9539C">
        <w:rPr>
          <w:rFonts w:eastAsia="Times New Roman" w:cstheme="minorHAnsi"/>
          <w:bCs/>
        </w:rPr>
        <w:t xml:space="preserve">non </w:t>
      </w:r>
      <w:r w:rsidR="00C364D1">
        <w:rPr>
          <w:rFonts w:eastAsia="Times New Roman" w:cstheme="minorHAnsi"/>
          <w:bCs/>
        </w:rPr>
        <w:t>c’</w:t>
      </w:r>
      <w:r w:rsidR="00D9539C" w:rsidRPr="00D9539C">
        <w:rPr>
          <w:rFonts w:eastAsia="Times New Roman" w:cstheme="minorHAnsi"/>
          <w:bCs/>
        </w:rPr>
        <w:t>è più solo un divario, ma un</w:t>
      </w:r>
      <w:r w:rsidR="00C364D1">
        <w:rPr>
          <w:rFonts w:eastAsia="Times New Roman" w:cstheme="minorHAnsi"/>
          <w:bCs/>
        </w:rPr>
        <w:t>’enorme</w:t>
      </w:r>
      <w:r w:rsidR="00D9539C" w:rsidRPr="00D9539C">
        <w:rPr>
          <w:rFonts w:eastAsia="Times New Roman" w:cstheme="minorHAnsi"/>
          <w:bCs/>
        </w:rPr>
        <w:t xml:space="preserve"> </w:t>
      </w:r>
      <w:r w:rsidR="00C364D1">
        <w:rPr>
          <w:rFonts w:eastAsia="Times New Roman" w:cstheme="minorHAnsi"/>
          <w:bCs/>
        </w:rPr>
        <w:t>frattura</w:t>
      </w:r>
      <w:r w:rsidR="00D9539C" w:rsidRPr="00D9539C">
        <w:rPr>
          <w:rFonts w:eastAsia="Times New Roman" w:cstheme="minorHAnsi"/>
          <w:bCs/>
        </w:rPr>
        <w:t xml:space="preserve"> strutturale</w:t>
      </w:r>
      <w:r w:rsidR="00D9539C">
        <w:rPr>
          <w:rFonts w:eastAsia="Times New Roman" w:cstheme="minorHAnsi"/>
          <w:bCs/>
        </w:rPr>
        <w:t>. Le uniche</w:t>
      </w:r>
      <w:r w:rsidRPr="00BE3D30">
        <w:rPr>
          <w:rFonts w:eastAsia="Times New Roman" w:cstheme="minorHAnsi"/>
          <w:bCs/>
        </w:rPr>
        <w:t xml:space="preserve"> Regioni con </w:t>
      </w:r>
      <w:r w:rsidR="00D9539C">
        <w:rPr>
          <w:rFonts w:eastAsia="Times New Roman" w:cstheme="minorHAnsi"/>
          <w:bCs/>
        </w:rPr>
        <w:t xml:space="preserve">un </w:t>
      </w:r>
      <w:r w:rsidRPr="00BE3D30">
        <w:rPr>
          <w:rFonts w:eastAsia="Times New Roman" w:cstheme="minorHAnsi"/>
          <w:bCs/>
        </w:rPr>
        <w:t xml:space="preserve">saldo positivo superiore a € </w:t>
      </w:r>
      <w:r w:rsidR="004B6E0D">
        <w:rPr>
          <w:rFonts w:eastAsia="Times New Roman" w:cstheme="minorHAnsi"/>
          <w:bCs/>
        </w:rPr>
        <w:t>1</w:t>
      </w:r>
      <w:r w:rsidRPr="00BE3D30">
        <w:rPr>
          <w:rFonts w:eastAsia="Times New Roman" w:cstheme="minorHAnsi"/>
          <w:bCs/>
        </w:rPr>
        <w:t xml:space="preserve">00 milioni </w:t>
      </w:r>
      <w:r w:rsidR="00164E2C">
        <w:rPr>
          <w:rFonts w:eastAsia="Times New Roman" w:cstheme="minorHAnsi"/>
          <w:bCs/>
        </w:rPr>
        <w:t>si trovano tutte al</w:t>
      </w:r>
      <w:r w:rsidRPr="00BE3D30">
        <w:rPr>
          <w:rFonts w:eastAsia="Times New Roman" w:cstheme="minorHAnsi"/>
          <w:bCs/>
        </w:rPr>
        <w:t xml:space="preserve"> Nord, mentre quelle con </w:t>
      </w:r>
      <w:r w:rsidR="00164E2C">
        <w:rPr>
          <w:rFonts w:eastAsia="Times New Roman" w:cstheme="minorHAnsi"/>
          <w:bCs/>
        </w:rPr>
        <w:t xml:space="preserve">un </w:t>
      </w:r>
      <w:r w:rsidRPr="00BE3D30">
        <w:rPr>
          <w:rFonts w:eastAsia="Times New Roman" w:cstheme="minorHAnsi"/>
          <w:bCs/>
        </w:rPr>
        <w:t xml:space="preserve">saldo negativo maggiore di € 100 milioni </w:t>
      </w:r>
      <w:r w:rsidR="00160C67">
        <w:rPr>
          <w:rFonts w:eastAsia="Times New Roman" w:cstheme="minorHAnsi"/>
          <w:bCs/>
        </w:rPr>
        <w:t>s</w:t>
      </w:r>
      <w:r w:rsidR="00164E2C">
        <w:rPr>
          <w:rFonts w:eastAsia="Times New Roman" w:cstheme="minorHAnsi"/>
          <w:bCs/>
        </w:rPr>
        <w:t>ono concentrate</w:t>
      </w:r>
      <w:r w:rsidRPr="00BE3D30">
        <w:rPr>
          <w:rFonts w:eastAsia="Times New Roman" w:cstheme="minorHAnsi"/>
          <w:bCs/>
        </w:rPr>
        <w:t xml:space="preserve"> </w:t>
      </w:r>
      <w:r w:rsidR="006A3BEE">
        <w:rPr>
          <w:rFonts w:eastAsia="Times New Roman" w:cstheme="minorHAnsi"/>
          <w:bCs/>
        </w:rPr>
        <w:t xml:space="preserve">nel </w:t>
      </w:r>
      <w:r w:rsidR="004B6E0D">
        <w:rPr>
          <w:rFonts w:eastAsia="Times New Roman" w:cstheme="minorHAnsi"/>
          <w:bCs/>
        </w:rPr>
        <w:t xml:space="preserve">Mezzogiorno, </w:t>
      </w:r>
      <w:r w:rsidR="00164E2C">
        <w:rPr>
          <w:rFonts w:eastAsia="Times New Roman" w:cstheme="minorHAnsi"/>
          <w:bCs/>
        </w:rPr>
        <w:t>con l’unica eccezione del</w:t>
      </w:r>
      <w:r w:rsidR="004B6E0D">
        <w:rPr>
          <w:rFonts w:eastAsia="Times New Roman" w:cstheme="minorHAnsi"/>
          <w:bCs/>
        </w:rPr>
        <w:t xml:space="preserve"> </w:t>
      </w:r>
      <w:r w:rsidR="004B6E0D" w:rsidRPr="008E6184">
        <w:rPr>
          <w:rFonts w:eastAsia="Times New Roman" w:cstheme="minorHAnsi"/>
          <w:bCs/>
        </w:rPr>
        <w:t>Lazio</w:t>
      </w:r>
      <w:r w:rsidR="00C364D1" w:rsidRPr="008E6184">
        <w:rPr>
          <w:rFonts w:eastAsia="Times New Roman" w:cstheme="minorHAnsi"/>
          <w:bCs/>
        </w:rPr>
        <w:t xml:space="preserve">. Peraltro, </w:t>
      </w:r>
      <w:r w:rsidR="00924547" w:rsidRPr="008E6184">
        <w:rPr>
          <w:rFonts w:eastAsia="Times New Roman" w:cstheme="minorHAnsi"/>
          <w:bCs/>
        </w:rPr>
        <w:t>le nostre analisi dimostrano</w:t>
      </w:r>
      <w:r w:rsidR="00711E5F" w:rsidRPr="008E6184">
        <w:rPr>
          <w:rFonts w:eastAsia="Times New Roman" w:cstheme="minorHAnsi"/>
          <w:bCs/>
        </w:rPr>
        <w:t xml:space="preserve"> la stretta </w:t>
      </w:r>
      <w:r w:rsidR="00C364D1" w:rsidRPr="008E6184">
        <w:rPr>
          <w:rFonts w:eastAsia="Times New Roman" w:cstheme="minorHAnsi"/>
        </w:rPr>
        <w:t>correlazione tra adempimenti LEA e saldi di mobilità sanitaria</w:t>
      </w:r>
      <w:r w:rsidRPr="008E6184">
        <w:rPr>
          <w:rFonts w:eastAsia="Times New Roman" w:cstheme="minorHAnsi"/>
          <w:bCs/>
        </w:rPr>
        <w:t>».</w:t>
      </w:r>
      <w:r w:rsidR="00BC5ADA" w:rsidRPr="008E6184">
        <w:rPr>
          <w:rFonts w:eastAsia="Times New Roman" w:cstheme="minorHAnsi"/>
          <w:bCs/>
        </w:rPr>
        <w:t xml:space="preserve"> </w:t>
      </w:r>
      <w:r w:rsidR="00A0448D" w:rsidRPr="008E6184">
        <w:rPr>
          <w:rFonts w:eastAsia="Times New Roman" w:cstheme="minorHAnsi"/>
          <w:bCs/>
        </w:rPr>
        <w:t xml:space="preserve">Infatti, </w:t>
      </w:r>
      <w:r w:rsidR="00BC5ADA" w:rsidRPr="008E6184">
        <w:rPr>
          <w:rFonts w:eastAsia="Times New Roman" w:cstheme="minorHAnsi"/>
        </w:rPr>
        <w:t xml:space="preserve">le prime cinque Regioni per punteggio totale LEA </w:t>
      </w:r>
      <w:r w:rsidR="000140CD" w:rsidRPr="008E6184">
        <w:rPr>
          <w:rFonts w:eastAsia="Times New Roman" w:cstheme="minorHAnsi"/>
        </w:rPr>
        <w:t>rientrano tra le</w:t>
      </w:r>
      <w:r w:rsidR="00135252" w:rsidRPr="008E6184">
        <w:rPr>
          <w:rFonts w:eastAsia="Times New Roman" w:cstheme="minorHAnsi"/>
        </w:rPr>
        <w:t xml:space="preserve"> </w:t>
      </w:r>
      <w:r w:rsidR="00BC5ADA" w:rsidRPr="008E6184">
        <w:rPr>
          <w:rFonts w:eastAsia="Times New Roman" w:cstheme="minorHAnsi"/>
        </w:rPr>
        <w:t>prime sei per saldo di mobilità</w:t>
      </w:r>
      <w:r w:rsidR="000140CD" w:rsidRPr="008E6184">
        <w:rPr>
          <w:rFonts w:eastAsia="Times New Roman" w:cstheme="minorHAnsi"/>
        </w:rPr>
        <w:t>, mentre</w:t>
      </w:r>
      <w:r w:rsidR="00A0448D" w:rsidRPr="008E6184">
        <w:rPr>
          <w:rFonts w:eastAsia="Times New Roman" w:cstheme="minorHAnsi"/>
        </w:rPr>
        <w:t xml:space="preserve"> </w:t>
      </w:r>
      <w:r w:rsidR="00BC5ADA" w:rsidRPr="008E6184">
        <w:rPr>
          <w:rFonts w:eastAsia="Times New Roman" w:cstheme="minorHAnsi"/>
        </w:rPr>
        <w:t xml:space="preserve">quasi tutte le Regioni con </w:t>
      </w:r>
      <w:r w:rsidR="000140CD" w:rsidRPr="008E6184">
        <w:rPr>
          <w:rFonts w:eastAsia="Times New Roman" w:cstheme="minorHAnsi"/>
        </w:rPr>
        <w:t xml:space="preserve">un </w:t>
      </w:r>
      <w:r w:rsidR="00BC5ADA" w:rsidRPr="008E6184">
        <w:rPr>
          <w:rFonts w:eastAsia="Times New Roman" w:cstheme="minorHAnsi"/>
        </w:rPr>
        <w:t xml:space="preserve">punteggio totale LEA inferiore alla media nazionale </w:t>
      </w:r>
      <w:r w:rsidR="008B6594" w:rsidRPr="008E6184">
        <w:rPr>
          <w:rFonts w:eastAsia="Times New Roman" w:cstheme="minorHAnsi"/>
        </w:rPr>
        <w:t xml:space="preserve">registrano </w:t>
      </w:r>
      <w:r w:rsidR="00BC5ADA" w:rsidRPr="008E6184">
        <w:rPr>
          <w:rFonts w:eastAsia="Times New Roman" w:cstheme="minorHAnsi"/>
        </w:rPr>
        <w:t>saldi di mobilità negativi.</w:t>
      </w:r>
      <w:r w:rsidR="00A0448D" w:rsidRPr="008E6184">
        <w:rPr>
          <w:rFonts w:eastAsia="Times New Roman" w:cstheme="minorHAnsi"/>
        </w:rPr>
        <w:t xml:space="preserve"> </w:t>
      </w:r>
      <w:bookmarkStart w:id="2" w:name="_Hlk190165784"/>
      <w:r w:rsidR="00135252" w:rsidRPr="008E6184">
        <w:rPr>
          <w:rFonts w:eastAsia="Times New Roman" w:cstheme="minorHAnsi"/>
          <w:bCs/>
        </w:rPr>
        <w:t>«</w:t>
      </w:r>
      <w:bookmarkStart w:id="3" w:name="_Hlk190165991"/>
      <w:r w:rsidR="00135252" w:rsidRPr="008E6184">
        <w:rPr>
          <w:rFonts w:eastAsia="Times New Roman" w:cstheme="minorHAnsi"/>
          <w:bCs/>
        </w:rPr>
        <w:t>Peraltro – spiega Cartabellotta – la mobilità sanitaria rappresenta solo la punta dell’iceberg delle diseguaglianze regionali</w:t>
      </w:r>
      <w:r w:rsidR="008E6184" w:rsidRPr="008E6184">
        <w:rPr>
          <w:rFonts w:eastAsia="Times New Roman" w:cstheme="minorHAnsi"/>
          <w:bCs/>
        </w:rPr>
        <w:t xml:space="preserve">: infatti, considerato che riguarda per oltre due terzi i </w:t>
      </w:r>
      <w:r w:rsidR="00135252" w:rsidRPr="008E6184">
        <w:rPr>
          <w:rFonts w:eastAsia="Times New Roman" w:cstheme="minorHAnsi"/>
          <w:bCs/>
        </w:rPr>
        <w:t>ricoveri ospedalieri</w:t>
      </w:r>
      <w:r w:rsidR="008E6184" w:rsidRPr="008E6184">
        <w:rPr>
          <w:rFonts w:eastAsia="Times New Roman" w:cstheme="minorHAnsi"/>
          <w:bCs/>
        </w:rPr>
        <w:t xml:space="preserve">, </w:t>
      </w:r>
      <w:r w:rsidR="00135252" w:rsidRPr="008E6184">
        <w:rPr>
          <w:rFonts w:eastAsia="Times New Roman" w:cstheme="minorHAnsi"/>
          <w:bCs/>
        </w:rPr>
        <w:t xml:space="preserve">non </w:t>
      </w:r>
      <w:r w:rsidR="008E6184" w:rsidRPr="008E6184">
        <w:rPr>
          <w:rFonts w:eastAsia="Times New Roman" w:cstheme="minorHAnsi"/>
          <w:bCs/>
        </w:rPr>
        <w:t>rende conto del</w:t>
      </w:r>
      <w:r w:rsidR="00135252" w:rsidRPr="008E6184">
        <w:rPr>
          <w:rFonts w:eastAsia="Times New Roman" w:cstheme="minorHAnsi"/>
          <w:bCs/>
        </w:rPr>
        <w:t xml:space="preserve">la qualità dell’assistenza territoriale e socio-sanitaria, </w:t>
      </w:r>
      <w:r w:rsidR="000140CD" w:rsidRPr="008E6184">
        <w:rPr>
          <w:rFonts w:eastAsia="Times New Roman" w:cstheme="minorHAnsi"/>
          <w:bCs/>
        </w:rPr>
        <w:t xml:space="preserve">ambiti in cui </w:t>
      </w:r>
      <w:r w:rsidR="00135252" w:rsidRPr="008E6184">
        <w:rPr>
          <w:rFonts w:eastAsia="Times New Roman" w:cstheme="minorHAnsi"/>
          <w:bCs/>
        </w:rPr>
        <w:t>i</w:t>
      </w:r>
      <w:r w:rsidR="000140CD" w:rsidRPr="008E6184">
        <w:rPr>
          <w:rFonts w:eastAsia="Times New Roman" w:cstheme="minorHAnsi"/>
          <w:bCs/>
        </w:rPr>
        <w:t xml:space="preserve">l divario </w:t>
      </w:r>
      <w:r w:rsidR="00135252" w:rsidRPr="008E6184">
        <w:rPr>
          <w:rFonts w:eastAsia="Times New Roman" w:cstheme="minorHAnsi"/>
          <w:bCs/>
        </w:rPr>
        <w:t xml:space="preserve">Nord-Sud </w:t>
      </w:r>
      <w:r w:rsidR="000140CD" w:rsidRPr="008E6184">
        <w:rPr>
          <w:rFonts w:eastAsia="Times New Roman" w:cstheme="minorHAnsi"/>
          <w:bCs/>
        </w:rPr>
        <w:t xml:space="preserve">è </w:t>
      </w:r>
      <w:r w:rsidR="00135252" w:rsidRPr="008E6184">
        <w:rPr>
          <w:rFonts w:eastAsia="Times New Roman" w:cstheme="minorHAnsi"/>
          <w:bCs/>
        </w:rPr>
        <w:t xml:space="preserve">ancora più </w:t>
      </w:r>
      <w:r w:rsidR="000140CD" w:rsidRPr="008E6184">
        <w:rPr>
          <w:rFonts w:eastAsia="Times New Roman" w:cstheme="minorHAnsi"/>
          <w:bCs/>
        </w:rPr>
        <w:t>marcato</w:t>
      </w:r>
      <w:bookmarkEnd w:id="3"/>
      <w:r w:rsidR="00135252" w:rsidRPr="008E6184">
        <w:rPr>
          <w:rFonts w:eastAsia="Times New Roman" w:cstheme="minorHAnsi"/>
          <w:bCs/>
        </w:rPr>
        <w:t>».</w:t>
      </w:r>
    </w:p>
    <w:bookmarkEnd w:id="2"/>
    <w:p w14:paraId="173CA897" w14:textId="3C99EB5C" w:rsidR="00A97501" w:rsidRPr="00BC5ADA" w:rsidRDefault="000151CE" w:rsidP="000151CE">
      <w:pPr>
        <w:jc w:val="both"/>
        <w:rPr>
          <w:rFonts w:eastAsia="Times New Roman" w:cstheme="minorHAnsi"/>
        </w:rPr>
      </w:pPr>
      <w:r w:rsidRPr="000151CE">
        <w:rPr>
          <w:rFonts w:eastAsia="Times New Roman" w:cstheme="minorHAnsi"/>
          <w:b/>
          <w:bCs/>
        </w:rPr>
        <w:t>Il ruolo sempre più forte del privato</w:t>
      </w:r>
      <w:r w:rsidR="00D16EB6">
        <w:rPr>
          <w:rFonts w:eastAsia="Times New Roman" w:cstheme="minorHAnsi"/>
          <w:b/>
          <w:bCs/>
        </w:rPr>
        <w:t xml:space="preserve">. </w:t>
      </w:r>
      <w:r w:rsidRPr="00D16EB6">
        <w:rPr>
          <w:rFonts w:eastAsia="Times New Roman" w:cstheme="minorHAnsi"/>
        </w:rPr>
        <w:t xml:space="preserve">Oltre </w:t>
      </w:r>
      <w:r w:rsidRPr="00D16EB6">
        <w:rPr>
          <w:rFonts w:eastAsia="Times New Roman" w:cstheme="minorHAnsi"/>
          <w:bCs/>
        </w:rPr>
        <w:t>1 euro su 2</w:t>
      </w:r>
      <w:r w:rsidRPr="00D16EB6">
        <w:rPr>
          <w:rFonts w:eastAsia="Times New Roman" w:cstheme="minorHAnsi"/>
        </w:rPr>
        <w:t xml:space="preserve"> speso per ricoveri e prestazioni specialistiche fuori Regione finisce nelle casse della sanità privata</w:t>
      </w:r>
      <w:r w:rsidR="006D4744">
        <w:rPr>
          <w:rFonts w:eastAsia="Times New Roman" w:cstheme="minorHAnsi"/>
        </w:rPr>
        <w:t xml:space="preserve"> accreditata</w:t>
      </w:r>
      <w:r w:rsidRPr="00D16EB6">
        <w:rPr>
          <w:rFonts w:eastAsia="Times New Roman" w:cstheme="minorHAnsi"/>
        </w:rPr>
        <w:t xml:space="preserve">: </w:t>
      </w:r>
      <w:r w:rsidRPr="00D16EB6">
        <w:rPr>
          <w:rFonts w:eastAsia="Times New Roman" w:cstheme="minorHAnsi"/>
          <w:bCs/>
        </w:rPr>
        <w:t>€ 1.879 milioni (54,4%)</w:t>
      </w:r>
      <w:r w:rsidRPr="00D16EB6">
        <w:rPr>
          <w:rFonts w:eastAsia="Times New Roman" w:cstheme="minorHAnsi"/>
        </w:rPr>
        <w:t xml:space="preserve">, </w:t>
      </w:r>
      <w:r w:rsidR="00164E2C">
        <w:rPr>
          <w:rFonts w:eastAsia="Times New Roman" w:cstheme="minorHAnsi"/>
        </w:rPr>
        <w:t>contro i</w:t>
      </w:r>
      <w:r w:rsidRPr="00D16EB6">
        <w:rPr>
          <w:rFonts w:eastAsia="Times New Roman" w:cstheme="minorHAnsi"/>
        </w:rPr>
        <w:t xml:space="preserve"> </w:t>
      </w:r>
      <w:r w:rsidRPr="00D16EB6">
        <w:rPr>
          <w:rFonts w:eastAsia="Times New Roman" w:cstheme="minorHAnsi"/>
          <w:bCs/>
        </w:rPr>
        <w:t>€ 1.573 milioni (45,6%)</w:t>
      </w:r>
      <w:r w:rsidRPr="00D16EB6">
        <w:rPr>
          <w:rFonts w:eastAsia="Times New Roman" w:cstheme="minorHAnsi"/>
        </w:rPr>
        <w:t xml:space="preserve"> </w:t>
      </w:r>
      <w:r w:rsidR="00164E2C">
        <w:rPr>
          <w:rFonts w:eastAsia="Times New Roman" w:cstheme="minorHAnsi"/>
        </w:rPr>
        <w:t>destinati alle</w:t>
      </w:r>
      <w:r w:rsidR="00164E2C" w:rsidRPr="00D16EB6">
        <w:rPr>
          <w:rFonts w:eastAsia="Times New Roman" w:cstheme="minorHAnsi"/>
        </w:rPr>
        <w:t xml:space="preserve"> </w:t>
      </w:r>
      <w:r w:rsidRPr="00D16EB6">
        <w:rPr>
          <w:rFonts w:eastAsia="Times New Roman" w:cstheme="minorHAnsi"/>
        </w:rPr>
        <w:t>strutture pubbliche.</w:t>
      </w:r>
      <w:r w:rsidR="007B44E9">
        <w:rPr>
          <w:rFonts w:eastAsia="Times New Roman" w:cstheme="minorHAnsi"/>
        </w:rPr>
        <w:t xml:space="preserve"> </w:t>
      </w:r>
      <w:r w:rsidRPr="007B44E9">
        <w:rPr>
          <w:rFonts w:eastAsia="Times New Roman" w:cstheme="minorHAnsi"/>
        </w:rPr>
        <w:t>«</w:t>
      </w:r>
      <w:r w:rsidRPr="007B44E9">
        <w:rPr>
          <w:rFonts w:eastAsia="Times New Roman" w:cstheme="minorHAnsi"/>
          <w:bCs/>
        </w:rPr>
        <w:t>La crescita del privato accreditato nella mobilità sanitaria</w:t>
      </w:r>
      <w:r w:rsidR="00D16EB6" w:rsidRPr="007B44E9">
        <w:rPr>
          <w:rFonts w:eastAsia="Times New Roman" w:cstheme="minorHAnsi"/>
          <w:bCs/>
        </w:rPr>
        <w:t xml:space="preserve"> – </w:t>
      </w:r>
      <w:r w:rsidR="00164E2C">
        <w:rPr>
          <w:rFonts w:eastAsia="Times New Roman" w:cstheme="minorHAnsi"/>
          <w:bCs/>
        </w:rPr>
        <w:t>sottolinea</w:t>
      </w:r>
      <w:r w:rsidR="00164E2C" w:rsidRPr="007B44E9">
        <w:rPr>
          <w:rFonts w:eastAsia="Times New Roman" w:cstheme="minorHAnsi"/>
          <w:bCs/>
        </w:rPr>
        <w:t xml:space="preserve"> </w:t>
      </w:r>
      <w:r w:rsidR="00D16EB6" w:rsidRPr="005077C9">
        <w:rPr>
          <w:rFonts w:eastAsia="Times New Roman" w:cstheme="minorHAnsi"/>
          <w:bCs/>
        </w:rPr>
        <w:t xml:space="preserve">Cartabellotta – </w:t>
      </w:r>
      <w:r w:rsidRPr="005077C9">
        <w:rPr>
          <w:rFonts w:eastAsia="Times New Roman" w:cstheme="minorHAnsi"/>
          <w:bCs/>
        </w:rPr>
        <w:t xml:space="preserve">è un indicatore </w:t>
      </w:r>
      <w:r w:rsidR="005077C9" w:rsidRPr="005077C9">
        <w:rPr>
          <w:rFonts w:eastAsia="Times New Roman" w:cstheme="minorHAnsi"/>
          <w:bCs/>
        </w:rPr>
        <w:t xml:space="preserve">sia </w:t>
      </w:r>
      <w:r w:rsidRPr="005077C9">
        <w:rPr>
          <w:rFonts w:eastAsia="Times New Roman" w:cstheme="minorHAnsi"/>
          <w:bCs/>
        </w:rPr>
        <w:t>dell’indebolimento del servizio pubblico</w:t>
      </w:r>
      <w:r w:rsidR="005077C9" w:rsidRPr="005077C9">
        <w:rPr>
          <w:rFonts w:eastAsia="Times New Roman" w:cstheme="minorHAnsi"/>
          <w:bCs/>
        </w:rPr>
        <w:t xml:space="preserve">, sia </w:t>
      </w:r>
      <w:r w:rsidR="00ED0ECF" w:rsidRPr="00ED0ECF">
        <w:rPr>
          <w:rFonts w:eastAsia="Times New Roman" w:cstheme="minorHAnsi"/>
          <w:bCs/>
        </w:rPr>
        <w:t>dell’offerta che della capacità attrattiv</w:t>
      </w:r>
      <w:r w:rsidR="00ED0ECF">
        <w:rPr>
          <w:rFonts w:eastAsia="Times New Roman" w:cstheme="minorHAnsi"/>
          <w:bCs/>
        </w:rPr>
        <w:t>a</w:t>
      </w:r>
      <w:r w:rsidR="00ED0ECF" w:rsidRPr="00ED0ECF">
        <w:rPr>
          <w:rFonts w:eastAsia="Times New Roman" w:cstheme="minorHAnsi"/>
          <w:bCs/>
        </w:rPr>
        <w:t xml:space="preserve"> </w:t>
      </w:r>
      <w:r w:rsidR="00ED0ECF">
        <w:rPr>
          <w:rFonts w:eastAsia="Times New Roman" w:cstheme="minorHAnsi"/>
          <w:bCs/>
        </w:rPr>
        <w:t xml:space="preserve">del privato, seppur molto </w:t>
      </w:r>
      <w:r w:rsidR="00823380">
        <w:rPr>
          <w:rFonts w:eastAsia="Times New Roman" w:cstheme="minorHAnsi"/>
          <w:bCs/>
        </w:rPr>
        <w:t xml:space="preserve">diversa tra le varie </w:t>
      </w:r>
      <w:r w:rsidR="005077C9" w:rsidRPr="005077C9">
        <w:rPr>
          <w:rFonts w:eastAsia="Times New Roman" w:cstheme="minorHAnsi"/>
          <w:bCs/>
        </w:rPr>
        <w:t>Regioni</w:t>
      </w:r>
      <w:r w:rsidR="005077C9" w:rsidRPr="005077C9">
        <w:rPr>
          <w:rFonts w:eastAsia="Times New Roman" w:cstheme="minorHAnsi"/>
        </w:rPr>
        <w:t>». Infatti</w:t>
      </w:r>
      <w:r w:rsidR="005077C9">
        <w:rPr>
          <w:rFonts w:eastAsia="Times New Roman" w:cstheme="minorHAnsi"/>
        </w:rPr>
        <w:t>,</w:t>
      </w:r>
      <w:r w:rsidR="007A78B5">
        <w:rPr>
          <w:rFonts w:eastAsia="Times New Roman" w:cstheme="minorHAnsi"/>
        </w:rPr>
        <w:t xml:space="preserve"> </w:t>
      </w:r>
      <w:r w:rsidR="005077C9" w:rsidRPr="007B44E9">
        <w:rPr>
          <w:rFonts w:eastAsia="Times New Roman" w:cstheme="minorHAnsi"/>
          <w:bCs/>
        </w:rPr>
        <w:t>le strutture private assorbono oltre il 60% della mobilità attiva</w:t>
      </w:r>
      <w:r w:rsidR="00823380">
        <w:rPr>
          <w:rFonts w:eastAsia="Times New Roman" w:cstheme="minorHAnsi"/>
          <w:bCs/>
        </w:rPr>
        <w:t xml:space="preserve"> in</w:t>
      </w:r>
      <w:r w:rsidR="005077C9" w:rsidRPr="007B44E9">
        <w:rPr>
          <w:rFonts w:eastAsia="Times New Roman" w:cstheme="minorHAnsi"/>
          <w:bCs/>
        </w:rPr>
        <w:t xml:space="preserve"> </w:t>
      </w:r>
      <w:r w:rsidRPr="007B44E9">
        <w:rPr>
          <w:rFonts w:eastAsia="Times New Roman" w:cstheme="minorHAnsi"/>
          <w:bCs/>
        </w:rPr>
        <w:t>Molise (90,6%), Lombardia (71,4%), Puglia (70,7%) e Lazio (62,4%)</w:t>
      </w:r>
      <w:r w:rsidR="005077C9">
        <w:rPr>
          <w:rFonts w:eastAsia="Times New Roman" w:cstheme="minorHAnsi"/>
          <w:bCs/>
        </w:rPr>
        <w:t>.</w:t>
      </w:r>
      <w:r w:rsidR="007A78B5">
        <w:rPr>
          <w:rFonts w:eastAsia="Times New Roman" w:cstheme="minorHAnsi"/>
          <w:bCs/>
        </w:rPr>
        <w:t xml:space="preserve"> </w:t>
      </w:r>
      <w:r w:rsidR="00364385">
        <w:rPr>
          <w:rFonts w:eastAsia="Times New Roman" w:cstheme="minorHAnsi"/>
          <w:bCs/>
        </w:rPr>
        <w:t>I</w:t>
      </w:r>
      <w:r w:rsidR="007A78B5">
        <w:rPr>
          <w:rFonts w:eastAsia="Times New Roman" w:cstheme="minorHAnsi"/>
          <w:bCs/>
        </w:rPr>
        <w:t>n altre,</w:t>
      </w:r>
      <w:r w:rsidR="00364385">
        <w:rPr>
          <w:rFonts w:eastAsia="Times New Roman" w:cstheme="minorHAnsi"/>
          <w:bCs/>
        </w:rPr>
        <w:t xml:space="preserve"> invece,</w:t>
      </w:r>
      <w:r w:rsidR="007A78B5">
        <w:rPr>
          <w:rFonts w:eastAsia="Times New Roman" w:cstheme="minorHAnsi"/>
          <w:bCs/>
        </w:rPr>
        <w:t xml:space="preserve"> il privato ha una capacità attrattiva inferiore al 20%: </w:t>
      </w:r>
      <w:r w:rsidR="00823380" w:rsidRPr="00823380">
        <w:rPr>
          <w:rFonts w:eastAsia="Times New Roman" w:cstheme="minorHAnsi"/>
          <w:bCs/>
        </w:rPr>
        <w:t>Valle D’Aosta (16,9%), Umbria (15,5%), Liguria (11,9%), Provincia autonoma di Bolzano (9,9%) e Basilicata (8,9%)</w:t>
      </w:r>
      <w:r w:rsidR="00FC49A5">
        <w:rPr>
          <w:rFonts w:eastAsia="Times New Roman" w:cstheme="minorHAnsi"/>
          <w:bCs/>
        </w:rPr>
        <w:t xml:space="preserve"> (</w:t>
      </w:r>
      <w:r w:rsidR="00FC49A5" w:rsidRPr="00FC49A5">
        <w:rPr>
          <w:rFonts w:eastAsia="Times New Roman" w:cstheme="minorHAnsi"/>
          <w:bCs/>
          <w:highlight w:val="yellow"/>
        </w:rPr>
        <w:t>figura 4</w:t>
      </w:r>
      <w:r w:rsidR="00FC49A5">
        <w:rPr>
          <w:rFonts w:eastAsia="Times New Roman" w:cstheme="minorHAnsi"/>
          <w:bCs/>
        </w:rPr>
        <w:t>)</w:t>
      </w:r>
      <w:r w:rsidR="00823380">
        <w:rPr>
          <w:rFonts w:eastAsia="Times New Roman" w:cstheme="minorHAnsi"/>
          <w:bCs/>
        </w:rPr>
        <w:t xml:space="preserve">. </w:t>
      </w:r>
    </w:p>
    <w:p w14:paraId="622FF976" w14:textId="5D35C2AF" w:rsidR="001F383C" w:rsidRPr="001F383C" w:rsidRDefault="006A3BEE" w:rsidP="001F383C">
      <w:pPr>
        <w:jc w:val="both"/>
        <w:rPr>
          <w:rFonts w:eastAsia="Times New Roman" w:cstheme="minorHAnsi"/>
        </w:rPr>
      </w:pPr>
      <w:r w:rsidRPr="006A3BEE">
        <w:rPr>
          <w:rFonts w:eastAsia="Times New Roman" w:cstheme="minorHAnsi"/>
          <w:b/>
          <w:bCs/>
        </w:rPr>
        <w:t>Focus su ricoveri e specialistica ambulatoriale</w:t>
      </w:r>
      <w:r>
        <w:rPr>
          <w:rFonts w:eastAsia="Times New Roman" w:cstheme="minorHAnsi"/>
          <w:b/>
          <w:bCs/>
        </w:rPr>
        <w:t xml:space="preserve">. </w:t>
      </w:r>
      <w:r w:rsidR="00BC5ADA" w:rsidRPr="00BC5ADA">
        <w:rPr>
          <w:rFonts w:eastAsia="Times New Roman" w:cstheme="minorHAnsi"/>
        </w:rPr>
        <w:t xml:space="preserve">Secondo i dati </w:t>
      </w:r>
      <w:proofErr w:type="spellStart"/>
      <w:r w:rsidR="00BC5ADA" w:rsidRPr="00BC5ADA">
        <w:rPr>
          <w:rFonts w:eastAsia="Times New Roman" w:cstheme="minorHAnsi"/>
        </w:rPr>
        <w:t>Agenas</w:t>
      </w:r>
      <w:proofErr w:type="spellEnd"/>
      <w:r w:rsidR="00BC5ADA" w:rsidRPr="00BC5ADA">
        <w:rPr>
          <w:rFonts w:eastAsia="Times New Roman" w:cstheme="minorHAnsi"/>
        </w:rPr>
        <w:t>, il 78,5% della mobilità per ricoveri è classificato come effettiva</w:t>
      </w:r>
      <w:r w:rsidR="00821089">
        <w:rPr>
          <w:rFonts w:eastAsia="Times New Roman" w:cstheme="minorHAnsi"/>
        </w:rPr>
        <w:t xml:space="preserve"> (€ 2.108 milioni)</w:t>
      </w:r>
      <w:r w:rsidR="00BC5ADA" w:rsidRPr="00BC5ADA">
        <w:rPr>
          <w:rFonts w:eastAsia="Times New Roman" w:cstheme="minorHAnsi"/>
        </w:rPr>
        <w:t xml:space="preserve">, ovvero dipende dalla scelta del paziente. </w:t>
      </w:r>
      <w:r w:rsidR="000447FF">
        <w:rPr>
          <w:rFonts w:eastAsia="Times New Roman" w:cstheme="minorHAnsi"/>
        </w:rPr>
        <w:t>I</w:t>
      </w:r>
      <w:r w:rsidR="00BC5ADA" w:rsidRPr="00BC5ADA">
        <w:rPr>
          <w:rFonts w:eastAsia="Times New Roman" w:cstheme="minorHAnsi"/>
        </w:rPr>
        <w:t xml:space="preserve">l 17,4% </w:t>
      </w:r>
      <w:r w:rsidR="00821089">
        <w:rPr>
          <w:rFonts w:eastAsia="Times New Roman" w:cstheme="minorHAnsi"/>
        </w:rPr>
        <w:t xml:space="preserve">(€ 468 milioni) </w:t>
      </w:r>
      <w:r w:rsidR="00BC5ADA" w:rsidRPr="00BC5ADA">
        <w:rPr>
          <w:rFonts w:eastAsia="Times New Roman" w:cstheme="minorHAnsi"/>
        </w:rPr>
        <w:t>è</w:t>
      </w:r>
      <w:r w:rsidR="000447FF">
        <w:rPr>
          <w:rFonts w:eastAsia="Times New Roman" w:cstheme="minorHAnsi"/>
        </w:rPr>
        <w:t xml:space="preserve"> invece</w:t>
      </w:r>
      <w:r w:rsidR="00BC5ADA" w:rsidRPr="00BC5ADA">
        <w:rPr>
          <w:rFonts w:eastAsia="Times New Roman" w:cstheme="minorHAnsi"/>
        </w:rPr>
        <w:t xml:space="preserve"> legato a prestazioni in urgenza (mobilità casuale)</w:t>
      </w:r>
      <w:r w:rsidR="00821089">
        <w:rPr>
          <w:rFonts w:eastAsia="Times New Roman" w:cstheme="minorHAnsi"/>
        </w:rPr>
        <w:t xml:space="preserve"> e </w:t>
      </w:r>
      <w:r w:rsidR="000447FF">
        <w:rPr>
          <w:rFonts w:eastAsia="Times New Roman" w:cstheme="minorHAnsi"/>
        </w:rPr>
        <w:t>il</w:t>
      </w:r>
      <w:r w:rsidR="000447FF" w:rsidRPr="00BC5ADA">
        <w:rPr>
          <w:rFonts w:eastAsia="Times New Roman" w:cstheme="minorHAnsi"/>
        </w:rPr>
        <w:t xml:space="preserve"> </w:t>
      </w:r>
      <w:r w:rsidR="00821089" w:rsidRPr="00BC5ADA">
        <w:rPr>
          <w:rFonts w:eastAsia="Times New Roman" w:cstheme="minorHAnsi"/>
        </w:rPr>
        <w:t>4,</w:t>
      </w:r>
      <w:r w:rsidR="00821089">
        <w:rPr>
          <w:rFonts w:eastAsia="Times New Roman" w:cstheme="minorHAnsi"/>
        </w:rPr>
        <w:t>1</w:t>
      </w:r>
      <w:r w:rsidR="00821089" w:rsidRPr="00BC5ADA">
        <w:rPr>
          <w:rFonts w:eastAsia="Times New Roman" w:cstheme="minorHAnsi"/>
        </w:rPr>
        <w:t>%</w:t>
      </w:r>
      <w:r w:rsidR="00821089">
        <w:rPr>
          <w:rFonts w:eastAsia="Times New Roman" w:cstheme="minorHAnsi"/>
        </w:rPr>
        <w:t xml:space="preserve"> (€ 109 milioni)</w:t>
      </w:r>
      <w:r w:rsidR="00821089" w:rsidRPr="00BC5ADA">
        <w:rPr>
          <w:rFonts w:eastAsia="Times New Roman" w:cstheme="minorHAnsi"/>
        </w:rPr>
        <w:t xml:space="preserve"> riguarda casi in cui il domicilio del paziente non coincide con la Regione di residenza (mobilità apparente)</w:t>
      </w:r>
      <w:r w:rsidR="00BC5ADA" w:rsidRPr="00BC5ADA">
        <w:rPr>
          <w:rFonts w:eastAsia="Times New Roman" w:cstheme="minorHAnsi"/>
        </w:rPr>
        <w:t xml:space="preserve">. Della mobilità effettiva, solo il 6,5% riguarda ricoveri ordinari a </w:t>
      </w:r>
      <w:r w:rsidR="00BC5ADA" w:rsidRPr="001F383C">
        <w:rPr>
          <w:rFonts w:eastAsia="Times New Roman" w:cstheme="minorHAnsi"/>
        </w:rPr>
        <w:t>rischio inappropriatezza</w:t>
      </w:r>
      <w:r w:rsidR="002D3B91" w:rsidRPr="001F383C">
        <w:rPr>
          <w:rFonts w:eastAsia="Times New Roman" w:cstheme="minorHAnsi"/>
        </w:rPr>
        <w:t xml:space="preserve"> (</w:t>
      </w:r>
      <w:r w:rsidR="002D3B91" w:rsidRPr="001F383C">
        <w:rPr>
          <w:rFonts w:eastAsia="Times New Roman" w:cstheme="minorHAnsi"/>
          <w:highlight w:val="yellow"/>
        </w:rPr>
        <w:t>figura 5</w:t>
      </w:r>
      <w:r w:rsidR="002D3B91" w:rsidRPr="001F383C">
        <w:rPr>
          <w:rFonts w:eastAsia="Times New Roman" w:cstheme="minorHAnsi"/>
        </w:rPr>
        <w:t>)</w:t>
      </w:r>
      <w:r w:rsidR="00BC5ADA" w:rsidRPr="001F383C">
        <w:rPr>
          <w:rFonts w:eastAsia="Times New Roman" w:cstheme="minorHAnsi"/>
        </w:rPr>
        <w:t xml:space="preserve">. </w:t>
      </w:r>
      <w:r w:rsidR="00C63C4E">
        <w:rPr>
          <w:rFonts w:eastAsia="Times New Roman" w:cstheme="minorHAnsi"/>
        </w:rPr>
        <w:t xml:space="preserve">Inoltre, </w:t>
      </w:r>
      <w:r w:rsidR="008B6594">
        <w:rPr>
          <w:rFonts w:eastAsia="Times New Roman" w:cstheme="minorHAnsi"/>
        </w:rPr>
        <w:t xml:space="preserve">considerando </w:t>
      </w:r>
      <w:r w:rsidR="00C63C4E">
        <w:rPr>
          <w:rFonts w:eastAsia="Times New Roman" w:cstheme="minorHAnsi"/>
        </w:rPr>
        <w:t xml:space="preserve">che una </w:t>
      </w:r>
      <w:r w:rsidR="001F383C" w:rsidRPr="001F383C">
        <w:rPr>
          <w:rFonts w:cstheme="minorHAnsi"/>
          <w:bCs/>
          <w:szCs w:val="26"/>
          <w:lang w:eastAsia="zh-CN"/>
        </w:rPr>
        <w:t xml:space="preserve">struttura è </w:t>
      </w:r>
      <w:r w:rsidR="008B6594" w:rsidRPr="001F383C">
        <w:rPr>
          <w:rFonts w:cstheme="minorHAnsi"/>
          <w:bCs/>
          <w:szCs w:val="26"/>
          <w:lang w:eastAsia="zh-CN"/>
        </w:rPr>
        <w:t>d</w:t>
      </w:r>
      <w:r w:rsidR="008B6594">
        <w:rPr>
          <w:rFonts w:cstheme="minorHAnsi"/>
          <w:bCs/>
          <w:szCs w:val="26"/>
          <w:lang w:eastAsia="zh-CN"/>
        </w:rPr>
        <w:t>efinita d</w:t>
      </w:r>
      <w:r w:rsidR="001F383C" w:rsidRPr="001F383C">
        <w:rPr>
          <w:rFonts w:cstheme="minorHAnsi"/>
          <w:bCs/>
          <w:szCs w:val="26"/>
          <w:lang w:eastAsia="zh-CN"/>
        </w:rPr>
        <w:t>i prossimità se dista al massimo 50 km e/o il tempo di percorrenza non supera i 60 minuti</w:t>
      </w:r>
      <w:r w:rsidR="00C63C4E">
        <w:rPr>
          <w:rFonts w:cstheme="minorHAnsi"/>
          <w:bCs/>
          <w:szCs w:val="26"/>
          <w:lang w:eastAsia="zh-CN"/>
        </w:rPr>
        <w:t xml:space="preserve">, </w:t>
      </w:r>
      <w:r w:rsidR="00C63C4E">
        <w:rPr>
          <w:rFonts w:eastAsia="Times New Roman" w:cstheme="minorHAnsi"/>
        </w:rPr>
        <w:t>n</w:t>
      </w:r>
      <w:r w:rsidR="001F383C" w:rsidRPr="001F383C">
        <w:rPr>
          <w:rFonts w:cstheme="minorHAnsi"/>
          <w:bCs/>
          <w:szCs w:val="26"/>
          <w:lang w:eastAsia="zh-CN"/>
        </w:rPr>
        <w:t>el 2022 solo l’11,6% dei ricoveri in mobilità effettiva è avvenuto in strutture di prossimità</w:t>
      </w:r>
      <w:r w:rsidR="008B6594">
        <w:rPr>
          <w:rFonts w:cstheme="minorHAnsi"/>
          <w:bCs/>
          <w:szCs w:val="26"/>
          <w:lang w:eastAsia="zh-CN"/>
        </w:rPr>
        <w:t xml:space="preserve"> </w:t>
      </w:r>
      <w:r w:rsidR="001F383C" w:rsidRPr="001F383C">
        <w:rPr>
          <w:rFonts w:cstheme="minorHAnsi"/>
          <w:bCs/>
          <w:szCs w:val="26"/>
          <w:lang w:eastAsia="zh-CN"/>
        </w:rPr>
        <w:t>(</w:t>
      </w:r>
      <w:r w:rsidR="001F383C" w:rsidRPr="001F383C">
        <w:rPr>
          <w:rFonts w:cstheme="minorHAnsi"/>
          <w:bCs/>
          <w:szCs w:val="26"/>
          <w:highlight w:val="yellow"/>
          <w:lang w:eastAsia="zh-CN"/>
        </w:rPr>
        <w:t>figura 6</w:t>
      </w:r>
      <w:r w:rsidR="001F383C" w:rsidRPr="001F383C">
        <w:rPr>
          <w:rFonts w:cstheme="minorHAnsi"/>
          <w:bCs/>
          <w:szCs w:val="26"/>
          <w:lang w:eastAsia="zh-CN"/>
        </w:rPr>
        <w:t xml:space="preserve">). </w:t>
      </w:r>
      <w:r w:rsidR="00C63C4E" w:rsidRPr="007B44E9">
        <w:rPr>
          <w:rFonts w:eastAsia="Times New Roman" w:cstheme="minorHAnsi"/>
        </w:rPr>
        <w:lastRenderedPageBreak/>
        <w:t>«</w:t>
      </w:r>
      <w:r w:rsidR="001F383C" w:rsidRPr="001F383C">
        <w:rPr>
          <w:rFonts w:cstheme="minorHAnsi"/>
          <w:bCs/>
          <w:szCs w:val="26"/>
          <w:lang w:eastAsia="zh-CN"/>
        </w:rPr>
        <w:t xml:space="preserve">Questo dato </w:t>
      </w:r>
      <w:r w:rsidR="00C63C4E" w:rsidRPr="007B44E9">
        <w:rPr>
          <w:rFonts w:eastAsia="Times New Roman" w:cstheme="minorHAnsi"/>
          <w:bCs/>
        </w:rPr>
        <w:t xml:space="preserve">– </w:t>
      </w:r>
      <w:r w:rsidR="00C63C4E">
        <w:rPr>
          <w:rFonts w:eastAsia="Times New Roman" w:cstheme="minorHAnsi"/>
          <w:bCs/>
        </w:rPr>
        <w:t xml:space="preserve">commenta il </w:t>
      </w:r>
      <w:r w:rsidR="008B6594">
        <w:rPr>
          <w:rFonts w:eastAsia="Times New Roman" w:cstheme="minorHAnsi"/>
          <w:bCs/>
        </w:rPr>
        <w:t xml:space="preserve">Presidente </w:t>
      </w:r>
      <w:r w:rsidR="00C63C4E" w:rsidRPr="005077C9">
        <w:rPr>
          <w:rFonts w:eastAsia="Times New Roman" w:cstheme="minorHAnsi"/>
          <w:bCs/>
        </w:rPr>
        <w:t xml:space="preserve">– </w:t>
      </w:r>
      <w:r w:rsidR="008B6594">
        <w:rPr>
          <w:rFonts w:cstheme="minorHAnsi"/>
          <w:bCs/>
          <w:szCs w:val="26"/>
          <w:lang w:eastAsia="zh-CN"/>
        </w:rPr>
        <w:t>dimostra</w:t>
      </w:r>
      <w:r w:rsidR="008B6594" w:rsidRPr="001F383C">
        <w:rPr>
          <w:rFonts w:cstheme="minorHAnsi"/>
          <w:bCs/>
          <w:szCs w:val="26"/>
          <w:lang w:eastAsia="zh-CN"/>
        </w:rPr>
        <w:t xml:space="preserve"> </w:t>
      </w:r>
      <w:r w:rsidR="001F383C" w:rsidRPr="001F383C">
        <w:rPr>
          <w:rFonts w:cstheme="minorHAnsi"/>
          <w:bCs/>
          <w:szCs w:val="26"/>
          <w:lang w:eastAsia="zh-CN"/>
        </w:rPr>
        <w:t xml:space="preserve">che lo spostamento dei pazienti verso altre Regioni per </w:t>
      </w:r>
      <w:r w:rsidR="008B6594">
        <w:rPr>
          <w:rFonts w:cstheme="minorHAnsi"/>
          <w:bCs/>
          <w:szCs w:val="26"/>
          <w:lang w:eastAsia="zh-CN"/>
        </w:rPr>
        <w:t xml:space="preserve">ricevere cure in regime di ricovero </w:t>
      </w:r>
      <w:r w:rsidR="008B6594" w:rsidRPr="008B6594">
        <w:rPr>
          <w:rFonts w:cstheme="minorHAnsi"/>
          <w:bCs/>
          <w:szCs w:val="26"/>
          <w:lang w:eastAsia="zh-CN"/>
        </w:rPr>
        <w:t xml:space="preserve">è una necessità dettata dall’assenza di un’offerta sanitaria adeguata. Per molti cittadini, </w:t>
      </w:r>
      <w:r w:rsidR="00E25D1E">
        <w:rPr>
          <w:rFonts w:cstheme="minorHAnsi"/>
          <w:bCs/>
          <w:szCs w:val="26"/>
          <w:lang w:eastAsia="zh-CN"/>
        </w:rPr>
        <w:t>questo</w:t>
      </w:r>
      <w:r w:rsidR="008B6594" w:rsidRPr="008B6594">
        <w:rPr>
          <w:rFonts w:cstheme="minorHAnsi"/>
          <w:bCs/>
          <w:szCs w:val="26"/>
          <w:lang w:eastAsia="zh-CN"/>
        </w:rPr>
        <w:t xml:space="preserve"> significa affrontare lunghi spostamenti, con disagi pesanti per chi è malato e costi significativi per le famiglie, sia in termini economici che di tempo e qualità di vita</w:t>
      </w:r>
      <w:r w:rsidR="00C63C4E" w:rsidRPr="005077C9">
        <w:rPr>
          <w:rFonts w:eastAsia="Times New Roman" w:cstheme="minorHAnsi"/>
        </w:rPr>
        <w:t>».</w:t>
      </w:r>
      <w:r w:rsidR="00F9560D">
        <w:rPr>
          <w:rFonts w:eastAsia="Times New Roman" w:cstheme="minorHAnsi"/>
        </w:rPr>
        <w:t xml:space="preserve"> </w:t>
      </w:r>
      <w:r w:rsidR="00C63C4E">
        <w:rPr>
          <w:rFonts w:eastAsia="Times New Roman" w:cstheme="minorHAnsi"/>
        </w:rPr>
        <w:t xml:space="preserve">Relativamente alla </w:t>
      </w:r>
      <w:r w:rsidR="001F383C" w:rsidRPr="001F383C">
        <w:rPr>
          <w:rFonts w:eastAsia="Times New Roman" w:cstheme="minorHAnsi"/>
        </w:rPr>
        <w:t>specialistica ambulatoriale erogata in mobilità, oltre il 93% è riconducibile a tre categorie: prestazioni terapeutiche (33,9%), diagnostica strumentale (31,6%) e prestazioni di laboratorio (27,9%) (</w:t>
      </w:r>
      <w:r w:rsidR="001F383C" w:rsidRPr="001F383C">
        <w:rPr>
          <w:rFonts w:eastAsia="Times New Roman" w:cstheme="minorHAnsi"/>
          <w:highlight w:val="yellow"/>
        </w:rPr>
        <w:t>figura 7</w:t>
      </w:r>
      <w:r w:rsidR="001F383C" w:rsidRPr="001F383C">
        <w:rPr>
          <w:rFonts w:eastAsia="Times New Roman" w:cstheme="minorHAnsi"/>
        </w:rPr>
        <w:t xml:space="preserve">). </w:t>
      </w:r>
    </w:p>
    <w:p w14:paraId="7FFE3BD2" w14:textId="7FBFB34D" w:rsidR="00012657" w:rsidRPr="007B44E9" w:rsidRDefault="009B4734" w:rsidP="00012657">
      <w:pPr>
        <w:jc w:val="both"/>
        <w:rPr>
          <w:rFonts w:eastAsia="Times New Roman" w:cstheme="minorHAnsi"/>
        </w:rPr>
      </w:pPr>
      <w:r w:rsidRPr="008E6184">
        <w:rPr>
          <w:rFonts w:eastAsia="Times New Roman" w:cstheme="minorHAnsi"/>
        </w:rPr>
        <w:t>«La mobilità sanitaria</w:t>
      </w:r>
      <w:r w:rsidR="00874684" w:rsidRPr="008E6184">
        <w:rPr>
          <w:rFonts w:eastAsia="Times New Roman" w:cstheme="minorHAnsi"/>
        </w:rPr>
        <w:t xml:space="preserve">, </w:t>
      </w:r>
      <w:r w:rsidR="003D5B8B" w:rsidRPr="008E6184">
        <w:rPr>
          <w:rFonts w:eastAsia="Times New Roman" w:cstheme="minorHAnsi"/>
        </w:rPr>
        <w:t xml:space="preserve">che </w:t>
      </w:r>
      <w:r w:rsidR="000914D4" w:rsidRPr="008E6184">
        <w:rPr>
          <w:rFonts w:eastAsia="Times New Roman" w:cstheme="minorHAnsi"/>
        </w:rPr>
        <w:t xml:space="preserve">riflette </w:t>
      </w:r>
      <w:r w:rsidR="00874684" w:rsidRPr="008E6184">
        <w:rPr>
          <w:rFonts w:eastAsia="Times New Roman" w:cstheme="minorHAnsi"/>
        </w:rPr>
        <w:t xml:space="preserve">solo </w:t>
      </w:r>
      <w:r w:rsidR="000914D4" w:rsidRPr="008E6184">
        <w:rPr>
          <w:rFonts w:eastAsia="Times New Roman" w:cstheme="minorHAnsi"/>
        </w:rPr>
        <w:t>in parte le</w:t>
      </w:r>
      <w:r w:rsidR="00164E2C" w:rsidRPr="008E6184">
        <w:rPr>
          <w:rFonts w:eastAsia="Times New Roman" w:cstheme="minorHAnsi"/>
        </w:rPr>
        <w:t xml:space="preserve"> dis</w:t>
      </w:r>
      <w:r w:rsidR="000447FF" w:rsidRPr="008E6184">
        <w:rPr>
          <w:rFonts w:eastAsia="Times New Roman" w:cstheme="minorHAnsi"/>
        </w:rPr>
        <w:t>e</w:t>
      </w:r>
      <w:r w:rsidR="00164E2C" w:rsidRPr="008E6184">
        <w:rPr>
          <w:rFonts w:eastAsia="Times New Roman" w:cstheme="minorHAnsi"/>
        </w:rPr>
        <w:t>guaglianze regionali</w:t>
      </w:r>
      <w:r w:rsidR="002E40FD" w:rsidRPr="008E6184">
        <w:rPr>
          <w:rFonts w:eastAsia="Times New Roman" w:cstheme="minorHAnsi"/>
        </w:rPr>
        <w:t xml:space="preserve">, </w:t>
      </w:r>
      <w:r w:rsidR="00874684" w:rsidRPr="008E6184">
        <w:rPr>
          <w:rFonts w:eastAsia="Times New Roman" w:cstheme="minorHAnsi"/>
        </w:rPr>
        <w:t xml:space="preserve">è </w:t>
      </w:r>
      <w:r w:rsidR="002E40FD" w:rsidRPr="008E6184">
        <w:rPr>
          <w:rFonts w:eastAsia="Times New Roman" w:cstheme="minorHAnsi"/>
        </w:rPr>
        <w:t xml:space="preserve">un </w:t>
      </w:r>
      <w:r w:rsidRPr="008E6184">
        <w:rPr>
          <w:rFonts w:eastAsia="Times New Roman" w:cstheme="minorHAnsi"/>
        </w:rPr>
        <w:t xml:space="preserve">fenomeno dalle enormi implicazioni sanitarie, sociali, etiche ed economiche, che </w:t>
      </w:r>
      <w:r w:rsidR="00164E2C" w:rsidRPr="008E6184">
        <w:rPr>
          <w:rFonts w:eastAsia="Times New Roman" w:cstheme="minorHAnsi"/>
        </w:rPr>
        <w:t>evidenzia profonde disparità nel diritto alla tutela della salute</w:t>
      </w:r>
      <w:r w:rsidR="006A3BEE" w:rsidRPr="008E6184">
        <w:rPr>
          <w:rFonts w:eastAsia="Times New Roman" w:cstheme="minorHAnsi"/>
        </w:rPr>
        <w:t xml:space="preserve">. </w:t>
      </w:r>
      <w:r w:rsidR="00012657" w:rsidRPr="008E6184">
        <w:rPr>
          <w:rFonts w:eastAsia="Times New Roman" w:cstheme="minorHAnsi"/>
        </w:rPr>
        <w:t>Rappresenta dunque</w:t>
      </w:r>
      <w:r w:rsidR="00164E2C" w:rsidRPr="008E6184">
        <w:rPr>
          <w:rFonts w:eastAsia="Times New Roman" w:cstheme="minorHAnsi"/>
        </w:rPr>
        <w:t xml:space="preserve"> un</w:t>
      </w:r>
      <w:r w:rsidR="006A3BEE" w:rsidRPr="008E6184">
        <w:rPr>
          <w:rFonts w:eastAsia="Times New Roman" w:cstheme="minorHAnsi"/>
        </w:rPr>
        <w:t xml:space="preserve"> </w:t>
      </w:r>
      <w:r w:rsidR="006A3BEE" w:rsidRPr="008E6184">
        <w:rPr>
          <w:rFonts w:eastAsia="Times New Roman" w:cstheme="minorHAnsi"/>
          <w:bCs/>
        </w:rPr>
        <w:t>segnale di allarme</w:t>
      </w:r>
      <w:r w:rsidR="00164E2C" w:rsidRPr="008E6184">
        <w:rPr>
          <w:rFonts w:eastAsia="Times New Roman" w:cstheme="minorHAnsi"/>
          <w:bCs/>
        </w:rPr>
        <w:t>,</w:t>
      </w:r>
      <w:r w:rsidR="006A3BEE" w:rsidRPr="008E6184">
        <w:rPr>
          <w:rFonts w:eastAsia="Times New Roman" w:cstheme="minorHAnsi"/>
        </w:rPr>
        <w:t xml:space="preserve"> che </w:t>
      </w:r>
      <w:r w:rsidR="00164E2C" w:rsidRPr="008E6184">
        <w:rPr>
          <w:rFonts w:eastAsia="Times New Roman" w:cstheme="minorHAnsi"/>
        </w:rPr>
        <w:t>impone</w:t>
      </w:r>
      <w:r w:rsidR="006A3BEE" w:rsidRPr="008E6184">
        <w:rPr>
          <w:rFonts w:eastAsia="Times New Roman" w:cstheme="minorHAnsi"/>
        </w:rPr>
        <w:t xml:space="preserve"> interventi urgenti per riequilibrare </w:t>
      </w:r>
      <w:r w:rsidR="002E40FD" w:rsidRPr="008E6184">
        <w:rPr>
          <w:rFonts w:eastAsia="Times New Roman" w:cstheme="minorHAnsi"/>
        </w:rPr>
        <w:t xml:space="preserve">i </w:t>
      </w:r>
      <w:r w:rsidR="006A3BEE" w:rsidRPr="008E6184">
        <w:rPr>
          <w:rFonts w:eastAsia="Times New Roman" w:cstheme="minorHAnsi"/>
        </w:rPr>
        <w:t>diritti delle persone</w:t>
      </w:r>
      <w:r w:rsidRPr="008E6184">
        <w:rPr>
          <w:rFonts w:eastAsia="Times New Roman" w:cstheme="minorHAnsi"/>
        </w:rPr>
        <w:t>»</w:t>
      </w:r>
      <w:r w:rsidR="00164E2C" w:rsidRPr="008E6184">
        <w:rPr>
          <w:rFonts w:eastAsia="Times New Roman" w:cstheme="minorHAnsi"/>
        </w:rPr>
        <w:t xml:space="preserve"> </w:t>
      </w:r>
      <w:r w:rsidRPr="008E6184">
        <w:rPr>
          <w:rFonts w:eastAsia="Times New Roman" w:cstheme="minorHAnsi"/>
        </w:rPr>
        <w:t xml:space="preserve">conclude Cartabellotta.  </w:t>
      </w:r>
      <w:r w:rsidR="000151CE" w:rsidRPr="008E6184">
        <w:rPr>
          <w:rFonts w:eastAsia="Times New Roman" w:cstheme="minorHAnsi"/>
        </w:rPr>
        <w:t>«</w:t>
      </w:r>
      <w:r w:rsidR="000151CE" w:rsidRPr="008E6184">
        <w:rPr>
          <w:rFonts w:eastAsia="Times New Roman" w:cstheme="minorHAnsi"/>
          <w:bCs/>
        </w:rPr>
        <w:t xml:space="preserve">Garantire il diritto alla </w:t>
      </w:r>
      <w:r w:rsidR="004B6E0D" w:rsidRPr="008E6184">
        <w:rPr>
          <w:rFonts w:eastAsia="Times New Roman" w:cstheme="minorHAnsi"/>
          <w:bCs/>
        </w:rPr>
        <w:t xml:space="preserve">tutela della </w:t>
      </w:r>
      <w:r w:rsidR="000151CE" w:rsidRPr="008E6184">
        <w:rPr>
          <w:rFonts w:eastAsia="Times New Roman" w:cstheme="minorHAnsi"/>
          <w:bCs/>
        </w:rPr>
        <w:t>salute su tutto il territorio nazionale</w:t>
      </w:r>
      <w:r w:rsidR="00AD0351" w:rsidRPr="008E6184">
        <w:rPr>
          <w:rFonts w:eastAsia="Times New Roman" w:cstheme="minorHAnsi"/>
          <w:bCs/>
        </w:rPr>
        <w:t xml:space="preserve"> </w:t>
      </w:r>
      <w:r w:rsidR="00164E2C" w:rsidRPr="008E6184">
        <w:rPr>
          <w:rFonts w:eastAsia="Times New Roman" w:cstheme="minorHAnsi"/>
          <w:bCs/>
        </w:rPr>
        <w:t xml:space="preserve">significa </w:t>
      </w:r>
      <w:r w:rsidR="00012657" w:rsidRPr="008E6184">
        <w:rPr>
          <w:rFonts w:eastAsia="Times New Roman" w:cstheme="minorHAnsi"/>
          <w:bCs/>
        </w:rPr>
        <w:t xml:space="preserve">evitare </w:t>
      </w:r>
      <w:r w:rsidR="000151CE" w:rsidRPr="008E6184">
        <w:rPr>
          <w:rFonts w:eastAsia="Times New Roman" w:cstheme="minorHAnsi"/>
          <w:bCs/>
        </w:rPr>
        <w:t xml:space="preserve">che intere aree del Paese </w:t>
      </w:r>
      <w:r w:rsidR="00164E2C" w:rsidRPr="008E6184">
        <w:rPr>
          <w:rFonts w:eastAsia="Times New Roman" w:cstheme="minorHAnsi"/>
          <w:bCs/>
        </w:rPr>
        <w:t>continuino</w:t>
      </w:r>
      <w:r w:rsidR="000151CE" w:rsidRPr="008E6184">
        <w:rPr>
          <w:rFonts w:eastAsia="Times New Roman" w:cstheme="minorHAnsi"/>
          <w:bCs/>
        </w:rPr>
        <w:t xml:space="preserve"> a esportare pazienti e miliardi di euro, mentre altre consolidano i </w:t>
      </w:r>
      <w:r w:rsidR="00164E2C" w:rsidRPr="008E6184">
        <w:rPr>
          <w:rFonts w:eastAsia="Times New Roman" w:cstheme="minorHAnsi"/>
          <w:bCs/>
        </w:rPr>
        <w:t xml:space="preserve">propri </w:t>
      </w:r>
      <w:r w:rsidR="000151CE" w:rsidRPr="008E6184">
        <w:rPr>
          <w:rFonts w:eastAsia="Times New Roman" w:cstheme="minorHAnsi"/>
          <w:bCs/>
        </w:rPr>
        <w:t>poli d’eccellenza</w:t>
      </w:r>
      <w:r w:rsidR="00AD0351" w:rsidRPr="008E6184">
        <w:rPr>
          <w:rFonts w:eastAsia="Times New Roman" w:cstheme="minorHAnsi"/>
          <w:bCs/>
        </w:rPr>
        <w:t>,</w:t>
      </w:r>
      <w:r w:rsidR="006D4744" w:rsidRPr="008E6184">
        <w:rPr>
          <w:rFonts w:eastAsia="Times New Roman" w:cstheme="minorHAnsi"/>
          <w:bCs/>
        </w:rPr>
        <w:t xml:space="preserve"> spesso</w:t>
      </w:r>
      <w:r w:rsidR="00012657" w:rsidRPr="008E6184">
        <w:rPr>
          <w:rFonts w:eastAsia="Times New Roman" w:cstheme="minorHAnsi"/>
          <w:bCs/>
        </w:rPr>
        <w:t xml:space="preserve"> rappresentati da strutture</w:t>
      </w:r>
      <w:r w:rsidR="00160C67" w:rsidRPr="008E6184">
        <w:rPr>
          <w:rFonts w:eastAsia="Times New Roman" w:cstheme="minorHAnsi"/>
          <w:bCs/>
        </w:rPr>
        <w:t xml:space="preserve"> </w:t>
      </w:r>
      <w:r w:rsidR="00012657" w:rsidRPr="008E6184">
        <w:rPr>
          <w:rFonts w:eastAsia="Times New Roman" w:cstheme="minorHAnsi"/>
          <w:bCs/>
        </w:rPr>
        <w:t xml:space="preserve">private </w:t>
      </w:r>
      <w:r w:rsidR="006D4744" w:rsidRPr="008E6184">
        <w:rPr>
          <w:rFonts w:eastAsia="Times New Roman" w:cstheme="minorHAnsi"/>
          <w:bCs/>
        </w:rPr>
        <w:t>accredita</w:t>
      </w:r>
      <w:r w:rsidR="00160C67" w:rsidRPr="008E6184">
        <w:rPr>
          <w:rFonts w:eastAsia="Times New Roman" w:cstheme="minorHAnsi"/>
          <w:bCs/>
        </w:rPr>
        <w:t>t</w:t>
      </w:r>
      <w:r w:rsidR="00012657" w:rsidRPr="008E6184">
        <w:rPr>
          <w:rFonts w:eastAsia="Times New Roman" w:cstheme="minorHAnsi"/>
          <w:bCs/>
        </w:rPr>
        <w:t>e</w:t>
      </w:r>
      <w:r w:rsidRPr="008E6184">
        <w:rPr>
          <w:rFonts w:eastAsia="Times New Roman" w:cstheme="minorHAnsi"/>
          <w:bCs/>
        </w:rPr>
        <w:t xml:space="preserve">. </w:t>
      </w:r>
      <w:r w:rsidR="00DB7449" w:rsidRPr="008E6184">
        <w:rPr>
          <w:rFonts w:eastAsia="Times New Roman" w:cstheme="minorHAnsi"/>
          <w:bCs/>
        </w:rPr>
        <w:t xml:space="preserve">In assenza di </w:t>
      </w:r>
      <w:r w:rsidR="000151CE" w:rsidRPr="008E6184">
        <w:rPr>
          <w:rFonts w:eastAsia="Times New Roman" w:cstheme="minorHAnsi"/>
          <w:bCs/>
        </w:rPr>
        <w:t>investimenti mirati</w:t>
      </w:r>
      <w:r w:rsidR="00012657" w:rsidRPr="008E6184">
        <w:rPr>
          <w:rFonts w:eastAsia="Times New Roman" w:cstheme="minorHAnsi"/>
          <w:bCs/>
        </w:rPr>
        <w:t>,</w:t>
      </w:r>
      <w:r w:rsidR="000151CE" w:rsidRPr="008E6184">
        <w:rPr>
          <w:rFonts w:eastAsia="Times New Roman" w:cstheme="minorHAnsi"/>
          <w:bCs/>
        </w:rPr>
        <w:t xml:space="preserve"> </w:t>
      </w:r>
      <w:r w:rsidR="00DB7449" w:rsidRPr="008E6184">
        <w:rPr>
          <w:rFonts w:eastAsia="Times New Roman" w:cstheme="minorHAnsi"/>
          <w:bCs/>
        </w:rPr>
        <w:t xml:space="preserve">coraggiose riforme, </w:t>
      </w:r>
      <w:bookmarkStart w:id="4" w:name="_Hlk190110795"/>
      <w:r w:rsidR="00DB7449" w:rsidRPr="008E6184">
        <w:rPr>
          <w:rFonts w:eastAsia="Times New Roman" w:cstheme="minorHAnsi"/>
          <w:bCs/>
        </w:rPr>
        <w:t xml:space="preserve">in particolare su Piani di rientro e commissariamenti, </w:t>
      </w:r>
      <w:bookmarkEnd w:id="4"/>
      <w:r w:rsidR="000151CE" w:rsidRPr="008E6184">
        <w:rPr>
          <w:rFonts w:eastAsia="Times New Roman" w:cstheme="minorHAnsi"/>
          <w:bCs/>
        </w:rPr>
        <w:t xml:space="preserve">e politiche di riequilibrio, la mobilità sanitaria </w:t>
      </w:r>
      <w:r w:rsidR="00012657" w:rsidRPr="008E6184">
        <w:rPr>
          <w:rFonts w:eastAsia="Times New Roman" w:cstheme="minorHAnsi"/>
          <w:bCs/>
        </w:rPr>
        <w:t xml:space="preserve">finirà per penalizzare </w:t>
      </w:r>
      <w:r w:rsidR="00164E2C" w:rsidRPr="008E6184">
        <w:rPr>
          <w:rFonts w:eastAsia="Times New Roman" w:cstheme="minorHAnsi"/>
          <w:bCs/>
        </w:rPr>
        <w:t>sempre più</w:t>
      </w:r>
      <w:r w:rsidR="000151CE" w:rsidRPr="008E6184">
        <w:rPr>
          <w:rFonts w:eastAsia="Times New Roman" w:cstheme="minorHAnsi"/>
          <w:bCs/>
        </w:rPr>
        <w:t xml:space="preserve"> i cittadini più fragili</w:t>
      </w:r>
      <w:r w:rsidR="00164E2C" w:rsidRPr="008E6184">
        <w:rPr>
          <w:rFonts w:eastAsia="Times New Roman" w:cstheme="minorHAnsi"/>
          <w:bCs/>
        </w:rPr>
        <w:t>,</w:t>
      </w:r>
      <w:r w:rsidRPr="008E6184">
        <w:rPr>
          <w:rFonts w:eastAsia="Times New Roman" w:cstheme="minorHAnsi"/>
          <w:bCs/>
        </w:rPr>
        <w:t xml:space="preserve"> minando </w:t>
      </w:r>
      <w:r w:rsidR="000151CE" w:rsidRPr="008E6184">
        <w:rPr>
          <w:rFonts w:eastAsia="Times New Roman" w:cstheme="minorHAnsi"/>
          <w:bCs/>
        </w:rPr>
        <w:t>alle fondamenta l’universalità del Servizio Sanitario Nazionale</w:t>
      </w:r>
      <w:r w:rsidR="00AD0351" w:rsidRPr="008E6184">
        <w:rPr>
          <w:rFonts w:eastAsia="Times New Roman" w:cstheme="minorHAnsi"/>
          <w:bCs/>
        </w:rPr>
        <w:t xml:space="preserve">. </w:t>
      </w:r>
      <w:r w:rsidR="008E6184" w:rsidRPr="008E6184">
        <w:rPr>
          <w:rFonts w:eastAsia="Times New Roman" w:cstheme="minorHAnsi"/>
          <w:bCs/>
        </w:rPr>
        <w:t xml:space="preserve">Infine, </w:t>
      </w:r>
      <w:r w:rsidR="008E6184" w:rsidRPr="008E6184">
        <w:rPr>
          <w:rFonts w:eastAsia="Times New Roman" w:cstheme="minorHAnsi"/>
        </w:rPr>
        <w:t>s</w:t>
      </w:r>
      <w:r w:rsidR="005D20F7" w:rsidRPr="008E6184">
        <w:rPr>
          <w:rFonts w:eastAsia="Times New Roman" w:cstheme="minorHAnsi"/>
        </w:rPr>
        <w:t xml:space="preserve">enza </w:t>
      </w:r>
      <w:r w:rsidR="008E6184" w:rsidRPr="008E6184">
        <w:rPr>
          <w:rFonts w:eastAsia="Times New Roman" w:cstheme="minorHAnsi"/>
        </w:rPr>
        <w:t xml:space="preserve">adeguate </w:t>
      </w:r>
      <w:r w:rsidR="005D20F7" w:rsidRPr="008E6184">
        <w:rPr>
          <w:rFonts w:eastAsia="Times New Roman" w:cstheme="minorHAnsi"/>
        </w:rPr>
        <w:t>misure correttive, l’autonomia differenziata affosserà</w:t>
      </w:r>
      <w:r w:rsidR="00A20F09" w:rsidRPr="008E6184">
        <w:rPr>
          <w:rFonts w:eastAsia="Times New Roman" w:cstheme="minorHAnsi"/>
        </w:rPr>
        <w:t xml:space="preserve"> </w:t>
      </w:r>
      <w:r w:rsidR="005D20F7" w:rsidRPr="008E6184">
        <w:rPr>
          <w:rFonts w:eastAsia="Times New Roman" w:cstheme="minorHAnsi"/>
        </w:rPr>
        <w:t>definitivamente la sanità del Mezzogiorno, con un effetto boomerang sulle Regioni del Nord più attrattive, che potrebbero trovarsi in difficoltà nel garantire un’adeguata erogazione dei LEA ai propri cittadini residenti</w:t>
      </w:r>
      <w:r w:rsidR="000151CE" w:rsidRPr="008E6184">
        <w:rPr>
          <w:rFonts w:eastAsia="Times New Roman" w:cstheme="minorHAnsi"/>
        </w:rPr>
        <w:t>».</w:t>
      </w:r>
    </w:p>
    <w:p w14:paraId="74375F30" w14:textId="77777777" w:rsidR="000151CE" w:rsidRDefault="000151CE" w:rsidP="000151CE">
      <w:pPr>
        <w:jc w:val="both"/>
      </w:pPr>
      <w:r>
        <w:t>Il report dell’Osservatorio GIMBE “</w:t>
      </w:r>
      <w:r w:rsidRPr="00FA2363">
        <w:t>La mobilità s</w:t>
      </w:r>
      <w:r>
        <w:t xml:space="preserve">anitaria interregionale nel 2022” è disponibile a: </w:t>
      </w:r>
      <w:hyperlink r:id="rId10" w:history="1">
        <w:r w:rsidRPr="00701365">
          <w:rPr>
            <w:rStyle w:val="Collegamentoipertestuale"/>
          </w:rPr>
          <w:t>www.gimbe.org/mobilita2022</w:t>
        </w:r>
      </w:hyperlink>
    </w:p>
    <w:p w14:paraId="0B4BAD6A" w14:textId="77777777" w:rsidR="000151CE" w:rsidRPr="00E3755B" w:rsidRDefault="000151CE" w:rsidP="000151C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714865D7" w14:textId="77777777" w:rsidR="000151CE" w:rsidRPr="00E3755B" w:rsidRDefault="000151CE" w:rsidP="000151CE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0177DB00" w14:textId="77777777" w:rsidR="000151CE" w:rsidRDefault="000151CE" w:rsidP="000151CE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1" w:history="1">
        <w:r w:rsidRPr="00B0449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6E194612" w14:textId="5AB185BD" w:rsidR="008B248B" w:rsidRDefault="008B248B">
      <w:pPr>
        <w:spacing w:after="160" w:line="259" w:lineRule="auto"/>
      </w:pPr>
      <w:r>
        <w:br w:type="page"/>
      </w:r>
    </w:p>
    <w:p w14:paraId="3FCD1A3F" w14:textId="3C3A874D" w:rsidR="008B248B" w:rsidRPr="00A538CC" w:rsidRDefault="008B248B" w:rsidP="008B248B">
      <w:pPr>
        <w:spacing w:after="0" w:line="240" w:lineRule="auto"/>
        <w:jc w:val="center"/>
        <w:rPr>
          <w:b/>
          <w:bCs/>
          <w:color w:val="05457D"/>
          <w:u w:color="00457D"/>
        </w:rPr>
      </w:pPr>
      <w:r w:rsidRPr="00A538CC">
        <w:rPr>
          <w:b/>
          <w:bCs/>
          <w:color w:val="05457D"/>
          <w:u w:color="00457D"/>
        </w:rPr>
        <w:lastRenderedPageBreak/>
        <w:t>Figura 1. Crediti per mobilità sanitaria attiva: anno 2022</w:t>
      </w:r>
    </w:p>
    <w:p w14:paraId="4B9DC49F" w14:textId="52EFD68E" w:rsidR="008B248B" w:rsidRDefault="008B248B" w:rsidP="008B248B">
      <w:pPr>
        <w:jc w:val="center"/>
      </w:pPr>
      <w:r w:rsidRPr="00100FD1">
        <w:rPr>
          <w:rFonts w:asciiTheme="majorHAnsi" w:hAnsiTheme="majorHAnsi"/>
          <w:noProof/>
          <w:color w:val="FF0000"/>
          <w:lang w:eastAsia="it-IT"/>
        </w:rPr>
        <w:drawing>
          <wp:inline distT="0" distB="0" distL="0" distR="0" wp14:anchorId="7122DFFA" wp14:editId="61F75ADA">
            <wp:extent cx="5040000" cy="3398532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9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7158E" w14:textId="77777777" w:rsidR="008B248B" w:rsidRDefault="008B248B" w:rsidP="008B248B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5606DDED" w14:textId="4D507880" w:rsidR="008B248B" w:rsidRPr="00A538CC" w:rsidRDefault="008B248B" w:rsidP="008B248B">
      <w:pPr>
        <w:spacing w:after="0" w:line="240" w:lineRule="auto"/>
        <w:jc w:val="center"/>
        <w:rPr>
          <w:sz w:val="20"/>
          <w:szCs w:val="20"/>
        </w:rPr>
      </w:pPr>
      <w:r w:rsidRPr="00A538CC">
        <w:rPr>
          <w:b/>
          <w:bCs/>
          <w:color w:val="05457D"/>
          <w:u w:color="00457D"/>
        </w:rPr>
        <w:t>Figura 2. Debiti per mobilità sanitaria</w:t>
      </w:r>
      <w:r w:rsidR="001F383C" w:rsidRPr="00A538CC">
        <w:rPr>
          <w:b/>
          <w:bCs/>
          <w:color w:val="05457D"/>
          <w:u w:color="00457D"/>
        </w:rPr>
        <w:t xml:space="preserve"> passiva</w:t>
      </w:r>
      <w:r w:rsidRPr="00A538CC">
        <w:rPr>
          <w:b/>
          <w:bCs/>
          <w:color w:val="05457D"/>
          <w:u w:color="00457D"/>
        </w:rPr>
        <w:t>: anno 2022</w:t>
      </w:r>
    </w:p>
    <w:p w14:paraId="2CE0F237" w14:textId="38813E17" w:rsidR="008B248B" w:rsidRDefault="008B248B" w:rsidP="008B248B">
      <w:pPr>
        <w:jc w:val="center"/>
      </w:pPr>
      <w:r w:rsidRPr="00100FD1">
        <w:rPr>
          <w:rFonts w:asciiTheme="majorHAnsi" w:hAnsiTheme="majorHAnsi"/>
          <w:noProof/>
          <w:lang w:eastAsia="it-IT"/>
        </w:rPr>
        <w:drawing>
          <wp:inline distT="0" distB="0" distL="0" distR="0" wp14:anchorId="63FDD497" wp14:editId="1BD19939">
            <wp:extent cx="5040000" cy="3394546"/>
            <wp:effectExtent l="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94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14:paraId="4A4F8DAA" w14:textId="77777777" w:rsidR="008B248B" w:rsidRDefault="008B248B" w:rsidP="008B248B">
      <w:pPr>
        <w:jc w:val="center"/>
      </w:pPr>
    </w:p>
    <w:p w14:paraId="6DA8E9FF" w14:textId="77777777" w:rsidR="008B248B" w:rsidRDefault="008B248B" w:rsidP="008B248B">
      <w:pPr>
        <w:jc w:val="center"/>
      </w:pPr>
    </w:p>
    <w:p w14:paraId="3708CB8D" w14:textId="67759E69" w:rsidR="008B248B" w:rsidRDefault="008B248B" w:rsidP="008B248B">
      <w:pPr>
        <w:jc w:val="center"/>
      </w:pPr>
    </w:p>
    <w:p w14:paraId="264B1935" w14:textId="2A12D1C9" w:rsidR="008B248B" w:rsidRDefault="008B248B" w:rsidP="008B248B">
      <w:pPr>
        <w:jc w:val="center"/>
      </w:pPr>
    </w:p>
    <w:p w14:paraId="2F06C318" w14:textId="3BBAC1CB" w:rsidR="008B248B" w:rsidRPr="00A538CC" w:rsidRDefault="008B248B" w:rsidP="008B248B">
      <w:pPr>
        <w:spacing w:after="0" w:line="240" w:lineRule="auto"/>
        <w:jc w:val="center"/>
        <w:rPr>
          <w:sz w:val="20"/>
          <w:szCs w:val="20"/>
        </w:rPr>
      </w:pPr>
      <w:r w:rsidRPr="00A538CC">
        <w:rPr>
          <w:b/>
          <w:bCs/>
          <w:color w:val="05457D"/>
          <w:u w:color="00457D"/>
        </w:rPr>
        <w:lastRenderedPageBreak/>
        <w:t>Figura 3. Categorie saldi mobilità sanitaria 2022</w:t>
      </w:r>
    </w:p>
    <w:p w14:paraId="5137DC4F" w14:textId="33F48B3A" w:rsidR="008B248B" w:rsidRDefault="008B248B" w:rsidP="008B248B">
      <w:pPr>
        <w:jc w:val="center"/>
      </w:pPr>
      <w:r w:rsidRPr="00100FD1">
        <w:rPr>
          <w:rFonts w:ascii="Cambria" w:hAnsi="Cambria"/>
          <w:noProof/>
          <w:color w:val="00457D"/>
          <w:lang w:eastAsia="it-IT"/>
        </w:rPr>
        <w:drawing>
          <wp:inline distT="0" distB="0" distL="0" distR="0" wp14:anchorId="4547575F" wp14:editId="5CEFB1F3">
            <wp:extent cx="5057140" cy="3418840"/>
            <wp:effectExtent l="19050" t="19050" r="10160" b="1016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418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78E0351" w14:textId="77777777" w:rsidR="002D3B91" w:rsidRDefault="002D3B91" w:rsidP="008B248B">
      <w:pPr>
        <w:jc w:val="center"/>
      </w:pPr>
    </w:p>
    <w:p w14:paraId="739D1C72" w14:textId="13AA428F" w:rsidR="002D3B91" w:rsidRPr="00A538CC" w:rsidRDefault="002D3B91" w:rsidP="002D3B91">
      <w:pPr>
        <w:spacing w:after="0" w:line="240" w:lineRule="auto"/>
        <w:jc w:val="center"/>
        <w:rPr>
          <w:b/>
          <w:bCs/>
          <w:color w:val="05457D"/>
          <w:u w:color="00457D"/>
        </w:rPr>
      </w:pPr>
      <w:r w:rsidRPr="00A538CC">
        <w:rPr>
          <w:b/>
          <w:bCs/>
          <w:color w:val="05457D"/>
          <w:u w:color="00457D"/>
        </w:rPr>
        <w:t xml:space="preserve">Figura 4. Valore percentuale della mobilità sanitaria 2022 erogata </w:t>
      </w:r>
    </w:p>
    <w:p w14:paraId="2920E6E2" w14:textId="6D593DF1" w:rsidR="002D3B91" w:rsidRPr="00A538CC" w:rsidRDefault="002D3B91" w:rsidP="002D3B91">
      <w:pPr>
        <w:spacing w:after="0" w:line="240" w:lineRule="auto"/>
        <w:jc w:val="center"/>
        <w:rPr>
          <w:b/>
          <w:bCs/>
          <w:color w:val="05457D"/>
          <w:u w:color="00457D"/>
        </w:rPr>
      </w:pPr>
      <w:r w:rsidRPr="00A538CC">
        <w:rPr>
          <w:b/>
          <w:bCs/>
          <w:color w:val="05457D"/>
          <w:u w:color="00457D"/>
        </w:rPr>
        <w:t>da strutture private accreditate: ricoveri (ordinari e day hospital) e specialistica ambulatoriale</w:t>
      </w:r>
    </w:p>
    <w:p w14:paraId="1466F4BB" w14:textId="5435C220" w:rsidR="002D3B91" w:rsidRDefault="002D3B91" w:rsidP="008B248B">
      <w:pPr>
        <w:jc w:val="center"/>
      </w:pPr>
      <w:r>
        <w:rPr>
          <w:noProof/>
          <w:lang w:eastAsia="it-IT"/>
        </w:rPr>
        <w:drawing>
          <wp:inline distT="0" distB="0" distL="0" distR="0" wp14:anchorId="22E79445" wp14:editId="2286BF78">
            <wp:extent cx="5041900" cy="438975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E0D92" w14:textId="77777777" w:rsidR="002D3B91" w:rsidRPr="00A538CC" w:rsidRDefault="002D3B91" w:rsidP="002D3B91">
      <w:pPr>
        <w:spacing w:after="0" w:line="240" w:lineRule="auto"/>
        <w:jc w:val="center"/>
        <w:rPr>
          <w:b/>
          <w:bCs/>
          <w:color w:val="05457D"/>
          <w:u w:color="00457D"/>
        </w:rPr>
      </w:pPr>
      <w:r w:rsidRPr="00A538CC">
        <w:rPr>
          <w:b/>
          <w:bCs/>
          <w:color w:val="05457D"/>
          <w:u w:color="00457D"/>
        </w:rPr>
        <w:lastRenderedPageBreak/>
        <w:t>Figura 5. Mobilità sanitaria effettiva per ricoveri in relazione alla complessità del DRG</w:t>
      </w:r>
    </w:p>
    <w:p w14:paraId="1D5C9771" w14:textId="7C7B8DCD" w:rsidR="002D3B91" w:rsidRPr="00A538CC" w:rsidRDefault="002D3B91" w:rsidP="002D3B91">
      <w:pPr>
        <w:spacing w:after="0" w:line="240" w:lineRule="auto"/>
        <w:jc w:val="center"/>
        <w:rPr>
          <w:sz w:val="20"/>
          <w:szCs w:val="20"/>
        </w:rPr>
      </w:pPr>
      <w:r w:rsidRPr="00A538CC">
        <w:rPr>
          <w:b/>
          <w:bCs/>
          <w:color w:val="05457D"/>
          <w:u w:color="00457D"/>
        </w:rPr>
        <w:t xml:space="preserve"> (dati </w:t>
      </w:r>
      <w:proofErr w:type="spellStart"/>
      <w:r w:rsidRPr="00A538CC">
        <w:rPr>
          <w:b/>
          <w:bCs/>
          <w:color w:val="05457D"/>
          <w:u w:color="00457D"/>
        </w:rPr>
        <w:t>Agenas</w:t>
      </w:r>
      <w:proofErr w:type="spellEnd"/>
      <w:r w:rsidRPr="00A538CC">
        <w:rPr>
          <w:b/>
          <w:bCs/>
          <w:color w:val="05457D"/>
          <w:u w:color="00457D"/>
        </w:rPr>
        <w:t>, 2022)</w:t>
      </w:r>
    </w:p>
    <w:p w14:paraId="2D653173" w14:textId="5205C0CB" w:rsidR="002D3B91" w:rsidRDefault="002D3B91" w:rsidP="008B248B">
      <w:pPr>
        <w:jc w:val="center"/>
      </w:pPr>
      <w:r w:rsidRPr="00100FD1">
        <w:rPr>
          <w:noProof/>
          <w:lang w:eastAsia="it-IT"/>
        </w:rPr>
        <w:drawing>
          <wp:inline distT="0" distB="0" distL="0" distR="0" wp14:anchorId="00B2CF86" wp14:editId="66CFEE57">
            <wp:extent cx="5040000" cy="3084627"/>
            <wp:effectExtent l="0" t="0" r="8255" b="190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8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730053" w14:textId="77777777" w:rsidR="001F383C" w:rsidRDefault="001F383C" w:rsidP="001F383C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</w:p>
    <w:p w14:paraId="5F7A07F5" w14:textId="30B89684" w:rsidR="001F383C" w:rsidRPr="00A538CC" w:rsidRDefault="001F383C" w:rsidP="001F383C">
      <w:pPr>
        <w:spacing w:after="0" w:line="240" w:lineRule="auto"/>
        <w:jc w:val="center"/>
        <w:rPr>
          <w:b/>
          <w:bCs/>
          <w:color w:val="05457D"/>
          <w:u w:color="00457D"/>
        </w:rPr>
      </w:pPr>
      <w:r w:rsidRPr="00A538CC">
        <w:rPr>
          <w:b/>
          <w:bCs/>
          <w:color w:val="05457D"/>
          <w:u w:color="00457D"/>
        </w:rPr>
        <w:t>Figura 6. Mobilità sanitaria effettiva per ricoveri in relazione alla prossimità delle strutture</w:t>
      </w:r>
      <w:r w:rsidRPr="00A538CC">
        <w:rPr>
          <w:b/>
          <w:bCs/>
          <w:color w:val="05457D"/>
          <w:u w:color="00457D"/>
        </w:rPr>
        <w:br/>
        <w:t xml:space="preserve">rispetto al Comune di residenza (dati </w:t>
      </w:r>
      <w:proofErr w:type="spellStart"/>
      <w:r w:rsidRPr="00A538CC">
        <w:rPr>
          <w:b/>
          <w:bCs/>
          <w:color w:val="05457D"/>
          <w:u w:color="00457D"/>
        </w:rPr>
        <w:t>Agenas</w:t>
      </w:r>
      <w:proofErr w:type="spellEnd"/>
      <w:r w:rsidRPr="00A538CC">
        <w:rPr>
          <w:b/>
          <w:bCs/>
          <w:color w:val="05457D"/>
          <w:u w:color="00457D"/>
        </w:rPr>
        <w:t>, 2022)</w:t>
      </w:r>
    </w:p>
    <w:p w14:paraId="0D5A2B3C" w14:textId="77777777" w:rsidR="001F383C" w:rsidRPr="001F383C" w:rsidRDefault="001F383C" w:rsidP="001F383C">
      <w:pPr>
        <w:spacing w:after="0"/>
        <w:jc w:val="center"/>
        <w:rPr>
          <w:rFonts w:cstheme="minorHAnsi"/>
        </w:rPr>
      </w:pPr>
      <w:r w:rsidRPr="001F383C">
        <w:rPr>
          <w:rFonts w:cstheme="minorHAnsi"/>
          <w:noProof/>
          <w:lang w:eastAsia="it-IT"/>
        </w:rPr>
        <w:drawing>
          <wp:inline distT="0" distB="0" distL="0" distR="0" wp14:anchorId="4E3685AE" wp14:editId="1CB34240">
            <wp:extent cx="5040000" cy="3084627"/>
            <wp:effectExtent l="0" t="0" r="8255" b="1905"/>
            <wp:docPr id="127355708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8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05504" w14:textId="77777777" w:rsidR="001F383C" w:rsidRDefault="001F383C" w:rsidP="008B248B">
      <w:pPr>
        <w:jc w:val="center"/>
      </w:pPr>
    </w:p>
    <w:p w14:paraId="7E9F0491" w14:textId="77777777" w:rsidR="001F383C" w:rsidRDefault="001F383C">
      <w:pPr>
        <w:spacing w:after="160" w:line="259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1C59C3B5" w14:textId="6C025660" w:rsidR="002D3B91" w:rsidRPr="00A538CC" w:rsidRDefault="002D3B91" w:rsidP="002D3B91">
      <w:pPr>
        <w:spacing w:after="0" w:line="240" w:lineRule="auto"/>
        <w:jc w:val="center"/>
        <w:rPr>
          <w:sz w:val="20"/>
          <w:szCs w:val="20"/>
        </w:rPr>
      </w:pPr>
      <w:r w:rsidRPr="00A538CC">
        <w:rPr>
          <w:b/>
          <w:bCs/>
          <w:color w:val="05457D"/>
          <w:u w:color="00457D"/>
        </w:rPr>
        <w:lastRenderedPageBreak/>
        <w:t xml:space="preserve">Figura </w:t>
      </w:r>
      <w:r w:rsidR="001F383C" w:rsidRPr="00A538CC">
        <w:rPr>
          <w:b/>
          <w:bCs/>
          <w:color w:val="05457D"/>
          <w:u w:color="00457D"/>
        </w:rPr>
        <w:t>7</w:t>
      </w:r>
      <w:r w:rsidRPr="00A538CC">
        <w:rPr>
          <w:b/>
          <w:bCs/>
          <w:color w:val="05457D"/>
          <w:u w:color="00457D"/>
        </w:rPr>
        <w:t xml:space="preserve">. Mobilità sanitaria per specialista ambulatoriale (dati </w:t>
      </w:r>
      <w:proofErr w:type="spellStart"/>
      <w:r w:rsidRPr="00A538CC">
        <w:rPr>
          <w:b/>
          <w:bCs/>
          <w:color w:val="05457D"/>
          <w:u w:color="00457D"/>
        </w:rPr>
        <w:t>Agenas</w:t>
      </w:r>
      <w:proofErr w:type="spellEnd"/>
      <w:r w:rsidRPr="00A538CC">
        <w:rPr>
          <w:b/>
          <w:bCs/>
          <w:color w:val="05457D"/>
          <w:u w:color="00457D"/>
        </w:rPr>
        <w:t>, 2022)</w:t>
      </w:r>
    </w:p>
    <w:p w14:paraId="1582D543" w14:textId="76B58231" w:rsidR="002D3B91" w:rsidRPr="000151CE" w:rsidRDefault="002D3B91" w:rsidP="008B248B">
      <w:pPr>
        <w:jc w:val="center"/>
      </w:pPr>
      <w:r w:rsidRPr="00100FD1">
        <w:rPr>
          <w:rFonts w:ascii="Cambria" w:hAnsi="Cambria"/>
          <w:bCs/>
          <w:noProof/>
          <w:szCs w:val="26"/>
          <w:lang w:eastAsia="it-IT"/>
        </w:rPr>
        <w:drawing>
          <wp:inline distT="0" distB="0" distL="0" distR="0" wp14:anchorId="2C507B14" wp14:editId="268E69B0">
            <wp:extent cx="5040000" cy="3084627"/>
            <wp:effectExtent l="0" t="0" r="8255" b="190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8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3B91" w:rsidRPr="0001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D62B" w14:textId="77777777" w:rsidR="00E45306" w:rsidRDefault="00E45306" w:rsidP="00BE3D30">
      <w:pPr>
        <w:spacing w:after="0" w:line="240" w:lineRule="auto"/>
      </w:pPr>
      <w:r>
        <w:separator/>
      </w:r>
    </w:p>
  </w:endnote>
  <w:endnote w:type="continuationSeparator" w:id="0">
    <w:p w14:paraId="3EF8A892" w14:textId="77777777" w:rsidR="00E45306" w:rsidRDefault="00E45306" w:rsidP="00BE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27EDD" w14:textId="77777777" w:rsidR="00E45306" w:rsidRDefault="00E45306" w:rsidP="00BE3D30">
      <w:pPr>
        <w:spacing w:after="0" w:line="240" w:lineRule="auto"/>
      </w:pPr>
      <w:r>
        <w:separator/>
      </w:r>
    </w:p>
  </w:footnote>
  <w:footnote w:type="continuationSeparator" w:id="0">
    <w:p w14:paraId="184C367F" w14:textId="77777777" w:rsidR="00E45306" w:rsidRDefault="00E45306" w:rsidP="00BE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43"/>
    <w:rsid w:val="00000C58"/>
    <w:rsid w:val="00012657"/>
    <w:rsid w:val="000140CD"/>
    <w:rsid w:val="000151CE"/>
    <w:rsid w:val="000447FF"/>
    <w:rsid w:val="00062A9B"/>
    <w:rsid w:val="000914D4"/>
    <w:rsid w:val="001022BD"/>
    <w:rsid w:val="00135252"/>
    <w:rsid w:val="00160C67"/>
    <w:rsid w:val="00160EAD"/>
    <w:rsid w:val="00164E2C"/>
    <w:rsid w:val="001C21B3"/>
    <w:rsid w:val="001F383C"/>
    <w:rsid w:val="0024081D"/>
    <w:rsid w:val="00261361"/>
    <w:rsid w:val="002737F7"/>
    <w:rsid w:val="0028310C"/>
    <w:rsid w:val="002D3B91"/>
    <w:rsid w:val="002E40FD"/>
    <w:rsid w:val="0036058E"/>
    <w:rsid w:val="00364385"/>
    <w:rsid w:val="003B4643"/>
    <w:rsid w:val="003D5B8B"/>
    <w:rsid w:val="003E2D43"/>
    <w:rsid w:val="003E6382"/>
    <w:rsid w:val="0041707B"/>
    <w:rsid w:val="004514C9"/>
    <w:rsid w:val="004841D0"/>
    <w:rsid w:val="004B3948"/>
    <w:rsid w:val="004B6E0D"/>
    <w:rsid w:val="004F3CEA"/>
    <w:rsid w:val="005077C9"/>
    <w:rsid w:val="005D20F7"/>
    <w:rsid w:val="005E7241"/>
    <w:rsid w:val="00652A10"/>
    <w:rsid w:val="006A3BEE"/>
    <w:rsid w:val="006C13E4"/>
    <w:rsid w:val="006D4744"/>
    <w:rsid w:val="006D7520"/>
    <w:rsid w:val="00711E5F"/>
    <w:rsid w:val="00741CCA"/>
    <w:rsid w:val="007620A0"/>
    <w:rsid w:val="00776A4E"/>
    <w:rsid w:val="007A78B5"/>
    <w:rsid w:val="007B44E9"/>
    <w:rsid w:val="007D2F51"/>
    <w:rsid w:val="007E362B"/>
    <w:rsid w:val="007E79C7"/>
    <w:rsid w:val="007F7E9A"/>
    <w:rsid w:val="00821089"/>
    <w:rsid w:val="00823380"/>
    <w:rsid w:val="00874684"/>
    <w:rsid w:val="008B248B"/>
    <w:rsid w:val="008B6594"/>
    <w:rsid w:val="008D348C"/>
    <w:rsid w:val="008E6184"/>
    <w:rsid w:val="009203C1"/>
    <w:rsid w:val="00924547"/>
    <w:rsid w:val="009314FB"/>
    <w:rsid w:val="00991382"/>
    <w:rsid w:val="009B4734"/>
    <w:rsid w:val="009C0EC5"/>
    <w:rsid w:val="009D209B"/>
    <w:rsid w:val="009F4496"/>
    <w:rsid w:val="00A00392"/>
    <w:rsid w:val="00A0448D"/>
    <w:rsid w:val="00A2077A"/>
    <w:rsid w:val="00A20F09"/>
    <w:rsid w:val="00A420D1"/>
    <w:rsid w:val="00A538CC"/>
    <w:rsid w:val="00A60FC1"/>
    <w:rsid w:val="00A96B31"/>
    <w:rsid w:val="00A96BE3"/>
    <w:rsid w:val="00A97501"/>
    <w:rsid w:val="00AB1282"/>
    <w:rsid w:val="00AD0351"/>
    <w:rsid w:val="00AF5BF6"/>
    <w:rsid w:val="00B1392A"/>
    <w:rsid w:val="00B13B9E"/>
    <w:rsid w:val="00B41C1E"/>
    <w:rsid w:val="00B864BD"/>
    <w:rsid w:val="00B948E1"/>
    <w:rsid w:val="00BC5ADA"/>
    <w:rsid w:val="00BE3D30"/>
    <w:rsid w:val="00C31E27"/>
    <w:rsid w:val="00C364D1"/>
    <w:rsid w:val="00C63C4E"/>
    <w:rsid w:val="00C77002"/>
    <w:rsid w:val="00CB1A36"/>
    <w:rsid w:val="00D077D3"/>
    <w:rsid w:val="00D16EB6"/>
    <w:rsid w:val="00D9539C"/>
    <w:rsid w:val="00DB5DFC"/>
    <w:rsid w:val="00DB7449"/>
    <w:rsid w:val="00E24AB3"/>
    <w:rsid w:val="00E25D1E"/>
    <w:rsid w:val="00E45306"/>
    <w:rsid w:val="00E53C9D"/>
    <w:rsid w:val="00E80277"/>
    <w:rsid w:val="00ED0ECF"/>
    <w:rsid w:val="00ED2F90"/>
    <w:rsid w:val="00EE21AA"/>
    <w:rsid w:val="00F156A0"/>
    <w:rsid w:val="00F253B1"/>
    <w:rsid w:val="00F41FC5"/>
    <w:rsid w:val="00F812AE"/>
    <w:rsid w:val="00F9560D"/>
    <w:rsid w:val="00FC35B7"/>
    <w:rsid w:val="00FC49A5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E8DE"/>
  <w15:chartTrackingRefBased/>
  <w15:docId w15:val="{59B598A3-5474-45CB-A747-C3B6488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D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D43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D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D4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2D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4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D30"/>
  </w:style>
  <w:style w:type="paragraph" w:styleId="Pidipagina">
    <w:name w:val="footer"/>
    <w:basedOn w:val="Normale"/>
    <w:link w:val="PidipaginaCarattere"/>
    <w:uiPriority w:val="99"/>
    <w:unhideWhenUsed/>
    <w:rsid w:val="00BE3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D3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7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744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62A9B"/>
    <w:rPr>
      <w:b/>
      <w:bCs/>
    </w:rPr>
  </w:style>
  <w:style w:type="paragraph" w:styleId="Didascalia">
    <w:name w:val="caption"/>
    <w:basedOn w:val="Normale"/>
    <w:next w:val="Normale"/>
    <w:uiPriority w:val="35"/>
    <w:unhideWhenUsed/>
    <w:qFormat/>
    <w:rsid w:val="008B248B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icata.it/media/a3tdkwld/p-26-csr-atto-rep-228-28nov2024.pdf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gimbe.org/mobilita2022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gimbe.org/mobilita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genas.gov.it/i-quaderni-di-monitor-%E2%80%93-supplementi-alla-rivista/2479-la-mobilit%C3%A0-sanitaria-in-italia-edizione-202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Luceri</dc:creator>
  <cp:keywords/>
  <dc:description/>
  <cp:lastModifiedBy>Luca Bellusci</cp:lastModifiedBy>
  <cp:revision>66</cp:revision>
  <dcterms:created xsi:type="dcterms:W3CDTF">2025-02-09T10:45:00Z</dcterms:created>
  <dcterms:modified xsi:type="dcterms:W3CDTF">2025-02-12T08:28:00Z</dcterms:modified>
</cp:coreProperties>
</file>