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4EF" w:rsidRPr="00083804" w:rsidRDefault="00B514EF" w:rsidP="00500148">
      <w:pPr>
        <w:spacing w:after="0" w:line="276" w:lineRule="auto"/>
        <w:jc w:val="center"/>
        <w:rPr>
          <w:b/>
          <w:bCs/>
          <w:color w:val="auto"/>
          <w:spacing w:val="-2"/>
          <w:sz w:val="36"/>
          <w:szCs w:val="36"/>
        </w:rPr>
      </w:pPr>
      <w:r w:rsidRPr="00083804">
        <w:rPr>
          <w:b/>
          <w:bCs/>
          <w:color w:val="auto"/>
          <w:spacing w:val="-2"/>
          <w:sz w:val="36"/>
          <w:szCs w:val="36"/>
        </w:rPr>
        <w:t>COMUNICATO STAMPA</w:t>
      </w:r>
    </w:p>
    <w:p w:rsidR="007D10E0" w:rsidRDefault="00F20F9C" w:rsidP="00F20F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76" w:lineRule="auto"/>
        <w:jc w:val="center"/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</w:pPr>
      <w:r w:rsidRPr="00F20F9C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CORONAVIRUS: </w:t>
      </w:r>
      <w:r w:rsidR="0045576F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AUMENTANO </w:t>
      </w:r>
      <w:r w:rsidR="007D10E0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NUOVI CASI (+22,4%</w:t>
      </w:r>
      <w:r w:rsidR="0045576F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), RICOVERI (+16,3%), TERAPIE INTENSIVE (+13,6</w:t>
      </w:r>
      <w:r w:rsidR="007D10E0" w:rsidRPr="00083804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%) E DECESSI (+1</w:t>
      </w:r>
      <w:r w:rsidR="0087236F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2</w:t>
      </w:r>
      <w:r w:rsidR="007D10E0" w:rsidRPr="00083804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%).</w:t>
      </w:r>
    </w:p>
    <w:p w:rsidR="00F20F9C" w:rsidRPr="00F20F9C" w:rsidRDefault="00F20F9C" w:rsidP="00F20F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76" w:lineRule="auto"/>
        <w:jc w:val="center"/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</w:pPr>
      <w:r w:rsidRPr="00F20F9C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OLTRE 150 CASI PER 100 MILA ABITANTI </w:t>
      </w:r>
      <w:r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IN </w:t>
      </w:r>
      <w:r w:rsidR="007D10E0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52 </w:t>
      </w:r>
      <w:r w:rsidRPr="00F20F9C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PROVINCE</w:t>
      </w:r>
      <w:r w:rsidR="00361905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.</w:t>
      </w:r>
      <w:r w:rsidRPr="00F20F9C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 </w:t>
      </w:r>
    </w:p>
    <w:p w:rsidR="00F20F9C" w:rsidRDefault="00E2532F" w:rsidP="00F20F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76" w:lineRule="auto"/>
        <w:jc w:val="center"/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</w:pPr>
      <w:r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ACCELERA LA CAMPAGNA VACCINALE: </w:t>
      </w:r>
      <w:r w:rsidR="000D5878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IN UNA</w:t>
      </w:r>
      <w:r w:rsidR="000D5878" w:rsidRPr="00F20F9C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 </w:t>
      </w:r>
      <w:r w:rsidR="00F20F9C" w:rsidRPr="00F20F9C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SETTIMANA </w:t>
      </w:r>
      <w:r w:rsidR="00414033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br/>
      </w:r>
      <w:r w:rsidR="007D10E0" w:rsidRPr="00F20F9C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+</w:t>
      </w:r>
      <w:r w:rsidR="007D10E0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223 MILA </w:t>
      </w:r>
      <w:r w:rsidR="007D10E0" w:rsidRPr="00F20F9C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NUOVI VACCINATI </w:t>
      </w:r>
      <w:r w:rsidR="00F20F9C" w:rsidRPr="00F20F9C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E </w:t>
      </w:r>
      <w:r w:rsidR="00361905" w:rsidRPr="00F20F9C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OLTRE </w:t>
      </w:r>
      <w:r w:rsidR="00361905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>2,6 MILIONI DI</w:t>
      </w:r>
      <w:r w:rsidR="00361905" w:rsidRPr="00F20F9C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 </w:t>
      </w:r>
      <w:r w:rsidR="00361905">
        <w:rPr>
          <w:rFonts w:eastAsia="Times New Roman" w:cs="Calibri"/>
          <w:b/>
          <w:bCs/>
          <w:color w:val="auto"/>
          <w:sz w:val="32"/>
          <w:szCs w:val="32"/>
          <w:bdr w:val="none" w:sz="0" w:space="0" w:color="auto"/>
        </w:rPr>
        <w:t xml:space="preserve">RICHIAMI </w:t>
      </w:r>
    </w:p>
    <w:p w:rsidR="00A1731E" w:rsidRDefault="007D10E0" w:rsidP="00A173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76" w:lineRule="auto"/>
        <w:jc w:val="both"/>
        <w:rPr>
          <w:rFonts w:eastAsia="Times New Roman" w:cs="Calibri"/>
          <w:b/>
          <w:bCs/>
          <w:sz w:val="24"/>
          <w:szCs w:val="24"/>
          <w:bdr w:val="none" w:sz="0" w:space="0" w:color="auto"/>
        </w:rPr>
      </w:pPr>
      <w:r w:rsidRPr="007D10E0">
        <w:rPr>
          <w:rFonts w:eastAsia="Times New Roman" w:cs="Calibri"/>
          <w:b/>
          <w:bCs/>
          <w:sz w:val="24"/>
          <w:szCs w:val="24"/>
          <w:bdr w:val="none" w:sz="0" w:space="0" w:color="auto"/>
        </w:rPr>
        <w:t>IL MONITORAGGIO DELLA FONDAZIONE GIMBE RILEVA, NELLA SETTIMANA 1-7</w:t>
      </w:r>
      <w:r w:rsidR="000D5878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DICEMBRE</w:t>
      </w:r>
      <w:r w:rsidRPr="007D10E0">
        <w:rPr>
          <w:rFonts w:eastAsia="Times New Roman" w:cs="Calibri"/>
          <w:b/>
          <w:bCs/>
          <w:sz w:val="24"/>
          <w:szCs w:val="24"/>
          <w:bdr w:val="none" w:sz="0" w:space="0" w:color="auto"/>
        </w:rPr>
        <w:t>,</w:t>
      </w:r>
      <w:r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UN AUMENTO DEI NUOVI CASI CHE </w:t>
      </w:r>
      <w:r w:rsidRPr="007D10E0">
        <w:rPr>
          <w:rFonts w:eastAsia="Times New Roman" w:cs="Calibri"/>
          <w:b/>
          <w:bCs/>
          <w:sz w:val="24"/>
          <w:szCs w:val="24"/>
          <w:bdr w:val="none" w:sz="0" w:space="0" w:color="auto"/>
        </w:rPr>
        <w:t>INTERESSA TUTTE LE REGIONI</w:t>
      </w:r>
      <w:r w:rsidR="008D7B00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AD ECCEZIONE DI MOLISE E VALLE D’AOSTA</w:t>
      </w:r>
      <w:r w:rsidRPr="007D10E0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. </w:t>
      </w:r>
      <w:r w:rsidR="008D7B00">
        <w:rPr>
          <w:rFonts w:eastAsia="Times New Roman" w:cs="Calibri"/>
          <w:b/>
          <w:bCs/>
          <w:sz w:val="24"/>
          <w:szCs w:val="24"/>
          <w:bdr w:val="none" w:sz="0" w:space="0" w:color="auto"/>
        </w:rPr>
        <w:t>CRESCONO</w:t>
      </w:r>
      <w:r w:rsidRPr="007D10E0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I RICOVERI IN AREA MEDICA (+851), IN TERAPIA INTE</w:t>
      </w:r>
      <w:r>
        <w:rPr>
          <w:rFonts w:eastAsia="Times New Roman" w:cs="Calibri"/>
          <w:b/>
          <w:bCs/>
          <w:sz w:val="24"/>
          <w:szCs w:val="24"/>
          <w:bdr w:val="none" w:sz="0" w:space="0" w:color="auto"/>
        </w:rPr>
        <w:t>NSIVA (+</w:t>
      </w:r>
      <w:r w:rsidR="00D50FC1">
        <w:rPr>
          <w:rFonts w:eastAsia="Times New Roman" w:cs="Calibri"/>
          <w:b/>
          <w:bCs/>
          <w:sz w:val="24"/>
          <w:szCs w:val="24"/>
          <w:bdr w:val="none" w:sz="0" w:space="0" w:color="auto"/>
        </w:rPr>
        <w:t>9</w:t>
      </w:r>
      <w:r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3) E I DECESSI (558), MA GRAZIE AI RICHIAMI SI RIDUCE LA PERCENTUALE DEI POSITIVI CHE RICHIEDE OSPEDALIZZAZIONE. </w:t>
      </w:r>
      <w:r w:rsidRPr="007D10E0">
        <w:rPr>
          <w:rFonts w:eastAsia="Times New Roman" w:cs="Calibri"/>
          <w:b/>
          <w:bCs/>
          <w:sz w:val="24"/>
          <w:szCs w:val="24"/>
          <w:bdr w:val="none" w:sz="0" w:space="0" w:color="auto"/>
        </w:rPr>
        <w:t>VACCINAZIONI: L’80,1% DELLA POPOLAZIONE HA RICEVUTO ALMENO UNA DOSE DI VACCINO</w:t>
      </w:r>
      <w:r w:rsidR="00414033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, </w:t>
      </w:r>
      <w:r w:rsidR="008D7B00">
        <w:rPr>
          <w:rFonts w:eastAsia="Times New Roman" w:cs="Calibri"/>
          <w:b/>
          <w:bCs/>
          <w:sz w:val="24"/>
          <w:szCs w:val="24"/>
          <w:bdr w:val="none" w:sz="0" w:space="0" w:color="auto"/>
        </w:rPr>
        <w:t>MA RIMANGONO SCOPERTI 2,5</w:t>
      </w:r>
      <w:r w:rsidR="008D7B00" w:rsidRPr="007D10E0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MILIONI DI OVER 50 AD ELEVATO RISCHIO DI OSPEDALIZZAZION</w:t>
      </w:r>
      <w:r w:rsidR="00414033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E. </w:t>
      </w:r>
      <w:r w:rsidR="008D7B00">
        <w:rPr>
          <w:rFonts w:eastAsia="Times New Roman" w:cs="Calibri"/>
          <w:b/>
          <w:bCs/>
          <w:sz w:val="24"/>
          <w:szCs w:val="24"/>
          <w:bdr w:val="none" w:sz="0" w:space="0" w:color="auto"/>
        </w:rPr>
        <w:t>TARGET SOMMINISTRAZIONI</w:t>
      </w:r>
      <w:r w:rsidR="008D7B00" w:rsidRPr="007D10E0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</w:t>
      </w:r>
      <w:r w:rsidR="008D7B00">
        <w:rPr>
          <w:rFonts w:eastAsia="Times New Roman" w:cs="Calibri"/>
          <w:b/>
          <w:bCs/>
          <w:sz w:val="24"/>
          <w:szCs w:val="24"/>
          <w:bdr w:val="none" w:sz="0" w:space="0" w:color="auto"/>
        </w:rPr>
        <w:t>DELLA STRUTTURA COMMISSARIALE</w:t>
      </w:r>
      <w:r w:rsidR="008D7B00" w:rsidRPr="007D10E0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</w:t>
      </w:r>
      <w:r w:rsidR="00D50FC1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SUPERATO NEL PERIODO 1-7 DICEMBRE. </w:t>
      </w:r>
      <w:r w:rsidRPr="007D10E0">
        <w:rPr>
          <w:rFonts w:eastAsia="Times New Roman" w:cs="Calibri"/>
          <w:b/>
          <w:bCs/>
          <w:sz w:val="24"/>
          <w:szCs w:val="24"/>
          <w:bdr w:val="none" w:sz="0" w:space="0" w:color="auto"/>
        </w:rPr>
        <w:t>AUMENTANO</w:t>
      </w:r>
      <w:r w:rsidR="000D5878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ANCORA</w:t>
      </w:r>
      <w:r w:rsidRPr="007D10E0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I NUOVI VACCINATI (</w:t>
      </w:r>
      <w:r w:rsidR="000D5878">
        <w:rPr>
          <w:rFonts w:eastAsia="Times New Roman" w:cs="Calibri"/>
          <w:b/>
          <w:bCs/>
          <w:sz w:val="24"/>
          <w:szCs w:val="24"/>
          <w:bdr w:val="none" w:sz="0" w:space="0" w:color="auto"/>
        </w:rPr>
        <w:t>+31,7%</w:t>
      </w:r>
      <w:r w:rsidRPr="007D10E0">
        <w:rPr>
          <w:rFonts w:eastAsia="Times New Roman" w:cs="Calibri"/>
          <w:b/>
          <w:bCs/>
          <w:sz w:val="24"/>
          <w:szCs w:val="24"/>
          <w:bdr w:val="none" w:sz="0" w:space="0" w:color="auto"/>
        </w:rPr>
        <w:t>)</w:t>
      </w:r>
      <w:r w:rsidR="00414033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ED È BOOM DI TERZE DOSI (+52,6%)</w:t>
      </w:r>
      <w:r w:rsidRPr="007D10E0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. </w:t>
      </w:r>
      <w:r w:rsidR="00414033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LE IMMINENTI FESTIVITÀ </w:t>
      </w:r>
      <w:r w:rsidR="00900B1E">
        <w:rPr>
          <w:rFonts w:eastAsia="Times New Roman" w:cs="Calibri"/>
          <w:b/>
          <w:bCs/>
          <w:sz w:val="24"/>
          <w:szCs w:val="24"/>
          <w:bdr w:val="none" w:sz="0" w:space="0" w:color="auto"/>
        </w:rPr>
        <w:t>IMPONGONO LA MASSIMA PRUDENZA NEI COMPORTAMENTI INDIVIDUALI</w:t>
      </w:r>
      <w:r w:rsidR="00414033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E RICHIEDONO</w:t>
      </w:r>
      <w:r w:rsidR="00414033" w:rsidRPr="007D10E0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</w:t>
      </w:r>
      <w:r w:rsidR="00414033">
        <w:rPr>
          <w:rFonts w:eastAsia="Times New Roman" w:cs="Calibri"/>
          <w:b/>
          <w:bCs/>
          <w:sz w:val="24"/>
          <w:szCs w:val="24"/>
          <w:bdr w:val="none" w:sz="0" w:space="0" w:color="auto"/>
        </w:rPr>
        <w:t>DI MANTENERE ALTO IL RITMO DELLE</w:t>
      </w:r>
      <w:r w:rsidR="00414033" w:rsidRPr="007D10E0">
        <w:rPr>
          <w:rFonts w:eastAsia="Times New Roman" w:cs="Calibri"/>
          <w:b/>
          <w:bCs/>
          <w:sz w:val="24"/>
          <w:szCs w:val="24"/>
          <w:bdr w:val="none" w:sz="0" w:space="0" w:color="auto"/>
        </w:rPr>
        <w:t xml:space="preserve"> </w:t>
      </w:r>
      <w:r w:rsidR="00414033">
        <w:rPr>
          <w:rFonts w:eastAsia="Times New Roman" w:cs="Calibri"/>
          <w:b/>
          <w:bCs/>
          <w:sz w:val="24"/>
          <w:szCs w:val="24"/>
          <w:bdr w:val="none" w:sz="0" w:space="0" w:color="auto"/>
        </w:rPr>
        <w:t>VACCINAZIONI.</w:t>
      </w:r>
    </w:p>
    <w:p w:rsidR="007D10E0" w:rsidRPr="00083804" w:rsidRDefault="007D10E0" w:rsidP="00A173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76" w:lineRule="auto"/>
        <w:jc w:val="both"/>
        <w:rPr>
          <w:rFonts w:eastAsia="Times New Roman" w:cs="Calibri"/>
          <w:b/>
          <w:bCs/>
          <w:sz w:val="24"/>
          <w:szCs w:val="24"/>
          <w:bdr w:val="none" w:sz="0" w:space="0" w:color="auto"/>
        </w:rPr>
      </w:pPr>
    </w:p>
    <w:p w:rsidR="006C1992" w:rsidRPr="00916DF2" w:rsidRDefault="00C84C0B" w:rsidP="00500148">
      <w:pPr>
        <w:spacing w:after="80"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>
        <w:rPr>
          <w:rFonts w:cs="Calibri"/>
          <w:b/>
          <w:bCs/>
          <w:color w:val="auto"/>
        </w:rPr>
        <w:t>9</w:t>
      </w:r>
      <w:r w:rsidR="00472A5B">
        <w:rPr>
          <w:rFonts w:cs="Calibri"/>
          <w:b/>
          <w:bCs/>
          <w:color w:val="auto"/>
        </w:rPr>
        <w:t xml:space="preserve"> dicembre</w:t>
      </w:r>
      <w:r w:rsidR="00B514EF" w:rsidRPr="00916DF2">
        <w:rPr>
          <w:rFonts w:cs="Calibri"/>
          <w:b/>
          <w:bCs/>
          <w:color w:val="auto"/>
        </w:rPr>
        <w:t xml:space="preserve"> 2021 - Fondazione GIMBE, Bologna</w:t>
      </w:r>
    </w:p>
    <w:p w:rsidR="00686C1B" w:rsidRPr="00686C1B" w:rsidRDefault="00686C1B" w:rsidP="00500148">
      <w:pPr>
        <w:spacing w:after="80" w:line="276" w:lineRule="auto"/>
        <w:jc w:val="both"/>
        <w:rPr>
          <w:color w:val="auto"/>
        </w:rPr>
      </w:pPr>
      <w:r w:rsidRPr="00686C1B">
        <w:rPr>
          <w:color w:val="auto"/>
        </w:rPr>
        <w:t>Il monitoraggio indipendente della Fondazione GIMBE rileva nella settimana 1-7 dicembre 2021, rispetto alla precedente, un aumento di nuovi casi (105.771 vs 86.412) (</w:t>
      </w:r>
      <w:r w:rsidRPr="00686C1B">
        <w:rPr>
          <w:color w:val="auto"/>
          <w:highlight w:val="yellow"/>
        </w:rPr>
        <w:t>figura 1</w:t>
      </w:r>
      <w:r w:rsidRPr="00686C1B">
        <w:rPr>
          <w:color w:val="auto"/>
        </w:rPr>
        <w:t>) e decessi (558 vs 498) (</w:t>
      </w:r>
      <w:r w:rsidRPr="00686C1B">
        <w:rPr>
          <w:color w:val="auto"/>
          <w:highlight w:val="yellow"/>
        </w:rPr>
        <w:t>figura 2</w:t>
      </w:r>
      <w:r w:rsidRPr="00686C1B">
        <w:rPr>
          <w:color w:val="auto"/>
        </w:rPr>
        <w:t xml:space="preserve">). </w:t>
      </w:r>
      <w:r w:rsidR="00373CA2">
        <w:rPr>
          <w:color w:val="auto"/>
        </w:rPr>
        <w:t xml:space="preserve">Crescono </w:t>
      </w:r>
      <w:r w:rsidRPr="00686C1B">
        <w:rPr>
          <w:color w:val="auto"/>
        </w:rPr>
        <w:t>anche i casi attualmente positivi (240.894 vs 194.270), le persone in isolamento domiciliare (234.040 vs 188.360), i ricoveri con sintomi (6.078 vs 5.227) e le terapie intensive (776 vs 683) (</w:t>
      </w:r>
      <w:r w:rsidRPr="00686C1B">
        <w:rPr>
          <w:color w:val="auto"/>
          <w:highlight w:val="yellow"/>
        </w:rPr>
        <w:t>figura 3</w:t>
      </w:r>
      <w:r w:rsidRPr="00686C1B">
        <w:rPr>
          <w:color w:val="auto"/>
        </w:rPr>
        <w:t>). In dettaglio, rispetto alla settimana precedente, si registrano le seguenti variazioni:</w:t>
      </w:r>
    </w:p>
    <w:p w:rsidR="00686C1B" w:rsidRPr="00686C1B" w:rsidRDefault="00686C1B" w:rsidP="00686C1B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686C1B">
        <w:rPr>
          <w:color w:val="auto"/>
        </w:rPr>
        <w:t>Decessi: 558 (+12%), di cui 17 riferiti a periodi precedenti</w:t>
      </w:r>
    </w:p>
    <w:p w:rsidR="00686C1B" w:rsidRPr="00686C1B" w:rsidRDefault="00686C1B" w:rsidP="00686C1B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686C1B">
        <w:rPr>
          <w:color w:val="auto"/>
        </w:rPr>
        <w:t>Terapia intensiva: +93 (+13,6%)</w:t>
      </w:r>
    </w:p>
    <w:p w:rsidR="00686C1B" w:rsidRPr="00686C1B" w:rsidRDefault="00686C1B" w:rsidP="00686C1B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686C1B">
        <w:rPr>
          <w:color w:val="auto"/>
        </w:rPr>
        <w:t>Ricoverati con sintomi: +851 (+16,3%)</w:t>
      </w:r>
    </w:p>
    <w:p w:rsidR="00686C1B" w:rsidRPr="00686C1B" w:rsidRDefault="00686C1B" w:rsidP="00686C1B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686C1B">
        <w:rPr>
          <w:color w:val="auto"/>
        </w:rPr>
        <w:t>Isolamento domiciliare: +45.680 (+24,3%)</w:t>
      </w:r>
    </w:p>
    <w:p w:rsidR="00686C1B" w:rsidRPr="00686C1B" w:rsidRDefault="00686C1B" w:rsidP="00686C1B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686C1B">
        <w:rPr>
          <w:color w:val="auto"/>
        </w:rPr>
        <w:t>Nuovi casi: 105.771 (+22,4%)</w:t>
      </w:r>
    </w:p>
    <w:p w:rsidR="000A422E" w:rsidRPr="00686C1B" w:rsidRDefault="00686C1B" w:rsidP="00686C1B">
      <w:pPr>
        <w:pStyle w:val="Paragrafoelenco"/>
        <w:numPr>
          <w:ilvl w:val="0"/>
          <w:numId w:val="2"/>
        </w:numPr>
        <w:spacing w:line="276" w:lineRule="auto"/>
        <w:ind w:left="357" w:hanging="357"/>
        <w:jc w:val="both"/>
        <w:rPr>
          <w:color w:val="auto"/>
        </w:rPr>
      </w:pPr>
      <w:r w:rsidRPr="00686C1B">
        <w:rPr>
          <w:color w:val="auto"/>
        </w:rPr>
        <w:t>Casi attualmente positivi: +46.624 (+24%)</w:t>
      </w:r>
    </w:p>
    <w:p w:rsidR="001429C0" w:rsidRPr="004C62E3" w:rsidRDefault="00797AB7" w:rsidP="00500148">
      <w:pPr>
        <w:spacing w:line="276" w:lineRule="auto"/>
        <w:jc w:val="both"/>
        <w:rPr>
          <w:color w:val="auto"/>
        </w:rPr>
      </w:pPr>
      <w:r w:rsidRPr="004C62E3">
        <w:rPr>
          <w:color w:val="auto"/>
        </w:rPr>
        <w:t>«</w:t>
      </w:r>
      <w:r w:rsidR="00373CA2">
        <w:rPr>
          <w:color w:val="auto"/>
        </w:rPr>
        <w:t xml:space="preserve">Da </w:t>
      </w:r>
      <w:r w:rsidR="009C0E68">
        <w:rPr>
          <w:color w:val="auto"/>
        </w:rPr>
        <w:t>7 settimane</w:t>
      </w:r>
      <w:r w:rsidR="00373CA2">
        <w:rPr>
          <w:color w:val="auto"/>
        </w:rPr>
        <w:t xml:space="preserve"> </w:t>
      </w:r>
      <w:r w:rsidR="0042340E" w:rsidRPr="004C62E3">
        <w:rPr>
          <w:color w:val="auto"/>
        </w:rPr>
        <w:t>– dichiara Nino Cartabellotta, Presidente della Fondazione GIMBE –</w:t>
      </w:r>
      <w:r w:rsidR="001B4693">
        <w:rPr>
          <w:color w:val="auto"/>
        </w:rPr>
        <w:t xml:space="preserve"> </w:t>
      </w:r>
      <w:r w:rsidR="00177874">
        <w:rPr>
          <w:color w:val="auto"/>
        </w:rPr>
        <w:t xml:space="preserve">continuano ad aumentare </w:t>
      </w:r>
      <w:r w:rsidR="00373CA2">
        <w:rPr>
          <w:color w:val="auto"/>
        </w:rPr>
        <w:t xml:space="preserve">i </w:t>
      </w:r>
      <w:r w:rsidR="00071A13" w:rsidRPr="004C62E3">
        <w:rPr>
          <w:color w:val="auto"/>
        </w:rPr>
        <w:t xml:space="preserve">nuovi casi </w:t>
      </w:r>
      <w:r w:rsidR="00AA3622" w:rsidRPr="004C62E3">
        <w:rPr>
          <w:color w:val="auto"/>
        </w:rPr>
        <w:t xml:space="preserve">con una </w:t>
      </w:r>
      <w:r w:rsidR="000E770E" w:rsidRPr="004C62E3">
        <w:rPr>
          <w:color w:val="auto"/>
        </w:rPr>
        <w:t xml:space="preserve">media mobile a 7 giorni </w:t>
      </w:r>
      <w:r w:rsidR="00373CA2">
        <w:rPr>
          <w:color w:val="auto"/>
        </w:rPr>
        <w:t xml:space="preserve">più che sestuplicata: </w:t>
      </w:r>
      <w:r w:rsidR="000E770E" w:rsidRPr="004C62E3">
        <w:rPr>
          <w:color w:val="auto"/>
        </w:rPr>
        <w:t>da 2.456 il 1</w:t>
      </w:r>
      <w:r w:rsidR="00942F02" w:rsidRPr="004C62E3">
        <w:rPr>
          <w:color w:val="auto"/>
        </w:rPr>
        <w:t xml:space="preserve">5 ottobre a </w:t>
      </w:r>
      <w:r w:rsidR="000A422E" w:rsidRPr="004C62E3">
        <w:rPr>
          <w:color w:val="auto"/>
        </w:rPr>
        <w:t>1</w:t>
      </w:r>
      <w:r w:rsidR="00686C1B" w:rsidRPr="004C62E3">
        <w:rPr>
          <w:color w:val="auto"/>
        </w:rPr>
        <w:t>5</w:t>
      </w:r>
      <w:r w:rsidR="00104DDA" w:rsidRPr="004C62E3">
        <w:rPr>
          <w:color w:val="auto"/>
        </w:rPr>
        <w:t>.</w:t>
      </w:r>
      <w:r w:rsidR="00686C1B" w:rsidRPr="004C62E3">
        <w:rPr>
          <w:color w:val="auto"/>
        </w:rPr>
        <w:t>110</w:t>
      </w:r>
      <w:r w:rsidR="00942F02" w:rsidRPr="004C62E3">
        <w:rPr>
          <w:color w:val="auto"/>
        </w:rPr>
        <w:t xml:space="preserve"> il</w:t>
      </w:r>
      <w:r w:rsidR="000A422E" w:rsidRPr="004C62E3">
        <w:rPr>
          <w:color w:val="auto"/>
        </w:rPr>
        <w:t xml:space="preserve"> </w:t>
      </w:r>
      <w:r w:rsidR="00D50FC1">
        <w:rPr>
          <w:color w:val="auto"/>
        </w:rPr>
        <w:t>7 dicembre</w:t>
      </w:r>
      <w:r w:rsidRPr="004C62E3">
        <w:rPr>
          <w:color w:val="auto"/>
        </w:rPr>
        <w:t>»</w:t>
      </w:r>
      <w:r w:rsidR="00942F02" w:rsidRPr="004C62E3">
        <w:rPr>
          <w:color w:val="auto"/>
        </w:rPr>
        <w:t xml:space="preserve"> (</w:t>
      </w:r>
      <w:r w:rsidR="00942F02" w:rsidRPr="004C62E3">
        <w:rPr>
          <w:color w:val="auto"/>
          <w:highlight w:val="yellow"/>
        </w:rPr>
        <w:t>figura 4</w:t>
      </w:r>
      <w:r w:rsidR="00942F02" w:rsidRPr="004C62E3">
        <w:rPr>
          <w:color w:val="auto"/>
        </w:rPr>
        <w:t>)</w:t>
      </w:r>
      <w:r w:rsidRPr="004C62E3">
        <w:rPr>
          <w:color w:val="auto"/>
        </w:rPr>
        <w:t>.</w:t>
      </w:r>
      <w:r w:rsidR="00D0282D" w:rsidRPr="004C62E3">
        <w:rPr>
          <w:color w:val="auto"/>
        </w:rPr>
        <w:t xml:space="preserve"> </w:t>
      </w:r>
      <w:r w:rsidR="00373CA2">
        <w:rPr>
          <w:color w:val="auto"/>
        </w:rPr>
        <w:t xml:space="preserve">Il netto aumento della </w:t>
      </w:r>
      <w:r w:rsidR="00D0282D" w:rsidRPr="004C62E3">
        <w:rPr>
          <w:color w:val="auto"/>
        </w:rPr>
        <w:t>circo</w:t>
      </w:r>
      <w:r w:rsidR="004F07A7" w:rsidRPr="004C62E3">
        <w:rPr>
          <w:color w:val="auto"/>
        </w:rPr>
        <w:t xml:space="preserve">lazione virale è </w:t>
      </w:r>
      <w:r w:rsidR="00EC05B7" w:rsidRPr="004C62E3">
        <w:rPr>
          <w:color w:val="auto"/>
        </w:rPr>
        <w:t>documentat</w:t>
      </w:r>
      <w:r w:rsidR="00373CA2">
        <w:rPr>
          <w:color w:val="auto"/>
        </w:rPr>
        <w:t>o</w:t>
      </w:r>
      <w:r w:rsidR="00EC05B7" w:rsidRPr="004C62E3">
        <w:rPr>
          <w:color w:val="auto"/>
        </w:rPr>
        <w:t xml:space="preserve"> </w:t>
      </w:r>
      <w:r w:rsidR="00D0282D" w:rsidRPr="004C62E3">
        <w:rPr>
          <w:color w:val="auto"/>
        </w:rPr>
        <w:t xml:space="preserve">dall’incremento </w:t>
      </w:r>
      <w:r w:rsidR="00634030" w:rsidRPr="004C62E3">
        <w:rPr>
          <w:color w:val="auto"/>
        </w:rPr>
        <w:t xml:space="preserve">sia </w:t>
      </w:r>
      <w:r w:rsidR="00D0282D" w:rsidRPr="004C62E3">
        <w:rPr>
          <w:color w:val="auto"/>
        </w:rPr>
        <w:t>del rapporto positivi/</w:t>
      </w:r>
      <w:r w:rsidR="00AA7725" w:rsidRPr="004C62E3">
        <w:rPr>
          <w:color w:val="auto"/>
        </w:rPr>
        <w:t xml:space="preserve">persone testate </w:t>
      </w:r>
      <w:r w:rsidR="00D0282D" w:rsidRPr="004C62E3">
        <w:rPr>
          <w:color w:val="auto"/>
        </w:rPr>
        <w:t xml:space="preserve">(da </w:t>
      </w:r>
      <w:r w:rsidR="003E293F" w:rsidRPr="004C62E3">
        <w:rPr>
          <w:color w:val="auto"/>
        </w:rPr>
        <w:t>3,6</w:t>
      </w:r>
      <w:r w:rsidR="00D0282D" w:rsidRPr="004C62E3">
        <w:rPr>
          <w:color w:val="auto"/>
        </w:rPr>
        <w:t xml:space="preserve">% a </w:t>
      </w:r>
      <w:r w:rsidR="00596E5A" w:rsidRPr="004C62E3">
        <w:rPr>
          <w:color w:val="auto"/>
        </w:rPr>
        <w:t>1</w:t>
      </w:r>
      <w:r w:rsidR="004C62E3" w:rsidRPr="004C62E3">
        <w:rPr>
          <w:color w:val="auto"/>
        </w:rPr>
        <w:t>9</w:t>
      </w:r>
      <w:r w:rsidR="000D40CB" w:rsidRPr="004C62E3">
        <w:rPr>
          <w:color w:val="auto"/>
        </w:rPr>
        <w:t>,</w:t>
      </w:r>
      <w:r w:rsidR="004C62E3" w:rsidRPr="004C62E3">
        <w:rPr>
          <w:color w:val="auto"/>
        </w:rPr>
        <w:t>6</w:t>
      </w:r>
      <w:r w:rsidR="00D0282D" w:rsidRPr="004C62E3">
        <w:rPr>
          <w:color w:val="auto"/>
        </w:rPr>
        <w:t>%)</w:t>
      </w:r>
      <w:r w:rsidR="003E293F" w:rsidRPr="004C62E3">
        <w:rPr>
          <w:color w:val="auto"/>
        </w:rPr>
        <w:t xml:space="preserve"> (</w:t>
      </w:r>
      <w:r w:rsidR="003E293F" w:rsidRPr="004C62E3">
        <w:rPr>
          <w:color w:val="auto"/>
          <w:highlight w:val="yellow"/>
        </w:rPr>
        <w:t>figura 1</w:t>
      </w:r>
      <w:r w:rsidR="003E293F" w:rsidRPr="004C62E3">
        <w:rPr>
          <w:color w:val="auto"/>
        </w:rPr>
        <w:t>)</w:t>
      </w:r>
      <w:r w:rsidR="00D0282D" w:rsidRPr="004C62E3">
        <w:rPr>
          <w:color w:val="auto"/>
        </w:rPr>
        <w:t xml:space="preserve">, sia </w:t>
      </w:r>
      <w:r w:rsidR="00634030" w:rsidRPr="004C62E3">
        <w:rPr>
          <w:color w:val="auto"/>
        </w:rPr>
        <w:t xml:space="preserve">del </w:t>
      </w:r>
      <w:r w:rsidR="00D0282D" w:rsidRPr="004C62E3">
        <w:rPr>
          <w:color w:val="auto"/>
        </w:rPr>
        <w:t>rapporto positivi/tamponi molecolari (da</w:t>
      </w:r>
      <w:r w:rsidR="003E293F" w:rsidRPr="004C62E3">
        <w:rPr>
          <w:color w:val="auto"/>
        </w:rPr>
        <w:t xml:space="preserve"> 2,4</w:t>
      </w:r>
      <w:r w:rsidR="00D0282D" w:rsidRPr="004C62E3">
        <w:rPr>
          <w:color w:val="auto"/>
        </w:rPr>
        <w:t>%</w:t>
      </w:r>
      <w:r w:rsidR="003E293F" w:rsidRPr="004C62E3">
        <w:rPr>
          <w:color w:val="auto"/>
        </w:rPr>
        <w:t xml:space="preserve"> a </w:t>
      </w:r>
      <w:r w:rsidR="004C62E3" w:rsidRPr="004C62E3">
        <w:rPr>
          <w:color w:val="auto"/>
        </w:rPr>
        <w:t>8</w:t>
      </w:r>
      <w:r w:rsidR="003E293F" w:rsidRPr="004C62E3">
        <w:rPr>
          <w:color w:val="auto"/>
        </w:rPr>
        <w:t>%</w:t>
      </w:r>
      <w:r w:rsidR="00D0282D" w:rsidRPr="004C62E3">
        <w:rPr>
          <w:color w:val="auto"/>
        </w:rPr>
        <w:t>)</w:t>
      </w:r>
      <w:r w:rsidR="00154EE5" w:rsidRPr="004C62E3">
        <w:rPr>
          <w:color w:val="auto"/>
        </w:rPr>
        <w:t xml:space="preserve"> e</w:t>
      </w:r>
      <w:r w:rsidR="005E0EA1" w:rsidRPr="004C62E3">
        <w:rPr>
          <w:color w:val="auto"/>
        </w:rPr>
        <w:t xml:space="preserve"> positivi/tamponi antigenici rapidi (da 0,07% a 0,</w:t>
      </w:r>
      <w:r w:rsidR="004C62E3" w:rsidRPr="004C62E3">
        <w:rPr>
          <w:color w:val="auto"/>
        </w:rPr>
        <w:t>54</w:t>
      </w:r>
      <w:r w:rsidR="005E0EA1" w:rsidRPr="004C62E3">
        <w:rPr>
          <w:color w:val="auto"/>
        </w:rPr>
        <w:t>%)</w:t>
      </w:r>
      <w:r w:rsidR="003E293F" w:rsidRPr="004C62E3">
        <w:rPr>
          <w:color w:val="auto"/>
        </w:rPr>
        <w:t xml:space="preserve"> (</w:t>
      </w:r>
      <w:r w:rsidR="003E293F" w:rsidRPr="004C62E3">
        <w:rPr>
          <w:color w:val="auto"/>
          <w:highlight w:val="yellow"/>
        </w:rPr>
        <w:t xml:space="preserve">figura </w:t>
      </w:r>
      <w:r w:rsidR="00FB6128" w:rsidRPr="004C62E3">
        <w:rPr>
          <w:color w:val="auto"/>
          <w:highlight w:val="yellow"/>
        </w:rPr>
        <w:t>5</w:t>
      </w:r>
      <w:r w:rsidR="003E293F" w:rsidRPr="004C62E3">
        <w:rPr>
          <w:color w:val="auto"/>
        </w:rPr>
        <w:t>).</w:t>
      </w:r>
    </w:p>
    <w:p w:rsidR="004C62E3" w:rsidRPr="004C62E3" w:rsidRDefault="001A5713" w:rsidP="001B4693">
      <w:pPr>
        <w:spacing w:line="276" w:lineRule="auto"/>
        <w:jc w:val="both"/>
        <w:rPr>
          <w:color w:val="auto"/>
        </w:rPr>
      </w:pPr>
      <w:r w:rsidRPr="004C62E3">
        <w:rPr>
          <w:color w:val="auto"/>
        </w:rPr>
        <w:t>I</w:t>
      </w:r>
      <w:r w:rsidR="00843C5C" w:rsidRPr="004C62E3">
        <w:rPr>
          <w:color w:val="auto"/>
        </w:rPr>
        <w:t xml:space="preserve">n </w:t>
      </w:r>
      <w:r w:rsidR="00883915" w:rsidRPr="004C62E3">
        <w:rPr>
          <w:color w:val="auto"/>
        </w:rPr>
        <w:t xml:space="preserve">tutte le Regioni </w:t>
      </w:r>
      <w:r w:rsidR="001B4693">
        <w:rPr>
          <w:color w:val="auto"/>
        </w:rPr>
        <w:t xml:space="preserve">tranne Molise e Valle D’Aosta </w:t>
      </w:r>
      <w:r w:rsidR="0081624D" w:rsidRPr="004C62E3">
        <w:rPr>
          <w:color w:val="auto"/>
        </w:rPr>
        <w:t>si</w:t>
      </w:r>
      <w:r w:rsidR="00843C5C" w:rsidRPr="004C62E3">
        <w:rPr>
          <w:color w:val="auto"/>
        </w:rPr>
        <w:t xml:space="preserve"> rileva </w:t>
      </w:r>
      <w:r w:rsidR="00883915" w:rsidRPr="004C62E3">
        <w:rPr>
          <w:color w:val="auto"/>
        </w:rPr>
        <w:t>un incremento percentuale dei nuovi casi</w:t>
      </w:r>
      <w:r w:rsidR="00E71BC7" w:rsidRPr="004C62E3">
        <w:rPr>
          <w:color w:val="auto"/>
        </w:rPr>
        <w:t xml:space="preserve">: </w:t>
      </w:r>
      <w:r w:rsidR="000D40CB" w:rsidRPr="004C62E3">
        <w:rPr>
          <w:color w:val="auto"/>
        </w:rPr>
        <w:t>dal</w:t>
      </w:r>
      <w:r w:rsidR="001B4693">
        <w:rPr>
          <w:color w:val="auto"/>
        </w:rPr>
        <w:t>l’1</w:t>
      </w:r>
      <w:r w:rsidR="000D40CB" w:rsidRPr="004C62E3">
        <w:rPr>
          <w:color w:val="auto"/>
        </w:rPr>
        <w:t>,</w:t>
      </w:r>
      <w:r w:rsidR="001B4693">
        <w:rPr>
          <w:color w:val="auto"/>
        </w:rPr>
        <w:t>8</w:t>
      </w:r>
      <w:r w:rsidR="000A422E" w:rsidRPr="004C62E3">
        <w:rPr>
          <w:color w:val="auto"/>
        </w:rPr>
        <w:t xml:space="preserve">% </w:t>
      </w:r>
      <w:r w:rsidR="001B4693">
        <w:rPr>
          <w:color w:val="auto"/>
        </w:rPr>
        <w:t xml:space="preserve">delle Marche </w:t>
      </w:r>
      <w:r w:rsidR="000D40CB" w:rsidRPr="004C62E3">
        <w:rPr>
          <w:color w:val="auto"/>
        </w:rPr>
        <w:t xml:space="preserve">al </w:t>
      </w:r>
      <w:r w:rsidR="001B4693">
        <w:rPr>
          <w:color w:val="auto"/>
        </w:rPr>
        <w:t>50,3</w:t>
      </w:r>
      <w:r w:rsidR="000D40CB" w:rsidRPr="004C62E3">
        <w:rPr>
          <w:color w:val="auto"/>
        </w:rPr>
        <w:t xml:space="preserve">% </w:t>
      </w:r>
      <w:r w:rsidR="001B4693">
        <w:rPr>
          <w:color w:val="auto"/>
        </w:rPr>
        <w:t>dell’Umbria</w:t>
      </w:r>
      <w:r w:rsidR="000D40CB" w:rsidRPr="004C62E3">
        <w:rPr>
          <w:color w:val="auto"/>
        </w:rPr>
        <w:t xml:space="preserve"> </w:t>
      </w:r>
      <w:r w:rsidR="00883915" w:rsidRPr="004C62E3">
        <w:rPr>
          <w:color w:val="auto"/>
        </w:rPr>
        <w:t>(</w:t>
      </w:r>
      <w:r w:rsidR="00883915" w:rsidRPr="004C62E3">
        <w:rPr>
          <w:color w:val="auto"/>
          <w:highlight w:val="yellow"/>
        </w:rPr>
        <w:t>tabella 1</w:t>
      </w:r>
      <w:r w:rsidR="00883915" w:rsidRPr="004C62E3">
        <w:rPr>
          <w:color w:val="auto"/>
        </w:rPr>
        <w:t>).</w:t>
      </w:r>
      <w:r w:rsidR="00BD67DE" w:rsidRPr="004C62E3">
        <w:rPr>
          <w:color w:val="auto"/>
        </w:rPr>
        <w:t xml:space="preserve"> </w:t>
      </w:r>
      <w:r w:rsidR="00CC0DB4" w:rsidRPr="004C62E3">
        <w:rPr>
          <w:color w:val="auto"/>
        </w:rPr>
        <w:t xml:space="preserve">In </w:t>
      </w:r>
      <w:r w:rsidR="004C62E3" w:rsidRPr="004C62E3">
        <w:rPr>
          <w:color w:val="auto"/>
        </w:rPr>
        <w:t>52</w:t>
      </w:r>
      <w:r w:rsidR="00596E5A" w:rsidRPr="004C62E3">
        <w:rPr>
          <w:color w:val="auto"/>
        </w:rPr>
        <w:t xml:space="preserve"> Province </w:t>
      </w:r>
      <w:r w:rsidR="00CF3AB6" w:rsidRPr="004C62E3">
        <w:rPr>
          <w:color w:val="auto"/>
        </w:rPr>
        <w:t>l</w:t>
      </w:r>
      <w:r w:rsidR="00596E5A" w:rsidRPr="004C62E3">
        <w:rPr>
          <w:color w:val="auto"/>
        </w:rPr>
        <w:t xml:space="preserve">’incidenza </w:t>
      </w:r>
      <w:r w:rsidR="00CF3AB6" w:rsidRPr="004C62E3">
        <w:rPr>
          <w:color w:val="auto"/>
        </w:rPr>
        <w:t xml:space="preserve">è </w:t>
      </w:r>
      <w:r w:rsidR="00596E5A" w:rsidRPr="004C62E3">
        <w:rPr>
          <w:color w:val="auto"/>
        </w:rPr>
        <w:t xml:space="preserve">pari o superiore a </w:t>
      </w:r>
      <w:r w:rsidR="00DB1360" w:rsidRPr="004C62E3">
        <w:rPr>
          <w:color w:val="auto"/>
        </w:rPr>
        <w:t>1</w:t>
      </w:r>
      <w:r w:rsidR="00596E5A" w:rsidRPr="004C62E3">
        <w:rPr>
          <w:color w:val="auto"/>
        </w:rPr>
        <w:t>50 casi per 100.000 abitanti</w:t>
      </w:r>
      <w:r w:rsidR="004C62E3">
        <w:rPr>
          <w:color w:val="auto"/>
        </w:rPr>
        <w:t xml:space="preserve">: </w:t>
      </w:r>
      <w:r w:rsidR="004C62E3" w:rsidRPr="004C62E3">
        <w:rPr>
          <w:color w:val="auto"/>
        </w:rPr>
        <w:t>Trieste (694), Bolzano (651), Treviso (467), Padova (405), Vicenza (391), Venezia (390), Rimini (379), Gorizia (377), Imperia (367), Pordenone (365), Forlì-Cesena (356), Ravenna (299), Aosta (276), Belluno (276), Rovigo (273), Verbano-Cusio-Ossola (267), Ferrara (253), Savona (244), Bologna (244), Udine (244), Ascoli Piceno (239), Verona (235), Trento (233), Viterbo (226), Varese (224), Teramo (216), Roma (200), Ancona (197), Mantova (197), Monza e Brianza (197), Fermo (19</w:t>
      </w:r>
      <w:r w:rsidR="004C62E3">
        <w:rPr>
          <w:color w:val="auto"/>
        </w:rPr>
        <w:t>0), Modena (185)</w:t>
      </w:r>
      <w:r w:rsidR="001B4693">
        <w:rPr>
          <w:color w:val="auto"/>
        </w:rPr>
        <w:t xml:space="preserve">, </w:t>
      </w:r>
      <w:r w:rsidR="004C62E3">
        <w:rPr>
          <w:color w:val="auto"/>
        </w:rPr>
        <w:t>Genova (182)</w:t>
      </w:r>
      <w:r w:rsidR="001B4693">
        <w:rPr>
          <w:color w:val="auto"/>
        </w:rPr>
        <w:t xml:space="preserve">, </w:t>
      </w:r>
      <w:r w:rsidR="001B4693" w:rsidRPr="001B4693">
        <w:rPr>
          <w:color w:val="auto"/>
        </w:rPr>
        <w:t xml:space="preserve">Reggio di Calabria (177), Asti (176), Torino (176), Milano (175), Massa Carrara (175), Brescia 175), La </w:t>
      </w:r>
      <w:r w:rsidR="001B4693" w:rsidRPr="001B4693">
        <w:rPr>
          <w:color w:val="auto"/>
        </w:rPr>
        <w:lastRenderedPageBreak/>
        <w:t xml:space="preserve">Spezia (174), Cuneo (174), Napoli (168), Grosseto (165), Como (164), Biella (164), Pesaro e Urbino 163), Messina (162), Cremona (160), Novara (155), Caltanissetta (154), Pistoia (152), </w:t>
      </w:r>
      <w:r w:rsidR="001B4693">
        <w:rPr>
          <w:color w:val="auto"/>
        </w:rPr>
        <w:t xml:space="preserve">e Reggio </w:t>
      </w:r>
      <w:r w:rsidR="00177874">
        <w:rPr>
          <w:color w:val="auto"/>
        </w:rPr>
        <w:t xml:space="preserve">nell’Emilia </w:t>
      </w:r>
      <w:r w:rsidR="001B4693">
        <w:rPr>
          <w:color w:val="auto"/>
        </w:rPr>
        <w:t>(151)</w:t>
      </w:r>
      <w:r w:rsidR="004C62E3" w:rsidRPr="004C62E3">
        <w:rPr>
          <w:color w:val="auto"/>
        </w:rPr>
        <w:t xml:space="preserve"> </w:t>
      </w:r>
      <w:bookmarkStart w:id="0" w:name="_GoBack"/>
      <w:bookmarkEnd w:id="0"/>
      <w:r w:rsidR="004C62E3" w:rsidRPr="004C62E3">
        <w:rPr>
          <w:color w:val="auto"/>
        </w:rPr>
        <w:t>(</w:t>
      </w:r>
      <w:r w:rsidR="004C62E3" w:rsidRPr="004C62E3">
        <w:rPr>
          <w:color w:val="auto"/>
          <w:highlight w:val="yellow"/>
        </w:rPr>
        <w:t>tabella 2</w:t>
      </w:r>
      <w:r w:rsidR="004C62E3" w:rsidRPr="004C62E3">
        <w:rPr>
          <w:color w:val="auto"/>
        </w:rPr>
        <w:t>).</w:t>
      </w:r>
    </w:p>
    <w:p w:rsidR="004C62E3" w:rsidRPr="004C62E3" w:rsidRDefault="00373CA2" w:rsidP="00500148">
      <w:pPr>
        <w:spacing w:line="276" w:lineRule="auto"/>
        <w:jc w:val="both"/>
        <w:rPr>
          <w:color w:val="auto"/>
        </w:rPr>
      </w:pPr>
      <w:bookmarkStart w:id="1" w:name="_Hlk85025666"/>
      <w:r>
        <w:rPr>
          <w:color w:val="auto"/>
        </w:rPr>
        <w:t>Aumentano anche</w:t>
      </w:r>
      <w:r w:rsidR="004C62E3" w:rsidRPr="004C62E3">
        <w:rPr>
          <w:color w:val="auto"/>
        </w:rPr>
        <w:t xml:space="preserve"> i decessi: 558 negli ultimi 7 giorni (di cui 17 riferiti a periodi precedenti), con una media di 80 al giorno rispetto ai 71 della settimana precedente. </w:t>
      </w:r>
    </w:p>
    <w:p w:rsidR="008E7049" w:rsidRPr="008E7049" w:rsidRDefault="002348FC" w:rsidP="00500148">
      <w:pPr>
        <w:spacing w:line="276" w:lineRule="auto"/>
        <w:jc w:val="both"/>
        <w:rPr>
          <w:color w:val="auto"/>
        </w:rPr>
      </w:pPr>
      <w:r w:rsidRPr="004C62E3">
        <w:rPr>
          <w:color w:val="auto"/>
        </w:rPr>
        <w:t xml:space="preserve">«Sul fronte ospedaliero – afferma Renata Gili, responsabile Ricerca sui Servizi Sanitari della Fondazione GIMBE – si </w:t>
      </w:r>
      <w:r w:rsidR="00373CA2">
        <w:rPr>
          <w:color w:val="auto"/>
        </w:rPr>
        <w:t>rileva</w:t>
      </w:r>
      <w:r w:rsidRPr="004C62E3">
        <w:rPr>
          <w:color w:val="auto"/>
        </w:rPr>
        <w:t xml:space="preserve"> un ulteriore incremento dei posti letto occupati da pazienti COVID: rispet</w:t>
      </w:r>
      <w:r w:rsidR="000A422E" w:rsidRPr="004C62E3">
        <w:rPr>
          <w:color w:val="auto"/>
        </w:rPr>
        <w:t>to alla settimana precedente +1</w:t>
      </w:r>
      <w:r w:rsidR="004C62E3" w:rsidRPr="004C62E3">
        <w:rPr>
          <w:color w:val="auto"/>
        </w:rPr>
        <w:t>6</w:t>
      </w:r>
      <w:r w:rsidRPr="004C62E3">
        <w:rPr>
          <w:color w:val="auto"/>
        </w:rPr>
        <w:t>,</w:t>
      </w:r>
      <w:r w:rsidR="004C62E3" w:rsidRPr="004C62E3">
        <w:rPr>
          <w:color w:val="auto"/>
        </w:rPr>
        <w:t>3</w:t>
      </w:r>
      <w:r w:rsidRPr="004C62E3">
        <w:rPr>
          <w:color w:val="auto"/>
        </w:rPr>
        <w:t>% in area medica e +</w:t>
      </w:r>
      <w:r w:rsidR="004C62E3" w:rsidRPr="004C62E3">
        <w:rPr>
          <w:color w:val="auto"/>
        </w:rPr>
        <w:t>13,6</w:t>
      </w:r>
      <w:r w:rsidR="00A51B01" w:rsidRPr="004C62E3">
        <w:rPr>
          <w:color w:val="auto"/>
        </w:rPr>
        <w:t>% in terapia intensiva»</w:t>
      </w:r>
      <w:r w:rsidR="000A422E" w:rsidRPr="004C62E3">
        <w:rPr>
          <w:color w:val="auto"/>
        </w:rPr>
        <w:t xml:space="preserve">. </w:t>
      </w:r>
      <w:r w:rsidRPr="004C62E3">
        <w:rPr>
          <w:color w:val="auto"/>
        </w:rPr>
        <w:t>A livello nazionale</w:t>
      </w:r>
      <w:r w:rsidR="00BF270D" w:rsidRPr="004C62E3">
        <w:rPr>
          <w:color w:val="auto"/>
        </w:rPr>
        <w:t xml:space="preserve">, al </w:t>
      </w:r>
      <w:r w:rsidR="004C62E3">
        <w:rPr>
          <w:color w:val="auto"/>
        </w:rPr>
        <w:t>7 dicembre</w:t>
      </w:r>
      <w:r w:rsidRPr="004C62E3">
        <w:rPr>
          <w:color w:val="auto"/>
        </w:rPr>
        <w:t xml:space="preserve"> il tasso di occupazione è </w:t>
      </w:r>
      <w:r w:rsidR="0016781B" w:rsidRPr="008E7049">
        <w:rPr>
          <w:color w:val="auto"/>
        </w:rPr>
        <w:t>del</w:t>
      </w:r>
      <w:r w:rsidR="00413AEA" w:rsidRPr="008E7049">
        <w:rPr>
          <w:color w:val="auto"/>
        </w:rPr>
        <w:t xml:space="preserve"> </w:t>
      </w:r>
      <w:r w:rsidR="008E7049" w:rsidRPr="008E7049">
        <w:rPr>
          <w:color w:val="auto"/>
        </w:rPr>
        <w:t>10</w:t>
      </w:r>
      <w:r w:rsidR="002E37EA">
        <w:rPr>
          <w:color w:val="auto"/>
        </w:rPr>
        <w:t xml:space="preserve">% in area medica e del </w:t>
      </w:r>
      <w:r w:rsidR="008E7049" w:rsidRPr="008E7049">
        <w:rPr>
          <w:color w:val="auto"/>
        </w:rPr>
        <w:t>9</w:t>
      </w:r>
      <w:r w:rsidRPr="008E7049">
        <w:rPr>
          <w:color w:val="auto"/>
        </w:rPr>
        <w:t>% in area critica, co</w:t>
      </w:r>
      <w:r w:rsidR="00BF5C23" w:rsidRPr="008E7049">
        <w:rPr>
          <w:color w:val="auto"/>
        </w:rPr>
        <w:t>n notevoli differenze regionali</w:t>
      </w:r>
      <w:r w:rsidR="00B668A8" w:rsidRPr="008E7049">
        <w:rPr>
          <w:color w:val="auto"/>
        </w:rPr>
        <w:t>:</w:t>
      </w:r>
      <w:r w:rsidR="000D2A90" w:rsidRPr="008E7049">
        <w:rPr>
          <w:color w:val="auto"/>
        </w:rPr>
        <w:t xml:space="preserve"> </w:t>
      </w:r>
      <w:r w:rsidR="00CD06DE" w:rsidRPr="008E7049">
        <w:rPr>
          <w:color w:val="auto"/>
        </w:rPr>
        <w:t>l</w:t>
      </w:r>
      <w:r w:rsidR="00CD06DE">
        <w:rPr>
          <w:color w:val="auto"/>
        </w:rPr>
        <w:t>e</w:t>
      </w:r>
      <w:r w:rsidR="00CD06DE" w:rsidRPr="008E7049">
        <w:rPr>
          <w:color w:val="auto"/>
        </w:rPr>
        <w:t xml:space="preserve"> sogli</w:t>
      </w:r>
      <w:r w:rsidR="00CD06DE">
        <w:rPr>
          <w:color w:val="auto"/>
        </w:rPr>
        <w:t>e</w:t>
      </w:r>
      <w:r w:rsidR="00CD06DE" w:rsidRPr="008E7049">
        <w:rPr>
          <w:color w:val="auto"/>
        </w:rPr>
        <w:t xml:space="preserve"> </w:t>
      </w:r>
      <w:r w:rsidR="000D2A90" w:rsidRPr="008E7049">
        <w:rPr>
          <w:color w:val="auto"/>
        </w:rPr>
        <w:t xml:space="preserve">del 15% per l’area medica e del 10% per l’area </w:t>
      </w:r>
      <w:r w:rsidR="000D2A90" w:rsidRPr="004C62E3">
        <w:rPr>
          <w:color w:val="auto"/>
        </w:rPr>
        <w:t xml:space="preserve">critica risultano entrambe superate </w:t>
      </w:r>
      <w:r w:rsidR="008E7049">
        <w:rPr>
          <w:color w:val="auto"/>
        </w:rPr>
        <w:t xml:space="preserve">in </w:t>
      </w:r>
      <w:r w:rsidR="008E7049" w:rsidRPr="008E7049">
        <w:rPr>
          <w:color w:val="auto"/>
        </w:rPr>
        <w:t>Calabria (16% area medica e 11% area critica), Friuli-Venezia Giulia (24% area medica e 16% area critica</w:t>
      </w:r>
      <w:r w:rsidR="00CD06DE" w:rsidRPr="008E7049">
        <w:rPr>
          <w:color w:val="auto"/>
        </w:rPr>
        <w:t>)</w:t>
      </w:r>
      <w:r w:rsidR="00CD06DE">
        <w:rPr>
          <w:color w:val="auto"/>
        </w:rPr>
        <w:t xml:space="preserve"> e</w:t>
      </w:r>
      <w:r w:rsidR="00CD06DE" w:rsidRPr="008E7049">
        <w:rPr>
          <w:color w:val="auto"/>
        </w:rPr>
        <w:t xml:space="preserve"> </w:t>
      </w:r>
      <w:r w:rsidR="000D2A90" w:rsidRPr="008E7049">
        <w:rPr>
          <w:color w:val="auto"/>
        </w:rPr>
        <w:t xml:space="preserve">Provincia Autonoma di Bolzano (20% area medica e </w:t>
      </w:r>
      <w:r w:rsidR="008E7049" w:rsidRPr="008E7049">
        <w:rPr>
          <w:color w:val="auto"/>
        </w:rPr>
        <w:t>17</w:t>
      </w:r>
      <w:r w:rsidR="000D2A90" w:rsidRPr="008E7049">
        <w:rPr>
          <w:color w:val="auto"/>
        </w:rPr>
        <w:t xml:space="preserve">% </w:t>
      </w:r>
      <w:r w:rsidR="008E7049" w:rsidRPr="008E7049">
        <w:rPr>
          <w:color w:val="auto"/>
        </w:rPr>
        <w:t>area critica)</w:t>
      </w:r>
      <w:r w:rsidR="00373CA2">
        <w:rPr>
          <w:color w:val="auto"/>
        </w:rPr>
        <w:t>. I</w:t>
      </w:r>
      <w:r w:rsidR="00983763" w:rsidRPr="008E7049">
        <w:rPr>
          <w:color w:val="auto"/>
        </w:rPr>
        <w:t>noltre,</w:t>
      </w:r>
      <w:r w:rsidR="002E37EA">
        <w:rPr>
          <w:color w:val="auto"/>
        </w:rPr>
        <w:t xml:space="preserve"> per l’</w:t>
      </w:r>
      <w:r w:rsidR="000D2A90" w:rsidRPr="008E7049">
        <w:rPr>
          <w:color w:val="auto"/>
        </w:rPr>
        <w:t xml:space="preserve">area medica si colloca </w:t>
      </w:r>
      <w:r w:rsidR="00983763" w:rsidRPr="008E7049">
        <w:rPr>
          <w:color w:val="auto"/>
        </w:rPr>
        <w:t xml:space="preserve">sopra soglia </w:t>
      </w:r>
      <w:r w:rsidR="000D2A90" w:rsidRPr="008E7049">
        <w:rPr>
          <w:color w:val="auto"/>
        </w:rPr>
        <w:t xml:space="preserve">la </w:t>
      </w:r>
      <w:r w:rsidR="008E7049" w:rsidRPr="008E7049">
        <w:rPr>
          <w:color w:val="auto"/>
        </w:rPr>
        <w:t>Valle D’Aosta (20</w:t>
      </w:r>
      <w:r w:rsidR="00914317" w:rsidRPr="008E7049">
        <w:rPr>
          <w:color w:val="auto"/>
        </w:rPr>
        <w:t>%)</w:t>
      </w:r>
      <w:r w:rsidR="000D2A90" w:rsidRPr="008E7049">
        <w:rPr>
          <w:color w:val="auto"/>
        </w:rPr>
        <w:t xml:space="preserve">, mentre per </w:t>
      </w:r>
      <w:r w:rsidRPr="008E7049">
        <w:rPr>
          <w:color w:val="auto"/>
        </w:rPr>
        <w:t xml:space="preserve">l’area critica </w:t>
      </w:r>
      <w:r w:rsidR="000D2A90" w:rsidRPr="008E7049">
        <w:rPr>
          <w:color w:val="auto"/>
        </w:rPr>
        <w:t>superano la soglia Lazio (</w:t>
      </w:r>
      <w:r w:rsidR="008E7049" w:rsidRPr="008E7049">
        <w:rPr>
          <w:color w:val="auto"/>
        </w:rPr>
        <w:t>11</w:t>
      </w:r>
      <w:r w:rsidR="000D2A90" w:rsidRPr="008E7049">
        <w:rPr>
          <w:color w:val="auto"/>
        </w:rPr>
        <w:t>%)</w:t>
      </w:r>
      <w:r w:rsidR="008E7049" w:rsidRPr="008E7049">
        <w:rPr>
          <w:color w:val="auto"/>
        </w:rPr>
        <w:t>, Liguria (12%), Marche (12%), Provincia Autonoma di Trento (13%)</w:t>
      </w:r>
      <w:r w:rsidR="000D2A90" w:rsidRPr="008E7049">
        <w:rPr>
          <w:color w:val="auto"/>
        </w:rPr>
        <w:t xml:space="preserve"> e </w:t>
      </w:r>
      <w:r w:rsidR="008E7049" w:rsidRPr="008E7049">
        <w:rPr>
          <w:color w:val="auto"/>
        </w:rPr>
        <w:t>Veneto</w:t>
      </w:r>
      <w:r w:rsidR="000D2A90" w:rsidRPr="008E7049">
        <w:rPr>
          <w:color w:val="auto"/>
        </w:rPr>
        <w:t xml:space="preserve"> (1</w:t>
      </w:r>
      <w:r w:rsidR="008E7049" w:rsidRPr="008E7049">
        <w:rPr>
          <w:color w:val="auto"/>
        </w:rPr>
        <w:t>2</w:t>
      </w:r>
      <w:r w:rsidR="000D2A90" w:rsidRPr="008E7049">
        <w:rPr>
          <w:color w:val="auto"/>
        </w:rPr>
        <w:t xml:space="preserve">%) </w:t>
      </w:r>
      <w:r w:rsidRPr="008E7049">
        <w:rPr>
          <w:color w:val="auto"/>
        </w:rPr>
        <w:t>(</w:t>
      </w:r>
      <w:r w:rsidRPr="008E7049">
        <w:rPr>
          <w:color w:val="auto"/>
          <w:highlight w:val="yellow"/>
        </w:rPr>
        <w:t>figura 6</w:t>
      </w:r>
      <w:bookmarkEnd w:id="1"/>
      <w:r w:rsidR="00C97388" w:rsidRPr="008E7049">
        <w:rPr>
          <w:color w:val="auto"/>
        </w:rPr>
        <w:t>).</w:t>
      </w:r>
    </w:p>
    <w:p w:rsidR="004C62E3" w:rsidRDefault="002E37EA" w:rsidP="008502AF">
      <w:pPr>
        <w:spacing w:line="276" w:lineRule="auto"/>
        <w:jc w:val="both"/>
      </w:pPr>
      <w:r>
        <w:t>Nonostante l</w:t>
      </w:r>
      <w:r w:rsidR="00373CA2">
        <w:t>’</w:t>
      </w:r>
      <w:r>
        <w:t>a</w:t>
      </w:r>
      <w:r w:rsidR="00373CA2">
        <w:t>umento della</w:t>
      </w:r>
      <w:r>
        <w:t xml:space="preserve"> pressione sugli ospedali, n</w:t>
      </w:r>
      <w:r w:rsidR="008502AF">
        <w:t xml:space="preserve">elle ultime settimane </w:t>
      </w:r>
      <w:r w:rsidR="00CD06DE">
        <w:t xml:space="preserve">si è progressivamente ridotta </w:t>
      </w:r>
      <w:r w:rsidR="008502AF">
        <w:t>l</w:t>
      </w:r>
      <w:r w:rsidR="004C62E3">
        <w:t xml:space="preserve">a percentuale dei pazienti ricoverati </w:t>
      </w:r>
      <w:r w:rsidR="008502AF">
        <w:t>in area medica e in</w:t>
      </w:r>
      <w:r w:rsidR="004C62E3">
        <w:t xml:space="preserve"> terapia intensiva </w:t>
      </w:r>
      <w:r>
        <w:t>sul totale degli attualmente positivi</w:t>
      </w:r>
      <w:r w:rsidR="004C62E3">
        <w:t xml:space="preserve">. </w:t>
      </w:r>
      <w:r w:rsidR="004C62E3" w:rsidRPr="008967DC">
        <w:t>In particolare, per l’area medica la media mobile a 7 gior</w:t>
      </w:r>
      <w:r w:rsidR="004C62E3">
        <w:t xml:space="preserve">ni </w:t>
      </w:r>
      <w:r>
        <w:t xml:space="preserve">è scesa </w:t>
      </w:r>
      <w:r w:rsidR="004C62E3">
        <w:t>dal 3,</w:t>
      </w:r>
      <w:r w:rsidR="00794F6E">
        <w:t>47</w:t>
      </w:r>
      <w:r w:rsidR="004C62E3">
        <w:t xml:space="preserve">% del </w:t>
      </w:r>
      <w:r w:rsidR="00794F6E">
        <w:t xml:space="preserve">7 </w:t>
      </w:r>
      <w:r w:rsidR="004C62E3">
        <w:t>novembre</w:t>
      </w:r>
      <w:r w:rsidR="004C62E3" w:rsidRPr="008967DC">
        <w:t xml:space="preserve"> al 2,</w:t>
      </w:r>
      <w:r w:rsidR="004C62E3">
        <w:t>5</w:t>
      </w:r>
      <w:r w:rsidR="00794F6E">
        <w:t>0</w:t>
      </w:r>
      <w:r w:rsidR="004C62E3" w:rsidRPr="008967DC">
        <w:t>% del 6</w:t>
      </w:r>
      <w:r w:rsidR="004C62E3">
        <w:t xml:space="preserve"> dicembre </w:t>
      </w:r>
      <w:r w:rsidR="004C62E3" w:rsidRPr="008967DC">
        <w:t>e per le terapie intensive dal</w:t>
      </w:r>
      <w:r w:rsidR="004C62E3">
        <w:t>lo</w:t>
      </w:r>
      <w:r w:rsidR="004C62E3" w:rsidRPr="008967DC">
        <w:t xml:space="preserve"> 0,4</w:t>
      </w:r>
      <w:r w:rsidR="00794F6E">
        <w:t>7</w:t>
      </w:r>
      <w:r w:rsidR="004C62E3" w:rsidRPr="008967DC">
        <w:t>% del 21</w:t>
      </w:r>
      <w:r w:rsidR="004C62E3">
        <w:t xml:space="preserve"> ottobre </w:t>
      </w:r>
      <w:r w:rsidR="004C62E3" w:rsidRPr="008967DC">
        <w:t>al</w:t>
      </w:r>
      <w:r w:rsidR="004C62E3">
        <w:t>lo</w:t>
      </w:r>
      <w:r w:rsidR="004C62E3" w:rsidRPr="008967DC">
        <w:t xml:space="preserve"> 0,3</w:t>
      </w:r>
      <w:r w:rsidR="00794F6E">
        <w:t>3</w:t>
      </w:r>
      <w:r w:rsidR="004C62E3" w:rsidRPr="008967DC">
        <w:t>% del 6</w:t>
      </w:r>
      <w:r w:rsidR="004C62E3">
        <w:t xml:space="preserve"> dicembre. </w:t>
      </w:r>
    </w:p>
    <w:p w:rsidR="004C62E3" w:rsidRDefault="002E37EA" w:rsidP="004C62E3">
      <w:pPr>
        <w:jc w:val="center"/>
      </w:pPr>
      <w:r>
        <w:rPr>
          <w:noProof/>
        </w:rPr>
        <w:drawing>
          <wp:inline distT="0" distB="0" distL="0" distR="0" wp14:anchorId="0526F89A" wp14:editId="431BD827">
            <wp:extent cx="5760000" cy="3351357"/>
            <wp:effectExtent l="0" t="0" r="0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51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62E3" w:rsidRDefault="004C62E3" w:rsidP="004C62E3">
      <w:pPr>
        <w:jc w:val="both"/>
      </w:pPr>
      <w:r w:rsidRPr="00F72BD8">
        <w:t>«</w:t>
      </w:r>
      <w:r w:rsidR="006C1AB3">
        <w:t>Rispetto allo scorso autunno – spiega Cartabellotta – l</w:t>
      </w:r>
      <w:r w:rsidR="00CD06DE">
        <w:t xml:space="preserve">a </w:t>
      </w:r>
      <w:r>
        <w:t>percentuale di pazienti che necessit</w:t>
      </w:r>
      <w:r w:rsidR="002E37EA">
        <w:t>a</w:t>
      </w:r>
      <w:r>
        <w:t xml:space="preserve"> di ricovero ospedaliero sul totale dei positivi</w:t>
      </w:r>
      <w:r w:rsidR="005F423E">
        <w:t xml:space="preserve"> </w:t>
      </w:r>
      <w:r>
        <w:t>si è dimezzata grazie alla protezione del ciclo vaccinale primario nei confronti delle forme severe di malattia. In</w:t>
      </w:r>
      <w:r w:rsidR="00CD06DE">
        <w:t>oltre, a fronte di un numero di tamponi pressoché costante,</w:t>
      </w:r>
      <w:r>
        <w:t xml:space="preserve"> è verosimile che la riduzione della percentuale dei pazienti </w:t>
      </w:r>
      <w:r w:rsidR="00373CA2">
        <w:t>ospedalizzati</w:t>
      </w:r>
      <w:r w:rsidR="002E37EA">
        <w:t xml:space="preserve"> nelle ultime settimane</w:t>
      </w:r>
      <w:r w:rsidR="00CD06DE">
        <w:t xml:space="preserve"> </w:t>
      </w:r>
      <w:r>
        <w:t xml:space="preserve">sia correlata al progressivo incremento delle terze dosi somministrate, che riportano l’efficacia a valori più </w:t>
      </w:r>
      <w:r w:rsidR="002E37EA">
        <w:t>elevati</w:t>
      </w:r>
      <w:r>
        <w:t>».</w:t>
      </w:r>
    </w:p>
    <w:p w:rsidR="00BD67DE" w:rsidRDefault="00BD67DE" w:rsidP="00500148">
      <w:pPr>
        <w:spacing w:line="276" w:lineRule="auto"/>
        <w:jc w:val="both"/>
        <w:rPr>
          <w:color w:val="auto"/>
        </w:rPr>
      </w:pPr>
      <w:r w:rsidRPr="00794F6E">
        <w:rPr>
          <w:color w:val="auto"/>
        </w:rPr>
        <w:t>«</w:t>
      </w:r>
      <w:r w:rsidR="00451468">
        <w:rPr>
          <w:color w:val="auto"/>
        </w:rPr>
        <w:t xml:space="preserve">Rallenta </w:t>
      </w:r>
      <w:r w:rsidR="00451468" w:rsidRPr="00794F6E">
        <w:rPr>
          <w:color w:val="auto"/>
        </w:rPr>
        <w:t>– puntualizza Marco Mosti, Direttore Operativo della Fondazione GIMBE</w:t>
      </w:r>
      <w:r w:rsidR="00451468">
        <w:rPr>
          <w:color w:val="auto"/>
        </w:rPr>
        <w:t xml:space="preserve"> </w:t>
      </w:r>
      <w:r w:rsidR="00451468" w:rsidRPr="00794F6E">
        <w:rPr>
          <w:color w:val="auto"/>
        </w:rPr>
        <w:t>–</w:t>
      </w:r>
      <w:r w:rsidR="00451468">
        <w:rPr>
          <w:color w:val="auto"/>
        </w:rPr>
        <w:t xml:space="preserve"> l’incremento degli </w:t>
      </w:r>
      <w:r w:rsidR="00451468" w:rsidRPr="00794F6E">
        <w:rPr>
          <w:color w:val="auto"/>
        </w:rPr>
        <w:t>ingressi giornalieri in terapia intensiva</w:t>
      </w:r>
      <w:r w:rsidR="00547F28" w:rsidRPr="00794F6E">
        <w:rPr>
          <w:color w:val="auto"/>
        </w:rPr>
        <w:t xml:space="preserve">: la </w:t>
      </w:r>
      <w:r w:rsidRPr="00794F6E">
        <w:rPr>
          <w:color w:val="auto"/>
        </w:rPr>
        <w:t xml:space="preserve">media mobile a 7 giorni </w:t>
      </w:r>
      <w:r w:rsidR="00451468">
        <w:rPr>
          <w:color w:val="auto"/>
        </w:rPr>
        <w:t>cresce</w:t>
      </w:r>
      <w:r w:rsidR="00547F28" w:rsidRPr="00794F6E">
        <w:rPr>
          <w:color w:val="auto"/>
        </w:rPr>
        <w:t xml:space="preserve"> da </w:t>
      </w:r>
      <w:r w:rsidR="00794F6E" w:rsidRPr="00794F6E">
        <w:rPr>
          <w:color w:val="auto"/>
        </w:rPr>
        <w:t>56</w:t>
      </w:r>
      <w:r w:rsidR="00547F28" w:rsidRPr="00794F6E">
        <w:rPr>
          <w:color w:val="auto"/>
        </w:rPr>
        <w:t xml:space="preserve"> ingressi/die della settimana precedente a </w:t>
      </w:r>
      <w:r w:rsidR="00333BB6" w:rsidRPr="00794F6E">
        <w:rPr>
          <w:color w:val="auto"/>
        </w:rPr>
        <w:t>5</w:t>
      </w:r>
      <w:r w:rsidR="00794F6E" w:rsidRPr="00794F6E">
        <w:rPr>
          <w:color w:val="auto"/>
        </w:rPr>
        <w:t>9</w:t>
      </w:r>
      <w:r w:rsidR="00D42AAE" w:rsidRPr="00794F6E">
        <w:rPr>
          <w:color w:val="auto"/>
        </w:rPr>
        <w:t>»</w:t>
      </w:r>
      <w:r w:rsidRPr="00794F6E">
        <w:rPr>
          <w:color w:val="auto"/>
        </w:rPr>
        <w:t xml:space="preserve"> (</w:t>
      </w:r>
      <w:r w:rsidRPr="00794F6E">
        <w:rPr>
          <w:color w:val="auto"/>
          <w:highlight w:val="yellow"/>
        </w:rPr>
        <w:t xml:space="preserve">figura </w:t>
      </w:r>
      <w:r w:rsidR="00FB6128" w:rsidRPr="00794F6E">
        <w:rPr>
          <w:color w:val="auto"/>
          <w:highlight w:val="yellow"/>
        </w:rPr>
        <w:t>7</w:t>
      </w:r>
      <w:r w:rsidRPr="00794F6E">
        <w:rPr>
          <w:color w:val="auto"/>
        </w:rPr>
        <w:t>).</w:t>
      </w:r>
    </w:p>
    <w:p w:rsidR="00EB63CA" w:rsidRPr="00EB63CA" w:rsidRDefault="00D325D0" w:rsidP="00EB63CA">
      <w:pPr>
        <w:spacing w:line="276" w:lineRule="auto"/>
        <w:jc w:val="both"/>
        <w:rPr>
          <w:color w:val="auto"/>
        </w:rPr>
      </w:pPr>
      <w:r w:rsidRPr="008E7049">
        <w:rPr>
          <w:b/>
          <w:bCs/>
          <w:color w:val="auto"/>
        </w:rPr>
        <w:t>Vaccini: forniture</w:t>
      </w:r>
      <w:r w:rsidRPr="008E7049">
        <w:rPr>
          <w:color w:val="auto"/>
        </w:rPr>
        <w:t xml:space="preserve">. </w:t>
      </w:r>
      <w:r w:rsidR="000D2A90" w:rsidRPr="008E7049">
        <w:rPr>
          <w:color w:val="auto"/>
        </w:rPr>
        <w:t>Al</w:t>
      </w:r>
      <w:r w:rsidR="001C3537">
        <w:rPr>
          <w:color w:val="auto"/>
        </w:rPr>
        <w:t>l’</w:t>
      </w:r>
      <w:r w:rsidR="008E7049" w:rsidRPr="008E7049">
        <w:rPr>
          <w:color w:val="auto"/>
        </w:rPr>
        <w:t>8</w:t>
      </w:r>
      <w:r w:rsidR="00983763" w:rsidRPr="008E7049">
        <w:rPr>
          <w:color w:val="auto"/>
        </w:rPr>
        <w:t xml:space="preserve"> dicembre</w:t>
      </w:r>
      <w:r w:rsidR="000D2A90" w:rsidRPr="008E7049">
        <w:rPr>
          <w:color w:val="auto"/>
        </w:rPr>
        <w:t xml:space="preserve"> (aggiornamento ore 06.</w:t>
      </w:r>
      <w:r w:rsidR="008E7049" w:rsidRPr="008E7049">
        <w:rPr>
          <w:color w:val="auto"/>
        </w:rPr>
        <w:t>32</w:t>
      </w:r>
      <w:r w:rsidR="000D2A90" w:rsidRPr="008E7049">
        <w:rPr>
          <w:color w:val="auto"/>
        </w:rPr>
        <w:t xml:space="preserve">) risultano consegnate </w:t>
      </w:r>
      <w:r w:rsidR="008E7049" w:rsidRPr="008E7049">
        <w:rPr>
          <w:color w:val="auto"/>
        </w:rPr>
        <w:t>105.174.747 dosi</w:t>
      </w:r>
      <w:r w:rsidR="000D2A90" w:rsidRPr="008E7049">
        <w:rPr>
          <w:color w:val="auto"/>
        </w:rPr>
        <w:t xml:space="preserve">. </w:t>
      </w:r>
      <w:r w:rsidR="00E2532F" w:rsidRPr="008E7049">
        <w:rPr>
          <w:color w:val="auto"/>
        </w:rPr>
        <w:t>«Le forniture degli ultimi 7 giorni – commenta Mosti – ammontano a 3,1 milioni di dosi</w:t>
      </w:r>
      <w:r w:rsidR="00E2532F">
        <w:rPr>
          <w:color w:val="auto"/>
        </w:rPr>
        <w:t>, ma</w:t>
      </w:r>
      <w:r w:rsidR="00E2532F" w:rsidRPr="008E7049">
        <w:rPr>
          <w:color w:val="auto"/>
        </w:rPr>
        <w:t xml:space="preserve"> con l’attuale ritmo </w:t>
      </w:r>
      <w:r w:rsidR="00E2532F" w:rsidRPr="008E7049">
        <w:rPr>
          <w:color w:val="auto"/>
        </w:rPr>
        <w:lastRenderedPageBreak/>
        <w:t xml:space="preserve">delle somministrazioni </w:t>
      </w:r>
      <w:r w:rsidR="00E2532F">
        <w:rPr>
          <w:color w:val="auto"/>
        </w:rPr>
        <w:t>calano</w:t>
      </w:r>
      <w:r w:rsidR="00E2532F" w:rsidRPr="008E7049">
        <w:rPr>
          <w:color w:val="auto"/>
        </w:rPr>
        <w:t xml:space="preserve"> le scorte di vaccini a mRNA</w:t>
      </w:r>
      <w:r w:rsidR="00E2532F">
        <w:rPr>
          <w:color w:val="auto"/>
        </w:rPr>
        <w:t xml:space="preserve">, </w:t>
      </w:r>
      <w:r w:rsidR="005F423E">
        <w:rPr>
          <w:color w:val="auto"/>
        </w:rPr>
        <w:t xml:space="preserve">che si attestano </w:t>
      </w:r>
      <w:r w:rsidR="00E2532F">
        <w:rPr>
          <w:color w:val="auto"/>
        </w:rPr>
        <w:t>a</w:t>
      </w:r>
      <w:r w:rsidR="00E2532F" w:rsidRPr="008E7049">
        <w:rPr>
          <w:color w:val="auto"/>
        </w:rPr>
        <w:t xml:space="preserve"> quota 5,7 milioni»</w:t>
      </w:r>
      <w:r w:rsidR="00E2532F">
        <w:rPr>
          <w:color w:val="auto"/>
        </w:rPr>
        <w:t xml:space="preserve">. </w:t>
      </w:r>
      <w:r w:rsidR="00A75312">
        <w:rPr>
          <w:color w:val="auto"/>
        </w:rPr>
        <w:t>Sul fronte delle forniture, i</w:t>
      </w:r>
      <w:r w:rsidR="000410EA">
        <w:rPr>
          <w:color w:val="auto"/>
        </w:rPr>
        <w:t xml:space="preserve">l Commissario all’emergenza </w:t>
      </w:r>
      <w:hyperlink r:id="rId9" w:history="1">
        <w:r w:rsidR="000410EA">
          <w:rPr>
            <w:rStyle w:val="Collegamentoipertestuale"/>
          </w:rPr>
          <w:t>ha annunciato</w:t>
        </w:r>
      </w:hyperlink>
      <w:r w:rsidR="00EB63CA" w:rsidRPr="00EB63CA">
        <w:rPr>
          <w:color w:val="auto"/>
        </w:rPr>
        <w:t xml:space="preserve"> </w:t>
      </w:r>
      <w:r w:rsidR="00A75312">
        <w:rPr>
          <w:color w:val="auto"/>
        </w:rPr>
        <w:t xml:space="preserve">inoltre </w:t>
      </w:r>
      <w:r w:rsidR="00A75312" w:rsidRPr="00EB63CA">
        <w:rPr>
          <w:color w:val="auto"/>
        </w:rPr>
        <w:t>l</w:t>
      </w:r>
      <w:r w:rsidR="00A75312">
        <w:rPr>
          <w:color w:val="auto"/>
        </w:rPr>
        <w:t>’imminente</w:t>
      </w:r>
      <w:r w:rsidR="00A75312" w:rsidRPr="00EB63CA">
        <w:rPr>
          <w:color w:val="auto"/>
        </w:rPr>
        <w:t xml:space="preserve"> </w:t>
      </w:r>
      <w:r w:rsidR="00EB63CA" w:rsidRPr="00EB63CA">
        <w:rPr>
          <w:color w:val="auto"/>
        </w:rPr>
        <w:t>distribuzione di 1,5</w:t>
      </w:r>
      <w:r w:rsidR="00EB63CA">
        <w:rPr>
          <w:color w:val="auto"/>
        </w:rPr>
        <w:t xml:space="preserve"> </w:t>
      </w:r>
      <w:r w:rsidR="00EB63CA" w:rsidRPr="00EB63CA">
        <w:rPr>
          <w:color w:val="auto"/>
        </w:rPr>
        <w:t>milioni di d</w:t>
      </w:r>
      <w:r w:rsidR="00EB63CA">
        <w:rPr>
          <w:color w:val="auto"/>
        </w:rPr>
        <w:t>osi pediatriche di vaccino</w:t>
      </w:r>
      <w:r w:rsidR="008E4B12">
        <w:rPr>
          <w:color w:val="auto"/>
        </w:rPr>
        <w:t xml:space="preserve"> a</w:t>
      </w:r>
      <w:r w:rsidR="00EB63CA">
        <w:rPr>
          <w:color w:val="auto"/>
        </w:rPr>
        <w:t xml:space="preserve"> mRNA </w:t>
      </w:r>
      <w:r w:rsidR="008502AF">
        <w:rPr>
          <w:color w:val="auto"/>
        </w:rPr>
        <w:t>Pfizer per consentire alle</w:t>
      </w:r>
      <w:r w:rsidR="00EB63CA" w:rsidRPr="00EB63CA">
        <w:rPr>
          <w:color w:val="auto"/>
        </w:rPr>
        <w:t xml:space="preserve"> Regioni</w:t>
      </w:r>
      <w:r w:rsidR="008502AF">
        <w:rPr>
          <w:color w:val="auto"/>
        </w:rPr>
        <w:t xml:space="preserve"> e </w:t>
      </w:r>
      <w:r w:rsidR="00EB63CA" w:rsidRPr="00EB63CA">
        <w:rPr>
          <w:color w:val="auto"/>
        </w:rPr>
        <w:t xml:space="preserve">Province </w:t>
      </w:r>
      <w:r w:rsidR="008E4B12">
        <w:rPr>
          <w:color w:val="auto"/>
        </w:rPr>
        <w:t>A</w:t>
      </w:r>
      <w:r w:rsidR="00EB63CA" w:rsidRPr="00EB63CA">
        <w:rPr>
          <w:color w:val="auto"/>
        </w:rPr>
        <w:t xml:space="preserve">utonome di </w:t>
      </w:r>
      <w:r w:rsidR="00451468">
        <w:rPr>
          <w:color w:val="auto"/>
        </w:rPr>
        <w:t>avviare</w:t>
      </w:r>
      <w:r w:rsidR="008502AF">
        <w:rPr>
          <w:color w:val="auto"/>
        </w:rPr>
        <w:t xml:space="preserve"> </w:t>
      </w:r>
      <w:r w:rsidR="00451468">
        <w:rPr>
          <w:color w:val="auto"/>
        </w:rPr>
        <w:t xml:space="preserve">dal 16 dicembre </w:t>
      </w:r>
      <w:r w:rsidR="008502AF">
        <w:rPr>
          <w:color w:val="auto"/>
        </w:rPr>
        <w:t xml:space="preserve">la vaccinazione della fascia 5-11 anni </w:t>
      </w:r>
      <w:r w:rsidR="00EB63CA" w:rsidRPr="00EB63CA">
        <w:rPr>
          <w:color w:val="auto"/>
        </w:rPr>
        <w:t>.</w:t>
      </w:r>
    </w:p>
    <w:p w:rsidR="008E7049" w:rsidRPr="008E7049" w:rsidRDefault="008E7049" w:rsidP="00DB1360">
      <w:pPr>
        <w:spacing w:line="276" w:lineRule="auto"/>
        <w:jc w:val="both"/>
        <w:rPr>
          <w:color w:val="auto"/>
        </w:rPr>
      </w:pPr>
      <w:r w:rsidRPr="008E7049">
        <w:rPr>
          <w:b/>
          <w:color w:val="auto"/>
        </w:rPr>
        <w:t>Vaccini: somministrazioni.</w:t>
      </w:r>
      <w:r w:rsidR="001C3537">
        <w:rPr>
          <w:color w:val="auto"/>
        </w:rPr>
        <w:t xml:space="preserve"> All’</w:t>
      </w:r>
      <w:r w:rsidRPr="008E7049">
        <w:rPr>
          <w:color w:val="auto"/>
        </w:rPr>
        <w:t>8 dicem</w:t>
      </w:r>
      <w:r>
        <w:rPr>
          <w:color w:val="auto"/>
        </w:rPr>
        <w:t>bre (aggiornamento ore 06.32) l’</w:t>
      </w:r>
      <w:r w:rsidRPr="008E7049">
        <w:rPr>
          <w:color w:val="auto"/>
        </w:rPr>
        <w:t>80,1% della popolazione (n. 47.477.646) ha ricevuto almeno una dose di vaccino (+251.527 rispetto alla settimana precedente) e il 77,3% (n. 45.830.582) ha completato il ciclo vaccinale (+147.509 rispetto alla settimana precedente) (</w:t>
      </w:r>
      <w:r w:rsidRPr="008E7049">
        <w:rPr>
          <w:color w:val="auto"/>
          <w:highlight w:val="yellow"/>
        </w:rPr>
        <w:t>figura 8</w:t>
      </w:r>
      <w:r w:rsidRPr="008E7049">
        <w:rPr>
          <w:color w:val="auto"/>
        </w:rPr>
        <w:t xml:space="preserve">). </w:t>
      </w:r>
      <w:r w:rsidR="00EB63CA">
        <w:rPr>
          <w:color w:val="auto"/>
        </w:rPr>
        <w:t>N</w:t>
      </w:r>
      <w:r w:rsidRPr="008E7049">
        <w:rPr>
          <w:color w:val="auto"/>
        </w:rPr>
        <w:t>ell’ultima settimana il numero di somministrazioni (n. 3.000.485)</w:t>
      </w:r>
      <w:r w:rsidR="00EB63CA">
        <w:rPr>
          <w:color w:val="auto"/>
        </w:rPr>
        <w:t xml:space="preserve"> è aumentato del 46,8%</w:t>
      </w:r>
      <w:r w:rsidRPr="008E7049">
        <w:rPr>
          <w:color w:val="auto"/>
        </w:rPr>
        <w:t>, con una media mobile a 7 giorni di 461.452 somministrazioni/die</w:t>
      </w:r>
      <w:r w:rsidR="00EB63CA">
        <w:rPr>
          <w:color w:val="auto"/>
        </w:rPr>
        <w:t xml:space="preserve">: </w:t>
      </w:r>
      <w:r w:rsidR="00361905">
        <w:rPr>
          <w:color w:val="auto"/>
        </w:rPr>
        <w:t xml:space="preserve">crescono del 52,6% </w:t>
      </w:r>
      <w:r w:rsidR="00EB63CA">
        <w:rPr>
          <w:color w:val="auto"/>
        </w:rPr>
        <w:t xml:space="preserve">le terze dosi </w:t>
      </w:r>
      <w:r w:rsidR="00361905">
        <w:rPr>
          <w:color w:val="auto"/>
        </w:rPr>
        <w:t xml:space="preserve">(n. </w:t>
      </w:r>
      <w:r w:rsidR="00361905" w:rsidRPr="00361905">
        <w:rPr>
          <w:color w:val="auto"/>
        </w:rPr>
        <w:t>2.644.894</w:t>
      </w:r>
      <w:r w:rsidR="00EB63CA">
        <w:rPr>
          <w:color w:val="auto"/>
        </w:rPr>
        <w:t xml:space="preserve">) </w:t>
      </w:r>
      <w:r w:rsidR="00361905">
        <w:rPr>
          <w:color w:val="auto"/>
        </w:rPr>
        <w:t>e del 31,7%</w:t>
      </w:r>
      <w:r w:rsidR="00EB63CA">
        <w:rPr>
          <w:color w:val="auto"/>
        </w:rPr>
        <w:t xml:space="preserve"> </w:t>
      </w:r>
      <w:r w:rsidR="008E4B12">
        <w:rPr>
          <w:color w:val="auto"/>
        </w:rPr>
        <w:t>i nuovi vaccinati</w:t>
      </w:r>
      <w:r w:rsidR="00EB63CA">
        <w:rPr>
          <w:color w:val="auto"/>
        </w:rPr>
        <w:t xml:space="preserve"> </w:t>
      </w:r>
      <w:r w:rsidR="00361905">
        <w:rPr>
          <w:color w:val="auto"/>
        </w:rPr>
        <w:t xml:space="preserve">(n. </w:t>
      </w:r>
      <w:r w:rsidR="00361905" w:rsidRPr="00CB3BD4">
        <w:rPr>
          <w:color w:val="auto"/>
        </w:rPr>
        <w:t>223.116</w:t>
      </w:r>
      <w:r w:rsidR="00361905">
        <w:rPr>
          <w:color w:val="auto"/>
        </w:rPr>
        <w:t>)</w:t>
      </w:r>
      <w:r w:rsidR="00EB63CA">
        <w:rPr>
          <w:color w:val="auto"/>
        </w:rPr>
        <w:t xml:space="preserve"> </w:t>
      </w:r>
      <w:r w:rsidR="00EB63CA" w:rsidRPr="008E7049">
        <w:rPr>
          <w:color w:val="auto"/>
        </w:rPr>
        <w:t>(</w:t>
      </w:r>
      <w:r w:rsidR="00EB63CA" w:rsidRPr="00EB63CA">
        <w:rPr>
          <w:color w:val="auto"/>
          <w:highlight w:val="yellow"/>
        </w:rPr>
        <w:t>figura 9</w:t>
      </w:r>
      <w:r w:rsidR="00EB63CA" w:rsidRPr="008E7049">
        <w:rPr>
          <w:color w:val="auto"/>
        </w:rPr>
        <w:t>)</w:t>
      </w:r>
      <w:r w:rsidRPr="008E7049">
        <w:rPr>
          <w:color w:val="auto"/>
        </w:rPr>
        <w:t>.</w:t>
      </w:r>
    </w:p>
    <w:p w:rsidR="00385025" w:rsidRDefault="009C32CB" w:rsidP="00385025">
      <w:pPr>
        <w:spacing w:line="276" w:lineRule="auto"/>
        <w:jc w:val="both"/>
        <w:rPr>
          <w:color w:val="auto"/>
        </w:rPr>
      </w:pPr>
      <w:r>
        <w:rPr>
          <w:color w:val="auto"/>
        </w:rPr>
        <w:t>I</w:t>
      </w:r>
      <w:r w:rsidR="006C147D">
        <w:rPr>
          <w:color w:val="auto"/>
        </w:rPr>
        <w:t xml:space="preserve"> </w:t>
      </w:r>
      <w:hyperlink r:id="rId10" w:history="1">
        <w:r w:rsidR="006C147D" w:rsidRPr="008D5B8B">
          <w:rPr>
            <w:rStyle w:val="Collegamentoipertestuale"/>
          </w:rPr>
          <w:t xml:space="preserve">target </w:t>
        </w:r>
        <w:r w:rsidR="00BE5078">
          <w:rPr>
            <w:rStyle w:val="Collegamentoipertestuale"/>
          </w:rPr>
          <w:t>definiti</w:t>
        </w:r>
        <w:r w:rsidR="006C147D" w:rsidRPr="008D5B8B">
          <w:rPr>
            <w:rStyle w:val="Collegamentoipertestuale"/>
          </w:rPr>
          <w:t xml:space="preserve"> dalla struttura commissariale</w:t>
        </w:r>
      </w:hyperlink>
      <w:r w:rsidR="00385025">
        <w:rPr>
          <w:color w:val="auto"/>
        </w:rPr>
        <w:t xml:space="preserve"> per il periodo 1-</w:t>
      </w:r>
      <w:r>
        <w:rPr>
          <w:color w:val="auto"/>
        </w:rPr>
        <w:t>7</w:t>
      </w:r>
      <w:r w:rsidR="00385025">
        <w:rPr>
          <w:color w:val="auto"/>
        </w:rPr>
        <w:t xml:space="preserve"> dicembre</w:t>
      </w:r>
      <w:r>
        <w:rPr>
          <w:color w:val="auto"/>
        </w:rPr>
        <w:t xml:space="preserve"> sono stati superati</w:t>
      </w:r>
      <w:r w:rsidR="007F391B">
        <w:rPr>
          <w:color w:val="auto"/>
        </w:rPr>
        <w:t xml:space="preserve"> </w:t>
      </w:r>
      <w:r w:rsidR="00710276">
        <w:rPr>
          <w:color w:val="auto"/>
        </w:rPr>
        <w:t>in tutte le giornate</w:t>
      </w:r>
      <w:r w:rsidR="00451468">
        <w:rPr>
          <w:color w:val="auto"/>
        </w:rPr>
        <w:t xml:space="preserve">, </w:t>
      </w:r>
      <w:r w:rsidR="00FA445A">
        <w:rPr>
          <w:color w:val="auto"/>
        </w:rPr>
        <w:t xml:space="preserve">ad eccezione di </w:t>
      </w:r>
      <w:r>
        <w:rPr>
          <w:color w:val="auto"/>
        </w:rPr>
        <w:t>domenica 5 dicembre</w:t>
      </w:r>
      <w:r w:rsidR="00833A0A">
        <w:rPr>
          <w:color w:val="auto"/>
        </w:rPr>
        <w:t xml:space="preserve">; </w:t>
      </w:r>
      <w:r w:rsidR="00FA445A">
        <w:rPr>
          <w:color w:val="auto"/>
        </w:rPr>
        <w:t xml:space="preserve">complessivamente </w:t>
      </w:r>
      <w:r>
        <w:rPr>
          <w:color w:val="auto"/>
        </w:rPr>
        <w:t>sono state</w:t>
      </w:r>
      <w:r w:rsidR="00FA445A">
        <w:rPr>
          <w:color w:val="auto"/>
        </w:rPr>
        <w:t xml:space="preserve"> </w:t>
      </w:r>
      <w:r>
        <w:rPr>
          <w:color w:val="auto"/>
        </w:rPr>
        <w:t xml:space="preserve">somministrate </w:t>
      </w:r>
      <w:r w:rsidR="00EB63CA">
        <w:rPr>
          <w:color w:val="auto"/>
        </w:rPr>
        <w:t>480.162</w:t>
      </w:r>
      <w:r>
        <w:rPr>
          <w:color w:val="auto"/>
        </w:rPr>
        <w:t xml:space="preserve"> dosi in più rispetto alle</w:t>
      </w:r>
      <w:r w:rsidR="00EB63CA">
        <w:rPr>
          <w:color w:val="auto"/>
        </w:rPr>
        <w:t xml:space="preserve"> 2.750.</w:t>
      </w:r>
      <w:r>
        <w:rPr>
          <w:color w:val="auto"/>
        </w:rPr>
        <w:t>000 previste.</w:t>
      </w:r>
    </w:p>
    <w:tbl>
      <w:tblPr>
        <w:tblW w:w="9356" w:type="dxa"/>
        <w:tblInd w:w="19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43"/>
        <w:gridCol w:w="933"/>
        <w:gridCol w:w="934"/>
        <w:gridCol w:w="934"/>
        <w:gridCol w:w="933"/>
        <w:gridCol w:w="934"/>
        <w:gridCol w:w="934"/>
        <w:gridCol w:w="68"/>
        <w:gridCol w:w="866"/>
        <w:gridCol w:w="977"/>
      </w:tblGrid>
      <w:tr w:rsidR="00536DC0" w:rsidRPr="00637F15" w:rsidTr="00637F15">
        <w:trPr>
          <w:trHeight w:val="340"/>
        </w:trPr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536DC0" w:rsidRPr="00637F15" w:rsidRDefault="00536DC0" w:rsidP="00637F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eastAsia="Times New Roman" w:cs="Calibri"/>
                <w:b/>
                <w:bCs/>
                <w:color w:val="FFFFFF"/>
                <w:sz w:val="20"/>
                <w:szCs w:val="21"/>
                <w:bdr w:val="none" w:sz="0" w:space="0" w:color="auto"/>
              </w:rPr>
            </w:pPr>
            <w:r w:rsidRPr="00637F15">
              <w:rPr>
                <w:rFonts w:eastAsia="Times New Roman" w:cs="Calibri"/>
                <w:b/>
                <w:bCs/>
                <w:color w:val="FFFFFF"/>
                <w:sz w:val="20"/>
                <w:szCs w:val="21"/>
                <w:bdr w:val="none" w:sz="0" w:space="0" w:color="auto"/>
              </w:rPr>
              <w:t>Regione</w:t>
            </w:r>
          </w:p>
        </w:tc>
        <w:tc>
          <w:tcPr>
            <w:tcW w:w="933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536DC0" w:rsidRPr="00637F15" w:rsidRDefault="00536DC0" w:rsidP="00637F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1"/>
                <w:bdr w:val="none" w:sz="0" w:space="0" w:color="auto"/>
              </w:rPr>
            </w:pPr>
            <w:r w:rsidRPr="00637F15">
              <w:rPr>
                <w:rFonts w:eastAsia="Times New Roman" w:cs="Calibri"/>
                <w:b/>
                <w:bCs/>
                <w:color w:val="FFFFFF"/>
                <w:sz w:val="20"/>
                <w:szCs w:val="21"/>
                <w:bdr w:val="none" w:sz="0" w:space="0" w:color="auto"/>
              </w:rPr>
              <w:t>1/12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536DC0" w:rsidRPr="00637F15" w:rsidRDefault="00536DC0" w:rsidP="00637F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1"/>
                <w:bdr w:val="none" w:sz="0" w:space="0" w:color="auto"/>
              </w:rPr>
            </w:pPr>
            <w:r w:rsidRPr="00637F15">
              <w:rPr>
                <w:rFonts w:eastAsia="Times New Roman" w:cs="Calibri"/>
                <w:b/>
                <w:bCs/>
                <w:color w:val="FFFFFF"/>
                <w:sz w:val="20"/>
                <w:szCs w:val="21"/>
                <w:bdr w:val="none" w:sz="0" w:space="0" w:color="auto"/>
              </w:rPr>
              <w:t>2/12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536DC0" w:rsidRPr="00637F15" w:rsidRDefault="00536DC0" w:rsidP="00637F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1"/>
                <w:bdr w:val="none" w:sz="0" w:space="0" w:color="auto"/>
              </w:rPr>
            </w:pPr>
            <w:r w:rsidRPr="00637F15">
              <w:rPr>
                <w:rFonts w:eastAsia="Times New Roman" w:cs="Calibri"/>
                <w:b/>
                <w:bCs/>
                <w:color w:val="FFFFFF"/>
                <w:sz w:val="20"/>
                <w:szCs w:val="21"/>
                <w:bdr w:val="none" w:sz="0" w:space="0" w:color="auto"/>
              </w:rPr>
              <w:t>3/12</w:t>
            </w:r>
          </w:p>
        </w:tc>
        <w:tc>
          <w:tcPr>
            <w:tcW w:w="933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000000" w:fill="00457D"/>
            <w:vAlign w:val="center"/>
          </w:tcPr>
          <w:p w:rsidR="00536DC0" w:rsidRPr="00637F15" w:rsidRDefault="00536DC0" w:rsidP="00637F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1"/>
                <w:bdr w:val="none" w:sz="0" w:space="0" w:color="auto"/>
              </w:rPr>
            </w:pPr>
            <w:r w:rsidRPr="00637F15">
              <w:rPr>
                <w:rFonts w:eastAsia="Times New Roman" w:cs="Calibri"/>
                <w:b/>
                <w:bCs/>
                <w:color w:val="FFFFFF"/>
                <w:sz w:val="20"/>
                <w:szCs w:val="21"/>
                <w:bdr w:val="none" w:sz="0" w:space="0" w:color="auto"/>
              </w:rPr>
              <w:t>4/12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000000" w:fill="00457D"/>
            <w:vAlign w:val="center"/>
          </w:tcPr>
          <w:p w:rsidR="00536DC0" w:rsidRPr="00637F15" w:rsidRDefault="00536DC0" w:rsidP="00637F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1"/>
                <w:bdr w:val="none" w:sz="0" w:space="0" w:color="auto"/>
              </w:rPr>
            </w:pPr>
            <w:r w:rsidRPr="00637F15">
              <w:rPr>
                <w:rFonts w:eastAsia="Times New Roman" w:cs="Calibri"/>
                <w:b/>
                <w:bCs/>
                <w:color w:val="FFFFFF"/>
                <w:sz w:val="20"/>
                <w:szCs w:val="21"/>
                <w:bdr w:val="none" w:sz="0" w:space="0" w:color="auto"/>
              </w:rPr>
              <w:t>5/12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000000" w:fill="00457D"/>
            <w:vAlign w:val="center"/>
          </w:tcPr>
          <w:p w:rsidR="00536DC0" w:rsidRPr="00637F15" w:rsidRDefault="00536DC0" w:rsidP="00637F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1"/>
                <w:bdr w:val="none" w:sz="0" w:space="0" w:color="auto"/>
              </w:rPr>
            </w:pPr>
            <w:r w:rsidRPr="00637F15">
              <w:rPr>
                <w:rFonts w:eastAsia="Times New Roman" w:cs="Calibri"/>
                <w:b/>
                <w:bCs/>
                <w:color w:val="FFFFFF"/>
                <w:sz w:val="20"/>
                <w:szCs w:val="21"/>
                <w:bdr w:val="none" w:sz="0" w:space="0" w:color="auto"/>
              </w:rPr>
              <w:t>6/12</w:t>
            </w:r>
          </w:p>
        </w:tc>
        <w:tc>
          <w:tcPr>
            <w:tcW w:w="934" w:type="dxa"/>
            <w:gridSpan w:val="2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000000" w:fill="00457D"/>
            <w:vAlign w:val="center"/>
          </w:tcPr>
          <w:p w:rsidR="00536DC0" w:rsidRPr="00637F15" w:rsidRDefault="00536DC0" w:rsidP="00637F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1"/>
                <w:bdr w:val="none" w:sz="0" w:space="0" w:color="auto"/>
              </w:rPr>
            </w:pPr>
            <w:r w:rsidRPr="00637F15">
              <w:rPr>
                <w:rFonts w:eastAsia="Times New Roman" w:cs="Calibri"/>
                <w:b/>
                <w:bCs/>
                <w:color w:val="FFFFFF"/>
                <w:sz w:val="20"/>
                <w:szCs w:val="21"/>
                <w:bdr w:val="none" w:sz="0" w:space="0" w:color="auto"/>
              </w:rPr>
              <w:t>7/12</w:t>
            </w:r>
          </w:p>
        </w:tc>
        <w:tc>
          <w:tcPr>
            <w:tcW w:w="977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:rsidR="00536DC0" w:rsidRPr="00637F15" w:rsidRDefault="00536DC0" w:rsidP="00637F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1"/>
                <w:bdr w:val="none" w:sz="0" w:space="0" w:color="auto"/>
              </w:rPr>
            </w:pPr>
            <w:r w:rsidRPr="00637F15">
              <w:rPr>
                <w:rFonts w:eastAsia="Times New Roman" w:cs="Calibri"/>
                <w:b/>
                <w:bCs/>
                <w:color w:val="FFFFFF"/>
                <w:sz w:val="20"/>
                <w:szCs w:val="21"/>
                <w:bdr w:val="none" w:sz="0" w:space="0" w:color="auto"/>
              </w:rPr>
              <w:t>Totale</w:t>
            </w:r>
          </w:p>
        </w:tc>
      </w:tr>
      <w:tr w:rsidR="003A2395" w:rsidRPr="00637F15" w:rsidTr="00B70015">
        <w:trPr>
          <w:trHeight w:val="340"/>
        </w:trPr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A2395" w:rsidRPr="00637F15" w:rsidRDefault="003A2395" w:rsidP="00B700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eastAsia="Times New Roman" w:cs="Calibri"/>
                <w:color w:val="auto"/>
                <w:sz w:val="20"/>
                <w:szCs w:val="21"/>
                <w:bdr w:val="none" w:sz="0" w:space="0" w:color="auto"/>
              </w:rPr>
            </w:pPr>
            <w:r w:rsidRPr="00637F15">
              <w:rPr>
                <w:rFonts w:eastAsia="Times New Roman" w:cs="Calibri"/>
                <w:color w:val="auto"/>
                <w:sz w:val="20"/>
                <w:szCs w:val="21"/>
                <w:bdr w:val="none" w:sz="0" w:space="0" w:color="auto"/>
              </w:rPr>
              <w:t>Dosi somministrate</w:t>
            </w:r>
          </w:p>
        </w:tc>
        <w:tc>
          <w:tcPr>
            <w:tcW w:w="93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</w:tcPr>
          <w:p w:rsidR="003A2395" w:rsidRPr="00637F15" w:rsidRDefault="003A2395" w:rsidP="00B70015">
            <w:pPr>
              <w:spacing w:after="0" w:line="276" w:lineRule="auto"/>
              <w:jc w:val="right"/>
              <w:rPr>
                <w:rFonts w:cs="Calibri"/>
                <w:sz w:val="20"/>
                <w:szCs w:val="21"/>
              </w:rPr>
            </w:pPr>
            <w:r w:rsidRPr="00637F15">
              <w:rPr>
                <w:rFonts w:eastAsia="Times New Roman" w:cs="Calibri"/>
                <w:sz w:val="20"/>
                <w:szCs w:val="21"/>
                <w:bdr w:val="none" w:sz="0" w:space="0" w:color="auto"/>
              </w:rPr>
              <w:t>457.829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</w:tcPr>
          <w:p w:rsidR="003A2395" w:rsidRPr="00637F15" w:rsidRDefault="003A2395" w:rsidP="00B70015">
            <w:pPr>
              <w:spacing w:after="0" w:line="276" w:lineRule="auto"/>
              <w:jc w:val="right"/>
              <w:rPr>
                <w:rFonts w:cs="Calibri"/>
                <w:sz w:val="20"/>
                <w:szCs w:val="21"/>
              </w:rPr>
            </w:pPr>
            <w:r w:rsidRPr="00637F15">
              <w:rPr>
                <w:rFonts w:eastAsia="Times New Roman" w:cs="Calibri"/>
                <w:sz w:val="20"/>
                <w:szCs w:val="21"/>
                <w:bdr w:val="none" w:sz="0" w:space="0" w:color="auto"/>
              </w:rPr>
              <w:t>485.416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</w:tcPr>
          <w:p w:rsidR="003A2395" w:rsidRPr="00637F15" w:rsidRDefault="003A2395" w:rsidP="00B70015">
            <w:pPr>
              <w:spacing w:after="0" w:line="276" w:lineRule="auto"/>
              <w:jc w:val="right"/>
              <w:rPr>
                <w:rFonts w:cs="Calibri"/>
                <w:sz w:val="20"/>
                <w:szCs w:val="21"/>
              </w:rPr>
            </w:pPr>
            <w:r w:rsidRPr="00637F15">
              <w:rPr>
                <w:rFonts w:eastAsia="Times New Roman" w:cs="Calibri"/>
                <w:sz w:val="20"/>
                <w:szCs w:val="21"/>
                <w:bdr w:val="none" w:sz="0" w:space="0" w:color="auto"/>
              </w:rPr>
              <w:t>512.874</w:t>
            </w:r>
          </w:p>
        </w:tc>
        <w:tc>
          <w:tcPr>
            <w:tcW w:w="93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vAlign w:val="center"/>
          </w:tcPr>
          <w:p w:rsidR="003A2395" w:rsidRPr="00637F15" w:rsidRDefault="003A2395" w:rsidP="00B70015">
            <w:pPr>
              <w:spacing w:after="0" w:line="276" w:lineRule="auto"/>
              <w:jc w:val="right"/>
              <w:rPr>
                <w:rFonts w:cs="Calibri"/>
                <w:sz w:val="20"/>
                <w:szCs w:val="21"/>
              </w:rPr>
            </w:pPr>
            <w:r w:rsidRPr="00637F15">
              <w:rPr>
                <w:rFonts w:eastAsia="Times New Roman" w:cs="Calibri"/>
                <w:sz w:val="20"/>
                <w:szCs w:val="21"/>
                <w:bdr w:val="none" w:sz="0" w:space="0" w:color="auto"/>
              </w:rPr>
              <w:t>461.265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vAlign w:val="center"/>
          </w:tcPr>
          <w:p w:rsidR="003A2395" w:rsidRPr="00637F15" w:rsidRDefault="003A2395" w:rsidP="00B70015">
            <w:pPr>
              <w:spacing w:after="0" w:line="276" w:lineRule="auto"/>
              <w:jc w:val="right"/>
              <w:rPr>
                <w:rFonts w:cs="Calibri"/>
                <w:sz w:val="20"/>
                <w:szCs w:val="21"/>
              </w:rPr>
            </w:pPr>
            <w:r w:rsidRPr="00637F15">
              <w:rPr>
                <w:rFonts w:eastAsia="Times New Roman" w:cs="Calibri"/>
                <w:sz w:val="20"/>
                <w:szCs w:val="21"/>
                <w:bdr w:val="none" w:sz="0" w:space="0" w:color="auto"/>
              </w:rPr>
              <w:t>291.411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vAlign w:val="center"/>
          </w:tcPr>
          <w:p w:rsidR="003A2395" w:rsidRPr="00637F15" w:rsidRDefault="003A2395" w:rsidP="00B70015">
            <w:pPr>
              <w:spacing w:after="0" w:line="276" w:lineRule="auto"/>
              <w:jc w:val="right"/>
              <w:rPr>
                <w:rFonts w:cs="Calibri"/>
                <w:sz w:val="20"/>
                <w:szCs w:val="21"/>
              </w:rPr>
            </w:pPr>
            <w:r w:rsidRPr="00637F15">
              <w:rPr>
                <w:rFonts w:eastAsia="Times New Roman" w:cs="Calibri"/>
                <w:sz w:val="20"/>
                <w:szCs w:val="21"/>
                <w:bdr w:val="none" w:sz="0" w:space="0" w:color="auto"/>
              </w:rPr>
              <w:t>512.162</w:t>
            </w:r>
          </w:p>
        </w:tc>
        <w:tc>
          <w:tcPr>
            <w:tcW w:w="934" w:type="dxa"/>
            <w:gridSpan w:val="2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vAlign w:val="center"/>
          </w:tcPr>
          <w:p w:rsidR="003A2395" w:rsidRPr="00637F15" w:rsidRDefault="003A2395" w:rsidP="00B70015">
            <w:pPr>
              <w:spacing w:after="0" w:line="276" w:lineRule="auto"/>
              <w:jc w:val="right"/>
              <w:rPr>
                <w:rFonts w:cs="Calibri"/>
                <w:color w:val="auto"/>
                <w:sz w:val="20"/>
                <w:szCs w:val="21"/>
              </w:rPr>
            </w:pPr>
            <w:r w:rsidRPr="00637F15">
              <w:rPr>
                <w:rFonts w:eastAsia="Times New Roman" w:cs="Calibri"/>
                <w:color w:val="auto"/>
                <w:sz w:val="20"/>
                <w:szCs w:val="21"/>
                <w:bdr w:val="none" w:sz="0" w:space="0" w:color="auto"/>
              </w:rPr>
              <w:t>509.205</w:t>
            </w:r>
          </w:p>
        </w:tc>
        <w:tc>
          <w:tcPr>
            <w:tcW w:w="97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</w:tcPr>
          <w:p w:rsidR="003A2395" w:rsidRPr="00637F15" w:rsidRDefault="003A2395" w:rsidP="00B70015">
            <w:pPr>
              <w:spacing w:after="0" w:line="276" w:lineRule="auto"/>
              <w:jc w:val="right"/>
              <w:rPr>
                <w:rFonts w:cs="Calibri"/>
                <w:color w:val="auto"/>
                <w:sz w:val="20"/>
                <w:szCs w:val="21"/>
              </w:rPr>
            </w:pPr>
            <w:r w:rsidRPr="00637F15">
              <w:rPr>
                <w:rFonts w:cs="Calibri"/>
                <w:color w:val="auto"/>
                <w:sz w:val="20"/>
                <w:szCs w:val="21"/>
              </w:rPr>
              <w:t>3.230.162</w:t>
            </w:r>
          </w:p>
        </w:tc>
      </w:tr>
      <w:tr w:rsidR="00833A0A" w:rsidRPr="00637F15" w:rsidTr="00B70015">
        <w:trPr>
          <w:trHeight w:val="340"/>
        </w:trPr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833A0A" w:rsidRPr="00637F15" w:rsidRDefault="00833A0A" w:rsidP="00B700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eastAsia="Times New Roman" w:cs="Calibri"/>
                <w:color w:val="auto"/>
                <w:sz w:val="20"/>
                <w:szCs w:val="21"/>
                <w:bdr w:val="none" w:sz="0" w:space="0" w:color="auto"/>
              </w:rPr>
            </w:pPr>
            <w:r>
              <w:rPr>
                <w:rFonts w:eastAsia="Times New Roman" w:cs="Calibri"/>
                <w:color w:val="auto"/>
                <w:sz w:val="20"/>
                <w:szCs w:val="21"/>
                <w:bdr w:val="none" w:sz="0" w:space="0" w:color="auto"/>
              </w:rPr>
              <w:t>Target</w:t>
            </w:r>
          </w:p>
        </w:tc>
        <w:tc>
          <w:tcPr>
            <w:tcW w:w="93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</w:tcPr>
          <w:p w:rsidR="00833A0A" w:rsidRPr="00637F15" w:rsidRDefault="00833A0A" w:rsidP="00B70015">
            <w:pPr>
              <w:spacing w:after="0" w:line="276" w:lineRule="auto"/>
              <w:jc w:val="right"/>
              <w:rPr>
                <w:rFonts w:cs="Calibri"/>
                <w:sz w:val="20"/>
                <w:szCs w:val="21"/>
              </w:rPr>
            </w:pPr>
            <w:r w:rsidRPr="00637F15">
              <w:rPr>
                <w:rFonts w:cs="Calibri"/>
                <w:sz w:val="20"/>
                <w:szCs w:val="21"/>
              </w:rPr>
              <w:t>400.000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</w:tcPr>
          <w:p w:rsidR="00833A0A" w:rsidRPr="00637F15" w:rsidRDefault="00833A0A" w:rsidP="00B70015">
            <w:pPr>
              <w:spacing w:after="0" w:line="276" w:lineRule="auto"/>
              <w:jc w:val="right"/>
              <w:rPr>
                <w:rFonts w:cs="Calibri"/>
                <w:sz w:val="20"/>
                <w:szCs w:val="21"/>
              </w:rPr>
            </w:pPr>
            <w:r w:rsidRPr="00637F15">
              <w:rPr>
                <w:rFonts w:cs="Calibri"/>
                <w:sz w:val="20"/>
                <w:szCs w:val="21"/>
              </w:rPr>
              <w:t>400.000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</w:tcPr>
          <w:p w:rsidR="00833A0A" w:rsidRPr="00637F15" w:rsidRDefault="00833A0A" w:rsidP="00B70015">
            <w:pPr>
              <w:spacing w:after="0" w:line="276" w:lineRule="auto"/>
              <w:jc w:val="right"/>
              <w:rPr>
                <w:rFonts w:cs="Calibri"/>
                <w:sz w:val="20"/>
                <w:szCs w:val="21"/>
              </w:rPr>
            </w:pPr>
            <w:r w:rsidRPr="00637F15">
              <w:rPr>
                <w:rFonts w:cs="Calibri"/>
                <w:sz w:val="20"/>
                <w:szCs w:val="21"/>
              </w:rPr>
              <w:t>400.000</w:t>
            </w:r>
          </w:p>
        </w:tc>
        <w:tc>
          <w:tcPr>
            <w:tcW w:w="93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vAlign w:val="center"/>
          </w:tcPr>
          <w:p w:rsidR="00833A0A" w:rsidRPr="00637F15" w:rsidRDefault="00833A0A" w:rsidP="00B70015">
            <w:pPr>
              <w:spacing w:after="0" w:line="276" w:lineRule="auto"/>
              <w:jc w:val="right"/>
              <w:rPr>
                <w:rFonts w:cs="Calibri"/>
                <w:sz w:val="20"/>
                <w:szCs w:val="21"/>
              </w:rPr>
            </w:pPr>
            <w:r w:rsidRPr="00637F15">
              <w:rPr>
                <w:rFonts w:cs="Calibri"/>
                <w:sz w:val="20"/>
                <w:szCs w:val="21"/>
              </w:rPr>
              <w:t>350.000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vAlign w:val="center"/>
          </w:tcPr>
          <w:p w:rsidR="00833A0A" w:rsidRPr="00637F15" w:rsidRDefault="00833A0A" w:rsidP="00B70015">
            <w:pPr>
              <w:spacing w:after="0" w:line="276" w:lineRule="auto"/>
              <w:jc w:val="right"/>
              <w:rPr>
                <w:rFonts w:cs="Calibri"/>
                <w:sz w:val="20"/>
                <w:szCs w:val="21"/>
              </w:rPr>
            </w:pPr>
            <w:r w:rsidRPr="00637F15">
              <w:rPr>
                <w:rFonts w:cs="Calibri"/>
                <w:sz w:val="20"/>
                <w:szCs w:val="21"/>
              </w:rPr>
              <w:t>300.000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vAlign w:val="center"/>
          </w:tcPr>
          <w:p w:rsidR="00833A0A" w:rsidRPr="00637F15" w:rsidRDefault="00833A0A" w:rsidP="00B70015">
            <w:pPr>
              <w:spacing w:after="0" w:line="276" w:lineRule="auto"/>
              <w:jc w:val="right"/>
              <w:rPr>
                <w:rFonts w:cs="Calibri"/>
                <w:sz w:val="20"/>
                <w:szCs w:val="21"/>
              </w:rPr>
            </w:pPr>
            <w:r w:rsidRPr="00637F15">
              <w:rPr>
                <w:rFonts w:cs="Calibri"/>
                <w:sz w:val="20"/>
                <w:szCs w:val="21"/>
              </w:rPr>
              <w:t>450.000</w:t>
            </w:r>
          </w:p>
        </w:tc>
        <w:tc>
          <w:tcPr>
            <w:tcW w:w="934" w:type="dxa"/>
            <w:gridSpan w:val="2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vAlign w:val="center"/>
          </w:tcPr>
          <w:p w:rsidR="00833A0A" w:rsidRPr="00637F15" w:rsidRDefault="00833A0A" w:rsidP="00B70015">
            <w:pPr>
              <w:spacing w:after="0" w:line="276" w:lineRule="auto"/>
              <w:jc w:val="right"/>
              <w:rPr>
                <w:rFonts w:cs="Calibri"/>
                <w:color w:val="auto"/>
                <w:sz w:val="20"/>
                <w:szCs w:val="21"/>
              </w:rPr>
            </w:pPr>
            <w:r w:rsidRPr="00637F15">
              <w:rPr>
                <w:rFonts w:cs="Calibri"/>
                <w:color w:val="auto"/>
                <w:sz w:val="20"/>
                <w:szCs w:val="21"/>
              </w:rPr>
              <w:t>450.000</w:t>
            </w:r>
          </w:p>
        </w:tc>
        <w:tc>
          <w:tcPr>
            <w:tcW w:w="97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</w:tcPr>
          <w:p w:rsidR="00833A0A" w:rsidRPr="00637F15" w:rsidRDefault="00833A0A" w:rsidP="00B70015">
            <w:pPr>
              <w:spacing w:after="0" w:line="276" w:lineRule="auto"/>
              <w:jc w:val="right"/>
              <w:rPr>
                <w:rFonts w:cs="Calibri"/>
                <w:color w:val="auto"/>
                <w:sz w:val="20"/>
                <w:szCs w:val="21"/>
              </w:rPr>
            </w:pPr>
            <w:r w:rsidRPr="00637F15">
              <w:rPr>
                <w:rFonts w:cs="Calibri"/>
                <w:color w:val="auto"/>
                <w:sz w:val="20"/>
                <w:szCs w:val="21"/>
              </w:rPr>
              <w:t>2.750.000</w:t>
            </w:r>
          </w:p>
        </w:tc>
      </w:tr>
      <w:tr w:rsidR="00536DC0" w:rsidRPr="00637F15" w:rsidTr="00637F15">
        <w:trPr>
          <w:trHeight w:val="340"/>
        </w:trPr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 w:themeColor="background1"/>
            </w:tcBorders>
            <w:shd w:val="clear" w:color="auto" w:fill="00457D"/>
            <w:noWrap/>
            <w:vAlign w:val="center"/>
          </w:tcPr>
          <w:p w:rsidR="00536DC0" w:rsidRPr="00637F15" w:rsidRDefault="00536DC0" w:rsidP="00637F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eastAsia="Times New Roman" w:cs="Calibri"/>
                <w:b/>
                <w:color w:val="FFFFFF" w:themeColor="background1"/>
                <w:sz w:val="20"/>
                <w:szCs w:val="21"/>
                <w:bdr w:val="none" w:sz="0" w:space="0" w:color="auto"/>
              </w:rPr>
            </w:pPr>
            <w:r w:rsidRPr="00637F15">
              <w:rPr>
                <w:rFonts w:eastAsia="Times New Roman" w:cs="Calibri"/>
                <w:b/>
                <w:color w:val="FFFFFF" w:themeColor="background1"/>
                <w:sz w:val="20"/>
                <w:szCs w:val="21"/>
                <w:bdr w:val="none" w:sz="0" w:space="0" w:color="auto"/>
              </w:rPr>
              <w:t>Differenza</w:t>
            </w:r>
          </w:p>
        </w:tc>
        <w:tc>
          <w:tcPr>
            <w:tcW w:w="933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auto" w:fill="00457D"/>
            <w:noWrap/>
            <w:vAlign w:val="center"/>
          </w:tcPr>
          <w:p w:rsidR="00536DC0" w:rsidRPr="00637F15" w:rsidRDefault="00536DC0" w:rsidP="00637F15">
            <w:pPr>
              <w:spacing w:after="0" w:line="276" w:lineRule="auto"/>
              <w:jc w:val="right"/>
              <w:rPr>
                <w:rFonts w:cs="Calibri"/>
                <w:b/>
                <w:color w:val="FFFFFF" w:themeColor="background1"/>
                <w:sz w:val="20"/>
                <w:szCs w:val="21"/>
              </w:rPr>
            </w:pPr>
            <w:r w:rsidRPr="00637F15">
              <w:rPr>
                <w:rFonts w:eastAsia="Times New Roman" w:cs="Calibri"/>
                <w:b/>
                <w:color w:val="FFFFFF" w:themeColor="background1"/>
                <w:sz w:val="20"/>
                <w:szCs w:val="21"/>
                <w:bdr w:val="none" w:sz="0" w:space="0" w:color="auto"/>
              </w:rPr>
              <w:t>+57.829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auto" w:fill="00457D"/>
            <w:noWrap/>
            <w:vAlign w:val="center"/>
          </w:tcPr>
          <w:p w:rsidR="00536DC0" w:rsidRPr="00637F15" w:rsidRDefault="00536DC0" w:rsidP="00637F15">
            <w:pPr>
              <w:spacing w:after="0" w:line="276" w:lineRule="auto"/>
              <w:jc w:val="right"/>
              <w:rPr>
                <w:rFonts w:cs="Calibri"/>
                <w:b/>
                <w:color w:val="FFFFFF" w:themeColor="background1"/>
                <w:sz w:val="20"/>
                <w:szCs w:val="21"/>
              </w:rPr>
            </w:pPr>
            <w:r w:rsidRPr="00637F15">
              <w:rPr>
                <w:rFonts w:eastAsia="Times New Roman" w:cs="Calibri"/>
                <w:b/>
                <w:color w:val="FFFFFF" w:themeColor="background1"/>
                <w:sz w:val="20"/>
                <w:szCs w:val="21"/>
                <w:bdr w:val="none" w:sz="0" w:space="0" w:color="auto"/>
              </w:rPr>
              <w:t>+85.416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auto" w:fill="00457D"/>
            <w:noWrap/>
            <w:vAlign w:val="center"/>
          </w:tcPr>
          <w:p w:rsidR="00536DC0" w:rsidRPr="00637F15" w:rsidRDefault="00536DC0" w:rsidP="00637F15">
            <w:pPr>
              <w:spacing w:after="0" w:line="276" w:lineRule="auto"/>
              <w:jc w:val="right"/>
              <w:rPr>
                <w:rFonts w:cs="Calibri"/>
                <w:b/>
                <w:color w:val="FFFFFF" w:themeColor="background1"/>
                <w:sz w:val="20"/>
                <w:szCs w:val="21"/>
              </w:rPr>
            </w:pPr>
            <w:r w:rsidRPr="00637F15">
              <w:rPr>
                <w:rFonts w:eastAsia="Times New Roman" w:cs="Calibri"/>
                <w:b/>
                <w:color w:val="FFFFFF" w:themeColor="background1"/>
                <w:sz w:val="20"/>
                <w:szCs w:val="21"/>
                <w:bdr w:val="none" w:sz="0" w:space="0" w:color="auto"/>
              </w:rPr>
              <w:t>+112.874</w:t>
            </w:r>
          </w:p>
        </w:tc>
        <w:tc>
          <w:tcPr>
            <w:tcW w:w="933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auto" w:fill="00457D"/>
            <w:vAlign w:val="center"/>
          </w:tcPr>
          <w:p w:rsidR="00536DC0" w:rsidRPr="00637F15" w:rsidRDefault="00536DC0" w:rsidP="00637F15">
            <w:pPr>
              <w:spacing w:after="0" w:line="276" w:lineRule="auto"/>
              <w:jc w:val="right"/>
              <w:rPr>
                <w:rFonts w:cs="Calibri"/>
                <w:b/>
                <w:color w:val="FFFFFF" w:themeColor="background1"/>
                <w:sz w:val="20"/>
                <w:szCs w:val="21"/>
              </w:rPr>
            </w:pPr>
            <w:r w:rsidRPr="00637F15">
              <w:rPr>
                <w:rFonts w:eastAsia="Times New Roman" w:cs="Calibri"/>
                <w:b/>
                <w:color w:val="FFFFFF" w:themeColor="background1"/>
                <w:sz w:val="20"/>
                <w:szCs w:val="21"/>
                <w:bdr w:val="none" w:sz="0" w:space="0" w:color="auto"/>
              </w:rPr>
              <w:t>+111.265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auto" w:fill="00457D"/>
            <w:vAlign w:val="center"/>
          </w:tcPr>
          <w:p w:rsidR="00536DC0" w:rsidRPr="00637F15" w:rsidRDefault="00536DC0" w:rsidP="00637F15">
            <w:pPr>
              <w:spacing w:after="0" w:line="276" w:lineRule="auto"/>
              <w:jc w:val="right"/>
              <w:rPr>
                <w:rFonts w:cs="Calibri"/>
                <w:b/>
                <w:color w:val="FFFFFF" w:themeColor="background1"/>
                <w:sz w:val="20"/>
                <w:szCs w:val="21"/>
              </w:rPr>
            </w:pPr>
            <w:r w:rsidRPr="00637F15">
              <w:rPr>
                <w:rFonts w:eastAsia="Times New Roman" w:cs="Calibri"/>
                <w:b/>
                <w:color w:val="FFFFFF" w:themeColor="background1"/>
                <w:sz w:val="20"/>
                <w:szCs w:val="21"/>
                <w:bdr w:val="none" w:sz="0" w:space="0" w:color="auto"/>
              </w:rPr>
              <w:t>-8.589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auto" w:fill="00457D"/>
            <w:vAlign w:val="center"/>
          </w:tcPr>
          <w:p w:rsidR="00536DC0" w:rsidRPr="00637F15" w:rsidRDefault="00536DC0" w:rsidP="00637F15">
            <w:pPr>
              <w:spacing w:after="0" w:line="276" w:lineRule="auto"/>
              <w:jc w:val="right"/>
              <w:rPr>
                <w:rFonts w:cs="Calibri"/>
                <w:b/>
                <w:color w:val="FFFFFF" w:themeColor="background1"/>
                <w:sz w:val="20"/>
                <w:szCs w:val="21"/>
              </w:rPr>
            </w:pPr>
            <w:r w:rsidRPr="00637F15">
              <w:rPr>
                <w:rFonts w:eastAsia="Times New Roman" w:cs="Calibri"/>
                <w:b/>
                <w:color w:val="FFFFFF" w:themeColor="background1"/>
                <w:sz w:val="20"/>
                <w:szCs w:val="21"/>
                <w:bdr w:val="none" w:sz="0" w:space="0" w:color="auto"/>
              </w:rPr>
              <w:t>+62.162</w:t>
            </w:r>
          </w:p>
        </w:tc>
        <w:tc>
          <w:tcPr>
            <w:tcW w:w="934" w:type="dxa"/>
            <w:gridSpan w:val="2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auto" w:fill="00457D"/>
            <w:vAlign w:val="center"/>
          </w:tcPr>
          <w:p w:rsidR="00536DC0" w:rsidRPr="00637F15" w:rsidRDefault="00536DC0" w:rsidP="00637F15">
            <w:pPr>
              <w:spacing w:after="0" w:line="276" w:lineRule="auto"/>
              <w:jc w:val="right"/>
              <w:rPr>
                <w:rFonts w:cs="Calibri"/>
                <w:b/>
                <w:color w:val="FFFFFF" w:themeColor="background1"/>
                <w:sz w:val="20"/>
                <w:szCs w:val="21"/>
              </w:rPr>
            </w:pPr>
            <w:r w:rsidRPr="00637F15">
              <w:rPr>
                <w:rFonts w:eastAsia="Times New Roman" w:cs="Calibri"/>
                <w:b/>
                <w:color w:val="FFFFFF" w:themeColor="background1"/>
                <w:sz w:val="20"/>
                <w:szCs w:val="21"/>
                <w:bdr w:val="none" w:sz="0" w:space="0" w:color="auto"/>
              </w:rPr>
              <w:t>+59.205</w:t>
            </w:r>
          </w:p>
        </w:tc>
        <w:tc>
          <w:tcPr>
            <w:tcW w:w="977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00457D"/>
            </w:tcBorders>
            <w:shd w:val="clear" w:color="auto" w:fill="00457D"/>
            <w:noWrap/>
            <w:vAlign w:val="center"/>
          </w:tcPr>
          <w:p w:rsidR="00536DC0" w:rsidRPr="00637F15" w:rsidRDefault="00536DC0" w:rsidP="00637F15">
            <w:pPr>
              <w:spacing w:after="0" w:line="276" w:lineRule="auto"/>
              <w:jc w:val="right"/>
              <w:rPr>
                <w:rFonts w:cs="Calibri"/>
                <w:b/>
                <w:color w:val="FFFFFF" w:themeColor="background1"/>
                <w:sz w:val="20"/>
                <w:szCs w:val="21"/>
              </w:rPr>
            </w:pPr>
            <w:r w:rsidRPr="00637F15">
              <w:rPr>
                <w:rFonts w:cs="Calibri"/>
                <w:b/>
                <w:color w:val="FFFFFF" w:themeColor="background1"/>
                <w:sz w:val="20"/>
                <w:szCs w:val="21"/>
              </w:rPr>
              <w:t>+480.162</w:t>
            </w:r>
          </w:p>
        </w:tc>
      </w:tr>
      <w:tr w:rsidR="00536DC0" w:rsidRPr="00283CFF" w:rsidTr="00637F15">
        <w:tblPrEx>
          <w:tblCellMar>
            <w:left w:w="70" w:type="dxa"/>
            <w:right w:w="70" w:type="dxa"/>
          </w:tblCellMar>
        </w:tblPrEx>
        <w:trPr>
          <w:trHeight w:val="567"/>
        </w:trPr>
        <w:tc>
          <w:tcPr>
            <w:tcW w:w="7513" w:type="dxa"/>
            <w:gridSpan w:val="8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536DC0" w:rsidRDefault="00536DC0" w:rsidP="00637F15">
            <w:pPr>
              <w:spacing w:after="0" w:line="276" w:lineRule="auto"/>
              <w:rPr>
                <w:rFonts w:cs="Calibri"/>
                <w:color w:val="00457D"/>
                <w:sz w:val="18"/>
                <w:szCs w:val="21"/>
              </w:rPr>
            </w:pPr>
            <w:r w:rsidRPr="00283CFF">
              <w:rPr>
                <w:rFonts w:cs="Calibri"/>
                <w:color w:val="00457D"/>
                <w:sz w:val="18"/>
                <w:szCs w:val="21"/>
              </w:rPr>
              <w:t>Elaborazione GIMBE su dati Ministero Salute, Commissario Straordinario COVID-19</w:t>
            </w:r>
          </w:p>
          <w:p w:rsidR="00536DC0" w:rsidRPr="00283CFF" w:rsidRDefault="00536DC0" w:rsidP="00637F15">
            <w:pPr>
              <w:spacing w:after="0" w:line="276" w:lineRule="auto"/>
              <w:rPr>
                <w:rFonts w:cs="Calibri"/>
                <w:color w:val="00457D"/>
                <w:sz w:val="18"/>
                <w:szCs w:val="21"/>
              </w:rPr>
            </w:pPr>
            <w:r w:rsidRPr="00283CFF">
              <w:rPr>
                <w:rFonts w:cs="Calibri"/>
                <w:color w:val="00457D"/>
                <w:sz w:val="18"/>
                <w:szCs w:val="21"/>
              </w:rPr>
              <w:t>Aggiornamento: 8 dicembre 2021 ore 06:32</w:t>
            </w:r>
          </w:p>
        </w:tc>
        <w:tc>
          <w:tcPr>
            <w:tcW w:w="1843" w:type="dxa"/>
            <w:gridSpan w:val="2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</w:tcPr>
          <w:p w:rsidR="00536DC0" w:rsidRPr="00283CFF" w:rsidRDefault="00536DC0" w:rsidP="00637F15">
            <w:pPr>
              <w:spacing w:after="0" w:line="276" w:lineRule="auto"/>
              <w:jc w:val="center"/>
              <w:rPr>
                <w:rFonts w:cs="Calibri"/>
                <w:b/>
                <w:color w:val="FFFFFF" w:themeColor="background1"/>
                <w:sz w:val="18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4BE1304" wp14:editId="7AEC5F29">
                  <wp:extent cx="884397" cy="305633"/>
                  <wp:effectExtent l="0" t="0" r="0" b="0"/>
                  <wp:docPr id="5" name="Immagin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1">
                            <a:extLst>
                              <a:ext uri="{FF2B5EF4-FFF2-40B4-BE49-F238E27FC236}">
                                <a16:creationId xmlns:a16="http://schemas.microsoft.com/office/drawing/2014/main" id="{00000000-0008-0000-0000-00001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397" cy="305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4F6E" w:rsidRDefault="00794F6E" w:rsidP="00794F6E">
      <w:pPr>
        <w:spacing w:after="0" w:line="276" w:lineRule="auto"/>
        <w:jc w:val="both"/>
        <w:rPr>
          <w:b/>
          <w:color w:val="FF0000"/>
        </w:rPr>
      </w:pPr>
    </w:p>
    <w:p w:rsidR="00B672EA" w:rsidRPr="00CB3BD4" w:rsidRDefault="00B672EA" w:rsidP="00B14D76">
      <w:pPr>
        <w:spacing w:line="276" w:lineRule="auto"/>
        <w:jc w:val="both"/>
        <w:rPr>
          <w:color w:val="auto"/>
        </w:rPr>
      </w:pPr>
      <w:r w:rsidRPr="00CB3BD4">
        <w:rPr>
          <w:b/>
          <w:color w:val="auto"/>
        </w:rPr>
        <w:t xml:space="preserve">Vaccini: </w:t>
      </w:r>
      <w:r w:rsidR="003E293F" w:rsidRPr="00CB3BD4">
        <w:rPr>
          <w:b/>
          <w:color w:val="auto"/>
        </w:rPr>
        <w:t>nuovi vaccinati</w:t>
      </w:r>
      <w:r w:rsidRPr="00CB3BD4">
        <w:rPr>
          <w:b/>
          <w:color w:val="auto"/>
        </w:rPr>
        <w:t>.</w:t>
      </w:r>
      <w:r w:rsidRPr="00CB3BD4">
        <w:rPr>
          <w:color w:val="auto"/>
        </w:rPr>
        <w:t xml:space="preserve"> </w:t>
      </w:r>
      <w:r w:rsidR="00554F5B">
        <w:rPr>
          <w:color w:val="auto"/>
        </w:rPr>
        <w:t>N</w:t>
      </w:r>
      <w:r w:rsidR="00F75D8A">
        <w:rPr>
          <w:color w:val="auto"/>
        </w:rPr>
        <w:t>el</w:t>
      </w:r>
      <w:r w:rsidR="00554F5B">
        <w:rPr>
          <w:color w:val="auto"/>
        </w:rPr>
        <w:t>la</w:t>
      </w:r>
      <w:r w:rsidR="00F75D8A">
        <w:rPr>
          <w:color w:val="auto"/>
        </w:rPr>
        <w:t xml:space="preserve"> </w:t>
      </w:r>
      <w:r w:rsidR="00554F5B">
        <w:rPr>
          <w:color w:val="auto"/>
        </w:rPr>
        <w:t xml:space="preserve">settimana </w:t>
      </w:r>
      <w:r w:rsidR="00F75D8A">
        <w:rPr>
          <w:color w:val="auto"/>
        </w:rPr>
        <w:t xml:space="preserve">29 novembre-5 dicembre </w:t>
      </w:r>
      <w:r w:rsidR="00554F5B">
        <w:rPr>
          <w:color w:val="auto"/>
        </w:rPr>
        <w:t xml:space="preserve">il numero dei nuovi vaccinati </w:t>
      </w:r>
      <w:r w:rsidR="00205B01" w:rsidRPr="00CB3BD4">
        <w:rPr>
          <w:color w:val="auto"/>
        </w:rPr>
        <w:t xml:space="preserve">è salito a </w:t>
      </w:r>
      <w:r w:rsidR="00CB3BD4" w:rsidRPr="00CB3BD4">
        <w:rPr>
          <w:color w:val="auto"/>
        </w:rPr>
        <w:t>223</w:t>
      </w:r>
      <w:r w:rsidR="00205B01" w:rsidRPr="00CB3BD4">
        <w:rPr>
          <w:color w:val="auto"/>
        </w:rPr>
        <w:t>.</w:t>
      </w:r>
      <w:r w:rsidR="00CB3BD4" w:rsidRPr="00CB3BD4">
        <w:rPr>
          <w:color w:val="auto"/>
        </w:rPr>
        <w:t>116</w:t>
      </w:r>
      <w:r w:rsidR="00205B01" w:rsidRPr="00CB3BD4">
        <w:rPr>
          <w:color w:val="auto"/>
        </w:rPr>
        <w:t xml:space="preserve"> (+31,</w:t>
      </w:r>
      <w:r w:rsidR="00CB3BD4" w:rsidRPr="00CB3BD4">
        <w:rPr>
          <w:color w:val="auto"/>
        </w:rPr>
        <w:t>7</w:t>
      </w:r>
      <w:r w:rsidR="00205B01" w:rsidRPr="00CB3BD4">
        <w:rPr>
          <w:color w:val="auto"/>
        </w:rPr>
        <w:t xml:space="preserve">%) </w:t>
      </w:r>
      <w:r w:rsidR="00CB3BD4" w:rsidRPr="00CB3BD4">
        <w:rPr>
          <w:color w:val="auto"/>
        </w:rPr>
        <w:t>rispetto ai 169.397 della settimana precedente</w:t>
      </w:r>
      <w:r w:rsidR="00F75D8A">
        <w:rPr>
          <w:color w:val="auto"/>
        </w:rPr>
        <w:t xml:space="preserve"> </w:t>
      </w:r>
      <w:r w:rsidRPr="00CB3BD4">
        <w:rPr>
          <w:color w:val="auto"/>
        </w:rPr>
        <w:t>(</w:t>
      </w:r>
      <w:r w:rsidRPr="00CB3BD4">
        <w:rPr>
          <w:color w:val="auto"/>
          <w:highlight w:val="yellow"/>
        </w:rPr>
        <w:t xml:space="preserve">figura </w:t>
      </w:r>
      <w:r w:rsidR="00CB3BD4" w:rsidRPr="00CB3BD4">
        <w:rPr>
          <w:color w:val="auto"/>
          <w:highlight w:val="yellow"/>
        </w:rPr>
        <w:t>10</w:t>
      </w:r>
      <w:r w:rsidR="00446B62" w:rsidRPr="00CB3BD4">
        <w:rPr>
          <w:color w:val="auto"/>
        </w:rPr>
        <w:t>)</w:t>
      </w:r>
      <w:r w:rsidRPr="00CB3BD4">
        <w:rPr>
          <w:color w:val="auto"/>
        </w:rPr>
        <w:t xml:space="preserve">. </w:t>
      </w:r>
      <w:r w:rsidR="00900B1E">
        <w:rPr>
          <w:color w:val="auto"/>
        </w:rPr>
        <w:t xml:space="preserve">Sono tuttavia ancora </w:t>
      </w:r>
      <w:r w:rsidR="00205B01" w:rsidRPr="00144669">
        <w:rPr>
          <w:color w:val="auto"/>
        </w:rPr>
        <w:t>6,</w:t>
      </w:r>
      <w:r w:rsidR="00CB3BD4" w:rsidRPr="00144669">
        <w:rPr>
          <w:color w:val="auto"/>
        </w:rPr>
        <w:t>6</w:t>
      </w:r>
      <w:r w:rsidR="00205B01" w:rsidRPr="00144669">
        <w:rPr>
          <w:color w:val="auto"/>
        </w:rPr>
        <w:t xml:space="preserve"> </w:t>
      </w:r>
      <w:r w:rsidR="006A5D49" w:rsidRPr="00144669">
        <w:rPr>
          <w:color w:val="auto"/>
        </w:rPr>
        <w:t xml:space="preserve">milioni </w:t>
      </w:r>
      <w:r w:rsidR="00900B1E">
        <w:rPr>
          <w:color w:val="auto"/>
        </w:rPr>
        <w:t>le</w:t>
      </w:r>
      <w:r w:rsidR="00900B1E" w:rsidRPr="00144669">
        <w:rPr>
          <w:color w:val="auto"/>
        </w:rPr>
        <w:t xml:space="preserve"> </w:t>
      </w:r>
      <w:r w:rsidRPr="00144669">
        <w:rPr>
          <w:color w:val="auto"/>
        </w:rPr>
        <w:t>persone</w:t>
      </w:r>
      <w:r w:rsidR="004428D2" w:rsidRPr="00144669">
        <w:rPr>
          <w:color w:val="auto"/>
        </w:rPr>
        <w:t xml:space="preserve"> </w:t>
      </w:r>
      <w:r w:rsidR="00451468">
        <w:rPr>
          <w:color w:val="auto"/>
        </w:rPr>
        <w:t xml:space="preserve">senza nemmeno una dose, di cui </w:t>
      </w:r>
      <w:r w:rsidR="00144669" w:rsidRPr="00144669">
        <w:rPr>
          <w:color w:val="auto"/>
        </w:rPr>
        <w:t>preoccupano</w:t>
      </w:r>
      <w:r w:rsidR="00ED24DE" w:rsidRPr="00144669">
        <w:rPr>
          <w:color w:val="auto"/>
        </w:rPr>
        <w:t xml:space="preserve"> </w:t>
      </w:r>
      <w:r w:rsidR="004B6B3C" w:rsidRPr="00144669">
        <w:rPr>
          <w:color w:val="auto"/>
        </w:rPr>
        <w:t>da un lato 2,</w:t>
      </w:r>
      <w:r w:rsidR="00205B01" w:rsidRPr="00144669">
        <w:rPr>
          <w:color w:val="auto"/>
        </w:rPr>
        <w:t>5</w:t>
      </w:r>
      <w:r w:rsidR="00CB3BD4" w:rsidRPr="00144669">
        <w:rPr>
          <w:color w:val="auto"/>
        </w:rPr>
        <w:t>1</w:t>
      </w:r>
      <w:r w:rsidR="00BE5078" w:rsidRPr="00144669">
        <w:rPr>
          <w:color w:val="auto"/>
        </w:rPr>
        <w:t xml:space="preserve"> milioni di over</w:t>
      </w:r>
      <w:r w:rsidR="00144669">
        <w:rPr>
          <w:color w:val="auto"/>
        </w:rPr>
        <w:t xml:space="preserve"> </w:t>
      </w:r>
      <w:r w:rsidR="004B6B3C" w:rsidRPr="00144669">
        <w:rPr>
          <w:color w:val="auto"/>
        </w:rPr>
        <w:t>50 ad elevato rischio di malattia grave e ospedalizzazione, dall’altro 1,</w:t>
      </w:r>
      <w:r w:rsidR="00DA1A9D">
        <w:rPr>
          <w:color w:val="auto"/>
        </w:rPr>
        <w:t>09</w:t>
      </w:r>
      <w:r w:rsidR="00205B01" w:rsidRPr="00144669">
        <w:rPr>
          <w:color w:val="auto"/>
        </w:rPr>
        <w:t xml:space="preserve"> </w:t>
      </w:r>
      <w:r w:rsidR="004B6B3C" w:rsidRPr="00144669">
        <w:rPr>
          <w:color w:val="auto"/>
        </w:rPr>
        <w:t xml:space="preserve">milioni </w:t>
      </w:r>
      <w:r w:rsidR="00833A0A">
        <w:rPr>
          <w:color w:val="auto"/>
        </w:rPr>
        <w:t xml:space="preserve">nella fascia </w:t>
      </w:r>
      <w:r w:rsidR="004B6B3C" w:rsidRPr="00144669">
        <w:rPr>
          <w:color w:val="auto"/>
        </w:rPr>
        <w:t>12-19</w:t>
      </w:r>
      <w:r w:rsidR="00833A0A">
        <w:rPr>
          <w:color w:val="auto"/>
        </w:rPr>
        <w:t xml:space="preserve"> anni che aumentano la circolazione del virus n</w:t>
      </w:r>
      <w:r w:rsidR="004B6B3C" w:rsidRPr="00144669">
        <w:rPr>
          <w:color w:val="auto"/>
        </w:rPr>
        <w:t>elle scuole</w:t>
      </w:r>
      <w:r w:rsidR="004B6B3C" w:rsidRPr="00144669" w:rsidDel="004B6B3C">
        <w:rPr>
          <w:color w:val="auto"/>
        </w:rPr>
        <w:t xml:space="preserve"> </w:t>
      </w:r>
      <w:r w:rsidRPr="00144669">
        <w:rPr>
          <w:color w:val="auto"/>
        </w:rPr>
        <w:t>(</w:t>
      </w:r>
      <w:r w:rsidRPr="00144669">
        <w:rPr>
          <w:color w:val="auto"/>
          <w:highlight w:val="yellow"/>
        </w:rPr>
        <w:t>figura</w:t>
      </w:r>
      <w:r w:rsidR="006533D4" w:rsidRPr="00144669">
        <w:rPr>
          <w:color w:val="auto"/>
          <w:highlight w:val="yellow"/>
        </w:rPr>
        <w:t xml:space="preserve"> 1</w:t>
      </w:r>
      <w:r w:rsidR="00CB3BD4" w:rsidRPr="00144669">
        <w:rPr>
          <w:color w:val="auto"/>
          <w:highlight w:val="yellow"/>
        </w:rPr>
        <w:t>1</w:t>
      </w:r>
      <w:r w:rsidRPr="00144669">
        <w:rPr>
          <w:color w:val="auto"/>
        </w:rPr>
        <w:t>)</w:t>
      </w:r>
      <w:r w:rsidR="007459B0" w:rsidRPr="00144669">
        <w:rPr>
          <w:color w:val="auto"/>
        </w:rPr>
        <w:t>.</w:t>
      </w:r>
    </w:p>
    <w:p w:rsidR="00144669" w:rsidRPr="001C3537" w:rsidRDefault="00DD1090" w:rsidP="00144669">
      <w:pPr>
        <w:spacing w:line="276" w:lineRule="auto"/>
        <w:jc w:val="both"/>
        <w:rPr>
          <w:color w:val="auto"/>
        </w:rPr>
      </w:pPr>
      <w:r w:rsidRPr="001C3537">
        <w:rPr>
          <w:b/>
          <w:color w:val="auto"/>
          <w:u w:color="FF0000"/>
        </w:rPr>
        <w:t>Vaccini: copertur</w:t>
      </w:r>
      <w:r w:rsidR="004A3B4B" w:rsidRPr="001C3537">
        <w:rPr>
          <w:b/>
          <w:color w:val="auto"/>
          <w:u w:color="FF0000"/>
        </w:rPr>
        <w:t>e</w:t>
      </w:r>
      <w:r w:rsidRPr="001C3537">
        <w:rPr>
          <w:b/>
          <w:color w:val="auto"/>
          <w:u w:color="FF0000"/>
        </w:rPr>
        <w:t>.</w:t>
      </w:r>
      <w:r w:rsidRPr="001C3537">
        <w:rPr>
          <w:color w:val="auto"/>
          <w:u w:color="FF0000"/>
        </w:rPr>
        <w:t xml:space="preserve"> </w:t>
      </w:r>
      <w:r w:rsidR="00F2127F" w:rsidRPr="001C3537">
        <w:rPr>
          <w:color w:val="auto"/>
        </w:rPr>
        <w:t>L</w:t>
      </w:r>
      <w:r w:rsidR="00071568" w:rsidRPr="001C3537">
        <w:rPr>
          <w:color w:val="auto"/>
        </w:rPr>
        <w:t xml:space="preserve">e coperture con almeno una dose di vaccino sono molto variabili nelle diverse fasce d’età </w:t>
      </w:r>
      <w:r w:rsidR="000A1093" w:rsidRPr="001C3537">
        <w:rPr>
          <w:color w:val="auto"/>
        </w:rPr>
        <w:t>(</w:t>
      </w:r>
      <w:r w:rsidR="00D34302" w:rsidRPr="001C3537">
        <w:rPr>
          <w:color w:val="auto"/>
        </w:rPr>
        <w:t xml:space="preserve">dal </w:t>
      </w:r>
      <w:r w:rsidR="00D0379C" w:rsidRPr="001C3537">
        <w:rPr>
          <w:color w:val="auto"/>
        </w:rPr>
        <w:t>9</w:t>
      </w:r>
      <w:r w:rsidR="00E83634" w:rsidRPr="001C3537">
        <w:rPr>
          <w:color w:val="auto"/>
        </w:rPr>
        <w:t>7</w:t>
      </w:r>
      <w:r w:rsidR="00D0379C" w:rsidRPr="001C3537">
        <w:rPr>
          <w:color w:val="auto"/>
        </w:rPr>
        <w:t>,</w:t>
      </w:r>
      <w:r w:rsidR="001C3537" w:rsidRPr="001C3537">
        <w:rPr>
          <w:color w:val="auto"/>
        </w:rPr>
        <w:t>5</w:t>
      </w:r>
      <w:r w:rsidR="004A3B4B" w:rsidRPr="001C3537">
        <w:rPr>
          <w:color w:val="auto"/>
        </w:rPr>
        <w:t xml:space="preserve">% degli over 80 al </w:t>
      </w:r>
      <w:r w:rsidR="00E83634" w:rsidRPr="001C3537">
        <w:rPr>
          <w:color w:val="auto"/>
        </w:rPr>
        <w:t>7</w:t>
      </w:r>
      <w:r w:rsidR="001C3537" w:rsidRPr="001C3537">
        <w:rPr>
          <w:color w:val="auto"/>
        </w:rPr>
        <w:t>8</w:t>
      </w:r>
      <w:r w:rsidR="00446B62" w:rsidRPr="001C3537">
        <w:rPr>
          <w:color w:val="auto"/>
        </w:rPr>
        <w:t>,</w:t>
      </w:r>
      <w:r w:rsidR="001C3537" w:rsidRPr="001C3537">
        <w:rPr>
          <w:color w:val="auto"/>
        </w:rPr>
        <w:t>2</w:t>
      </w:r>
      <w:r w:rsidR="004A3B4B" w:rsidRPr="001C3537">
        <w:rPr>
          <w:color w:val="auto"/>
        </w:rPr>
        <w:t>% della fascia 12-19</w:t>
      </w:r>
      <w:r w:rsidR="000A1093" w:rsidRPr="001C3537">
        <w:rPr>
          <w:color w:val="auto"/>
        </w:rPr>
        <w:t>)</w:t>
      </w:r>
      <w:r w:rsidR="00144669">
        <w:rPr>
          <w:color w:val="auto"/>
        </w:rPr>
        <w:t xml:space="preserve">, così come </w:t>
      </w:r>
      <w:r w:rsidR="00900B1E">
        <w:rPr>
          <w:color w:val="auto"/>
        </w:rPr>
        <w:t xml:space="preserve">accade </w:t>
      </w:r>
      <w:r w:rsidR="000B6238" w:rsidRPr="001C3537">
        <w:rPr>
          <w:color w:val="auto"/>
        </w:rPr>
        <w:t>sul fronte de</w:t>
      </w:r>
      <w:r w:rsidR="00451468">
        <w:rPr>
          <w:color w:val="auto"/>
        </w:rPr>
        <w:t>i richiami</w:t>
      </w:r>
      <w:r w:rsidR="000B6238" w:rsidRPr="001C3537">
        <w:rPr>
          <w:color w:val="auto"/>
        </w:rPr>
        <w:t>,</w:t>
      </w:r>
      <w:r w:rsidR="00F15C76" w:rsidRPr="001C3537">
        <w:rPr>
          <w:color w:val="auto"/>
        </w:rPr>
        <w:t xml:space="preserve"> che negli over 80</w:t>
      </w:r>
      <w:r w:rsidR="007459B0" w:rsidRPr="001C3537">
        <w:rPr>
          <w:color w:val="auto"/>
        </w:rPr>
        <w:t xml:space="preserve"> hanno raggiunto il </w:t>
      </w:r>
      <w:r w:rsidR="00E83634" w:rsidRPr="001C3537">
        <w:rPr>
          <w:color w:val="auto"/>
        </w:rPr>
        <w:t>5</w:t>
      </w:r>
      <w:r w:rsidR="001C3537" w:rsidRPr="001C3537">
        <w:rPr>
          <w:color w:val="auto"/>
        </w:rPr>
        <w:t>9</w:t>
      </w:r>
      <w:r w:rsidR="007459B0" w:rsidRPr="001C3537">
        <w:rPr>
          <w:color w:val="auto"/>
        </w:rPr>
        <w:t>,</w:t>
      </w:r>
      <w:r w:rsidR="001C3537" w:rsidRPr="001C3537">
        <w:rPr>
          <w:color w:val="auto"/>
        </w:rPr>
        <w:t>3</w:t>
      </w:r>
      <w:r w:rsidR="007459B0" w:rsidRPr="001C3537">
        <w:rPr>
          <w:color w:val="auto"/>
        </w:rPr>
        <w:t>%</w:t>
      </w:r>
      <w:r w:rsidR="00F15C76" w:rsidRPr="001C3537">
        <w:rPr>
          <w:color w:val="auto"/>
        </w:rPr>
        <w:t xml:space="preserve">, </w:t>
      </w:r>
      <w:r w:rsidR="007459B0" w:rsidRPr="001C3537">
        <w:rPr>
          <w:color w:val="auto"/>
        </w:rPr>
        <w:t xml:space="preserve">nella fascia 70-79 </w:t>
      </w:r>
      <w:r w:rsidR="001C3537" w:rsidRPr="001C3537">
        <w:rPr>
          <w:color w:val="auto"/>
        </w:rPr>
        <w:t xml:space="preserve">il 30,5% </w:t>
      </w:r>
      <w:r w:rsidR="007459B0" w:rsidRPr="001C3537">
        <w:rPr>
          <w:color w:val="auto"/>
        </w:rPr>
        <w:t>e in quella 60-69 anni</w:t>
      </w:r>
      <w:r w:rsidR="00333BB6" w:rsidRPr="001C3537">
        <w:rPr>
          <w:color w:val="auto"/>
        </w:rPr>
        <w:t xml:space="preserve"> </w:t>
      </w:r>
      <w:r w:rsidR="001C3537" w:rsidRPr="001C3537">
        <w:rPr>
          <w:color w:val="auto"/>
        </w:rPr>
        <w:t xml:space="preserve">il 24,2% </w:t>
      </w:r>
      <w:r w:rsidR="00333BB6" w:rsidRPr="001C3537">
        <w:rPr>
          <w:color w:val="auto"/>
        </w:rPr>
        <w:t>(</w:t>
      </w:r>
      <w:r w:rsidR="00333BB6" w:rsidRPr="001C3537">
        <w:rPr>
          <w:color w:val="auto"/>
          <w:highlight w:val="yellow"/>
        </w:rPr>
        <w:t>figura 1</w:t>
      </w:r>
      <w:r w:rsidR="001C3537" w:rsidRPr="001C3537">
        <w:rPr>
          <w:color w:val="auto"/>
          <w:highlight w:val="yellow"/>
        </w:rPr>
        <w:t>2</w:t>
      </w:r>
      <w:r w:rsidR="00333BB6" w:rsidRPr="001C3537">
        <w:rPr>
          <w:color w:val="auto"/>
        </w:rPr>
        <w:t>)</w:t>
      </w:r>
      <w:r w:rsidR="00071568" w:rsidRPr="001C3537">
        <w:rPr>
          <w:color w:val="auto"/>
        </w:rPr>
        <w:t>.</w:t>
      </w:r>
    </w:p>
    <w:p w:rsidR="00C54FAD" w:rsidRPr="00775180" w:rsidRDefault="00C54FAD" w:rsidP="00C54FAD">
      <w:pPr>
        <w:spacing w:after="80"/>
        <w:jc w:val="both"/>
        <w:rPr>
          <w:rFonts w:cs="Calibri"/>
          <w:color w:val="auto"/>
        </w:rPr>
      </w:pPr>
      <w:r w:rsidRPr="00775180">
        <w:rPr>
          <w:b/>
          <w:bCs/>
          <w:color w:val="auto"/>
        </w:rPr>
        <w:t>Vaccini: efficacia.</w:t>
      </w:r>
      <w:r w:rsidRPr="00775180">
        <w:rPr>
          <w:color w:val="auto"/>
        </w:rPr>
        <w:t xml:space="preserve"> </w:t>
      </w:r>
      <w:r w:rsidR="00451468">
        <w:rPr>
          <w:color w:val="auto"/>
        </w:rPr>
        <w:t>L</w:t>
      </w:r>
      <w:r w:rsidR="00451468" w:rsidRPr="00775180">
        <w:rPr>
          <w:color w:val="auto"/>
        </w:rPr>
        <w:t xml:space="preserve">a necessità </w:t>
      </w:r>
      <w:r w:rsidR="00900B1E">
        <w:rPr>
          <w:color w:val="auto"/>
        </w:rPr>
        <w:t xml:space="preserve">della dose </w:t>
      </w:r>
      <w:r w:rsidR="00900B1E" w:rsidRPr="002E11E1">
        <w:rPr>
          <w:i/>
          <w:color w:val="auto"/>
        </w:rPr>
        <w:t>booster</w:t>
      </w:r>
      <w:r w:rsidR="00451468">
        <w:rPr>
          <w:color w:val="auto"/>
        </w:rPr>
        <w:t xml:space="preserve"> è ben documentata dai</w:t>
      </w:r>
      <w:r w:rsidR="00451468">
        <w:t xml:space="preserve"> </w:t>
      </w:r>
      <w:hyperlink r:id="rId12" w:history="1">
        <w:r w:rsidRPr="00775180">
          <w:rPr>
            <w:rStyle w:val="Collegamentoipertestuale"/>
            <w:color w:val="auto"/>
          </w:rPr>
          <w:t>dati dell’Istituto Superiore di Sanità</w:t>
        </w:r>
      </w:hyperlink>
      <w:r w:rsidRPr="00775180">
        <w:rPr>
          <w:color w:val="auto"/>
        </w:rPr>
        <w:t xml:space="preserve"> </w:t>
      </w:r>
      <w:r w:rsidR="00451468">
        <w:rPr>
          <w:color w:val="auto"/>
        </w:rPr>
        <w:t xml:space="preserve">che dimostrano </w:t>
      </w:r>
      <w:r w:rsidRPr="00775180">
        <w:rPr>
          <w:color w:val="auto"/>
        </w:rPr>
        <w:t xml:space="preserve">la riduzione dell’efficacia vaccinale dopo </w:t>
      </w:r>
      <w:r w:rsidR="00144669">
        <w:rPr>
          <w:color w:val="auto"/>
        </w:rPr>
        <w:t>5</w:t>
      </w:r>
      <w:r w:rsidRPr="00775180">
        <w:rPr>
          <w:color w:val="auto"/>
        </w:rPr>
        <w:t xml:space="preserve"> mesi dal completamento del ciclo</w:t>
      </w:r>
      <w:r w:rsidR="00E168E8" w:rsidRPr="00775180">
        <w:rPr>
          <w:color w:val="auto"/>
        </w:rPr>
        <w:t xml:space="preserve"> primario</w:t>
      </w:r>
      <w:r w:rsidRPr="00775180">
        <w:rPr>
          <w:color w:val="auto"/>
        </w:rPr>
        <w:t>. In dettaglio:</w:t>
      </w:r>
    </w:p>
    <w:p w:rsidR="00EA0787" w:rsidRPr="00EA0787" w:rsidRDefault="00EA0787" w:rsidP="00EA0787">
      <w:pPr>
        <w:pStyle w:val="Paragrafoelenco"/>
        <w:numPr>
          <w:ilvl w:val="0"/>
          <w:numId w:val="26"/>
        </w:numPr>
        <w:contextualSpacing/>
        <w:jc w:val="both"/>
        <w:rPr>
          <w:color w:val="auto"/>
        </w:rPr>
      </w:pPr>
      <w:r w:rsidRPr="00EA0787">
        <w:rPr>
          <w:color w:val="auto"/>
        </w:rPr>
        <w:t>l’efficacia sulla diagnosi scende in media dal 75,3% per i vaccinati entro 5 mesi al 43,9% per i vaccinati da più di 5 mesi;</w:t>
      </w:r>
    </w:p>
    <w:p w:rsidR="00EA0787" w:rsidRPr="00EA0787" w:rsidRDefault="00EA0787" w:rsidP="00EA0787">
      <w:pPr>
        <w:pStyle w:val="Paragrafoelenco"/>
        <w:numPr>
          <w:ilvl w:val="0"/>
          <w:numId w:val="26"/>
        </w:numPr>
        <w:contextualSpacing/>
        <w:jc w:val="both"/>
        <w:rPr>
          <w:color w:val="auto"/>
        </w:rPr>
      </w:pPr>
      <w:r w:rsidRPr="00EA0787">
        <w:rPr>
          <w:color w:val="auto"/>
        </w:rPr>
        <w:t>l’efficacia sulla malattia severa scende in media dal 92,5% per i vaccinati entro 5 mesi all’84,8% per i vaccinati da più di 5 mesi.</w:t>
      </w:r>
    </w:p>
    <w:p w:rsidR="00775180" w:rsidRPr="00775180" w:rsidRDefault="00775180" w:rsidP="00144669">
      <w:pPr>
        <w:spacing w:line="276" w:lineRule="auto"/>
        <w:jc w:val="both"/>
        <w:rPr>
          <w:rFonts w:eastAsia="Times New Roman" w:cs="Calibri"/>
          <w:bdr w:val="none" w:sz="0" w:space="0" w:color="auto"/>
        </w:rPr>
      </w:pPr>
      <w:r>
        <w:t xml:space="preserve">Complessivamente nelle persone vaccinate con ciclo completo (più eventuale dose di richiamo), rispetto a quelle non vaccinate, nelle varie fasce d’età si riduce l’incidenza di diagnosi (del </w:t>
      </w:r>
      <w:r w:rsidRPr="00775180">
        <w:t>65,7-74,9%</w:t>
      </w:r>
      <w:r>
        <w:t>) e soprattutto di malattia grave (dell’</w:t>
      </w:r>
      <w:r w:rsidRPr="00775180">
        <w:t>82,9-93,5%</w:t>
      </w:r>
      <w:r>
        <w:t xml:space="preserve"> per ricoveri ordinari; dell’</w:t>
      </w:r>
      <w:r>
        <w:rPr>
          <w:rFonts w:eastAsia="Times New Roman" w:cs="Calibri"/>
          <w:bdr w:val="none" w:sz="0" w:space="0" w:color="auto"/>
        </w:rPr>
        <w:t>89,1-100</w:t>
      </w:r>
      <w:r w:rsidRPr="00775180">
        <w:rPr>
          <w:rFonts w:eastAsia="Times New Roman" w:cs="Calibri"/>
          <w:bdr w:val="none" w:sz="0" w:space="0" w:color="auto"/>
        </w:rPr>
        <w:t>%</w:t>
      </w:r>
      <w:r>
        <w:t xml:space="preserve"> per le terapie intensive) e decesso (del </w:t>
      </w:r>
      <w:r w:rsidRPr="00775180">
        <w:rPr>
          <w:rFonts w:eastAsia="Times New Roman" w:cs="Calibri"/>
          <w:bdr w:val="none" w:sz="0" w:space="0" w:color="auto"/>
        </w:rPr>
        <w:t>77,8-97%</w:t>
      </w:r>
      <w:r>
        <w:t>) (</w:t>
      </w:r>
      <w:r w:rsidRPr="00775180">
        <w:rPr>
          <w:highlight w:val="yellow"/>
        </w:rPr>
        <w:t>figura 13</w:t>
      </w:r>
      <w:r>
        <w:t>).</w:t>
      </w:r>
    </w:p>
    <w:p w:rsidR="006D6A4B" w:rsidRPr="00C84C0B" w:rsidRDefault="00440DF1" w:rsidP="006A5D49">
      <w:pPr>
        <w:spacing w:line="276" w:lineRule="auto"/>
        <w:jc w:val="both"/>
        <w:rPr>
          <w:color w:val="FF0000"/>
        </w:rPr>
      </w:pPr>
      <w:r w:rsidRPr="001C3537">
        <w:rPr>
          <w:b/>
          <w:color w:val="auto"/>
        </w:rPr>
        <w:t>Vaccini: terza dose</w:t>
      </w:r>
      <w:r w:rsidRPr="001C3537">
        <w:rPr>
          <w:color w:val="auto"/>
        </w:rPr>
        <w:t xml:space="preserve">. </w:t>
      </w:r>
      <w:r w:rsidR="00A45C23" w:rsidRPr="001C3537">
        <w:rPr>
          <w:color w:val="auto"/>
        </w:rPr>
        <w:t>A</w:t>
      </w:r>
      <w:r w:rsidR="001C3537" w:rsidRPr="001C3537">
        <w:rPr>
          <w:color w:val="auto"/>
        </w:rPr>
        <w:t>ll’8</w:t>
      </w:r>
      <w:r w:rsidR="00FA3F2B" w:rsidRPr="001C3537">
        <w:rPr>
          <w:color w:val="auto"/>
        </w:rPr>
        <w:t xml:space="preserve"> dicembre</w:t>
      </w:r>
      <w:r w:rsidR="00306478" w:rsidRPr="001C3537">
        <w:rPr>
          <w:color w:val="auto"/>
        </w:rPr>
        <w:t xml:space="preserve"> </w:t>
      </w:r>
      <w:r w:rsidR="00366CCB" w:rsidRPr="001C3537">
        <w:rPr>
          <w:color w:val="auto"/>
        </w:rPr>
        <w:t>(aggiornamento ore 06.</w:t>
      </w:r>
      <w:r w:rsidR="001C3537" w:rsidRPr="001C3537">
        <w:rPr>
          <w:color w:val="auto"/>
        </w:rPr>
        <w:t>32</w:t>
      </w:r>
      <w:r w:rsidR="00366CCB" w:rsidRPr="001C3537">
        <w:rPr>
          <w:color w:val="auto"/>
        </w:rPr>
        <w:t xml:space="preserve">) </w:t>
      </w:r>
      <w:r w:rsidR="00D12939" w:rsidRPr="001C3537">
        <w:rPr>
          <w:color w:val="auto"/>
        </w:rPr>
        <w:t>sono</w:t>
      </w:r>
      <w:r w:rsidR="009B067C" w:rsidRPr="001C3537">
        <w:rPr>
          <w:color w:val="auto"/>
        </w:rPr>
        <w:t xml:space="preserve"> state somministrate</w:t>
      </w:r>
      <w:r w:rsidR="00FD0889" w:rsidRPr="001C3537">
        <w:rPr>
          <w:color w:val="auto"/>
        </w:rPr>
        <w:t xml:space="preserve"> </w:t>
      </w:r>
      <w:r w:rsidR="001C3537" w:rsidRPr="001C3537">
        <w:rPr>
          <w:color w:val="auto"/>
        </w:rPr>
        <w:t>9.609.029</w:t>
      </w:r>
      <w:r w:rsidR="00E83634" w:rsidRPr="001C3537">
        <w:rPr>
          <w:color w:val="auto"/>
        </w:rPr>
        <w:t xml:space="preserve"> </w:t>
      </w:r>
      <w:r w:rsidR="00D12939" w:rsidRPr="001C3537">
        <w:rPr>
          <w:color w:val="auto"/>
        </w:rPr>
        <w:t xml:space="preserve">terze dosi con una media </w:t>
      </w:r>
      <w:r w:rsidR="00DC4862" w:rsidRPr="001C3537">
        <w:rPr>
          <w:color w:val="auto"/>
        </w:rPr>
        <w:t xml:space="preserve">mobile a 7 giorni </w:t>
      </w:r>
      <w:r w:rsidRPr="001C3537">
        <w:rPr>
          <w:color w:val="auto"/>
        </w:rPr>
        <w:t>che</w:t>
      </w:r>
      <w:r w:rsidR="00DC4862" w:rsidRPr="001C3537">
        <w:rPr>
          <w:color w:val="auto"/>
        </w:rPr>
        <w:t xml:space="preserve"> </w:t>
      </w:r>
      <w:r w:rsidR="001C3537" w:rsidRPr="001C3537">
        <w:rPr>
          <w:color w:val="auto"/>
        </w:rPr>
        <w:t>ha superato le 400</w:t>
      </w:r>
      <w:r w:rsidR="00DC4862" w:rsidRPr="001C3537">
        <w:rPr>
          <w:color w:val="auto"/>
        </w:rPr>
        <w:t xml:space="preserve"> mila </w:t>
      </w:r>
      <w:r w:rsidR="000C63F8" w:rsidRPr="001C3537">
        <w:rPr>
          <w:color w:val="auto"/>
        </w:rPr>
        <w:t>somministrazioni</w:t>
      </w:r>
      <w:r w:rsidR="00721048" w:rsidRPr="001C3537">
        <w:rPr>
          <w:color w:val="auto"/>
        </w:rPr>
        <w:t xml:space="preserve"> al giorno</w:t>
      </w:r>
      <w:r w:rsidR="000C63F8" w:rsidRPr="001C3537">
        <w:rPr>
          <w:color w:val="auto"/>
        </w:rPr>
        <w:t xml:space="preserve"> </w:t>
      </w:r>
      <w:r w:rsidR="00D12939" w:rsidRPr="001C3537">
        <w:rPr>
          <w:color w:val="auto"/>
        </w:rPr>
        <w:t>(</w:t>
      </w:r>
      <w:r w:rsidR="00D12939" w:rsidRPr="001C3537">
        <w:rPr>
          <w:color w:val="auto"/>
          <w:highlight w:val="yellow"/>
        </w:rPr>
        <w:t xml:space="preserve">figura </w:t>
      </w:r>
      <w:r w:rsidR="00E355FA" w:rsidRPr="001C3537">
        <w:rPr>
          <w:color w:val="auto"/>
          <w:highlight w:val="yellow"/>
        </w:rPr>
        <w:t>1</w:t>
      </w:r>
      <w:r w:rsidR="00775180">
        <w:rPr>
          <w:color w:val="auto"/>
          <w:highlight w:val="yellow"/>
        </w:rPr>
        <w:t>4</w:t>
      </w:r>
      <w:r w:rsidR="0098713B" w:rsidRPr="001C3537">
        <w:rPr>
          <w:color w:val="auto"/>
        </w:rPr>
        <w:t>).</w:t>
      </w:r>
      <w:r w:rsidR="00790569" w:rsidRPr="001C3537">
        <w:rPr>
          <w:color w:val="auto"/>
        </w:rPr>
        <w:t xml:space="preserve"> </w:t>
      </w:r>
      <w:r w:rsidR="000572F4">
        <w:rPr>
          <w:color w:val="auto"/>
        </w:rPr>
        <w:t>In</w:t>
      </w:r>
      <w:r w:rsidR="006473B3">
        <w:rPr>
          <w:color w:val="auto"/>
        </w:rPr>
        <w:t xml:space="preserve"> base </w:t>
      </w:r>
      <w:r w:rsidR="000572F4">
        <w:rPr>
          <w:color w:val="auto"/>
        </w:rPr>
        <w:t>a</w:t>
      </w:r>
      <w:r w:rsidR="002C23F8">
        <w:rPr>
          <w:color w:val="auto"/>
        </w:rPr>
        <w:t xml:space="preserve">lla </w:t>
      </w:r>
      <w:hyperlink r:id="rId13" w:history="1">
        <w:r w:rsidR="009A5F9F" w:rsidRPr="002C23F8">
          <w:rPr>
            <w:rStyle w:val="Collegamentoipertestuale"/>
          </w:rPr>
          <w:t xml:space="preserve">platea </w:t>
        </w:r>
        <w:r w:rsidR="002C23F8" w:rsidRPr="002C23F8">
          <w:rPr>
            <w:rStyle w:val="Collegamentoipertestuale"/>
          </w:rPr>
          <w:t>ufficiale</w:t>
        </w:r>
      </w:hyperlink>
      <w:r w:rsidR="002C23F8">
        <w:rPr>
          <w:color w:val="auto"/>
        </w:rPr>
        <w:t xml:space="preserve"> </w:t>
      </w:r>
      <w:r w:rsidR="0098713B" w:rsidRPr="001C3537">
        <w:rPr>
          <w:color w:val="auto"/>
        </w:rPr>
        <w:t xml:space="preserve">(n. </w:t>
      </w:r>
      <w:r w:rsidR="00366CCB" w:rsidRPr="001C3537">
        <w:rPr>
          <w:color w:val="auto"/>
        </w:rPr>
        <w:t>20.548.124</w:t>
      </w:r>
      <w:r w:rsidR="0098713B" w:rsidRPr="001C3537">
        <w:rPr>
          <w:color w:val="auto"/>
        </w:rPr>
        <w:t>)</w:t>
      </w:r>
      <w:r w:rsidR="000572F4">
        <w:rPr>
          <w:color w:val="auto"/>
        </w:rPr>
        <w:t xml:space="preserve"> </w:t>
      </w:r>
      <w:r w:rsidR="00142677">
        <w:t>–</w:t>
      </w:r>
      <w:r w:rsidR="000572F4">
        <w:rPr>
          <w:color w:val="auto"/>
        </w:rPr>
        <w:t xml:space="preserve"> </w:t>
      </w:r>
      <w:r w:rsidR="002C23F8">
        <w:rPr>
          <w:color w:val="auto"/>
        </w:rPr>
        <w:t xml:space="preserve">aggiornata </w:t>
      </w:r>
      <w:r w:rsidR="00C84C0B" w:rsidRPr="001C3537">
        <w:rPr>
          <w:color w:val="auto"/>
        </w:rPr>
        <w:t>al 1 dicembre</w:t>
      </w:r>
      <w:r w:rsidR="000572F4">
        <w:rPr>
          <w:color w:val="auto"/>
        </w:rPr>
        <w:t xml:space="preserve"> </w:t>
      </w:r>
      <w:r w:rsidR="00142677">
        <w:t>–</w:t>
      </w:r>
      <w:r w:rsidR="000572F4">
        <w:rPr>
          <w:color w:val="auto"/>
        </w:rPr>
        <w:t xml:space="preserve"> </w:t>
      </w:r>
      <w:r w:rsidR="00C84C0B" w:rsidRPr="001C3537">
        <w:rPr>
          <w:color w:val="auto"/>
        </w:rPr>
        <w:t>i</w:t>
      </w:r>
      <w:r w:rsidR="00D1563D" w:rsidRPr="001C3537">
        <w:rPr>
          <w:color w:val="auto"/>
        </w:rPr>
        <w:t xml:space="preserve">l tasso di copertura vaccinale per le </w:t>
      </w:r>
      <w:r w:rsidR="00333BB6" w:rsidRPr="001C3537">
        <w:rPr>
          <w:color w:val="auto"/>
        </w:rPr>
        <w:t xml:space="preserve">terze dosi </w:t>
      </w:r>
      <w:r w:rsidR="00D1563D" w:rsidRPr="001C3537">
        <w:rPr>
          <w:color w:val="auto"/>
        </w:rPr>
        <w:t xml:space="preserve">è del </w:t>
      </w:r>
      <w:r w:rsidR="001C3537" w:rsidRPr="001C3537">
        <w:rPr>
          <w:color w:val="auto"/>
        </w:rPr>
        <w:t>46</w:t>
      </w:r>
      <w:r w:rsidR="00E83634" w:rsidRPr="001C3537">
        <w:rPr>
          <w:color w:val="auto"/>
        </w:rPr>
        <w:t>,</w:t>
      </w:r>
      <w:r w:rsidR="00366CCB" w:rsidRPr="001C3537">
        <w:rPr>
          <w:color w:val="auto"/>
        </w:rPr>
        <w:t>8</w:t>
      </w:r>
      <w:r w:rsidR="00D1563D" w:rsidRPr="001C3537">
        <w:rPr>
          <w:color w:val="auto"/>
        </w:rPr>
        <w:t>% con nette differenze regionali</w:t>
      </w:r>
      <w:r w:rsidR="00C84C0B" w:rsidRPr="001C3537">
        <w:rPr>
          <w:color w:val="auto"/>
        </w:rPr>
        <w:t>,</w:t>
      </w:r>
      <w:r w:rsidR="00D1563D" w:rsidRPr="001C3537">
        <w:rPr>
          <w:color w:val="auto"/>
        </w:rPr>
        <w:t xml:space="preserve"> dal </w:t>
      </w:r>
      <w:r w:rsidR="001C3537" w:rsidRPr="001C3537">
        <w:rPr>
          <w:color w:val="auto"/>
        </w:rPr>
        <w:t>33</w:t>
      </w:r>
      <w:r w:rsidR="00E83634" w:rsidRPr="001C3537">
        <w:rPr>
          <w:color w:val="auto"/>
        </w:rPr>
        <w:t>,</w:t>
      </w:r>
      <w:r w:rsidR="001C3537" w:rsidRPr="001C3537">
        <w:rPr>
          <w:color w:val="auto"/>
        </w:rPr>
        <w:t>2% della Valle D’Aosta</w:t>
      </w:r>
      <w:r w:rsidR="00366CCB" w:rsidRPr="001C3537">
        <w:rPr>
          <w:color w:val="auto"/>
        </w:rPr>
        <w:t xml:space="preserve"> </w:t>
      </w:r>
      <w:r w:rsidR="00D1563D" w:rsidRPr="001C3537">
        <w:rPr>
          <w:color w:val="auto"/>
        </w:rPr>
        <w:t xml:space="preserve">al </w:t>
      </w:r>
      <w:r w:rsidR="001C3537" w:rsidRPr="001C3537">
        <w:rPr>
          <w:color w:val="auto"/>
        </w:rPr>
        <w:t>57</w:t>
      </w:r>
      <w:r w:rsidR="00E83634" w:rsidRPr="001C3537">
        <w:rPr>
          <w:color w:val="auto"/>
        </w:rPr>
        <w:t>,</w:t>
      </w:r>
      <w:r w:rsidR="001C3537" w:rsidRPr="001C3537">
        <w:rPr>
          <w:color w:val="auto"/>
        </w:rPr>
        <w:t>4</w:t>
      </w:r>
      <w:r w:rsidR="00D1563D" w:rsidRPr="001C3537">
        <w:rPr>
          <w:color w:val="auto"/>
        </w:rPr>
        <w:t xml:space="preserve">% </w:t>
      </w:r>
      <w:r w:rsidR="001C3537" w:rsidRPr="001C3537">
        <w:rPr>
          <w:color w:val="auto"/>
        </w:rPr>
        <w:t>della Toscana</w:t>
      </w:r>
      <w:r w:rsidR="00D1563D" w:rsidRPr="001C3537">
        <w:rPr>
          <w:color w:val="auto"/>
        </w:rPr>
        <w:t xml:space="preserve"> (</w:t>
      </w:r>
      <w:r w:rsidR="00D1563D" w:rsidRPr="001C3537">
        <w:rPr>
          <w:color w:val="auto"/>
          <w:highlight w:val="yellow"/>
        </w:rPr>
        <w:t>figura 1</w:t>
      </w:r>
      <w:r w:rsidR="00775180">
        <w:rPr>
          <w:color w:val="auto"/>
          <w:highlight w:val="yellow"/>
        </w:rPr>
        <w:t>5</w:t>
      </w:r>
      <w:r w:rsidR="006C147D" w:rsidRPr="001C3537">
        <w:rPr>
          <w:color w:val="auto"/>
        </w:rPr>
        <w:t>).</w:t>
      </w:r>
    </w:p>
    <w:p w:rsidR="00177874" w:rsidRPr="006473B3" w:rsidRDefault="00177874" w:rsidP="006473B3">
      <w:pPr>
        <w:spacing w:line="276" w:lineRule="auto"/>
        <w:jc w:val="both"/>
      </w:pPr>
      <w:r w:rsidRPr="00F72BD8">
        <w:lastRenderedPageBreak/>
        <w:t>«</w:t>
      </w:r>
      <w:r>
        <w:t>Per il periodo delle imminenti festività natalizie – conclude Cartabellotta – se da un lato è impossibile fare previsioni</w:t>
      </w:r>
      <w:r w:rsidR="00EF0A5F">
        <w:t xml:space="preserve"> </w:t>
      </w:r>
      <w:r w:rsidR="001D4DDE">
        <w:t>affidabili</w:t>
      </w:r>
      <w:r>
        <w:t xml:space="preserve">, dall’altro esistono alcune ragionevoli certezze. </w:t>
      </w:r>
      <w:r w:rsidR="00637F15">
        <w:t>Inna</w:t>
      </w:r>
      <w:r w:rsidR="00BE774D">
        <w:t>nzitutto</w:t>
      </w:r>
      <w:r>
        <w:t xml:space="preserve">, </w:t>
      </w:r>
      <w:r w:rsidR="00833A0A">
        <w:t>con il trend attu</w:t>
      </w:r>
      <w:r w:rsidR="00EF0A5F">
        <w:t xml:space="preserve">ale di crescita dei nuovi casi - </w:t>
      </w:r>
      <w:r>
        <w:t xml:space="preserve">anche se l’impatto sugli </w:t>
      </w:r>
      <w:r w:rsidR="00833A0A">
        <w:t xml:space="preserve">ospedali </w:t>
      </w:r>
      <w:r w:rsidR="00EF0A5F">
        <w:t xml:space="preserve">è “ammortizzato” dai vaccini - </w:t>
      </w:r>
      <w:r>
        <w:t xml:space="preserve">nelle prossime 4 settimane diverse Regioni </w:t>
      </w:r>
      <w:r w:rsidR="005D5B02">
        <w:t>cambieranno colore</w:t>
      </w:r>
      <w:r>
        <w:t>. In secondo luogo,</w:t>
      </w:r>
      <w:r w:rsidR="00900B1E">
        <w:t xml:space="preserve"> per contenere la circolazione del virus e, soprattutto, la pressione sugli ospedali, è cruciale</w:t>
      </w:r>
      <w:r>
        <w:t xml:space="preserve"> convincere gli indecisi a vaccinarsi e accelerare con i richiami. Infine, le aumentate occasioni di contatti sociali durante le feste impongono massima cautela nei comportamenti individuali: utilizzare la mascherina </w:t>
      </w:r>
      <w:r w:rsidRPr="00632B7B">
        <w:rPr>
          <w:color w:val="auto"/>
        </w:rPr>
        <w:t>negli ambienti chiusi</w:t>
      </w:r>
      <w:r>
        <w:t xml:space="preserve">, possibilmente FFP2 se affollati, rispettare il distanziamento sociale e ventilare frequentemente i locali, anche a casa in occasione di riunioni </w:t>
      </w:r>
      <w:r w:rsidR="00E2532F">
        <w:t>con parenti e amici</w:t>
      </w:r>
      <w:r w:rsidRPr="00794F6E">
        <w:rPr>
          <w:color w:val="auto"/>
        </w:rPr>
        <w:t>»</w:t>
      </w:r>
      <w:r>
        <w:rPr>
          <w:color w:val="auto"/>
        </w:rPr>
        <w:t>.</w:t>
      </w:r>
    </w:p>
    <w:p w:rsidR="00E2532F" w:rsidRDefault="00E2532F" w:rsidP="00BD67DE">
      <w:pPr>
        <w:spacing w:after="120" w:line="276" w:lineRule="auto"/>
        <w:rPr>
          <w:i/>
          <w:iCs/>
        </w:rPr>
      </w:pPr>
    </w:p>
    <w:p w:rsidR="007B682B" w:rsidRDefault="00666867" w:rsidP="00BD67DE">
      <w:pPr>
        <w:spacing w:after="120" w:line="276" w:lineRule="auto"/>
        <w:rPr>
          <w:rStyle w:val="Hyperlink0"/>
        </w:rPr>
      </w:pPr>
      <w:r w:rsidRPr="00234B97">
        <w:rPr>
          <w:i/>
          <w:iCs/>
        </w:rPr>
        <w:t>Il</w:t>
      </w:r>
      <w:r w:rsidR="00CE577D" w:rsidRPr="00234B97">
        <w:rPr>
          <w:i/>
          <w:iCs/>
        </w:rPr>
        <w:t xml:space="preserve"> monitoraggio GIMBE dell'epidemia di COVID-19 è disponibile a: </w:t>
      </w:r>
      <w:hyperlink r:id="rId14" w:history="1">
        <w:r w:rsidR="00CE577D" w:rsidRPr="00234B97">
          <w:rPr>
            <w:rStyle w:val="Hyperlink0"/>
          </w:rPr>
          <w:t>https://coronavirus.gimbe.org</w:t>
        </w:r>
      </w:hyperlink>
    </w:p>
    <w:p w:rsidR="005A138A" w:rsidRPr="00613848" w:rsidRDefault="00CE577D" w:rsidP="00BD67DE">
      <w:pPr>
        <w:spacing w:after="120"/>
        <w:rPr>
          <w:rFonts w:eastAsia="Calibri" w:cs="Calibri"/>
          <w:color w:val="0563C1"/>
          <w:sz w:val="20"/>
          <w:szCs w:val="20"/>
          <w:u w:val="single" w:color="0563C1"/>
        </w:rPr>
      </w:pPr>
      <w:r w:rsidRPr="00234B97">
        <w:rPr>
          <w:b/>
          <w:bCs/>
        </w:rPr>
        <w:t>CONTATTI</w:t>
      </w:r>
      <w:r w:rsidRPr="00234B97">
        <w:rPr>
          <w:i/>
          <w:iCs/>
        </w:rPr>
        <w:br/>
      </w:r>
      <w:r w:rsidRPr="00234B97">
        <w:rPr>
          <w:b/>
          <w:bCs/>
        </w:rPr>
        <w:t>Fondazione GIMBE</w:t>
      </w:r>
      <w:r w:rsidRPr="00234B97">
        <w:rPr>
          <w:i/>
          <w:iCs/>
          <w:color w:val="0563C1"/>
          <w:u w:val="single" w:color="0563C1"/>
        </w:rPr>
        <w:br/>
      </w:r>
      <w:r w:rsidRPr="00234B97">
        <w:rPr>
          <w:sz w:val="20"/>
          <w:szCs w:val="20"/>
        </w:rPr>
        <w:t>Via Amendola 2 - 40121 Bologna</w:t>
      </w:r>
      <w:r w:rsidRPr="00234B97">
        <w:rPr>
          <w:sz w:val="20"/>
          <w:szCs w:val="20"/>
        </w:rPr>
        <w:br/>
        <w:t>Tel. 051 5883920 - Fax 051 4075774</w:t>
      </w:r>
      <w:r w:rsidRPr="00234B97">
        <w:rPr>
          <w:sz w:val="20"/>
          <w:szCs w:val="20"/>
        </w:rPr>
        <w:br/>
        <w:t xml:space="preserve">E-mail: </w:t>
      </w:r>
      <w:hyperlink r:id="rId15" w:history="1">
        <w:r w:rsidRPr="00234B97">
          <w:rPr>
            <w:rStyle w:val="Hyperlink1"/>
          </w:rPr>
          <w:t>ufficio.stampa@gimbe.org</w:t>
        </w:r>
      </w:hyperlink>
    </w:p>
    <w:p w:rsidR="00297667" w:rsidRDefault="0029766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5F5E37" w:rsidRDefault="005F5E3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7B682B" w:rsidRPr="008E7049" w:rsidRDefault="00CE577D" w:rsidP="00005129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8E7049">
        <w:rPr>
          <w:b/>
          <w:bCs/>
          <w:color w:val="00457D"/>
          <w:sz w:val="24"/>
          <w:szCs w:val="24"/>
          <w:u w:color="00457D"/>
        </w:rPr>
        <w:t>Figura 1</w:t>
      </w:r>
    </w:p>
    <w:p w:rsidR="00584564" w:rsidRPr="00234B97" w:rsidRDefault="008E7049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25E950A" wp14:editId="61888F13">
            <wp:extent cx="5760000" cy="3193390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8E7049">
        <w:rPr>
          <w:b/>
          <w:bCs/>
          <w:color w:val="00457D"/>
          <w:sz w:val="24"/>
          <w:szCs w:val="24"/>
          <w:u w:color="00457D"/>
        </w:rPr>
        <w:t>Figura 2</w:t>
      </w:r>
      <w:r w:rsidRPr="00234B97">
        <w:rPr>
          <w:b/>
          <w:bCs/>
          <w:color w:val="00457D"/>
          <w:sz w:val="24"/>
          <w:szCs w:val="24"/>
          <w:u w:color="00457D"/>
        </w:rPr>
        <w:br/>
      </w:r>
      <w:r w:rsidR="008E7049">
        <w:rPr>
          <w:b/>
          <w:bCs/>
          <w:noProof/>
          <w:color w:val="FF0000"/>
          <w:sz w:val="24"/>
          <w:szCs w:val="24"/>
          <w:u w:color="00457D"/>
        </w:rPr>
        <w:drawing>
          <wp:inline distT="0" distB="0" distL="0" distR="0" wp14:anchorId="4EE5C210" wp14:editId="5F52CACF">
            <wp:extent cx="5760000" cy="3094654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94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70E" w:rsidRDefault="000E770E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sectPr w:rsidR="007B682B" w:rsidRPr="00234B97">
          <w:headerReference w:type="default" r:id="rId18"/>
          <w:pgSz w:w="11900" w:h="16840"/>
          <w:pgMar w:top="993" w:right="1134" w:bottom="709" w:left="1134" w:header="709" w:footer="709" w:gutter="0"/>
          <w:cols w:space="720"/>
        </w:sectPr>
      </w:pPr>
      <w:r w:rsidRPr="00234B97">
        <w:rPr>
          <w:b/>
          <w:bCs/>
          <w:color w:val="00457D"/>
          <w:sz w:val="24"/>
          <w:szCs w:val="24"/>
          <w:u w:color="00457D"/>
        </w:rPr>
        <w:br/>
      </w:r>
    </w:p>
    <w:p w:rsidR="007B682B" w:rsidRDefault="00CE577D" w:rsidP="00466C2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3</w:t>
      </w:r>
    </w:p>
    <w:p w:rsidR="00333BB6" w:rsidRPr="00234B97" w:rsidRDefault="00794F6E" w:rsidP="00466C2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63B4FBA" wp14:editId="2C6E54F5">
            <wp:extent cx="9360000" cy="4810624"/>
            <wp:effectExtent l="0" t="0" r="0" b="952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10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spacing w:after="0" w:line="360" w:lineRule="auto"/>
        <w:jc w:val="center"/>
        <w:sectPr w:rsidR="007B682B" w:rsidRPr="00234B97" w:rsidSect="00AF08E9">
          <w:pgSz w:w="16840" w:h="11900" w:orient="landscape"/>
          <w:pgMar w:top="992" w:right="1134" w:bottom="709" w:left="1134" w:header="709" w:footer="709" w:gutter="0"/>
          <w:cols w:space="720"/>
          <w:docGrid w:linePitch="299"/>
        </w:sectPr>
      </w:pPr>
    </w:p>
    <w:p w:rsidR="00184E2C" w:rsidRDefault="00E10DC3" w:rsidP="00E10DC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4</w:t>
      </w:r>
    </w:p>
    <w:p w:rsidR="00FB6128" w:rsidRDefault="00794F6E" w:rsidP="00E10DC3">
      <w:pPr>
        <w:spacing w:after="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FBE124C" wp14:editId="59D0B889">
            <wp:extent cx="5760000" cy="2807813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07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128" w:rsidRDefault="00FB6128" w:rsidP="00E10DC3">
      <w:pPr>
        <w:spacing w:after="0"/>
        <w:jc w:val="center"/>
        <w:rPr>
          <w:color w:val="auto"/>
        </w:rPr>
      </w:pPr>
    </w:p>
    <w:p w:rsidR="00FB6128" w:rsidRPr="00FB6128" w:rsidRDefault="00FB6128" w:rsidP="00FB6128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5</w:t>
      </w:r>
    </w:p>
    <w:p w:rsidR="00184E2C" w:rsidRDefault="00794F6E" w:rsidP="000E770E">
      <w:pPr>
        <w:spacing w:after="0" w:line="276" w:lineRule="auto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7445230" wp14:editId="5311BCED">
            <wp:extent cx="5760000" cy="3159622"/>
            <wp:effectExtent l="0" t="0" r="0" b="317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59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70E" w:rsidRDefault="000E770E" w:rsidP="0062610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FB6128" w:rsidRDefault="00FB6128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FB6128" w:rsidRPr="008E7049" w:rsidRDefault="00FB6128" w:rsidP="00FB6128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8E7049">
        <w:rPr>
          <w:b/>
          <w:bCs/>
          <w:color w:val="00457D"/>
          <w:sz w:val="24"/>
          <w:szCs w:val="24"/>
          <w:u w:color="00457D"/>
        </w:rPr>
        <w:lastRenderedPageBreak/>
        <w:t>Figura 6</w:t>
      </w:r>
    </w:p>
    <w:p w:rsidR="00A03AAC" w:rsidRPr="00333BB6" w:rsidRDefault="008E7049" w:rsidP="00FB6128">
      <w:pPr>
        <w:spacing w:after="0"/>
        <w:jc w:val="center"/>
        <w:rPr>
          <w:b/>
          <w:bCs/>
          <w:color w:val="FF0000"/>
          <w:sz w:val="24"/>
          <w:szCs w:val="24"/>
          <w:u w:color="00457D"/>
        </w:rPr>
      </w:pPr>
      <w:r>
        <w:rPr>
          <w:b/>
          <w:bCs/>
          <w:noProof/>
          <w:color w:val="FF0000"/>
          <w:sz w:val="24"/>
          <w:szCs w:val="24"/>
          <w:u w:color="00457D"/>
        </w:rPr>
        <w:drawing>
          <wp:inline distT="0" distB="0" distL="0" distR="0" wp14:anchorId="6A89A07E" wp14:editId="3CDEFE28">
            <wp:extent cx="5760000" cy="5710434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710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F6E" w:rsidRDefault="00794F6E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184E2C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lastRenderedPageBreak/>
        <w:t>Figura</w:t>
      </w:r>
      <w:r w:rsidR="00E10DC3">
        <w:rPr>
          <w:b/>
          <w:bCs/>
          <w:color w:val="00457D"/>
          <w:sz w:val="24"/>
          <w:szCs w:val="24"/>
          <w:u w:color="00457D"/>
        </w:rPr>
        <w:t xml:space="preserve"> </w:t>
      </w:r>
      <w:r w:rsidR="00FB6128">
        <w:rPr>
          <w:b/>
          <w:bCs/>
          <w:color w:val="00457D"/>
          <w:sz w:val="24"/>
          <w:szCs w:val="24"/>
          <w:u w:color="00457D"/>
        </w:rPr>
        <w:t>7</w:t>
      </w:r>
    </w:p>
    <w:p w:rsidR="003274E5" w:rsidRDefault="00794F6E" w:rsidP="003274E5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1C90C16" wp14:editId="28E193BE">
            <wp:extent cx="5760000" cy="2824904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24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F6E" w:rsidRDefault="00794F6E" w:rsidP="003274E5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914317" w:rsidRDefault="006176B8" w:rsidP="003874BF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914317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E10DC3" w:rsidRPr="00914317">
        <w:rPr>
          <w:b/>
          <w:bCs/>
          <w:color w:val="00457D"/>
          <w:sz w:val="24"/>
          <w:szCs w:val="24"/>
          <w:u w:color="00457D"/>
        </w:rPr>
        <w:t>8</w:t>
      </w:r>
    </w:p>
    <w:p w:rsidR="00542585" w:rsidRDefault="001C3537" w:rsidP="00F529F2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0ED9B24" wp14:editId="666599FB">
            <wp:extent cx="5760000" cy="4523138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23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F6E" w:rsidRDefault="00794F6E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DB1360" w:rsidRDefault="00DB1360" w:rsidP="00EB63C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EB63CA">
        <w:rPr>
          <w:b/>
          <w:bCs/>
          <w:color w:val="00457D"/>
          <w:sz w:val="24"/>
          <w:szCs w:val="24"/>
          <w:u w:color="00457D"/>
        </w:rPr>
        <w:t>9</w:t>
      </w:r>
    </w:p>
    <w:p w:rsidR="00DB1360" w:rsidRDefault="001C3537" w:rsidP="00DB1360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2D10D38" wp14:editId="08F511C9">
            <wp:extent cx="5760000" cy="3364932"/>
            <wp:effectExtent l="0" t="0" r="0" b="698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360" w:rsidRDefault="00DB1360" w:rsidP="00DB1360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1B3764" w:rsidRPr="00466C2D" w:rsidRDefault="001B3764" w:rsidP="00DB1360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66C2D">
        <w:rPr>
          <w:b/>
          <w:bCs/>
          <w:color w:val="00457D"/>
          <w:sz w:val="24"/>
          <w:szCs w:val="24"/>
          <w:u w:color="00457D"/>
        </w:rPr>
        <w:t>Figura</w:t>
      </w:r>
      <w:r w:rsidR="00A45C23" w:rsidRPr="00466C2D">
        <w:rPr>
          <w:b/>
          <w:bCs/>
          <w:color w:val="00457D"/>
          <w:sz w:val="24"/>
          <w:szCs w:val="24"/>
          <w:u w:color="00457D"/>
        </w:rPr>
        <w:t xml:space="preserve"> </w:t>
      </w:r>
      <w:r w:rsidR="00EB63CA">
        <w:rPr>
          <w:b/>
          <w:bCs/>
          <w:color w:val="00457D"/>
          <w:sz w:val="24"/>
          <w:szCs w:val="24"/>
          <w:u w:color="00457D"/>
        </w:rPr>
        <w:t>10</w:t>
      </w:r>
    </w:p>
    <w:p w:rsidR="001B3764" w:rsidRPr="00466C2D" w:rsidRDefault="001C3537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CB809D6" wp14:editId="7B5E2AF5">
            <wp:extent cx="5760000" cy="3064926"/>
            <wp:effectExtent l="0" t="0" r="0" b="254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64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5C23" w:rsidRPr="00466C2D" w:rsidRDefault="00A45C2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794F6E" w:rsidRDefault="00794F6E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005129" w:rsidRPr="00466C2D" w:rsidRDefault="00E10DC3" w:rsidP="0000512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66C2D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775180">
        <w:rPr>
          <w:b/>
          <w:bCs/>
          <w:color w:val="00457D"/>
          <w:sz w:val="24"/>
          <w:szCs w:val="24"/>
          <w:u w:color="00457D"/>
        </w:rPr>
        <w:t>1</w:t>
      </w:r>
    </w:p>
    <w:p w:rsidR="00205B01" w:rsidRPr="003F6A89" w:rsidRDefault="001C3537" w:rsidP="00012B67">
      <w:pPr>
        <w:spacing w:line="276" w:lineRule="auto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66A2FF80" wp14:editId="1630AD24">
            <wp:extent cx="5760000" cy="3661941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61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F6E" w:rsidRDefault="00794F6E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F01E45" w:rsidRPr="00914317" w:rsidRDefault="00184E2C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914317">
        <w:rPr>
          <w:b/>
          <w:bCs/>
          <w:color w:val="00457D"/>
          <w:sz w:val="24"/>
          <w:szCs w:val="24"/>
          <w:u w:color="00457D"/>
        </w:rPr>
        <w:t>Figura 1</w:t>
      </w:r>
      <w:r w:rsidR="00775180">
        <w:rPr>
          <w:b/>
          <w:bCs/>
          <w:color w:val="00457D"/>
          <w:sz w:val="24"/>
          <w:szCs w:val="24"/>
          <w:u w:color="00457D"/>
        </w:rPr>
        <w:t>2</w:t>
      </w:r>
    </w:p>
    <w:p w:rsidR="001C3537" w:rsidRDefault="00144669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46EF72C" wp14:editId="100D3C90">
            <wp:extent cx="5760000" cy="392954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2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BB6" w:rsidRDefault="00333BB6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75180" w:rsidRDefault="00775180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775180" w:rsidRDefault="00775180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  <w:sectPr w:rsidR="00775180">
          <w:pgSz w:w="11900" w:h="16840"/>
          <w:pgMar w:top="1134" w:right="1134" w:bottom="1418" w:left="1134" w:header="709" w:footer="709" w:gutter="0"/>
          <w:cols w:space="720"/>
        </w:sectPr>
      </w:pPr>
    </w:p>
    <w:p w:rsidR="00775180" w:rsidRPr="00914317" w:rsidRDefault="00775180" w:rsidP="00775180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914317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>
        <w:rPr>
          <w:b/>
          <w:bCs/>
          <w:color w:val="00457D"/>
          <w:sz w:val="24"/>
          <w:szCs w:val="24"/>
          <w:u w:color="00457D"/>
        </w:rPr>
        <w:t>3</w:t>
      </w:r>
    </w:p>
    <w:p w:rsidR="00775180" w:rsidRDefault="00775180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  <w:sectPr w:rsidR="00775180" w:rsidSect="00775180">
          <w:pgSz w:w="16840" w:h="11900" w:orient="landscape"/>
          <w:pgMar w:top="1134" w:right="1134" w:bottom="1134" w:left="1418" w:header="709" w:footer="709" w:gutter="0"/>
          <w:cols w:space="720"/>
          <w:docGrid w:linePitch="299"/>
        </w:sect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6D9112A" wp14:editId="30746295">
            <wp:extent cx="9360000" cy="5401468"/>
            <wp:effectExtent l="0" t="0" r="0" b="889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401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BB6" w:rsidRPr="00914317" w:rsidRDefault="00333BB6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914317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775180">
        <w:rPr>
          <w:b/>
          <w:bCs/>
          <w:color w:val="00457D"/>
          <w:sz w:val="24"/>
          <w:szCs w:val="24"/>
          <w:u w:color="00457D"/>
        </w:rPr>
        <w:t>4</w:t>
      </w:r>
    </w:p>
    <w:p w:rsidR="00953D24" w:rsidRDefault="001C3537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BF6BE4D" wp14:editId="43EF7773">
            <wp:extent cx="5760000" cy="3360705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B56" w:rsidRDefault="00E56B56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1C5BEA" w:rsidRPr="00914317" w:rsidRDefault="001C5BEA" w:rsidP="001C5BE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914317">
        <w:rPr>
          <w:b/>
          <w:bCs/>
          <w:color w:val="00457D"/>
          <w:sz w:val="24"/>
          <w:szCs w:val="24"/>
          <w:u w:color="00457D"/>
        </w:rPr>
        <w:t>Figura 1</w:t>
      </w:r>
      <w:r w:rsidR="00775180">
        <w:rPr>
          <w:b/>
          <w:bCs/>
          <w:color w:val="00457D"/>
          <w:sz w:val="24"/>
          <w:szCs w:val="24"/>
          <w:u w:color="00457D"/>
        </w:rPr>
        <w:t>5</w:t>
      </w:r>
    </w:p>
    <w:p w:rsidR="00BC2423" w:rsidRDefault="001C3537" w:rsidP="00466C2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4C64AC5" wp14:editId="562F5928">
            <wp:extent cx="5760000" cy="4320112"/>
            <wp:effectExtent l="0" t="0" r="0" b="444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2423">
        <w:rPr>
          <w:b/>
          <w:bCs/>
          <w:color w:val="00457D"/>
          <w:sz w:val="24"/>
          <w:szCs w:val="24"/>
          <w:u w:color="00457D"/>
        </w:rPr>
        <w:br w:type="page"/>
      </w:r>
    </w:p>
    <w:p w:rsidR="00914317" w:rsidRPr="001C3537" w:rsidRDefault="00CE577D" w:rsidP="00914317">
      <w:pPr>
        <w:spacing w:line="276" w:lineRule="auto"/>
        <w:jc w:val="center"/>
        <w:rPr>
          <w:color w:val="00457D"/>
        </w:rPr>
      </w:pPr>
      <w:r w:rsidRPr="001C3537">
        <w:rPr>
          <w:b/>
          <w:bCs/>
          <w:color w:val="00457D"/>
          <w:sz w:val="24"/>
          <w:szCs w:val="24"/>
          <w:u w:color="00457D"/>
        </w:rPr>
        <w:lastRenderedPageBreak/>
        <w:t xml:space="preserve">Tabella 1. Indicatori regionali: settimana </w:t>
      </w:r>
      <w:r w:rsidR="00794F6E" w:rsidRPr="001C3537">
        <w:rPr>
          <w:b/>
          <w:bCs/>
          <w:color w:val="00457D"/>
          <w:sz w:val="24"/>
          <w:szCs w:val="24"/>
          <w:u w:color="00457D"/>
        </w:rPr>
        <w:t>1-7 dicembre</w:t>
      </w:r>
      <w:r w:rsidRPr="001C3537">
        <w:rPr>
          <w:b/>
          <w:bCs/>
          <w:color w:val="00457D"/>
          <w:sz w:val="24"/>
          <w:szCs w:val="24"/>
          <w:u w:color="00457D"/>
        </w:rPr>
        <w:t xml:space="preserve"> 2021</w:t>
      </w:r>
    </w:p>
    <w:tbl>
      <w:tblPr>
        <w:tblW w:w="949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660"/>
        <w:gridCol w:w="1458"/>
        <w:gridCol w:w="2126"/>
        <w:gridCol w:w="2127"/>
      </w:tblGrid>
      <w:tr w:rsidR="001C3537" w:rsidRPr="001C3537" w:rsidTr="001C3537">
        <w:trPr>
          <w:trHeight w:val="907"/>
        </w:trPr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1C353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Regione</w:t>
            </w:r>
          </w:p>
        </w:tc>
        <w:tc>
          <w:tcPr>
            <w:tcW w:w="1660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</w:pPr>
            <w:r w:rsidRPr="001C3537"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  <w:t>Casi attualmente positivi per 100.000 abitanti</w:t>
            </w:r>
          </w:p>
        </w:tc>
        <w:tc>
          <w:tcPr>
            <w:tcW w:w="1458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1C353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Variazione </w:t>
            </w:r>
            <w:r w:rsidRPr="001C353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% nuovi casi</w:t>
            </w:r>
          </w:p>
        </w:tc>
        <w:tc>
          <w:tcPr>
            <w:tcW w:w="212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1C353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Posti letto in area medica occupati da pazienti COVID−19</w:t>
            </w:r>
          </w:p>
        </w:tc>
        <w:tc>
          <w:tcPr>
            <w:tcW w:w="2127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1C353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Posti letto in terapia intensiva occupati da </w:t>
            </w:r>
            <w:r w:rsidRPr="001C353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pazienti COVID−19</w:t>
            </w:r>
          </w:p>
        </w:tc>
      </w:tr>
      <w:tr w:rsidR="001C3537" w:rsidRPr="001C3537" w:rsidTr="001C3537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C3537">
              <w:rPr>
                <w:rFonts w:eastAsia="Times New Roman" w:cs="Calibri"/>
                <w:bdr w:val="none" w:sz="0" w:space="0" w:color="auto"/>
              </w:rPr>
              <w:t>Abruzzo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383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26,5%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1C3537" w:rsidRPr="001C3537" w:rsidTr="001C3537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C3537">
              <w:rPr>
                <w:rFonts w:eastAsia="Times New Roman" w:cs="Calibri"/>
                <w:bdr w:val="none" w:sz="0" w:space="0" w:color="auto"/>
              </w:rPr>
              <w:t>Basilicata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211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23,4%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0%</w:t>
            </w:r>
          </w:p>
        </w:tc>
      </w:tr>
      <w:tr w:rsidR="001C3537" w:rsidRPr="001C3537" w:rsidTr="001C3537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C3537">
              <w:rPr>
                <w:rFonts w:eastAsia="Times New Roman" w:cs="Calibri"/>
                <w:bdr w:val="none" w:sz="0" w:space="0" w:color="auto"/>
              </w:rPr>
              <w:t>Calabria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293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29,6%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16%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11%</w:t>
            </w:r>
          </w:p>
        </w:tc>
      </w:tr>
      <w:tr w:rsidR="001C3537" w:rsidRPr="001C3537" w:rsidTr="001C3537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C3537">
              <w:rPr>
                <w:rFonts w:eastAsia="Times New Roman" w:cs="Calibri"/>
                <w:bdr w:val="none" w:sz="0" w:space="0" w:color="auto"/>
              </w:rPr>
              <w:t>Campania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342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16,9%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10%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1C3537" w:rsidRPr="001C3537" w:rsidTr="001C3537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C3537">
              <w:rPr>
                <w:rFonts w:eastAsia="Times New Roman" w:cs="Calibri"/>
                <w:bdr w:val="none" w:sz="0" w:space="0" w:color="auto"/>
              </w:rPr>
              <w:t>Emilia Romagna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603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19,0%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10%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</w:tr>
      <w:tr w:rsidR="001C3537" w:rsidRPr="001C3537" w:rsidTr="001C3537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C3537">
              <w:rPr>
                <w:rFonts w:eastAsia="Times New Roman" w:cs="Calibri"/>
                <w:bdr w:val="none" w:sz="0" w:space="0" w:color="auto"/>
              </w:rPr>
              <w:t>Friuli Venezia Giulia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661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11,3%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24%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16%</w:t>
            </w:r>
          </w:p>
        </w:tc>
      </w:tr>
      <w:tr w:rsidR="001C3537" w:rsidRPr="001C3537" w:rsidTr="001C3537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C3537">
              <w:rPr>
                <w:rFonts w:eastAsia="Times New Roman" w:cs="Calibri"/>
                <w:bdr w:val="none" w:sz="0" w:space="0" w:color="auto"/>
              </w:rPr>
              <w:t>Lazio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431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20,6%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12%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11%</w:t>
            </w:r>
          </w:p>
        </w:tc>
      </w:tr>
      <w:tr w:rsidR="001C3537" w:rsidRPr="001C3537" w:rsidTr="001C3537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C3537">
              <w:rPr>
                <w:rFonts w:eastAsia="Times New Roman" w:cs="Calibri"/>
                <w:bdr w:val="none" w:sz="0" w:space="0" w:color="auto"/>
              </w:rPr>
              <w:t>Liguria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376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30,6%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11%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12%</w:t>
            </w:r>
          </w:p>
        </w:tc>
      </w:tr>
      <w:tr w:rsidR="001C3537" w:rsidRPr="001C3537" w:rsidTr="001C3537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C3537">
              <w:rPr>
                <w:rFonts w:eastAsia="Times New Roman" w:cs="Calibri"/>
                <w:bdr w:val="none" w:sz="0" w:space="0" w:color="auto"/>
              </w:rPr>
              <w:t>Lombardia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400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22,0%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13%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</w:tr>
      <w:tr w:rsidR="001C3537" w:rsidRPr="001C3537" w:rsidTr="001C3537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C3537">
              <w:rPr>
                <w:rFonts w:eastAsia="Times New Roman" w:cs="Calibri"/>
                <w:bdr w:val="none" w:sz="0" w:space="0" w:color="auto"/>
              </w:rPr>
              <w:t>Marche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362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1,8%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11%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12%</w:t>
            </w:r>
          </w:p>
        </w:tc>
      </w:tr>
      <w:tr w:rsidR="001C3537" w:rsidRPr="001C3537" w:rsidTr="001C3537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C3537">
              <w:rPr>
                <w:rFonts w:eastAsia="Times New Roman" w:cs="Calibri"/>
                <w:bdr w:val="none" w:sz="0" w:space="0" w:color="auto"/>
              </w:rPr>
              <w:t>Molise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102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-47,8%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1C3537" w:rsidRPr="001C3537" w:rsidTr="001C3537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C3537">
              <w:rPr>
                <w:rFonts w:eastAsia="Times New Roman" w:cs="Calibri"/>
                <w:bdr w:val="none" w:sz="0" w:space="0" w:color="auto"/>
              </w:rPr>
              <w:t>Piemonte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331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43,8%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1C3537" w:rsidRPr="001C3537" w:rsidTr="001C3537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C3537">
              <w:rPr>
                <w:rFonts w:eastAsia="Times New Roman" w:cs="Calibri"/>
                <w:bdr w:val="none" w:sz="0" w:space="0" w:color="auto"/>
              </w:rPr>
              <w:t>Prov. Aut. Bolzano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1.176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17,9%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20%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17%</w:t>
            </w:r>
          </w:p>
        </w:tc>
      </w:tr>
      <w:tr w:rsidR="001C3537" w:rsidRPr="001C3537" w:rsidTr="001C3537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C3537">
              <w:rPr>
                <w:rFonts w:eastAsia="Times New Roman" w:cs="Calibri"/>
                <w:bdr w:val="none" w:sz="0" w:space="0" w:color="auto"/>
              </w:rPr>
              <w:t>Prov. Aut. Trento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372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23,7%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12%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13%</w:t>
            </w:r>
          </w:p>
        </w:tc>
      </w:tr>
      <w:tr w:rsidR="001C3537" w:rsidRPr="001C3537" w:rsidTr="001C3537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C3537">
              <w:rPr>
                <w:rFonts w:eastAsia="Times New Roman" w:cs="Calibri"/>
                <w:bdr w:val="none" w:sz="0" w:space="0" w:color="auto"/>
              </w:rPr>
              <w:t>Puglia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117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27,6%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1C3537" w:rsidRPr="001C3537" w:rsidTr="001C3537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C3537">
              <w:rPr>
                <w:rFonts w:eastAsia="Times New Roman" w:cs="Calibri"/>
                <w:bdr w:val="none" w:sz="0" w:space="0" w:color="auto"/>
              </w:rPr>
              <w:t>Sardegna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190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13,6%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1C3537" w:rsidRPr="001C3537" w:rsidTr="001C3537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C3537">
              <w:rPr>
                <w:rFonts w:eastAsia="Times New Roman" w:cs="Calibri"/>
                <w:bdr w:val="none" w:sz="0" w:space="0" w:color="auto"/>
              </w:rPr>
              <w:t>Sicilia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289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9,5%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1C3537" w:rsidRPr="001C3537" w:rsidTr="001C3537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C3537">
              <w:rPr>
                <w:rFonts w:eastAsia="Times New Roman" w:cs="Calibri"/>
                <w:bdr w:val="none" w:sz="0" w:space="0" w:color="auto"/>
              </w:rPr>
              <w:t>Toscana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289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25,2%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</w:tr>
      <w:tr w:rsidR="001C3537" w:rsidRPr="001C3537" w:rsidTr="001C3537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C3537">
              <w:rPr>
                <w:rFonts w:eastAsia="Times New Roman" w:cs="Calibri"/>
                <w:bdr w:val="none" w:sz="0" w:space="0" w:color="auto"/>
              </w:rPr>
              <w:t>Umbria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225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50,3%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</w:tr>
      <w:tr w:rsidR="001C3537" w:rsidRPr="001C3537" w:rsidTr="001C3537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C3537">
              <w:rPr>
                <w:rFonts w:eastAsia="Times New Roman" w:cs="Calibri"/>
                <w:bdr w:val="none" w:sz="0" w:space="0" w:color="auto"/>
              </w:rPr>
              <w:t>Valle D'Aosta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588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-4,0%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20%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1C3537" w:rsidRPr="001C3537" w:rsidTr="001C3537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1C3537">
              <w:rPr>
                <w:rFonts w:eastAsia="Times New Roman" w:cs="Calibri"/>
                <w:bdr w:val="none" w:sz="0" w:space="0" w:color="auto"/>
              </w:rPr>
              <w:t>Veneto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833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30,6%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006100"/>
                <w:bdr w:val="none" w:sz="0" w:space="0" w:color="auto"/>
              </w:rPr>
              <w:t>12%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9C0006"/>
                <w:bdr w:val="none" w:sz="0" w:space="0" w:color="auto"/>
              </w:rPr>
              <w:t>12%</w:t>
            </w:r>
          </w:p>
        </w:tc>
      </w:tr>
      <w:tr w:rsidR="001C3537" w:rsidRPr="001C3537" w:rsidTr="001C3537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00457D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1C3537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ITALIA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404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1C3537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22,4%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10%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bottom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1C3537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9%</w:t>
            </w:r>
          </w:p>
        </w:tc>
      </w:tr>
      <w:tr w:rsidR="001C3537" w:rsidRPr="001C3537" w:rsidTr="001C3537">
        <w:trPr>
          <w:trHeight w:val="1710"/>
        </w:trPr>
        <w:tc>
          <w:tcPr>
            <w:tcW w:w="9498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  <w:hideMark/>
          </w:tcPr>
          <w:p w:rsidR="001C3537" w:rsidRPr="001C3537" w:rsidRDefault="001C3537" w:rsidP="001C353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 w:rsidRPr="001C3537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Nota: nella prima colonna rosso, verde e giallo indicano rispettivamente una performance regionale in peggioramento, in miglioramento o stabile, rispetto alla settimana precedente.</w:t>
            </w:r>
            <w:r w:rsidRPr="001C3537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Nella seconda colonna rosso e verde indicano rispettivamente un aumento o una diminuzione di nuovi casi rispetto alla settimana precedente.</w:t>
            </w:r>
            <w:r w:rsidRPr="001C3537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Nelle ultime 2 colonne rosso e verde indicano il superamento, o meno, della soglia di saturazione del 15% per l’area medica e del 10% per le terapie intensive (dati Agenas).</w:t>
            </w:r>
          </w:p>
        </w:tc>
      </w:tr>
    </w:tbl>
    <w:p w:rsidR="005E38B7" w:rsidRDefault="005E38B7">
      <w:pPr>
        <w:spacing w:after="0" w:line="240" w:lineRule="auto"/>
      </w:pPr>
      <w:r>
        <w:br w:type="page"/>
      </w:r>
    </w:p>
    <w:p w:rsidR="005E38B7" w:rsidRPr="00F441F1" w:rsidRDefault="005E38B7" w:rsidP="005E38B7">
      <w:pPr>
        <w:spacing w:after="8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F441F1">
        <w:rPr>
          <w:b/>
          <w:bCs/>
          <w:color w:val="00457D"/>
          <w:sz w:val="24"/>
          <w:szCs w:val="24"/>
          <w:u w:color="00457D"/>
        </w:rPr>
        <w:lastRenderedPageBreak/>
        <w:t>Tabella 2. Nuovi casi nell’ultima settimana suddivisi per provincia</w:t>
      </w:r>
    </w:p>
    <w:p w:rsidR="005E38B7" w:rsidRDefault="005E38B7" w:rsidP="005E38B7">
      <w:pPr>
        <w:spacing w:after="80" w:line="240" w:lineRule="auto"/>
        <w:jc w:val="center"/>
        <w:rPr>
          <w:b/>
          <w:bCs/>
          <w:color w:val="00457D"/>
          <w:spacing w:val="-3"/>
          <w:sz w:val="10"/>
          <w:szCs w:val="10"/>
          <w:u w:color="00457D"/>
        </w:rPr>
      </w:pPr>
    </w:p>
    <w:tbl>
      <w:tblPr>
        <w:tblStyle w:val="TableNormal"/>
        <w:tblW w:w="736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 w:firstRow="1" w:lastRow="0" w:firstColumn="1" w:lastColumn="0" w:noHBand="0" w:noVBand="1"/>
      </w:tblPr>
      <w:tblGrid>
        <w:gridCol w:w="2000"/>
        <w:gridCol w:w="2248"/>
        <w:gridCol w:w="3118"/>
      </w:tblGrid>
      <w:tr w:rsidR="005E38B7" w:rsidRPr="005672CD" w:rsidTr="005E38B7">
        <w:trPr>
          <w:trHeight w:val="481"/>
          <w:tblHeader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Regione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38B7" w:rsidRPr="005672CD" w:rsidRDefault="005E38B7" w:rsidP="005E38B7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Provincia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00457D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38B7" w:rsidRPr="005672CD" w:rsidRDefault="005E38B7" w:rsidP="00794F6E">
            <w:pPr>
              <w:spacing w:after="0" w:line="240" w:lineRule="auto"/>
              <w:jc w:val="center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Nuovi casi per 100.000 abitanti </w:t>
            </w:r>
            <w:r w:rsidR="00794F6E">
              <w:rPr>
                <w:rFonts w:cs="Calibri"/>
                <w:b/>
                <w:bCs/>
                <w:color w:val="FFFFFF"/>
                <w:szCs w:val="20"/>
                <w:u w:color="FFFFFF"/>
              </w:rPr>
              <w:t>1-7 dicembre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Teramo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216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Chieti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136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Pescara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92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L'Aquila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91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Matera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72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Potenza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40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Reggio di Calabria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177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Vibo Valentia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139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Cosenza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91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Crotone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81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Catanzaro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77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Napoli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168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Caserta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127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Salerno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113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Benevento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110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Avellino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79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Rimini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379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Forlì-Cesena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356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Ravenna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299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Ferrara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253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Bologna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244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Modena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185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Reggio nell'Emilia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151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Piacenza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126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Parma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82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Trieste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694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Gorizia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377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Pordenone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365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Udine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244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Viterbo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226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Roma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200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Latina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148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Rieti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132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Frosinone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119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Imperia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367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Savona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244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Genova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182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La Spezia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174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lastRenderedPageBreak/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Varese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224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Mantova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197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Monza e della Brianza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197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Milano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175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Brescia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175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Como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164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Cremona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160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Pavia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148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Lodi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143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Lecco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135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Sondrio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135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Bergamo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79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Ascoli Piceno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239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Ancona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197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Fermo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190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Pesaro e Urbino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163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Macerata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142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Campobasso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38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Isernia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18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P.A. Bolzano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Bolzano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651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P.A. Trento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Trento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233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Verbano-Cusio-Ossola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267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Asti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176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Torino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176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Cuneo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174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Biella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164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Novara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155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Alessandria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96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Vercelli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90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Foggia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112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Brindisi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56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Taranto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56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Lecce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43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Bari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36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Barletta-Andria-Trani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32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Sassari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78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Nuoro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76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Sud Sardegna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72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Oristano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59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Cagliari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33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lastRenderedPageBreak/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Messina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162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Caltanissetta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154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Catania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134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Siracusa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126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Trapani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97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Agrigento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90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Enna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77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Palermo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63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Ragusa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47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Massa Carrara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175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Grosseto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165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Pistoia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152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Livorno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138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Arezzo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126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Lucca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106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Siena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106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Pisa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94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Firenze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93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Prato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92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Perugia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98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Terni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87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Valle d'Aosta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Aosta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276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Treviso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467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Padova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405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Vicenza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391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Venezia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390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Belluno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276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Rovigo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  <w:jc w:val="center"/>
            </w:pPr>
            <w:r w:rsidRPr="009B2E68">
              <w:t>273</w:t>
            </w:r>
          </w:p>
        </w:tc>
      </w:tr>
      <w:tr w:rsidR="00794F6E" w:rsidRPr="005672CD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Pr="009B2E68" w:rsidRDefault="00794F6E" w:rsidP="00794F6E">
            <w:pPr>
              <w:spacing w:after="0" w:line="240" w:lineRule="auto"/>
            </w:pPr>
            <w:r w:rsidRPr="009B2E68">
              <w:t>Verona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794F6E" w:rsidRDefault="00794F6E" w:rsidP="00794F6E">
            <w:pPr>
              <w:spacing w:after="0" w:line="240" w:lineRule="auto"/>
              <w:jc w:val="center"/>
            </w:pPr>
            <w:r w:rsidRPr="009B2E68">
              <w:t>235</w:t>
            </w:r>
          </w:p>
        </w:tc>
      </w:tr>
    </w:tbl>
    <w:p w:rsidR="005E38B7" w:rsidRDefault="005E38B7" w:rsidP="005E38B7">
      <w:pPr>
        <w:widowControl w:val="0"/>
        <w:spacing w:after="80" w:line="240" w:lineRule="auto"/>
        <w:jc w:val="center"/>
      </w:pPr>
    </w:p>
    <w:p w:rsidR="005E38B7" w:rsidRPr="00234B97" w:rsidRDefault="005E38B7"/>
    <w:sectPr w:rsidR="005E38B7" w:rsidRPr="00234B97">
      <w:pgSz w:w="11900" w:h="16840"/>
      <w:pgMar w:top="1134" w:right="1134" w:bottom="1418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086" w:rsidRDefault="00760086">
      <w:pPr>
        <w:spacing w:after="0" w:line="240" w:lineRule="auto"/>
      </w:pPr>
      <w:r>
        <w:separator/>
      </w:r>
    </w:p>
  </w:endnote>
  <w:endnote w:type="continuationSeparator" w:id="0">
    <w:p w:rsidR="00760086" w:rsidRDefault="00760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086" w:rsidRDefault="00760086">
      <w:pPr>
        <w:spacing w:after="0" w:line="240" w:lineRule="auto"/>
      </w:pPr>
      <w:r>
        <w:separator/>
      </w:r>
    </w:p>
  </w:footnote>
  <w:footnote w:type="continuationSeparator" w:id="0">
    <w:p w:rsidR="00760086" w:rsidRDefault="00760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F15" w:rsidRPr="00C84C0B" w:rsidRDefault="00637F15" w:rsidP="00083804">
    <w:pPr>
      <w:pStyle w:val="Intestazione"/>
      <w:jc w:val="center"/>
      <w:rPr>
        <w:b/>
        <w:color w:val="FF000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56765"/>
    <w:multiLevelType w:val="hybridMultilevel"/>
    <w:tmpl w:val="BA56089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921CF"/>
    <w:multiLevelType w:val="hybridMultilevel"/>
    <w:tmpl w:val="678250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31B35"/>
    <w:multiLevelType w:val="hybridMultilevel"/>
    <w:tmpl w:val="104A42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2004E8"/>
    <w:multiLevelType w:val="hybridMultilevel"/>
    <w:tmpl w:val="D040A854"/>
    <w:styleLink w:val="Stileimportato2"/>
    <w:lvl w:ilvl="0" w:tplc="1DBC225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74C6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AADE7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94C8A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C812E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5A4D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04A1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3C8E3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E0B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75A29E6"/>
    <w:multiLevelType w:val="hybridMultilevel"/>
    <w:tmpl w:val="3474900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A3259B"/>
    <w:multiLevelType w:val="hybridMultilevel"/>
    <w:tmpl w:val="D676E87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39119D"/>
    <w:multiLevelType w:val="hybridMultilevel"/>
    <w:tmpl w:val="DD3E50C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B514920"/>
    <w:multiLevelType w:val="hybridMultilevel"/>
    <w:tmpl w:val="3F8C4CC8"/>
    <w:numStyleLink w:val="Stileimportato1"/>
  </w:abstractNum>
  <w:abstractNum w:abstractNumId="8" w15:restartNumberingAfterBreak="0">
    <w:nsid w:val="0E3F3A88"/>
    <w:multiLevelType w:val="multilevel"/>
    <w:tmpl w:val="8A0C57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F8A42AC"/>
    <w:multiLevelType w:val="hybridMultilevel"/>
    <w:tmpl w:val="E5D47D4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09C76B5"/>
    <w:multiLevelType w:val="hybridMultilevel"/>
    <w:tmpl w:val="988EFE2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124B2D"/>
    <w:multiLevelType w:val="hybridMultilevel"/>
    <w:tmpl w:val="D040A854"/>
    <w:numStyleLink w:val="Stileimportato2"/>
  </w:abstractNum>
  <w:abstractNum w:abstractNumId="12" w15:restartNumberingAfterBreak="0">
    <w:nsid w:val="191273B9"/>
    <w:multiLevelType w:val="hybridMultilevel"/>
    <w:tmpl w:val="9384A2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9881AF1"/>
    <w:multiLevelType w:val="hybridMultilevel"/>
    <w:tmpl w:val="9A0099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A843EA"/>
    <w:multiLevelType w:val="hybridMultilevel"/>
    <w:tmpl w:val="3F8C4CC8"/>
    <w:styleLink w:val="Stileimportato1"/>
    <w:lvl w:ilvl="0" w:tplc="1130B0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5641D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BA41F6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165A9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D5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B8BE4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9CC800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2CEC6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5C6E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95D7E40"/>
    <w:multiLevelType w:val="multilevel"/>
    <w:tmpl w:val="6AA25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D43ECE"/>
    <w:multiLevelType w:val="hybridMultilevel"/>
    <w:tmpl w:val="5A2EEDE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D776AB5"/>
    <w:multiLevelType w:val="hybridMultilevel"/>
    <w:tmpl w:val="F2B829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1B2825"/>
    <w:multiLevelType w:val="hybridMultilevel"/>
    <w:tmpl w:val="DD92D44C"/>
    <w:lvl w:ilvl="0" w:tplc="E8EC5E10">
      <w:numFmt w:val="bullet"/>
      <w:lvlText w:val=""/>
      <w:lvlJc w:val="left"/>
      <w:pPr>
        <w:ind w:left="405" w:hanging="405"/>
      </w:pPr>
      <w:rPr>
        <w:rFonts w:ascii="Symbol" w:eastAsia="Arial Unicode MS" w:hAnsi="Symbol" w:cs="Arial Unicode M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8A3E9A"/>
    <w:multiLevelType w:val="hybridMultilevel"/>
    <w:tmpl w:val="A08494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614729"/>
    <w:multiLevelType w:val="multilevel"/>
    <w:tmpl w:val="524A3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FE3173C"/>
    <w:multiLevelType w:val="hybridMultilevel"/>
    <w:tmpl w:val="E4E27152"/>
    <w:lvl w:ilvl="0" w:tplc="E9C279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31C5E63"/>
    <w:multiLevelType w:val="hybridMultilevel"/>
    <w:tmpl w:val="B26A3A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734450"/>
    <w:multiLevelType w:val="hybridMultilevel"/>
    <w:tmpl w:val="A300C374"/>
    <w:lvl w:ilvl="0" w:tplc="E77E4E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BD4C86"/>
    <w:multiLevelType w:val="hybridMultilevel"/>
    <w:tmpl w:val="DB3626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209477B"/>
    <w:multiLevelType w:val="hybridMultilevel"/>
    <w:tmpl w:val="FE187BF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53B2B54"/>
    <w:multiLevelType w:val="hybridMultilevel"/>
    <w:tmpl w:val="2BA026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3"/>
  </w:num>
  <w:num w:numId="4">
    <w:abstractNumId w:val="11"/>
  </w:num>
  <w:num w:numId="5">
    <w:abstractNumId w:val="12"/>
  </w:num>
  <w:num w:numId="6">
    <w:abstractNumId w:val="26"/>
  </w:num>
  <w:num w:numId="7">
    <w:abstractNumId w:val="17"/>
  </w:num>
  <w:num w:numId="8">
    <w:abstractNumId w:val="2"/>
  </w:num>
  <w:num w:numId="9">
    <w:abstractNumId w:val="24"/>
  </w:num>
  <w:num w:numId="10">
    <w:abstractNumId w:val="6"/>
  </w:num>
  <w:num w:numId="11">
    <w:abstractNumId w:val="25"/>
  </w:num>
  <w:num w:numId="12">
    <w:abstractNumId w:val="0"/>
  </w:num>
  <w:num w:numId="13">
    <w:abstractNumId w:val="9"/>
  </w:num>
  <w:num w:numId="14">
    <w:abstractNumId w:val="21"/>
  </w:num>
  <w:num w:numId="15">
    <w:abstractNumId w:val="23"/>
  </w:num>
  <w:num w:numId="16">
    <w:abstractNumId w:val="10"/>
  </w:num>
  <w:num w:numId="17">
    <w:abstractNumId w:val="5"/>
  </w:num>
  <w:num w:numId="18">
    <w:abstractNumId w:val="13"/>
  </w:num>
  <w:num w:numId="19">
    <w:abstractNumId w:val="20"/>
  </w:num>
  <w:num w:numId="20">
    <w:abstractNumId w:val="4"/>
  </w:num>
  <w:num w:numId="21">
    <w:abstractNumId w:val="22"/>
  </w:num>
  <w:num w:numId="22">
    <w:abstractNumId w:val="15"/>
  </w:num>
  <w:num w:numId="23">
    <w:abstractNumId w:val="16"/>
  </w:num>
  <w:num w:numId="24">
    <w:abstractNumId w:val="19"/>
  </w:num>
  <w:num w:numId="25">
    <w:abstractNumId w:val="1"/>
  </w:num>
  <w:num w:numId="26">
    <w:abstractNumId w:val="18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2B"/>
    <w:rsid w:val="000022A7"/>
    <w:rsid w:val="00002300"/>
    <w:rsid w:val="00004BE3"/>
    <w:rsid w:val="00004BF7"/>
    <w:rsid w:val="00004CA3"/>
    <w:rsid w:val="00005129"/>
    <w:rsid w:val="00005172"/>
    <w:rsid w:val="000056DE"/>
    <w:rsid w:val="0000714A"/>
    <w:rsid w:val="00007BF9"/>
    <w:rsid w:val="0001122C"/>
    <w:rsid w:val="00011791"/>
    <w:rsid w:val="00012113"/>
    <w:rsid w:val="0001299A"/>
    <w:rsid w:val="00012B67"/>
    <w:rsid w:val="00014385"/>
    <w:rsid w:val="00015BAE"/>
    <w:rsid w:val="00017890"/>
    <w:rsid w:val="000206F4"/>
    <w:rsid w:val="00021C19"/>
    <w:rsid w:val="000222A5"/>
    <w:rsid w:val="00023784"/>
    <w:rsid w:val="00026849"/>
    <w:rsid w:val="00027033"/>
    <w:rsid w:val="000300C2"/>
    <w:rsid w:val="00033800"/>
    <w:rsid w:val="00033A78"/>
    <w:rsid w:val="00033CE4"/>
    <w:rsid w:val="0003499E"/>
    <w:rsid w:val="00034A98"/>
    <w:rsid w:val="000352B4"/>
    <w:rsid w:val="00036D4B"/>
    <w:rsid w:val="000373F1"/>
    <w:rsid w:val="00037451"/>
    <w:rsid w:val="00037A0A"/>
    <w:rsid w:val="00037F01"/>
    <w:rsid w:val="00040D5E"/>
    <w:rsid w:val="000410EA"/>
    <w:rsid w:val="000415C2"/>
    <w:rsid w:val="00041D6E"/>
    <w:rsid w:val="000421A9"/>
    <w:rsid w:val="00042E7E"/>
    <w:rsid w:val="00043C39"/>
    <w:rsid w:val="00046B65"/>
    <w:rsid w:val="00051038"/>
    <w:rsid w:val="00052578"/>
    <w:rsid w:val="000552E2"/>
    <w:rsid w:val="00056C03"/>
    <w:rsid w:val="000572F4"/>
    <w:rsid w:val="00057324"/>
    <w:rsid w:val="0005772C"/>
    <w:rsid w:val="00057C36"/>
    <w:rsid w:val="00057E5F"/>
    <w:rsid w:val="0006040F"/>
    <w:rsid w:val="00061D4E"/>
    <w:rsid w:val="00062223"/>
    <w:rsid w:val="000625F5"/>
    <w:rsid w:val="00063723"/>
    <w:rsid w:val="000653E7"/>
    <w:rsid w:val="00066602"/>
    <w:rsid w:val="0006669C"/>
    <w:rsid w:val="00067039"/>
    <w:rsid w:val="000673B6"/>
    <w:rsid w:val="00071568"/>
    <w:rsid w:val="00071A13"/>
    <w:rsid w:val="0007243C"/>
    <w:rsid w:val="00072C04"/>
    <w:rsid w:val="00073A8A"/>
    <w:rsid w:val="00073DFF"/>
    <w:rsid w:val="000743B7"/>
    <w:rsid w:val="000747A9"/>
    <w:rsid w:val="00074FDD"/>
    <w:rsid w:val="000753BA"/>
    <w:rsid w:val="000762C3"/>
    <w:rsid w:val="00077B4C"/>
    <w:rsid w:val="00077B7F"/>
    <w:rsid w:val="000803DA"/>
    <w:rsid w:val="00080BE8"/>
    <w:rsid w:val="00080F14"/>
    <w:rsid w:val="0008362E"/>
    <w:rsid w:val="00083804"/>
    <w:rsid w:val="0008457A"/>
    <w:rsid w:val="00085386"/>
    <w:rsid w:val="00085D13"/>
    <w:rsid w:val="000871FB"/>
    <w:rsid w:val="00087236"/>
    <w:rsid w:val="00095584"/>
    <w:rsid w:val="00095667"/>
    <w:rsid w:val="00095DC5"/>
    <w:rsid w:val="00096350"/>
    <w:rsid w:val="000A00BA"/>
    <w:rsid w:val="000A08BA"/>
    <w:rsid w:val="000A0EDA"/>
    <w:rsid w:val="000A1093"/>
    <w:rsid w:val="000A422E"/>
    <w:rsid w:val="000A6581"/>
    <w:rsid w:val="000A6DB2"/>
    <w:rsid w:val="000A72BA"/>
    <w:rsid w:val="000B0548"/>
    <w:rsid w:val="000B0AC0"/>
    <w:rsid w:val="000B119C"/>
    <w:rsid w:val="000B1B66"/>
    <w:rsid w:val="000B21CF"/>
    <w:rsid w:val="000B242E"/>
    <w:rsid w:val="000B2449"/>
    <w:rsid w:val="000B25F9"/>
    <w:rsid w:val="000B3CDF"/>
    <w:rsid w:val="000B5AC9"/>
    <w:rsid w:val="000B6238"/>
    <w:rsid w:val="000C07AC"/>
    <w:rsid w:val="000C0A45"/>
    <w:rsid w:val="000C63F8"/>
    <w:rsid w:val="000C6B69"/>
    <w:rsid w:val="000C7105"/>
    <w:rsid w:val="000C789B"/>
    <w:rsid w:val="000D0625"/>
    <w:rsid w:val="000D0980"/>
    <w:rsid w:val="000D1250"/>
    <w:rsid w:val="000D24D7"/>
    <w:rsid w:val="000D2A90"/>
    <w:rsid w:val="000D2CAA"/>
    <w:rsid w:val="000D3B36"/>
    <w:rsid w:val="000D40CB"/>
    <w:rsid w:val="000D5878"/>
    <w:rsid w:val="000D5B61"/>
    <w:rsid w:val="000D5C61"/>
    <w:rsid w:val="000D75CD"/>
    <w:rsid w:val="000D7E45"/>
    <w:rsid w:val="000E1A5A"/>
    <w:rsid w:val="000E2D17"/>
    <w:rsid w:val="000E476D"/>
    <w:rsid w:val="000E5ABA"/>
    <w:rsid w:val="000E6F3B"/>
    <w:rsid w:val="000E770E"/>
    <w:rsid w:val="000E7A53"/>
    <w:rsid w:val="000F0385"/>
    <w:rsid w:val="000F09AA"/>
    <w:rsid w:val="000F1EC4"/>
    <w:rsid w:val="000F2082"/>
    <w:rsid w:val="000F2389"/>
    <w:rsid w:val="000F387B"/>
    <w:rsid w:val="000F3AC7"/>
    <w:rsid w:val="000F4209"/>
    <w:rsid w:val="000F4917"/>
    <w:rsid w:val="000F5019"/>
    <w:rsid w:val="000F50A4"/>
    <w:rsid w:val="000F6EBD"/>
    <w:rsid w:val="00101803"/>
    <w:rsid w:val="001022BC"/>
    <w:rsid w:val="00102EF5"/>
    <w:rsid w:val="00103B2C"/>
    <w:rsid w:val="0010442F"/>
    <w:rsid w:val="00104974"/>
    <w:rsid w:val="00104DDA"/>
    <w:rsid w:val="0010568D"/>
    <w:rsid w:val="00106801"/>
    <w:rsid w:val="001104E4"/>
    <w:rsid w:val="00112E06"/>
    <w:rsid w:val="001130FB"/>
    <w:rsid w:val="00114088"/>
    <w:rsid w:val="00114459"/>
    <w:rsid w:val="00115B80"/>
    <w:rsid w:val="00116006"/>
    <w:rsid w:val="00116C93"/>
    <w:rsid w:val="00117E10"/>
    <w:rsid w:val="00120DCD"/>
    <w:rsid w:val="00121EB7"/>
    <w:rsid w:val="00122302"/>
    <w:rsid w:val="0012327E"/>
    <w:rsid w:val="00123878"/>
    <w:rsid w:val="00123934"/>
    <w:rsid w:val="0012399B"/>
    <w:rsid w:val="0012540D"/>
    <w:rsid w:val="00126938"/>
    <w:rsid w:val="00127307"/>
    <w:rsid w:val="00127892"/>
    <w:rsid w:val="001304B0"/>
    <w:rsid w:val="0013077F"/>
    <w:rsid w:val="001324D5"/>
    <w:rsid w:val="00135006"/>
    <w:rsid w:val="00135D77"/>
    <w:rsid w:val="00135DBC"/>
    <w:rsid w:val="001367B8"/>
    <w:rsid w:val="0014031D"/>
    <w:rsid w:val="001410D3"/>
    <w:rsid w:val="0014184C"/>
    <w:rsid w:val="00141E72"/>
    <w:rsid w:val="00141F0A"/>
    <w:rsid w:val="00141F2F"/>
    <w:rsid w:val="00142677"/>
    <w:rsid w:val="001429C0"/>
    <w:rsid w:val="00144669"/>
    <w:rsid w:val="00144E5A"/>
    <w:rsid w:val="0014500F"/>
    <w:rsid w:val="00147243"/>
    <w:rsid w:val="001473B8"/>
    <w:rsid w:val="00150920"/>
    <w:rsid w:val="001513A9"/>
    <w:rsid w:val="001518FD"/>
    <w:rsid w:val="001527E3"/>
    <w:rsid w:val="001532BC"/>
    <w:rsid w:val="001533C7"/>
    <w:rsid w:val="001533DC"/>
    <w:rsid w:val="001546C9"/>
    <w:rsid w:val="00154EE5"/>
    <w:rsid w:val="00157CBE"/>
    <w:rsid w:val="00157F8B"/>
    <w:rsid w:val="00161281"/>
    <w:rsid w:val="00161AEE"/>
    <w:rsid w:val="00162B3C"/>
    <w:rsid w:val="0016301A"/>
    <w:rsid w:val="0016350E"/>
    <w:rsid w:val="00163CCF"/>
    <w:rsid w:val="001667ED"/>
    <w:rsid w:val="0016753E"/>
    <w:rsid w:val="0016781B"/>
    <w:rsid w:val="00167984"/>
    <w:rsid w:val="00167C65"/>
    <w:rsid w:val="00171468"/>
    <w:rsid w:val="00171FB8"/>
    <w:rsid w:val="0017205A"/>
    <w:rsid w:val="0017383E"/>
    <w:rsid w:val="00173E38"/>
    <w:rsid w:val="001753F4"/>
    <w:rsid w:val="00175709"/>
    <w:rsid w:val="00176590"/>
    <w:rsid w:val="00176B1E"/>
    <w:rsid w:val="00177874"/>
    <w:rsid w:val="001803BE"/>
    <w:rsid w:val="0018079D"/>
    <w:rsid w:val="00181994"/>
    <w:rsid w:val="00181F5C"/>
    <w:rsid w:val="00183B21"/>
    <w:rsid w:val="00184068"/>
    <w:rsid w:val="00184E2C"/>
    <w:rsid w:val="00187EBF"/>
    <w:rsid w:val="00191EB1"/>
    <w:rsid w:val="0019345D"/>
    <w:rsid w:val="001956DC"/>
    <w:rsid w:val="001956DE"/>
    <w:rsid w:val="00197134"/>
    <w:rsid w:val="00197435"/>
    <w:rsid w:val="001A156C"/>
    <w:rsid w:val="001A1A34"/>
    <w:rsid w:val="001A1D07"/>
    <w:rsid w:val="001A25C7"/>
    <w:rsid w:val="001A2A7F"/>
    <w:rsid w:val="001A2CC0"/>
    <w:rsid w:val="001A2F4F"/>
    <w:rsid w:val="001A3E0F"/>
    <w:rsid w:val="001A3E43"/>
    <w:rsid w:val="001A503E"/>
    <w:rsid w:val="001A50D6"/>
    <w:rsid w:val="001A5713"/>
    <w:rsid w:val="001A633C"/>
    <w:rsid w:val="001A65C5"/>
    <w:rsid w:val="001A7237"/>
    <w:rsid w:val="001A7CDE"/>
    <w:rsid w:val="001B0691"/>
    <w:rsid w:val="001B0764"/>
    <w:rsid w:val="001B3047"/>
    <w:rsid w:val="001B3764"/>
    <w:rsid w:val="001B3DE6"/>
    <w:rsid w:val="001B4693"/>
    <w:rsid w:val="001B71EA"/>
    <w:rsid w:val="001B723C"/>
    <w:rsid w:val="001C0EBF"/>
    <w:rsid w:val="001C3537"/>
    <w:rsid w:val="001C3E66"/>
    <w:rsid w:val="001C5BEA"/>
    <w:rsid w:val="001C7E16"/>
    <w:rsid w:val="001D0234"/>
    <w:rsid w:val="001D0943"/>
    <w:rsid w:val="001D0E98"/>
    <w:rsid w:val="001D224C"/>
    <w:rsid w:val="001D22BD"/>
    <w:rsid w:val="001D48DB"/>
    <w:rsid w:val="001D4DDE"/>
    <w:rsid w:val="001D5B10"/>
    <w:rsid w:val="001D7E62"/>
    <w:rsid w:val="001E1FB2"/>
    <w:rsid w:val="001E2196"/>
    <w:rsid w:val="001E481E"/>
    <w:rsid w:val="001E49E6"/>
    <w:rsid w:val="001E5259"/>
    <w:rsid w:val="001E5653"/>
    <w:rsid w:val="001E6262"/>
    <w:rsid w:val="001E7AB9"/>
    <w:rsid w:val="001F1E82"/>
    <w:rsid w:val="001F2BEC"/>
    <w:rsid w:val="001F2C8F"/>
    <w:rsid w:val="001F30E7"/>
    <w:rsid w:val="001F3785"/>
    <w:rsid w:val="001F4334"/>
    <w:rsid w:val="001F48D1"/>
    <w:rsid w:val="001F4A7E"/>
    <w:rsid w:val="001F4AD2"/>
    <w:rsid w:val="001F50EF"/>
    <w:rsid w:val="001F63AA"/>
    <w:rsid w:val="001F668D"/>
    <w:rsid w:val="001F6835"/>
    <w:rsid w:val="001F7135"/>
    <w:rsid w:val="00200400"/>
    <w:rsid w:val="00201768"/>
    <w:rsid w:val="00202793"/>
    <w:rsid w:val="00204D79"/>
    <w:rsid w:val="00205B01"/>
    <w:rsid w:val="0020699D"/>
    <w:rsid w:val="00207EFE"/>
    <w:rsid w:val="00210040"/>
    <w:rsid w:val="002122FF"/>
    <w:rsid w:val="002127CE"/>
    <w:rsid w:val="002127D1"/>
    <w:rsid w:val="00212F66"/>
    <w:rsid w:val="00213464"/>
    <w:rsid w:val="00213DE0"/>
    <w:rsid w:val="00214B7C"/>
    <w:rsid w:val="00216973"/>
    <w:rsid w:val="002171F6"/>
    <w:rsid w:val="002222F6"/>
    <w:rsid w:val="00223DBB"/>
    <w:rsid w:val="00224675"/>
    <w:rsid w:val="00226698"/>
    <w:rsid w:val="00226C11"/>
    <w:rsid w:val="00227577"/>
    <w:rsid w:val="002330ED"/>
    <w:rsid w:val="002348FC"/>
    <w:rsid w:val="00234B97"/>
    <w:rsid w:val="00234E8A"/>
    <w:rsid w:val="002351A0"/>
    <w:rsid w:val="00236626"/>
    <w:rsid w:val="002369FF"/>
    <w:rsid w:val="00236FB0"/>
    <w:rsid w:val="0024188A"/>
    <w:rsid w:val="002427A3"/>
    <w:rsid w:val="00243949"/>
    <w:rsid w:val="0024483B"/>
    <w:rsid w:val="00244983"/>
    <w:rsid w:val="00245030"/>
    <w:rsid w:val="00245DC3"/>
    <w:rsid w:val="0024739E"/>
    <w:rsid w:val="00247670"/>
    <w:rsid w:val="00247BA3"/>
    <w:rsid w:val="00250437"/>
    <w:rsid w:val="002515D1"/>
    <w:rsid w:val="00251A96"/>
    <w:rsid w:val="0025323D"/>
    <w:rsid w:val="00253DD5"/>
    <w:rsid w:val="002540D8"/>
    <w:rsid w:val="00254744"/>
    <w:rsid w:val="002549B0"/>
    <w:rsid w:val="002569A9"/>
    <w:rsid w:val="002573BE"/>
    <w:rsid w:val="0026223C"/>
    <w:rsid w:val="00262272"/>
    <w:rsid w:val="002634F1"/>
    <w:rsid w:val="00263A36"/>
    <w:rsid w:val="00263DA4"/>
    <w:rsid w:val="0026464D"/>
    <w:rsid w:val="00265C72"/>
    <w:rsid w:val="00265ECF"/>
    <w:rsid w:val="00266358"/>
    <w:rsid w:val="002667D7"/>
    <w:rsid w:val="002669FF"/>
    <w:rsid w:val="00266BEA"/>
    <w:rsid w:val="00266FB9"/>
    <w:rsid w:val="0026717A"/>
    <w:rsid w:val="0026757D"/>
    <w:rsid w:val="002676BD"/>
    <w:rsid w:val="0026792F"/>
    <w:rsid w:val="00267F98"/>
    <w:rsid w:val="00272094"/>
    <w:rsid w:val="002739E8"/>
    <w:rsid w:val="00273C22"/>
    <w:rsid w:val="00275060"/>
    <w:rsid w:val="00275B6C"/>
    <w:rsid w:val="00275C72"/>
    <w:rsid w:val="00275FFE"/>
    <w:rsid w:val="00276FFD"/>
    <w:rsid w:val="00281537"/>
    <w:rsid w:val="00282D8E"/>
    <w:rsid w:val="0028387B"/>
    <w:rsid w:val="002846B6"/>
    <w:rsid w:val="00286961"/>
    <w:rsid w:val="00286F0E"/>
    <w:rsid w:val="002870DE"/>
    <w:rsid w:val="0029023D"/>
    <w:rsid w:val="00290AD4"/>
    <w:rsid w:val="00290E33"/>
    <w:rsid w:val="00291E7C"/>
    <w:rsid w:val="00291ECD"/>
    <w:rsid w:val="0029423D"/>
    <w:rsid w:val="0029562D"/>
    <w:rsid w:val="00296666"/>
    <w:rsid w:val="002970AF"/>
    <w:rsid w:val="00297667"/>
    <w:rsid w:val="002A0FB9"/>
    <w:rsid w:val="002A225E"/>
    <w:rsid w:val="002A2883"/>
    <w:rsid w:val="002A407A"/>
    <w:rsid w:val="002A4098"/>
    <w:rsid w:val="002A50E7"/>
    <w:rsid w:val="002A53C2"/>
    <w:rsid w:val="002B0423"/>
    <w:rsid w:val="002B20E2"/>
    <w:rsid w:val="002B2371"/>
    <w:rsid w:val="002B3E49"/>
    <w:rsid w:val="002B6B31"/>
    <w:rsid w:val="002B7A43"/>
    <w:rsid w:val="002C0EEE"/>
    <w:rsid w:val="002C16AA"/>
    <w:rsid w:val="002C19C1"/>
    <w:rsid w:val="002C23F8"/>
    <w:rsid w:val="002C2AF9"/>
    <w:rsid w:val="002C4CF0"/>
    <w:rsid w:val="002C672C"/>
    <w:rsid w:val="002C7BFD"/>
    <w:rsid w:val="002C7D11"/>
    <w:rsid w:val="002D15EC"/>
    <w:rsid w:val="002D1ACC"/>
    <w:rsid w:val="002D270C"/>
    <w:rsid w:val="002D287E"/>
    <w:rsid w:val="002D288E"/>
    <w:rsid w:val="002D30A6"/>
    <w:rsid w:val="002D3E70"/>
    <w:rsid w:val="002D4F74"/>
    <w:rsid w:val="002D5592"/>
    <w:rsid w:val="002D66EF"/>
    <w:rsid w:val="002E0B40"/>
    <w:rsid w:val="002E0CF7"/>
    <w:rsid w:val="002E11E1"/>
    <w:rsid w:val="002E1532"/>
    <w:rsid w:val="002E1669"/>
    <w:rsid w:val="002E2285"/>
    <w:rsid w:val="002E246A"/>
    <w:rsid w:val="002E3070"/>
    <w:rsid w:val="002E30C9"/>
    <w:rsid w:val="002E37EA"/>
    <w:rsid w:val="002E42FC"/>
    <w:rsid w:val="002E452A"/>
    <w:rsid w:val="002E63F1"/>
    <w:rsid w:val="002E732B"/>
    <w:rsid w:val="002E7BAF"/>
    <w:rsid w:val="002E7DDE"/>
    <w:rsid w:val="002F4065"/>
    <w:rsid w:val="002F5606"/>
    <w:rsid w:val="002F60B6"/>
    <w:rsid w:val="002F6277"/>
    <w:rsid w:val="002F6D59"/>
    <w:rsid w:val="002F6DDF"/>
    <w:rsid w:val="002F76B6"/>
    <w:rsid w:val="002F7E69"/>
    <w:rsid w:val="002F7EF9"/>
    <w:rsid w:val="00300770"/>
    <w:rsid w:val="00301555"/>
    <w:rsid w:val="00301F67"/>
    <w:rsid w:val="00302774"/>
    <w:rsid w:val="00304225"/>
    <w:rsid w:val="00305C43"/>
    <w:rsid w:val="00306478"/>
    <w:rsid w:val="00306641"/>
    <w:rsid w:val="003068D2"/>
    <w:rsid w:val="00312170"/>
    <w:rsid w:val="0031239E"/>
    <w:rsid w:val="00312A53"/>
    <w:rsid w:val="00312D49"/>
    <w:rsid w:val="00312EB1"/>
    <w:rsid w:val="00315A37"/>
    <w:rsid w:val="00315CB0"/>
    <w:rsid w:val="00317E3D"/>
    <w:rsid w:val="00320D92"/>
    <w:rsid w:val="00321CCA"/>
    <w:rsid w:val="00321D29"/>
    <w:rsid w:val="00322631"/>
    <w:rsid w:val="00322C39"/>
    <w:rsid w:val="003245C8"/>
    <w:rsid w:val="00325D76"/>
    <w:rsid w:val="00326426"/>
    <w:rsid w:val="0032674E"/>
    <w:rsid w:val="003274E5"/>
    <w:rsid w:val="00330F1C"/>
    <w:rsid w:val="00330F23"/>
    <w:rsid w:val="00331A02"/>
    <w:rsid w:val="00332BC9"/>
    <w:rsid w:val="00332E22"/>
    <w:rsid w:val="00333BB6"/>
    <w:rsid w:val="00333D4F"/>
    <w:rsid w:val="0033511B"/>
    <w:rsid w:val="00337427"/>
    <w:rsid w:val="003375DC"/>
    <w:rsid w:val="00337B53"/>
    <w:rsid w:val="00340152"/>
    <w:rsid w:val="00340216"/>
    <w:rsid w:val="003408FB"/>
    <w:rsid w:val="0034119B"/>
    <w:rsid w:val="00342065"/>
    <w:rsid w:val="00342A3A"/>
    <w:rsid w:val="0034565E"/>
    <w:rsid w:val="00346171"/>
    <w:rsid w:val="003461BD"/>
    <w:rsid w:val="00350108"/>
    <w:rsid w:val="0035087A"/>
    <w:rsid w:val="00351746"/>
    <w:rsid w:val="00353CBD"/>
    <w:rsid w:val="00354B9D"/>
    <w:rsid w:val="0035543D"/>
    <w:rsid w:val="003565D0"/>
    <w:rsid w:val="003612F6"/>
    <w:rsid w:val="003614B8"/>
    <w:rsid w:val="00361905"/>
    <w:rsid w:val="0036518B"/>
    <w:rsid w:val="0036634C"/>
    <w:rsid w:val="00366CCB"/>
    <w:rsid w:val="00367020"/>
    <w:rsid w:val="0037026E"/>
    <w:rsid w:val="00370F56"/>
    <w:rsid w:val="003726E1"/>
    <w:rsid w:val="00373CA2"/>
    <w:rsid w:val="0037430E"/>
    <w:rsid w:val="003744DF"/>
    <w:rsid w:val="003747F1"/>
    <w:rsid w:val="00376A63"/>
    <w:rsid w:val="00376B91"/>
    <w:rsid w:val="00382074"/>
    <w:rsid w:val="0038374F"/>
    <w:rsid w:val="00384423"/>
    <w:rsid w:val="00385025"/>
    <w:rsid w:val="003874BF"/>
    <w:rsid w:val="003908B8"/>
    <w:rsid w:val="00390F8F"/>
    <w:rsid w:val="00391BD8"/>
    <w:rsid w:val="00391D3F"/>
    <w:rsid w:val="003920FB"/>
    <w:rsid w:val="0039246E"/>
    <w:rsid w:val="003932D6"/>
    <w:rsid w:val="00393652"/>
    <w:rsid w:val="00394447"/>
    <w:rsid w:val="00394992"/>
    <w:rsid w:val="0039505A"/>
    <w:rsid w:val="003950EC"/>
    <w:rsid w:val="00396346"/>
    <w:rsid w:val="003A051C"/>
    <w:rsid w:val="003A0661"/>
    <w:rsid w:val="003A0D49"/>
    <w:rsid w:val="003A2395"/>
    <w:rsid w:val="003A27B9"/>
    <w:rsid w:val="003A3BE0"/>
    <w:rsid w:val="003A422A"/>
    <w:rsid w:val="003A5301"/>
    <w:rsid w:val="003A5C42"/>
    <w:rsid w:val="003A62BF"/>
    <w:rsid w:val="003B0176"/>
    <w:rsid w:val="003B02F3"/>
    <w:rsid w:val="003B0352"/>
    <w:rsid w:val="003B037E"/>
    <w:rsid w:val="003B0622"/>
    <w:rsid w:val="003B19AE"/>
    <w:rsid w:val="003B3D8B"/>
    <w:rsid w:val="003B5F29"/>
    <w:rsid w:val="003B632B"/>
    <w:rsid w:val="003B6B24"/>
    <w:rsid w:val="003B6F85"/>
    <w:rsid w:val="003B720F"/>
    <w:rsid w:val="003C0C5D"/>
    <w:rsid w:val="003C17AF"/>
    <w:rsid w:val="003C186F"/>
    <w:rsid w:val="003C1BE8"/>
    <w:rsid w:val="003C1DF7"/>
    <w:rsid w:val="003C2801"/>
    <w:rsid w:val="003C47EA"/>
    <w:rsid w:val="003C4E72"/>
    <w:rsid w:val="003C5AEF"/>
    <w:rsid w:val="003C620D"/>
    <w:rsid w:val="003C6C3F"/>
    <w:rsid w:val="003C724A"/>
    <w:rsid w:val="003D049D"/>
    <w:rsid w:val="003D1170"/>
    <w:rsid w:val="003D2A0B"/>
    <w:rsid w:val="003D353F"/>
    <w:rsid w:val="003D3EE4"/>
    <w:rsid w:val="003D4657"/>
    <w:rsid w:val="003D4BA4"/>
    <w:rsid w:val="003D4BF6"/>
    <w:rsid w:val="003D4D75"/>
    <w:rsid w:val="003D514B"/>
    <w:rsid w:val="003D5397"/>
    <w:rsid w:val="003D5649"/>
    <w:rsid w:val="003D7D3B"/>
    <w:rsid w:val="003E083A"/>
    <w:rsid w:val="003E1DB5"/>
    <w:rsid w:val="003E293F"/>
    <w:rsid w:val="003E33FF"/>
    <w:rsid w:val="003E35A0"/>
    <w:rsid w:val="003E3C44"/>
    <w:rsid w:val="003E3EB4"/>
    <w:rsid w:val="003E3FDD"/>
    <w:rsid w:val="003E49D4"/>
    <w:rsid w:val="003E512B"/>
    <w:rsid w:val="003E5D4D"/>
    <w:rsid w:val="003E5E24"/>
    <w:rsid w:val="003E6288"/>
    <w:rsid w:val="003E6CFB"/>
    <w:rsid w:val="003E77B8"/>
    <w:rsid w:val="003F07EE"/>
    <w:rsid w:val="003F0B7E"/>
    <w:rsid w:val="003F0EDE"/>
    <w:rsid w:val="003F1259"/>
    <w:rsid w:val="003F1D57"/>
    <w:rsid w:val="003F2987"/>
    <w:rsid w:val="003F5167"/>
    <w:rsid w:val="003F5612"/>
    <w:rsid w:val="003F6A5F"/>
    <w:rsid w:val="003F6A89"/>
    <w:rsid w:val="003F6C05"/>
    <w:rsid w:val="00400FA8"/>
    <w:rsid w:val="00402E63"/>
    <w:rsid w:val="0040351E"/>
    <w:rsid w:val="00403D87"/>
    <w:rsid w:val="004041F5"/>
    <w:rsid w:val="00405588"/>
    <w:rsid w:val="004055EE"/>
    <w:rsid w:val="00406554"/>
    <w:rsid w:val="00407F58"/>
    <w:rsid w:val="004127E6"/>
    <w:rsid w:val="004129D3"/>
    <w:rsid w:val="0041325C"/>
    <w:rsid w:val="00413881"/>
    <w:rsid w:val="00413AEA"/>
    <w:rsid w:val="00414033"/>
    <w:rsid w:val="00414839"/>
    <w:rsid w:val="00414912"/>
    <w:rsid w:val="004149C0"/>
    <w:rsid w:val="00415795"/>
    <w:rsid w:val="004167BB"/>
    <w:rsid w:val="00417326"/>
    <w:rsid w:val="00417D75"/>
    <w:rsid w:val="00420736"/>
    <w:rsid w:val="00421389"/>
    <w:rsid w:val="0042267C"/>
    <w:rsid w:val="0042340E"/>
    <w:rsid w:val="0043299D"/>
    <w:rsid w:val="00432C1D"/>
    <w:rsid w:val="00434350"/>
    <w:rsid w:val="00435333"/>
    <w:rsid w:val="00435DD8"/>
    <w:rsid w:val="0043788D"/>
    <w:rsid w:val="00440059"/>
    <w:rsid w:val="0044051F"/>
    <w:rsid w:val="004405AB"/>
    <w:rsid w:val="00440DF1"/>
    <w:rsid w:val="004410BB"/>
    <w:rsid w:val="0044264D"/>
    <w:rsid w:val="004428D2"/>
    <w:rsid w:val="00442D9F"/>
    <w:rsid w:val="00443AF2"/>
    <w:rsid w:val="00444814"/>
    <w:rsid w:val="00444CD7"/>
    <w:rsid w:val="00445E8D"/>
    <w:rsid w:val="00446B62"/>
    <w:rsid w:val="00450520"/>
    <w:rsid w:val="00450606"/>
    <w:rsid w:val="00450FC6"/>
    <w:rsid w:val="0045113F"/>
    <w:rsid w:val="00451468"/>
    <w:rsid w:val="00451EEA"/>
    <w:rsid w:val="004535DC"/>
    <w:rsid w:val="0045576F"/>
    <w:rsid w:val="00455C5F"/>
    <w:rsid w:val="00456315"/>
    <w:rsid w:val="00457225"/>
    <w:rsid w:val="004572B2"/>
    <w:rsid w:val="00457621"/>
    <w:rsid w:val="00457942"/>
    <w:rsid w:val="00460941"/>
    <w:rsid w:val="00460D0D"/>
    <w:rsid w:val="0046121C"/>
    <w:rsid w:val="00461433"/>
    <w:rsid w:val="00463915"/>
    <w:rsid w:val="004642E7"/>
    <w:rsid w:val="00465213"/>
    <w:rsid w:val="00466C2D"/>
    <w:rsid w:val="00471002"/>
    <w:rsid w:val="0047216B"/>
    <w:rsid w:val="00472289"/>
    <w:rsid w:val="00472A5B"/>
    <w:rsid w:val="00473630"/>
    <w:rsid w:val="00474D7E"/>
    <w:rsid w:val="00475624"/>
    <w:rsid w:val="004759A5"/>
    <w:rsid w:val="00476376"/>
    <w:rsid w:val="004770F1"/>
    <w:rsid w:val="00477725"/>
    <w:rsid w:val="0047778D"/>
    <w:rsid w:val="00477B91"/>
    <w:rsid w:val="00477E2C"/>
    <w:rsid w:val="00477F83"/>
    <w:rsid w:val="0048071C"/>
    <w:rsid w:val="00480E53"/>
    <w:rsid w:val="004821B7"/>
    <w:rsid w:val="004824DB"/>
    <w:rsid w:val="00482785"/>
    <w:rsid w:val="00483C7A"/>
    <w:rsid w:val="00484A42"/>
    <w:rsid w:val="00485372"/>
    <w:rsid w:val="00485811"/>
    <w:rsid w:val="004867DF"/>
    <w:rsid w:val="004875F7"/>
    <w:rsid w:val="00490739"/>
    <w:rsid w:val="0049135C"/>
    <w:rsid w:val="00491484"/>
    <w:rsid w:val="004919DD"/>
    <w:rsid w:val="004920AE"/>
    <w:rsid w:val="0049213B"/>
    <w:rsid w:val="0049218A"/>
    <w:rsid w:val="004921A6"/>
    <w:rsid w:val="0049267B"/>
    <w:rsid w:val="00492A5B"/>
    <w:rsid w:val="00493216"/>
    <w:rsid w:val="0049544D"/>
    <w:rsid w:val="0049549E"/>
    <w:rsid w:val="00495A9F"/>
    <w:rsid w:val="00496B48"/>
    <w:rsid w:val="00497D65"/>
    <w:rsid w:val="00497E19"/>
    <w:rsid w:val="004A0F1A"/>
    <w:rsid w:val="004A19D1"/>
    <w:rsid w:val="004A3027"/>
    <w:rsid w:val="004A309A"/>
    <w:rsid w:val="004A3B4B"/>
    <w:rsid w:val="004A447F"/>
    <w:rsid w:val="004A51BE"/>
    <w:rsid w:val="004A7B51"/>
    <w:rsid w:val="004B102C"/>
    <w:rsid w:val="004B512D"/>
    <w:rsid w:val="004B5CB6"/>
    <w:rsid w:val="004B6438"/>
    <w:rsid w:val="004B6B3C"/>
    <w:rsid w:val="004C0E6D"/>
    <w:rsid w:val="004C3357"/>
    <w:rsid w:val="004C465D"/>
    <w:rsid w:val="004C62E3"/>
    <w:rsid w:val="004C70BD"/>
    <w:rsid w:val="004C75FC"/>
    <w:rsid w:val="004D0234"/>
    <w:rsid w:val="004D0247"/>
    <w:rsid w:val="004D0801"/>
    <w:rsid w:val="004D0D54"/>
    <w:rsid w:val="004D0E27"/>
    <w:rsid w:val="004D1C78"/>
    <w:rsid w:val="004D26F0"/>
    <w:rsid w:val="004D2A97"/>
    <w:rsid w:val="004D2E6B"/>
    <w:rsid w:val="004D3C41"/>
    <w:rsid w:val="004D3CD7"/>
    <w:rsid w:val="004D52D6"/>
    <w:rsid w:val="004D5525"/>
    <w:rsid w:val="004D562D"/>
    <w:rsid w:val="004D5CB3"/>
    <w:rsid w:val="004D5CBF"/>
    <w:rsid w:val="004D7ABD"/>
    <w:rsid w:val="004E117D"/>
    <w:rsid w:val="004E18F8"/>
    <w:rsid w:val="004E220C"/>
    <w:rsid w:val="004E289D"/>
    <w:rsid w:val="004E3F56"/>
    <w:rsid w:val="004E3F72"/>
    <w:rsid w:val="004E555F"/>
    <w:rsid w:val="004E6C61"/>
    <w:rsid w:val="004F0669"/>
    <w:rsid w:val="004F07A7"/>
    <w:rsid w:val="004F17AF"/>
    <w:rsid w:val="004F2DDA"/>
    <w:rsid w:val="004F4849"/>
    <w:rsid w:val="004F6556"/>
    <w:rsid w:val="004F70C6"/>
    <w:rsid w:val="004F798A"/>
    <w:rsid w:val="00500148"/>
    <w:rsid w:val="00500C6B"/>
    <w:rsid w:val="00505750"/>
    <w:rsid w:val="00505C8D"/>
    <w:rsid w:val="00506BF3"/>
    <w:rsid w:val="00507572"/>
    <w:rsid w:val="005110E4"/>
    <w:rsid w:val="00513024"/>
    <w:rsid w:val="00514887"/>
    <w:rsid w:val="00516F1E"/>
    <w:rsid w:val="00517884"/>
    <w:rsid w:val="005200FB"/>
    <w:rsid w:val="005206D7"/>
    <w:rsid w:val="00521427"/>
    <w:rsid w:val="00521485"/>
    <w:rsid w:val="005216C3"/>
    <w:rsid w:val="005239E5"/>
    <w:rsid w:val="005265EC"/>
    <w:rsid w:val="005268E4"/>
    <w:rsid w:val="00526D10"/>
    <w:rsid w:val="00526D94"/>
    <w:rsid w:val="00527260"/>
    <w:rsid w:val="0053071C"/>
    <w:rsid w:val="00530B88"/>
    <w:rsid w:val="00530CC1"/>
    <w:rsid w:val="00531EFE"/>
    <w:rsid w:val="005329DE"/>
    <w:rsid w:val="00533B1C"/>
    <w:rsid w:val="0053578B"/>
    <w:rsid w:val="00535B9E"/>
    <w:rsid w:val="0053669F"/>
    <w:rsid w:val="00536726"/>
    <w:rsid w:val="00536DC0"/>
    <w:rsid w:val="005378B1"/>
    <w:rsid w:val="00540EB3"/>
    <w:rsid w:val="00542585"/>
    <w:rsid w:val="0054316E"/>
    <w:rsid w:val="00544321"/>
    <w:rsid w:val="00544794"/>
    <w:rsid w:val="00545404"/>
    <w:rsid w:val="005455CA"/>
    <w:rsid w:val="00547203"/>
    <w:rsid w:val="00547B69"/>
    <w:rsid w:val="00547F28"/>
    <w:rsid w:val="00553823"/>
    <w:rsid w:val="005549FE"/>
    <w:rsid w:val="00554C0B"/>
    <w:rsid w:val="00554F5B"/>
    <w:rsid w:val="00555BDA"/>
    <w:rsid w:val="00555D82"/>
    <w:rsid w:val="005568AB"/>
    <w:rsid w:val="00557FA5"/>
    <w:rsid w:val="00560DC0"/>
    <w:rsid w:val="00561D9B"/>
    <w:rsid w:val="0056300B"/>
    <w:rsid w:val="00563184"/>
    <w:rsid w:val="00565708"/>
    <w:rsid w:val="00566BD9"/>
    <w:rsid w:val="005672CD"/>
    <w:rsid w:val="00567F60"/>
    <w:rsid w:val="00570A0E"/>
    <w:rsid w:val="00571451"/>
    <w:rsid w:val="00572677"/>
    <w:rsid w:val="00573388"/>
    <w:rsid w:val="0057352F"/>
    <w:rsid w:val="00573CC2"/>
    <w:rsid w:val="005776BB"/>
    <w:rsid w:val="00580465"/>
    <w:rsid w:val="00580D28"/>
    <w:rsid w:val="00582285"/>
    <w:rsid w:val="00583951"/>
    <w:rsid w:val="00584564"/>
    <w:rsid w:val="00584F59"/>
    <w:rsid w:val="0058585F"/>
    <w:rsid w:val="00587698"/>
    <w:rsid w:val="0058785D"/>
    <w:rsid w:val="0059338C"/>
    <w:rsid w:val="005943D6"/>
    <w:rsid w:val="00594D45"/>
    <w:rsid w:val="0059524A"/>
    <w:rsid w:val="00595E1C"/>
    <w:rsid w:val="00595E53"/>
    <w:rsid w:val="00596736"/>
    <w:rsid w:val="00596E5A"/>
    <w:rsid w:val="005979B2"/>
    <w:rsid w:val="005A102B"/>
    <w:rsid w:val="005A115D"/>
    <w:rsid w:val="005A1383"/>
    <w:rsid w:val="005A138A"/>
    <w:rsid w:val="005A2F3C"/>
    <w:rsid w:val="005A3333"/>
    <w:rsid w:val="005A4857"/>
    <w:rsid w:val="005A52DD"/>
    <w:rsid w:val="005A6770"/>
    <w:rsid w:val="005A735E"/>
    <w:rsid w:val="005A755B"/>
    <w:rsid w:val="005A7880"/>
    <w:rsid w:val="005B103D"/>
    <w:rsid w:val="005B129C"/>
    <w:rsid w:val="005B1AF1"/>
    <w:rsid w:val="005B3275"/>
    <w:rsid w:val="005B4786"/>
    <w:rsid w:val="005B48EF"/>
    <w:rsid w:val="005B4F47"/>
    <w:rsid w:val="005B5BD7"/>
    <w:rsid w:val="005B6229"/>
    <w:rsid w:val="005C1BAF"/>
    <w:rsid w:val="005C1E30"/>
    <w:rsid w:val="005C1E56"/>
    <w:rsid w:val="005C2C9D"/>
    <w:rsid w:val="005C335F"/>
    <w:rsid w:val="005C40D9"/>
    <w:rsid w:val="005C4488"/>
    <w:rsid w:val="005C52AD"/>
    <w:rsid w:val="005C61A2"/>
    <w:rsid w:val="005C6FBE"/>
    <w:rsid w:val="005C7C17"/>
    <w:rsid w:val="005D08F1"/>
    <w:rsid w:val="005D1676"/>
    <w:rsid w:val="005D18C9"/>
    <w:rsid w:val="005D1A29"/>
    <w:rsid w:val="005D1E21"/>
    <w:rsid w:val="005D214D"/>
    <w:rsid w:val="005D3686"/>
    <w:rsid w:val="005D5B02"/>
    <w:rsid w:val="005D5E18"/>
    <w:rsid w:val="005E0EA1"/>
    <w:rsid w:val="005E19B1"/>
    <w:rsid w:val="005E1B40"/>
    <w:rsid w:val="005E236E"/>
    <w:rsid w:val="005E26E5"/>
    <w:rsid w:val="005E375E"/>
    <w:rsid w:val="005E38B7"/>
    <w:rsid w:val="005E3BF0"/>
    <w:rsid w:val="005E3CC5"/>
    <w:rsid w:val="005E7ECA"/>
    <w:rsid w:val="005F14E1"/>
    <w:rsid w:val="005F1BEA"/>
    <w:rsid w:val="005F25FD"/>
    <w:rsid w:val="005F2C47"/>
    <w:rsid w:val="005F3757"/>
    <w:rsid w:val="005F423E"/>
    <w:rsid w:val="005F43B2"/>
    <w:rsid w:val="005F47B7"/>
    <w:rsid w:val="005F493D"/>
    <w:rsid w:val="005F4AAD"/>
    <w:rsid w:val="005F5079"/>
    <w:rsid w:val="005F57E7"/>
    <w:rsid w:val="005F5E37"/>
    <w:rsid w:val="005F69C0"/>
    <w:rsid w:val="006026F8"/>
    <w:rsid w:val="00603956"/>
    <w:rsid w:val="006049EE"/>
    <w:rsid w:val="00605F09"/>
    <w:rsid w:val="0060713D"/>
    <w:rsid w:val="00610E6C"/>
    <w:rsid w:val="0061216F"/>
    <w:rsid w:val="006121D4"/>
    <w:rsid w:val="00613848"/>
    <w:rsid w:val="00614210"/>
    <w:rsid w:val="00614835"/>
    <w:rsid w:val="0061581B"/>
    <w:rsid w:val="00615DC1"/>
    <w:rsid w:val="0061675A"/>
    <w:rsid w:val="00617672"/>
    <w:rsid w:val="006176B8"/>
    <w:rsid w:val="00617D14"/>
    <w:rsid w:val="0062012B"/>
    <w:rsid w:val="006204CC"/>
    <w:rsid w:val="00622991"/>
    <w:rsid w:val="006236A4"/>
    <w:rsid w:val="006237F8"/>
    <w:rsid w:val="00624679"/>
    <w:rsid w:val="00624898"/>
    <w:rsid w:val="00624DFE"/>
    <w:rsid w:val="00626103"/>
    <w:rsid w:val="0062682F"/>
    <w:rsid w:val="00630FF7"/>
    <w:rsid w:val="0063151F"/>
    <w:rsid w:val="00631870"/>
    <w:rsid w:val="00632644"/>
    <w:rsid w:val="00632798"/>
    <w:rsid w:val="00632B7B"/>
    <w:rsid w:val="00634030"/>
    <w:rsid w:val="00634936"/>
    <w:rsid w:val="006362D6"/>
    <w:rsid w:val="006369E2"/>
    <w:rsid w:val="00636A4A"/>
    <w:rsid w:val="00636D6F"/>
    <w:rsid w:val="006370BE"/>
    <w:rsid w:val="00637F15"/>
    <w:rsid w:val="006404C4"/>
    <w:rsid w:val="00640F5E"/>
    <w:rsid w:val="00641764"/>
    <w:rsid w:val="00641859"/>
    <w:rsid w:val="00643C9B"/>
    <w:rsid w:val="0064474F"/>
    <w:rsid w:val="006473B3"/>
    <w:rsid w:val="006479B3"/>
    <w:rsid w:val="00647D99"/>
    <w:rsid w:val="00647FC0"/>
    <w:rsid w:val="006501A2"/>
    <w:rsid w:val="00650970"/>
    <w:rsid w:val="00651334"/>
    <w:rsid w:val="00651524"/>
    <w:rsid w:val="00652231"/>
    <w:rsid w:val="006533D4"/>
    <w:rsid w:val="00653636"/>
    <w:rsid w:val="0065366C"/>
    <w:rsid w:val="00653A32"/>
    <w:rsid w:val="00655803"/>
    <w:rsid w:val="00655A1E"/>
    <w:rsid w:val="00656F03"/>
    <w:rsid w:val="006603AC"/>
    <w:rsid w:val="006608D4"/>
    <w:rsid w:val="00660954"/>
    <w:rsid w:val="00663407"/>
    <w:rsid w:val="00663DCF"/>
    <w:rsid w:val="006642BB"/>
    <w:rsid w:val="00664F82"/>
    <w:rsid w:val="006662C5"/>
    <w:rsid w:val="00666867"/>
    <w:rsid w:val="00666A47"/>
    <w:rsid w:val="00672C34"/>
    <w:rsid w:val="0067368F"/>
    <w:rsid w:val="00673E96"/>
    <w:rsid w:val="00677ADA"/>
    <w:rsid w:val="00677B01"/>
    <w:rsid w:val="0068026F"/>
    <w:rsid w:val="0068195B"/>
    <w:rsid w:val="00684004"/>
    <w:rsid w:val="0068405E"/>
    <w:rsid w:val="006850DD"/>
    <w:rsid w:val="00686C1B"/>
    <w:rsid w:val="00690B90"/>
    <w:rsid w:val="00691E7E"/>
    <w:rsid w:val="006927A5"/>
    <w:rsid w:val="00692A2C"/>
    <w:rsid w:val="00694315"/>
    <w:rsid w:val="00694ABC"/>
    <w:rsid w:val="00694C16"/>
    <w:rsid w:val="00694C54"/>
    <w:rsid w:val="00695005"/>
    <w:rsid w:val="0069612A"/>
    <w:rsid w:val="00696746"/>
    <w:rsid w:val="006A03AB"/>
    <w:rsid w:val="006A204B"/>
    <w:rsid w:val="006A22DD"/>
    <w:rsid w:val="006A37A7"/>
    <w:rsid w:val="006A3F3C"/>
    <w:rsid w:val="006A5D49"/>
    <w:rsid w:val="006A7099"/>
    <w:rsid w:val="006B344A"/>
    <w:rsid w:val="006B365C"/>
    <w:rsid w:val="006B3B7F"/>
    <w:rsid w:val="006B6E29"/>
    <w:rsid w:val="006B75AC"/>
    <w:rsid w:val="006B77FA"/>
    <w:rsid w:val="006C08D3"/>
    <w:rsid w:val="006C142C"/>
    <w:rsid w:val="006C147D"/>
    <w:rsid w:val="006C1992"/>
    <w:rsid w:val="006C1AB3"/>
    <w:rsid w:val="006C2BF6"/>
    <w:rsid w:val="006C2FDF"/>
    <w:rsid w:val="006C322E"/>
    <w:rsid w:val="006C3678"/>
    <w:rsid w:val="006C7761"/>
    <w:rsid w:val="006D0DB7"/>
    <w:rsid w:val="006D1931"/>
    <w:rsid w:val="006D26E1"/>
    <w:rsid w:val="006D2E9D"/>
    <w:rsid w:val="006D32F4"/>
    <w:rsid w:val="006D60A3"/>
    <w:rsid w:val="006D67CC"/>
    <w:rsid w:val="006D6A4B"/>
    <w:rsid w:val="006E201D"/>
    <w:rsid w:val="006E2AC2"/>
    <w:rsid w:val="006E2BC3"/>
    <w:rsid w:val="006E2DDC"/>
    <w:rsid w:val="006E2E12"/>
    <w:rsid w:val="006E4065"/>
    <w:rsid w:val="006E4555"/>
    <w:rsid w:val="006E4E9A"/>
    <w:rsid w:val="006E6EF5"/>
    <w:rsid w:val="006E6F88"/>
    <w:rsid w:val="006E759D"/>
    <w:rsid w:val="006F0419"/>
    <w:rsid w:val="006F05AA"/>
    <w:rsid w:val="006F1B45"/>
    <w:rsid w:val="006F2768"/>
    <w:rsid w:val="006F3DD6"/>
    <w:rsid w:val="006F4447"/>
    <w:rsid w:val="006F46F1"/>
    <w:rsid w:val="006F5548"/>
    <w:rsid w:val="006F5A3D"/>
    <w:rsid w:val="006F6446"/>
    <w:rsid w:val="006F6B3E"/>
    <w:rsid w:val="006F7494"/>
    <w:rsid w:val="00701FEB"/>
    <w:rsid w:val="00705146"/>
    <w:rsid w:val="00705A25"/>
    <w:rsid w:val="00705BEA"/>
    <w:rsid w:val="00707895"/>
    <w:rsid w:val="00707C7F"/>
    <w:rsid w:val="00710276"/>
    <w:rsid w:val="00710899"/>
    <w:rsid w:val="007111CC"/>
    <w:rsid w:val="0071252F"/>
    <w:rsid w:val="007126C0"/>
    <w:rsid w:val="0071308F"/>
    <w:rsid w:val="0071337F"/>
    <w:rsid w:val="007135C5"/>
    <w:rsid w:val="00713E29"/>
    <w:rsid w:val="007145F8"/>
    <w:rsid w:val="00714C4E"/>
    <w:rsid w:val="00715CA2"/>
    <w:rsid w:val="00716676"/>
    <w:rsid w:val="00716FA6"/>
    <w:rsid w:val="0072059E"/>
    <w:rsid w:val="00720639"/>
    <w:rsid w:val="00721048"/>
    <w:rsid w:val="007237EA"/>
    <w:rsid w:val="00724FE4"/>
    <w:rsid w:val="00725AE5"/>
    <w:rsid w:val="00727126"/>
    <w:rsid w:val="007273EF"/>
    <w:rsid w:val="007275D3"/>
    <w:rsid w:val="00730711"/>
    <w:rsid w:val="00731555"/>
    <w:rsid w:val="0073276E"/>
    <w:rsid w:val="007328D1"/>
    <w:rsid w:val="00732E1A"/>
    <w:rsid w:val="007334AB"/>
    <w:rsid w:val="00733C9C"/>
    <w:rsid w:val="00733EDF"/>
    <w:rsid w:val="007355A6"/>
    <w:rsid w:val="00735B0D"/>
    <w:rsid w:val="00736022"/>
    <w:rsid w:val="00736B4B"/>
    <w:rsid w:val="007403B2"/>
    <w:rsid w:val="00741703"/>
    <w:rsid w:val="00741B18"/>
    <w:rsid w:val="007433AC"/>
    <w:rsid w:val="00743F51"/>
    <w:rsid w:val="00745607"/>
    <w:rsid w:val="007459B0"/>
    <w:rsid w:val="00745D53"/>
    <w:rsid w:val="00746D21"/>
    <w:rsid w:val="00747B61"/>
    <w:rsid w:val="00750B6D"/>
    <w:rsid w:val="0075163A"/>
    <w:rsid w:val="00753317"/>
    <w:rsid w:val="00753DEA"/>
    <w:rsid w:val="00753E57"/>
    <w:rsid w:val="007575B8"/>
    <w:rsid w:val="00757965"/>
    <w:rsid w:val="00760086"/>
    <w:rsid w:val="00760751"/>
    <w:rsid w:val="00760FA9"/>
    <w:rsid w:val="007627B7"/>
    <w:rsid w:val="00763956"/>
    <w:rsid w:val="0076460C"/>
    <w:rsid w:val="00764772"/>
    <w:rsid w:val="00765343"/>
    <w:rsid w:val="007654DA"/>
    <w:rsid w:val="00766C89"/>
    <w:rsid w:val="007672F4"/>
    <w:rsid w:val="00770441"/>
    <w:rsid w:val="00770468"/>
    <w:rsid w:val="00775180"/>
    <w:rsid w:val="007756ED"/>
    <w:rsid w:val="00775DC3"/>
    <w:rsid w:val="00776FE3"/>
    <w:rsid w:val="00777916"/>
    <w:rsid w:val="00781526"/>
    <w:rsid w:val="007825E9"/>
    <w:rsid w:val="00782610"/>
    <w:rsid w:val="00782A95"/>
    <w:rsid w:val="007831C1"/>
    <w:rsid w:val="00784E4D"/>
    <w:rsid w:val="00790569"/>
    <w:rsid w:val="00790EA2"/>
    <w:rsid w:val="007917C5"/>
    <w:rsid w:val="00791E54"/>
    <w:rsid w:val="0079301A"/>
    <w:rsid w:val="007936A8"/>
    <w:rsid w:val="00793A6D"/>
    <w:rsid w:val="00793BD4"/>
    <w:rsid w:val="00793D2F"/>
    <w:rsid w:val="00793FA3"/>
    <w:rsid w:val="007945DD"/>
    <w:rsid w:val="00794F6E"/>
    <w:rsid w:val="00796514"/>
    <w:rsid w:val="00796F41"/>
    <w:rsid w:val="00797AB7"/>
    <w:rsid w:val="007A01BF"/>
    <w:rsid w:val="007A2B0B"/>
    <w:rsid w:val="007A2D20"/>
    <w:rsid w:val="007A5044"/>
    <w:rsid w:val="007A602C"/>
    <w:rsid w:val="007A6242"/>
    <w:rsid w:val="007A69F8"/>
    <w:rsid w:val="007A6E24"/>
    <w:rsid w:val="007B0A1A"/>
    <w:rsid w:val="007B1735"/>
    <w:rsid w:val="007B2AD3"/>
    <w:rsid w:val="007B2B6D"/>
    <w:rsid w:val="007B2CD4"/>
    <w:rsid w:val="007B33B7"/>
    <w:rsid w:val="007B398D"/>
    <w:rsid w:val="007B43CC"/>
    <w:rsid w:val="007B4655"/>
    <w:rsid w:val="007B682B"/>
    <w:rsid w:val="007B6DAF"/>
    <w:rsid w:val="007C11CB"/>
    <w:rsid w:val="007C4ED4"/>
    <w:rsid w:val="007C5961"/>
    <w:rsid w:val="007C6E4D"/>
    <w:rsid w:val="007D02B1"/>
    <w:rsid w:val="007D101B"/>
    <w:rsid w:val="007D10E0"/>
    <w:rsid w:val="007D1633"/>
    <w:rsid w:val="007D2352"/>
    <w:rsid w:val="007D2680"/>
    <w:rsid w:val="007D29FD"/>
    <w:rsid w:val="007D3363"/>
    <w:rsid w:val="007D47A3"/>
    <w:rsid w:val="007D5A05"/>
    <w:rsid w:val="007D5F8C"/>
    <w:rsid w:val="007D70D0"/>
    <w:rsid w:val="007E07AE"/>
    <w:rsid w:val="007E0A27"/>
    <w:rsid w:val="007E1912"/>
    <w:rsid w:val="007E1F3B"/>
    <w:rsid w:val="007E2283"/>
    <w:rsid w:val="007E2586"/>
    <w:rsid w:val="007E3D23"/>
    <w:rsid w:val="007E4710"/>
    <w:rsid w:val="007E4775"/>
    <w:rsid w:val="007E5D35"/>
    <w:rsid w:val="007E629F"/>
    <w:rsid w:val="007E79D7"/>
    <w:rsid w:val="007F139F"/>
    <w:rsid w:val="007F1BAD"/>
    <w:rsid w:val="007F2079"/>
    <w:rsid w:val="007F391B"/>
    <w:rsid w:val="007F4CB5"/>
    <w:rsid w:val="007F4E31"/>
    <w:rsid w:val="007F5B75"/>
    <w:rsid w:val="007F6C2C"/>
    <w:rsid w:val="007F6D39"/>
    <w:rsid w:val="007F79CD"/>
    <w:rsid w:val="007F79F1"/>
    <w:rsid w:val="008002F6"/>
    <w:rsid w:val="008005C0"/>
    <w:rsid w:val="00801062"/>
    <w:rsid w:val="00801B23"/>
    <w:rsid w:val="00801F3C"/>
    <w:rsid w:val="008020E7"/>
    <w:rsid w:val="00803E96"/>
    <w:rsid w:val="0080443D"/>
    <w:rsid w:val="008061EC"/>
    <w:rsid w:val="00811174"/>
    <w:rsid w:val="008119C5"/>
    <w:rsid w:val="00811B49"/>
    <w:rsid w:val="008127B8"/>
    <w:rsid w:val="00813F9F"/>
    <w:rsid w:val="00814786"/>
    <w:rsid w:val="00814DCC"/>
    <w:rsid w:val="00815D0F"/>
    <w:rsid w:val="00815E48"/>
    <w:rsid w:val="008160C8"/>
    <w:rsid w:val="0081624D"/>
    <w:rsid w:val="00816811"/>
    <w:rsid w:val="00821434"/>
    <w:rsid w:val="00822041"/>
    <w:rsid w:val="00822759"/>
    <w:rsid w:val="00824DF6"/>
    <w:rsid w:val="00825C99"/>
    <w:rsid w:val="00827B8E"/>
    <w:rsid w:val="008327BE"/>
    <w:rsid w:val="0083354D"/>
    <w:rsid w:val="00833A0A"/>
    <w:rsid w:val="00836563"/>
    <w:rsid w:val="00836759"/>
    <w:rsid w:val="008376AB"/>
    <w:rsid w:val="00837F1E"/>
    <w:rsid w:val="00840EBB"/>
    <w:rsid w:val="00842C8F"/>
    <w:rsid w:val="008436F7"/>
    <w:rsid w:val="00843C5C"/>
    <w:rsid w:val="008444B0"/>
    <w:rsid w:val="008456D9"/>
    <w:rsid w:val="0084571A"/>
    <w:rsid w:val="00846200"/>
    <w:rsid w:val="0085003A"/>
    <w:rsid w:val="008502AF"/>
    <w:rsid w:val="00851CCD"/>
    <w:rsid w:val="00852C4B"/>
    <w:rsid w:val="00854918"/>
    <w:rsid w:val="0085491E"/>
    <w:rsid w:val="008551BE"/>
    <w:rsid w:val="008552D6"/>
    <w:rsid w:val="0085655A"/>
    <w:rsid w:val="00857AB0"/>
    <w:rsid w:val="00860EFA"/>
    <w:rsid w:val="008610FE"/>
    <w:rsid w:val="008617F3"/>
    <w:rsid w:val="00861A3B"/>
    <w:rsid w:val="00863261"/>
    <w:rsid w:val="00864639"/>
    <w:rsid w:val="008663EB"/>
    <w:rsid w:val="00866C02"/>
    <w:rsid w:val="008673F0"/>
    <w:rsid w:val="00867620"/>
    <w:rsid w:val="008703FF"/>
    <w:rsid w:val="00870881"/>
    <w:rsid w:val="0087125A"/>
    <w:rsid w:val="00872355"/>
    <w:rsid w:val="0087236F"/>
    <w:rsid w:val="00872CB5"/>
    <w:rsid w:val="008738A0"/>
    <w:rsid w:val="00875B0E"/>
    <w:rsid w:val="00875ED5"/>
    <w:rsid w:val="00877372"/>
    <w:rsid w:val="008777DB"/>
    <w:rsid w:val="0088094C"/>
    <w:rsid w:val="00880B5D"/>
    <w:rsid w:val="00880C14"/>
    <w:rsid w:val="008823A3"/>
    <w:rsid w:val="0088256B"/>
    <w:rsid w:val="008828FB"/>
    <w:rsid w:val="00883915"/>
    <w:rsid w:val="00884B82"/>
    <w:rsid w:val="008864FB"/>
    <w:rsid w:val="008867EF"/>
    <w:rsid w:val="00890638"/>
    <w:rsid w:val="008947F5"/>
    <w:rsid w:val="00894C91"/>
    <w:rsid w:val="008A2274"/>
    <w:rsid w:val="008A299E"/>
    <w:rsid w:val="008A3887"/>
    <w:rsid w:val="008A3B8C"/>
    <w:rsid w:val="008A44E1"/>
    <w:rsid w:val="008A6C7F"/>
    <w:rsid w:val="008A7B7E"/>
    <w:rsid w:val="008B15D8"/>
    <w:rsid w:val="008B1D8F"/>
    <w:rsid w:val="008B22E8"/>
    <w:rsid w:val="008B2AAF"/>
    <w:rsid w:val="008B33A7"/>
    <w:rsid w:val="008B3B5E"/>
    <w:rsid w:val="008B4CFE"/>
    <w:rsid w:val="008B58F8"/>
    <w:rsid w:val="008B625F"/>
    <w:rsid w:val="008C05C3"/>
    <w:rsid w:val="008C1196"/>
    <w:rsid w:val="008C1A88"/>
    <w:rsid w:val="008C1F7C"/>
    <w:rsid w:val="008C27CE"/>
    <w:rsid w:val="008C4763"/>
    <w:rsid w:val="008C5E4E"/>
    <w:rsid w:val="008C626F"/>
    <w:rsid w:val="008C677D"/>
    <w:rsid w:val="008C684A"/>
    <w:rsid w:val="008C6E0A"/>
    <w:rsid w:val="008D00D2"/>
    <w:rsid w:val="008D21DE"/>
    <w:rsid w:val="008D351A"/>
    <w:rsid w:val="008D3CA5"/>
    <w:rsid w:val="008D5B8B"/>
    <w:rsid w:val="008D5FB8"/>
    <w:rsid w:val="008D7A28"/>
    <w:rsid w:val="008D7B00"/>
    <w:rsid w:val="008E0517"/>
    <w:rsid w:val="008E1A1B"/>
    <w:rsid w:val="008E2689"/>
    <w:rsid w:val="008E304D"/>
    <w:rsid w:val="008E33A1"/>
    <w:rsid w:val="008E4092"/>
    <w:rsid w:val="008E4B12"/>
    <w:rsid w:val="008E7049"/>
    <w:rsid w:val="008F0A73"/>
    <w:rsid w:val="008F11C8"/>
    <w:rsid w:val="008F284F"/>
    <w:rsid w:val="008F29A1"/>
    <w:rsid w:val="008F2AB2"/>
    <w:rsid w:val="008F3DF3"/>
    <w:rsid w:val="008F41E1"/>
    <w:rsid w:val="008F66E7"/>
    <w:rsid w:val="008F76A3"/>
    <w:rsid w:val="00900B1E"/>
    <w:rsid w:val="0090300F"/>
    <w:rsid w:val="00903DE5"/>
    <w:rsid w:val="00905FCC"/>
    <w:rsid w:val="009061FE"/>
    <w:rsid w:val="00906BDB"/>
    <w:rsid w:val="00910EAA"/>
    <w:rsid w:val="009129F1"/>
    <w:rsid w:val="00913ACC"/>
    <w:rsid w:val="00913BEB"/>
    <w:rsid w:val="00913E30"/>
    <w:rsid w:val="00914317"/>
    <w:rsid w:val="00916DF2"/>
    <w:rsid w:val="00920965"/>
    <w:rsid w:val="009216B6"/>
    <w:rsid w:val="009231D3"/>
    <w:rsid w:val="00924945"/>
    <w:rsid w:val="00924D28"/>
    <w:rsid w:val="00924D62"/>
    <w:rsid w:val="0092593F"/>
    <w:rsid w:val="00930098"/>
    <w:rsid w:val="0093219B"/>
    <w:rsid w:val="009332D3"/>
    <w:rsid w:val="009346D0"/>
    <w:rsid w:val="00935328"/>
    <w:rsid w:val="00935401"/>
    <w:rsid w:val="00936B4D"/>
    <w:rsid w:val="00936D85"/>
    <w:rsid w:val="009403CB"/>
    <w:rsid w:val="00940E5B"/>
    <w:rsid w:val="00941445"/>
    <w:rsid w:val="00942B70"/>
    <w:rsid w:val="00942F02"/>
    <w:rsid w:val="00944092"/>
    <w:rsid w:val="00946299"/>
    <w:rsid w:val="0094638F"/>
    <w:rsid w:val="009466A4"/>
    <w:rsid w:val="00946F37"/>
    <w:rsid w:val="00947096"/>
    <w:rsid w:val="00947330"/>
    <w:rsid w:val="00947865"/>
    <w:rsid w:val="00952462"/>
    <w:rsid w:val="00953D24"/>
    <w:rsid w:val="00955021"/>
    <w:rsid w:val="00955B70"/>
    <w:rsid w:val="009562A0"/>
    <w:rsid w:val="0095662D"/>
    <w:rsid w:val="00957769"/>
    <w:rsid w:val="00957E32"/>
    <w:rsid w:val="00961084"/>
    <w:rsid w:val="009615E6"/>
    <w:rsid w:val="00961D34"/>
    <w:rsid w:val="009630F6"/>
    <w:rsid w:val="009643C6"/>
    <w:rsid w:val="0096654A"/>
    <w:rsid w:val="00971726"/>
    <w:rsid w:val="00971802"/>
    <w:rsid w:val="00971D6F"/>
    <w:rsid w:val="00972DD8"/>
    <w:rsid w:val="00973EE1"/>
    <w:rsid w:val="0097494A"/>
    <w:rsid w:val="00975A2D"/>
    <w:rsid w:val="00975FC3"/>
    <w:rsid w:val="009762C3"/>
    <w:rsid w:val="0097785F"/>
    <w:rsid w:val="009809FC"/>
    <w:rsid w:val="0098299E"/>
    <w:rsid w:val="00982AA4"/>
    <w:rsid w:val="00982E58"/>
    <w:rsid w:val="00982FBA"/>
    <w:rsid w:val="00983763"/>
    <w:rsid w:val="0098487C"/>
    <w:rsid w:val="00984C2B"/>
    <w:rsid w:val="00984FFB"/>
    <w:rsid w:val="00985E6B"/>
    <w:rsid w:val="00986267"/>
    <w:rsid w:val="00986C25"/>
    <w:rsid w:val="0098713B"/>
    <w:rsid w:val="009905F1"/>
    <w:rsid w:val="00991024"/>
    <w:rsid w:val="00993472"/>
    <w:rsid w:val="00993DFA"/>
    <w:rsid w:val="00993E22"/>
    <w:rsid w:val="00997E70"/>
    <w:rsid w:val="009A1C72"/>
    <w:rsid w:val="009A1DFB"/>
    <w:rsid w:val="009A1E61"/>
    <w:rsid w:val="009A3154"/>
    <w:rsid w:val="009A341F"/>
    <w:rsid w:val="009A34E5"/>
    <w:rsid w:val="009A389D"/>
    <w:rsid w:val="009A3BFF"/>
    <w:rsid w:val="009A4229"/>
    <w:rsid w:val="009A4F94"/>
    <w:rsid w:val="009A5F9F"/>
    <w:rsid w:val="009A647E"/>
    <w:rsid w:val="009A6621"/>
    <w:rsid w:val="009B067C"/>
    <w:rsid w:val="009B13A0"/>
    <w:rsid w:val="009B2C8D"/>
    <w:rsid w:val="009B2F08"/>
    <w:rsid w:val="009B371B"/>
    <w:rsid w:val="009B4B46"/>
    <w:rsid w:val="009B5DA0"/>
    <w:rsid w:val="009B6252"/>
    <w:rsid w:val="009B71E8"/>
    <w:rsid w:val="009B7CBC"/>
    <w:rsid w:val="009C0E68"/>
    <w:rsid w:val="009C0F77"/>
    <w:rsid w:val="009C32CB"/>
    <w:rsid w:val="009C36F3"/>
    <w:rsid w:val="009C41D8"/>
    <w:rsid w:val="009C44C5"/>
    <w:rsid w:val="009C48C9"/>
    <w:rsid w:val="009D052A"/>
    <w:rsid w:val="009D348E"/>
    <w:rsid w:val="009D4A03"/>
    <w:rsid w:val="009D710A"/>
    <w:rsid w:val="009D74BC"/>
    <w:rsid w:val="009E0CAE"/>
    <w:rsid w:val="009E269C"/>
    <w:rsid w:val="009E2750"/>
    <w:rsid w:val="009E27B4"/>
    <w:rsid w:val="009E41F3"/>
    <w:rsid w:val="009E42F7"/>
    <w:rsid w:val="009E4CC9"/>
    <w:rsid w:val="009E53C6"/>
    <w:rsid w:val="009E6B01"/>
    <w:rsid w:val="009F18AC"/>
    <w:rsid w:val="009F33ED"/>
    <w:rsid w:val="009F5E5D"/>
    <w:rsid w:val="009F73FD"/>
    <w:rsid w:val="009F764A"/>
    <w:rsid w:val="009F77A2"/>
    <w:rsid w:val="00A00F54"/>
    <w:rsid w:val="00A01528"/>
    <w:rsid w:val="00A02B6E"/>
    <w:rsid w:val="00A03AAC"/>
    <w:rsid w:val="00A047C6"/>
    <w:rsid w:val="00A058D9"/>
    <w:rsid w:val="00A06C04"/>
    <w:rsid w:val="00A06D49"/>
    <w:rsid w:val="00A07987"/>
    <w:rsid w:val="00A108BA"/>
    <w:rsid w:val="00A110EF"/>
    <w:rsid w:val="00A1291F"/>
    <w:rsid w:val="00A12C1B"/>
    <w:rsid w:val="00A13133"/>
    <w:rsid w:val="00A13153"/>
    <w:rsid w:val="00A1387C"/>
    <w:rsid w:val="00A13AE3"/>
    <w:rsid w:val="00A13EAB"/>
    <w:rsid w:val="00A13F38"/>
    <w:rsid w:val="00A14CE0"/>
    <w:rsid w:val="00A15244"/>
    <w:rsid w:val="00A153C5"/>
    <w:rsid w:val="00A16EF0"/>
    <w:rsid w:val="00A1731E"/>
    <w:rsid w:val="00A17AAF"/>
    <w:rsid w:val="00A22D49"/>
    <w:rsid w:val="00A25280"/>
    <w:rsid w:val="00A25891"/>
    <w:rsid w:val="00A263C6"/>
    <w:rsid w:val="00A303CB"/>
    <w:rsid w:val="00A303F6"/>
    <w:rsid w:val="00A30596"/>
    <w:rsid w:val="00A3065C"/>
    <w:rsid w:val="00A314DD"/>
    <w:rsid w:val="00A321C6"/>
    <w:rsid w:val="00A32AD4"/>
    <w:rsid w:val="00A33529"/>
    <w:rsid w:val="00A33BE7"/>
    <w:rsid w:val="00A33F59"/>
    <w:rsid w:val="00A346DD"/>
    <w:rsid w:val="00A36909"/>
    <w:rsid w:val="00A37905"/>
    <w:rsid w:val="00A37F61"/>
    <w:rsid w:val="00A40F01"/>
    <w:rsid w:val="00A42754"/>
    <w:rsid w:val="00A438B3"/>
    <w:rsid w:val="00A44550"/>
    <w:rsid w:val="00A45C23"/>
    <w:rsid w:val="00A46150"/>
    <w:rsid w:val="00A46611"/>
    <w:rsid w:val="00A46946"/>
    <w:rsid w:val="00A46E1B"/>
    <w:rsid w:val="00A46F1D"/>
    <w:rsid w:val="00A47155"/>
    <w:rsid w:val="00A474BF"/>
    <w:rsid w:val="00A47542"/>
    <w:rsid w:val="00A51B01"/>
    <w:rsid w:val="00A51CC9"/>
    <w:rsid w:val="00A525F7"/>
    <w:rsid w:val="00A53C37"/>
    <w:rsid w:val="00A553F8"/>
    <w:rsid w:val="00A554EF"/>
    <w:rsid w:val="00A5586E"/>
    <w:rsid w:val="00A564F2"/>
    <w:rsid w:val="00A56ABF"/>
    <w:rsid w:val="00A5775A"/>
    <w:rsid w:val="00A60B78"/>
    <w:rsid w:val="00A60D85"/>
    <w:rsid w:val="00A64725"/>
    <w:rsid w:val="00A64FB3"/>
    <w:rsid w:val="00A65462"/>
    <w:rsid w:val="00A700EF"/>
    <w:rsid w:val="00A703E5"/>
    <w:rsid w:val="00A7130A"/>
    <w:rsid w:val="00A72492"/>
    <w:rsid w:val="00A74C39"/>
    <w:rsid w:val="00A75312"/>
    <w:rsid w:val="00A75868"/>
    <w:rsid w:val="00A76391"/>
    <w:rsid w:val="00A76E11"/>
    <w:rsid w:val="00A7772E"/>
    <w:rsid w:val="00A77BBF"/>
    <w:rsid w:val="00A80B27"/>
    <w:rsid w:val="00A81E2A"/>
    <w:rsid w:val="00A8444F"/>
    <w:rsid w:val="00A85051"/>
    <w:rsid w:val="00A86B88"/>
    <w:rsid w:val="00A86CE3"/>
    <w:rsid w:val="00A87AF2"/>
    <w:rsid w:val="00A914AC"/>
    <w:rsid w:val="00A94175"/>
    <w:rsid w:val="00A94F9E"/>
    <w:rsid w:val="00AA014E"/>
    <w:rsid w:val="00AA149F"/>
    <w:rsid w:val="00AA1561"/>
    <w:rsid w:val="00AA1E07"/>
    <w:rsid w:val="00AA212C"/>
    <w:rsid w:val="00AA33DA"/>
    <w:rsid w:val="00AA3622"/>
    <w:rsid w:val="00AA3B0A"/>
    <w:rsid w:val="00AA3F44"/>
    <w:rsid w:val="00AA4374"/>
    <w:rsid w:val="00AA58B0"/>
    <w:rsid w:val="00AA6389"/>
    <w:rsid w:val="00AA64E5"/>
    <w:rsid w:val="00AA6C06"/>
    <w:rsid w:val="00AA7725"/>
    <w:rsid w:val="00AB1454"/>
    <w:rsid w:val="00AB1727"/>
    <w:rsid w:val="00AB3133"/>
    <w:rsid w:val="00AB4E9F"/>
    <w:rsid w:val="00AB6121"/>
    <w:rsid w:val="00AB62F8"/>
    <w:rsid w:val="00AC1851"/>
    <w:rsid w:val="00AC1A43"/>
    <w:rsid w:val="00AC22AB"/>
    <w:rsid w:val="00AC2B7E"/>
    <w:rsid w:val="00AC2F43"/>
    <w:rsid w:val="00AC451C"/>
    <w:rsid w:val="00AC62A8"/>
    <w:rsid w:val="00AD1E10"/>
    <w:rsid w:val="00AD2EF1"/>
    <w:rsid w:val="00AD4BCC"/>
    <w:rsid w:val="00AD5A55"/>
    <w:rsid w:val="00AD5A92"/>
    <w:rsid w:val="00AE02A2"/>
    <w:rsid w:val="00AE0B11"/>
    <w:rsid w:val="00AE1BD7"/>
    <w:rsid w:val="00AE2266"/>
    <w:rsid w:val="00AE2767"/>
    <w:rsid w:val="00AE3036"/>
    <w:rsid w:val="00AE340B"/>
    <w:rsid w:val="00AE3EC3"/>
    <w:rsid w:val="00AE41A0"/>
    <w:rsid w:val="00AE4F91"/>
    <w:rsid w:val="00AE5586"/>
    <w:rsid w:val="00AE5B4A"/>
    <w:rsid w:val="00AE6A72"/>
    <w:rsid w:val="00AE7D92"/>
    <w:rsid w:val="00AF08E9"/>
    <w:rsid w:val="00AF0F8E"/>
    <w:rsid w:val="00AF12C3"/>
    <w:rsid w:val="00AF16A2"/>
    <w:rsid w:val="00AF30DA"/>
    <w:rsid w:val="00AF3E34"/>
    <w:rsid w:val="00AF6AB2"/>
    <w:rsid w:val="00AF6DD7"/>
    <w:rsid w:val="00AF7B6E"/>
    <w:rsid w:val="00B00C4C"/>
    <w:rsid w:val="00B03E87"/>
    <w:rsid w:val="00B0473F"/>
    <w:rsid w:val="00B05121"/>
    <w:rsid w:val="00B063E2"/>
    <w:rsid w:val="00B07EF4"/>
    <w:rsid w:val="00B11517"/>
    <w:rsid w:val="00B12B0E"/>
    <w:rsid w:val="00B132E7"/>
    <w:rsid w:val="00B137B8"/>
    <w:rsid w:val="00B140FC"/>
    <w:rsid w:val="00B14D76"/>
    <w:rsid w:val="00B17F0A"/>
    <w:rsid w:val="00B254AD"/>
    <w:rsid w:val="00B305F0"/>
    <w:rsid w:val="00B30901"/>
    <w:rsid w:val="00B30C5E"/>
    <w:rsid w:val="00B32455"/>
    <w:rsid w:val="00B324DC"/>
    <w:rsid w:val="00B339C4"/>
    <w:rsid w:val="00B33EDF"/>
    <w:rsid w:val="00B34C35"/>
    <w:rsid w:val="00B34E04"/>
    <w:rsid w:val="00B34EC0"/>
    <w:rsid w:val="00B36516"/>
    <w:rsid w:val="00B40E79"/>
    <w:rsid w:val="00B41F6B"/>
    <w:rsid w:val="00B4215E"/>
    <w:rsid w:val="00B4242D"/>
    <w:rsid w:val="00B42E1B"/>
    <w:rsid w:val="00B46108"/>
    <w:rsid w:val="00B4610A"/>
    <w:rsid w:val="00B46C56"/>
    <w:rsid w:val="00B46E4C"/>
    <w:rsid w:val="00B47552"/>
    <w:rsid w:val="00B50183"/>
    <w:rsid w:val="00B51419"/>
    <w:rsid w:val="00B514EF"/>
    <w:rsid w:val="00B51B74"/>
    <w:rsid w:val="00B520C2"/>
    <w:rsid w:val="00B52247"/>
    <w:rsid w:val="00B52AF9"/>
    <w:rsid w:val="00B53CEF"/>
    <w:rsid w:val="00B54301"/>
    <w:rsid w:val="00B54FC9"/>
    <w:rsid w:val="00B561D7"/>
    <w:rsid w:val="00B56876"/>
    <w:rsid w:val="00B61E79"/>
    <w:rsid w:val="00B6203D"/>
    <w:rsid w:val="00B635A4"/>
    <w:rsid w:val="00B649F9"/>
    <w:rsid w:val="00B66203"/>
    <w:rsid w:val="00B668A8"/>
    <w:rsid w:val="00B672EA"/>
    <w:rsid w:val="00B67538"/>
    <w:rsid w:val="00B70699"/>
    <w:rsid w:val="00B70759"/>
    <w:rsid w:val="00B7201F"/>
    <w:rsid w:val="00B72828"/>
    <w:rsid w:val="00B740D8"/>
    <w:rsid w:val="00B74FCA"/>
    <w:rsid w:val="00B75A9C"/>
    <w:rsid w:val="00B7657B"/>
    <w:rsid w:val="00B77E16"/>
    <w:rsid w:val="00B80C2A"/>
    <w:rsid w:val="00B81071"/>
    <w:rsid w:val="00B8174F"/>
    <w:rsid w:val="00B81B08"/>
    <w:rsid w:val="00B842A4"/>
    <w:rsid w:val="00B85EBA"/>
    <w:rsid w:val="00B86D74"/>
    <w:rsid w:val="00B86D95"/>
    <w:rsid w:val="00B86DE1"/>
    <w:rsid w:val="00B90481"/>
    <w:rsid w:val="00B90D08"/>
    <w:rsid w:val="00B91F2F"/>
    <w:rsid w:val="00B91F34"/>
    <w:rsid w:val="00B922F0"/>
    <w:rsid w:val="00B935C1"/>
    <w:rsid w:val="00B94292"/>
    <w:rsid w:val="00B9485B"/>
    <w:rsid w:val="00B9495B"/>
    <w:rsid w:val="00B950D8"/>
    <w:rsid w:val="00B951CE"/>
    <w:rsid w:val="00B951EB"/>
    <w:rsid w:val="00BA058F"/>
    <w:rsid w:val="00BA0BFE"/>
    <w:rsid w:val="00BA0E9E"/>
    <w:rsid w:val="00BA184B"/>
    <w:rsid w:val="00BA213A"/>
    <w:rsid w:val="00BA25F4"/>
    <w:rsid w:val="00BA43D6"/>
    <w:rsid w:val="00BA66B2"/>
    <w:rsid w:val="00BA7ED4"/>
    <w:rsid w:val="00BB04A6"/>
    <w:rsid w:val="00BB07D7"/>
    <w:rsid w:val="00BB0B64"/>
    <w:rsid w:val="00BB16C6"/>
    <w:rsid w:val="00BB1851"/>
    <w:rsid w:val="00BB383A"/>
    <w:rsid w:val="00BB5F01"/>
    <w:rsid w:val="00BB60A5"/>
    <w:rsid w:val="00BC0336"/>
    <w:rsid w:val="00BC0433"/>
    <w:rsid w:val="00BC1FCA"/>
    <w:rsid w:val="00BC2423"/>
    <w:rsid w:val="00BC432F"/>
    <w:rsid w:val="00BC4CC8"/>
    <w:rsid w:val="00BC4D3E"/>
    <w:rsid w:val="00BC660B"/>
    <w:rsid w:val="00BC73B6"/>
    <w:rsid w:val="00BC759D"/>
    <w:rsid w:val="00BC7745"/>
    <w:rsid w:val="00BC7AB6"/>
    <w:rsid w:val="00BC7EC5"/>
    <w:rsid w:val="00BD0408"/>
    <w:rsid w:val="00BD0977"/>
    <w:rsid w:val="00BD0D3E"/>
    <w:rsid w:val="00BD0FD5"/>
    <w:rsid w:val="00BD1202"/>
    <w:rsid w:val="00BD17DF"/>
    <w:rsid w:val="00BD2319"/>
    <w:rsid w:val="00BD27F8"/>
    <w:rsid w:val="00BD36AF"/>
    <w:rsid w:val="00BD3F2E"/>
    <w:rsid w:val="00BD4719"/>
    <w:rsid w:val="00BD4CEC"/>
    <w:rsid w:val="00BD5050"/>
    <w:rsid w:val="00BD67DE"/>
    <w:rsid w:val="00BD684B"/>
    <w:rsid w:val="00BD6AC0"/>
    <w:rsid w:val="00BD7112"/>
    <w:rsid w:val="00BD7ADC"/>
    <w:rsid w:val="00BD7DAB"/>
    <w:rsid w:val="00BE1761"/>
    <w:rsid w:val="00BE26B2"/>
    <w:rsid w:val="00BE32A5"/>
    <w:rsid w:val="00BE3414"/>
    <w:rsid w:val="00BE3893"/>
    <w:rsid w:val="00BE3F28"/>
    <w:rsid w:val="00BE3F2B"/>
    <w:rsid w:val="00BE5078"/>
    <w:rsid w:val="00BE5310"/>
    <w:rsid w:val="00BE774D"/>
    <w:rsid w:val="00BF05A8"/>
    <w:rsid w:val="00BF12A8"/>
    <w:rsid w:val="00BF1551"/>
    <w:rsid w:val="00BF270D"/>
    <w:rsid w:val="00BF36B3"/>
    <w:rsid w:val="00BF469C"/>
    <w:rsid w:val="00BF55B6"/>
    <w:rsid w:val="00BF5C23"/>
    <w:rsid w:val="00BF7794"/>
    <w:rsid w:val="00C00CFE"/>
    <w:rsid w:val="00C02CEF"/>
    <w:rsid w:val="00C03625"/>
    <w:rsid w:val="00C049FB"/>
    <w:rsid w:val="00C04A14"/>
    <w:rsid w:val="00C07B82"/>
    <w:rsid w:val="00C10469"/>
    <w:rsid w:val="00C1172E"/>
    <w:rsid w:val="00C12AB9"/>
    <w:rsid w:val="00C15A30"/>
    <w:rsid w:val="00C15EAF"/>
    <w:rsid w:val="00C15F87"/>
    <w:rsid w:val="00C16995"/>
    <w:rsid w:val="00C174AA"/>
    <w:rsid w:val="00C21A63"/>
    <w:rsid w:val="00C22774"/>
    <w:rsid w:val="00C23477"/>
    <w:rsid w:val="00C235D7"/>
    <w:rsid w:val="00C24A58"/>
    <w:rsid w:val="00C24DC9"/>
    <w:rsid w:val="00C2588C"/>
    <w:rsid w:val="00C25CCC"/>
    <w:rsid w:val="00C2652A"/>
    <w:rsid w:val="00C265DE"/>
    <w:rsid w:val="00C269F1"/>
    <w:rsid w:val="00C26E1B"/>
    <w:rsid w:val="00C27C15"/>
    <w:rsid w:val="00C30159"/>
    <w:rsid w:val="00C30D3B"/>
    <w:rsid w:val="00C31A5D"/>
    <w:rsid w:val="00C320D6"/>
    <w:rsid w:val="00C33661"/>
    <w:rsid w:val="00C35270"/>
    <w:rsid w:val="00C3740F"/>
    <w:rsid w:val="00C40581"/>
    <w:rsid w:val="00C40A92"/>
    <w:rsid w:val="00C41B42"/>
    <w:rsid w:val="00C4313A"/>
    <w:rsid w:val="00C43985"/>
    <w:rsid w:val="00C44288"/>
    <w:rsid w:val="00C4440A"/>
    <w:rsid w:val="00C45B48"/>
    <w:rsid w:val="00C464DA"/>
    <w:rsid w:val="00C50B1C"/>
    <w:rsid w:val="00C50BD9"/>
    <w:rsid w:val="00C510AB"/>
    <w:rsid w:val="00C52085"/>
    <w:rsid w:val="00C5216E"/>
    <w:rsid w:val="00C526A6"/>
    <w:rsid w:val="00C5279E"/>
    <w:rsid w:val="00C534E1"/>
    <w:rsid w:val="00C53812"/>
    <w:rsid w:val="00C54017"/>
    <w:rsid w:val="00C54FAD"/>
    <w:rsid w:val="00C550FD"/>
    <w:rsid w:val="00C5672F"/>
    <w:rsid w:val="00C569D7"/>
    <w:rsid w:val="00C57BD2"/>
    <w:rsid w:val="00C60722"/>
    <w:rsid w:val="00C6367C"/>
    <w:rsid w:val="00C63886"/>
    <w:rsid w:val="00C65468"/>
    <w:rsid w:val="00C6598C"/>
    <w:rsid w:val="00C66BFE"/>
    <w:rsid w:val="00C66C47"/>
    <w:rsid w:val="00C70295"/>
    <w:rsid w:val="00C71231"/>
    <w:rsid w:val="00C718CD"/>
    <w:rsid w:val="00C73150"/>
    <w:rsid w:val="00C744C9"/>
    <w:rsid w:val="00C75102"/>
    <w:rsid w:val="00C760F3"/>
    <w:rsid w:val="00C817D6"/>
    <w:rsid w:val="00C81A82"/>
    <w:rsid w:val="00C82D0C"/>
    <w:rsid w:val="00C83D13"/>
    <w:rsid w:val="00C84C0B"/>
    <w:rsid w:val="00C85275"/>
    <w:rsid w:val="00C85367"/>
    <w:rsid w:val="00C85A8F"/>
    <w:rsid w:val="00C90441"/>
    <w:rsid w:val="00C90A20"/>
    <w:rsid w:val="00C90B7F"/>
    <w:rsid w:val="00C90F39"/>
    <w:rsid w:val="00C91DE7"/>
    <w:rsid w:val="00C92095"/>
    <w:rsid w:val="00C92515"/>
    <w:rsid w:val="00C92FCC"/>
    <w:rsid w:val="00C94E2D"/>
    <w:rsid w:val="00C95AC9"/>
    <w:rsid w:val="00C95BCB"/>
    <w:rsid w:val="00C95BFF"/>
    <w:rsid w:val="00C9732C"/>
    <w:rsid w:val="00C97388"/>
    <w:rsid w:val="00C974D4"/>
    <w:rsid w:val="00CA0901"/>
    <w:rsid w:val="00CA73D7"/>
    <w:rsid w:val="00CA7ACB"/>
    <w:rsid w:val="00CB0E1E"/>
    <w:rsid w:val="00CB20B0"/>
    <w:rsid w:val="00CB2555"/>
    <w:rsid w:val="00CB2C68"/>
    <w:rsid w:val="00CB3BD4"/>
    <w:rsid w:val="00CB49DD"/>
    <w:rsid w:val="00CB5C32"/>
    <w:rsid w:val="00CB5CD3"/>
    <w:rsid w:val="00CB5E57"/>
    <w:rsid w:val="00CB6568"/>
    <w:rsid w:val="00CB7A6F"/>
    <w:rsid w:val="00CB7AA3"/>
    <w:rsid w:val="00CC0DB4"/>
    <w:rsid w:val="00CC2FB5"/>
    <w:rsid w:val="00CC5999"/>
    <w:rsid w:val="00CC620E"/>
    <w:rsid w:val="00CC6E57"/>
    <w:rsid w:val="00CC723C"/>
    <w:rsid w:val="00CC75F9"/>
    <w:rsid w:val="00CC7750"/>
    <w:rsid w:val="00CC7A39"/>
    <w:rsid w:val="00CD03D4"/>
    <w:rsid w:val="00CD06DE"/>
    <w:rsid w:val="00CD09A4"/>
    <w:rsid w:val="00CD0E65"/>
    <w:rsid w:val="00CD10F7"/>
    <w:rsid w:val="00CD2020"/>
    <w:rsid w:val="00CD29D5"/>
    <w:rsid w:val="00CD409D"/>
    <w:rsid w:val="00CD4B38"/>
    <w:rsid w:val="00CD53ED"/>
    <w:rsid w:val="00CD582C"/>
    <w:rsid w:val="00CD5A84"/>
    <w:rsid w:val="00CD74C7"/>
    <w:rsid w:val="00CD7610"/>
    <w:rsid w:val="00CE09E6"/>
    <w:rsid w:val="00CE0F85"/>
    <w:rsid w:val="00CE119C"/>
    <w:rsid w:val="00CE26B3"/>
    <w:rsid w:val="00CE3EAA"/>
    <w:rsid w:val="00CE547E"/>
    <w:rsid w:val="00CE577D"/>
    <w:rsid w:val="00CE58E8"/>
    <w:rsid w:val="00CE670D"/>
    <w:rsid w:val="00CE72C7"/>
    <w:rsid w:val="00CF062A"/>
    <w:rsid w:val="00CF11B3"/>
    <w:rsid w:val="00CF2295"/>
    <w:rsid w:val="00CF2721"/>
    <w:rsid w:val="00CF3AB6"/>
    <w:rsid w:val="00CF456C"/>
    <w:rsid w:val="00CF5DEB"/>
    <w:rsid w:val="00CF68DE"/>
    <w:rsid w:val="00CF72E9"/>
    <w:rsid w:val="00CF74E2"/>
    <w:rsid w:val="00D00D7E"/>
    <w:rsid w:val="00D00E9B"/>
    <w:rsid w:val="00D01B87"/>
    <w:rsid w:val="00D0282D"/>
    <w:rsid w:val="00D02D5E"/>
    <w:rsid w:val="00D0315E"/>
    <w:rsid w:val="00D0330D"/>
    <w:rsid w:val="00D0379C"/>
    <w:rsid w:val="00D03C0F"/>
    <w:rsid w:val="00D04E11"/>
    <w:rsid w:val="00D067F0"/>
    <w:rsid w:val="00D1010A"/>
    <w:rsid w:val="00D12939"/>
    <w:rsid w:val="00D1391B"/>
    <w:rsid w:val="00D1563D"/>
    <w:rsid w:val="00D1624F"/>
    <w:rsid w:val="00D17415"/>
    <w:rsid w:val="00D203E1"/>
    <w:rsid w:val="00D20A66"/>
    <w:rsid w:val="00D21777"/>
    <w:rsid w:val="00D225B0"/>
    <w:rsid w:val="00D22854"/>
    <w:rsid w:val="00D23836"/>
    <w:rsid w:val="00D241E2"/>
    <w:rsid w:val="00D25531"/>
    <w:rsid w:val="00D257A4"/>
    <w:rsid w:val="00D26A8F"/>
    <w:rsid w:val="00D30930"/>
    <w:rsid w:val="00D325D0"/>
    <w:rsid w:val="00D33951"/>
    <w:rsid w:val="00D34004"/>
    <w:rsid w:val="00D34302"/>
    <w:rsid w:val="00D3433F"/>
    <w:rsid w:val="00D36B44"/>
    <w:rsid w:val="00D37DB1"/>
    <w:rsid w:val="00D405FC"/>
    <w:rsid w:val="00D41BA2"/>
    <w:rsid w:val="00D42384"/>
    <w:rsid w:val="00D42875"/>
    <w:rsid w:val="00D42AAE"/>
    <w:rsid w:val="00D43896"/>
    <w:rsid w:val="00D44FB8"/>
    <w:rsid w:val="00D45C5F"/>
    <w:rsid w:val="00D46B30"/>
    <w:rsid w:val="00D50EF0"/>
    <w:rsid w:val="00D50EF2"/>
    <w:rsid w:val="00D50FC1"/>
    <w:rsid w:val="00D538B5"/>
    <w:rsid w:val="00D540E6"/>
    <w:rsid w:val="00D5452F"/>
    <w:rsid w:val="00D54B4A"/>
    <w:rsid w:val="00D55C02"/>
    <w:rsid w:val="00D563B4"/>
    <w:rsid w:val="00D56BB9"/>
    <w:rsid w:val="00D5785E"/>
    <w:rsid w:val="00D61C25"/>
    <w:rsid w:val="00D62CC9"/>
    <w:rsid w:val="00D63D7A"/>
    <w:rsid w:val="00D64DEC"/>
    <w:rsid w:val="00D65B96"/>
    <w:rsid w:val="00D6645A"/>
    <w:rsid w:val="00D707B3"/>
    <w:rsid w:val="00D71F7F"/>
    <w:rsid w:val="00D729A6"/>
    <w:rsid w:val="00D744AC"/>
    <w:rsid w:val="00D75179"/>
    <w:rsid w:val="00D76765"/>
    <w:rsid w:val="00D7724D"/>
    <w:rsid w:val="00D7796E"/>
    <w:rsid w:val="00D77EAE"/>
    <w:rsid w:val="00D80DD9"/>
    <w:rsid w:val="00D8144D"/>
    <w:rsid w:val="00D82264"/>
    <w:rsid w:val="00D828A0"/>
    <w:rsid w:val="00D82F01"/>
    <w:rsid w:val="00D82FAF"/>
    <w:rsid w:val="00D83353"/>
    <w:rsid w:val="00D84781"/>
    <w:rsid w:val="00D84790"/>
    <w:rsid w:val="00D9230D"/>
    <w:rsid w:val="00D936AC"/>
    <w:rsid w:val="00D93F71"/>
    <w:rsid w:val="00D943DC"/>
    <w:rsid w:val="00D94910"/>
    <w:rsid w:val="00D94FF1"/>
    <w:rsid w:val="00D9517B"/>
    <w:rsid w:val="00D952E7"/>
    <w:rsid w:val="00D956D2"/>
    <w:rsid w:val="00D95AF5"/>
    <w:rsid w:val="00DA02A0"/>
    <w:rsid w:val="00DA0EE7"/>
    <w:rsid w:val="00DA1178"/>
    <w:rsid w:val="00DA133A"/>
    <w:rsid w:val="00DA1853"/>
    <w:rsid w:val="00DA1A9D"/>
    <w:rsid w:val="00DA2B4C"/>
    <w:rsid w:val="00DA33DB"/>
    <w:rsid w:val="00DA3756"/>
    <w:rsid w:val="00DA39C5"/>
    <w:rsid w:val="00DA672A"/>
    <w:rsid w:val="00DA708A"/>
    <w:rsid w:val="00DA7117"/>
    <w:rsid w:val="00DB1167"/>
    <w:rsid w:val="00DB1360"/>
    <w:rsid w:val="00DB26FB"/>
    <w:rsid w:val="00DB2CEA"/>
    <w:rsid w:val="00DB51B3"/>
    <w:rsid w:val="00DB5E0F"/>
    <w:rsid w:val="00DB6A15"/>
    <w:rsid w:val="00DC0FBB"/>
    <w:rsid w:val="00DC12BC"/>
    <w:rsid w:val="00DC15CF"/>
    <w:rsid w:val="00DC15ED"/>
    <w:rsid w:val="00DC2299"/>
    <w:rsid w:val="00DC23FC"/>
    <w:rsid w:val="00DC25D6"/>
    <w:rsid w:val="00DC27B0"/>
    <w:rsid w:val="00DC2E6E"/>
    <w:rsid w:val="00DC2EB9"/>
    <w:rsid w:val="00DC3704"/>
    <w:rsid w:val="00DC4350"/>
    <w:rsid w:val="00DC4862"/>
    <w:rsid w:val="00DC513A"/>
    <w:rsid w:val="00DC6175"/>
    <w:rsid w:val="00DC637B"/>
    <w:rsid w:val="00DC6EA0"/>
    <w:rsid w:val="00DC770C"/>
    <w:rsid w:val="00DD0F99"/>
    <w:rsid w:val="00DD1090"/>
    <w:rsid w:val="00DD2ADA"/>
    <w:rsid w:val="00DD30B2"/>
    <w:rsid w:val="00DD3438"/>
    <w:rsid w:val="00DD5C2C"/>
    <w:rsid w:val="00DD6DE7"/>
    <w:rsid w:val="00DD73D5"/>
    <w:rsid w:val="00DD78C8"/>
    <w:rsid w:val="00DE0043"/>
    <w:rsid w:val="00DE0A4B"/>
    <w:rsid w:val="00DE15D2"/>
    <w:rsid w:val="00DE17EB"/>
    <w:rsid w:val="00DE3995"/>
    <w:rsid w:val="00DE6192"/>
    <w:rsid w:val="00DE7474"/>
    <w:rsid w:val="00DE7E8F"/>
    <w:rsid w:val="00DF0EB0"/>
    <w:rsid w:val="00DF2577"/>
    <w:rsid w:val="00DF2E7F"/>
    <w:rsid w:val="00DF56AC"/>
    <w:rsid w:val="00DF6FFD"/>
    <w:rsid w:val="00DF7F37"/>
    <w:rsid w:val="00E00F2C"/>
    <w:rsid w:val="00E02403"/>
    <w:rsid w:val="00E027E8"/>
    <w:rsid w:val="00E04F3B"/>
    <w:rsid w:val="00E05220"/>
    <w:rsid w:val="00E05F83"/>
    <w:rsid w:val="00E06871"/>
    <w:rsid w:val="00E07201"/>
    <w:rsid w:val="00E075CE"/>
    <w:rsid w:val="00E1041B"/>
    <w:rsid w:val="00E10CD6"/>
    <w:rsid w:val="00E10DC3"/>
    <w:rsid w:val="00E11711"/>
    <w:rsid w:val="00E12A5F"/>
    <w:rsid w:val="00E13512"/>
    <w:rsid w:val="00E146CB"/>
    <w:rsid w:val="00E154C3"/>
    <w:rsid w:val="00E168E8"/>
    <w:rsid w:val="00E17C28"/>
    <w:rsid w:val="00E2010C"/>
    <w:rsid w:val="00E2042C"/>
    <w:rsid w:val="00E2195C"/>
    <w:rsid w:val="00E21BD0"/>
    <w:rsid w:val="00E21E4A"/>
    <w:rsid w:val="00E2256F"/>
    <w:rsid w:val="00E2532F"/>
    <w:rsid w:val="00E26273"/>
    <w:rsid w:val="00E26609"/>
    <w:rsid w:val="00E300F1"/>
    <w:rsid w:val="00E31DD1"/>
    <w:rsid w:val="00E32D9C"/>
    <w:rsid w:val="00E33122"/>
    <w:rsid w:val="00E33744"/>
    <w:rsid w:val="00E33CA9"/>
    <w:rsid w:val="00E355FA"/>
    <w:rsid w:val="00E35A73"/>
    <w:rsid w:val="00E36ACB"/>
    <w:rsid w:val="00E3714A"/>
    <w:rsid w:val="00E37174"/>
    <w:rsid w:val="00E404D6"/>
    <w:rsid w:val="00E40793"/>
    <w:rsid w:val="00E41153"/>
    <w:rsid w:val="00E412E8"/>
    <w:rsid w:val="00E41677"/>
    <w:rsid w:val="00E41FA3"/>
    <w:rsid w:val="00E420D8"/>
    <w:rsid w:val="00E42527"/>
    <w:rsid w:val="00E430A3"/>
    <w:rsid w:val="00E46480"/>
    <w:rsid w:val="00E466E5"/>
    <w:rsid w:val="00E47A88"/>
    <w:rsid w:val="00E50967"/>
    <w:rsid w:val="00E50DB3"/>
    <w:rsid w:val="00E538CF"/>
    <w:rsid w:val="00E54306"/>
    <w:rsid w:val="00E558E4"/>
    <w:rsid w:val="00E56B15"/>
    <w:rsid w:val="00E56B56"/>
    <w:rsid w:val="00E600E6"/>
    <w:rsid w:val="00E60808"/>
    <w:rsid w:val="00E6094F"/>
    <w:rsid w:val="00E618D5"/>
    <w:rsid w:val="00E62318"/>
    <w:rsid w:val="00E62D7E"/>
    <w:rsid w:val="00E635AF"/>
    <w:rsid w:val="00E640D2"/>
    <w:rsid w:val="00E64C44"/>
    <w:rsid w:val="00E679F1"/>
    <w:rsid w:val="00E67F80"/>
    <w:rsid w:val="00E7186A"/>
    <w:rsid w:val="00E71BC7"/>
    <w:rsid w:val="00E71FFF"/>
    <w:rsid w:val="00E73ECC"/>
    <w:rsid w:val="00E749D4"/>
    <w:rsid w:val="00E758A1"/>
    <w:rsid w:val="00E765CD"/>
    <w:rsid w:val="00E76D8A"/>
    <w:rsid w:val="00E7721C"/>
    <w:rsid w:val="00E77426"/>
    <w:rsid w:val="00E77B0B"/>
    <w:rsid w:val="00E802A1"/>
    <w:rsid w:val="00E82446"/>
    <w:rsid w:val="00E82977"/>
    <w:rsid w:val="00E83335"/>
    <w:rsid w:val="00E83634"/>
    <w:rsid w:val="00E83882"/>
    <w:rsid w:val="00E838BE"/>
    <w:rsid w:val="00E84324"/>
    <w:rsid w:val="00E858E0"/>
    <w:rsid w:val="00E914EB"/>
    <w:rsid w:val="00E91DC0"/>
    <w:rsid w:val="00E926BB"/>
    <w:rsid w:val="00E93B9A"/>
    <w:rsid w:val="00E9541D"/>
    <w:rsid w:val="00E97680"/>
    <w:rsid w:val="00E97CA3"/>
    <w:rsid w:val="00EA05C9"/>
    <w:rsid w:val="00EA0787"/>
    <w:rsid w:val="00EA10DD"/>
    <w:rsid w:val="00EA24C3"/>
    <w:rsid w:val="00EA4155"/>
    <w:rsid w:val="00EA429E"/>
    <w:rsid w:val="00EA50E2"/>
    <w:rsid w:val="00EA5BB5"/>
    <w:rsid w:val="00EA6AE2"/>
    <w:rsid w:val="00EB034D"/>
    <w:rsid w:val="00EB1389"/>
    <w:rsid w:val="00EB16CF"/>
    <w:rsid w:val="00EB21C9"/>
    <w:rsid w:val="00EB2EE9"/>
    <w:rsid w:val="00EB3216"/>
    <w:rsid w:val="00EB3A2B"/>
    <w:rsid w:val="00EB63CA"/>
    <w:rsid w:val="00EB6539"/>
    <w:rsid w:val="00EB6697"/>
    <w:rsid w:val="00EC03A5"/>
    <w:rsid w:val="00EC05B7"/>
    <w:rsid w:val="00EC0703"/>
    <w:rsid w:val="00EC401B"/>
    <w:rsid w:val="00EC4CC2"/>
    <w:rsid w:val="00EC5B15"/>
    <w:rsid w:val="00ED24DE"/>
    <w:rsid w:val="00ED316F"/>
    <w:rsid w:val="00ED47EC"/>
    <w:rsid w:val="00ED709C"/>
    <w:rsid w:val="00ED7456"/>
    <w:rsid w:val="00ED7B5B"/>
    <w:rsid w:val="00ED7F42"/>
    <w:rsid w:val="00EE1262"/>
    <w:rsid w:val="00EE265E"/>
    <w:rsid w:val="00EE280D"/>
    <w:rsid w:val="00EE385A"/>
    <w:rsid w:val="00EE417D"/>
    <w:rsid w:val="00EE489D"/>
    <w:rsid w:val="00EE55C6"/>
    <w:rsid w:val="00EE6872"/>
    <w:rsid w:val="00EE6E7C"/>
    <w:rsid w:val="00EE782D"/>
    <w:rsid w:val="00EE7BA6"/>
    <w:rsid w:val="00EF0A5F"/>
    <w:rsid w:val="00EF166A"/>
    <w:rsid w:val="00EF2FDC"/>
    <w:rsid w:val="00EF4A8B"/>
    <w:rsid w:val="00EF64BE"/>
    <w:rsid w:val="00EF6CF6"/>
    <w:rsid w:val="00EF6DC3"/>
    <w:rsid w:val="00F00978"/>
    <w:rsid w:val="00F01E45"/>
    <w:rsid w:val="00F03DC7"/>
    <w:rsid w:val="00F0509D"/>
    <w:rsid w:val="00F0538C"/>
    <w:rsid w:val="00F05E94"/>
    <w:rsid w:val="00F07317"/>
    <w:rsid w:val="00F101DD"/>
    <w:rsid w:val="00F106B7"/>
    <w:rsid w:val="00F10F26"/>
    <w:rsid w:val="00F112A8"/>
    <w:rsid w:val="00F117F4"/>
    <w:rsid w:val="00F119C3"/>
    <w:rsid w:val="00F12077"/>
    <w:rsid w:val="00F122C0"/>
    <w:rsid w:val="00F12951"/>
    <w:rsid w:val="00F134C8"/>
    <w:rsid w:val="00F13AD1"/>
    <w:rsid w:val="00F14A72"/>
    <w:rsid w:val="00F15458"/>
    <w:rsid w:val="00F1592D"/>
    <w:rsid w:val="00F15C76"/>
    <w:rsid w:val="00F15D70"/>
    <w:rsid w:val="00F17918"/>
    <w:rsid w:val="00F17D4C"/>
    <w:rsid w:val="00F20F9C"/>
    <w:rsid w:val="00F2127F"/>
    <w:rsid w:val="00F21976"/>
    <w:rsid w:val="00F22EF9"/>
    <w:rsid w:val="00F23E06"/>
    <w:rsid w:val="00F2750E"/>
    <w:rsid w:val="00F27836"/>
    <w:rsid w:val="00F27FC0"/>
    <w:rsid w:val="00F304F2"/>
    <w:rsid w:val="00F305D9"/>
    <w:rsid w:val="00F31B40"/>
    <w:rsid w:val="00F3221C"/>
    <w:rsid w:val="00F34894"/>
    <w:rsid w:val="00F4004D"/>
    <w:rsid w:val="00F407F6"/>
    <w:rsid w:val="00F40FCE"/>
    <w:rsid w:val="00F416BF"/>
    <w:rsid w:val="00F441F1"/>
    <w:rsid w:val="00F44AE4"/>
    <w:rsid w:val="00F454DA"/>
    <w:rsid w:val="00F45600"/>
    <w:rsid w:val="00F458BE"/>
    <w:rsid w:val="00F45A03"/>
    <w:rsid w:val="00F463B8"/>
    <w:rsid w:val="00F470D4"/>
    <w:rsid w:val="00F47218"/>
    <w:rsid w:val="00F51467"/>
    <w:rsid w:val="00F51F39"/>
    <w:rsid w:val="00F529F2"/>
    <w:rsid w:val="00F52DDA"/>
    <w:rsid w:val="00F551FA"/>
    <w:rsid w:val="00F55396"/>
    <w:rsid w:val="00F553EF"/>
    <w:rsid w:val="00F575A4"/>
    <w:rsid w:val="00F577C1"/>
    <w:rsid w:val="00F604BA"/>
    <w:rsid w:val="00F614A1"/>
    <w:rsid w:val="00F63151"/>
    <w:rsid w:val="00F645D0"/>
    <w:rsid w:val="00F64A4A"/>
    <w:rsid w:val="00F65203"/>
    <w:rsid w:val="00F65592"/>
    <w:rsid w:val="00F663F8"/>
    <w:rsid w:val="00F66EB5"/>
    <w:rsid w:val="00F678B6"/>
    <w:rsid w:val="00F7077A"/>
    <w:rsid w:val="00F720D8"/>
    <w:rsid w:val="00F72194"/>
    <w:rsid w:val="00F72734"/>
    <w:rsid w:val="00F72B0C"/>
    <w:rsid w:val="00F72FD4"/>
    <w:rsid w:val="00F7332F"/>
    <w:rsid w:val="00F7357D"/>
    <w:rsid w:val="00F7419D"/>
    <w:rsid w:val="00F75859"/>
    <w:rsid w:val="00F75BEE"/>
    <w:rsid w:val="00F75D8A"/>
    <w:rsid w:val="00F75FCC"/>
    <w:rsid w:val="00F772F5"/>
    <w:rsid w:val="00F77D1F"/>
    <w:rsid w:val="00F77DC0"/>
    <w:rsid w:val="00F809CD"/>
    <w:rsid w:val="00F8233A"/>
    <w:rsid w:val="00F825E1"/>
    <w:rsid w:val="00F82848"/>
    <w:rsid w:val="00F83402"/>
    <w:rsid w:val="00F83B09"/>
    <w:rsid w:val="00F86251"/>
    <w:rsid w:val="00F92CFC"/>
    <w:rsid w:val="00F93CAD"/>
    <w:rsid w:val="00F93DAF"/>
    <w:rsid w:val="00F94CF7"/>
    <w:rsid w:val="00F95688"/>
    <w:rsid w:val="00F96518"/>
    <w:rsid w:val="00F970BE"/>
    <w:rsid w:val="00F97375"/>
    <w:rsid w:val="00FA0A87"/>
    <w:rsid w:val="00FA2822"/>
    <w:rsid w:val="00FA3F2B"/>
    <w:rsid w:val="00FA3FEB"/>
    <w:rsid w:val="00FA445A"/>
    <w:rsid w:val="00FA59F5"/>
    <w:rsid w:val="00FA709B"/>
    <w:rsid w:val="00FA791F"/>
    <w:rsid w:val="00FB0E8B"/>
    <w:rsid w:val="00FB15D0"/>
    <w:rsid w:val="00FB396D"/>
    <w:rsid w:val="00FB3FE9"/>
    <w:rsid w:val="00FB4235"/>
    <w:rsid w:val="00FB4258"/>
    <w:rsid w:val="00FB53E2"/>
    <w:rsid w:val="00FB6128"/>
    <w:rsid w:val="00FC0FA2"/>
    <w:rsid w:val="00FC29A4"/>
    <w:rsid w:val="00FC42D8"/>
    <w:rsid w:val="00FC5A8C"/>
    <w:rsid w:val="00FC64DD"/>
    <w:rsid w:val="00FC6F9A"/>
    <w:rsid w:val="00FC7FD9"/>
    <w:rsid w:val="00FD03FA"/>
    <w:rsid w:val="00FD07CB"/>
    <w:rsid w:val="00FD0889"/>
    <w:rsid w:val="00FD0D93"/>
    <w:rsid w:val="00FD15C5"/>
    <w:rsid w:val="00FD2D0B"/>
    <w:rsid w:val="00FD4218"/>
    <w:rsid w:val="00FD5775"/>
    <w:rsid w:val="00FD5BEE"/>
    <w:rsid w:val="00FD6AEE"/>
    <w:rsid w:val="00FD7913"/>
    <w:rsid w:val="00FE1310"/>
    <w:rsid w:val="00FE1CCB"/>
    <w:rsid w:val="00FE2956"/>
    <w:rsid w:val="00FE2CC8"/>
    <w:rsid w:val="00FE2F96"/>
    <w:rsid w:val="00FE452F"/>
    <w:rsid w:val="00FE50E9"/>
    <w:rsid w:val="00FE61B8"/>
    <w:rsid w:val="00FE6A95"/>
    <w:rsid w:val="00FE71F0"/>
    <w:rsid w:val="00FE754C"/>
    <w:rsid w:val="00FF0A58"/>
    <w:rsid w:val="00FF2742"/>
    <w:rsid w:val="00FF42E8"/>
    <w:rsid w:val="00FF4B84"/>
    <w:rsid w:val="00FF504D"/>
    <w:rsid w:val="00FF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16AC8FA-76C7-479D-9FF7-FCA171662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775180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7E45"/>
    <w:rPr>
      <w:color w:val="FF00FF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6A8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05C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05C8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05C8D"/>
    <w:rPr>
      <w:vertAlign w:val="superscrip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F2987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unhideWhenUsed/>
    <w:rsid w:val="00C4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eastAsiaTheme="minorHAnsi" w:cs="Calibri"/>
      <w:color w:val="00457D"/>
      <w:bdr w:val="none" w:sz="0" w:space="0" w:color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4440A"/>
    <w:rPr>
      <w:rFonts w:ascii="Calibri" w:eastAsiaTheme="minorHAnsi" w:hAnsi="Calibri" w:cs="Calibri"/>
      <w:color w:val="00457D"/>
      <w:sz w:val="22"/>
      <w:szCs w:val="22"/>
      <w:bdr w:val="none" w:sz="0" w:space="0" w:color="auto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62272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370F56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3D564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86251"/>
    <w:rPr>
      <w:b/>
      <w:bCs/>
    </w:rPr>
  </w:style>
  <w:style w:type="paragraph" w:styleId="Revisione">
    <w:name w:val="Revision"/>
    <w:hidden/>
    <w:uiPriority w:val="99"/>
    <w:semiHidden/>
    <w:rsid w:val="004A0F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7A6242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EE417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9346D0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B34E04"/>
    <w:rPr>
      <w:i/>
      <w:iCs/>
    </w:rPr>
  </w:style>
  <w:style w:type="paragraph" w:styleId="NormaleWeb">
    <w:name w:val="Normal (Web)"/>
    <w:basedOn w:val="Normale"/>
    <w:uiPriority w:val="99"/>
    <w:unhideWhenUsed/>
    <w:rsid w:val="00B514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53636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C90A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9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73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8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7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7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32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5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78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85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79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863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770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905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557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782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18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2420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0767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454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24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123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5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3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2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85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21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7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5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475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7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42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30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54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39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8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3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9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34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9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46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460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12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878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03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574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36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40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0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1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0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69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52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49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72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14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639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478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8455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963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832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316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868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6569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42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1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9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5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5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7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53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614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339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491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833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804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7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1698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7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6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7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14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7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7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1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07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9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61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92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88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576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63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0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51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2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03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6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6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7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6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41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52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4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74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26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52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409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844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7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19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339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272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047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805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277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0256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448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1678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79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375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506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19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126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0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56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37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84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901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359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829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648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1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230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072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90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147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31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1927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896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4516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3144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879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2925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881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24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69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03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2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8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1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71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18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0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7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59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45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343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146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841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477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490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178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84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4864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6276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6960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9523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274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0259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28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840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8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36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70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781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039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045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15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474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025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800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790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329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0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3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3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04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71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47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53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19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28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28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80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574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2361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196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771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655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9353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70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852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581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976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21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245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15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323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2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0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1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21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3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56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1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93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68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702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611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52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7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346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4507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684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122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8978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6145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2664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916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103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8177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404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086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538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50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58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4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3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1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4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1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10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67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22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416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082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464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415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467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242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41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21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4649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20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94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4526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775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0470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3101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5793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9926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0709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9555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735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0124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30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502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211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8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0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3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5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8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ithub.com/italia/covid19-opendata-vaccini/blob/master/dati/platea-dose-addizionale-booster.csv" TargetMode="External"/><Relationship Id="rId18" Type="http://schemas.openxmlformats.org/officeDocument/2006/relationships/header" Target="header1.xm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www.epicentro.iss.it/coronavirus/bollettino/Bollettino-sorveglianza-integrata-COVID-19_1-dicembre-2021.pdf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ufficio.stampa@gimbe.org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10" Type="http://schemas.openxmlformats.org/officeDocument/2006/relationships/hyperlink" Target="https://conferenzagimbe.it/var/contenuti/Valori%20target%20di%20riferimento%20per%20il%20proseguimento%20della%20campagna%20vaccinale%20prot.%20con%20allegati.pdf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s://www.governo.it/it/dipartimenti/commissario-straordinario-lemergenza-covid-19/18698" TargetMode="External"/><Relationship Id="rId14" Type="http://schemas.openxmlformats.org/officeDocument/2006/relationships/hyperlink" Target="https://coronavirus.gimbe.org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24373-44CB-453C-8F1F-B11F552F4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2328</Words>
  <Characters>13272</Characters>
  <Application>Microsoft Office Word</Application>
  <DocSecurity>0</DocSecurity>
  <Lines>110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Cartabellotta</dc:creator>
  <cp:lastModifiedBy>Roberto Luceri</cp:lastModifiedBy>
  <cp:revision>14</cp:revision>
  <cp:lastPrinted>2021-12-01T14:58:00Z</cp:lastPrinted>
  <dcterms:created xsi:type="dcterms:W3CDTF">2021-12-08T15:30:00Z</dcterms:created>
  <dcterms:modified xsi:type="dcterms:W3CDTF">2021-12-09T07:34:00Z</dcterms:modified>
</cp:coreProperties>
</file>