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2D0F4" w14:textId="77777777" w:rsidR="00D21CBA" w:rsidRDefault="000814C4" w:rsidP="00D21CBA">
      <w:pPr>
        <w:spacing w:after="0" w:line="276" w:lineRule="auto"/>
        <w:jc w:val="center"/>
        <w:rPr>
          <w:b/>
          <w:bCs/>
          <w:color w:val="FF0000"/>
          <w:sz w:val="30"/>
          <w:szCs w:val="30"/>
        </w:rPr>
      </w:pPr>
      <w:r w:rsidRPr="00D44AA7">
        <w:rPr>
          <w:b/>
          <w:bCs/>
          <w:color w:val="auto"/>
          <w:sz w:val="32"/>
          <w:szCs w:val="31"/>
        </w:rPr>
        <w:t>COMUNICATO STAMPA</w:t>
      </w:r>
      <w:r w:rsidR="00D21CBA">
        <w:rPr>
          <w:b/>
          <w:bCs/>
          <w:color w:val="auto"/>
          <w:sz w:val="32"/>
          <w:szCs w:val="31"/>
        </w:rPr>
        <w:br/>
      </w:r>
      <w:r w:rsidR="00D21CBA">
        <w:rPr>
          <w:b/>
          <w:bCs/>
          <w:color w:val="auto"/>
          <w:sz w:val="30"/>
          <w:szCs w:val="30"/>
        </w:rPr>
        <w:t xml:space="preserve">CORONAVIRUS: NELL’ULTIMA SETTIMANA FRENA LA DISCESA </w:t>
      </w:r>
      <w:r w:rsidR="00131ECD">
        <w:rPr>
          <w:b/>
          <w:bCs/>
          <w:color w:val="auto"/>
          <w:sz w:val="30"/>
          <w:szCs w:val="30"/>
        </w:rPr>
        <w:t xml:space="preserve">NAZIONALE </w:t>
      </w:r>
      <w:r w:rsidR="00D21CBA">
        <w:rPr>
          <w:b/>
          <w:bCs/>
          <w:color w:val="auto"/>
          <w:sz w:val="30"/>
          <w:szCs w:val="30"/>
        </w:rPr>
        <w:t xml:space="preserve">DEI NUOVI </w:t>
      </w:r>
      <w:r w:rsidR="00554DEA">
        <w:rPr>
          <w:b/>
          <w:bCs/>
          <w:color w:val="auto"/>
          <w:sz w:val="30"/>
          <w:szCs w:val="30"/>
        </w:rPr>
        <w:t>CASI</w:t>
      </w:r>
      <w:r w:rsidR="00D21CBA">
        <w:rPr>
          <w:b/>
          <w:bCs/>
          <w:color w:val="auto"/>
          <w:sz w:val="30"/>
          <w:szCs w:val="30"/>
        </w:rPr>
        <w:t xml:space="preserve"> (-7,8%)</w:t>
      </w:r>
      <w:r w:rsidR="00554DEA">
        <w:rPr>
          <w:b/>
          <w:bCs/>
          <w:color w:val="auto"/>
          <w:sz w:val="30"/>
          <w:szCs w:val="30"/>
        </w:rPr>
        <w:t xml:space="preserve">, CHE SALGONO </w:t>
      </w:r>
      <w:r w:rsidR="00D21CBA">
        <w:rPr>
          <w:b/>
          <w:bCs/>
          <w:color w:val="auto"/>
          <w:sz w:val="30"/>
          <w:szCs w:val="30"/>
        </w:rPr>
        <w:t>IN 22</w:t>
      </w:r>
      <w:r w:rsidR="00D21CBA">
        <w:rPr>
          <w:b/>
          <w:bCs/>
          <w:color w:val="FF0000"/>
          <w:sz w:val="30"/>
          <w:szCs w:val="30"/>
        </w:rPr>
        <w:t xml:space="preserve"> </w:t>
      </w:r>
      <w:r w:rsidR="00D21CBA">
        <w:rPr>
          <w:b/>
          <w:bCs/>
          <w:color w:val="auto"/>
          <w:sz w:val="30"/>
          <w:szCs w:val="30"/>
        </w:rPr>
        <w:t xml:space="preserve">PROVINCE. GIÙ TERAPIE INTENSIVE (-11,7%), RICOVERI ORDINARI (-15,2%) E DECESSI (-28,3%). </w:t>
      </w:r>
    </w:p>
    <w:p w14:paraId="1B56F3D0" w14:textId="77777777" w:rsidR="00D21CBA" w:rsidRDefault="00EF398A" w:rsidP="00D21CBA">
      <w:pPr>
        <w:spacing w:after="0" w:line="276" w:lineRule="auto"/>
        <w:jc w:val="center"/>
        <w:rPr>
          <w:b/>
          <w:bCs/>
          <w:color w:val="auto"/>
          <w:sz w:val="30"/>
          <w:szCs w:val="30"/>
        </w:rPr>
      </w:pPr>
      <w:r>
        <w:rPr>
          <w:b/>
          <w:bCs/>
          <w:color w:val="auto"/>
          <w:sz w:val="30"/>
          <w:szCs w:val="30"/>
        </w:rPr>
        <w:t>CROLL</w:t>
      </w:r>
      <w:r w:rsidR="00B619C2">
        <w:rPr>
          <w:b/>
          <w:bCs/>
          <w:color w:val="auto"/>
          <w:sz w:val="30"/>
          <w:szCs w:val="30"/>
        </w:rPr>
        <w:t>A</w:t>
      </w:r>
      <w:r>
        <w:rPr>
          <w:b/>
          <w:bCs/>
          <w:color w:val="auto"/>
          <w:sz w:val="30"/>
          <w:szCs w:val="30"/>
        </w:rPr>
        <w:t>NO LE QUARTE DOSI</w:t>
      </w:r>
      <w:r w:rsidR="00D21CBA">
        <w:rPr>
          <w:b/>
          <w:bCs/>
          <w:color w:val="auto"/>
          <w:sz w:val="30"/>
          <w:szCs w:val="30"/>
        </w:rPr>
        <w:t xml:space="preserve">: </w:t>
      </w:r>
      <w:r>
        <w:rPr>
          <w:b/>
          <w:bCs/>
          <w:color w:val="auto"/>
          <w:sz w:val="30"/>
          <w:szCs w:val="30"/>
        </w:rPr>
        <w:t xml:space="preserve">-55,8% </w:t>
      </w:r>
      <w:r w:rsidR="00D21CBA">
        <w:rPr>
          <w:b/>
          <w:bCs/>
          <w:color w:val="auto"/>
          <w:sz w:val="30"/>
          <w:szCs w:val="30"/>
        </w:rPr>
        <w:t xml:space="preserve">PER IMMUNOCOMPROMESSI </w:t>
      </w:r>
      <w:r>
        <w:rPr>
          <w:b/>
          <w:bCs/>
          <w:color w:val="auto"/>
          <w:sz w:val="30"/>
          <w:szCs w:val="30"/>
        </w:rPr>
        <w:t>E -56,2%</w:t>
      </w:r>
      <w:r w:rsidR="0053670D">
        <w:rPr>
          <w:b/>
          <w:bCs/>
          <w:color w:val="auto"/>
          <w:sz w:val="30"/>
          <w:szCs w:val="30"/>
        </w:rPr>
        <w:t xml:space="preserve"> </w:t>
      </w:r>
      <w:r w:rsidR="00D21CBA">
        <w:rPr>
          <w:b/>
          <w:bCs/>
          <w:color w:val="auto"/>
          <w:sz w:val="30"/>
          <w:szCs w:val="30"/>
        </w:rPr>
        <w:t xml:space="preserve">E </w:t>
      </w:r>
      <w:r>
        <w:rPr>
          <w:b/>
          <w:bCs/>
          <w:color w:val="auto"/>
          <w:sz w:val="30"/>
          <w:szCs w:val="30"/>
        </w:rPr>
        <w:t xml:space="preserve">PER </w:t>
      </w:r>
      <w:r w:rsidR="00D21CBA">
        <w:rPr>
          <w:b/>
          <w:bCs/>
          <w:color w:val="auto"/>
          <w:sz w:val="30"/>
          <w:szCs w:val="30"/>
        </w:rPr>
        <w:t xml:space="preserve">ALTRI FRAGILI. </w:t>
      </w:r>
    </w:p>
    <w:p w14:paraId="71D43DDD" w14:textId="77777777" w:rsidR="00B619C2" w:rsidRDefault="00B070C5" w:rsidP="00D21CBA">
      <w:pPr>
        <w:spacing w:after="0" w:line="276" w:lineRule="auto"/>
        <w:jc w:val="center"/>
        <w:rPr>
          <w:b/>
          <w:bCs/>
          <w:color w:val="auto"/>
          <w:sz w:val="30"/>
          <w:szCs w:val="30"/>
        </w:rPr>
      </w:pPr>
      <w:r>
        <w:rPr>
          <w:b/>
          <w:bCs/>
          <w:color w:val="auto"/>
          <w:sz w:val="30"/>
          <w:szCs w:val="30"/>
        </w:rPr>
        <w:t>VARIANTE BA.5: NECESSARIO POTENZIARE IL SEQUENZIAMENTO</w:t>
      </w:r>
      <w:r w:rsidR="00554DEA">
        <w:rPr>
          <w:b/>
          <w:bCs/>
          <w:color w:val="auto"/>
          <w:sz w:val="30"/>
          <w:szCs w:val="30"/>
        </w:rPr>
        <w:t>.</w:t>
      </w:r>
    </w:p>
    <w:p w14:paraId="7656362D" w14:textId="77777777" w:rsidR="00D21CBA" w:rsidRDefault="00D21CBA" w:rsidP="00D21CBA">
      <w:pPr>
        <w:spacing w:after="0" w:line="276" w:lineRule="auto"/>
        <w:jc w:val="center"/>
        <w:rPr>
          <w:b/>
          <w:bCs/>
          <w:color w:val="auto"/>
          <w:sz w:val="30"/>
          <w:szCs w:val="30"/>
        </w:rPr>
      </w:pPr>
      <w:r>
        <w:rPr>
          <w:b/>
          <w:bCs/>
          <w:color w:val="auto"/>
          <w:sz w:val="30"/>
          <w:szCs w:val="30"/>
        </w:rPr>
        <w:t>MASCHERINE AI SEGGI</w:t>
      </w:r>
      <w:r w:rsidR="00EF398A">
        <w:rPr>
          <w:b/>
          <w:bCs/>
          <w:color w:val="auto"/>
          <w:sz w:val="30"/>
          <w:szCs w:val="30"/>
        </w:rPr>
        <w:t xml:space="preserve"> </w:t>
      </w:r>
      <w:r>
        <w:rPr>
          <w:b/>
          <w:bCs/>
          <w:color w:val="auto"/>
          <w:sz w:val="30"/>
          <w:szCs w:val="30"/>
        </w:rPr>
        <w:t>PER EVITARE FOCOLAI E PROTEGGERE ANZIANI E FRAGILI</w:t>
      </w:r>
      <w:r w:rsidR="00B619C2">
        <w:rPr>
          <w:b/>
          <w:bCs/>
          <w:color w:val="auto"/>
          <w:sz w:val="30"/>
          <w:szCs w:val="30"/>
        </w:rPr>
        <w:t xml:space="preserve"> NELL’ESERCIZIO DEI LORO DIRITTI</w:t>
      </w:r>
    </w:p>
    <w:p w14:paraId="646955F4" w14:textId="2647C1C1" w:rsidR="00D21CBA" w:rsidRDefault="00D21CBA" w:rsidP="00D21CBA">
      <w:pPr>
        <w:spacing w:after="200" w:line="276" w:lineRule="auto"/>
        <w:jc w:val="both"/>
        <w:rPr>
          <w:b/>
          <w:bCs/>
          <w:color w:val="FF0000"/>
          <w:sz w:val="24"/>
          <w:szCs w:val="24"/>
        </w:rPr>
      </w:pPr>
      <w:r>
        <w:rPr>
          <w:b/>
          <w:bCs/>
          <w:color w:val="auto"/>
          <w:sz w:val="24"/>
          <w:szCs w:val="24"/>
        </w:rPr>
        <w:t xml:space="preserve">IL MONITORAGGIO DELLA FONDAZIONE GIMBE RILEVA, NELLA SETTIMANA 1-7 GIUGNO, UNA DIMINUZIONE DEI NUOVI CASI (121.726) IN QUASI TUTTE LE REGIONI ITALIANE. IN 22 PROVINCE SI REGISTRA UN INCREMENTO PERCENTUALE DEI NUOVI CASI. IN DISCESA GLI INDICATORI OSPEDALIERI E I DECESSI (392). FERME LE PERCENTUALI DI CHI HA RICEVUTO ALMENO UNA DOSE DI VACCINO (88,1% DELLA PLATEA) E DI CHI HA COMPLETATO IL CICLO VACCINALE (86,6% DELLA PLATEA). SONO 6,86 MILIONI I NON VACCINATI, DI CUI 2,86 MILIONI DI GUARITI PROTETTI SOLO TEMPORANEAMENTE. 8,07 MILIONI DI PERSONE NON HANNO ANCORA RICEVUTO LA TERZA DOSE, DI CUI QUASI 3 MILIONI DI GUARITI CHE NON POSSONO RICEVERLA NELL’IMMEDIATO. INGIUSTIFICABILI DIFFERENZE REGIONALI PER LA COPERTURA CON QUARTE DOSI DEGLI IMMUNOCOMPROMESSI (DAL 7,7% DELLA CALABRIA AL 100% DEL PIEMONTE) E DEGLI ALTRI FRAGILI (DAL 4,7% DELLA CALABRIA AL 37,2% DEL PIEMONTE). CON </w:t>
      </w:r>
      <w:r w:rsidR="0053670D">
        <w:rPr>
          <w:b/>
          <w:bCs/>
          <w:color w:val="auto"/>
          <w:sz w:val="24"/>
          <w:szCs w:val="24"/>
        </w:rPr>
        <w:t>QUASI</w:t>
      </w:r>
      <w:r w:rsidR="00B619C2">
        <w:rPr>
          <w:b/>
          <w:bCs/>
          <w:color w:val="auto"/>
          <w:sz w:val="24"/>
          <w:szCs w:val="24"/>
        </w:rPr>
        <w:t xml:space="preserve"> </w:t>
      </w:r>
      <w:r>
        <w:rPr>
          <w:b/>
          <w:bCs/>
          <w:color w:val="auto"/>
          <w:sz w:val="24"/>
          <w:szCs w:val="24"/>
        </w:rPr>
        <w:t>6</w:t>
      </w:r>
      <w:r w:rsidR="00B619C2">
        <w:rPr>
          <w:b/>
          <w:bCs/>
          <w:color w:val="auto"/>
          <w:sz w:val="24"/>
          <w:szCs w:val="24"/>
        </w:rPr>
        <w:t>2</w:t>
      </w:r>
      <w:r w:rsidR="0053670D">
        <w:rPr>
          <w:b/>
          <w:bCs/>
          <w:color w:val="auto"/>
          <w:sz w:val="24"/>
          <w:szCs w:val="24"/>
        </w:rPr>
        <w:t>9</w:t>
      </w:r>
      <w:r>
        <w:rPr>
          <w:b/>
          <w:bCs/>
          <w:color w:val="auto"/>
          <w:sz w:val="24"/>
          <w:szCs w:val="24"/>
        </w:rPr>
        <w:t xml:space="preserve"> MILA POSITIVI E LE INCERTEZZE SULLA VARIANTE BA.5</w:t>
      </w:r>
      <w:r w:rsidR="00B619C2">
        <w:rPr>
          <w:b/>
          <w:bCs/>
          <w:color w:val="auto"/>
          <w:sz w:val="24"/>
          <w:szCs w:val="24"/>
        </w:rPr>
        <w:t xml:space="preserve"> </w:t>
      </w:r>
      <w:r>
        <w:rPr>
          <w:b/>
          <w:bCs/>
          <w:color w:val="auto"/>
          <w:sz w:val="24"/>
          <w:szCs w:val="24"/>
        </w:rPr>
        <w:t xml:space="preserve">SEMPRE PRUDENTE </w:t>
      </w:r>
      <w:r w:rsidR="00B619C2">
        <w:rPr>
          <w:b/>
          <w:bCs/>
          <w:color w:val="auto"/>
          <w:sz w:val="24"/>
          <w:szCs w:val="24"/>
        </w:rPr>
        <w:t xml:space="preserve">INDOSSARE LA MASCHERINA </w:t>
      </w:r>
      <w:r>
        <w:rPr>
          <w:b/>
          <w:bCs/>
          <w:color w:val="auto"/>
          <w:sz w:val="24"/>
          <w:szCs w:val="24"/>
        </w:rPr>
        <w:t xml:space="preserve">IN TUTTI </w:t>
      </w:r>
      <w:r w:rsidR="00B619C2">
        <w:rPr>
          <w:b/>
          <w:bCs/>
          <w:color w:val="auto"/>
          <w:sz w:val="24"/>
          <w:szCs w:val="24"/>
        </w:rPr>
        <w:t xml:space="preserve">I LUOGHI </w:t>
      </w:r>
      <w:r>
        <w:rPr>
          <w:b/>
          <w:bCs/>
          <w:color w:val="auto"/>
          <w:sz w:val="24"/>
          <w:szCs w:val="24"/>
        </w:rPr>
        <w:t>AL CHIUSO</w:t>
      </w:r>
      <w:r w:rsidR="00B619C2">
        <w:rPr>
          <w:b/>
          <w:bCs/>
          <w:color w:val="auto"/>
          <w:sz w:val="24"/>
          <w:szCs w:val="24"/>
        </w:rPr>
        <w:t>.</w:t>
      </w:r>
      <w:r>
        <w:rPr>
          <w:b/>
          <w:bCs/>
          <w:color w:val="auto"/>
          <w:sz w:val="24"/>
          <w:szCs w:val="24"/>
        </w:rPr>
        <w:t xml:space="preserve"> </w:t>
      </w:r>
    </w:p>
    <w:p w14:paraId="38136A5A" w14:textId="77777777" w:rsidR="001F00E4" w:rsidRPr="00D44AA7" w:rsidRDefault="004C00B7" w:rsidP="00D21CBA">
      <w:pPr>
        <w:spacing w:after="0" w:line="276" w:lineRule="auto"/>
        <w:jc w:val="center"/>
        <w:rPr>
          <w:b/>
          <w:bCs/>
          <w:color w:val="auto"/>
          <w:sz w:val="32"/>
          <w:szCs w:val="32"/>
        </w:rPr>
      </w:pPr>
      <w:r w:rsidRPr="00D44AA7">
        <w:rPr>
          <w:rFonts w:cs="Calibri"/>
          <w:b/>
          <w:bCs/>
          <w:color w:val="auto"/>
        </w:rPr>
        <w:t>9</w:t>
      </w:r>
      <w:r w:rsidR="00CE5F5B" w:rsidRPr="00D44AA7">
        <w:rPr>
          <w:rFonts w:cs="Calibri"/>
          <w:b/>
          <w:bCs/>
          <w:color w:val="auto"/>
        </w:rPr>
        <w:t xml:space="preserve"> giugno</w:t>
      </w:r>
      <w:r w:rsidR="001F00E4" w:rsidRPr="00D44AA7">
        <w:rPr>
          <w:rFonts w:cs="Calibri"/>
          <w:b/>
          <w:bCs/>
          <w:color w:val="auto"/>
        </w:rPr>
        <w:t xml:space="preserve"> 2022 - Fondazione GIMBE, Bologna</w:t>
      </w:r>
    </w:p>
    <w:p w14:paraId="5BE3CA12" w14:textId="77777777" w:rsidR="00DC7AAF" w:rsidRPr="00D44AA7" w:rsidRDefault="00DC7AAF" w:rsidP="00D44AA7">
      <w:pPr>
        <w:spacing w:line="276" w:lineRule="auto"/>
        <w:jc w:val="both"/>
        <w:rPr>
          <w:color w:val="auto"/>
        </w:rPr>
      </w:pPr>
      <w:r w:rsidRPr="00D44AA7">
        <w:rPr>
          <w:color w:val="auto"/>
        </w:rPr>
        <w:t>Il monitoraggio indipendente della Fondazione GIMBE rileva nella settimana 1-7 giugno 2022, rispetto alla precedente, una diminuzione di nuovi casi (121.726 vs 131.977) (</w:t>
      </w:r>
      <w:r w:rsidRPr="00D44AA7">
        <w:rPr>
          <w:color w:val="auto"/>
          <w:highlight w:val="yellow"/>
        </w:rPr>
        <w:t>figura 1</w:t>
      </w:r>
      <w:r w:rsidRPr="00D44AA7">
        <w:rPr>
          <w:color w:val="auto"/>
        </w:rPr>
        <w:t>) e dei decessi (392 vs 547) (</w:t>
      </w:r>
      <w:r w:rsidRPr="00D44AA7">
        <w:rPr>
          <w:color w:val="auto"/>
          <w:highlight w:val="yellow"/>
        </w:rPr>
        <w:t>figura 2</w:t>
      </w:r>
      <w:r w:rsidRPr="00D44AA7">
        <w:rPr>
          <w:color w:val="auto"/>
        </w:rPr>
        <w:t>). In calo anche i casi attualmente positivi (628.977 vs 679.394), le persone in isolamento domiciliare (624.416 vs 674.025), i ricoveri con sintomi (4.342 vs 5.121) e le terapie intensive (219 vs 248) (</w:t>
      </w:r>
      <w:r w:rsidRPr="00D44AA7">
        <w:rPr>
          <w:color w:val="auto"/>
          <w:highlight w:val="yellow"/>
        </w:rPr>
        <w:t>figura 3</w:t>
      </w:r>
      <w:r w:rsidRPr="00D44AA7">
        <w:rPr>
          <w:color w:val="auto"/>
        </w:rPr>
        <w:t>). In dettaglio, rispetto alla settimana precedente, si registrano le seguenti variazioni:</w:t>
      </w:r>
    </w:p>
    <w:p w14:paraId="4CCC0A67" w14:textId="77777777" w:rsidR="00DC7AAF" w:rsidRPr="00D44AA7" w:rsidRDefault="00DC7AAF" w:rsidP="00D44AA7">
      <w:pPr>
        <w:pStyle w:val="Paragrafoelenco"/>
        <w:numPr>
          <w:ilvl w:val="0"/>
          <w:numId w:val="3"/>
        </w:numPr>
        <w:spacing w:after="0" w:line="276" w:lineRule="auto"/>
        <w:ind w:left="357" w:hanging="357"/>
        <w:jc w:val="both"/>
        <w:rPr>
          <w:color w:val="auto"/>
        </w:rPr>
      </w:pPr>
      <w:r w:rsidRPr="00D44AA7">
        <w:rPr>
          <w:color w:val="auto"/>
        </w:rPr>
        <w:t>Decessi: 392 (-28,3%), di cui 49 riferiti a periodi precedenti</w:t>
      </w:r>
    </w:p>
    <w:p w14:paraId="4AB7E08B" w14:textId="77777777" w:rsidR="00DC7AAF" w:rsidRPr="00D44AA7" w:rsidRDefault="00DC7AAF" w:rsidP="00D44AA7">
      <w:pPr>
        <w:pStyle w:val="Paragrafoelenco"/>
        <w:numPr>
          <w:ilvl w:val="0"/>
          <w:numId w:val="3"/>
        </w:numPr>
        <w:spacing w:after="0" w:line="276" w:lineRule="auto"/>
        <w:ind w:left="357" w:hanging="357"/>
        <w:jc w:val="both"/>
        <w:rPr>
          <w:color w:val="auto"/>
        </w:rPr>
      </w:pPr>
      <w:r w:rsidRPr="00D44AA7">
        <w:rPr>
          <w:color w:val="auto"/>
        </w:rPr>
        <w:t>Terapia intensiva: -29 (-11,7%)</w:t>
      </w:r>
    </w:p>
    <w:p w14:paraId="0B2E0725" w14:textId="77777777" w:rsidR="00DC7AAF" w:rsidRPr="00D44AA7" w:rsidRDefault="00DC7AAF" w:rsidP="00D44AA7">
      <w:pPr>
        <w:pStyle w:val="Paragrafoelenco"/>
        <w:numPr>
          <w:ilvl w:val="0"/>
          <w:numId w:val="3"/>
        </w:numPr>
        <w:spacing w:after="0" w:line="276" w:lineRule="auto"/>
        <w:ind w:left="357" w:hanging="357"/>
        <w:jc w:val="both"/>
        <w:rPr>
          <w:color w:val="auto"/>
        </w:rPr>
      </w:pPr>
      <w:r w:rsidRPr="00D44AA7">
        <w:rPr>
          <w:color w:val="auto"/>
        </w:rPr>
        <w:t>Ricoverati con sintomi: -779 (-15,2%)</w:t>
      </w:r>
    </w:p>
    <w:p w14:paraId="7FD4D753" w14:textId="77777777" w:rsidR="00DC7AAF" w:rsidRPr="00D44AA7" w:rsidRDefault="00DC7AAF" w:rsidP="00D44AA7">
      <w:pPr>
        <w:pStyle w:val="Paragrafoelenco"/>
        <w:numPr>
          <w:ilvl w:val="0"/>
          <w:numId w:val="3"/>
        </w:numPr>
        <w:spacing w:after="0" w:line="276" w:lineRule="auto"/>
        <w:ind w:left="357" w:hanging="357"/>
        <w:jc w:val="both"/>
        <w:rPr>
          <w:color w:val="auto"/>
        </w:rPr>
      </w:pPr>
      <w:r w:rsidRPr="00D44AA7">
        <w:rPr>
          <w:color w:val="auto"/>
        </w:rPr>
        <w:t>Isolamento domiciliare: -49.609 (-7,4%)</w:t>
      </w:r>
    </w:p>
    <w:p w14:paraId="235596E5" w14:textId="77777777" w:rsidR="00DC7AAF" w:rsidRPr="00D44AA7" w:rsidRDefault="00DC7AAF" w:rsidP="00D44AA7">
      <w:pPr>
        <w:pStyle w:val="Paragrafoelenco"/>
        <w:numPr>
          <w:ilvl w:val="0"/>
          <w:numId w:val="3"/>
        </w:numPr>
        <w:spacing w:after="0" w:line="276" w:lineRule="auto"/>
        <w:ind w:left="357" w:hanging="357"/>
        <w:jc w:val="both"/>
        <w:rPr>
          <w:color w:val="auto"/>
        </w:rPr>
      </w:pPr>
      <w:r w:rsidRPr="00D44AA7">
        <w:rPr>
          <w:color w:val="auto"/>
        </w:rPr>
        <w:t>Nuovi casi: 121.726 (-7,8%)</w:t>
      </w:r>
    </w:p>
    <w:p w14:paraId="258A9FE4" w14:textId="77777777" w:rsidR="00DC7AAF" w:rsidRPr="00D44AA7" w:rsidRDefault="00DC7AAF" w:rsidP="00D44AA7">
      <w:pPr>
        <w:pStyle w:val="Paragrafoelenco"/>
        <w:numPr>
          <w:ilvl w:val="0"/>
          <w:numId w:val="3"/>
        </w:numPr>
        <w:spacing w:line="276" w:lineRule="auto"/>
        <w:jc w:val="both"/>
        <w:rPr>
          <w:color w:val="auto"/>
        </w:rPr>
      </w:pPr>
      <w:r w:rsidRPr="00D44AA7">
        <w:rPr>
          <w:color w:val="auto"/>
        </w:rPr>
        <w:t>Casi attualmente positivi: -50.417 (-7,4%)</w:t>
      </w:r>
    </w:p>
    <w:p w14:paraId="5224B95B" w14:textId="41FB0E11" w:rsidR="00117C6A" w:rsidRDefault="00FA4320" w:rsidP="00D44AA7">
      <w:pPr>
        <w:spacing w:line="276" w:lineRule="auto"/>
        <w:jc w:val="both"/>
        <w:rPr>
          <w:color w:val="auto"/>
        </w:rPr>
      </w:pPr>
      <w:bookmarkStart w:id="0" w:name="_Hlk105580520"/>
      <w:r w:rsidRPr="00D44AA7">
        <w:rPr>
          <w:b/>
          <w:color w:val="auto"/>
        </w:rPr>
        <w:t xml:space="preserve">Nuovi casi. </w:t>
      </w:r>
      <w:r w:rsidRPr="00D44AA7">
        <w:rPr>
          <w:color w:val="auto"/>
        </w:rPr>
        <w:t>«</w:t>
      </w:r>
      <w:r w:rsidR="002054E6">
        <w:rPr>
          <w:color w:val="auto"/>
        </w:rPr>
        <w:t xml:space="preserve">Frena la discesa dei </w:t>
      </w:r>
      <w:r w:rsidR="005200F6" w:rsidRPr="00D44AA7">
        <w:rPr>
          <w:color w:val="auto"/>
        </w:rPr>
        <w:t>nuovi casi settimanali</w:t>
      </w:r>
      <w:r w:rsidR="00476F59" w:rsidRPr="00D44AA7">
        <w:rPr>
          <w:color w:val="auto"/>
        </w:rPr>
        <w:t xml:space="preserve"> </w:t>
      </w:r>
      <w:r w:rsidR="002054E6" w:rsidRPr="00D44AA7">
        <w:rPr>
          <w:color w:val="auto"/>
        </w:rPr>
        <w:t xml:space="preserve">(-7,8% rispetto alla settimana precedente) </w:t>
      </w:r>
      <w:r w:rsidR="00476F59" w:rsidRPr="00D44AA7">
        <w:rPr>
          <w:color w:val="auto"/>
        </w:rPr>
        <w:t>– dichiara Nino Cartabellotta, Presidente della Fondazione GIMBE –</w:t>
      </w:r>
      <w:r w:rsidR="002054E6">
        <w:rPr>
          <w:color w:val="auto"/>
        </w:rPr>
        <w:t xml:space="preserve"> che si </w:t>
      </w:r>
      <w:r w:rsidR="00961C02" w:rsidRPr="00D44AA7">
        <w:rPr>
          <w:color w:val="auto"/>
        </w:rPr>
        <w:t>attestan</w:t>
      </w:r>
      <w:r w:rsidR="002054E6">
        <w:rPr>
          <w:color w:val="auto"/>
        </w:rPr>
        <w:t xml:space="preserve">o </w:t>
      </w:r>
      <w:r w:rsidR="00117C6A" w:rsidRPr="00D44AA7">
        <w:rPr>
          <w:color w:val="auto"/>
        </w:rPr>
        <w:t xml:space="preserve">intorno </w:t>
      </w:r>
      <w:r w:rsidRPr="00D44AA7">
        <w:rPr>
          <w:color w:val="auto"/>
        </w:rPr>
        <w:t xml:space="preserve">a </w:t>
      </w:r>
      <w:r w:rsidR="00DB70BE" w:rsidRPr="00D44AA7">
        <w:rPr>
          <w:color w:val="auto"/>
        </w:rPr>
        <w:t xml:space="preserve">quota </w:t>
      </w:r>
      <w:r w:rsidR="006B3B3A" w:rsidRPr="00D44AA7">
        <w:rPr>
          <w:color w:val="auto"/>
        </w:rPr>
        <w:t>122</w:t>
      </w:r>
      <w:r w:rsidR="00B92911" w:rsidRPr="00D44AA7">
        <w:rPr>
          <w:color w:val="auto"/>
        </w:rPr>
        <w:t xml:space="preserve"> mila</w:t>
      </w:r>
      <w:r w:rsidR="00881A83" w:rsidRPr="00D44AA7">
        <w:rPr>
          <w:color w:val="auto"/>
        </w:rPr>
        <w:t xml:space="preserve"> </w:t>
      </w:r>
      <w:r w:rsidR="004D0641" w:rsidRPr="00D44AA7">
        <w:rPr>
          <w:color w:val="auto"/>
        </w:rPr>
        <w:t>con</w:t>
      </w:r>
      <w:r w:rsidRPr="00D44AA7">
        <w:rPr>
          <w:color w:val="auto"/>
        </w:rPr>
        <w:t xml:space="preserve"> una media mobile a 7 giorni </w:t>
      </w:r>
      <w:r w:rsidR="00117C6A" w:rsidRPr="00D44AA7">
        <w:rPr>
          <w:color w:val="auto"/>
        </w:rPr>
        <w:t xml:space="preserve">di poco </w:t>
      </w:r>
      <w:r w:rsidR="006B3B3A" w:rsidRPr="00D44AA7">
        <w:rPr>
          <w:color w:val="auto"/>
        </w:rPr>
        <w:t>superiore</w:t>
      </w:r>
      <w:r w:rsidR="00117C6A" w:rsidRPr="00D44AA7">
        <w:rPr>
          <w:color w:val="auto"/>
        </w:rPr>
        <w:t xml:space="preserve"> ai </w:t>
      </w:r>
      <w:r w:rsidR="006B3B3A" w:rsidRPr="00D44AA7">
        <w:rPr>
          <w:color w:val="auto"/>
        </w:rPr>
        <w:t>17</w:t>
      </w:r>
      <w:r w:rsidR="00C15EB5" w:rsidRPr="00D44AA7">
        <w:rPr>
          <w:color w:val="auto"/>
        </w:rPr>
        <w:t xml:space="preserve"> </w:t>
      </w:r>
      <w:r w:rsidR="008E50A0" w:rsidRPr="00D44AA7">
        <w:rPr>
          <w:color w:val="auto"/>
        </w:rPr>
        <w:t>mila</w:t>
      </w:r>
      <w:r w:rsidR="00C13A5D" w:rsidRPr="00D44AA7">
        <w:rPr>
          <w:color w:val="auto"/>
        </w:rPr>
        <w:t xml:space="preserve"> casi</w:t>
      </w:r>
      <w:r w:rsidR="00C15EB5" w:rsidRPr="00D44AA7">
        <w:rPr>
          <w:color w:val="auto"/>
        </w:rPr>
        <w:t xml:space="preserve"> giornalieri</w:t>
      </w:r>
      <w:r w:rsidR="002054E6">
        <w:rPr>
          <w:color w:val="auto"/>
        </w:rPr>
        <w:t xml:space="preserve"> con una curva </w:t>
      </w:r>
      <w:r w:rsidR="00F073D2">
        <w:rPr>
          <w:color w:val="auto"/>
        </w:rPr>
        <w:t xml:space="preserve">in fase di plateau e </w:t>
      </w:r>
      <w:r w:rsidR="006A02B7">
        <w:rPr>
          <w:color w:val="auto"/>
        </w:rPr>
        <w:t>condizionata dal netto calo dell’attività di testing nel lungo ponte del weekend scorso</w:t>
      </w:r>
      <w:r w:rsidR="00D278B3">
        <w:rPr>
          <w:color w:val="auto"/>
        </w:rPr>
        <w:t xml:space="preserve"> (-17,7% tamponi totali)</w:t>
      </w:r>
      <w:r w:rsidRPr="00D44AA7">
        <w:rPr>
          <w:color w:val="auto"/>
        </w:rPr>
        <w:t>»</w:t>
      </w:r>
      <w:r w:rsidR="003D7565" w:rsidRPr="00D44AA7">
        <w:rPr>
          <w:color w:val="auto"/>
        </w:rPr>
        <w:t xml:space="preserve"> </w:t>
      </w:r>
      <w:bookmarkEnd w:id="0"/>
      <w:r w:rsidRPr="00D44AA7">
        <w:rPr>
          <w:color w:val="auto"/>
        </w:rPr>
        <w:t>(</w:t>
      </w:r>
      <w:r w:rsidRPr="00D44AA7">
        <w:rPr>
          <w:color w:val="auto"/>
          <w:highlight w:val="yellow"/>
        </w:rPr>
        <w:t>figura 4</w:t>
      </w:r>
      <w:r w:rsidRPr="00D44AA7">
        <w:rPr>
          <w:color w:val="auto"/>
        </w:rPr>
        <w:t>).</w:t>
      </w:r>
      <w:r w:rsidR="00557ACD" w:rsidRPr="00D44AA7">
        <w:rPr>
          <w:color w:val="auto"/>
        </w:rPr>
        <w:t xml:space="preserve"> N</w:t>
      </w:r>
      <w:r w:rsidR="00AC37CB" w:rsidRPr="00D44AA7">
        <w:rPr>
          <w:color w:val="auto"/>
        </w:rPr>
        <w:t xml:space="preserve">ella </w:t>
      </w:r>
      <w:r w:rsidR="008568BE" w:rsidRPr="00D44AA7">
        <w:rPr>
          <w:color w:val="auto"/>
        </w:rPr>
        <w:t xml:space="preserve">settimana </w:t>
      </w:r>
      <w:r w:rsidR="00DC7AAF" w:rsidRPr="00D44AA7">
        <w:rPr>
          <w:color w:val="auto"/>
        </w:rPr>
        <w:t xml:space="preserve">1-7 giugno </w:t>
      </w:r>
      <w:r w:rsidR="003E4620" w:rsidRPr="00D44AA7">
        <w:rPr>
          <w:color w:val="auto"/>
        </w:rPr>
        <w:t xml:space="preserve">si </w:t>
      </w:r>
      <w:r w:rsidR="00811762" w:rsidRPr="00D44AA7">
        <w:rPr>
          <w:color w:val="auto"/>
        </w:rPr>
        <w:t xml:space="preserve">rileva </w:t>
      </w:r>
      <w:r w:rsidR="005F1AA6" w:rsidRPr="00D44AA7">
        <w:rPr>
          <w:color w:val="auto"/>
        </w:rPr>
        <w:t>un</w:t>
      </w:r>
      <w:r w:rsidR="00DC7AAF" w:rsidRPr="00D44AA7">
        <w:rPr>
          <w:color w:val="auto"/>
        </w:rPr>
        <w:t xml:space="preserve"> </w:t>
      </w:r>
      <w:r w:rsidR="002054E6">
        <w:rPr>
          <w:color w:val="auto"/>
        </w:rPr>
        <w:t xml:space="preserve">lieve </w:t>
      </w:r>
      <w:r w:rsidR="00DC7AAF" w:rsidRPr="00D44AA7">
        <w:rPr>
          <w:color w:val="auto"/>
        </w:rPr>
        <w:t xml:space="preserve">incremento percentuale dei nuovi casi in Veneto (+1%) e Friuli-Venezia Giulia (+1,6%) e una </w:t>
      </w:r>
      <w:r w:rsidR="00D16AD8" w:rsidRPr="00D44AA7">
        <w:rPr>
          <w:color w:val="auto"/>
        </w:rPr>
        <w:t>riduzione</w:t>
      </w:r>
      <w:r w:rsidR="005F1AA6" w:rsidRPr="00D44AA7">
        <w:rPr>
          <w:color w:val="auto"/>
        </w:rPr>
        <w:t xml:space="preserve"> </w:t>
      </w:r>
      <w:r w:rsidR="0082308F" w:rsidRPr="00D44AA7">
        <w:rPr>
          <w:color w:val="auto"/>
        </w:rPr>
        <w:t xml:space="preserve">in tutte le </w:t>
      </w:r>
      <w:r w:rsidR="00DC7AAF" w:rsidRPr="00D44AA7">
        <w:rPr>
          <w:color w:val="auto"/>
        </w:rPr>
        <w:t xml:space="preserve">altre </w:t>
      </w:r>
      <w:r w:rsidR="0082308F" w:rsidRPr="00D44AA7">
        <w:rPr>
          <w:color w:val="auto"/>
        </w:rPr>
        <w:t>Regioni</w:t>
      </w:r>
      <w:r w:rsidR="00FB5602" w:rsidRPr="00D44AA7">
        <w:rPr>
          <w:color w:val="auto"/>
        </w:rPr>
        <w:t xml:space="preserve">: </w:t>
      </w:r>
      <w:r w:rsidR="00C6227B" w:rsidRPr="00D44AA7">
        <w:rPr>
          <w:color w:val="auto"/>
        </w:rPr>
        <w:t xml:space="preserve">dal </w:t>
      </w:r>
      <w:r w:rsidR="00C15EB5" w:rsidRPr="00D44AA7">
        <w:rPr>
          <w:color w:val="auto"/>
        </w:rPr>
        <w:t>-</w:t>
      </w:r>
      <w:r w:rsidR="00DC7AAF" w:rsidRPr="00D44AA7">
        <w:rPr>
          <w:color w:val="auto"/>
        </w:rPr>
        <w:t>3</w:t>
      </w:r>
      <w:r w:rsidR="00FB5602" w:rsidRPr="00D44AA7">
        <w:rPr>
          <w:color w:val="auto"/>
        </w:rPr>
        <w:t xml:space="preserve">% </w:t>
      </w:r>
      <w:r w:rsidR="00DC7AAF" w:rsidRPr="00D44AA7">
        <w:rPr>
          <w:color w:val="auto"/>
        </w:rPr>
        <w:t xml:space="preserve">della Sicilia </w:t>
      </w:r>
      <w:r w:rsidR="00C15EB5" w:rsidRPr="00D44AA7">
        <w:rPr>
          <w:color w:val="auto"/>
        </w:rPr>
        <w:t>al -</w:t>
      </w:r>
      <w:r w:rsidR="00DC7AAF" w:rsidRPr="00D44AA7">
        <w:rPr>
          <w:color w:val="auto"/>
        </w:rPr>
        <w:t>32</w:t>
      </w:r>
      <w:r w:rsidR="00117C6A" w:rsidRPr="00D44AA7">
        <w:rPr>
          <w:color w:val="auto"/>
        </w:rPr>
        <w:t>,</w:t>
      </w:r>
      <w:r w:rsidR="00DC7AAF" w:rsidRPr="00D44AA7">
        <w:rPr>
          <w:color w:val="auto"/>
        </w:rPr>
        <w:t>8</w:t>
      </w:r>
      <w:r w:rsidR="00C15EB5" w:rsidRPr="00D44AA7">
        <w:rPr>
          <w:color w:val="auto"/>
        </w:rPr>
        <w:t>% del</w:t>
      </w:r>
      <w:r w:rsidR="00DC7AAF" w:rsidRPr="00D44AA7">
        <w:rPr>
          <w:color w:val="auto"/>
        </w:rPr>
        <w:t>la Valle D’Aosta</w:t>
      </w:r>
      <w:r w:rsidR="00FB5602" w:rsidRPr="00D44AA7">
        <w:rPr>
          <w:color w:val="auto"/>
        </w:rPr>
        <w:t xml:space="preserve"> </w:t>
      </w:r>
      <w:r w:rsidR="008568BE" w:rsidRPr="00D44AA7">
        <w:rPr>
          <w:color w:val="auto"/>
        </w:rPr>
        <w:t>(</w:t>
      </w:r>
      <w:r w:rsidR="008568BE" w:rsidRPr="00D44AA7">
        <w:rPr>
          <w:color w:val="auto"/>
          <w:highlight w:val="yellow"/>
        </w:rPr>
        <w:t>tabella 1</w:t>
      </w:r>
      <w:r w:rsidR="008568BE" w:rsidRPr="00D44AA7">
        <w:rPr>
          <w:color w:val="auto"/>
        </w:rPr>
        <w:t>).</w:t>
      </w:r>
      <w:r w:rsidR="00D74F90" w:rsidRPr="00D44AA7">
        <w:rPr>
          <w:color w:val="auto"/>
        </w:rPr>
        <w:t xml:space="preserve"> </w:t>
      </w:r>
      <w:r w:rsidR="001647A3" w:rsidRPr="00D44AA7">
        <w:rPr>
          <w:color w:val="auto"/>
        </w:rPr>
        <w:t xml:space="preserve">Rispetto alla settimana precedente, </w:t>
      </w:r>
      <w:r w:rsidR="00A018E7" w:rsidRPr="00D44AA7">
        <w:rPr>
          <w:color w:val="auto"/>
        </w:rPr>
        <w:t xml:space="preserve">in </w:t>
      </w:r>
      <w:r w:rsidR="00DC7AAF" w:rsidRPr="00D44AA7">
        <w:rPr>
          <w:color w:val="auto"/>
        </w:rPr>
        <w:t>85</w:t>
      </w:r>
      <w:r w:rsidR="00A018E7" w:rsidRPr="00D44AA7">
        <w:rPr>
          <w:color w:val="auto"/>
        </w:rPr>
        <w:t xml:space="preserve"> Province si registra una riduzione percentuale dei nuovi casi (dal -</w:t>
      </w:r>
      <w:r w:rsidR="00DC7AAF" w:rsidRPr="00D44AA7">
        <w:rPr>
          <w:color w:val="auto"/>
        </w:rPr>
        <w:t>0</w:t>
      </w:r>
      <w:r w:rsidR="00A018E7" w:rsidRPr="00D44AA7">
        <w:rPr>
          <w:color w:val="auto"/>
        </w:rPr>
        <w:t>,</w:t>
      </w:r>
      <w:r w:rsidR="00DC7AAF" w:rsidRPr="00D44AA7">
        <w:rPr>
          <w:color w:val="auto"/>
        </w:rPr>
        <w:t>3</w:t>
      </w:r>
      <w:r w:rsidR="00A018E7" w:rsidRPr="00D44AA7">
        <w:rPr>
          <w:color w:val="auto"/>
        </w:rPr>
        <w:t xml:space="preserve">% di </w:t>
      </w:r>
      <w:r w:rsidR="00DC7AAF" w:rsidRPr="00D44AA7">
        <w:rPr>
          <w:color w:val="auto"/>
        </w:rPr>
        <w:t>Parma</w:t>
      </w:r>
      <w:r w:rsidR="00A018E7" w:rsidRPr="00D44AA7">
        <w:rPr>
          <w:color w:val="auto"/>
        </w:rPr>
        <w:t xml:space="preserve"> al -</w:t>
      </w:r>
      <w:r w:rsidR="00DC7AAF" w:rsidRPr="00D44AA7">
        <w:rPr>
          <w:color w:val="auto"/>
        </w:rPr>
        <w:t>35</w:t>
      </w:r>
      <w:r w:rsidR="00A018E7" w:rsidRPr="00D44AA7">
        <w:rPr>
          <w:color w:val="auto"/>
        </w:rPr>
        <w:t>,</w:t>
      </w:r>
      <w:r w:rsidR="00DC7AAF" w:rsidRPr="00D44AA7">
        <w:rPr>
          <w:color w:val="auto"/>
        </w:rPr>
        <w:t>2</w:t>
      </w:r>
      <w:r w:rsidR="00A018E7" w:rsidRPr="00D44AA7">
        <w:rPr>
          <w:color w:val="auto"/>
        </w:rPr>
        <w:t xml:space="preserve">% di </w:t>
      </w:r>
      <w:r w:rsidR="00DC7AAF" w:rsidRPr="00D44AA7">
        <w:rPr>
          <w:color w:val="auto"/>
        </w:rPr>
        <w:t>Aosta</w:t>
      </w:r>
      <w:r w:rsidR="00A018E7" w:rsidRPr="00D44AA7">
        <w:rPr>
          <w:color w:val="auto"/>
        </w:rPr>
        <w:t>)</w:t>
      </w:r>
      <w:r w:rsidR="00D21CBA">
        <w:rPr>
          <w:color w:val="auto"/>
        </w:rPr>
        <w:t>; salgono da 2 a</w:t>
      </w:r>
      <w:r w:rsidR="00DC7AAF" w:rsidRPr="00D44AA7">
        <w:rPr>
          <w:color w:val="auto"/>
        </w:rPr>
        <w:t xml:space="preserve"> </w:t>
      </w:r>
      <w:r w:rsidR="00BA097A" w:rsidRPr="00D44AA7">
        <w:rPr>
          <w:color w:val="auto"/>
        </w:rPr>
        <w:t>2</w:t>
      </w:r>
      <w:r w:rsidR="00DC7AAF" w:rsidRPr="00D44AA7">
        <w:rPr>
          <w:color w:val="auto"/>
        </w:rPr>
        <w:t>2</w:t>
      </w:r>
      <w:r w:rsidR="00D21CBA">
        <w:rPr>
          <w:color w:val="auto"/>
        </w:rPr>
        <w:t xml:space="preserve"> le Province in </w:t>
      </w:r>
      <w:r w:rsidR="00D21CBA">
        <w:rPr>
          <w:color w:val="auto"/>
        </w:rPr>
        <w:lastRenderedPageBreak/>
        <w:t xml:space="preserve">cui si rileva un </w:t>
      </w:r>
      <w:r w:rsidR="00F073D2">
        <w:rPr>
          <w:color w:val="auto"/>
        </w:rPr>
        <w:t>aumento</w:t>
      </w:r>
      <w:r w:rsidR="00A018E7" w:rsidRPr="00D44AA7">
        <w:rPr>
          <w:color w:val="auto"/>
        </w:rPr>
        <w:t xml:space="preserve"> </w:t>
      </w:r>
      <w:r w:rsidR="00014C7B" w:rsidRPr="00D44AA7">
        <w:rPr>
          <w:color w:val="auto"/>
        </w:rPr>
        <w:t>(</w:t>
      </w:r>
      <w:r w:rsidR="00DC7AAF" w:rsidRPr="00D44AA7">
        <w:rPr>
          <w:color w:val="auto"/>
        </w:rPr>
        <w:t>dal +0,4% di Messina, Padova</w:t>
      </w:r>
      <w:r w:rsidR="00117C6A" w:rsidRPr="00D44AA7">
        <w:rPr>
          <w:color w:val="auto"/>
        </w:rPr>
        <w:t xml:space="preserve"> </w:t>
      </w:r>
      <w:r w:rsidR="00DC7AAF" w:rsidRPr="00D44AA7">
        <w:rPr>
          <w:color w:val="auto"/>
        </w:rPr>
        <w:t xml:space="preserve">e Roma al </w:t>
      </w:r>
      <w:r w:rsidR="00117C6A" w:rsidRPr="00D44AA7">
        <w:rPr>
          <w:color w:val="auto"/>
        </w:rPr>
        <w:t>+</w:t>
      </w:r>
      <w:r w:rsidR="00DC7AAF" w:rsidRPr="00D44AA7">
        <w:rPr>
          <w:color w:val="auto"/>
        </w:rPr>
        <w:t>20</w:t>
      </w:r>
      <w:r w:rsidR="00117C6A" w:rsidRPr="00D44AA7">
        <w:rPr>
          <w:color w:val="auto"/>
        </w:rPr>
        <w:t>,</w:t>
      </w:r>
      <w:r w:rsidR="00DC7AAF" w:rsidRPr="00D44AA7">
        <w:rPr>
          <w:color w:val="auto"/>
        </w:rPr>
        <w:t>2</w:t>
      </w:r>
      <w:r w:rsidR="00BA097A" w:rsidRPr="00D44AA7">
        <w:rPr>
          <w:color w:val="auto"/>
        </w:rPr>
        <w:t xml:space="preserve">% </w:t>
      </w:r>
      <w:r w:rsidR="00DC7AAF" w:rsidRPr="00D44AA7">
        <w:rPr>
          <w:color w:val="auto"/>
        </w:rPr>
        <w:t>di Enna</w:t>
      </w:r>
      <w:r w:rsidR="00014C7B" w:rsidRPr="00D44AA7">
        <w:rPr>
          <w:color w:val="auto"/>
        </w:rPr>
        <w:t>)</w:t>
      </w:r>
      <w:r w:rsidR="00D21CBA">
        <w:rPr>
          <w:color w:val="auto"/>
        </w:rPr>
        <w:t xml:space="preserve">, in 7 casi </w:t>
      </w:r>
      <w:r w:rsidR="00DC7AAF" w:rsidRPr="00D44AA7">
        <w:rPr>
          <w:color w:val="auto"/>
        </w:rPr>
        <w:t>superiore al 10%</w:t>
      </w:r>
      <w:r w:rsidR="00D1612B" w:rsidRPr="00D44AA7">
        <w:rPr>
          <w:color w:val="auto"/>
        </w:rPr>
        <w:t xml:space="preserve">. </w:t>
      </w:r>
      <w:r w:rsidR="00443EDD" w:rsidRPr="00D44AA7">
        <w:rPr>
          <w:color w:val="auto"/>
        </w:rPr>
        <w:t>In n</w:t>
      </w:r>
      <w:r w:rsidR="00BA097A" w:rsidRPr="00D44AA7">
        <w:rPr>
          <w:color w:val="auto"/>
        </w:rPr>
        <w:t xml:space="preserve">essuna Provincia </w:t>
      </w:r>
      <w:r w:rsidR="00443EDD" w:rsidRPr="00D44AA7">
        <w:rPr>
          <w:color w:val="auto"/>
        </w:rPr>
        <w:t>l</w:t>
      </w:r>
      <w:r w:rsidR="00A27021" w:rsidRPr="00D44AA7">
        <w:rPr>
          <w:color w:val="auto"/>
        </w:rPr>
        <w:t>’incidenza</w:t>
      </w:r>
      <w:r w:rsidR="00BA097A" w:rsidRPr="00D44AA7">
        <w:rPr>
          <w:color w:val="auto"/>
        </w:rPr>
        <w:t xml:space="preserve"> </w:t>
      </w:r>
      <w:r w:rsidR="00443EDD" w:rsidRPr="00D44AA7">
        <w:rPr>
          <w:color w:val="auto"/>
        </w:rPr>
        <w:t xml:space="preserve">supera </w:t>
      </w:r>
      <w:r w:rsidR="00EC02BE" w:rsidRPr="00D44AA7">
        <w:rPr>
          <w:color w:val="auto"/>
        </w:rPr>
        <w:t>i 500 casi per 100.000 abitanti</w:t>
      </w:r>
      <w:r w:rsidR="00443EDD" w:rsidRPr="00D44AA7">
        <w:rPr>
          <w:color w:val="auto"/>
        </w:rPr>
        <w:t xml:space="preserve">, attestandosi </w:t>
      </w:r>
      <w:r w:rsidR="00BA097A" w:rsidRPr="00D44AA7">
        <w:rPr>
          <w:color w:val="auto"/>
        </w:rPr>
        <w:t xml:space="preserve">tra </w:t>
      </w:r>
      <w:r w:rsidR="00DC7AAF" w:rsidRPr="00D44AA7">
        <w:rPr>
          <w:color w:val="auto"/>
        </w:rPr>
        <w:t>gl</w:t>
      </w:r>
      <w:r w:rsidR="00BA097A" w:rsidRPr="00D44AA7">
        <w:rPr>
          <w:color w:val="auto"/>
        </w:rPr>
        <w:t xml:space="preserve">i </w:t>
      </w:r>
      <w:r w:rsidR="00DC7AAF" w:rsidRPr="00D44AA7">
        <w:rPr>
          <w:color w:val="auto"/>
        </w:rPr>
        <w:t>86</w:t>
      </w:r>
      <w:r w:rsidR="00BA097A" w:rsidRPr="00D44AA7">
        <w:rPr>
          <w:color w:val="auto"/>
        </w:rPr>
        <w:t xml:space="preserve"> casi per 100.000 abitanti di Bergamo e i </w:t>
      </w:r>
      <w:r w:rsidR="00DC7AAF" w:rsidRPr="00D44AA7">
        <w:rPr>
          <w:color w:val="auto"/>
        </w:rPr>
        <w:t>374</w:t>
      </w:r>
      <w:r w:rsidR="00BA097A" w:rsidRPr="00D44AA7">
        <w:rPr>
          <w:color w:val="auto"/>
        </w:rPr>
        <w:t xml:space="preserve"> di </w:t>
      </w:r>
      <w:r w:rsidR="00DC7AAF" w:rsidRPr="00D44AA7">
        <w:rPr>
          <w:color w:val="auto"/>
        </w:rPr>
        <w:t>Cagliari</w:t>
      </w:r>
      <w:r w:rsidR="00117C6A" w:rsidRPr="00D44AA7">
        <w:rPr>
          <w:color w:val="auto"/>
        </w:rPr>
        <w:t xml:space="preserve"> </w:t>
      </w:r>
      <w:r w:rsidR="00C13A5D" w:rsidRPr="00D44AA7">
        <w:rPr>
          <w:color w:val="auto"/>
        </w:rPr>
        <w:t>(</w:t>
      </w:r>
      <w:r w:rsidR="00C13A5D" w:rsidRPr="00D44AA7">
        <w:rPr>
          <w:color w:val="auto"/>
          <w:highlight w:val="yellow"/>
        </w:rPr>
        <w:t>tabella 2</w:t>
      </w:r>
      <w:r w:rsidR="00C13A5D" w:rsidRPr="00D44AA7">
        <w:rPr>
          <w:color w:val="auto"/>
        </w:rPr>
        <w:t>).</w:t>
      </w:r>
    </w:p>
    <w:p w14:paraId="65E7B57E" w14:textId="461E9C7D" w:rsidR="004B0317" w:rsidRPr="00622580" w:rsidRDefault="004B0317" w:rsidP="004B0317">
      <w:pPr>
        <w:spacing w:line="276" w:lineRule="auto"/>
        <w:jc w:val="both"/>
        <w:rPr>
          <w:color w:val="auto"/>
        </w:rPr>
      </w:pPr>
      <w:r>
        <w:rPr>
          <w:b/>
          <w:color w:val="auto"/>
        </w:rPr>
        <w:t>Nuove varianti.</w:t>
      </w:r>
      <w:r>
        <w:rPr>
          <w:color w:val="auto"/>
        </w:rPr>
        <w:t xml:space="preserve"> Il </w:t>
      </w:r>
      <w:r w:rsidR="00BA3B3D">
        <w:rPr>
          <w:color w:val="auto"/>
        </w:rPr>
        <w:t>“</w:t>
      </w:r>
      <w:r w:rsidR="00F073D2">
        <w:rPr>
          <w:color w:val="auto"/>
        </w:rPr>
        <w:t xml:space="preserve">caso </w:t>
      </w:r>
      <w:r>
        <w:rPr>
          <w:color w:val="auto"/>
        </w:rPr>
        <w:t>Portogallo</w:t>
      </w:r>
      <w:r w:rsidR="00BA3B3D">
        <w:rPr>
          <w:color w:val="auto"/>
        </w:rPr>
        <w:t>”</w:t>
      </w:r>
      <w:r>
        <w:rPr>
          <w:color w:val="auto"/>
        </w:rPr>
        <w:t xml:space="preserve"> ha destato una certa preoccupazione in Europa</w:t>
      </w:r>
      <w:r w:rsidR="00F073D2">
        <w:rPr>
          <w:color w:val="auto"/>
        </w:rPr>
        <w:t xml:space="preserve">: </w:t>
      </w:r>
      <w:r w:rsidR="00BA3B3D">
        <w:rPr>
          <w:color w:val="auto"/>
        </w:rPr>
        <w:t xml:space="preserve">in questo Paese </w:t>
      </w:r>
      <w:r>
        <w:rPr>
          <w:color w:val="auto"/>
        </w:rPr>
        <w:t xml:space="preserve">il numero dei nuovi casi è </w:t>
      </w:r>
      <w:r w:rsidR="0012099D">
        <w:rPr>
          <w:color w:val="auto"/>
        </w:rPr>
        <w:t xml:space="preserve">salito </w:t>
      </w:r>
      <w:r>
        <w:rPr>
          <w:color w:val="auto"/>
        </w:rPr>
        <w:t>da</w:t>
      </w:r>
      <w:r w:rsidR="003C29FE">
        <w:rPr>
          <w:color w:val="auto"/>
        </w:rPr>
        <w:t xml:space="preserve"> meno di 9</w:t>
      </w:r>
      <w:r w:rsidR="00BA3B3D">
        <w:rPr>
          <w:color w:val="auto"/>
        </w:rPr>
        <w:t xml:space="preserve"> </w:t>
      </w:r>
      <w:r w:rsidR="003C29FE">
        <w:rPr>
          <w:color w:val="auto"/>
        </w:rPr>
        <w:t>mila casi al giorno a oltre 29</w:t>
      </w:r>
      <w:r w:rsidR="00BA3B3D">
        <w:rPr>
          <w:color w:val="auto"/>
        </w:rPr>
        <w:t xml:space="preserve"> </w:t>
      </w:r>
      <w:r w:rsidR="003C29FE">
        <w:rPr>
          <w:color w:val="auto"/>
        </w:rPr>
        <w:t>mila in poco più di un mese</w:t>
      </w:r>
      <w:r w:rsidR="00BA3B3D">
        <w:rPr>
          <w:color w:val="auto"/>
        </w:rPr>
        <w:t>,</w:t>
      </w:r>
      <w:r w:rsidRPr="00897331">
        <w:rPr>
          <w:color w:val="FF0000"/>
        </w:rPr>
        <w:t xml:space="preserve"> </w:t>
      </w:r>
      <w:r>
        <w:rPr>
          <w:color w:val="auto"/>
        </w:rPr>
        <w:t>parallelamente all’aumentata</w:t>
      </w:r>
      <w:r w:rsidR="0012099D">
        <w:rPr>
          <w:color w:val="auto"/>
        </w:rPr>
        <w:t xml:space="preserve"> prevalenza</w:t>
      </w:r>
      <w:r>
        <w:rPr>
          <w:color w:val="auto"/>
        </w:rPr>
        <w:t xml:space="preserve"> della variante BA.5 che il 20 maggio ha raggiunto il 37%, rispetto al 18,5% di due settimane </w:t>
      </w:r>
      <w:bookmarkStart w:id="1" w:name="_Hlk105512915"/>
      <w:r>
        <w:rPr>
          <w:color w:val="auto"/>
        </w:rPr>
        <w:t>prima</w:t>
      </w:r>
      <w:bookmarkEnd w:id="1"/>
      <w:r>
        <w:rPr>
          <w:color w:val="auto"/>
        </w:rPr>
        <w:t xml:space="preserve">. Nel nostro Paese, l’ultima flash survey dell’Istituto Superiore di Sanità (ISS), effettuata sui campioni notificati il 3 maggio 2022, documenta una netta prevalenza della sotto-variante Omicron BA.2 (93,8% - range 65,6-100%) che in quel momento aveva quasi completamente soppiantato la BA.1 (3,52% - range 0-12,9%). Le nuove sotto-varianti BA.4 e BA.5 si attestavano invece rispettivamente allo 0,47% (range 0-4%) e allo 0,41% (range 0-5,6%). </w:t>
      </w:r>
      <w:r>
        <w:t xml:space="preserve">Secondo quanto comunicato dalla </w:t>
      </w:r>
      <w:hyperlink r:id="rId8" w:history="1">
        <w:r w:rsidRPr="00784991">
          <w:rPr>
            <w:rStyle w:val="Collegamentoipertestuale"/>
          </w:rPr>
          <w:t>Circolare del Ministero della Salute del</w:t>
        </w:r>
        <w:r w:rsidR="00B070C5">
          <w:rPr>
            <w:rStyle w:val="Collegamentoipertestuale"/>
          </w:rPr>
          <w:t xml:space="preserve"> </w:t>
        </w:r>
        <w:r w:rsidRPr="00784991">
          <w:rPr>
            <w:rStyle w:val="Collegamentoipertestuale"/>
          </w:rPr>
          <w:t>1 giugno</w:t>
        </w:r>
      </w:hyperlink>
      <w:r>
        <w:t xml:space="preserve">, sarà </w:t>
      </w:r>
      <w:r w:rsidR="00BA3B3D">
        <w:t xml:space="preserve">a breve </w:t>
      </w:r>
      <w:r>
        <w:t xml:space="preserve">pubblicata </w:t>
      </w:r>
      <w:r w:rsidR="00D278B3">
        <w:t xml:space="preserve">una nuova flash survey </w:t>
      </w:r>
      <w:r w:rsidR="0012099D">
        <w:t xml:space="preserve">condotta </w:t>
      </w:r>
      <w:r>
        <w:t>sui campioni notificati il 7 giugno 2022.</w:t>
      </w:r>
      <w:r>
        <w:rPr>
          <w:color w:val="auto"/>
        </w:rPr>
        <w:t xml:space="preserve"> </w:t>
      </w:r>
      <w:r>
        <w:rPr>
          <w:rFonts w:cs="Calibri"/>
          <w:color w:val="auto"/>
        </w:rPr>
        <w:t xml:space="preserve">«In questo contesto </w:t>
      </w:r>
      <w:r w:rsidR="0012099D">
        <w:rPr>
          <w:rFonts w:cs="Calibri"/>
          <w:color w:val="auto"/>
        </w:rPr>
        <w:t xml:space="preserve">in </w:t>
      </w:r>
      <w:r>
        <w:rPr>
          <w:rFonts w:cs="Calibri"/>
          <w:color w:val="auto"/>
        </w:rPr>
        <w:t xml:space="preserve">costante e rapida evoluzione </w:t>
      </w:r>
      <w:r>
        <w:rPr>
          <w:color w:val="auto"/>
        </w:rPr>
        <w:t xml:space="preserve">– spiega Cartabellotta – </w:t>
      </w:r>
      <w:r w:rsidR="0012099D">
        <w:rPr>
          <w:color w:val="auto"/>
        </w:rPr>
        <w:t xml:space="preserve">è fondamentale </w:t>
      </w:r>
      <w:r w:rsidR="00B070C5">
        <w:rPr>
          <w:color w:val="auto"/>
        </w:rPr>
        <w:t>potenziare il sequenziamento aumentando l</w:t>
      </w:r>
      <w:r w:rsidR="00D278B3">
        <w:rPr>
          <w:color w:val="auto"/>
        </w:rPr>
        <w:t>a frequenza del</w:t>
      </w:r>
      <w:r>
        <w:rPr>
          <w:color w:val="auto"/>
        </w:rPr>
        <w:t>le flash survey, almeno ogni due settimane, soprattutto quando le autorità internazionali segnalano nuove varianti di preoccupazione</w:t>
      </w:r>
      <w:r>
        <w:rPr>
          <w:rFonts w:cs="Calibri"/>
          <w:color w:val="auto"/>
        </w:rPr>
        <w:t>».</w:t>
      </w:r>
      <w:r>
        <w:rPr>
          <w:color w:val="auto"/>
        </w:rPr>
        <w:t xml:space="preserve"> Allo stato attuale delle conoscenze BA.4 e BA.5 hanno una trasmissibilità del 12-13% superiore rispetto a BA.2 e una maggior capacità di evadere la protezione immunitaria – sia da vaccino che da pregressa infezione – aumentando la probabilità di reinfezione e determinando una maggiore resistenza agli anticorpi monoclonali. Queste caratteristiche hanno indotto lo scorso </w:t>
      </w:r>
      <w:r>
        <w:t xml:space="preserve">13 maggio </w:t>
      </w:r>
      <w:r>
        <w:rPr>
          <w:color w:val="auto"/>
        </w:rPr>
        <w:t>l’</w:t>
      </w:r>
      <w:proofErr w:type="spellStart"/>
      <w:r w:rsidR="00505EB9">
        <w:fldChar w:fldCharType="begin"/>
      </w:r>
      <w:r w:rsidR="00505EB9">
        <w:instrText xml:space="preserve"> HYPERLINK "https://www.ecdc.europa.eu/en/news-events/epidemiological-update-sars-cov-2-omicron-sub-lineages-ba4-and-ba5" </w:instrText>
      </w:r>
      <w:r w:rsidR="00505EB9">
        <w:fldChar w:fldCharType="separate"/>
      </w:r>
      <w:r>
        <w:rPr>
          <w:rStyle w:val="Collegamentoipertestuale"/>
          <w:i/>
        </w:rPr>
        <w:t>European</w:t>
      </w:r>
      <w:proofErr w:type="spellEnd"/>
      <w:r>
        <w:rPr>
          <w:rStyle w:val="Collegamentoipertestuale"/>
          <w:i/>
        </w:rPr>
        <w:t xml:space="preserve"> Centre for Disease Prevention Control</w:t>
      </w:r>
      <w:r w:rsidR="00505EB9">
        <w:rPr>
          <w:rStyle w:val="Collegamentoipertestuale"/>
          <w:i/>
        </w:rPr>
        <w:fldChar w:fldCharType="end"/>
      </w:r>
      <w:r>
        <w:rPr>
          <w:i/>
          <w:color w:val="auto"/>
        </w:rPr>
        <w:t xml:space="preserve"> </w:t>
      </w:r>
      <w:r>
        <w:rPr>
          <w:color w:val="auto"/>
        </w:rPr>
        <w:t xml:space="preserve">(ECDC) a classificare BA.4 e BA.5 come “varianti di preoccupazione”. </w:t>
      </w:r>
      <w:r>
        <w:rPr>
          <w:rFonts w:cs="Calibri"/>
          <w:color w:val="auto"/>
        </w:rPr>
        <w:t xml:space="preserve">«Secondo </w:t>
      </w:r>
      <w:r>
        <w:rPr>
          <w:color w:val="auto"/>
        </w:rPr>
        <w:t>l’ECDC – spiega Cartabellotta – le nuove sub-varianti non sembrano determinare una maggior gravità della malattia, ma se nelle prossime settimane/mesi il numero di casi dovesse aumentare in maniera rilevante l’impatto sui ricoveri ospedalieri potrebbe non essere trascurabile</w:t>
      </w:r>
      <w:r>
        <w:rPr>
          <w:rFonts w:cs="Calibri"/>
          <w:color w:val="auto"/>
        </w:rPr>
        <w:t>».</w:t>
      </w:r>
      <w:r>
        <w:rPr>
          <w:color w:val="auto"/>
        </w:rPr>
        <w:t xml:space="preserve"> </w:t>
      </w:r>
    </w:p>
    <w:p w14:paraId="052A9006" w14:textId="77777777" w:rsidR="006C32BF" w:rsidRPr="00D44AA7" w:rsidRDefault="006C32BF" w:rsidP="00D44AA7">
      <w:pPr>
        <w:spacing w:line="276" w:lineRule="auto"/>
        <w:jc w:val="both"/>
        <w:rPr>
          <w:color w:val="FF0000"/>
        </w:rPr>
      </w:pPr>
      <w:r w:rsidRPr="00D44AA7">
        <w:rPr>
          <w:b/>
          <w:color w:val="auto"/>
        </w:rPr>
        <w:t>Reinfezioni</w:t>
      </w:r>
      <w:r w:rsidRPr="00D44AA7">
        <w:rPr>
          <w:color w:val="auto"/>
        </w:rPr>
        <w:t xml:space="preserve">. Secondo </w:t>
      </w:r>
      <w:hyperlink r:id="rId9" w:history="1">
        <w:r w:rsidRPr="00D44AA7">
          <w:rPr>
            <w:rStyle w:val="Collegamentoipertestuale"/>
            <w:color w:val="auto"/>
          </w:rPr>
          <w:t>l’ultimo report dell’I</w:t>
        </w:r>
        <w:r w:rsidR="00190ADC" w:rsidRPr="00D44AA7">
          <w:rPr>
            <w:rStyle w:val="Collegamentoipertestuale"/>
            <w:color w:val="auto"/>
          </w:rPr>
          <w:t xml:space="preserve">stituto </w:t>
        </w:r>
        <w:r w:rsidR="00114A78" w:rsidRPr="00D44AA7">
          <w:rPr>
            <w:rStyle w:val="Collegamentoipertestuale"/>
            <w:color w:val="auto"/>
          </w:rPr>
          <w:t>S</w:t>
        </w:r>
        <w:r w:rsidR="00190ADC" w:rsidRPr="00D44AA7">
          <w:rPr>
            <w:rStyle w:val="Collegamentoipertestuale"/>
            <w:color w:val="auto"/>
          </w:rPr>
          <w:t xml:space="preserve">uperiore di </w:t>
        </w:r>
        <w:r w:rsidR="00114A78" w:rsidRPr="00D44AA7">
          <w:rPr>
            <w:rStyle w:val="Collegamentoipertestuale"/>
            <w:color w:val="auto"/>
          </w:rPr>
          <w:t>S</w:t>
        </w:r>
        <w:r w:rsidR="00190ADC" w:rsidRPr="00D44AA7">
          <w:rPr>
            <w:rStyle w:val="Collegamentoipertestuale"/>
            <w:color w:val="auto"/>
          </w:rPr>
          <w:t>anità</w:t>
        </w:r>
      </w:hyperlink>
      <w:r w:rsidR="00190ADC" w:rsidRPr="00D44AA7">
        <w:rPr>
          <w:rStyle w:val="Collegamentoipertestuale"/>
          <w:color w:val="auto"/>
        </w:rPr>
        <w:t>,</w:t>
      </w:r>
      <w:r w:rsidRPr="00D44AA7">
        <w:rPr>
          <w:color w:val="auto"/>
        </w:rPr>
        <w:t xml:space="preserve"> nel periodo 24 agosto 2021</w:t>
      </w:r>
      <w:r w:rsidR="00114A78" w:rsidRPr="00D44AA7">
        <w:rPr>
          <w:color w:val="auto"/>
        </w:rPr>
        <w:t>-</w:t>
      </w:r>
      <w:r w:rsidR="006B3B3A" w:rsidRPr="00D44AA7">
        <w:rPr>
          <w:color w:val="auto"/>
        </w:rPr>
        <w:t>31</w:t>
      </w:r>
      <w:r w:rsidRPr="00D44AA7">
        <w:rPr>
          <w:color w:val="auto"/>
        </w:rPr>
        <w:t xml:space="preserve"> maggio 2022 sono state </w:t>
      </w:r>
      <w:r w:rsidR="00114A78" w:rsidRPr="00D44AA7">
        <w:rPr>
          <w:color w:val="auto"/>
        </w:rPr>
        <w:t xml:space="preserve">registrate </w:t>
      </w:r>
      <w:r w:rsidRPr="00D44AA7">
        <w:rPr>
          <w:color w:val="auto"/>
        </w:rPr>
        <w:t xml:space="preserve">in Italia oltre </w:t>
      </w:r>
      <w:r w:rsidR="007567B7" w:rsidRPr="00D44AA7">
        <w:rPr>
          <w:color w:val="auto"/>
        </w:rPr>
        <w:t>50</w:t>
      </w:r>
      <w:r w:rsidR="006B3B3A" w:rsidRPr="00D44AA7">
        <w:rPr>
          <w:color w:val="auto"/>
        </w:rPr>
        <w:t>9</w:t>
      </w:r>
      <w:r w:rsidRPr="00D44AA7">
        <w:rPr>
          <w:color w:val="auto"/>
        </w:rPr>
        <w:t xml:space="preserve"> mila reinfezioni, pari al 3,</w:t>
      </w:r>
      <w:r w:rsidR="00B735D1" w:rsidRPr="00D44AA7">
        <w:rPr>
          <w:color w:val="auto"/>
        </w:rPr>
        <w:t>9</w:t>
      </w:r>
      <w:r w:rsidRPr="00D44AA7">
        <w:rPr>
          <w:color w:val="auto"/>
        </w:rPr>
        <w:t xml:space="preserve">% del totale dei casi. </w:t>
      </w:r>
      <w:r w:rsidR="00D27153" w:rsidRPr="00D44AA7">
        <w:rPr>
          <w:color w:val="auto"/>
        </w:rPr>
        <w:t>L</w:t>
      </w:r>
      <w:r w:rsidRPr="00D44AA7">
        <w:rPr>
          <w:color w:val="auto"/>
        </w:rPr>
        <w:t>a loro incidenza settimanale</w:t>
      </w:r>
      <w:r w:rsidR="00D278B3">
        <w:rPr>
          <w:color w:val="auto"/>
        </w:rPr>
        <w:t>,</w:t>
      </w:r>
      <w:r w:rsidR="00B735D1" w:rsidRPr="00D44AA7">
        <w:rPr>
          <w:color w:val="auto"/>
        </w:rPr>
        <w:t xml:space="preserve"> </w:t>
      </w:r>
      <w:r w:rsidR="006B3B3A" w:rsidRPr="00D44AA7">
        <w:rPr>
          <w:color w:val="auto"/>
        </w:rPr>
        <w:t>dopo un periodo di continua crescita</w:t>
      </w:r>
      <w:r w:rsidR="00290E59" w:rsidRPr="00D44AA7">
        <w:rPr>
          <w:color w:val="auto"/>
        </w:rPr>
        <w:t>,</w:t>
      </w:r>
      <w:r w:rsidR="00B735D1" w:rsidRPr="00D44AA7">
        <w:rPr>
          <w:color w:val="auto"/>
        </w:rPr>
        <w:t xml:space="preserve"> </w:t>
      </w:r>
      <w:r w:rsidR="00290E59" w:rsidRPr="00D44AA7">
        <w:rPr>
          <w:color w:val="auto"/>
        </w:rPr>
        <w:t xml:space="preserve">nella settimana </w:t>
      </w:r>
      <w:r w:rsidR="006B3B3A" w:rsidRPr="00D44AA7">
        <w:rPr>
          <w:color w:val="auto"/>
        </w:rPr>
        <w:t>26</w:t>
      </w:r>
      <w:r w:rsidR="00290E59" w:rsidRPr="00D44AA7">
        <w:rPr>
          <w:color w:val="auto"/>
        </w:rPr>
        <w:t xml:space="preserve"> maggio</w:t>
      </w:r>
      <w:r w:rsidR="00D278B3">
        <w:rPr>
          <w:color w:val="auto"/>
        </w:rPr>
        <w:t>-</w:t>
      </w:r>
      <w:r w:rsidR="006B3B3A" w:rsidRPr="00D44AA7">
        <w:rPr>
          <w:color w:val="auto"/>
        </w:rPr>
        <w:t>1</w:t>
      </w:r>
      <w:r w:rsidR="0012099D">
        <w:rPr>
          <w:color w:val="auto"/>
        </w:rPr>
        <w:t>°</w:t>
      </w:r>
      <w:r w:rsidR="002054E6">
        <w:rPr>
          <w:color w:val="auto"/>
        </w:rPr>
        <w:t xml:space="preserve"> </w:t>
      </w:r>
      <w:r w:rsidR="006B3B3A" w:rsidRPr="00D44AA7">
        <w:rPr>
          <w:color w:val="auto"/>
        </w:rPr>
        <w:t>giugn</w:t>
      </w:r>
      <w:r w:rsidR="002054E6">
        <w:rPr>
          <w:color w:val="auto"/>
        </w:rPr>
        <w:t>o</w:t>
      </w:r>
      <w:r w:rsidR="00290E59" w:rsidRPr="00D44AA7">
        <w:rPr>
          <w:color w:val="auto"/>
        </w:rPr>
        <w:t xml:space="preserve"> </w:t>
      </w:r>
      <w:r w:rsidR="00B735D1" w:rsidRPr="00D44AA7">
        <w:rPr>
          <w:color w:val="auto"/>
        </w:rPr>
        <w:t xml:space="preserve">ha </w:t>
      </w:r>
      <w:r w:rsidR="006B3B3A" w:rsidRPr="00D44AA7">
        <w:rPr>
          <w:color w:val="auto"/>
        </w:rPr>
        <w:t xml:space="preserve">segnato una flessione attestandosi al 5,9% (n. 7.371 reinfezioni) rispetto al </w:t>
      </w:r>
      <w:r w:rsidR="00B735D1" w:rsidRPr="00D44AA7">
        <w:rPr>
          <w:color w:val="auto"/>
        </w:rPr>
        <w:t>6</w:t>
      </w:r>
      <w:r w:rsidR="007567B7" w:rsidRPr="00D44AA7">
        <w:rPr>
          <w:color w:val="auto"/>
        </w:rPr>
        <w:t>,5</w:t>
      </w:r>
      <w:r w:rsidR="00B735D1" w:rsidRPr="00D44AA7">
        <w:rPr>
          <w:color w:val="auto"/>
        </w:rPr>
        <w:t xml:space="preserve">% </w:t>
      </w:r>
      <w:r w:rsidR="006B3B3A" w:rsidRPr="00D44AA7">
        <w:rPr>
          <w:color w:val="auto"/>
        </w:rPr>
        <w:t>della settimana precedente</w:t>
      </w:r>
      <w:r w:rsidRPr="00D44AA7">
        <w:rPr>
          <w:color w:val="auto"/>
        </w:rPr>
        <w:t>.</w:t>
      </w:r>
      <w:r w:rsidRPr="00D44AA7">
        <w:rPr>
          <w:rFonts w:cs="Calibri"/>
          <w:color w:val="auto"/>
        </w:rPr>
        <w:t xml:space="preserve"> </w:t>
      </w:r>
    </w:p>
    <w:p w14:paraId="4CE3E336" w14:textId="77777777" w:rsidR="006B3B3A" w:rsidRPr="00D44AA7" w:rsidRDefault="00B17FEF" w:rsidP="00D44AA7">
      <w:pPr>
        <w:spacing w:line="276" w:lineRule="auto"/>
        <w:jc w:val="both"/>
        <w:rPr>
          <w:color w:val="auto"/>
        </w:rPr>
      </w:pPr>
      <w:r w:rsidRPr="00D44AA7">
        <w:rPr>
          <w:b/>
          <w:color w:val="auto"/>
        </w:rPr>
        <w:t>Testing.</w:t>
      </w:r>
      <w:r w:rsidRPr="00D44AA7">
        <w:rPr>
          <w:color w:val="auto"/>
        </w:rPr>
        <w:t xml:space="preserve"> Si registra un calo del numero dei tamponi totali (-17,7%): da 1.293.472 della settimana 25-31 maggio a 1.065.110 della settimana 1-7 giugno. In particolare i tamponi rapidi sono diminuiti del 17,6% (-169.080), mentre quelli molecolari del 17,8% (-59.282) (</w:t>
      </w:r>
      <w:r w:rsidRPr="00D44AA7">
        <w:rPr>
          <w:color w:val="auto"/>
          <w:highlight w:val="yellow"/>
        </w:rPr>
        <w:t>figura 5</w:t>
      </w:r>
      <w:r w:rsidRPr="00D44AA7">
        <w:rPr>
          <w:color w:val="auto"/>
        </w:rPr>
        <w:t>). La media mobile a 7 giorni del tasso di positività è sostanzialmente stabile per i tamponi molecolari (dal 5,4% al 5,5%), mentre segna un netto aumento per gli antigenici rapidi (dall’11,9% al 14%) (</w:t>
      </w:r>
      <w:r w:rsidRPr="00D44AA7">
        <w:rPr>
          <w:color w:val="auto"/>
          <w:highlight w:val="yellow"/>
        </w:rPr>
        <w:t>figura 6</w:t>
      </w:r>
      <w:r w:rsidRPr="00D44AA7">
        <w:rPr>
          <w:color w:val="auto"/>
        </w:rPr>
        <w:t>).</w:t>
      </w:r>
    </w:p>
    <w:p w14:paraId="5D906ED3" w14:textId="77777777" w:rsidR="00D7558B" w:rsidRPr="00D44AA7" w:rsidRDefault="00C27708" w:rsidP="00D44AA7">
      <w:pPr>
        <w:spacing w:line="276" w:lineRule="auto"/>
        <w:jc w:val="both"/>
        <w:rPr>
          <w:color w:val="auto"/>
        </w:rPr>
      </w:pPr>
      <w:bookmarkStart w:id="2" w:name="_Hlk85025666"/>
      <w:r w:rsidRPr="00D44AA7">
        <w:rPr>
          <w:b/>
          <w:color w:val="auto"/>
        </w:rPr>
        <w:t xml:space="preserve">Ospedalizzazioni. </w:t>
      </w:r>
      <w:r w:rsidR="002348FC" w:rsidRPr="00D44AA7">
        <w:rPr>
          <w:color w:val="auto"/>
        </w:rPr>
        <w:t>«</w:t>
      </w:r>
      <w:r w:rsidR="003120AF" w:rsidRPr="00D44AA7">
        <w:rPr>
          <w:color w:val="auto"/>
        </w:rPr>
        <w:t>Sul fronte degli</w:t>
      </w:r>
      <w:r w:rsidR="00932E57" w:rsidRPr="00D44AA7">
        <w:rPr>
          <w:color w:val="auto"/>
        </w:rPr>
        <w:t xml:space="preserve"> </w:t>
      </w:r>
      <w:r w:rsidR="002723FF" w:rsidRPr="00D44AA7">
        <w:rPr>
          <w:color w:val="auto"/>
        </w:rPr>
        <w:t>ospedali</w:t>
      </w:r>
      <w:r w:rsidR="00974518" w:rsidRPr="00D44AA7">
        <w:rPr>
          <w:color w:val="auto"/>
        </w:rPr>
        <w:t xml:space="preserve"> </w:t>
      </w:r>
      <w:r w:rsidR="00582BAE" w:rsidRPr="00D44AA7">
        <w:rPr>
          <w:color w:val="auto"/>
        </w:rPr>
        <w:t xml:space="preserve">– </w:t>
      </w:r>
      <w:r w:rsidR="002348FC" w:rsidRPr="00D44AA7">
        <w:rPr>
          <w:color w:val="auto"/>
        </w:rPr>
        <w:t xml:space="preserve">afferma </w:t>
      </w:r>
      <w:r w:rsidR="004222A8" w:rsidRPr="00D44AA7">
        <w:rPr>
          <w:color w:val="auto"/>
        </w:rPr>
        <w:t xml:space="preserve">Marco Mosti, Direttore Operativo della Fondazione GIMBE </w:t>
      </w:r>
      <w:r w:rsidR="00B813D5" w:rsidRPr="00D44AA7">
        <w:rPr>
          <w:color w:val="auto"/>
        </w:rPr>
        <w:t>–</w:t>
      </w:r>
      <w:r w:rsidR="004D0641" w:rsidRPr="00D44AA7">
        <w:rPr>
          <w:color w:val="auto"/>
        </w:rPr>
        <w:t xml:space="preserve"> </w:t>
      </w:r>
      <w:r w:rsidR="00BA097A" w:rsidRPr="00D44AA7">
        <w:rPr>
          <w:color w:val="auto"/>
        </w:rPr>
        <w:t xml:space="preserve">prosegue il calo del </w:t>
      </w:r>
      <w:r w:rsidR="004222A8" w:rsidRPr="00D44AA7">
        <w:rPr>
          <w:color w:val="auto"/>
        </w:rPr>
        <w:t>numero</w:t>
      </w:r>
      <w:r w:rsidR="00396D1B" w:rsidRPr="00D44AA7">
        <w:rPr>
          <w:color w:val="auto"/>
        </w:rPr>
        <w:t xml:space="preserve"> </w:t>
      </w:r>
      <w:r w:rsidR="004222A8" w:rsidRPr="00D44AA7">
        <w:rPr>
          <w:color w:val="auto"/>
        </w:rPr>
        <w:t xml:space="preserve">dei </w:t>
      </w:r>
      <w:r w:rsidR="00894BA6" w:rsidRPr="00D44AA7">
        <w:rPr>
          <w:color w:val="auto"/>
        </w:rPr>
        <w:t xml:space="preserve">posti letto occupati da pazienti COVID </w:t>
      </w:r>
      <w:r w:rsidR="000814F9" w:rsidRPr="00D44AA7">
        <w:rPr>
          <w:color w:val="auto"/>
        </w:rPr>
        <w:t xml:space="preserve">sia </w:t>
      </w:r>
      <w:r w:rsidR="00297DEB" w:rsidRPr="00D44AA7">
        <w:rPr>
          <w:color w:val="auto"/>
        </w:rPr>
        <w:t xml:space="preserve">in </w:t>
      </w:r>
      <w:r w:rsidR="00A51B01" w:rsidRPr="00D44AA7">
        <w:rPr>
          <w:color w:val="auto"/>
        </w:rPr>
        <w:t>terapia intensiva</w:t>
      </w:r>
      <w:r w:rsidR="00396D1B" w:rsidRPr="00D44AA7">
        <w:rPr>
          <w:color w:val="auto"/>
        </w:rPr>
        <w:t xml:space="preserve"> (</w:t>
      </w:r>
      <w:r w:rsidR="00B43A83" w:rsidRPr="00D44AA7">
        <w:rPr>
          <w:color w:val="auto"/>
        </w:rPr>
        <w:t>-</w:t>
      </w:r>
      <w:r w:rsidR="00B17FEF" w:rsidRPr="00D44AA7">
        <w:rPr>
          <w:color w:val="auto"/>
        </w:rPr>
        <w:t>11,7</w:t>
      </w:r>
      <w:r w:rsidR="00385142" w:rsidRPr="00D44AA7">
        <w:rPr>
          <w:color w:val="auto"/>
        </w:rPr>
        <w:t>%)</w:t>
      </w:r>
      <w:r w:rsidR="00074E5F" w:rsidRPr="00D44AA7">
        <w:rPr>
          <w:color w:val="auto"/>
        </w:rPr>
        <w:t xml:space="preserve"> </w:t>
      </w:r>
      <w:r w:rsidR="000814F9" w:rsidRPr="00D44AA7">
        <w:rPr>
          <w:color w:val="auto"/>
        </w:rPr>
        <w:t xml:space="preserve">che </w:t>
      </w:r>
      <w:r w:rsidR="000D67CD" w:rsidRPr="00D44AA7">
        <w:rPr>
          <w:color w:val="auto"/>
        </w:rPr>
        <w:t xml:space="preserve">in </w:t>
      </w:r>
      <w:r w:rsidR="00074E5F" w:rsidRPr="00D44AA7">
        <w:rPr>
          <w:color w:val="auto"/>
        </w:rPr>
        <w:t xml:space="preserve">area medica </w:t>
      </w:r>
      <w:r w:rsidR="003F28D2" w:rsidRPr="00D44AA7">
        <w:rPr>
          <w:color w:val="auto"/>
        </w:rPr>
        <w:t>(</w:t>
      </w:r>
      <w:r w:rsidR="00074E5F" w:rsidRPr="00D44AA7">
        <w:rPr>
          <w:color w:val="auto"/>
        </w:rPr>
        <w:t>-</w:t>
      </w:r>
      <w:r w:rsidR="000D67CD" w:rsidRPr="00D44AA7">
        <w:rPr>
          <w:color w:val="auto"/>
        </w:rPr>
        <w:t>1</w:t>
      </w:r>
      <w:r w:rsidR="00B17FEF" w:rsidRPr="00D44AA7">
        <w:rPr>
          <w:color w:val="auto"/>
        </w:rPr>
        <w:t>5</w:t>
      </w:r>
      <w:r w:rsidR="00322F21" w:rsidRPr="00D44AA7">
        <w:rPr>
          <w:color w:val="auto"/>
        </w:rPr>
        <w:t>,</w:t>
      </w:r>
      <w:r w:rsidR="00B17FEF" w:rsidRPr="00D44AA7">
        <w:rPr>
          <w:color w:val="auto"/>
        </w:rPr>
        <w:t>2</w:t>
      </w:r>
      <w:r w:rsidR="002B0A30" w:rsidRPr="00D44AA7">
        <w:rPr>
          <w:color w:val="auto"/>
        </w:rPr>
        <w:t>%)</w:t>
      </w:r>
      <w:r w:rsidR="00A51B01" w:rsidRPr="00D44AA7">
        <w:rPr>
          <w:color w:val="auto"/>
        </w:rPr>
        <w:t>»</w:t>
      </w:r>
      <w:r w:rsidR="000A422E" w:rsidRPr="00D44AA7">
        <w:rPr>
          <w:color w:val="auto"/>
        </w:rPr>
        <w:t xml:space="preserve">. </w:t>
      </w:r>
      <w:r w:rsidR="008751B7" w:rsidRPr="00D44AA7">
        <w:rPr>
          <w:color w:val="auto"/>
        </w:rPr>
        <w:t xml:space="preserve">In </w:t>
      </w:r>
      <w:r w:rsidR="00E70AB7" w:rsidRPr="00D44AA7">
        <w:rPr>
          <w:color w:val="auto"/>
        </w:rPr>
        <w:t>dettaglio</w:t>
      </w:r>
      <w:r w:rsidR="006404C6" w:rsidRPr="00D44AA7">
        <w:rPr>
          <w:color w:val="auto"/>
        </w:rPr>
        <w:t>,</w:t>
      </w:r>
      <w:r w:rsidR="008751B7" w:rsidRPr="00D44AA7">
        <w:rPr>
          <w:color w:val="auto"/>
        </w:rPr>
        <w:t xml:space="preserve"> </w:t>
      </w:r>
      <w:r w:rsidR="00190ADC" w:rsidRPr="00D44AA7">
        <w:rPr>
          <w:color w:val="auto"/>
        </w:rPr>
        <w:t xml:space="preserve">i posti letto occupati </w:t>
      </w:r>
      <w:r w:rsidR="00557ACD" w:rsidRPr="00D44AA7">
        <w:rPr>
          <w:color w:val="auto"/>
        </w:rPr>
        <w:t xml:space="preserve">al </w:t>
      </w:r>
      <w:r w:rsidR="00B17FEF" w:rsidRPr="00D44AA7">
        <w:rPr>
          <w:color w:val="auto"/>
        </w:rPr>
        <w:t>7 giugno</w:t>
      </w:r>
      <w:r w:rsidR="003E1BA0" w:rsidRPr="00D44AA7">
        <w:rPr>
          <w:color w:val="auto"/>
        </w:rPr>
        <w:t xml:space="preserve"> </w:t>
      </w:r>
      <w:r w:rsidR="00190ADC" w:rsidRPr="00D44AA7">
        <w:rPr>
          <w:color w:val="auto"/>
        </w:rPr>
        <w:t>sono</w:t>
      </w:r>
      <w:r w:rsidR="00432864" w:rsidRPr="00D44AA7">
        <w:rPr>
          <w:color w:val="auto"/>
        </w:rPr>
        <w:t xml:space="preserve"> </w:t>
      </w:r>
      <w:r w:rsidR="00B17FEF" w:rsidRPr="00D44AA7">
        <w:rPr>
          <w:color w:val="auto"/>
        </w:rPr>
        <w:t>219</w:t>
      </w:r>
      <w:r w:rsidR="008751B7" w:rsidRPr="00D44AA7">
        <w:rPr>
          <w:color w:val="auto"/>
        </w:rPr>
        <w:t xml:space="preserve"> </w:t>
      </w:r>
      <w:r w:rsidR="00190ADC" w:rsidRPr="00D44AA7">
        <w:rPr>
          <w:color w:val="auto"/>
        </w:rPr>
        <w:t xml:space="preserve">in area critica e </w:t>
      </w:r>
      <w:r w:rsidR="00B17FEF" w:rsidRPr="00D44AA7">
        <w:rPr>
          <w:color w:val="auto"/>
        </w:rPr>
        <w:t>4.342</w:t>
      </w:r>
      <w:r w:rsidR="00BA097A" w:rsidRPr="00D44AA7">
        <w:rPr>
          <w:color w:val="auto"/>
        </w:rPr>
        <w:t xml:space="preserve"> </w:t>
      </w:r>
      <w:r w:rsidR="00190ADC" w:rsidRPr="00D44AA7">
        <w:rPr>
          <w:color w:val="auto"/>
        </w:rPr>
        <w:t xml:space="preserve">in area medica </w:t>
      </w:r>
      <w:r w:rsidR="008751B7" w:rsidRPr="00D44AA7">
        <w:rPr>
          <w:color w:val="auto"/>
        </w:rPr>
        <w:t>(</w:t>
      </w:r>
      <w:r w:rsidR="008751B7" w:rsidRPr="00D44AA7">
        <w:rPr>
          <w:color w:val="auto"/>
          <w:highlight w:val="yellow"/>
        </w:rPr>
        <w:t>figura 7</w:t>
      </w:r>
      <w:r w:rsidR="008751B7" w:rsidRPr="00D44AA7">
        <w:rPr>
          <w:color w:val="auto"/>
        </w:rPr>
        <w:t xml:space="preserve">). </w:t>
      </w:r>
      <w:r w:rsidR="00913182" w:rsidRPr="00D44AA7">
        <w:rPr>
          <w:color w:val="auto"/>
        </w:rPr>
        <w:t xml:space="preserve">Al </w:t>
      </w:r>
      <w:r w:rsidR="00B17FEF" w:rsidRPr="00D44AA7">
        <w:rPr>
          <w:color w:val="auto"/>
        </w:rPr>
        <w:t>7 giugno</w:t>
      </w:r>
      <w:r w:rsidR="00894BA6" w:rsidRPr="00D44AA7">
        <w:rPr>
          <w:color w:val="auto"/>
        </w:rPr>
        <w:t xml:space="preserve"> </w:t>
      </w:r>
      <w:r w:rsidR="002348FC" w:rsidRPr="00D44AA7">
        <w:rPr>
          <w:color w:val="auto"/>
        </w:rPr>
        <w:t xml:space="preserve">il tasso </w:t>
      </w:r>
      <w:r w:rsidR="00894BA6" w:rsidRPr="00D44AA7">
        <w:rPr>
          <w:color w:val="auto"/>
        </w:rPr>
        <w:t xml:space="preserve">nazionale </w:t>
      </w:r>
      <w:r w:rsidR="002348FC" w:rsidRPr="00D44AA7">
        <w:rPr>
          <w:color w:val="auto"/>
        </w:rPr>
        <w:t xml:space="preserve">di occupazione </w:t>
      </w:r>
      <w:r w:rsidR="004C18D7" w:rsidRPr="00D44AA7">
        <w:rPr>
          <w:color w:val="auto"/>
        </w:rPr>
        <w:t xml:space="preserve">da parte di pazienti COVID </w:t>
      </w:r>
      <w:r w:rsidR="00074E5F" w:rsidRPr="00D44AA7">
        <w:rPr>
          <w:color w:val="auto"/>
        </w:rPr>
        <w:t xml:space="preserve">è </w:t>
      </w:r>
      <w:r w:rsidR="00C0045A" w:rsidRPr="00D44AA7">
        <w:rPr>
          <w:color w:val="auto"/>
        </w:rPr>
        <w:t>del</w:t>
      </w:r>
      <w:r w:rsidR="00322F21" w:rsidRPr="00D44AA7">
        <w:rPr>
          <w:color w:val="auto"/>
        </w:rPr>
        <w:t xml:space="preserve"> </w:t>
      </w:r>
      <w:r w:rsidR="00B17FEF" w:rsidRPr="00D44AA7">
        <w:rPr>
          <w:color w:val="auto"/>
        </w:rPr>
        <w:t>6,7</w:t>
      </w:r>
      <w:r w:rsidR="002E37EA" w:rsidRPr="00D44AA7">
        <w:rPr>
          <w:color w:val="auto"/>
        </w:rPr>
        <w:t xml:space="preserve">% in area medica </w:t>
      </w:r>
      <w:r w:rsidR="00D7558B" w:rsidRPr="00D44AA7">
        <w:rPr>
          <w:color w:val="auto"/>
        </w:rPr>
        <w:t xml:space="preserve">(dal </w:t>
      </w:r>
      <w:r w:rsidR="00B17FEF" w:rsidRPr="00D44AA7">
        <w:rPr>
          <w:color w:val="auto"/>
        </w:rPr>
        <w:t>3,5</w:t>
      </w:r>
      <w:r w:rsidR="00D7558B" w:rsidRPr="00D44AA7">
        <w:rPr>
          <w:color w:val="auto"/>
        </w:rPr>
        <w:t xml:space="preserve">% del Veneto al </w:t>
      </w:r>
      <w:r w:rsidR="00B17FEF" w:rsidRPr="00D44AA7">
        <w:rPr>
          <w:color w:val="auto"/>
        </w:rPr>
        <w:t>16</w:t>
      </w:r>
      <w:r w:rsidR="00D7558B" w:rsidRPr="00D44AA7">
        <w:rPr>
          <w:color w:val="auto"/>
        </w:rPr>
        <w:t>% dell</w:t>
      </w:r>
      <w:r w:rsidR="00BA097A" w:rsidRPr="00D44AA7">
        <w:rPr>
          <w:color w:val="auto"/>
        </w:rPr>
        <w:t xml:space="preserve">a Calabria) </w:t>
      </w:r>
      <w:r w:rsidR="002E37EA" w:rsidRPr="00D44AA7">
        <w:rPr>
          <w:color w:val="auto"/>
        </w:rPr>
        <w:t>e</w:t>
      </w:r>
      <w:r w:rsidR="000D67CD" w:rsidRPr="00D44AA7">
        <w:rPr>
          <w:color w:val="auto"/>
        </w:rPr>
        <w:t xml:space="preserve"> del</w:t>
      </w:r>
      <w:r w:rsidR="002E37EA" w:rsidRPr="00D44AA7">
        <w:rPr>
          <w:color w:val="auto"/>
        </w:rPr>
        <w:t xml:space="preserve"> </w:t>
      </w:r>
      <w:r w:rsidR="00BA097A" w:rsidRPr="00D44AA7">
        <w:rPr>
          <w:color w:val="auto"/>
        </w:rPr>
        <w:t>2</w:t>
      </w:r>
      <w:r w:rsidR="00074E5F" w:rsidRPr="00D44AA7">
        <w:rPr>
          <w:color w:val="auto"/>
        </w:rPr>
        <w:t>,</w:t>
      </w:r>
      <w:r w:rsidR="00B17FEF" w:rsidRPr="00D44AA7">
        <w:rPr>
          <w:color w:val="auto"/>
        </w:rPr>
        <w:t>4</w:t>
      </w:r>
      <w:r w:rsidR="002348FC" w:rsidRPr="00D44AA7">
        <w:rPr>
          <w:color w:val="auto"/>
        </w:rPr>
        <w:t>% in area critica</w:t>
      </w:r>
      <w:bookmarkEnd w:id="2"/>
      <w:r w:rsidR="00D7558B" w:rsidRPr="00D44AA7">
        <w:rPr>
          <w:color w:val="auto"/>
        </w:rPr>
        <w:t xml:space="preserve"> (dallo 0% </w:t>
      </w:r>
      <w:r w:rsidR="00B17FEF" w:rsidRPr="00D44AA7">
        <w:rPr>
          <w:color w:val="auto"/>
        </w:rPr>
        <w:t>di Basilicata e</w:t>
      </w:r>
      <w:r w:rsidR="00D7558B" w:rsidRPr="00D44AA7">
        <w:rPr>
          <w:color w:val="auto"/>
        </w:rPr>
        <w:t xml:space="preserve"> </w:t>
      </w:r>
      <w:r w:rsidR="00BA097A" w:rsidRPr="00D44AA7">
        <w:rPr>
          <w:color w:val="auto"/>
        </w:rPr>
        <w:t>Valle D’Aosta</w:t>
      </w:r>
      <w:r w:rsidR="00D7558B" w:rsidRPr="00D44AA7">
        <w:rPr>
          <w:color w:val="auto"/>
        </w:rPr>
        <w:t xml:space="preserve"> al </w:t>
      </w:r>
      <w:r w:rsidR="00B17FEF" w:rsidRPr="00D44AA7">
        <w:rPr>
          <w:color w:val="auto"/>
        </w:rPr>
        <w:t>5</w:t>
      </w:r>
      <w:r w:rsidR="00D7558B" w:rsidRPr="00D44AA7">
        <w:rPr>
          <w:color w:val="auto"/>
        </w:rPr>
        <w:t>,</w:t>
      </w:r>
      <w:r w:rsidR="00B17FEF" w:rsidRPr="00D44AA7">
        <w:rPr>
          <w:color w:val="auto"/>
        </w:rPr>
        <w:t>1</w:t>
      </w:r>
      <w:r w:rsidR="00D7558B" w:rsidRPr="00D44AA7">
        <w:rPr>
          <w:color w:val="auto"/>
        </w:rPr>
        <w:t>% del Molise)</w:t>
      </w:r>
      <w:r w:rsidR="00341691" w:rsidRPr="00D44AA7">
        <w:rPr>
          <w:color w:val="auto"/>
        </w:rPr>
        <w:t xml:space="preserve"> </w:t>
      </w:r>
      <w:r w:rsidR="004B6DC2" w:rsidRPr="00D44AA7">
        <w:rPr>
          <w:color w:val="auto"/>
        </w:rPr>
        <w:t>(</w:t>
      </w:r>
      <w:r w:rsidR="004B6DC2" w:rsidRPr="00D44AA7">
        <w:rPr>
          <w:color w:val="auto"/>
          <w:highlight w:val="yellow"/>
        </w:rPr>
        <w:t xml:space="preserve">figura </w:t>
      </w:r>
      <w:r w:rsidR="008751B7" w:rsidRPr="00D44AA7">
        <w:rPr>
          <w:color w:val="auto"/>
          <w:highlight w:val="yellow"/>
        </w:rPr>
        <w:t>8</w:t>
      </w:r>
      <w:r w:rsidR="004B6DC2" w:rsidRPr="00D44AA7">
        <w:rPr>
          <w:color w:val="auto"/>
        </w:rPr>
        <w:t>)</w:t>
      </w:r>
      <w:r w:rsidR="00341691" w:rsidRPr="00D44AA7">
        <w:rPr>
          <w:color w:val="auto"/>
        </w:rPr>
        <w:t>.</w:t>
      </w:r>
      <w:r w:rsidR="008D2843" w:rsidRPr="00D44AA7">
        <w:rPr>
          <w:color w:val="auto"/>
        </w:rPr>
        <w:t xml:space="preserve"> </w:t>
      </w:r>
      <w:r w:rsidR="00BD67DE" w:rsidRPr="00D44AA7">
        <w:rPr>
          <w:color w:val="auto"/>
        </w:rPr>
        <w:t>«</w:t>
      </w:r>
      <w:r w:rsidR="00900C2C" w:rsidRPr="00D44AA7">
        <w:rPr>
          <w:color w:val="auto"/>
        </w:rPr>
        <w:t xml:space="preserve">Continuano a </w:t>
      </w:r>
      <w:r w:rsidR="00B8087D" w:rsidRPr="00D44AA7">
        <w:rPr>
          <w:color w:val="auto"/>
        </w:rPr>
        <w:t>diminuire</w:t>
      </w:r>
      <w:r w:rsidR="00BA097A" w:rsidRPr="00D44AA7">
        <w:rPr>
          <w:color w:val="auto"/>
        </w:rPr>
        <w:t xml:space="preserve"> </w:t>
      </w:r>
      <w:r w:rsidR="00900C2C" w:rsidRPr="00D44AA7">
        <w:rPr>
          <w:color w:val="auto"/>
        </w:rPr>
        <w:t>gli</w:t>
      </w:r>
      <w:r w:rsidR="00322F21" w:rsidRPr="00D44AA7">
        <w:rPr>
          <w:color w:val="auto"/>
        </w:rPr>
        <w:t xml:space="preserve"> ingressi giornalieri in terapia intensiva </w:t>
      </w:r>
      <w:r w:rsidR="00D1612B" w:rsidRPr="00D44AA7">
        <w:rPr>
          <w:color w:val="auto"/>
        </w:rPr>
        <w:t xml:space="preserve">– </w:t>
      </w:r>
      <w:r w:rsidR="00451468" w:rsidRPr="00D44AA7">
        <w:rPr>
          <w:color w:val="auto"/>
        </w:rPr>
        <w:t>puntualizza Mosti</w:t>
      </w:r>
      <w:r w:rsidR="00931C11" w:rsidRPr="00D44AA7">
        <w:rPr>
          <w:color w:val="auto"/>
        </w:rPr>
        <w:t xml:space="preserve"> </w:t>
      </w:r>
      <w:r w:rsidR="00451468" w:rsidRPr="00D44AA7">
        <w:rPr>
          <w:color w:val="auto"/>
        </w:rPr>
        <w:t>–</w:t>
      </w:r>
      <w:r w:rsidR="00322F21" w:rsidRPr="00D44AA7">
        <w:rPr>
          <w:color w:val="auto"/>
        </w:rPr>
        <w:t xml:space="preserve"> con</w:t>
      </w:r>
      <w:r w:rsidR="0093662D" w:rsidRPr="00D44AA7">
        <w:rPr>
          <w:color w:val="auto"/>
        </w:rPr>
        <w:t xml:space="preserve"> </w:t>
      </w:r>
      <w:r w:rsidR="00322F21" w:rsidRPr="00D44AA7">
        <w:rPr>
          <w:color w:val="auto"/>
        </w:rPr>
        <w:t xml:space="preserve">una </w:t>
      </w:r>
      <w:r w:rsidR="00BD67DE" w:rsidRPr="00D44AA7">
        <w:rPr>
          <w:color w:val="auto"/>
        </w:rPr>
        <w:t xml:space="preserve">media mobile a 7 giorni </w:t>
      </w:r>
      <w:r w:rsidR="00074E5F" w:rsidRPr="00D44AA7">
        <w:rPr>
          <w:color w:val="auto"/>
        </w:rPr>
        <w:t xml:space="preserve">di </w:t>
      </w:r>
      <w:r w:rsidR="00B17FEF" w:rsidRPr="00D44AA7">
        <w:rPr>
          <w:color w:val="auto"/>
        </w:rPr>
        <w:t>15</w:t>
      </w:r>
      <w:r w:rsidR="000D67CD" w:rsidRPr="00D44AA7">
        <w:rPr>
          <w:color w:val="auto"/>
        </w:rPr>
        <w:t xml:space="preserve"> </w:t>
      </w:r>
      <w:r w:rsidR="00547F28" w:rsidRPr="00D44AA7">
        <w:rPr>
          <w:color w:val="auto"/>
        </w:rPr>
        <w:t>ingressi/die</w:t>
      </w:r>
      <w:r w:rsidR="000D67CD" w:rsidRPr="00D44AA7">
        <w:rPr>
          <w:color w:val="auto"/>
        </w:rPr>
        <w:t xml:space="preserve"> rispetto ai </w:t>
      </w:r>
      <w:r w:rsidR="00B17FEF" w:rsidRPr="00D44AA7">
        <w:rPr>
          <w:color w:val="auto"/>
        </w:rPr>
        <w:t>20</w:t>
      </w:r>
      <w:r w:rsidR="000D67CD" w:rsidRPr="00D44AA7">
        <w:rPr>
          <w:color w:val="auto"/>
        </w:rPr>
        <w:t xml:space="preserve"> della settimana precedente</w:t>
      </w:r>
      <w:r w:rsidR="00D42AAE" w:rsidRPr="00D44AA7">
        <w:rPr>
          <w:color w:val="auto"/>
        </w:rPr>
        <w:t>»</w:t>
      </w:r>
      <w:r w:rsidR="00BD67DE" w:rsidRPr="00D44AA7">
        <w:rPr>
          <w:color w:val="auto"/>
        </w:rPr>
        <w:t xml:space="preserve"> (</w:t>
      </w:r>
      <w:r w:rsidR="00BD67DE" w:rsidRPr="00D44AA7">
        <w:rPr>
          <w:color w:val="auto"/>
          <w:highlight w:val="yellow"/>
        </w:rPr>
        <w:t>figura</w:t>
      </w:r>
      <w:r w:rsidR="00C91686" w:rsidRPr="00D44AA7">
        <w:rPr>
          <w:color w:val="auto"/>
          <w:highlight w:val="yellow"/>
        </w:rPr>
        <w:t xml:space="preserve"> </w:t>
      </w:r>
      <w:r w:rsidR="008751B7" w:rsidRPr="00D44AA7">
        <w:rPr>
          <w:color w:val="auto"/>
          <w:highlight w:val="yellow"/>
        </w:rPr>
        <w:t>9</w:t>
      </w:r>
      <w:r w:rsidR="00BD67DE" w:rsidRPr="00D44AA7">
        <w:rPr>
          <w:color w:val="auto"/>
        </w:rPr>
        <w:t>).</w:t>
      </w:r>
    </w:p>
    <w:p w14:paraId="08F87730" w14:textId="77777777" w:rsidR="003E6E27" w:rsidRPr="00D44AA7" w:rsidRDefault="003E6E27" w:rsidP="00D44AA7">
      <w:pPr>
        <w:spacing w:line="276" w:lineRule="auto"/>
        <w:jc w:val="both"/>
        <w:rPr>
          <w:color w:val="auto"/>
        </w:rPr>
      </w:pPr>
      <w:r w:rsidRPr="00D44AA7">
        <w:rPr>
          <w:b/>
          <w:color w:val="auto"/>
        </w:rPr>
        <w:t xml:space="preserve">Decessi. </w:t>
      </w:r>
      <w:r w:rsidR="00B8087D" w:rsidRPr="00D44AA7">
        <w:rPr>
          <w:color w:val="auto"/>
        </w:rPr>
        <w:t>Calano ulteriormente i</w:t>
      </w:r>
      <w:r w:rsidR="00322F21" w:rsidRPr="00D44AA7">
        <w:rPr>
          <w:color w:val="auto"/>
        </w:rPr>
        <w:t xml:space="preserve"> </w:t>
      </w:r>
      <w:r w:rsidRPr="00D44AA7">
        <w:rPr>
          <w:color w:val="auto"/>
        </w:rPr>
        <w:t xml:space="preserve">decessi: </w:t>
      </w:r>
      <w:r w:rsidR="00B17FEF" w:rsidRPr="00D44AA7">
        <w:rPr>
          <w:color w:val="auto"/>
        </w:rPr>
        <w:t>392</w:t>
      </w:r>
      <w:r w:rsidRPr="00D44AA7">
        <w:rPr>
          <w:color w:val="auto"/>
        </w:rPr>
        <w:t xml:space="preserve"> negli ultimi 7 giorni (di cui </w:t>
      </w:r>
      <w:r w:rsidR="00B17FEF" w:rsidRPr="00D44AA7">
        <w:rPr>
          <w:color w:val="auto"/>
        </w:rPr>
        <w:t>49</w:t>
      </w:r>
      <w:r w:rsidRPr="00D44AA7">
        <w:rPr>
          <w:color w:val="auto"/>
        </w:rPr>
        <w:t xml:space="preserve"> riferiti a periodi precedenti), con una media di </w:t>
      </w:r>
      <w:r w:rsidR="00B17FEF" w:rsidRPr="00D44AA7">
        <w:rPr>
          <w:color w:val="auto"/>
        </w:rPr>
        <w:t>56</w:t>
      </w:r>
      <w:r w:rsidRPr="00D44AA7">
        <w:rPr>
          <w:color w:val="auto"/>
        </w:rPr>
        <w:t xml:space="preserve"> al giorno rispetto ai </w:t>
      </w:r>
      <w:r w:rsidR="00B17FEF" w:rsidRPr="00D44AA7">
        <w:rPr>
          <w:color w:val="auto"/>
        </w:rPr>
        <w:t>78</w:t>
      </w:r>
      <w:r w:rsidRPr="00D44AA7">
        <w:rPr>
          <w:color w:val="auto"/>
        </w:rPr>
        <w:t xml:space="preserve"> della settimana precedente.</w:t>
      </w:r>
    </w:p>
    <w:p w14:paraId="3F011A72" w14:textId="77777777" w:rsidR="00B17FEF" w:rsidRPr="00D44AA7" w:rsidRDefault="00B17FEF" w:rsidP="00D44AA7">
      <w:pPr>
        <w:spacing w:line="276" w:lineRule="auto"/>
        <w:jc w:val="both"/>
        <w:rPr>
          <w:color w:val="auto"/>
        </w:rPr>
      </w:pPr>
      <w:r w:rsidRPr="00D44AA7">
        <w:rPr>
          <w:b/>
          <w:color w:val="auto"/>
        </w:rPr>
        <w:t>Vaccini: somministrazioni.</w:t>
      </w:r>
      <w:r w:rsidRPr="00D44AA7">
        <w:rPr>
          <w:color w:val="auto"/>
        </w:rPr>
        <w:t xml:space="preserve"> All’8 giugno (aggiornamento ore 06.25) l’88,1% della platea (n. 50.789.227) ha ricevuto almeno una dose di vaccino (+3.100 rispetto alla settimana precedente) e l’86,6% (n. 49.907.708) ha completato il ciclo vaccinale (+5.767 rispetto alla settimana precedente).</w:t>
      </w:r>
    </w:p>
    <w:p w14:paraId="28604F1F" w14:textId="77777777" w:rsidR="00B17FEF" w:rsidRPr="00D44AA7" w:rsidRDefault="00B17FEF" w:rsidP="00D44AA7">
      <w:pPr>
        <w:spacing w:line="276" w:lineRule="auto"/>
        <w:jc w:val="both"/>
        <w:rPr>
          <w:color w:val="auto"/>
        </w:rPr>
      </w:pPr>
      <w:r w:rsidRPr="00D44AA7">
        <w:rPr>
          <w:b/>
          <w:color w:val="auto"/>
        </w:rPr>
        <w:lastRenderedPageBreak/>
        <w:t>Vaccini: nuovi vaccinati.</w:t>
      </w:r>
      <w:r w:rsidRPr="00D44AA7">
        <w:rPr>
          <w:color w:val="auto"/>
        </w:rPr>
        <w:t xml:space="preserve"> Nella settimana 1-7 giugno si riduce ulteriormente il numero di nuovi vaccinati: 2.464 rispetto ai 4.074 della settimana precedente (-39,5%). Di questi il 37,9% è rappresentato dalla fascia 5-11</w:t>
      </w:r>
      <w:r w:rsidR="00CE06E9">
        <w:rPr>
          <w:color w:val="auto"/>
        </w:rPr>
        <w:t xml:space="preserve"> anni</w:t>
      </w:r>
      <w:r w:rsidRPr="00D44AA7">
        <w:rPr>
          <w:color w:val="auto"/>
        </w:rPr>
        <w:t>: 935, con una riduzione del 41,2% rispetto alla settimana precedente. Continua a scendere tra gli over 50, più a rischio di malattia grave, il numero di nuovi vaccinati che si attesta a quota 613 (-38,8% rispetto alla settimana precedente) (</w:t>
      </w:r>
      <w:r w:rsidRPr="00D44AA7">
        <w:rPr>
          <w:color w:val="auto"/>
          <w:highlight w:val="yellow"/>
        </w:rPr>
        <w:t>figura 10</w:t>
      </w:r>
      <w:r w:rsidRPr="00D44AA7">
        <w:rPr>
          <w:color w:val="auto"/>
        </w:rPr>
        <w:t>).</w:t>
      </w:r>
    </w:p>
    <w:p w14:paraId="11C82B96" w14:textId="77777777" w:rsidR="00D44AA7" w:rsidRPr="00D44AA7" w:rsidRDefault="00B17FEF" w:rsidP="00D44AA7">
      <w:pPr>
        <w:spacing w:line="276" w:lineRule="auto"/>
        <w:jc w:val="both"/>
        <w:rPr>
          <w:color w:val="auto"/>
        </w:rPr>
      </w:pPr>
      <w:r w:rsidRPr="00D44AA7">
        <w:rPr>
          <w:b/>
          <w:color w:val="auto"/>
        </w:rPr>
        <w:t>Vaccini: persone non vaccinate.</w:t>
      </w:r>
      <w:r w:rsidRPr="00D44AA7">
        <w:rPr>
          <w:color w:val="auto"/>
        </w:rPr>
        <w:t xml:space="preserve"> Al</w:t>
      </w:r>
      <w:r w:rsidR="00D44AA7" w:rsidRPr="00D44AA7">
        <w:rPr>
          <w:color w:val="auto"/>
        </w:rPr>
        <w:t>l’</w:t>
      </w:r>
      <w:r w:rsidRPr="00D44AA7">
        <w:rPr>
          <w:color w:val="auto"/>
        </w:rPr>
        <w:t>8 giugno (aggiornamento ore 06.25) sono 6,86 milioni le persone di età superiore a 5 anni che non hanno ricevuto nemmeno una dose di vaccino (</w:t>
      </w:r>
      <w:r w:rsidRPr="00D44AA7">
        <w:rPr>
          <w:color w:val="auto"/>
          <w:highlight w:val="yellow"/>
        </w:rPr>
        <w:t>figure 11 e 12</w:t>
      </w:r>
      <w:r w:rsidRPr="00D44AA7">
        <w:rPr>
          <w:color w:val="auto"/>
        </w:rPr>
        <w:t xml:space="preserve">), di cui: </w:t>
      </w:r>
    </w:p>
    <w:p w14:paraId="473CCC5E" w14:textId="77777777" w:rsidR="00D44AA7" w:rsidRPr="00D44AA7" w:rsidRDefault="00B17FEF" w:rsidP="00D44AA7">
      <w:pPr>
        <w:pStyle w:val="Paragrafoelenco"/>
        <w:numPr>
          <w:ilvl w:val="0"/>
          <w:numId w:val="19"/>
        </w:numPr>
        <w:spacing w:after="0" w:line="276" w:lineRule="auto"/>
        <w:ind w:left="357" w:hanging="357"/>
        <w:jc w:val="both"/>
        <w:rPr>
          <w:color w:val="auto"/>
        </w:rPr>
      </w:pPr>
      <w:r w:rsidRPr="00D44AA7">
        <w:rPr>
          <w:color w:val="auto"/>
        </w:rPr>
        <w:t>4 milioni attualmente vaccinabili, pari al 6,9% della platea con nette differenze regionali</w:t>
      </w:r>
      <w:r w:rsidR="00D44AA7" w:rsidRPr="00D44AA7">
        <w:rPr>
          <w:color w:val="auto"/>
        </w:rPr>
        <w:t>:</w:t>
      </w:r>
      <w:r w:rsidRPr="00D44AA7">
        <w:rPr>
          <w:color w:val="auto"/>
        </w:rPr>
        <w:t xml:space="preserve"> dal 4% del</w:t>
      </w:r>
      <w:r w:rsidR="00CE06E9">
        <w:rPr>
          <w:color w:val="auto"/>
        </w:rPr>
        <w:t>la</w:t>
      </w:r>
      <w:r w:rsidRPr="00D44AA7">
        <w:rPr>
          <w:color w:val="auto"/>
        </w:rPr>
        <w:t xml:space="preserve"> Prov</w:t>
      </w:r>
      <w:r w:rsidR="00D44AA7" w:rsidRPr="00D44AA7">
        <w:rPr>
          <w:color w:val="auto"/>
        </w:rPr>
        <w:t>incia</w:t>
      </w:r>
      <w:r w:rsidRPr="00D44AA7">
        <w:rPr>
          <w:color w:val="auto"/>
        </w:rPr>
        <w:t xml:space="preserve"> Aut</w:t>
      </w:r>
      <w:r w:rsidR="00D44AA7" w:rsidRPr="00D44AA7">
        <w:rPr>
          <w:color w:val="auto"/>
        </w:rPr>
        <w:t>onoma di Trento al 10,2% della Calabria;</w:t>
      </w:r>
    </w:p>
    <w:p w14:paraId="027918CE" w14:textId="77777777" w:rsidR="00B17FEF" w:rsidRPr="00D44AA7" w:rsidRDefault="00B17FEF" w:rsidP="00D44AA7">
      <w:pPr>
        <w:pStyle w:val="Paragrafoelenco"/>
        <w:numPr>
          <w:ilvl w:val="0"/>
          <w:numId w:val="19"/>
        </w:numPr>
        <w:spacing w:line="276" w:lineRule="auto"/>
        <w:jc w:val="both"/>
        <w:rPr>
          <w:color w:val="auto"/>
        </w:rPr>
      </w:pPr>
      <w:r w:rsidRPr="00D44AA7">
        <w:rPr>
          <w:color w:val="auto"/>
        </w:rPr>
        <w:t>2,86 milioni temporaneamente protette in quanto guarite da COVID-19 da meno di 180 giorni, pari al 5% della platea con nette differenze regionali</w:t>
      </w:r>
      <w:r w:rsidR="00CE06E9">
        <w:rPr>
          <w:color w:val="auto"/>
        </w:rPr>
        <w:t>:</w:t>
      </w:r>
      <w:r w:rsidRPr="00D44AA7">
        <w:rPr>
          <w:color w:val="auto"/>
        </w:rPr>
        <w:t xml:space="preserve"> dal 3% del Molise al 10,3% </w:t>
      </w:r>
      <w:r w:rsidR="00D44AA7" w:rsidRPr="00D44AA7">
        <w:rPr>
          <w:color w:val="auto"/>
        </w:rPr>
        <w:t>della Provincia Autonoma di B</w:t>
      </w:r>
      <w:r w:rsidRPr="00D44AA7">
        <w:rPr>
          <w:color w:val="auto"/>
        </w:rPr>
        <w:t>olzano.</w:t>
      </w:r>
    </w:p>
    <w:p w14:paraId="7AB94477" w14:textId="77777777" w:rsidR="00D44AA7" w:rsidRPr="00D44AA7" w:rsidRDefault="00D44AA7" w:rsidP="00D44AA7">
      <w:pPr>
        <w:spacing w:line="276" w:lineRule="auto"/>
        <w:jc w:val="both"/>
        <w:rPr>
          <w:color w:val="auto"/>
        </w:rPr>
      </w:pPr>
      <w:r w:rsidRPr="00D44AA7">
        <w:rPr>
          <w:b/>
          <w:color w:val="auto"/>
        </w:rPr>
        <w:t>Vaccini: fascia 5-11 anni.</w:t>
      </w:r>
      <w:r w:rsidRPr="00D44AA7">
        <w:rPr>
          <w:color w:val="auto"/>
        </w:rPr>
        <w:t xml:space="preserve"> All’8 giugno (aggiornamento ore 06.25) nella fascia 5-11 anni sono state somministrate 2.579.941 dosi: 1.393.234 hanno ricevuto almeno 1 dose di vaccino (di cui 1.268.992 hanno completato il ciclo vaccinale), con un tasso di copertura nazionale al 38,1% con nette differenze regionali: dal 20,7% della Provincia Autonoma di Bolzano al 53,7% della Puglia (</w:t>
      </w:r>
      <w:r w:rsidRPr="00D44AA7">
        <w:rPr>
          <w:color w:val="auto"/>
          <w:highlight w:val="yellow"/>
        </w:rPr>
        <w:t>figura 13</w:t>
      </w:r>
      <w:r w:rsidRPr="00D44AA7">
        <w:rPr>
          <w:color w:val="auto"/>
        </w:rPr>
        <w:t>).</w:t>
      </w:r>
    </w:p>
    <w:p w14:paraId="30847AD3" w14:textId="77777777" w:rsidR="00D44AA7" w:rsidRDefault="00D44AA7" w:rsidP="00D44AA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eastAsia="Times New Roman"/>
          <w:color w:val="auto"/>
        </w:rPr>
      </w:pPr>
      <w:r w:rsidRPr="00D44AA7">
        <w:rPr>
          <w:rFonts w:eastAsia="Times New Roman"/>
          <w:b/>
          <w:color w:val="auto"/>
        </w:rPr>
        <w:t>Vaccini: terza dose.</w:t>
      </w:r>
      <w:r w:rsidRPr="00D44AA7">
        <w:rPr>
          <w:rFonts w:eastAsia="Times New Roman"/>
          <w:color w:val="auto"/>
        </w:rPr>
        <w:t xml:space="preserve"> All’8 giugno (aggiornamento ore 06.25) sono state somministrate 39.630.625 terze dosi con una media mobile a 7 giorni di 5.044 somministrazioni al giorno. In base alla </w:t>
      </w:r>
      <w:hyperlink r:id="rId10" w:history="1">
        <w:r w:rsidRPr="00D44AA7">
          <w:rPr>
            <w:rStyle w:val="Collegamentoipertestuale"/>
            <w:color w:val="auto"/>
          </w:rPr>
          <w:t>platea ufficiale</w:t>
        </w:r>
      </w:hyperlink>
      <w:r w:rsidRPr="00D44AA7">
        <w:rPr>
          <w:rFonts w:eastAsia="Times New Roman"/>
          <w:color w:val="auto"/>
        </w:rPr>
        <w:t xml:space="preserve"> (n. 47.703.593), aggiornata al </w:t>
      </w:r>
      <w:r>
        <w:rPr>
          <w:rFonts w:eastAsia="Times New Roman"/>
          <w:color w:val="auto"/>
        </w:rPr>
        <w:t>20 maggio</w:t>
      </w:r>
      <w:r w:rsidR="00CE06E9">
        <w:rPr>
          <w:rFonts w:eastAsia="Times New Roman"/>
          <w:color w:val="auto"/>
        </w:rPr>
        <w:t>,</w:t>
      </w:r>
      <w:r>
        <w:rPr>
          <w:rFonts w:eastAsia="Times New Roman"/>
          <w:color w:val="auto"/>
        </w:rPr>
        <w:t xml:space="preserve"> </w:t>
      </w:r>
      <w:r w:rsidRPr="00D44AA7">
        <w:rPr>
          <w:rFonts w:eastAsia="Times New Roman"/>
          <w:color w:val="auto"/>
        </w:rPr>
        <w:t>il tasso di copertura na</w:t>
      </w:r>
      <w:r>
        <w:rPr>
          <w:rFonts w:eastAsia="Times New Roman"/>
          <w:color w:val="auto"/>
        </w:rPr>
        <w:t>zionale per le terze dosi è dell’</w:t>
      </w:r>
      <w:r w:rsidRPr="00D44AA7">
        <w:rPr>
          <w:rFonts w:eastAsia="Times New Roman"/>
          <w:color w:val="auto"/>
        </w:rPr>
        <w:t>83,1% con nette differenze regionali: dal 77,4% della Sicilia al</w:t>
      </w:r>
      <w:r>
        <w:rPr>
          <w:rFonts w:eastAsia="Times New Roman"/>
          <w:color w:val="auto"/>
        </w:rPr>
        <w:t>l’</w:t>
      </w:r>
      <w:r w:rsidRPr="00D44AA7">
        <w:rPr>
          <w:rFonts w:eastAsia="Times New Roman"/>
          <w:color w:val="auto"/>
        </w:rPr>
        <w:t>87,1% della Valle D</w:t>
      </w:r>
      <w:r w:rsidR="00CE06E9">
        <w:rPr>
          <w:rFonts w:eastAsia="Times New Roman"/>
          <w:color w:val="auto"/>
        </w:rPr>
        <w:t>’</w:t>
      </w:r>
      <w:r w:rsidRPr="00D44AA7">
        <w:rPr>
          <w:rFonts w:eastAsia="Times New Roman"/>
          <w:color w:val="auto"/>
        </w:rPr>
        <w:t xml:space="preserve">Aosta. Sono 8,07 milioni le persone che non hanno ancora ricevuto la dose </w:t>
      </w:r>
      <w:r w:rsidRPr="00B619C2">
        <w:rPr>
          <w:rFonts w:eastAsia="Times New Roman"/>
          <w:i/>
          <w:color w:val="auto"/>
        </w:rPr>
        <w:t>booster</w:t>
      </w:r>
      <w:r w:rsidRPr="00D44AA7">
        <w:rPr>
          <w:rFonts w:eastAsia="Times New Roman"/>
          <w:color w:val="auto"/>
        </w:rPr>
        <w:t xml:space="preserve"> (</w:t>
      </w:r>
      <w:r w:rsidRPr="00D44AA7">
        <w:rPr>
          <w:rFonts w:eastAsia="Times New Roman"/>
          <w:color w:val="auto"/>
          <w:highlight w:val="yellow"/>
        </w:rPr>
        <w:t>figure 14 e 15</w:t>
      </w:r>
      <w:r w:rsidRPr="00D44AA7">
        <w:rPr>
          <w:rFonts w:eastAsia="Times New Roman"/>
          <w:color w:val="auto"/>
        </w:rPr>
        <w:t xml:space="preserve">), di cui: </w:t>
      </w:r>
    </w:p>
    <w:p w14:paraId="6568C94A" w14:textId="77777777" w:rsidR="00D44AA7" w:rsidRDefault="00D44AA7" w:rsidP="00D44AA7">
      <w:pPr>
        <w:pStyle w:val="Paragrafoelenc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57" w:hanging="357"/>
        <w:jc w:val="both"/>
        <w:rPr>
          <w:rFonts w:eastAsia="Times New Roman"/>
          <w:color w:val="auto"/>
        </w:rPr>
      </w:pPr>
      <w:r w:rsidRPr="00D44AA7">
        <w:rPr>
          <w:rFonts w:eastAsia="Times New Roman"/>
          <w:color w:val="auto"/>
        </w:rPr>
        <w:t>5,11 milioni possono riceverla subito, pari al 10,7% della platea con nette differenze regionali</w:t>
      </w:r>
      <w:r>
        <w:rPr>
          <w:rFonts w:eastAsia="Times New Roman"/>
          <w:color w:val="auto"/>
        </w:rPr>
        <w:t>: dal 6,6% dell’</w:t>
      </w:r>
      <w:r w:rsidRPr="00D44AA7">
        <w:rPr>
          <w:rFonts w:eastAsia="Times New Roman"/>
          <w:color w:val="auto"/>
        </w:rPr>
        <w:t>Abruzzo al</w:t>
      </w:r>
      <w:r>
        <w:rPr>
          <w:rFonts w:eastAsia="Times New Roman"/>
          <w:color w:val="auto"/>
        </w:rPr>
        <w:t xml:space="preserve"> 15,5% della Provincia Autonoma di Bolzano;</w:t>
      </w:r>
    </w:p>
    <w:p w14:paraId="7FFF1783" w14:textId="77777777" w:rsidR="00D44AA7" w:rsidRPr="00D44AA7" w:rsidRDefault="00D44AA7" w:rsidP="00D44AA7">
      <w:pPr>
        <w:pStyle w:val="Paragrafoelenc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eastAsia="Times New Roman"/>
          <w:color w:val="auto"/>
        </w:rPr>
      </w:pPr>
      <w:r w:rsidRPr="00D44AA7">
        <w:rPr>
          <w:rFonts w:eastAsia="Times New Roman"/>
          <w:color w:val="auto"/>
        </w:rPr>
        <w:t>2,96 milioni non possono riceverla nell’immediato in quanto guarite da meno di 120 giorni, pari al 6,2% della platea con nette di</w:t>
      </w:r>
      <w:r>
        <w:rPr>
          <w:rFonts w:eastAsia="Times New Roman"/>
          <w:color w:val="auto"/>
        </w:rPr>
        <w:t>fferenze regionali</w:t>
      </w:r>
      <w:r w:rsidR="00CE06E9">
        <w:rPr>
          <w:rFonts w:eastAsia="Times New Roman"/>
          <w:color w:val="auto"/>
        </w:rPr>
        <w:t>:</w:t>
      </w:r>
      <w:r>
        <w:rPr>
          <w:rFonts w:eastAsia="Times New Roman"/>
          <w:color w:val="auto"/>
        </w:rPr>
        <w:t xml:space="preserve"> dal 3,1% della Valle D</w:t>
      </w:r>
      <w:r w:rsidR="00CE06E9">
        <w:rPr>
          <w:rFonts w:eastAsia="Times New Roman"/>
          <w:color w:val="auto"/>
        </w:rPr>
        <w:t>’</w:t>
      </w:r>
      <w:r>
        <w:rPr>
          <w:rFonts w:eastAsia="Times New Roman"/>
          <w:color w:val="auto"/>
        </w:rPr>
        <w:t>Aosta al 9,8% dell’</w:t>
      </w:r>
      <w:r w:rsidRPr="00D44AA7">
        <w:rPr>
          <w:rFonts w:eastAsia="Times New Roman"/>
          <w:color w:val="auto"/>
        </w:rPr>
        <w:t>Abruzzo.</w:t>
      </w:r>
    </w:p>
    <w:p w14:paraId="7835F18D" w14:textId="77777777" w:rsidR="004C00B7" w:rsidRPr="00D44AA7" w:rsidRDefault="004C00B7" w:rsidP="00D44AA7">
      <w:pPr>
        <w:pBdr>
          <w:top w:val="none" w:sz="0" w:space="0" w:color="auto"/>
          <w:left w:val="none" w:sz="0" w:space="0" w:color="auto"/>
          <w:bottom w:val="none" w:sz="0" w:space="0" w:color="auto"/>
          <w:right w:val="none" w:sz="0" w:space="0" w:color="auto"/>
          <w:between w:val="none" w:sz="0" w:space="0" w:color="auto"/>
          <w:bar w:val="none" w:sz="0" w:color="auto"/>
        </w:pBdr>
        <w:spacing w:after="80" w:line="276" w:lineRule="auto"/>
        <w:jc w:val="both"/>
        <w:rPr>
          <w:color w:val="auto"/>
        </w:rPr>
      </w:pPr>
      <w:r w:rsidRPr="00D44AA7">
        <w:rPr>
          <w:rFonts w:eastAsia="Times New Roman"/>
          <w:b/>
          <w:color w:val="auto"/>
        </w:rPr>
        <w:t>Vaccini: efficacia.</w:t>
      </w:r>
      <w:r w:rsidRPr="00D44AA7">
        <w:rPr>
          <w:rFonts w:eastAsia="Times New Roman"/>
          <w:color w:val="auto"/>
        </w:rPr>
        <w:t xml:space="preserve"> I </w:t>
      </w:r>
      <w:hyperlink r:id="rId11" w:history="1">
        <w:r w:rsidRPr="00D44AA7">
          <w:rPr>
            <w:rStyle w:val="Collegamentoipertestuale"/>
            <w:color w:val="auto"/>
          </w:rPr>
          <w:t>dati dell’Istituto Superiore di Sanità</w:t>
        </w:r>
      </w:hyperlink>
      <w:r w:rsidRPr="00D44AA7">
        <w:rPr>
          <w:color w:val="auto"/>
        </w:rPr>
        <w:t xml:space="preserve"> dimostrano che:</w:t>
      </w:r>
    </w:p>
    <w:p w14:paraId="48809CE4" w14:textId="77777777" w:rsidR="004C00B7" w:rsidRPr="00D44AA7" w:rsidRDefault="004C00B7" w:rsidP="00D44AA7">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80" w:line="276" w:lineRule="auto"/>
        <w:ind w:left="357" w:hanging="357"/>
        <w:jc w:val="both"/>
        <w:rPr>
          <w:color w:val="auto"/>
        </w:rPr>
      </w:pPr>
      <w:r w:rsidRPr="00D44AA7">
        <w:rPr>
          <w:color w:val="auto"/>
        </w:rPr>
        <w:t xml:space="preserve">l’efficacia sulla diagnosi rimane sostanzialmente stabile dal 42,2% per i vaccinati con due dosi entro 90 giorni al 45,7% per i vaccinati da più di 120 giorni, per poi salire al 56,3% dopo il richiamo; </w:t>
      </w:r>
    </w:p>
    <w:p w14:paraId="090FBB9C" w14:textId="77777777" w:rsidR="004C00B7" w:rsidRPr="00D44AA7" w:rsidRDefault="004C00B7" w:rsidP="00D44AA7">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80" w:line="276" w:lineRule="auto"/>
        <w:ind w:left="357" w:hanging="357"/>
        <w:jc w:val="both"/>
        <w:rPr>
          <w:color w:val="auto"/>
        </w:rPr>
      </w:pPr>
      <w:r w:rsidRPr="00D44AA7">
        <w:rPr>
          <w:color w:val="auto"/>
        </w:rPr>
        <w:t>l’efficacia sulla malattia severa rimane sostanzialmente stabile dal 70% per i vaccinati con due dosi entro 90 giorni al 70,9% per i vaccinati da più di 120 giorni, per poi salire all’87,1% dopo il richiamo.</w:t>
      </w:r>
    </w:p>
    <w:p w14:paraId="3B9D0EE9" w14:textId="77777777" w:rsidR="004C00B7" w:rsidRPr="00D44AA7" w:rsidRDefault="004C00B7" w:rsidP="00D44AA7">
      <w:pPr>
        <w:spacing w:line="276" w:lineRule="auto"/>
        <w:jc w:val="both"/>
        <w:rPr>
          <w:color w:val="auto"/>
        </w:rPr>
      </w:pPr>
      <w:r w:rsidRPr="00D44AA7">
        <w:rPr>
          <w:color w:val="auto"/>
        </w:rPr>
        <w:t>Complessivamente nelle persone vaccinate con ciclo completo (più eventuale dose di richiamo), rispetto a quelle non vaccinate, nelle varie fasce d’età si riduce l’incidenza di diagnosi (del 13-53,8%): fanno eccezione la fascia 5-11 anni per la quale le diagnosi tra i vaccinati segnano un +31,6% rispetto ai non vaccinati e la fascia 40-59 con un +11,6%. In tutte le fasce di età si riduce soprattutto l</w:t>
      </w:r>
      <w:r w:rsidR="005220BB">
        <w:rPr>
          <w:color w:val="auto"/>
        </w:rPr>
        <w:t>’</w:t>
      </w:r>
      <w:r w:rsidRPr="00D44AA7">
        <w:rPr>
          <w:color w:val="auto"/>
        </w:rPr>
        <w:t>incidenza di malattia grave (del 21-78,1% per ricoveri ordinari; del 55-100% per le terapie intensive) e decesso (del 39,3-84,8%) (</w:t>
      </w:r>
      <w:r w:rsidRPr="00D44AA7">
        <w:rPr>
          <w:color w:val="auto"/>
          <w:highlight w:val="yellow"/>
        </w:rPr>
        <w:t>figura 16</w:t>
      </w:r>
      <w:r w:rsidRPr="00D44AA7">
        <w:rPr>
          <w:color w:val="auto"/>
        </w:rPr>
        <w:t>).</w:t>
      </w:r>
    </w:p>
    <w:p w14:paraId="1351E62D" w14:textId="77777777" w:rsidR="00D44AA7" w:rsidRPr="00D44AA7" w:rsidRDefault="00D44AA7" w:rsidP="00D44AA7">
      <w:pPr>
        <w:spacing w:line="276" w:lineRule="auto"/>
        <w:jc w:val="both"/>
        <w:rPr>
          <w:color w:val="auto"/>
        </w:rPr>
      </w:pPr>
      <w:r w:rsidRPr="00D44AA7">
        <w:rPr>
          <w:b/>
          <w:color w:val="auto"/>
        </w:rPr>
        <w:t>Vaccini: quarta dose persone immunocompromesse.</w:t>
      </w:r>
      <w:r w:rsidRPr="00D44AA7">
        <w:rPr>
          <w:color w:val="auto"/>
        </w:rPr>
        <w:t xml:space="preserve"> All’8 giugno (aggiornamento ore 06.25) sono state somministrate 286.139 quarte dosi, con una media mobile di 1.837</w:t>
      </w:r>
      <w:r w:rsidRPr="00D44AA7">
        <w:rPr>
          <w:rFonts w:hint="eastAsia"/>
          <w:color w:val="auto"/>
        </w:rPr>
        <w:t xml:space="preserve"> </w:t>
      </w:r>
      <w:r w:rsidRPr="00D44AA7">
        <w:rPr>
          <w:color w:val="auto"/>
        </w:rPr>
        <w:t>somministrazioni al giorno, in netto calo rispetto alle 4.154</w:t>
      </w:r>
      <w:r w:rsidRPr="00D44AA7">
        <w:rPr>
          <w:rFonts w:hint="eastAsia"/>
          <w:color w:val="auto"/>
        </w:rPr>
        <w:t xml:space="preserve"> </w:t>
      </w:r>
      <w:r w:rsidRPr="00D44AA7">
        <w:rPr>
          <w:color w:val="auto"/>
        </w:rPr>
        <w:t xml:space="preserve">della </w:t>
      </w:r>
      <w:r w:rsidRPr="00D44AA7">
        <w:rPr>
          <w:rFonts w:hint="eastAsia"/>
          <w:color w:val="auto"/>
        </w:rPr>
        <w:t>scorsa settimana</w:t>
      </w:r>
      <w:r w:rsidRPr="00D44AA7">
        <w:rPr>
          <w:color w:val="auto"/>
        </w:rPr>
        <w:t xml:space="preserve"> (</w:t>
      </w:r>
      <w:r w:rsidRPr="00D44AA7">
        <w:rPr>
          <w:rFonts w:hint="eastAsia"/>
          <w:color w:val="auto"/>
        </w:rPr>
        <w:t>-</w:t>
      </w:r>
      <w:r w:rsidRPr="00D44AA7">
        <w:rPr>
          <w:color w:val="auto"/>
        </w:rPr>
        <w:t>55,8</w:t>
      </w:r>
      <w:r w:rsidRPr="00D44AA7">
        <w:rPr>
          <w:rFonts w:hint="eastAsia"/>
          <w:color w:val="auto"/>
        </w:rPr>
        <w:t>%</w:t>
      </w:r>
      <w:r w:rsidRPr="00D44AA7">
        <w:rPr>
          <w:color w:val="auto"/>
        </w:rPr>
        <w:t>) (</w:t>
      </w:r>
      <w:r w:rsidRPr="00D44AA7">
        <w:rPr>
          <w:color w:val="auto"/>
          <w:highlight w:val="yellow"/>
        </w:rPr>
        <w:t>figura 1</w:t>
      </w:r>
      <w:r>
        <w:rPr>
          <w:color w:val="auto"/>
          <w:highlight w:val="yellow"/>
        </w:rPr>
        <w:t>7</w:t>
      </w:r>
      <w:r w:rsidRPr="00D44AA7">
        <w:rPr>
          <w:color w:val="auto"/>
        </w:rPr>
        <w:t xml:space="preserve">). In base alla </w:t>
      </w:r>
      <w:hyperlink r:id="rId12" w:history="1">
        <w:r w:rsidRPr="00D44AA7">
          <w:rPr>
            <w:rStyle w:val="Collegamentoipertestuale"/>
            <w:color w:val="auto"/>
          </w:rPr>
          <w:t>platea ufficiale</w:t>
        </w:r>
      </w:hyperlink>
      <w:r w:rsidRPr="00D44AA7">
        <w:rPr>
          <w:color w:val="auto"/>
        </w:rPr>
        <w:t xml:space="preserve"> (n. 791.376), aggiornata al 20 maggio, il tasso di copertura nazionale per le quarte dosi è del 36,2% con nette differenze regionali: dal 7,7% della Calabria al 100% del Piemonte (</w:t>
      </w:r>
      <w:r w:rsidRPr="00D44AA7">
        <w:rPr>
          <w:color w:val="auto"/>
          <w:highlight w:val="yellow"/>
        </w:rPr>
        <w:t>figura 18</w:t>
      </w:r>
      <w:r w:rsidRPr="00D44AA7">
        <w:rPr>
          <w:color w:val="auto"/>
        </w:rPr>
        <w:t>).</w:t>
      </w:r>
    </w:p>
    <w:p w14:paraId="47F8048B" w14:textId="26C24042" w:rsidR="00D44AA7" w:rsidRPr="00D44AA7" w:rsidRDefault="00D44AA7" w:rsidP="00D44AA7">
      <w:pPr>
        <w:spacing w:line="276" w:lineRule="auto"/>
        <w:jc w:val="both"/>
        <w:rPr>
          <w:color w:val="auto"/>
        </w:rPr>
      </w:pPr>
      <w:r w:rsidRPr="00D44AA7">
        <w:rPr>
          <w:b/>
          <w:color w:val="auto"/>
        </w:rPr>
        <w:t>Vaccini: quarta dose over 80, fragili (60-79 anni) e ospiti RSA.</w:t>
      </w:r>
      <w:r w:rsidRPr="00D44AA7">
        <w:rPr>
          <w:color w:val="auto"/>
        </w:rPr>
        <w:t xml:space="preserve">  All’8 giugno (aggiornamento ore 06.25) sono state somministrate 752.483 quarte dosi, con una media mobile di 5.409</w:t>
      </w:r>
      <w:r w:rsidRPr="00D44AA7">
        <w:rPr>
          <w:rFonts w:hint="eastAsia"/>
          <w:color w:val="auto"/>
        </w:rPr>
        <w:t xml:space="preserve"> </w:t>
      </w:r>
      <w:r w:rsidRPr="00D44AA7">
        <w:rPr>
          <w:color w:val="auto"/>
        </w:rPr>
        <w:t>somministrazioni al giorno, in calo rispetto alle 12.350</w:t>
      </w:r>
      <w:r w:rsidRPr="00D44AA7">
        <w:rPr>
          <w:rFonts w:hint="eastAsia"/>
          <w:color w:val="auto"/>
        </w:rPr>
        <w:t xml:space="preserve"> </w:t>
      </w:r>
      <w:r w:rsidRPr="00D44AA7">
        <w:rPr>
          <w:color w:val="auto"/>
        </w:rPr>
        <w:t xml:space="preserve">della </w:t>
      </w:r>
      <w:r w:rsidRPr="00D44AA7">
        <w:rPr>
          <w:rFonts w:hint="eastAsia"/>
          <w:color w:val="auto"/>
        </w:rPr>
        <w:t>scorsa settimana</w:t>
      </w:r>
      <w:r w:rsidRPr="00D44AA7">
        <w:rPr>
          <w:color w:val="auto"/>
        </w:rPr>
        <w:t xml:space="preserve"> (</w:t>
      </w:r>
      <w:r w:rsidRPr="00D44AA7">
        <w:rPr>
          <w:rFonts w:hint="eastAsia"/>
          <w:color w:val="auto"/>
        </w:rPr>
        <w:t>-</w:t>
      </w:r>
      <w:r w:rsidRPr="00D44AA7">
        <w:rPr>
          <w:color w:val="auto"/>
        </w:rPr>
        <w:t>56</w:t>
      </w:r>
      <w:r w:rsidRPr="00D44AA7">
        <w:rPr>
          <w:rFonts w:hint="eastAsia"/>
          <w:color w:val="auto"/>
        </w:rPr>
        <w:t>,</w:t>
      </w:r>
      <w:r w:rsidRPr="00D44AA7">
        <w:rPr>
          <w:color w:val="auto"/>
        </w:rPr>
        <w:t>2</w:t>
      </w:r>
      <w:r w:rsidRPr="00D44AA7">
        <w:rPr>
          <w:rFonts w:hint="eastAsia"/>
          <w:color w:val="auto"/>
        </w:rPr>
        <w:t>%</w:t>
      </w:r>
      <w:r w:rsidRPr="00D44AA7">
        <w:rPr>
          <w:color w:val="auto"/>
        </w:rPr>
        <w:t>) (</w:t>
      </w:r>
      <w:r w:rsidRPr="00D44AA7">
        <w:rPr>
          <w:color w:val="auto"/>
          <w:highlight w:val="yellow"/>
        </w:rPr>
        <w:t>figura 1</w:t>
      </w:r>
      <w:r w:rsidR="002C6B92">
        <w:rPr>
          <w:color w:val="auto"/>
          <w:highlight w:val="yellow"/>
        </w:rPr>
        <w:t>9</w:t>
      </w:r>
      <w:r w:rsidRPr="00D44AA7">
        <w:rPr>
          <w:color w:val="auto"/>
        </w:rPr>
        <w:t xml:space="preserve">). In base alla </w:t>
      </w:r>
      <w:hyperlink r:id="rId13" w:history="1">
        <w:r w:rsidRPr="00D44AA7">
          <w:rPr>
            <w:rStyle w:val="Collegamentoipertestuale"/>
            <w:color w:val="auto"/>
          </w:rPr>
          <w:t>platea ufficiale</w:t>
        </w:r>
      </w:hyperlink>
      <w:r w:rsidRPr="00D44AA7">
        <w:rPr>
          <w:color w:val="auto"/>
        </w:rPr>
        <w:t xml:space="preserve"> (n. 4.422.597 di </w:t>
      </w:r>
      <w:r w:rsidRPr="00D44AA7">
        <w:rPr>
          <w:color w:val="auto"/>
        </w:rPr>
        <w:lastRenderedPageBreak/>
        <w:t>cui 2.795.910 di over 80, 1.538.588 pazienti fragili della fascia</w:t>
      </w:r>
      <w:bookmarkStart w:id="3" w:name="_GoBack"/>
      <w:bookmarkEnd w:id="3"/>
      <w:r w:rsidRPr="00D44AA7">
        <w:rPr>
          <w:color w:val="auto"/>
        </w:rPr>
        <w:t xml:space="preserve"> di età 60-79 e 88.099 ospiti delle RSA che non ricadono nelle categorie precedenti), aggiornata al 20 maggio, il tasso di copertura nazionale per le quarte dosi è del 17% con nette differenze regionali: dal 4,7% della Calabria al 37,2% del Piemonte (</w:t>
      </w:r>
      <w:r w:rsidRPr="00D44AA7">
        <w:rPr>
          <w:color w:val="auto"/>
          <w:highlight w:val="yellow"/>
        </w:rPr>
        <w:t>figura 20</w:t>
      </w:r>
      <w:r w:rsidRPr="00D44AA7">
        <w:rPr>
          <w:color w:val="auto"/>
        </w:rPr>
        <w:t>).</w:t>
      </w:r>
    </w:p>
    <w:p w14:paraId="10D32B2E" w14:textId="27343FF4" w:rsidR="005402F8" w:rsidRPr="00D44AA7" w:rsidRDefault="004B0317" w:rsidP="004B0317">
      <w:pPr>
        <w:spacing w:line="276" w:lineRule="auto"/>
        <w:jc w:val="both"/>
      </w:pPr>
      <w:r w:rsidRPr="004B0317">
        <w:t xml:space="preserve">«La frenata nella discesa dei nuovi casi settimanali </w:t>
      </w:r>
      <w:r w:rsidR="005220BB" w:rsidRPr="004B0317">
        <w:t>–</w:t>
      </w:r>
      <w:r w:rsidRPr="004B0317">
        <w:t xml:space="preserve"> conclude Cartabellotta – e la netta riduzione del numero dei tamponi parallela all’aumento del tasso di positività sono “spie rosse” confermate dalla ripresa della circolazione virale in alcune Province, verosimilmente spinta dalla sotto-variante Omicron BA.5. In un contesto epidemiologico che conta ancora oltre 600 mila positivi (numero peraltro largamente sottostimato), tenendo conto delle incertezze sulla prevalenza della variante BA.5 oltre che del basso numero di anziani e fragili coperti con la quarta dose, è prudente continuare ad indossare la mascherina nei locali al chiuso, specialmente se affollati e/o poco ventilati, indipendentemente dalla decisione del Governo di prolungarne l’uso sui mezzi di trasporto. In questa direzione va l</w:t>
      </w:r>
      <w:r w:rsidR="00685F2D">
        <w:t>a forte raccomandazione all’uso</w:t>
      </w:r>
      <w:r w:rsidRPr="004B0317">
        <w:t xml:space="preserve"> d</w:t>
      </w:r>
      <w:r w:rsidR="00685F2D">
        <w:t>ella</w:t>
      </w:r>
      <w:r w:rsidRPr="004B0317">
        <w:t xml:space="preserve"> mascherina </w:t>
      </w:r>
      <w:r w:rsidR="005220BB">
        <w:t>previst</w:t>
      </w:r>
      <w:r w:rsidR="00061BF2">
        <w:t>a</w:t>
      </w:r>
      <w:r w:rsidR="005220BB">
        <w:t xml:space="preserve"> </w:t>
      </w:r>
      <w:r w:rsidRPr="004B0317">
        <w:t>in occasione delle consultazioni elettorali</w:t>
      </w:r>
      <w:r w:rsidR="00EF398A">
        <w:t xml:space="preserve"> e referendarie: è fondamentale </w:t>
      </w:r>
      <w:r w:rsidRPr="004B0317">
        <w:t xml:space="preserve">ridurre al minimo la probabilità di focolai nei seggi, oltre che </w:t>
      </w:r>
      <w:r w:rsidR="005220BB">
        <w:t>innalzare</w:t>
      </w:r>
      <w:r w:rsidR="005220BB" w:rsidRPr="004B0317">
        <w:t xml:space="preserve"> </w:t>
      </w:r>
      <w:r w:rsidRPr="004B0317">
        <w:t xml:space="preserve">il livello di protezione per anziani e fragili, che devono avere la possibilità di esercitare il loro imprescindibile diritto di voto in </w:t>
      </w:r>
      <w:r w:rsidR="00A3560E">
        <w:t xml:space="preserve">condizioni di </w:t>
      </w:r>
      <w:r w:rsidRPr="004B0317">
        <w:t>massima sicurezza».</w:t>
      </w:r>
    </w:p>
    <w:p w14:paraId="102C3FA8" w14:textId="77777777" w:rsidR="00E23CF9" w:rsidRPr="00D44AA7" w:rsidRDefault="00666867" w:rsidP="00BD67DE">
      <w:pPr>
        <w:spacing w:after="120" w:line="276" w:lineRule="auto"/>
        <w:rPr>
          <w:rStyle w:val="Hyperlink0"/>
        </w:rPr>
      </w:pPr>
      <w:r w:rsidRPr="00D44AA7">
        <w:rPr>
          <w:i/>
          <w:iCs/>
        </w:rPr>
        <w:t>Il</w:t>
      </w:r>
      <w:r w:rsidR="00CE577D" w:rsidRPr="00D44AA7">
        <w:rPr>
          <w:i/>
          <w:iCs/>
        </w:rPr>
        <w:t xml:space="preserve"> monitoraggio GIMBE dell'epidemia COVID-19 è disponibile a: </w:t>
      </w:r>
      <w:hyperlink r:id="rId14" w:history="1">
        <w:r w:rsidR="00CE577D" w:rsidRPr="00D44AA7">
          <w:rPr>
            <w:rStyle w:val="Hyperlink0"/>
          </w:rPr>
          <w:t>https://coronavirus.gimbe.org</w:t>
        </w:r>
      </w:hyperlink>
    </w:p>
    <w:p w14:paraId="0C92CF80" w14:textId="77777777" w:rsidR="009B392C" w:rsidRPr="00D44AA7" w:rsidRDefault="009B392C" w:rsidP="00BD67DE">
      <w:pPr>
        <w:spacing w:after="120" w:line="276" w:lineRule="auto"/>
        <w:rPr>
          <w:rStyle w:val="Hyperlink0"/>
        </w:rPr>
      </w:pPr>
    </w:p>
    <w:p w14:paraId="772F0F34" w14:textId="77777777" w:rsidR="00044ABB" w:rsidRPr="00D44AA7" w:rsidRDefault="00CE577D" w:rsidP="00C46A82">
      <w:pPr>
        <w:spacing w:after="120"/>
        <w:rPr>
          <w:rFonts w:eastAsia="Calibri" w:cs="Calibri"/>
          <w:color w:val="0563C1"/>
          <w:sz w:val="20"/>
          <w:szCs w:val="20"/>
          <w:u w:val="single" w:color="0563C1"/>
        </w:rPr>
      </w:pPr>
      <w:r w:rsidRPr="00D44AA7">
        <w:rPr>
          <w:b/>
          <w:bCs/>
        </w:rPr>
        <w:t>CONTATTI</w:t>
      </w:r>
      <w:r w:rsidRPr="00D44AA7">
        <w:rPr>
          <w:i/>
          <w:iCs/>
        </w:rPr>
        <w:br/>
      </w:r>
      <w:r w:rsidRPr="00D44AA7">
        <w:rPr>
          <w:b/>
          <w:bCs/>
        </w:rPr>
        <w:t>Fondazione GIMBE</w:t>
      </w:r>
      <w:r w:rsidRPr="00D44AA7">
        <w:rPr>
          <w:i/>
          <w:iCs/>
          <w:color w:val="0563C1"/>
          <w:u w:val="single" w:color="0563C1"/>
        </w:rPr>
        <w:br/>
      </w:r>
      <w:r w:rsidRPr="00D44AA7">
        <w:rPr>
          <w:sz w:val="20"/>
          <w:szCs w:val="20"/>
        </w:rPr>
        <w:t>Via Amendola 2 - 40121 Bologna</w:t>
      </w:r>
      <w:r w:rsidRPr="00D44AA7">
        <w:rPr>
          <w:sz w:val="20"/>
          <w:szCs w:val="20"/>
        </w:rPr>
        <w:br/>
        <w:t>Tel. 051 5883920 - Fax 051 4075774</w:t>
      </w:r>
      <w:r w:rsidRPr="00D44AA7">
        <w:rPr>
          <w:sz w:val="20"/>
          <w:szCs w:val="20"/>
        </w:rPr>
        <w:br/>
        <w:t xml:space="preserve">E-mail: </w:t>
      </w:r>
      <w:hyperlink r:id="rId15" w:history="1">
        <w:r w:rsidRPr="00D44AA7">
          <w:rPr>
            <w:rStyle w:val="Hyperlink1"/>
          </w:rPr>
          <w:t>ufficio.stampa@gimbe.org</w:t>
        </w:r>
      </w:hyperlink>
    </w:p>
    <w:p w14:paraId="63673673" w14:textId="77777777" w:rsidR="00F43DFC" w:rsidRPr="00D44AA7" w:rsidRDefault="001203E4" w:rsidP="00D304E2">
      <w:pPr>
        <w:spacing w:after="0" w:line="240" w:lineRule="auto"/>
        <w:jc w:val="center"/>
        <w:rPr>
          <w:b/>
          <w:bCs/>
          <w:color w:val="00457D"/>
          <w:sz w:val="24"/>
          <w:szCs w:val="24"/>
          <w:u w:color="00457D"/>
        </w:rPr>
      </w:pPr>
      <w:r w:rsidRPr="00D44AA7">
        <w:rPr>
          <w:b/>
          <w:bCs/>
          <w:color w:val="00457D"/>
          <w:sz w:val="24"/>
          <w:szCs w:val="24"/>
          <w:u w:color="00457D"/>
        </w:rPr>
        <w:br w:type="page"/>
      </w:r>
      <w:r w:rsidR="00CE577D" w:rsidRPr="00D44AA7">
        <w:rPr>
          <w:b/>
          <w:bCs/>
          <w:color w:val="00457D"/>
          <w:sz w:val="24"/>
          <w:szCs w:val="24"/>
          <w:u w:color="00457D"/>
        </w:rPr>
        <w:lastRenderedPageBreak/>
        <w:t>Figura 1</w:t>
      </w:r>
    </w:p>
    <w:p w14:paraId="09A0BDA9" w14:textId="185F2F5C" w:rsidR="00F43DFC" w:rsidRPr="00D44AA7" w:rsidRDefault="00061BF2">
      <w:pPr>
        <w:jc w:val="center"/>
        <w:rPr>
          <w:b/>
          <w:bCs/>
          <w:color w:val="00457D"/>
          <w:sz w:val="24"/>
          <w:szCs w:val="24"/>
          <w:u w:color="00457D"/>
        </w:rPr>
      </w:pPr>
      <w:r>
        <w:rPr>
          <w:b/>
          <w:bCs/>
          <w:noProof/>
          <w:color w:val="00457D"/>
          <w:sz w:val="24"/>
          <w:szCs w:val="24"/>
          <w:u w:color="00457D"/>
        </w:rPr>
        <w:pict w14:anchorId="73455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7pt">
            <v:imagedata r:id="rId16" o:title="Figura01_20220609"/>
          </v:shape>
        </w:pict>
      </w:r>
    </w:p>
    <w:p w14:paraId="7698B4BD" w14:textId="77777777" w:rsidR="00266D51" w:rsidRPr="00D44AA7" w:rsidRDefault="00266D51">
      <w:pPr>
        <w:jc w:val="center"/>
        <w:rPr>
          <w:b/>
          <w:bCs/>
          <w:color w:val="00457D"/>
          <w:sz w:val="24"/>
          <w:szCs w:val="24"/>
          <w:u w:color="00457D"/>
        </w:rPr>
      </w:pPr>
    </w:p>
    <w:p w14:paraId="5B5AA747" w14:textId="26F112E0" w:rsidR="000E770E" w:rsidRPr="00D44AA7" w:rsidRDefault="00CE577D">
      <w:pPr>
        <w:jc w:val="center"/>
        <w:rPr>
          <w:b/>
          <w:bCs/>
          <w:color w:val="00457D"/>
          <w:sz w:val="24"/>
          <w:szCs w:val="24"/>
          <w:u w:color="00457D"/>
        </w:rPr>
      </w:pPr>
      <w:r w:rsidRPr="00D44AA7">
        <w:rPr>
          <w:b/>
          <w:bCs/>
          <w:color w:val="00457D"/>
          <w:sz w:val="24"/>
          <w:szCs w:val="24"/>
          <w:u w:color="00457D"/>
        </w:rPr>
        <w:t>Figura 2</w:t>
      </w:r>
      <w:r w:rsidRPr="00D44AA7">
        <w:rPr>
          <w:b/>
          <w:bCs/>
          <w:color w:val="00457D"/>
          <w:sz w:val="24"/>
          <w:szCs w:val="24"/>
          <w:u w:color="00457D"/>
        </w:rPr>
        <w:br/>
      </w:r>
      <w:r w:rsidR="00061BF2">
        <w:rPr>
          <w:b/>
          <w:bCs/>
          <w:noProof/>
          <w:color w:val="00457D"/>
          <w:sz w:val="24"/>
          <w:szCs w:val="24"/>
          <w:u w:color="00457D"/>
        </w:rPr>
        <w:pict w14:anchorId="096DEA21">
          <v:shape id="_x0000_i1026" type="#_x0000_t75" style="width:453pt;height:251.25pt">
            <v:imagedata r:id="rId17" o:title="Figura02_20220609"/>
          </v:shape>
        </w:pict>
      </w:r>
    </w:p>
    <w:p w14:paraId="3FD028EF" w14:textId="77777777" w:rsidR="007B682B" w:rsidRPr="00D44AA7" w:rsidRDefault="00CE577D">
      <w:pPr>
        <w:jc w:val="center"/>
        <w:sectPr w:rsidR="007B682B" w:rsidRPr="00D44AA7" w:rsidSect="005B4AE1">
          <w:pgSz w:w="11900" w:h="16840"/>
          <w:pgMar w:top="993" w:right="1134" w:bottom="709" w:left="1134" w:header="709" w:footer="709" w:gutter="0"/>
          <w:cols w:space="720"/>
        </w:sectPr>
      </w:pPr>
      <w:r w:rsidRPr="00D44AA7">
        <w:rPr>
          <w:b/>
          <w:bCs/>
          <w:color w:val="00457D"/>
          <w:sz w:val="24"/>
          <w:szCs w:val="24"/>
          <w:u w:color="00457D"/>
        </w:rPr>
        <w:br/>
      </w:r>
    </w:p>
    <w:p w14:paraId="2FBF2002" w14:textId="77777777" w:rsidR="007B682B" w:rsidRPr="00D44AA7" w:rsidRDefault="00CE577D" w:rsidP="00466C2D">
      <w:pPr>
        <w:spacing w:after="0" w:line="360" w:lineRule="auto"/>
        <w:jc w:val="center"/>
        <w:rPr>
          <w:b/>
          <w:bCs/>
          <w:color w:val="00457D"/>
          <w:sz w:val="24"/>
          <w:szCs w:val="24"/>
          <w:u w:color="00457D"/>
        </w:rPr>
      </w:pPr>
      <w:r w:rsidRPr="00D44AA7">
        <w:rPr>
          <w:b/>
          <w:bCs/>
          <w:color w:val="00457D"/>
          <w:sz w:val="24"/>
          <w:szCs w:val="24"/>
          <w:u w:color="00457D"/>
        </w:rPr>
        <w:lastRenderedPageBreak/>
        <w:t>Figura 3</w:t>
      </w:r>
    </w:p>
    <w:p w14:paraId="523BB5A2" w14:textId="14114B4D" w:rsidR="00333BB6" w:rsidRPr="00D44AA7" w:rsidRDefault="00061BF2" w:rsidP="00466C2D">
      <w:pPr>
        <w:spacing w:after="0" w:line="360" w:lineRule="auto"/>
        <w:jc w:val="center"/>
        <w:rPr>
          <w:b/>
          <w:bCs/>
          <w:color w:val="00457D"/>
          <w:sz w:val="24"/>
          <w:szCs w:val="24"/>
          <w:u w:color="00457D"/>
        </w:rPr>
      </w:pPr>
      <w:r>
        <w:rPr>
          <w:b/>
          <w:bCs/>
          <w:noProof/>
          <w:color w:val="00457D"/>
          <w:sz w:val="24"/>
          <w:szCs w:val="24"/>
          <w:u w:color="00457D"/>
        </w:rPr>
        <w:pict w14:anchorId="1F7FAEC6">
          <v:shape id="_x0000_i1027" type="#_x0000_t75" style="width:727.5pt;height:374.25pt">
            <v:imagedata r:id="rId18" o:title="Figura03_20220609"/>
          </v:shape>
        </w:pict>
      </w:r>
    </w:p>
    <w:p w14:paraId="57B3D793" w14:textId="77777777" w:rsidR="007B682B" w:rsidRPr="00D44AA7" w:rsidRDefault="007B682B">
      <w:pPr>
        <w:spacing w:after="0" w:line="360" w:lineRule="auto"/>
        <w:jc w:val="center"/>
        <w:sectPr w:rsidR="007B682B" w:rsidRPr="00D44AA7" w:rsidSect="005B4AE1">
          <w:pgSz w:w="16840" w:h="11900" w:orient="landscape"/>
          <w:pgMar w:top="992" w:right="1134" w:bottom="709" w:left="1134" w:header="709" w:footer="709" w:gutter="0"/>
          <w:cols w:space="720"/>
          <w:docGrid w:linePitch="299"/>
        </w:sectPr>
      </w:pPr>
    </w:p>
    <w:p w14:paraId="2962066F" w14:textId="77777777" w:rsidR="00184E2C" w:rsidRPr="00D44AA7" w:rsidRDefault="00E10DC3" w:rsidP="00E10DC3">
      <w:pPr>
        <w:spacing w:after="0"/>
        <w:jc w:val="center"/>
        <w:rPr>
          <w:b/>
          <w:bCs/>
          <w:color w:val="00457D"/>
          <w:sz w:val="24"/>
          <w:szCs w:val="24"/>
          <w:u w:color="00457D"/>
        </w:rPr>
      </w:pPr>
      <w:r w:rsidRPr="00D44AA7">
        <w:rPr>
          <w:b/>
          <w:bCs/>
          <w:color w:val="00457D"/>
          <w:sz w:val="24"/>
          <w:szCs w:val="24"/>
          <w:u w:color="00457D"/>
        </w:rPr>
        <w:lastRenderedPageBreak/>
        <w:t>Figura 4</w:t>
      </w:r>
    </w:p>
    <w:p w14:paraId="309D969C" w14:textId="5CE945BE" w:rsidR="00FB6128" w:rsidRPr="00D44AA7" w:rsidRDefault="00061BF2" w:rsidP="00E10DC3">
      <w:pPr>
        <w:spacing w:after="0"/>
        <w:jc w:val="center"/>
        <w:rPr>
          <w:color w:val="auto"/>
        </w:rPr>
      </w:pPr>
      <w:r>
        <w:rPr>
          <w:noProof/>
          <w:color w:val="auto"/>
        </w:rPr>
        <w:pict w14:anchorId="7C26B33F">
          <v:shape id="_x0000_i1028" type="#_x0000_t75" style="width:481.5pt;height:235.5pt">
            <v:imagedata r:id="rId19" o:title="Figura04_20220609"/>
          </v:shape>
        </w:pict>
      </w:r>
    </w:p>
    <w:p w14:paraId="28A7A0AF" w14:textId="77777777" w:rsidR="00FB6128" w:rsidRPr="00D44AA7" w:rsidRDefault="00FB6128" w:rsidP="00E10DC3">
      <w:pPr>
        <w:spacing w:after="0"/>
        <w:jc w:val="center"/>
        <w:rPr>
          <w:color w:val="auto"/>
        </w:rPr>
      </w:pPr>
    </w:p>
    <w:p w14:paraId="41CC3463" w14:textId="77777777" w:rsidR="00FB6128" w:rsidRPr="00D44AA7" w:rsidRDefault="00FB6128" w:rsidP="00FB6128">
      <w:pPr>
        <w:spacing w:after="0"/>
        <w:jc w:val="center"/>
        <w:rPr>
          <w:b/>
          <w:bCs/>
          <w:color w:val="00457D"/>
          <w:sz w:val="24"/>
          <w:szCs w:val="24"/>
          <w:u w:color="00457D"/>
        </w:rPr>
      </w:pPr>
      <w:r w:rsidRPr="00D44AA7">
        <w:rPr>
          <w:b/>
          <w:bCs/>
          <w:color w:val="00457D"/>
          <w:sz w:val="24"/>
          <w:szCs w:val="24"/>
          <w:u w:color="00457D"/>
        </w:rPr>
        <w:t>Figura 5</w:t>
      </w:r>
    </w:p>
    <w:p w14:paraId="5202997F" w14:textId="2C0B1511" w:rsidR="00184E2C" w:rsidRPr="00D44AA7" w:rsidRDefault="00061BF2" w:rsidP="000E770E">
      <w:pPr>
        <w:spacing w:after="0" w:line="276" w:lineRule="auto"/>
        <w:jc w:val="center"/>
        <w:rPr>
          <w:color w:val="auto"/>
        </w:rPr>
      </w:pPr>
      <w:r>
        <w:rPr>
          <w:noProof/>
          <w:color w:val="auto"/>
        </w:rPr>
        <w:pict w14:anchorId="4130DB08">
          <v:shape id="_x0000_i1029" type="#_x0000_t75" style="width:480.75pt;height:260.25pt">
            <v:imagedata r:id="rId20" o:title="Figura05_20220609"/>
          </v:shape>
        </w:pict>
      </w:r>
    </w:p>
    <w:p w14:paraId="48C78DAE" w14:textId="77777777" w:rsidR="000E770E" w:rsidRPr="00D44AA7" w:rsidRDefault="000E770E" w:rsidP="00626103">
      <w:pPr>
        <w:spacing w:after="0"/>
        <w:jc w:val="center"/>
        <w:rPr>
          <w:b/>
          <w:bCs/>
          <w:color w:val="00457D"/>
          <w:sz w:val="24"/>
          <w:szCs w:val="24"/>
          <w:u w:color="00457D"/>
        </w:rPr>
      </w:pPr>
    </w:p>
    <w:p w14:paraId="2A931F4F" w14:textId="77777777" w:rsidR="00FB6128" w:rsidRPr="00D44AA7" w:rsidRDefault="00FB6128">
      <w:pPr>
        <w:spacing w:after="0" w:line="240" w:lineRule="auto"/>
        <w:rPr>
          <w:b/>
          <w:bCs/>
          <w:color w:val="00457D"/>
          <w:sz w:val="24"/>
          <w:szCs w:val="24"/>
          <w:u w:color="00457D"/>
        </w:rPr>
      </w:pPr>
      <w:r w:rsidRPr="00D44AA7">
        <w:rPr>
          <w:b/>
          <w:bCs/>
          <w:color w:val="00457D"/>
          <w:sz w:val="24"/>
          <w:szCs w:val="24"/>
          <w:u w:color="00457D"/>
        </w:rPr>
        <w:br w:type="page"/>
      </w:r>
    </w:p>
    <w:p w14:paraId="6924DE08" w14:textId="77777777" w:rsidR="00D93FAE" w:rsidRPr="00D44AA7" w:rsidRDefault="00D93FAE" w:rsidP="00D93FAE">
      <w:pPr>
        <w:spacing w:after="0"/>
        <w:jc w:val="center"/>
        <w:rPr>
          <w:b/>
          <w:bCs/>
          <w:color w:val="00457D"/>
          <w:sz w:val="24"/>
          <w:szCs w:val="24"/>
          <w:u w:color="00457D"/>
        </w:rPr>
      </w:pPr>
      <w:r w:rsidRPr="00D44AA7">
        <w:rPr>
          <w:b/>
          <w:bCs/>
          <w:color w:val="00457D"/>
          <w:sz w:val="24"/>
          <w:szCs w:val="24"/>
          <w:u w:color="00457D"/>
        </w:rPr>
        <w:lastRenderedPageBreak/>
        <w:t>Figura 6</w:t>
      </w:r>
    </w:p>
    <w:p w14:paraId="4666CBEC" w14:textId="72C42C5C" w:rsidR="00D93FAE" w:rsidRPr="00D44AA7" w:rsidRDefault="00061BF2" w:rsidP="00F9470A">
      <w:pPr>
        <w:spacing w:after="0"/>
        <w:jc w:val="center"/>
        <w:rPr>
          <w:b/>
          <w:bCs/>
          <w:color w:val="00457D"/>
          <w:sz w:val="24"/>
          <w:szCs w:val="24"/>
          <w:u w:color="00457D"/>
        </w:rPr>
      </w:pPr>
      <w:r>
        <w:rPr>
          <w:b/>
          <w:bCs/>
          <w:noProof/>
          <w:color w:val="00457D"/>
          <w:sz w:val="24"/>
          <w:szCs w:val="24"/>
          <w:u w:color="00457D"/>
        </w:rPr>
        <w:pict w14:anchorId="58433B07">
          <v:shape id="_x0000_i1030" type="#_x0000_t75" style="width:481.5pt;height:256.5pt">
            <v:imagedata r:id="rId21" o:title="Figura06_20220609"/>
          </v:shape>
        </w:pict>
      </w:r>
    </w:p>
    <w:p w14:paraId="70A9EF9A" w14:textId="77777777" w:rsidR="00D93FAE" w:rsidRPr="00D44AA7" w:rsidRDefault="00D93FAE" w:rsidP="00D93FAE">
      <w:pPr>
        <w:spacing w:after="0" w:line="240" w:lineRule="auto"/>
        <w:jc w:val="center"/>
        <w:rPr>
          <w:b/>
          <w:bCs/>
          <w:color w:val="00457D"/>
          <w:sz w:val="8"/>
          <w:szCs w:val="14"/>
          <w:u w:color="00457D"/>
        </w:rPr>
      </w:pPr>
    </w:p>
    <w:p w14:paraId="4259E31A" w14:textId="77777777" w:rsidR="00061647" w:rsidRPr="00D44AA7" w:rsidRDefault="00061647">
      <w:pPr>
        <w:spacing w:after="0" w:line="240" w:lineRule="auto"/>
        <w:rPr>
          <w:b/>
          <w:bCs/>
          <w:color w:val="00457D"/>
          <w:sz w:val="24"/>
          <w:szCs w:val="24"/>
          <w:u w:color="00457D"/>
        </w:rPr>
      </w:pPr>
    </w:p>
    <w:p w14:paraId="0D6A358A" w14:textId="77777777" w:rsidR="00A03AAC" w:rsidRPr="00D44AA7" w:rsidRDefault="00D93FAE" w:rsidP="00D93FAE">
      <w:pPr>
        <w:spacing w:after="0"/>
        <w:jc w:val="center"/>
        <w:rPr>
          <w:b/>
          <w:bCs/>
          <w:color w:val="00457D"/>
          <w:sz w:val="24"/>
          <w:szCs w:val="24"/>
          <w:u w:color="00457D"/>
        </w:rPr>
      </w:pPr>
      <w:r w:rsidRPr="00D44AA7">
        <w:rPr>
          <w:b/>
          <w:bCs/>
          <w:color w:val="00457D"/>
          <w:sz w:val="24"/>
          <w:szCs w:val="24"/>
          <w:u w:color="00457D"/>
        </w:rPr>
        <w:t xml:space="preserve">Figura </w:t>
      </w:r>
      <w:r w:rsidR="001E3B61" w:rsidRPr="00D44AA7">
        <w:rPr>
          <w:b/>
          <w:bCs/>
          <w:color w:val="00457D"/>
          <w:sz w:val="24"/>
          <w:szCs w:val="24"/>
          <w:u w:color="00457D"/>
        </w:rPr>
        <w:t>7</w:t>
      </w:r>
    </w:p>
    <w:p w14:paraId="3E94A17C" w14:textId="51D23D1A" w:rsidR="008751B7" w:rsidRPr="00D44AA7" w:rsidRDefault="00061BF2" w:rsidP="00D93FAE">
      <w:pPr>
        <w:spacing w:after="0"/>
        <w:jc w:val="center"/>
        <w:rPr>
          <w:b/>
          <w:bCs/>
          <w:color w:val="00457D"/>
          <w:sz w:val="24"/>
          <w:szCs w:val="24"/>
          <w:u w:color="00457D"/>
        </w:rPr>
      </w:pPr>
      <w:r>
        <w:rPr>
          <w:b/>
          <w:bCs/>
          <w:noProof/>
          <w:color w:val="00457D"/>
          <w:sz w:val="24"/>
          <w:szCs w:val="24"/>
          <w:u w:color="00457D"/>
        </w:rPr>
        <w:pict w14:anchorId="52412CDC">
          <v:shape id="_x0000_i1031" type="#_x0000_t75" style="width:480.75pt;height:240.75pt">
            <v:imagedata r:id="rId22" o:title="Figura07_20220609"/>
          </v:shape>
        </w:pict>
      </w:r>
    </w:p>
    <w:p w14:paraId="6703EE48" w14:textId="77777777" w:rsidR="008751B7" w:rsidRPr="00D44AA7" w:rsidRDefault="008751B7" w:rsidP="008751B7">
      <w:pPr>
        <w:spacing w:after="0"/>
        <w:jc w:val="center"/>
        <w:rPr>
          <w:b/>
          <w:bCs/>
          <w:color w:val="00457D"/>
          <w:sz w:val="24"/>
          <w:szCs w:val="24"/>
          <w:u w:color="00457D"/>
        </w:rPr>
      </w:pPr>
    </w:p>
    <w:p w14:paraId="1CD93100" w14:textId="77777777" w:rsidR="008751B7" w:rsidRPr="00D44AA7" w:rsidRDefault="008751B7">
      <w:pPr>
        <w:spacing w:after="0" w:line="240" w:lineRule="auto"/>
        <w:rPr>
          <w:b/>
          <w:bCs/>
          <w:color w:val="00457D"/>
          <w:sz w:val="24"/>
          <w:szCs w:val="24"/>
          <w:u w:color="00457D"/>
        </w:rPr>
      </w:pPr>
      <w:r w:rsidRPr="00D44AA7">
        <w:rPr>
          <w:b/>
          <w:bCs/>
          <w:color w:val="00457D"/>
          <w:sz w:val="24"/>
          <w:szCs w:val="24"/>
          <w:u w:color="00457D"/>
        </w:rPr>
        <w:br w:type="page"/>
      </w:r>
    </w:p>
    <w:p w14:paraId="5339959B" w14:textId="77777777" w:rsidR="008751B7" w:rsidRPr="00D44AA7" w:rsidRDefault="008751B7" w:rsidP="008751B7">
      <w:pPr>
        <w:spacing w:after="0"/>
        <w:jc w:val="center"/>
        <w:rPr>
          <w:b/>
          <w:bCs/>
          <w:color w:val="00457D"/>
          <w:sz w:val="24"/>
          <w:szCs w:val="24"/>
          <w:u w:color="00457D"/>
        </w:rPr>
      </w:pPr>
      <w:r w:rsidRPr="00D44AA7">
        <w:rPr>
          <w:b/>
          <w:bCs/>
          <w:color w:val="00457D"/>
          <w:sz w:val="24"/>
          <w:szCs w:val="24"/>
          <w:u w:color="00457D"/>
        </w:rPr>
        <w:lastRenderedPageBreak/>
        <w:t>Figura 8</w:t>
      </w:r>
    </w:p>
    <w:p w14:paraId="632D3585" w14:textId="3C5C4E04" w:rsidR="00D93FAE" w:rsidRPr="00D44AA7" w:rsidRDefault="00061BF2" w:rsidP="00D93FAE">
      <w:pPr>
        <w:spacing w:after="0"/>
        <w:jc w:val="center"/>
        <w:rPr>
          <w:b/>
          <w:bCs/>
          <w:color w:val="00457D"/>
          <w:sz w:val="24"/>
          <w:szCs w:val="24"/>
          <w:u w:color="00457D"/>
        </w:rPr>
      </w:pPr>
      <w:r>
        <w:rPr>
          <w:b/>
          <w:bCs/>
          <w:noProof/>
          <w:color w:val="00457D"/>
          <w:sz w:val="24"/>
          <w:szCs w:val="24"/>
          <w:u w:color="00457D"/>
        </w:rPr>
        <w:pict w14:anchorId="13097E2A">
          <v:shape id="_x0000_i1032" type="#_x0000_t75" style="width:481.5pt;height:447.75pt">
            <v:imagedata r:id="rId23" o:title="Figura08_20220609"/>
          </v:shape>
        </w:pict>
      </w:r>
    </w:p>
    <w:p w14:paraId="586B23D4" w14:textId="77777777" w:rsidR="002879EE" w:rsidRPr="00D44AA7" w:rsidRDefault="002879EE">
      <w:pPr>
        <w:spacing w:after="0"/>
        <w:jc w:val="center"/>
        <w:rPr>
          <w:b/>
          <w:bCs/>
          <w:color w:val="00457D"/>
          <w:sz w:val="10"/>
          <w:szCs w:val="12"/>
          <w:u w:color="00457D"/>
        </w:rPr>
      </w:pPr>
    </w:p>
    <w:p w14:paraId="214A672A" w14:textId="77777777" w:rsidR="00184E2C" w:rsidRPr="00D44AA7" w:rsidRDefault="00CE577D">
      <w:pPr>
        <w:spacing w:after="0"/>
        <w:jc w:val="center"/>
        <w:rPr>
          <w:b/>
          <w:bCs/>
          <w:color w:val="00457D"/>
          <w:sz w:val="24"/>
          <w:szCs w:val="24"/>
          <w:u w:color="00457D"/>
        </w:rPr>
      </w:pPr>
      <w:r w:rsidRPr="00D44AA7">
        <w:rPr>
          <w:b/>
          <w:bCs/>
          <w:color w:val="00457D"/>
          <w:sz w:val="24"/>
          <w:szCs w:val="24"/>
          <w:u w:color="00457D"/>
        </w:rPr>
        <w:t>Figura</w:t>
      </w:r>
      <w:r w:rsidR="00E10DC3" w:rsidRPr="00D44AA7">
        <w:rPr>
          <w:b/>
          <w:bCs/>
          <w:color w:val="00457D"/>
          <w:sz w:val="24"/>
          <w:szCs w:val="24"/>
          <w:u w:color="00457D"/>
        </w:rPr>
        <w:t xml:space="preserve"> </w:t>
      </w:r>
      <w:r w:rsidR="008751B7" w:rsidRPr="00D44AA7">
        <w:rPr>
          <w:b/>
          <w:bCs/>
          <w:color w:val="00457D"/>
          <w:sz w:val="24"/>
          <w:szCs w:val="24"/>
          <w:u w:color="00457D"/>
        </w:rPr>
        <w:t>9</w:t>
      </w:r>
    </w:p>
    <w:p w14:paraId="3E64865B" w14:textId="2D7617A8" w:rsidR="003274E5" w:rsidRPr="00D44AA7" w:rsidRDefault="00061BF2" w:rsidP="003274E5">
      <w:pPr>
        <w:spacing w:after="0"/>
        <w:jc w:val="center"/>
        <w:rPr>
          <w:b/>
          <w:bCs/>
          <w:color w:val="00457D"/>
          <w:sz w:val="24"/>
          <w:szCs w:val="24"/>
          <w:u w:color="00457D"/>
        </w:rPr>
      </w:pPr>
      <w:r>
        <w:rPr>
          <w:b/>
          <w:bCs/>
          <w:noProof/>
          <w:color w:val="00457D"/>
          <w:sz w:val="24"/>
          <w:szCs w:val="24"/>
          <w:u w:color="00457D"/>
        </w:rPr>
        <w:pict w14:anchorId="0D84A98C">
          <v:shape id="_x0000_i1033" type="#_x0000_t75" style="width:459pt;height:222.75pt">
            <v:imagedata r:id="rId24" o:title="Figura09_20220609"/>
          </v:shape>
        </w:pict>
      </w:r>
    </w:p>
    <w:p w14:paraId="31833191" w14:textId="0A02A9DA" w:rsidR="008751B7" w:rsidRPr="00D44AA7" w:rsidRDefault="008751B7">
      <w:pPr>
        <w:spacing w:after="0" w:line="240" w:lineRule="auto"/>
        <w:rPr>
          <w:b/>
          <w:bCs/>
          <w:color w:val="00457D"/>
          <w:sz w:val="24"/>
          <w:szCs w:val="24"/>
          <w:u w:color="00457D"/>
        </w:rPr>
      </w:pPr>
    </w:p>
    <w:p w14:paraId="11115FB8" w14:textId="77777777" w:rsidR="001B3764" w:rsidRPr="00D44AA7" w:rsidRDefault="00736C14" w:rsidP="00DB1360">
      <w:pPr>
        <w:spacing w:after="0" w:line="240" w:lineRule="auto"/>
        <w:jc w:val="center"/>
        <w:rPr>
          <w:b/>
          <w:bCs/>
          <w:color w:val="FF0000"/>
          <w:sz w:val="24"/>
          <w:szCs w:val="24"/>
          <w:u w:color="00457D"/>
        </w:rPr>
      </w:pPr>
      <w:r w:rsidRPr="00D44AA7">
        <w:rPr>
          <w:b/>
          <w:bCs/>
          <w:color w:val="00457D"/>
          <w:sz w:val="24"/>
          <w:szCs w:val="24"/>
          <w:u w:color="00457D"/>
        </w:rPr>
        <w:t>Figura 1</w:t>
      </w:r>
      <w:r w:rsidR="00030535" w:rsidRPr="00D44AA7">
        <w:rPr>
          <w:b/>
          <w:bCs/>
          <w:color w:val="00457D"/>
          <w:sz w:val="24"/>
          <w:szCs w:val="24"/>
          <w:u w:color="00457D"/>
        </w:rPr>
        <w:t>0</w:t>
      </w:r>
    </w:p>
    <w:p w14:paraId="6291D9BA" w14:textId="36C4B31A" w:rsidR="001B3764" w:rsidRPr="00D44AA7" w:rsidRDefault="00061BF2" w:rsidP="005C1E56">
      <w:pPr>
        <w:spacing w:after="0" w:line="240" w:lineRule="auto"/>
        <w:jc w:val="center"/>
        <w:rPr>
          <w:b/>
          <w:bCs/>
          <w:color w:val="00457D"/>
          <w:sz w:val="24"/>
          <w:szCs w:val="24"/>
          <w:u w:color="00457D"/>
        </w:rPr>
      </w:pPr>
      <w:r>
        <w:rPr>
          <w:b/>
          <w:bCs/>
          <w:noProof/>
          <w:color w:val="00457D"/>
          <w:sz w:val="24"/>
          <w:szCs w:val="24"/>
          <w:u w:color="00457D"/>
        </w:rPr>
        <w:pict w14:anchorId="7679DCE9">
          <v:shape id="_x0000_i1034" type="#_x0000_t75" style="width:481.5pt;height:306pt">
            <v:imagedata r:id="rId25" o:title="Figura10_20220609"/>
          </v:shape>
        </w:pict>
      </w:r>
    </w:p>
    <w:p w14:paraId="105AA424" w14:textId="77777777" w:rsidR="008751B7" w:rsidRPr="00D44AA7" w:rsidRDefault="008751B7">
      <w:pPr>
        <w:spacing w:after="0" w:line="240" w:lineRule="auto"/>
        <w:rPr>
          <w:b/>
          <w:bCs/>
          <w:color w:val="00457D"/>
          <w:sz w:val="24"/>
          <w:szCs w:val="24"/>
          <w:u w:color="00457D"/>
        </w:rPr>
      </w:pPr>
    </w:p>
    <w:p w14:paraId="0057BE51" w14:textId="77777777" w:rsidR="00211923" w:rsidRPr="00D44AA7" w:rsidRDefault="00211923" w:rsidP="00211923">
      <w:pPr>
        <w:spacing w:after="0" w:line="240" w:lineRule="auto"/>
        <w:jc w:val="center"/>
        <w:rPr>
          <w:b/>
          <w:bCs/>
          <w:color w:val="00457D"/>
          <w:sz w:val="24"/>
          <w:szCs w:val="24"/>
          <w:u w:color="00457D"/>
        </w:rPr>
      </w:pPr>
      <w:r w:rsidRPr="00D44AA7">
        <w:rPr>
          <w:b/>
          <w:bCs/>
          <w:color w:val="00457D"/>
          <w:sz w:val="24"/>
          <w:szCs w:val="24"/>
          <w:u w:color="00457D"/>
        </w:rPr>
        <w:t xml:space="preserve">Figura </w:t>
      </w:r>
      <w:r w:rsidR="00D022C4" w:rsidRPr="00D44AA7">
        <w:rPr>
          <w:b/>
          <w:bCs/>
          <w:color w:val="00457D"/>
          <w:sz w:val="24"/>
          <w:szCs w:val="24"/>
          <w:u w:color="00457D"/>
        </w:rPr>
        <w:t>1</w:t>
      </w:r>
      <w:r w:rsidR="00D54DDF" w:rsidRPr="00D44AA7">
        <w:rPr>
          <w:b/>
          <w:bCs/>
          <w:color w:val="00457D"/>
          <w:sz w:val="24"/>
          <w:szCs w:val="24"/>
          <w:u w:color="00457D"/>
        </w:rPr>
        <w:t>1</w:t>
      </w:r>
    </w:p>
    <w:p w14:paraId="412CD69C" w14:textId="5F51CF88" w:rsidR="00A15BB4" w:rsidRPr="00D44AA7" w:rsidRDefault="00061BF2" w:rsidP="00012B67">
      <w:pPr>
        <w:spacing w:line="276" w:lineRule="auto"/>
        <w:jc w:val="center"/>
        <w:rPr>
          <w:color w:val="FF0000"/>
        </w:rPr>
      </w:pPr>
      <w:r>
        <w:rPr>
          <w:noProof/>
          <w:color w:val="FF0000"/>
        </w:rPr>
        <w:pict w14:anchorId="553671E4">
          <v:shape id="_x0000_i1035" type="#_x0000_t75" style="width:481.5pt;height:303.75pt">
            <v:imagedata r:id="rId26" o:title="Figura11_20220609"/>
          </v:shape>
        </w:pict>
      </w:r>
    </w:p>
    <w:p w14:paraId="7031E674" w14:textId="77777777" w:rsidR="00E03BC7" w:rsidRPr="00D44AA7" w:rsidRDefault="00E03BC7">
      <w:pPr>
        <w:spacing w:after="0" w:line="240" w:lineRule="auto"/>
        <w:rPr>
          <w:b/>
          <w:bCs/>
          <w:color w:val="00457D"/>
          <w:sz w:val="24"/>
          <w:szCs w:val="24"/>
          <w:u w:color="00457D"/>
        </w:rPr>
      </w:pPr>
    </w:p>
    <w:p w14:paraId="4562D8D1" w14:textId="77777777" w:rsidR="00D54DDF" w:rsidRPr="00D44AA7" w:rsidRDefault="00D54DDF">
      <w:pPr>
        <w:spacing w:after="0" w:line="240" w:lineRule="auto"/>
        <w:rPr>
          <w:b/>
          <w:bCs/>
          <w:color w:val="00457D"/>
          <w:sz w:val="24"/>
          <w:szCs w:val="24"/>
          <w:u w:color="00457D"/>
        </w:rPr>
      </w:pPr>
      <w:r w:rsidRPr="00D44AA7">
        <w:rPr>
          <w:b/>
          <w:bCs/>
          <w:color w:val="00457D"/>
          <w:sz w:val="24"/>
          <w:szCs w:val="24"/>
          <w:u w:color="00457D"/>
        </w:rPr>
        <w:br w:type="page"/>
      </w:r>
    </w:p>
    <w:p w14:paraId="7C249A52" w14:textId="77777777" w:rsidR="00D54DDF" w:rsidRPr="00D44AA7" w:rsidRDefault="00D54DDF" w:rsidP="004B6DC2">
      <w:pPr>
        <w:spacing w:after="0" w:line="240" w:lineRule="auto"/>
        <w:jc w:val="center"/>
        <w:rPr>
          <w:b/>
          <w:bCs/>
          <w:color w:val="00457D"/>
          <w:sz w:val="24"/>
          <w:szCs w:val="24"/>
          <w:u w:color="00457D"/>
        </w:rPr>
      </w:pPr>
      <w:r w:rsidRPr="00D44AA7">
        <w:rPr>
          <w:b/>
          <w:bCs/>
          <w:color w:val="00457D"/>
          <w:sz w:val="24"/>
          <w:szCs w:val="24"/>
          <w:u w:color="00457D"/>
        </w:rPr>
        <w:lastRenderedPageBreak/>
        <w:t>Figura 12</w:t>
      </w:r>
    </w:p>
    <w:p w14:paraId="2341382C" w14:textId="3BE55EEC" w:rsidR="00D54DDF" w:rsidRPr="00D44AA7" w:rsidRDefault="00061BF2" w:rsidP="004B6DC2">
      <w:pPr>
        <w:spacing w:after="0" w:line="240" w:lineRule="auto"/>
        <w:jc w:val="center"/>
        <w:rPr>
          <w:b/>
          <w:bCs/>
          <w:color w:val="00457D"/>
          <w:sz w:val="24"/>
          <w:szCs w:val="24"/>
          <w:u w:color="00457D"/>
        </w:rPr>
      </w:pPr>
      <w:r>
        <w:rPr>
          <w:b/>
          <w:bCs/>
          <w:noProof/>
          <w:color w:val="00457D"/>
          <w:sz w:val="24"/>
          <w:szCs w:val="24"/>
          <w:u w:color="00457D"/>
        </w:rPr>
        <w:pict w14:anchorId="3DF3442C">
          <v:shape id="_x0000_i1036" type="#_x0000_t75" style="width:453pt;height:340.5pt">
            <v:imagedata r:id="rId27" o:title="Figura12_20220609"/>
          </v:shape>
        </w:pict>
      </w:r>
    </w:p>
    <w:p w14:paraId="1814B78B" w14:textId="77777777" w:rsidR="00BE48B0" w:rsidRPr="00D44AA7" w:rsidRDefault="00BE48B0" w:rsidP="004B6DC2">
      <w:pPr>
        <w:spacing w:after="0" w:line="240" w:lineRule="auto"/>
        <w:jc w:val="center"/>
        <w:rPr>
          <w:b/>
          <w:bCs/>
          <w:color w:val="00457D"/>
          <w:sz w:val="12"/>
          <w:szCs w:val="12"/>
          <w:u w:color="00457D"/>
        </w:rPr>
      </w:pPr>
    </w:p>
    <w:p w14:paraId="626AE595" w14:textId="77777777" w:rsidR="004B6407" w:rsidRDefault="004B6DC2" w:rsidP="00E03BC7">
      <w:pPr>
        <w:spacing w:after="0" w:line="240" w:lineRule="auto"/>
        <w:jc w:val="center"/>
        <w:rPr>
          <w:b/>
          <w:bCs/>
          <w:color w:val="00457D"/>
          <w:sz w:val="24"/>
          <w:szCs w:val="24"/>
          <w:u w:color="00457D"/>
        </w:rPr>
      </w:pPr>
      <w:r w:rsidRPr="00D44AA7">
        <w:rPr>
          <w:b/>
          <w:bCs/>
          <w:color w:val="00457D"/>
          <w:sz w:val="24"/>
          <w:szCs w:val="24"/>
          <w:u w:color="00457D"/>
        </w:rPr>
        <w:t xml:space="preserve">Figura </w:t>
      </w:r>
      <w:r w:rsidR="001E3B61" w:rsidRPr="00D44AA7">
        <w:rPr>
          <w:b/>
          <w:bCs/>
          <w:color w:val="00457D"/>
          <w:sz w:val="24"/>
          <w:szCs w:val="24"/>
          <w:u w:color="00457D"/>
        </w:rPr>
        <w:t>1</w:t>
      </w:r>
      <w:r w:rsidR="00D54DDF" w:rsidRPr="00D44AA7">
        <w:rPr>
          <w:b/>
          <w:bCs/>
          <w:color w:val="00457D"/>
          <w:sz w:val="24"/>
          <w:szCs w:val="24"/>
          <w:u w:color="00457D"/>
        </w:rPr>
        <w:t>3</w:t>
      </w:r>
    </w:p>
    <w:p w14:paraId="2F77DD39" w14:textId="67988D20" w:rsidR="00061647" w:rsidRPr="00D44AA7" w:rsidRDefault="00061BF2" w:rsidP="00E03BC7">
      <w:pPr>
        <w:spacing w:after="0" w:line="240" w:lineRule="auto"/>
        <w:jc w:val="center"/>
        <w:rPr>
          <w:b/>
          <w:bCs/>
          <w:color w:val="00457D"/>
          <w:sz w:val="24"/>
          <w:szCs w:val="24"/>
          <w:u w:color="00457D"/>
        </w:rPr>
      </w:pPr>
      <w:r>
        <w:rPr>
          <w:b/>
          <w:bCs/>
          <w:noProof/>
          <w:color w:val="00457D"/>
          <w:sz w:val="24"/>
          <w:szCs w:val="24"/>
          <w:u w:color="00457D"/>
        </w:rPr>
        <w:pict w14:anchorId="7B5D5237">
          <v:shape id="_x0000_i1037" type="#_x0000_t75" style="width:415.5pt;height:312.75pt">
            <v:imagedata r:id="rId28" o:title="Figura13_20220609"/>
          </v:shape>
        </w:pict>
      </w:r>
    </w:p>
    <w:p w14:paraId="2125BAE8" w14:textId="77777777" w:rsidR="004B6407" w:rsidRDefault="004B6407" w:rsidP="00BE48B0">
      <w:pPr>
        <w:spacing w:after="0" w:line="240" w:lineRule="auto"/>
        <w:jc w:val="center"/>
        <w:rPr>
          <w:b/>
          <w:bCs/>
          <w:color w:val="00457D"/>
          <w:sz w:val="24"/>
          <w:szCs w:val="24"/>
          <w:u w:color="00457D"/>
        </w:rPr>
      </w:pPr>
    </w:p>
    <w:p w14:paraId="246E9353" w14:textId="69774F2F" w:rsidR="00C359C9" w:rsidRPr="00D44AA7" w:rsidRDefault="00C359C9" w:rsidP="00BE48B0">
      <w:pPr>
        <w:spacing w:after="0" w:line="240" w:lineRule="auto"/>
        <w:jc w:val="center"/>
        <w:rPr>
          <w:b/>
          <w:bCs/>
          <w:color w:val="00457D"/>
          <w:sz w:val="24"/>
          <w:szCs w:val="24"/>
          <w:u w:color="00457D"/>
        </w:rPr>
      </w:pPr>
      <w:r w:rsidRPr="00D44AA7">
        <w:rPr>
          <w:b/>
          <w:bCs/>
          <w:color w:val="00457D"/>
          <w:sz w:val="24"/>
          <w:szCs w:val="24"/>
          <w:u w:color="00457D"/>
        </w:rPr>
        <w:lastRenderedPageBreak/>
        <w:t xml:space="preserve">Figura </w:t>
      </w:r>
      <w:r w:rsidR="001E3B61" w:rsidRPr="00D44AA7">
        <w:rPr>
          <w:b/>
          <w:bCs/>
          <w:color w:val="00457D"/>
          <w:sz w:val="24"/>
          <w:szCs w:val="24"/>
          <w:u w:color="00457D"/>
        </w:rPr>
        <w:t>1</w:t>
      </w:r>
      <w:r w:rsidR="00D54DDF" w:rsidRPr="00D44AA7">
        <w:rPr>
          <w:b/>
          <w:bCs/>
          <w:color w:val="00457D"/>
          <w:sz w:val="24"/>
          <w:szCs w:val="24"/>
          <w:u w:color="00457D"/>
        </w:rPr>
        <w:t>4</w:t>
      </w:r>
    </w:p>
    <w:p w14:paraId="411692CC" w14:textId="087F4CB2" w:rsidR="006E14AA" w:rsidRPr="00D44AA7" w:rsidRDefault="00061BF2" w:rsidP="00C359C9">
      <w:pPr>
        <w:spacing w:after="0" w:line="240" w:lineRule="auto"/>
        <w:jc w:val="center"/>
        <w:rPr>
          <w:b/>
          <w:bCs/>
          <w:color w:val="00457D"/>
          <w:sz w:val="24"/>
          <w:szCs w:val="24"/>
          <w:u w:color="00457D"/>
        </w:rPr>
      </w:pPr>
      <w:r>
        <w:rPr>
          <w:b/>
          <w:bCs/>
          <w:noProof/>
          <w:color w:val="00457D"/>
          <w:sz w:val="24"/>
          <w:szCs w:val="24"/>
          <w:u w:color="00457D"/>
        </w:rPr>
        <w:pict w14:anchorId="66517DF1">
          <v:shape id="_x0000_i1038" type="#_x0000_t75" style="width:481.5pt;height:291.75pt">
            <v:imagedata r:id="rId29" o:title="Figura14_20220609"/>
          </v:shape>
        </w:pict>
      </w:r>
    </w:p>
    <w:p w14:paraId="1A0A6611" w14:textId="77777777" w:rsidR="006E14AA" w:rsidRPr="00D44AA7" w:rsidRDefault="006E14AA" w:rsidP="00C359C9">
      <w:pPr>
        <w:spacing w:after="0" w:line="240" w:lineRule="auto"/>
        <w:jc w:val="center"/>
        <w:rPr>
          <w:b/>
          <w:bCs/>
          <w:color w:val="00457D"/>
          <w:sz w:val="24"/>
          <w:szCs w:val="24"/>
          <w:u w:color="00457D"/>
        </w:rPr>
      </w:pPr>
    </w:p>
    <w:p w14:paraId="1BFA585E" w14:textId="77777777" w:rsidR="00D54DDF" w:rsidRPr="00D44AA7" w:rsidRDefault="00BE48B0" w:rsidP="00BE48B0">
      <w:pPr>
        <w:spacing w:after="0" w:line="240" w:lineRule="auto"/>
        <w:jc w:val="center"/>
        <w:rPr>
          <w:b/>
          <w:bCs/>
          <w:color w:val="00457D"/>
          <w:sz w:val="24"/>
          <w:szCs w:val="24"/>
          <w:u w:color="00457D"/>
        </w:rPr>
      </w:pPr>
      <w:r w:rsidRPr="00D44AA7">
        <w:rPr>
          <w:b/>
          <w:bCs/>
          <w:color w:val="00457D"/>
          <w:sz w:val="24"/>
          <w:szCs w:val="24"/>
          <w:u w:color="00457D"/>
        </w:rPr>
        <w:t>Figura 15</w:t>
      </w:r>
    </w:p>
    <w:p w14:paraId="6E1CDED8" w14:textId="77777777" w:rsidR="00FF3D45" w:rsidRPr="00D44AA7" w:rsidRDefault="00FF3D45" w:rsidP="00235E4D">
      <w:pPr>
        <w:spacing w:after="0" w:line="240" w:lineRule="auto"/>
        <w:jc w:val="center"/>
        <w:rPr>
          <w:b/>
          <w:bCs/>
          <w:color w:val="00457D"/>
          <w:sz w:val="24"/>
          <w:szCs w:val="24"/>
          <w:u w:color="00457D"/>
        </w:rPr>
        <w:sectPr w:rsidR="00FF3D45" w:rsidRPr="00D44AA7" w:rsidSect="005B4AE1">
          <w:pgSz w:w="11900" w:h="16840"/>
          <w:pgMar w:top="1134" w:right="1134" w:bottom="1418" w:left="1134" w:header="709" w:footer="709" w:gutter="0"/>
          <w:cols w:space="720"/>
        </w:sectPr>
      </w:pPr>
    </w:p>
    <w:p w14:paraId="112432CF" w14:textId="610DF46F" w:rsidR="004C00B7" w:rsidRPr="00D44AA7" w:rsidRDefault="00061BF2" w:rsidP="006E14AA">
      <w:pPr>
        <w:spacing w:after="0" w:line="240" w:lineRule="auto"/>
        <w:jc w:val="center"/>
        <w:rPr>
          <w:b/>
          <w:bCs/>
          <w:color w:val="00457D"/>
          <w:sz w:val="24"/>
          <w:szCs w:val="24"/>
          <w:u w:color="00457D"/>
        </w:rPr>
      </w:pPr>
      <w:r>
        <w:rPr>
          <w:b/>
          <w:bCs/>
          <w:noProof/>
          <w:color w:val="00457D"/>
          <w:sz w:val="24"/>
          <w:szCs w:val="24"/>
          <w:u w:color="00457D"/>
        </w:rPr>
        <w:pict w14:anchorId="29C1C004">
          <v:shape id="_x0000_i1039" type="#_x0000_t75" style="width:480.75pt;height:362.25pt">
            <v:imagedata r:id="rId30" o:title="Figura15_20220609"/>
          </v:shape>
        </w:pict>
      </w:r>
    </w:p>
    <w:p w14:paraId="34BDDC3B" w14:textId="77777777" w:rsidR="004C00B7" w:rsidRPr="00D44AA7" w:rsidRDefault="004C00B7" w:rsidP="006E14AA">
      <w:pPr>
        <w:spacing w:after="0" w:line="240" w:lineRule="auto"/>
        <w:jc w:val="center"/>
        <w:rPr>
          <w:b/>
          <w:bCs/>
          <w:color w:val="00457D"/>
          <w:sz w:val="24"/>
          <w:szCs w:val="24"/>
          <w:u w:color="00457D"/>
        </w:rPr>
        <w:sectPr w:rsidR="004C00B7" w:rsidRPr="00D44AA7" w:rsidSect="00235E4D">
          <w:type w:val="continuous"/>
          <w:pgSz w:w="11900" w:h="16840"/>
          <w:pgMar w:top="1418" w:right="1134" w:bottom="1134" w:left="1134" w:header="709" w:footer="709" w:gutter="0"/>
          <w:cols w:space="720"/>
          <w:docGrid w:linePitch="299"/>
        </w:sectPr>
      </w:pPr>
    </w:p>
    <w:p w14:paraId="72B6A3A4" w14:textId="77777777" w:rsidR="004C00B7" w:rsidRPr="00D44AA7" w:rsidRDefault="004C00B7" w:rsidP="006E14AA">
      <w:pPr>
        <w:spacing w:after="0" w:line="240" w:lineRule="auto"/>
        <w:jc w:val="center"/>
        <w:rPr>
          <w:b/>
          <w:bCs/>
          <w:color w:val="00457D"/>
          <w:sz w:val="24"/>
          <w:szCs w:val="24"/>
          <w:u w:color="00457D"/>
        </w:rPr>
      </w:pPr>
      <w:r w:rsidRPr="00D44AA7">
        <w:rPr>
          <w:b/>
          <w:bCs/>
          <w:color w:val="00457D"/>
          <w:sz w:val="24"/>
          <w:szCs w:val="24"/>
          <w:u w:color="00457D"/>
        </w:rPr>
        <w:lastRenderedPageBreak/>
        <w:t>Figura 16</w:t>
      </w:r>
    </w:p>
    <w:p w14:paraId="63B0AD1B" w14:textId="2467CEF0" w:rsidR="004C00B7" w:rsidRPr="00D44AA7" w:rsidRDefault="00061BF2" w:rsidP="006E14AA">
      <w:pPr>
        <w:spacing w:after="0" w:line="240" w:lineRule="auto"/>
        <w:jc w:val="center"/>
        <w:rPr>
          <w:b/>
          <w:bCs/>
          <w:color w:val="00457D"/>
          <w:sz w:val="24"/>
          <w:szCs w:val="24"/>
          <w:u w:color="00457D"/>
        </w:rPr>
      </w:pPr>
      <w:r>
        <w:rPr>
          <w:b/>
          <w:bCs/>
          <w:noProof/>
          <w:color w:val="00457D"/>
          <w:sz w:val="24"/>
          <w:szCs w:val="24"/>
          <w:u w:color="00457D"/>
        </w:rPr>
        <w:pict w14:anchorId="6DDA4AD0">
          <v:shape id="_x0000_i1040" type="#_x0000_t75" style="width:713.25pt;height:407.25pt">
            <v:imagedata r:id="rId31" o:title="Figura16_20220609"/>
          </v:shape>
        </w:pict>
      </w:r>
    </w:p>
    <w:p w14:paraId="0BEDDF9F" w14:textId="77777777" w:rsidR="004C00B7" w:rsidRPr="00D44AA7" w:rsidRDefault="004C00B7" w:rsidP="006E14AA">
      <w:pPr>
        <w:spacing w:after="0" w:line="240" w:lineRule="auto"/>
        <w:jc w:val="center"/>
        <w:rPr>
          <w:b/>
          <w:bCs/>
          <w:color w:val="00457D"/>
          <w:sz w:val="24"/>
          <w:szCs w:val="24"/>
          <w:u w:color="00457D"/>
        </w:rPr>
        <w:sectPr w:rsidR="004C00B7" w:rsidRPr="00D44AA7" w:rsidSect="004C00B7">
          <w:pgSz w:w="16840" w:h="11900" w:orient="landscape"/>
          <w:pgMar w:top="1134" w:right="1418" w:bottom="1134" w:left="1134" w:header="709" w:footer="709" w:gutter="0"/>
          <w:cols w:space="720"/>
          <w:docGrid w:linePitch="299"/>
        </w:sectPr>
      </w:pPr>
    </w:p>
    <w:p w14:paraId="3FA87F13" w14:textId="77777777" w:rsidR="00FF3D45" w:rsidRPr="00D44AA7" w:rsidRDefault="00FF3D45" w:rsidP="00FF3D45">
      <w:pPr>
        <w:spacing w:after="0" w:line="240" w:lineRule="auto"/>
        <w:jc w:val="center"/>
        <w:rPr>
          <w:b/>
          <w:bCs/>
          <w:color w:val="00457D"/>
          <w:sz w:val="24"/>
          <w:szCs w:val="24"/>
          <w:u w:color="00457D"/>
        </w:rPr>
      </w:pPr>
      <w:r w:rsidRPr="00D44AA7">
        <w:rPr>
          <w:b/>
          <w:bCs/>
          <w:color w:val="00457D"/>
          <w:sz w:val="24"/>
          <w:szCs w:val="24"/>
          <w:u w:color="00457D"/>
        </w:rPr>
        <w:lastRenderedPageBreak/>
        <w:t>Figura 1</w:t>
      </w:r>
      <w:r w:rsidR="004C00B7" w:rsidRPr="00D44AA7">
        <w:rPr>
          <w:b/>
          <w:bCs/>
          <w:color w:val="00457D"/>
          <w:sz w:val="24"/>
          <w:szCs w:val="24"/>
          <w:u w:color="00457D"/>
        </w:rPr>
        <w:t>7</w:t>
      </w:r>
    </w:p>
    <w:p w14:paraId="3E1FCB1A" w14:textId="3DB0BF6F" w:rsidR="009D0980" w:rsidRPr="00D44AA7" w:rsidRDefault="00061BF2" w:rsidP="006E14AA">
      <w:pPr>
        <w:spacing w:after="0" w:line="240" w:lineRule="auto"/>
        <w:jc w:val="center"/>
        <w:rPr>
          <w:b/>
          <w:bCs/>
          <w:color w:val="00457D"/>
          <w:sz w:val="24"/>
          <w:szCs w:val="24"/>
          <w:u w:color="00457D"/>
        </w:rPr>
      </w:pPr>
      <w:r>
        <w:rPr>
          <w:b/>
          <w:bCs/>
          <w:noProof/>
          <w:color w:val="00457D"/>
          <w:sz w:val="24"/>
          <w:szCs w:val="24"/>
          <w:u w:color="00457D"/>
        </w:rPr>
        <w:pict w14:anchorId="4A7C371E">
          <v:shape id="_x0000_i1041" type="#_x0000_t75" style="width:480.75pt;height:281.25pt">
            <v:imagedata r:id="rId32" o:title="Figura17_20220609"/>
          </v:shape>
        </w:pict>
      </w:r>
    </w:p>
    <w:p w14:paraId="64BF7E0F" w14:textId="77777777" w:rsidR="009D0980" w:rsidRPr="00D44AA7" w:rsidRDefault="009D0980" w:rsidP="006E14AA">
      <w:pPr>
        <w:spacing w:after="0" w:line="240" w:lineRule="auto"/>
        <w:jc w:val="center"/>
        <w:rPr>
          <w:b/>
          <w:bCs/>
          <w:color w:val="00457D"/>
          <w:sz w:val="24"/>
          <w:szCs w:val="24"/>
          <w:u w:color="00457D"/>
        </w:rPr>
      </w:pPr>
    </w:p>
    <w:p w14:paraId="2153E895" w14:textId="77777777" w:rsidR="009D0980" w:rsidRPr="00D44AA7" w:rsidRDefault="009D0980" w:rsidP="006E14AA">
      <w:pPr>
        <w:spacing w:after="0" w:line="240" w:lineRule="auto"/>
        <w:jc w:val="center"/>
        <w:rPr>
          <w:b/>
          <w:bCs/>
          <w:color w:val="00457D"/>
          <w:sz w:val="24"/>
          <w:szCs w:val="24"/>
          <w:u w:color="00457D"/>
        </w:rPr>
      </w:pPr>
      <w:r w:rsidRPr="00D44AA7">
        <w:rPr>
          <w:b/>
          <w:bCs/>
          <w:color w:val="00457D"/>
          <w:sz w:val="24"/>
          <w:szCs w:val="24"/>
          <w:u w:color="00457D"/>
        </w:rPr>
        <w:t>Figura 1</w:t>
      </w:r>
      <w:r w:rsidR="004C00B7" w:rsidRPr="00D44AA7">
        <w:rPr>
          <w:b/>
          <w:bCs/>
          <w:color w:val="00457D"/>
          <w:sz w:val="24"/>
          <w:szCs w:val="24"/>
          <w:u w:color="00457D"/>
        </w:rPr>
        <w:t>8</w:t>
      </w:r>
    </w:p>
    <w:p w14:paraId="2B0E5B85" w14:textId="464106EC" w:rsidR="007E1AAC" w:rsidRPr="00D44AA7" w:rsidRDefault="00061BF2" w:rsidP="006E14AA">
      <w:pPr>
        <w:spacing w:after="0" w:line="240" w:lineRule="auto"/>
        <w:jc w:val="center"/>
        <w:rPr>
          <w:b/>
          <w:bCs/>
          <w:color w:val="00457D"/>
          <w:sz w:val="24"/>
          <w:szCs w:val="24"/>
          <w:u w:color="00457D"/>
        </w:rPr>
      </w:pPr>
      <w:r>
        <w:rPr>
          <w:b/>
          <w:bCs/>
          <w:noProof/>
          <w:color w:val="00457D"/>
          <w:sz w:val="24"/>
          <w:szCs w:val="24"/>
          <w:u w:color="00457D"/>
        </w:rPr>
        <w:pict w14:anchorId="4B6DD3EA">
          <v:shape id="_x0000_i1042" type="#_x0000_t75" style="width:417pt;height:339pt">
            <v:imagedata r:id="rId33" o:title="Figura18_20220609"/>
          </v:shape>
        </w:pict>
      </w:r>
    </w:p>
    <w:p w14:paraId="60D9CA6A" w14:textId="77777777" w:rsidR="00FF3D45" w:rsidRPr="00D44AA7" w:rsidRDefault="00FF3D45" w:rsidP="006E14AA">
      <w:pPr>
        <w:spacing w:after="0" w:line="240" w:lineRule="auto"/>
        <w:jc w:val="center"/>
        <w:rPr>
          <w:b/>
          <w:bCs/>
          <w:color w:val="00457D"/>
          <w:sz w:val="4"/>
          <w:szCs w:val="4"/>
          <w:u w:color="00457D"/>
        </w:rPr>
      </w:pPr>
    </w:p>
    <w:p w14:paraId="1E374131" w14:textId="77777777" w:rsidR="009D0980" w:rsidRPr="00D44AA7" w:rsidRDefault="009D0980">
      <w:pPr>
        <w:spacing w:after="0" w:line="240" w:lineRule="auto"/>
        <w:rPr>
          <w:b/>
          <w:bCs/>
          <w:color w:val="00457D"/>
          <w:sz w:val="24"/>
          <w:szCs w:val="24"/>
          <w:u w:color="00457D"/>
        </w:rPr>
      </w:pPr>
      <w:r w:rsidRPr="00D44AA7">
        <w:rPr>
          <w:b/>
          <w:bCs/>
          <w:color w:val="00457D"/>
          <w:sz w:val="24"/>
          <w:szCs w:val="24"/>
          <w:u w:color="00457D"/>
        </w:rPr>
        <w:br w:type="page"/>
      </w:r>
    </w:p>
    <w:p w14:paraId="48CCB1DE" w14:textId="77777777" w:rsidR="00D71401" w:rsidRPr="00D44AA7" w:rsidRDefault="00FF3D45" w:rsidP="006E14AA">
      <w:pPr>
        <w:spacing w:after="0" w:line="240" w:lineRule="auto"/>
        <w:jc w:val="center"/>
        <w:rPr>
          <w:b/>
          <w:bCs/>
          <w:color w:val="00457D"/>
          <w:sz w:val="24"/>
          <w:szCs w:val="24"/>
          <w:u w:color="00457D"/>
        </w:rPr>
      </w:pPr>
      <w:r w:rsidRPr="00D44AA7">
        <w:rPr>
          <w:b/>
          <w:bCs/>
          <w:color w:val="00457D"/>
          <w:sz w:val="24"/>
          <w:szCs w:val="24"/>
          <w:u w:color="00457D"/>
        </w:rPr>
        <w:lastRenderedPageBreak/>
        <w:t>Figura 1</w:t>
      </w:r>
      <w:r w:rsidR="004C00B7" w:rsidRPr="00D44AA7">
        <w:rPr>
          <w:b/>
          <w:bCs/>
          <w:color w:val="00457D"/>
          <w:sz w:val="24"/>
          <w:szCs w:val="24"/>
          <w:u w:color="00457D"/>
        </w:rPr>
        <w:t>9</w:t>
      </w:r>
    </w:p>
    <w:p w14:paraId="6FD06CE9" w14:textId="52E513C4" w:rsidR="009D0980" w:rsidRPr="00D44AA7" w:rsidRDefault="00061BF2" w:rsidP="006E14AA">
      <w:pPr>
        <w:spacing w:after="0" w:line="240" w:lineRule="auto"/>
        <w:jc w:val="center"/>
        <w:rPr>
          <w:b/>
          <w:bCs/>
          <w:color w:val="00457D"/>
          <w:sz w:val="24"/>
          <w:szCs w:val="24"/>
          <w:u w:color="00457D"/>
        </w:rPr>
      </w:pPr>
      <w:r>
        <w:rPr>
          <w:b/>
          <w:bCs/>
          <w:noProof/>
          <w:color w:val="00457D"/>
          <w:sz w:val="24"/>
          <w:szCs w:val="24"/>
          <w:u w:color="00457D"/>
        </w:rPr>
        <w:pict w14:anchorId="70D1B9B3">
          <v:shape id="_x0000_i1043" type="#_x0000_t75" style="width:481.5pt;height:280.5pt">
            <v:imagedata r:id="rId34" o:title="Figura19_20220609"/>
          </v:shape>
        </w:pict>
      </w:r>
    </w:p>
    <w:p w14:paraId="29EF09A0" w14:textId="77777777" w:rsidR="009D0980" w:rsidRPr="00D44AA7" w:rsidRDefault="009D0980" w:rsidP="009D0980">
      <w:pPr>
        <w:spacing w:after="0" w:line="240" w:lineRule="auto"/>
        <w:jc w:val="center"/>
        <w:rPr>
          <w:b/>
          <w:bCs/>
          <w:color w:val="00457D"/>
          <w:sz w:val="24"/>
          <w:szCs w:val="24"/>
          <w:u w:color="00457D"/>
        </w:rPr>
      </w:pPr>
    </w:p>
    <w:p w14:paraId="52511704" w14:textId="77777777" w:rsidR="009D0980" w:rsidRPr="00D44AA7" w:rsidRDefault="009D0980" w:rsidP="009D0980">
      <w:pPr>
        <w:spacing w:after="0" w:line="240" w:lineRule="auto"/>
        <w:jc w:val="center"/>
        <w:rPr>
          <w:b/>
          <w:bCs/>
          <w:color w:val="00457D"/>
          <w:sz w:val="24"/>
          <w:szCs w:val="24"/>
          <w:u w:color="00457D"/>
        </w:rPr>
      </w:pPr>
      <w:r w:rsidRPr="00D44AA7">
        <w:rPr>
          <w:b/>
          <w:bCs/>
          <w:color w:val="00457D"/>
          <w:sz w:val="24"/>
          <w:szCs w:val="24"/>
          <w:u w:color="00457D"/>
        </w:rPr>
        <w:t xml:space="preserve">Figura </w:t>
      </w:r>
      <w:r w:rsidR="004C00B7" w:rsidRPr="00D44AA7">
        <w:rPr>
          <w:b/>
          <w:bCs/>
          <w:color w:val="00457D"/>
          <w:sz w:val="24"/>
          <w:szCs w:val="24"/>
          <w:u w:color="00457D"/>
        </w:rPr>
        <w:t>20</w:t>
      </w:r>
    </w:p>
    <w:p w14:paraId="0BECD0C5" w14:textId="5ED58463" w:rsidR="0054617C" w:rsidRPr="00D44AA7" w:rsidRDefault="00061BF2" w:rsidP="006E14AA">
      <w:pPr>
        <w:spacing w:after="0" w:line="240" w:lineRule="auto"/>
        <w:jc w:val="center"/>
        <w:rPr>
          <w:b/>
          <w:bCs/>
          <w:color w:val="00457D"/>
          <w:sz w:val="24"/>
          <w:szCs w:val="24"/>
          <w:u w:color="00457D"/>
        </w:rPr>
      </w:pPr>
      <w:r>
        <w:rPr>
          <w:b/>
          <w:bCs/>
          <w:noProof/>
          <w:color w:val="00457D"/>
          <w:sz w:val="24"/>
          <w:szCs w:val="24"/>
          <w:u w:color="00457D"/>
        </w:rPr>
        <w:pict w14:anchorId="141005D4">
          <v:shape id="_x0000_i1044" type="#_x0000_t75" style="width:446.25pt;height:354.75pt">
            <v:imagedata r:id="rId35" o:title="Figura120_20220609"/>
          </v:shape>
        </w:pict>
      </w:r>
    </w:p>
    <w:p w14:paraId="1711C0A7" w14:textId="77777777" w:rsidR="00C359C9" w:rsidRPr="00D44AA7" w:rsidRDefault="00C359C9" w:rsidP="00E03BC7">
      <w:pPr>
        <w:spacing w:after="0" w:line="240" w:lineRule="auto"/>
        <w:jc w:val="center"/>
        <w:rPr>
          <w:b/>
          <w:bCs/>
          <w:color w:val="00457D"/>
          <w:sz w:val="24"/>
          <w:szCs w:val="24"/>
          <w:u w:color="00457D"/>
        </w:rPr>
        <w:sectPr w:rsidR="00C359C9" w:rsidRPr="00D44AA7" w:rsidSect="005B4AE1">
          <w:pgSz w:w="11900" w:h="16840"/>
          <w:pgMar w:top="1134" w:right="1134" w:bottom="1418" w:left="1134" w:header="709" w:footer="709" w:gutter="0"/>
          <w:cols w:space="720"/>
        </w:sectPr>
      </w:pPr>
    </w:p>
    <w:p w14:paraId="1F188B28" w14:textId="77777777" w:rsidR="001857E7" w:rsidRDefault="004D16FF" w:rsidP="001857E7">
      <w:pPr>
        <w:spacing w:after="60" w:line="276" w:lineRule="auto"/>
        <w:jc w:val="center"/>
      </w:pPr>
      <w:r w:rsidRPr="00D44AA7">
        <w:rPr>
          <w:b/>
          <w:bCs/>
          <w:color w:val="00457D"/>
          <w:sz w:val="24"/>
          <w:szCs w:val="24"/>
          <w:u w:color="00457D"/>
        </w:rPr>
        <w:lastRenderedPageBreak/>
        <w:t xml:space="preserve">Tabella 1. Indicatori regionali: settimana </w:t>
      </w:r>
      <w:r w:rsidR="001857E7">
        <w:rPr>
          <w:b/>
          <w:bCs/>
          <w:color w:val="00457D"/>
          <w:sz w:val="24"/>
          <w:szCs w:val="24"/>
          <w:u w:color="00457D"/>
        </w:rPr>
        <w:t>1-7 giugno</w:t>
      </w:r>
      <w:r w:rsidRPr="00D44AA7">
        <w:rPr>
          <w:b/>
          <w:bCs/>
          <w:color w:val="00457D"/>
          <w:sz w:val="24"/>
          <w:szCs w:val="24"/>
          <w:u w:color="00457D"/>
        </w:rPr>
        <w:t xml:space="preserve"> 2022</w:t>
      </w:r>
      <w:r w:rsidR="00902C3F" w:rsidRPr="00D44AA7">
        <w:t xml:space="preserve"> </w:t>
      </w:r>
    </w:p>
    <w:tbl>
      <w:tblPr>
        <w:tblW w:w="9781" w:type="dxa"/>
        <w:tblInd w:w="-5" w:type="dxa"/>
        <w:tblCellMar>
          <w:left w:w="70" w:type="dxa"/>
          <w:right w:w="70" w:type="dxa"/>
        </w:tblCellMar>
        <w:tblLook w:val="04A0" w:firstRow="1" w:lastRow="0" w:firstColumn="1" w:lastColumn="0" w:noHBand="0" w:noVBand="1"/>
      </w:tblPr>
      <w:tblGrid>
        <w:gridCol w:w="2127"/>
        <w:gridCol w:w="1660"/>
        <w:gridCol w:w="1316"/>
        <w:gridCol w:w="2268"/>
        <w:gridCol w:w="2410"/>
      </w:tblGrid>
      <w:tr w:rsidR="001857E7" w:rsidRPr="001857E7" w14:paraId="1B5AD2D0" w14:textId="77777777" w:rsidTr="001857E7">
        <w:trPr>
          <w:trHeight w:val="907"/>
        </w:trPr>
        <w:tc>
          <w:tcPr>
            <w:tcW w:w="2127" w:type="dxa"/>
            <w:tcBorders>
              <w:top w:val="single" w:sz="4" w:space="0" w:color="00457D"/>
              <w:left w:val="single" w:sz="4" w:space="0" w:color="00457D"/>
              <w:bottom w:val="single" w:sz="4" w:space="0" w:color="00457D"/>
              <w:right w:val="single" w:sz="4" w:space="0" w:color="FFFFFF"/>
            </w:tcBorders>
            <w:shd w:val="clear" w:color="000000" w:fill="00457D"/>
            <w:vAlign w:val="center"/>
            <w:hideMark/>
          </w:tcPr>
          <w:p w14:paraId="0B9F31C3"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
                <w:bCs/>
                <w:color w:val="FFFFFF"/>
                <w:bdr w:val="none" w:sz="0" w:space="0" w:color="auto"/>
              </w:rPr>
            </w:pPr>
            <w:r w:rsidRPr="001857E7">
              <w:rPr>
                <w:rFonts w:eastAsia="Times New Roman" w:cs="Calibri"/>
                <w:b/>
                <w:bCs/>
                <w:color w:val="FFFFFF"/>
                <w:bdr w:val="none" w:sz="0" w:space="0" w:color="auto"/>
              </w:rPr>
              <w:t>Regione</w:t>
            </w:r>
          </w:p>
        </w:tc>
        <w:tc>
          <w:tcPr>
            <w:tcW w:w="1660" w:type="dxa"/>
            <w:tcBorders>
              <w:top w:val="single" w:sz="4" w:space="0" w:color="00457D"/>
              <w:left w:val="nil"/>
              <w:bottom w:val="single" w:sz="4" w:space="0" w:color="00457D"/>
              <w:right w:val="single" w:sz="4" w:space="0" w:color="FFFFFF"/>
            </w:tcBorders>
            <w:shd w:val="clear" w:color="000000" w:fill="00457D"/>
            <w:vAlign w:val="center"/>
            <w:hideMark/>
          </w:tcPr>
          <w:p w14:paraId="7544AA1A"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sz w:val="21"/>
                <w:szCs w:val="21"/>
                <w:bdr w:val="none" w:sz="0" w:space="0" w:color="auto"/>
              </w:rPr>
            </w:pPr>
            <w:r w:rsidRPr="001857E7">
              <w:rPr>
                <w:rFonts w:eastAsia="Times New Roman" w:cs="Calibri"/>
                <w:b/>
                <w:bCs/>
                <w:color w:val="FFFFFF"/>
                <w:sz w:val="21"/>
                <w:szCs w:val="21"/>
                <w:bdr w:val="none" w:sz="0" w:space="0" w:color="auto"/>
              </w:rPr>
              <w:t>Casi attualmente positivi per 100.000 abitanti</w:t>
            </w:r>
          </w:p>
        </w:tc>
        <w:tc>
          <w:tcPr>
            <w:tcW w:w="1316" w:type="dxa"/>
            <w:tcBorders>
              <w:top w:val="single" w:sz="4" w:space="0" w:color="00457D"/>
              <w:left w:val="nil"/>
              <w:bottom w:val="single" w:sz="4" w:space="0" w:color="00457D"/>
              <w:right w:val="single" w:sz="4" w:space="0" w:color="FFFFFF"/>
            </w:tcBorders>
            <w:shd w:val="clear" w:color="000000" w:fill="00457D"/>
            <w:vAlign w:val="center"/>
            <w:hideMark/>
          </w:tcPr>
          <w:p w14:paraId="663EA459"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1857E7">
              <w:rPr>
                <w:rFonts w:eastAsia="Times New Roman" w:cs="Calibri"/>
                <w:b/>
                <w:bCs/>
                <w:color w:val="FFFFFF"/>
                <w:bdr w:val="none" w:sz="0" w:space="0" w:color="auto"/>
              </w:rPr>
              <w:t xml:space="preserve">Variazione </w:t>
            </w:r>
            <w:r w:rsidRPr="001857E7">
              <w:rPr>
                <w:rFonts w:eastAsia="Times New Roman" w:cs="Calibri"/>
                <w:b/>
                <w:bCs/>
                <w:color w:val="FFFFFF"/>
                <w:bdr w:val="none" w:sz="0" w:space="0" w:color="auto"/>
              </w:rPr>
              <w:br/>
              <w:t>% nuovi casi</w:t>
            </w:r>
          </w:p>
        </w:tc>
        <w:tc>
          <w:tcPr>
            <w:tcW w:w="2268" w:type="dxa"/>
            <w:tcBorders>
              <w:top w:val="single" w:sz="4" w:space="0" w:color="00457D"/>
              <w:left w:val="nil"/>
              <w:bottom w:val="single" w:sz="4" w:space="0" w:color="00457D"/>
              <w:right w:val="single" w:sz="4" w:space="0" w:color="FFFFFF"/>
            </w:tcBorders>
            <w:shd w:val="clear" w:color="000000" w:fill="00457D"/>
            <w:vAlign w:val="center"/>
            <w:hideMark/>
          </w:tcPr>
          <w:p w14:paraId="0C33E2BF"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1857E7">
              <w:rPr>
                <w:rFonts w:eastAsia="Times New Roman" w:cs="Calibri"/>
                <w:b/>
                <w:bCs/>
                <w:color w:val="FFFFFF"/>
                <w:bdr w:val="none" w:sz="0" w:space="0" w:color="auto"/>
              </w:rPr>
              <w:t>Posti letto in area medica occupati da pazienti COVID−19</w:t>
            </w:r>
          </w:p>
        </w:tc>
        <w:tc>
          <w:tcPr>
            <w:tcW w:w="2410" w:type="dxa"/>
            <w:tcBorders>
              <w:top w:val="single" w:sz="4" w:space="0" w:color="00457D"/>
              <w:left w:val="nil"/>
              <w:bottom w:val="single" w:sz="4" w:space="0" w:color="00457D"/>
              <w:right w:val="single" w:sz="4" w:space="0" w:color="00457D"/>
            </w:tcBorders>
            <w:shd w:val="clear" w:color="000000" w:fill="00457D"/>
            <w:vAlign w:val="center"/>
            <w:hideMark/>
          </w:tcPr>
          <w:p w14:paraId="3D8E68E4"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1857E7">
              <w:rPr>
                <w:rFonts w:eastAsia="Times New Roman" w:cs="Calibri"/>
                <w:b/>
                <w:bCs/>
                <w:color w:val="FFFFFF"/>
                <w:bdr w:val="none" w:sz="0" w:space="0" w:color="auto"/>
              </w:rPr>
              <w:t xml:space="preserve">Posti letto in terapia intensiva occupati da </w:t>
            </w:r>
            <w:r w:rsidRPr="001857E7">
              <w:rPr>
                <w:rFonts w:eastAsia="Times New Roman" w:cs="Calibri"/>
                <w:b/>
                <w:bCs/>
                <w:color w:val="FFFFFF"/>
                <w:bdr w:val="none" w:sz="0" w:space="0" w:color="auto"/>
              </w:rPr>
              <w:br/>
              <w:t>pazienti COVID−19</w:t>
            </w:r>
          </w:p>
        </w:tc>
      </w:tr>
      <w:tr w:rsidR="001857E7" w:rsidRPr="001857E7" w14:paraId="2378819D"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06564331"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Abruzzo</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365C692C"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1.368</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23B8392"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-15,9%</w:t>
            </w:r>
          </w:p>
        </w:tc>
        <w:tc>
          <w:tcPr>
            <w:tcW w:w="226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10332F9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12,4%</w:t>
            </w:r>
          </w:p>
        </w:tc>
        <w:tc>
          <w:tcPr>
            <w:tcW w:w="241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6B471A5"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1,7%</w:t>
            </w:r>
          </w:p>
        </w:tc>
      </w:tr>
      <w:tr w:rsidR="001857E7" w:rsidRPr="001857E7" w14:paraId="0B6CFB87"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6111202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Basilicata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690A5F63"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2.961</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DFA4B28"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-15,9%</w:t>
            </w:r>
          </w:p>
        </w:tc>
        <w:tc>
          <w:tcPr>
            <w:tcW w:w="226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1622107B"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11,1%</w:t>
            </w:r>
          </w:p>
        </w:tc>
        <w:tc>
          <w:tcPr>
            <w:tcW w:w="241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3DEF515"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0,0%</w:t>
            </w:r>
          </w:p>
        </w:tc>
      </w:tr>
      <w:tr w:rsidR="001857E7" w:rsidRPr="001857E7" w14:paraId="002459FA"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6EFA15CC"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Calabria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0B23365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1.793</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0E750A2"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-10,9%</w:t>
            </w:r>
          </w:p>
        </w:tc>
        <w:tc>
          <w:tcPr>
            <w:tcW w:w="226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50D522F"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16,0%</w:t>
            </w:r>
          </w:p>
        </w:tc>
        <w:tc>
          <w:tcPr>
            <w:tcW w:w="241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B16AE2B"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3,9%</w:t>
            </w:r>
          </w:p>
        </w:tc>
      </w:tr>
      <w:tr w:rsidR="001857E7" w:rsidRPr="001857E7" w14:paraId="3724A8B9"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0D9C81B2"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Campania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48285425"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2.176</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E30E66A"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-16,7%</w:t>
            </w:r>
          </w:p>
        </w:tc>
        <w:tc>
          <w:tcPr>
            <w:tcW w:w="226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5044DCB"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7,6%</w:t>
            </w:r>
          </w:p>
        </w:tc>
        <w:tc>
          <w:tcPr>
            <w:tcW w:w="241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129440E"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2,4%</w:t>
            </w:r>
          </w:p>
        </w:tc>
      </w:tr>
      <w:tr w:rsidR="001857E7" w:rsidRPr="001857E7" w14:paraId="751AE918"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1469A0AB"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Emilia Romagna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33458355"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355</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CCC2B19"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-10,2%</w:t>
            </w:r>
          </w:p>
        </w:tc>
        <w:tc>
          <w:tcPr>
            <w:tcW w:w="226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F9E220C"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7,5%</w:t>
            </w:r>
          </w:p>
        </w:tc>
        <w:tc>
          <w:tcPr>
            <w:tcW w:w="241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08CD02B"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3,4%</w:t>
            </w:r>
          </w:p>
        </w:tc>
      </w:tr>
      <w:tr w:rsidR="001857E7" w:rsidRPr="001857E7" w14:paraId="7AD0F2E0"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246D3801"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Friuli Venezia Giulia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0D0A42A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1.613</w:t>
            </w:r>
          </w:p>
        </w:tc>
        <w:tc>
          <w:tcPr>
            <w:tcW w:w="131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DAAB9CF"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1,6%</w:t>
            </w:r>
          </w:p>
        </w:tc>
        <w:tc>
          <w:tcPr>
            <w:tcW w:w="2268"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9A7113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6,6%</w:t>
            </w:r>
          </w:p>
        </w:tc>
        <w:tc>
          <w:tcPr>
            <w:tcW w:w="241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94B5A39"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0,6%</w:t>
            </w:r>
          </w:p>
        </w:tc>
      </w:tr>
      <w:tr w:rsidR="001857E7" w:rsidRPr="001857E7" w14:paraId="05F86123"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3D028817"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Lazio</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252BB8FE"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2.041</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964AB9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-1,1%</w:t>
            </w:r>
          </w:p>
        </w:tc>
        <w:tc>
          <w:tcPr>
            <w:tcW w:w="226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6166B22"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8,0%</w:t>
            </w:r>
          </w:p>
        </w:tc>
        <w:tc>
          <w:tcPr>
            <w:tcW w:w="241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518DD8D"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3,4%</w:t>
            </w:r>
          </w:p>
        </w:tc>
      </w:tr>
      <w:tr w:rsidR="001857E7" w:rsidRPr="001857E7" w14:paraId="2021E9E4"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24B3394F"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Liguria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0AAA4B04"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321</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20C9E96"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-5,0%</w:t>
            </w:r>
          </w:p>
        </w:tc>
        <w:tc>
          <w:tcPr>
            <w:tcW w:w="226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92CBAED"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8,5%</w:t>
            </w:r>
          </w:p>
        </w:tc>
        <w:tc>
          <w:tcPr>
            <w:tcW w:w="241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40C1F84"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3,7%</w:t>
            </w:r>
          </w:p>
        </w:tc>
      </w:tr>
      <w:tr w:rsidR="001857E7" w:rsidRPr="001857E7" w14:paraId="2C015A93"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501688A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Lombardia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0B842FD4"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979</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92B995A"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-3,7%</w:t>
            </w:r>
          </w:p>
        </w:tc>
        <w:tc>
          <w:tcPr>
            <w:tcW w:w="2268"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8A6FA85"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4,7%</w:t>
            </w:r>
          </w:p>
        </w:tc>
        <w:tc>
          <w:tcPr>
            <w:tcW w:w="241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8E59E93"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1,7%</w:t>
            </w:r>
          </w:p>
        </w:tc>
      </w:tr>
      <w:tr w:rsidR="001857E7" w:rsidRPr="001857E7" w14:paraId="77F50526"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4AFC85D4"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Marche</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54A6FA58"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232</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4DEE42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-14,9%</w:t>
            </w:r>
          </w:p>
        </w:tc>
        <w:tc>
          <w:tcPr>
            <w:tcW w:w="2268"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5E27785"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6,2%</w:t>
            </w:r>
          </w:p>
        </w:tc>
        <w:tc>
          <w:tcPr>
            <w:tcW w:w="241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C0FDF44"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0,9%</w:t>
            </w:r>
          </w:p>
        </w:tc>
      </w:tr>
      <w:tr w:rsidR="001857E7" w:rsidRPr="001857E7" w14:paraId="0299608F"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0DD36DA8"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Molise</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03227A69"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1.067</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5CBEC058"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-9,7%</w:t>
            </w:r>
          </w:p>
        </w:tc>
        <w:tc>
          <w:tcPr>
            <w:tcW w:w="2268"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CE5E4A3"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5,1%</w:t>
            </w:r>
          </w:p>
        </w:tc>
        <w:tc>
          <w:tcPr>
            <w:tcW w:w="241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3A810493"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5,1%</w:t>
            </w:r>
          </w:p>
        </w:tc>
      </w:tr>
      <w:tr w:rsidR="001857E7" w:rsidRPr="001857E7" w14:paraId="1D9314CE"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511A09AB"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Piemonte</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6EF1B60B"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591</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9E1BB6E"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-7,8%</w:t>
            </w:r>
          </w:p>
        </w:tc>
        <w:tc>
          <w:tcPr>
            <w:tcW w:w="2268"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3E0597A"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3,6%</w:t>
            </w:r>
          </w:p>
        </w:tc>
        <w:tc>
          <w:tcPr>
            <w:tcW w:w="241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0D59A74"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1,4%</w:t>
            </w:r>
          </w:p>
        </w:tc>
      </w:tr>
      <w:tr w:rsidR="001857E7" w:rsidRPr="001857E7" w14:paraId="7A2BD4EF"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2E91F35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Prov. Aut. Bolzano</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3030063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255</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D6A3186"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-17,7%</w:t>
            </w:r>
          </w:p>
        </w:tc>
        <w:tc>
          <w:tcPr>
            <w:tcW w:w="226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DFAA7DA"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7,6%</w:t>
            </w:r>
          </w:p>
        </w:tc>
        <w:tc>
          <w:tcPr>
            <w:tcW w:w="241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40620FA"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1,0%</w:t>
            </w:r>
          </w:p>
        </w:tc>
      </w:tr>
      <w:tr w:rsidR="001857E7" w:rsidRPr="001857E7" w14:paraId="20C26FCE"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7E94C4EA"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Prov. Aut. Trento</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2C533B05"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213</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00C0BF5"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-16,0%</w:t>
            </w:r>
          </w:p>
        </w:tc>
        <w:tc>
          <w:tcPr>
            <w:tcW w:w="2268"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9336103"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4,6%</w:t>
            </w:r>
          </w:p>
        </w:tc>
        <w:tc>
          <w:tcPr>
            <w:tcW w:w="241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31D93F9"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1,1%</w:t>
            </w:r>
          </w:p>
        </w:tc>
      </w:tr>
      <w:tr w:rsidR="001857E7" w:rsidRPr="001857E7" w14:paraId="0B03B9E9"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5E47FC17"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Puglia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0A9EEF6D"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514</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E53DFC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-14,7%</w:t>
            </w:r>
          </w:p>
        </w:tc>
        <w:tc>
          <w:tcPr>
            <w:tcW w:w="226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2BB703D"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8,3%</w:t>
            </w:r>
          </w:p>
        </w:tc>
        <w:tc>
          <w:tcPr>
            <w:tcW w:w="241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BCDA37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3,0%</w:t>
            </w:r>
          </w:p>
        </w:tc>
      </w:tr>
      <w:tr w:rsidR="001857E7" w:rsidRPr="001857E7" w14:paraId="6F6C0907"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28FFD84B"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Sardegna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7A197502"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736</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DAABDAB"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-10,7%</w:t>
            </w:r>
          </w:p>
        </w:tc>
        <w:tc>
          <w:tcPr>
            <w:tcW w:w="2268"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5A3B3158"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5,5%</w:t>
            </w:r>
          </w:p>
        </w:tc>
        <w:tc>
          <w:tcPr>
            <w:tcW w:w="241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BE0F036"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3,4%</w:t>
            </w:r>
          </w:p>
        </w:tc>
      </w:tr>
      <w:tr w:rsidR="001857E7" w:rsidRPr="001857E7" w14:paraId="267A7E1A"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1EA34157"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Sicilia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780E5A61"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1.262</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59AE28C8"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-3,0%</w:t>
            </w:r>
          </w:p>
        </w:tc>
        <w:tc>
          <w:tcPr>
            <w:tcW w:w="226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95F7014"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14,4%</w:t>
            </w:r>
          </w:p>
        </w:tc>
        <w:tc>
          <w:tcPr>
            <w:tcW w:w="241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D5B669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3,4%</w:t>
            </w:r>
          </w:p>
        </w:tc>
      </w:tr>
      <w:tr w:rsidR="001857E7" w:rsidRPr="001857E7" w14:paraId="07075C13"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4444727A"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Toscana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10E893A8"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641</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57545A2"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-12,3%</w:t>
            </w:r>
          </w:p>
        </w:tc>
        <w:tc>
          <w:tcPr>
            <w:tcW w:w="2268"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EFD3B22"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4,4%</w:t>
            </w:r>
          </w:p>
        </w:tc>
        <w:tc>
          <w:tcPr>
            <w:tcW w:w="241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13D254AE"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3,3%</w:t>
            </w:r>
          </w:p>
        </w:tc>
      </w:tr>
      <w:tr w:rsidR="001857E7" w:rsidRPr="001857E7" w14:paraId="60795736"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4063F59B"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Umbria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55D217B2"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785</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7E3E014"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-5,0%</w:t>
            </w:r>
          </w:p>
        </w:tc>
        <w:tc>
          <w:tcPr>
            <w:tcW w:w="226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C1845FD"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15,4%</w:t>
            </w:r>
          </w:p>
        </w:tc>
        <w:tc>
          <w:tcPr>
            <w:tcW w:w="241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A41FC5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1,2%</w:t>
            </w:r>
          </w:p>
        </w:tc>
      </w:tr>
      <w:tr w:rsidR="001857E7" w:rsidRPr="001857E7" w14:paraId="2D6748B6"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2A139DC4"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Valle D'Aosta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4D98384D"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687</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3B4C27A"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-32,8%</w:t>
            </w:r>
          </w:p>
        </w:tc>
        <w:tc>
          <w:tcPr>
            <w:tcW w:w="2268"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895C0BA"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5,9%</w:t>
            </w:r>
          </w:p>
        </w:tc>
        <w:tc>
          <w:tcPr>
            <w:tcW w:w="241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40F6375"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0,0%</w:t>
            </w:r>
          </w:p>
        </w:tc>
      </w:tr>
      <w:tr w:rsidR="001857E7" w:rsidRPr="001857E7" w14:paraId="6587EFC0"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6E5D3359"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1857E7">
              <w:rPr>
                <w:rFonts w:eastAsia="Times New Roman" w:cs="Calibri"/>
                <w:bdr w:val="none" w:sz="0" w:space="0" w:color="auto"/>
              </w:rPr>
              <w:t>Veneto</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0887D73E"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540</w:t>
            </w:r>
          </w:p>
        </w:tc>
        <w:tc>
          <w:tcPr>
            <w:tcW w:w="131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E592D61"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1857E7">
              <w:rPr>
                <w:rFonts w:eastAsia="Times New Roman" w:cs="Calibri"/>
                <w:color w:val="9C0006"/>
                <w:bdr w:val="none" w:sz="0" w:space="0" w:color="auto"/>
              </w:rPr>
              <w:t>1,0%</w:t>
            </w:r>
          </w:p>
        </w:tc>
        <w:tc>
          <w:tcPr>
            <w:tcW w:w="2268"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E2EC37F"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3,5%</w:t>
            </w:r>
          </w:p>
        </w:tc>
        <w:tc>
          <w:tcPr>
            <w:tcW w:w="241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30EB023"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1857E7">
              <w:rPr>
                <w:rFonts w:eastAsia="Times New Roman" w:cs="Calibri"/>
                <w:color w:val="006100"/>
                <w:bdr w:val="none" w:sz="0" w:space="0" w:color="auto"/>
              </w:rPr>
              <w:t>1,0%</w:t>
            </w:r>
          </w:p>
        </w:tc>
      </w:tr>
      <w:tr w:rsidR="001857E7" w:rsidRPr="001857E7" w14:paraId="05E31146" w14:textId="77777777" w:rsidTr="001857E7">
        <w:trPr>
          <w:trHeight w:val="340"/>
        </w:trPr>
        <w:tc>
          <w:tcPr>
            <w:tcW w:w="2127" w:type="dxa"/>
            <w:tcBorders>
              <w:top w:val="nil"/>
              <w:left w:val="single" w:sz="4" w:space="0" w:color="00457D"/>
              <w:bottom w:val="single" w:sz="4" w:space="0" w:color="00457D"/>
              <w:right w:val="single" w:sz="4" w:space="0" w:color="00457D"/>
            </w:tcBorders>
            <w:shd w:val="clear" w:color="000000" w:fill="00457D"/>
            <w:noWrap/>
            <w:vAlign w:val="center"/>
            <w:hideMark/>
          </w:tcPr>
          <w:p w14:paraId="2B058C12"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
                <w:bCs/>
                <w:color w:val="FFFFFF"/>
                <w:bdr w:val="none" w:sz="0" w:space="0" w:color="auto"/>
              </w:rPr>
            </w:pPr>
            <w:r w:rsidRPr="001857E7">
              <w:rPr>
                <w:rFonts w:eastAsia="Times New Roman" w:cs="Calibri"/>
                <w:b/>
                <w:bCs/>
                <w:color w:val="FFFFFF"/>
                <w:bdr w:val="none" w:sz="0" w:space="0" w:color="auto"/>
              </w:rPr>
              <w:t>ITALIA</w:t>
            </w:r>
          </w:p>
        </w:tc>
        <w:tc>
          <w:tcPr>
            <w:tcW w:w="1660"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0EDB4790"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1857E7">
              <w:rPr>
                <w:rFonts w:eastAsia="Times New Roman" w:cs="Calibri"/>
                <w:b/>
                <w:bCs/>
                <w:color w:val="006100"/>
                <w:bdr w:val="none" w:sz="0" w:space="0" w:color="auto"/>
              </w:rPr>
              <w:t>1.062</w:t>
            </w:r>
          </w:p>
        </w:tc>
        <w:tc>
          <w:tcPr>
            <w:tcW w:w="131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D551B8F"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1857E7">
              <w:rPr>
                <w:rFonts w:eastAsia="Times New Roman" w:cs="Calibri"/>
                <w:b/>
                <w:bCs/>
                <w:color w:val="006100"/>
                <w:bdr w:val="none" w:sz="0" w:space="0" w:color="auto"/>
              </w:rPr>
              <w:t>-7,8%</w:t>
            </w:r>
          </w:p>
        </w:tc>
        <w:tc>
          <w:tcPr>
            <w:tcW w:w="2268"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50EF1ED"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1857E7">
              <w:rPr>
                <w:rFonts w:eastAsia="Times New Roman" w:cs="Calibri"/>
                <w:b/>
                <w:bCs/>
                <w:color w:val="006100"/>
                <w:bdr w:val="none" w:sz="0" w:space="0" w:color="auto"/>
              </w:rPr>
              <w:t>6,7%</w:t>
            </w:r>
          </w:p>
        </w:tc>
        <w:tc>
          <w:tcPr>
            <w:tcW w:w="241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963D4AE"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1857E7">
              <w:rPr>
                <w:rFonts w:eastAsia="Times New Roman" w:cs="Calibri"/>
                <w:b/>
                <w:bCs/>
                <w:color w:val="006100"/>
                <w:bdr w:val="none" w:sz="0" w:space="0" w:color="auto"/>
              </w:rPr>
              <w:t>2,4%</w:t>
            </w:r>
          </w:p>
        </w:tc>
      </w:tr>
      <w:tr w:rsidR="001857E7" w:rsidRPr="001857E7" w14:paraId="3FB5E32E" w14:textId="77777777" w:rsidTr="001857E7">
        <w:trPr>
          <w:trHeight w:val="2665"/>
        </w:trPr>
        <w:tc>
          <w:tcPr>
            <w:tcW w:w="9781" w:type="dxa"/>
            <w:gridSpan w:val="5"/>
            <w:tcBorders>
              <w:top w:val="single" w:sz="4" w:space="0" w:color="00457D"/>
              <w:left w:val="single" w:sz="4" w:space="0" w:color="00457D"/>
              <w:bottom w:val="single" w:sz="4" w:space="0" w:color="00457D"/>
              <w:right w:val="single" w:sz="4" w:space="0" w:color="00457D"/>
            </w:tcBorders>
            <w:shd w:val="clear" w:color="auto" w:fill="auto"/>
            <w:vAlign w:val="center"/>
          </w:tcPr>
          <w:p w14:paraId="731A59DB" w14:textId="77777777" w:rsidR="001857E7" w:rsidRPr="00D44AA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sz w:val="20"/>
                <w:szCs w:val="20"/>
                <w:bdr w:val="none" w:sz="0" w:space="0" w:color="auto"/>
              </w:rPr>
            </w:pPr>
            <w:r w:rsidRPr="00D44AA7">
              <w:rPr>
                <w:rFonts w:eastAsia="Times New Roman" w:cs="Calibri"/>
                <w:color w:val="auto"/>
                <w:sz w:val="20"/>
                <w:szCs w:val="20"/>
                <w:bdr w:val="none" w:sz="0" w:space="0" w:color="auto"/>
              </w:rPr>
              <w:t>Note:</w:t>
            </w:r>
          </w:p>
          <w:p w14:paraId="54F625F0" w14:textId="77777777" w:rsidR="001857E7" w:rsidRPr="00D44AA7" w:rsidRDefault="001857E7" w:rsidP="001857E7">
            <w:pPr>
              <w:pStyle w:val="Paragrafoelenco"/>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sz w:val="20"/>
                <w:szCs w:val="20"/>
                <w:bdr w:val="none" w:sz="0" w:space="0" w:color="auto"/>
              </w:rPr>
            </w:pPr>
            <w:r w:rsidRPr="00D44AA7">
              <w:rPr>
                <w:rFonts w:eastAsia="Times New Roman" w:cs="Calibri"/>
                <w:color w:val="auto"/>
                <w:sz w:val="20"/>
                <w:szCs w:val="20"/>
                <w:bdr w:val="none" w:sz="0" w:space="0" w:color="auto"/>
              </w:rPr>
              <w:t>I dati della Regione Sicilia risentono di ricalcoli avvenuti nell’ultima settimana.</w:t>
            </w:r>
          </w:p>
          <w:p w14:paraId="021A39F0" w14:textId="77777777" w:rsidR="001857E7" w:rsidRPr="00D44AA7" w:rsidRDefault="001857E7" w:rsidP="001857E7">
            <w:pPr>
              <w:pStyle w:val="Paragrafoelenco"/>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rPr>
                <w:rFonts w:eastAsia="Times New Roman" w:cs="Calibri"/>
                <w:color w:val="auto"/>
                <w:sz w:val="20"/>
                <w:szCs w:val="20"/>
                <w:bdr w:val="none" w:sz="0" w:space="0" w:color="auto"/>
              </w:rPr>
            </w:pPr>
            <w:r w:rsidRPr="00D44AA7">
              <w:rPr>
                <w:rFonts w:eastAsia="Times New Roman" w:cs="Calibri"/>
                <w:sz w:val="20"/>
                <w:szCs w:val="20"/>
              </w:rPr>
              <w:t>A seguito di comunicazione ricevuta dalla Regione Basilicata si segnala che il numero dei casi attualmente positivi della Regione Basilicata è in corso di revisione da parte della stessa.</w:t>
            </w:r>
          </w:p>
          <w:p w14:paraId="432D662F" w14:textId="77777777" w:rsidR="001857E7" w:rsidRPr="001857E7" w:rsidRDefault="001857E7" w:rsidP="001857E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sz w:val="20"/>
                <w:szCs w:val="20"/>
                <w:bdr w:val="none" w:sz="0" w:space="0" w:color="auto"/>
              </w:rPr>
            </w:pPr>
            <w:r w:rsidRPr="00D44AA7">
              <w:rPr>
                <w:rFonts w:cs="Calibri"/>
                <w:sz w:val="20"/>
                <w:szCs w:val="20"/>
              </w:rPr>
              <w:t>Nella prima colonna i colori rosso, verde e giallo indicano rispettivamente una performance regionale in peggioramento, in miglioramento o stabile, rispetto alla settimana precedente.</w:t>
            </w:r>
            <w:r w:rsidRPr="00D44AA7">
              <w:rPr>
                <w:rFonts w:cs="Calibri"/>
                <w:sz w:val="20"/>
                <w:szCs w:val="20"/>
              </w:rPr>
              <w:br/>
              <w:t>Nella seconda colonna i colori rosso e verde indicano rispettivamente un aumento o una diminuzione percentuale dei nuovi casi rispetto alla settimana precedente.</w:t>
            </w:r>
            <w:r w:rsidRPr="00D44AA7">
              <w:rPr>
                <w:rFonts w:cs="Calibri"/>
                <w:sz w:val="20"/>
                <w:szCs w:val="20"/>
              </w:rPr>
              <w:br/>
              <w:t>Nelle ultime 2 colonne i colori rosso e verde indicano rispettivamente un valore superiore o inferiore rispetto alla media nazionale (dati Agenas).</w:t>
            </w:r>
          </w:p>
        </w:tc>
      </w:tr>
    </w:tbl>
    <w:p w14:paraId="3FD93ED7" w14:textId="77777777" w:rsidR="004D16FF" w:rsidRPr="00D44AA7" w:rsidRDefault="004D16FF" w:rsidP="004D16FF">
      <w:pPr>
        <w:spacing w:after="0" w:line="240" w:lineRule="auto"/>
      </w:pPr>
      <w:r w:rsidRPr="00D44AA7">
        <w:br w:type="page"/>
      </w:r>
    </w:p>
    <w:p w14:paraId="0C4CA3DD" w14:textId="77777777" w:rsidR="004D16FF" w:rsidRPr="00D44AA7" w:rsidRDefault="004D16FF" w:rsidP="008955B7">
      <w:pPr>
        <w:spacing w:after="80" w:line="240" w:lineRule="auto"/>
        <w:jc w:val="center"/>
        <w:rPr>
          <w:b/>
          <w:bCs/>
          <w:color w:val="00457D"/>
          <w:sz w:val="24"/>
          <w:szCs w:val="24"/>
          <w:u w:color="00457D"/>
        </w:rPr>
      </w:pPr>
      <w:r w:rsidRPr="00D44AA7">
        <w:rPr>
          <w:b/>
          <w:bCs/>
          <w:color w:val="00457D"/>
          <w:sz w:val="24"/>
          <w:szCs w:val="24"/>
          <w:u w:color="00457D"/>
        </w:rPr>
        <w:lastRenderedPageBreak/>
        <w:t>Tabella 2. Nuovi casi nell’ultima se</w:t>
      </w:r>
      <w:r w:rsidR="008955B7" w:rsidRPr="00D44AA7">
        <w:rPr>
          <w:b/>
          <w:bCs/>
          <w:color w:val="00457D"/>
          <w:sz w:val="24"/>
          <w:szCs w:val="24"/>
          <w:u w:color="00457D"/>
        </w:rPr>
        <w:t>ttimana suddivisi per provincia</w:t>
      </w:r>
    </w:p>
    <w:tbl>
      <w:tblPr>
        <w:tblStyle w:val="TableNormal"/>
        <w:tblW w:w="80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000"/>
        <w:gridCol w:w="2248"/>
        <w:gridCol w:w="2100"/>
        <w:gridCol w:w="1727"/>
      </w:tblGrid>
      <w:tr w:rsidR="00745BD1" w:rsidRPr="00D44AA7" w14:paraId="2FD9E62B" w14:textId="77777777" w:rsidTr="004150D5">
        <w:trPr>
          <w:trHeight w:val="481"/>
          <w:tblHeader/>
          <w:jc w:val="center"/>
        </w:trPr>
        <w:tc>
          <w:tcPr>
            <w:tcW w:w="2000" w:type="dxa"/>
            <w:tcBorders>
              <w:top w:val="single" w:sz="4" w:space="0" w:color="00457D"/>
              <w:left w:val="single" w:sz="4" w:space="0" w:color="00457D"/>
              <w:bottom w:val="single" w:sz="4" w:space="0" w:color="00457D"/>
              <w:right w:val="single" w:sz="4" w:space="0" w:color="FFFFFF"/>
            </w:tcBorders>
            <w:shd w:val="clear" w:color="auto" w:fill="00457D"/>
            <w:tcMar>
              <w:top w:w="80" w:type="dxa"/>
              <w:left w:w="80" w:type="dxa"/>
              <w:bottom w:w="80" w:type="dxa"/>
              <w:right w:w="80" w:type="dxa"/>
            </w:tcMar>
            <w:vAlign w:val="center"/>
          </w:tcPr>
          <w:p w14:paraId="7336FC05" w14:textId="77777777" w:rsidR="00745BD1" w:rsidRPr="00D44AA7" w:rsidRDefault="00745BD1" w:rsidP="00775550">
            <w:pPr>
              <w:spacing w:after="0" w:line="240" w:lineRule="auto"/>
              <w:rPr>
                <w:rFonts w:cs="Calibri"/>
                <w:szCs w:val="20"/>
              </w:rPr>
            </w:pPr>
            <w:r w:rsidRPr="00D44AA7">
              <w:rPr>
                <w:rFonts w:cs="Calibri"/>
                <w:b/>
                <w:bCs/>
                <w:color w:val="FFFFFF"/>
                <w:szCs w:val="20"/>
                <w:u w:color="FFFFFF"/>
              </w:rPr>
              <w:t>Regione</w:t>
            </w:r>
          </w:p>
        </w:tc>
        <w:tc>
          <w:tcPr>
            <w:tcW w:w="2248" w:type="dxa"/>
            <w:tcBorders>
              <w:top w:val="single" w:sz="4" w:space="0" w:color="00457D"/>
              <w:left w:val="single" w:sz="4" w:space="0" w:color="FFFFFF"/>
              <w:bottom w:val="single" w:sz="4" w:space="0" w:color="00457D"/>
              <w:right w:val="single" w:sz="4" w:space="0" w:color="FFFFFF"/>
            </w:tcBorders>
            <w:shd w:val="clear" w:color="auto" w:fill="00457D"/>
            <w:tcMar>
              <w:top w:w="80" w:type="dxa"/>
              <w:left w:w="80" w:type="dxa"/>
              <w:bottom w:w="80" w:type="dxa"/>
              <w:right w:w="80" w:type="dxa"/>
            </w:tcMar>
            <w:vAlign w:val="center"/>
          </w:tcPr>
          <w:p w14:paraId="1F6F4880" w14:textId="77777777" w:rsidR="00745BD1" w:rsidRPr="00D44AA7" w:rsidRDefault="00745BD1" w:rsidP="00775550">
            <w:pPr>
              <w:spacing w:after="0" w:line="240" w:lineRule="auto"/>
              <w:rPr>
                <w:rFonts w:cs="Calibri"/>
                <w:szCs w:val="20"/>
              </w:rPr>
            </w:pPr>
            <w:r w:rsidRPr="00D44AA7">
              <w:rPr>
                <w:rFonts w:cs="Calibri"/>
                <w:b/>
                <w:bCs/>
                <w:color w:val="FFFFFF"/>
                <w:szCs w:val="20"/>
                <w:u w:color="FFFFFF"/>
              </w:rPr>
              <w:t>Provincia</w:t>
            </w:r>
          </w:p>
        </w:tc>
        <w:tc>
          <w:tcPr>
            <w:tcW w:w="2100" w:type="dxa"/>
            <w:tcBorders>
              <w:top w:val="single" w:sz="4" w:space="0" w:color="00457D"/>
              <w:left w:val="single" w:sz="4" w:space="0" w:color="FFFFFF"/>
              <w:bottom w:val="single" w:sz="4" w:space="0" w:color="00457D"/>
              <w:right w:val="single" w:sz="4" w:space="0" w:color="FFFFFF" w:themeColor="background1"/>
            </w:tcBorders>
            <w:shd w:val="clear" w:color="auto" w:fill="00457D"/>
            <w:tcMar>
              <w:top w:w="80" w:type="dxa"/>
              <w:left w:w="80" w:type="dxa"/>
              <w:bottom w:w="80" w:type="dxa"/>
              <w:right w:w="80" w:type="dxa"/>
            </w:tcMar>
            <w:vAlign w:val="center"/>
          </w:tcPr>
          <w:p w14:paraId="0B3D1392" w14:textId="77777777" w:rsidR="00745BD1" w:rsidRPr="00D44AA7" w:rsidRDefault="00745BD1" w:rsidP="001857E7">
            <w:pPr>
              <w:spacing w:after="0" w:line="240" w:lineRule="auto"/>
              <w:jc w:val="center"/>
              <w:rPr>
                <w:rFonts w:cs="Calibri"/>
                <w:szCs w:val="20"/>
              </w:rPr>
            </w:pPr>
            <w:r w:rsidRPr="00D44AA7">
              <w:rPr>
                <w:rFonts w:cs="Calibri"/>
                <w:b/>
                <w:bCs/>
                <w:color w:val="FFFFFF"/>
                <w:szCs w:val="20"/>
                <w:u w:color="FFFFFF"/>
              </w:rPr>
              <w:t xml:space="preserve">Nuovi casi per </w:t>
            </w:r>
            <w:r w:rsidR="00936C2E" w:rsidRPr="00D44AA7">
              <w:rPr>
                <w:rFonts w:cs="Calibri"/>
                <w:b/>
                <w:bCs/>
                <w:color w:val="FFFFFF"/>
                <w:szCs w:val="20"/>
                <w:u w:color="FFFFFF"/>
              </w:rPr>
              <w:br/>
            </w:r>
            <w:r w:rsidRPr="00D44AA7">
              <w:rPr>
                <w:rFonts w:cs="Calibri"/>
                <w:b/>
                <w:bCs/>
                <w:color w:val="FFFFFF"/>
                <w:szCs w:val="20"/>
                <w:u w:color="FFFFFF"/>
              </w:rPr>
              <w:t xml:space="preserve">100.000 abitanti </w:t>
            </w:r>
            <w:r w:rsidRPr="00D44AA7">
              <w:rPr>
                <w:rFonts w:cs="Calibri"/>
                <w:b/>
                <w:bCs/>
                <w:color w:val="FFFFFF"/>
                <w:szCs w:val="20"/>
                <w:u w:color="FFFFFF"/>
              </w:rPr>
              <w:br/>
            </w:r>
            <w:r w:rsidR="001857E7">
              <w:rPr>
                <w:rFonts w:cs="Calibri"/>
                <w:b/>
                <w:bCs/>
                <w:color w:val="FFFFFF"/>
                <w:szCs w:val="20"/>
                <w:u w:color="FFFFFF"/>
              </w:rPr>
              <w:t>1-7 giugno</w:t>
            </w:r>
            <w:r w:rsidRPr="00D44AA7">
              <w:rPr>
                <w:rFonts w:cs="Calibri"/>
                <w:b/>
                <w:bCs/>
                <w:color w:val="FFFFFF"/>
                <w:szCs w:val="20"/>
                <w:u w:color="FFFFFF"/>
              </w:rPr>
              <w:t xml:space="preserve"> 2022</w:t>
            </w:r>
          </w:p>
        </w:tc>
        <w:tc>
          <w:tcPr>
            <w:tcW w:w="1727" w:type="dxa"/>
            <w:tcBorders>
              <w:top w:val="single" w:sz="4" w:space="0" w:color="00457D"/>
              <w:left w:val="single" w:sz="4" w:space="0" w:color="FFFFFF" w:themeColor="background1"/>
              <w:bottom w:val="single" w:sz="4" w:space="0" w:color="00457D"/>
              <w:right w:val="single" w:sz="4" w:space="0" w:color="00457D"/>
            </w:tcBorders>
            <w:shd w:val="clear" w:color="auto" w:fill="00457D"/>
            <w:vAlign w:val="center"/>
          </w:tcPr>
          <w:p w14:paraId="41247CF0" w14:textId="77777777" w:rsidR="00745BD1" w:rsidRPr="00D44AA7" w:rsidRDefault="00745BD1" w:rsidP="006013F1">
            <w:pPr>
              <w:spacing w:after="0" w:line="240" w:lineRule="auto"/>
              <w:jc w:val="center"/>
              <w:rPr>
                <w:rFonts w:cs="Calibri"/>
                <w:b/>
                <w:bCs/>
                <w:color w:val="FFFFFF"/>
                <w:szCs w:val="20"/>
                <w:u w:color="FFFFFF"/>
              </w:rPr>
            </w:pPr>
            <w:r w:rsidRPr="00D44AA7">
              <w:rPr>
                <w:rFonts w:cs="Calibri"/>
                <w:b/>
                <w:bCs/>
                <w:color w:val="FFFFFF"/>
                <w:szCs w:val="20"/>
                <w:u w:color="FFFFFF"/>
              </w:rPr>
              <w:t>Variazione % nuovi casi</w:t>
            </w:r>
          </w:p>
        </w:tc>
      </w:tr>
      <w:tr w:rsidR="001857E7" w:rsidRPr="00D44AA7" w14:paraId="2ADC9B13"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55FD770" w14:textId="77777777" w:rsidR="001857E7" w:rsidRPr="00D44AA7" w:rsidRDefault="001857E7" w:rsidP="001857E7">
            <w:pPr>
              <w:spacing w:after="0" w:line="240" w:lineRule="auto"/>
              <w:contextualSpacing/>
              <w:rPr>
                <w:rFonts w:cs="Calibri"/>
              </w:rPr>
            </w:pPr>
            <w:r>
              <w:rPr>
                <w:rFonts w:cs="Calibri"/>
              </w:rPr>
              <w:t>Abruzzo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D8B908" w14:textId="77777777" w:rsidR="001857E7" w:rsidRPr="00D44AA7" w:rsidRDefault="001857E7" w:rsidP="001857E7">
            <w:pPr>
              <w:spacing w:after="0" w:line="240" w:lineRule="auto"/>
              <w:contextualSpacing/>
              <w:rPr>
                <w:rFonts w:cs="Calibri"/>
              </w:rPr>
            </w:pPr>
            <w:r>
              <w:rPr>
                <w:rFonts w:cs="Calibri"/>
              </w:rPr>
              <w:t>Chieti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3F3D7A" w14:textId="77777777" w:rsidR="001857E7" w:rsidRPr="00D44AA7" w:rsidRDefault="001857E7" w:rsidP="001857E7">
            <w:pPr>
              <w:spacing w:after="0" w:line="240" w:lineRule="auto"/>
              <w:contextualSpacing/>
              <w:jc w:val="center"/>
              <w:rPr>
                <w:rFonts w:cs="Calibri"/>
              </w:rPr>
            </w:pPr>
            <w:r>
              <w:rPr>
                <w:rFonts w:cs="Calibri"/>
              </w:rPr>
              <w:t xml:space="preserve">           254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E26356E" w14:textId="77777777" w:rsidR="001857E7" w:rsidRPr="001857E7" w:rsidRDefault="001857E7" w:rsidP="001857E7">
            <w:pPr>
              <w:spacing w:after="0" w:line="240" w:lineRule="auto"/>
              <w:contextualSpacing/>
              <w:jc w:val="center"/>
              <w:rPr>
                <w:rFonts w:cs="Calibri"/>
                <w:color w:val="006100"/>
              </w:rPr>
            </w:pPr>
            <w:r>
              <w:rPr>
                <w:rFonts w:cs="Calibri"/>
                <w:color w:val="006100"/>
              </w:rPr>
              <w:t>-9,4%</w:t>
            </w:r>
          </w:p>
        </w:tc>
      </w:tr>
      <w:tr w:rsidR="001857E7" w:rsidRPr="00D44AA7" w14:paraId="11F9D63E"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35E0C5" w14:textId="77777777" w:rsidR="001857E7" w:rsidRPr="00D44AA7" w:rsidRDefault="001857E7" w:rsidP="001857E7">
            <w:pPr>
              <w:spacing w:after="0" w:line="240" w:lineRule="auto"/>
              <w:contextualSpacing/>
              <w:rPr>
                <w:rFonts w:cs="Calibri"/>
              </w:rPr>
            </w:pPr>
            <w:r>
              <w:rPr>
                <w:rFonts w:cs="Calibri"/>
              </w:rPr>
              <w:t>Abruzzo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9FCE099" w14:textId="77777777" w:rsidR="001857E7" w:rsidRPr="00D44AA7" w:rsidRDefault="001857E7" w:rsidP="001857E7">
            <w:pPr>
              <w:spacing w:after="0" w:line="240" w:lineRule="auto"/>
              <w:contextualSpacing/>
              <w:rPr>
                <w:rFonts w:cs="Calibri"/>
              </w:rPr>
            </w:pPr>
            <w:r>
              <w:rPr>
                <w:rFonts w:cs="Calibri"/>
              </w:rPr>
              <w:t>L'Aquila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5413150" w14:textId="77777777" w:rsidR="001857E7" w:rsidRPr="00D44AA7" w:rsidRDefault="001857E7" w:rsidP="001857E7">
            <w:pPr>
              <w:spacing w:after="0" w:line="240" w:lineRule="auto"/>
              <w:contextualSpacing/>
              <w:jc w:val="center"/>
              <w:rPr>
                <w:rFonts w:cs="Calibri"/>
              </w:rPr>
            </w:pPr>
            <w:r>
              <w:rPr>
                <w:rFonts w:cs="Calibri"/>
              </w:rPr>
              <w:t xml:space="preserve">           211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10D9AD6" w14:textId="77777777" w:rsidR="001857E7" w:rsidRPr="001857E7" w:rsidRDefault="001857E7" w:rsidP="001857E7">
            <w:pPr>
              <w:spacing w:after="0" w:line="240" w:lineRule="auto"/>
              <w:contextualSpacing/>
              <w:jc w:val="center"/>
              <w:rPr>
                <w:rFonts w:cs="Calibri"/>
                <w:color w:val="006100"/>
              </w:rPr>
            </w:pPr>
            <w:r>
              <w:rPr>
                <w:rFonts w:cs="Calibri"/>
                <w:color w:val="006100"/>
              </w:rPr>
              <w:t>-17,7%</w:t>
            </w:r>
          </w:p>
        </w:tc>
      </w:tr>
      <w:tr w:rsidR="001857E7" w:rsidRPr="00D44AA7" w14:paraId="398DA6DB"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9CBB7A" w14:textId="77777777" w:rsidR="001857E7" w:rsidRPr="00D44AA7" w:rsidRDefault="001857E7" w:rsidP="001857E7">
            <w:pPr>
              <w:spacing w:after="0" w:line="240" w:lineRule="auto"/>
              <w:contextualSpacing/>
              <w:rPr>
                <w:rFonts w:cs="Calibri"/>
              </w:rPr>
            </w:pPr>
            <w:r>
              <w:rPr>
                <w:rFonts w:cs="Calibri"/>
              </w:rPr>
              <w:t>Abruzzo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D0FE93" w14:textId="77777777" w:rsidR="001857E7" w:rsidRPr="00D44AA7" w:rsidRDefault="001857E7" w:rsidP="001857E7">
            <w:pPr>
              <w:spacing w:after="0" w:line="240" w:lineRule="auto"/>
              <w:contextualSpacing/>
              <w:rPr>
                <w:rFonts w:cs="Calibri"/>
              </w:rPr>
            </w:pPr>
            <w:r>
              <w:rPr>
                <w:rFonts w:cs="Calibri"/>
              </w:rPr>
              <w:t>Pescara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FC343A4" w14:textId="77777777" w:rsidR="001857E7" w:rsidRPr="00D44AA7" w:rsidRDefault="001857E7" w:rsidP="001857E7">
            <w:pPr>
              <w:spacing w:after="0" w:line="240" w:lineRule="auto"/>
              <w:contextualSpacing/>
              <w:jc w:val="center"/>
              <w:rPr>
                <w:rFonts w:cs="Calibri"/>
              </w:rPr>
            </w:pPr>
            <w:r>
              <w:rPr>
                <w:rFonts w:cs="Calibri"/>
              </w:rPr>
              <w:t xml:space="preserve">           197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106B655" w14:textId="77777777" w:rsidR="001857E7" w:rsidRPr="001857E7" w:rsidRDefault="001857E7" w:rsidP="001857E7">
            <w:pPr>
              <w:spacing w:after="0" w:line="240" w:lineRule="auto"/>
              <w:contextualSpacing/>
              <w:jc w:val="center"/>
              <w:rPr>
                <w:rFonts w:cs="Calibri"/>
                <w:color w:val="006100"/>
              </w:rPr>
            </w:pPr>
            <w:r>
              <w:rPr>
                <w:rFonts w:cs="Calibri"/>
                <w:color w:val="006100"/>
              </w:rPr>
              <w:t>-18,0%</w:t>
            </w:r>
          </w:p>
        </w:tc>
      </w:tr>
      <w:tr w:rsidR="001857E7" w:rsidRPr="00D44AA7" w14:paraId="716D09A7"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A470072" w14:textId="77777777" w:rsidR="001857E7" w:rsidRPr="00D44AA7" w:rsidRDefault="001857E7" w:rsidP="001857E7">
            <w:pPr>
              <w:spacing w:after="0" w:line="240" w:lineRule="auto"/>
              <w:contextualSpacing/>
              <w:rPr>
                <w:rFonts w:cs="Calibri"/>
              </w:rPr>
            </w:pPr>
            <w:r>
              <w:rPr>
                <w:rFonts w:cs="Calibri"/>
              </w:rPr>
              <w:t>Abruzzo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E8C391" w14:textId="77777777" w:rsidR="001857E7" w:rsidRPr="00D44AA7" w:rsidRDefault="001857E7" w:rsidP="001857E7">
            <w:pPr>
              <w:spacing w:after="0" w:line="240" w:lineRule="auto"/>
              <w:contextualSpacing/>
              <w:rPr>
                <w:rFonts w:cs="Calibri"/>
              </w:rPr>
            </w:pPr>
            <w:r>
              <w:rPr>
                <w:rFonts w:cs="Calibri"/>
              </w:rPr>
              <w:t>Teramo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A38DAE" w14:textId="77777777" w:rsidR="001857E7" w:rsidRPr="00D44AA7" w:rsidRDefault="001857E7" w:rsidP="001857E7">
            <w:pPr>
              <w:spacing w:after="0" w:line="240" w:lineRule="auto"/>
              <w:contextualSpacing/>
              <w:jc w:val="center"/>
              <w:rPr>
                <w:rFonts w:cs="Calibri"/>
              </w:rPr>
            </w:pPr>
            <w:r>
              <w:rPr>
                <w:rFonts w:cs="Calibri"/>
              </w:rPr>
              <w:t xml:space="preserve">           188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97F3DA8" w14:textId="77777777" w:rsidR="001857E7" w:rsidRPr="001857E7" w:rsidRDefault="001857E7" w:rsidP="001857E7">
            <w:pPr>
              <w:spacing w:after="0" w:line="240" w:lineRule="auto"/>
              <w:contextualSpacing/>
              <w:jc w:val="center"/>
              <w:rPr>
                <w:rFonts w:cs="Calibri"/>
                <w:color w:val="006100"/>
              </w:rPr>
            </w:pPr>
            <w:r>
              <w:rPr>
                <w:rFonts w:cs="Calibri"/>
                <w:color w:val="006100"/>
              </w:rPr>
              <w:t>-28,9%</w:t>
            </w:r>
          </w:p>
        </w:tc>
      </w:tr>
      <w:tr w:rsidR="001857E7" w:rsidRPr="00D44AA7" w14:paraId="69B82A0F"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1851A3" w14:textId="77777777" w:rsidR="001857E7" w:rsidRPr="00D44AA7" w:rsidRDefault="001857E7" w:rsidP="001857E7">
            <w:pPr>
              <w:spacing w:after="0" w:line="240" w:lineRule="auto"/>
              <w:contextualSpacing/>
              <w:rPr>
                <w:rFonts w:cs="Calibri"/>
              </w:rPr>
            </w:pPr>
            <w:r>
              <w:rPr>
                <w:rFonts w:cs="Calibri"/>
              </w:rPr>
              <w:t>Basilicata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300D1B9" w14:textId="77777777" w:rsidR="001857E7" w:rsidRPr="00D44AA7" w:rsidRDefault="001857E7" w:rsidP="001857E7">
            <w:pPr>
              <w:spacing w:after="0" w:line="240" w:lineRule="auto"/>
              <w:contextualSpacing/>
              <w:rPr>
                <w:rFonts w:cs="Calibri"/>
              </w:rPr>
            </w:pPr>
            <w:r>
              <w:rPr>
                <w:rFonts w:cs="Calibri"/>
              </w:rPr>
              <w:t>Potenza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7A9B9F" w14:textId="77777777" w:rsidR="001857E7" w:rsidRPr="00D44AA7" w:rsidRDefault="001857E7" w:rsidP="001857E7">
            <w:pPr>
              <w:spacing w:after="0" w:line="240" w:lineRule="auto"/>
              <w:contextualSpacing/>
              <w:jc w:val="center"/>
              <w:rPr>
                <w:rFonts w:cs="Calibri"/>
              </w:rPr>
            </w:pPr>
            <w:r>
              <w:rPr>
                <w:rFonts w:cs="Calibri"/>
              </w:rPr>
              <w:t xml:space="preserve">           197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7B0EE70" w14:textId="77777777" w:rsidR="001857E7" w:rsidRPr="001857E7" w:rsidRDefault="001857E7" w:rsidP="001857E7">
            <w:pPr>
              <w:spacing w:after="0" w:line="240" w:lineRule="auto"/>
              <w:contextualSpacing/>
              <w:jc w:val="center"/>
              <w:rPr>
                <w:rFonts w:cs="Calibri"/>
                <w:color w:val="006100"/>
              </w:rPr>
            </w:pPr>
            <w:r>
              <w:rPr>
                <w:rFonts w:cs="Calibri"/>
                <w:color w:val="006100"/>
              </w:rPr>
              <w:t>-17,2%</w:t>
            </w:r>
          </w:p>
        </w:tc>
      </w:tr>
      <w:tr w:rsidR="001857E7" w:rsidRPr="00D44AA7" w14:paraId="0F0EB5D6"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9326674" w14:textId="77777777" w:rsidR="001857E7" w:rsidRPr="00D44AA7" w:rsidRDefault="001857E7" w:rsidP="001857E7">
            <w:pPr>
              <w:spacing w:after="0" w:line="240" w:lineRule="auto"/>
              <w:contextualSpacing/>
              <w:rPr>
                <w:rFonts w:cs="Calibri"/>
              </w:rPr>
            </w:pPr>
            <w:r>
              <w:rPr>
                <w:rFonts w:cs="Calibri"/>
              </w:rPr>
              <w:t>Basilicata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914448" w14:textId="77777777" w:rsidR="001857E7" w:rsidRPr="00D44AA7" w:rsidRDefault="001857E7" w:rsidP="001857E7">
            <w:pPr>
              <w:spacing w:after="0" w:line="240" w:lineRule="auto"/>
              <w:contextualSpacing/>
              <w:rPr>
                <w:rFonts w:cs="Calibri"/>
              </w:rPr>
            </w:pPr>
            <w:r>
              <w:rPr>
                <w:rFonts w:cs="Calibri"/>
              </w:rPr>
              <w:t>Matera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F57DAF" w14:textId="77777777" w:rsidR="001857E7" w:rsidRPr="00D44AA7" w:rsidRDefault="001857E7" w:rsidP="001857E7">
            <w:pPr>
              <w:spacing w:after="0" w:line="240" w:lineRule="auto"/>
              <w:contextualSpacing/>
              <w:jc w:val="center"/>
              <w:rPr>
                <w:rFonts w:cs="Calibri"/>
              </w:rPr>
            </w:pPr>
            <w:r>
              <w:rPr>
                <w:rFonts w:cs="Calibri"/>
              </w:rPr>
              <w:t xml:space="preserve">           163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CE38269" w14:textId="77777777" w:rsidR="001857E7" w:rsidRPr="001857E7" w:rsidRDefault="001857E7" w:rsidP="001857E7">
            <w:pPr>
              <w:spacing w:after="0" w:line="240" w:lineRule="auto"/>
              <w:contextualSpacing/>
              <w:jc w:val="center"/>
              <w:rPr>
                <w:rFonts w:cs="Calibri"/>
                <w:color w:val="006100"/>
              </w:rPr>
            </w:pPr>
            <w:r>
              <w:rPr>
                <w:rFonts w:cs="Calibri"/>
                <w:color w:val="006100"/>
              </w:rPr>
              <w:t>-14,2%</w:t>
            </w:r>
          </w:p>
        </w:tc>
      </w:tr>
      <w:tr w:rsidR="001857E7" w:rsidRPr="00D44AA7" w14:paraId="54AE5B1A"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62955B" w14:textId="77777777" w:rsidR="001857E7" w:rsidRPr="00D44AA7" w:rsidRDefault="001857E7" w:rsidP="001857E7">
            <w:pPr>
              <w:spacing w:after="0" w:line="240" w:lineRule="auto"/>
              <w:contextualSpacing/>
              <w:rPr>
                <w:rFonts w:cs="Calibri"/>
              </w:rPr>
            </w:pPr>
            <w:r>
              <w:rPr>
                <w:rFonts w:cs="Calibri"/>
              </w:rPr>
              <w:t>Calabria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0889E4" w14:textId="77777777" w:rsidR="001857E7" w:rsidRPr="00D44AA7" w:rsidRDefault="001857E7" w:rsidP="001857E7">
            <w:pPr>
              <w:spacing w:after="0" w:line="240" w:lineRule="auto"/>
              <w:contextualSpacing/>
              <w:rPr>
                <w:rFonts w:cs="Calibri"/>
              </w:rPr>
            </w:pPr>
            <w:r>
              <w:rPr>
                <w:rFonts w:cs="Calibri"/>
              </w:rPr>
              <w:t>Catanzaro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19ED4C1" w14:textId="77777777" w:rsidR="001857E7" w:rsidRPr="00D44AA7" w:rsidRDefault="001857E7" w:rsidP="001857E7">
            <w:pPr>
              <w:spacing w:after="0" w:line="240" w:lineRule="auto"/>
              <w:contextualSpacing/>
              <w:jc w:val="center"/>
              <w:rPr>
                <w:rFonts w:cs="Calibri"/>
              </w:rPr>
            </w:pPr>
            <w:r>
              <w:rPr>
                <w:rFonts w:cs="Calibri"/>
              </w:rPr>
              <w:t xml:space="preserve">           274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554E3A6" w14:textId="77777777" w:rsidR="001857E7" w:rsidRPr="001857E7" w:rsidRDefault="001857E7" w:rsidP="001857E7">
            <w:pPr>
              <w:spacing w:after="0" w:line="240" w:lineRule="auto"/>
              <w:contextualSpacing/>
              <w:jc w:val="center"/>
              <w:rPr>
                <w:rFonts w:cs="Calibri"/>
                <w:color w:val="006100"/>
              </w:rPr>
            </w:pPr>
            <w:r>
              <w:rPr>
                <w:rFonts w:cs="Calibri"/>
                <w:color w:val="006100"/>
              </w:rPr>
              <w:t>-3,5%</w:t>
            </w:r>
          </w:p>
        </w:tc>
      </w:tr>
      <w:tr w:rsidR="001857E7" w:rsidRPr="00D44AA7" w14:paraId="612FD33C"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FE9E1C4" w14:textId="77777777" w:rsidR="001857E7" w:rsidRPr="00D44AA7" w:rsidRDefault="001857E7" w:rsidP="001857E7">
            <w:pPr>
              <w:spacing w:after="0" w:line="240" w:lineRule="auto"/>
              <w:contextualSpacing/>
              <w:rPr>
                <w:rFonts w:cs="Calibri"/>
              </w:rPr>
            </w:pPr>
            <w:r>
              <w:rPr>
                <w:rFonts w:cs="Calibri"/>
              </w:rPr>
              <w:t>Calabria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A86F692" w14:textId="77777777" w:rsidR="001857E7" w:rsidRPr="00D44AA7" w:rsidRDefault="001857E7" w:rsidP="001857E7">
            <w:pPr>
              <w:spacing w:after="0" w:line="240" w:lineRule="auto"/>
              <w:contextualSpacing/>
              <w:rPr>
                <w:rFonts w:cs="Calibri"/>
              </w:rPr>
            </w:pPr>
            <w:r>
              <w:rPr>
                <w:rFonts w:cs="Calibri"/>
              </w:rPr>
              <w:t>Crotone</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ADF4C2" w14:textId="77777777" w:rsidR="001857E7" w:rsidRPr="00D44AA7" w:rsidRDefault="001857E7" w:rsidP="001857E7">
            <w:pPr>
              <w:spacing w:after="0" w:line="240" w:lineRule="auto"/>
              <w:contextualSpacing/>
              <w:jc w:val="center"/>
              <w:rPr>
                <w:rFonts w:cs="Calibri"/>
              </w:rPr>
            </w:pPr>
            <w:r>
              <w:rPr>
                <w:rFonts w:cs="Calibri"/>
              </w:rPr>
              <w:t xml:space="preserve">           249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A93BFC0" w14:textId="77777777" w:rsidR="001857E7" w:rsidRPr="001857E7" w:rsidRDefault="001857E7" w:rsidP="001857E7">
            <w:pPr>
              <w:spacing w:after="0" w:line="240" w:lineRule="auto"/>
              <w:contextualSpacing/>
              <w:jc w:val="center"/>
              <w:rPr>
                <w:rFonts w:cs="Calibri"/>
                <w:color w:val="006100"/>
              </w:rPr>
            </w:pPr>
            <w:r>
              <w:rPr>
                <w:rFonts w:cs="Calibri"/>
                <w:color w:val="006100"/>
              </w:rPr>
              <w:t>-32,3%</w:t>
            </w:r>
          </w:p>
        </w:tc>
      </w:tr>
      <w:tr w:rsidR="001857E7" w:rsidRPr="00D44AA7" w14:paraId="79548A39"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C77E44" w14:textId="77777777" w:rsidR="001857E7" w:rsidRPr="00D44AA7" w:rsidRDefault="001857E7" w:rsidP="001857E7">
            <w:pPr>
              <w:spacing w:after="0" w:line="240" w:lineRule="auto"/>
              <w:contextualSpacing/>
              <w:rPr>
                <w:rFonts w:cs="Calibri"/>
              </w:rPr>
            </w:pPr>
            <w:r>
              <w:rPr>
                <w:rFonts w:cs="Calibri"/>
              </w:rPr>
              <w:t>Calabria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A43A589" w14:textId="77777777" w:rsidR="001857E7" w:rsidRPr="00D44AA7" w:rsidRDefault="001857E7" w:rsidP="001857E7">
            <w:pPr>
              <w:spacing w:after="0" w:line="240" w:lineRule="auto"/>
              <w:contextualSpacing/>
              <w:rPr>
                <w:rFonts w:cs="Calibri"/>
              </w:rPr>
            </w:pPr>
            <w:r>
              <w:rPr>
                <w:rFonts w:cs="Calibri"/>
              </w:rPr>
              <w:t>Reggio di Calabria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0324067" w14:textId="77777777" w:rsidR="001857E7" w:rsidRPr="00D44AA7" w:rsidRDefault="001857E7" w:rsidP="001857E7">
            <w:pPr>
              <w:spacing w:after="0" w:line="240" w:lineRule="auto"/>
              <w:contextualSpacing/>
              <w:jc w:val="center"/>
              <w:rPr>
                <w:rFonts w:cs="Calibri"/>
              </w:rPr>
            </w:pPr>
            <w:r>
              <w:rPr>
                <w:rFonts w:cs="Calibri"/>
              </w:rPr>
              <w:t xml:space="preserve">           237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2DD92C6" w14:textId="77777777" w:rsidR="001857E7" w:rsidRPr="001857E7" w:rsidRDefault="001857E7" w:rsidP="001857E7">
            <w:pPr>
              <w:spacing w:after="0" w:line="240" w:lineRule="auto"/>
              <w:contextualSpacing/>
              <w:jc w:val="center"/>
              <w:rPr>
                <w:rFonts w:cs="Calibri"/>
                <w:color w:val="006100"/>
              </w:rPr>
            </w:pPr>
            <w:r>
              <w:rPr>
                <w:rFonts w:cs="Calibri"/>
                <w:color w:val="9C0006"/>
              </w:rPr>
              <w:t>4,3%</w:t>
            </w:r>
          </w:p>
        </w:tc>
      </w:tr>
      <w:tr w:rsidR="001857E7" w:rsidRPr="00D44AA7" w14:paraId="1990634F"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B4793CF" w14:textId="77777777" w:rsidR="001857E7" w:rsidRPr="00D44AA7" w:rsidRDefault="001857E7" w:rsidP="001857E7">
            <w:pPr>
              <w:spacing w:after="0" w:line="240" w:lineRule="auto"/>
              <w:contextualSpacing/>
              <w:rPr>
                <w:rFonts w:cs="Calibri"/>
              </w:rPr>
            </w:pPr>
            <w:r>
              <w:rPr>
                <w:rFonts w:cs="Calibri"/>
              </w:rPr>
              <w:t>Calabria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3FE43A4" w14:textId="77777777" w:rsidR="001857E7" w:rsidRPr="00D44AA7" w:rsidRDefault="001857E7" w:rsidP="001857E7">
            <w:pPr>
              <w:spacing w:after="0" w:line="240" w:lineRule="auto"/>
              <w:contextualSpacing/>
              <w:rPr>
                <w:rFonts w:cs="Calibri"/>
              </w:rPr>
            </w:pPr>
            <w:r>
              <w:rPr>
                <w:rFonts w:cs="Calibri"/>
              </w:rPr>
              <w:t>Cosenza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C75C372" w14:textId="77777777" w:rsidR="001857E7" w:rsidRPr="00D44AA7" w:rsidRDefault="001857E7" w:rsidP="001857E7">
            <w:pPr>
              <w:spacing w:after="0" w:line="240" w:lineRule="auto"/>
              <w:contextualSpacing/>
              <w:jc w:val="center"/>
              <w:rPr>
                <w:rFonts w:cs="Calibri"/>
              </w:rPr>
            </w:pPr>
            <w:r>
              <w:rPr>
                <w:rFonts w:cs="Calibri"/>
              </w:rPr>
              <w:t xml:space="preserve">           175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CD7B03A" w14:textId="77777777" w:rsidR="001857E7" w:rsidRPr="001857E7" w:rsidRDefault="001857E7" w:rsidP="001857E7">
            <w:pPr>
              <w:spacing w:after="0" w:line="240" w:lineRule="auto"/>
              <w:contextualSpacing/>
              <w:jc w:val="center"/>
              <w:rPr>
                <w:rFonts w:cs="Calibri"/>
                <w:color w:val="006100"/>
              </w:rPr>
            </w:pPr>
            <w:r>
              <w:rPr>
                <w:rFonts w:cs="Calibri"/>
                <w:color w:val="006100"/>
              </w:rPr>
              <w:t>-19,9%</w:t>
            </w:r>
          </w:p>
        </w:tc>
      </w:tr>
      <w:tr w:rsidR="001857E7" w:rsidRPr="00D44AA7" w14:paraId="3FEA872F"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33E970E" w14:textId="77777777" w:rsidR="001857E7" w:rsidRPr="00D44AA7" w:rsidRDefault="001857E7" w:rsidP="001857E7">
            <w:pPr>
              <w:spacing w:after="0" w:line="240" w:lineRule="auto"/>
              <w:contextualSpacing/>
              <w:rPr>
                <w:rFonts w:cs="Calibri"/>
              </w:rPr>
            </w:pPr>
            <w:r>
              <w:rPr>
                <w:rFonts w:cs="Calibri"/>
              </w:rPr>
              <w:t>Calabria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35C742" w14:textId="77777777" w:rsidR="001857E7" w:rsidRPr="00D44AA7" w:rsidRDefault="001857E7" w:rsidP="001857E7">
            <w:pPr>
              <w:spacing w:after="0" w:line="240" w:lineRule="auto"/>
              <w:contextualSpacing/>
              <w:rPr>
                <w:rFonts w:cs="Calibri"/>
              </w:rPr>
            </w:pPr>
            <w:r>
              <w:rPr>
                <w:rFonts w:cs="Calibri"/>
              </w:rPr>
              <w:t>Vibo Valentia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129FA47" w14:textId="77777777" w:rsidR="001857E7" w:rsidRPr="00D44AA7" w:rsidRDefault="001857E7" w:rsidP="001857E7">
            <w:pPr>
              <w:spacing w:after="0" w:line="240" w:lineRule="auto"/>
              <w:contextualSpacing/>
              <w:jc w:val="center"/>
              <w:rPr>
                <w:rFonts w:cs="Calibri"/>
              </w:rPr>
            </w:pPr>
            <w:r>
              <w:rPr>
                <w:rFonts w:cs="Calibri"/>
              </w:rPr>
              <w:t xml:space="preserve">              99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27364B0" w14:textId="77777777" w:rsidR="001857E7" w:rsidRPr="001857E7" w:rsidRDefault="001857E7" w:rsidP="001857E7">
            <w:pPr>
              <w:spacing w:after="0" w:line="240" w:lineRule="auto"/>
              <w:contextualSpacing/>
              <w:jc w:val="center"/>
              <w:rPr>
                <w:rFonts w:cs="Calibri"/>
                <w:color w:val="006100"/>
              </w:rPr>
            </w:pPr>
            <w:r>
              <w:rPr>
                <w:rFonts w:cs="Calibri"/>
                <w:color w:val="006100"/>
              </w:rPr>
              <w:t>-10,2%</w:t>
            </w:r>
          </w:p>
        </w:tc>
      </w:tr>
      <w:tr w:rsidR="001857E7" w:rsidRPr="00D44AA7" w14:paraId="4ABA5A78"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50E859" w14:textId="77777777" w:rsidR="001857E7" w:rsidRPr="00D44AA7" w:rsidRDefault="001857E7" w:rsidP="001857E7">
            <w:pPr>
              <w:spacing w:after="0" w:line="240" w:lineRule="auto"/>
              <w:contextualSpacing/>
              <w:rPr>
                <w:rFonts w:cs="Calibri"/>
              </w:rPr>
            </w:pPr>
            <w:r>
              <w:rPr>
                <w:rFonts w:cs="Calibri"/>
              </w:rPr>
              <w:t>Campania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1EE62BD" w14:textId="77777777" w:rsidR="001857E7" w:rsidRPr="00D44AA7" w:rsidRDefault="001857E7" w:rsidP="001857E7">
            <w:pPr>
              <w:spacing w:after="0" w:line="240" w:lineRule="auto"/>
              <w:contextualSpacing/>
              <w:rPr>
                <w:rFonts w:cs="Calibri"/>
              </w:rPr>
            </w:pPr>
            <w:r>
              <w:rPr>
                <w:rFonts w:cs="Calibri"/>
              </w:rPr>
              <w:t>Salerno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14EE6A4" w14:textId="77777777" w:rsidR="001857E7" w:rsidRPr="00D44AA7" w:rsidRDefault="001857E7" w:rsidP="001857E7">
            <w:pPr>
              <w:spacing w:after="0" w:line="240" w:lineRule="auto"/>
              <w:contextualSpacing/>
              <w:jc w:val="center"/>
              <w:rPr>
                <w:rFonts w:cs="Calibri"/>
              </w:rPr>
            </w:pPr>
            <w:r>
              <w:rPr>
                <w:rFonts w:cs="Calibri"/>
              </w:rPr>
              <w:t xml:space="preserve">           264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AF316B1" w14:textId="77777777" w:rsidR="001857E7" w:rsidRPr="001857E7" w:rsidRDefault="001857E7" w:rsidP="001857E7">
            <w:pPr>
              <w:spacing w:after="0" w:line="240" w:lineRule="auto"/>
              <w:contextualSpacing/>
              <w:jc w:val="center"/>
              <w:rPr>
                <w:rFonts w:cs="Calibri"/>
                <w:color w:val="006100"/>
              </w:rPr>
            </w:pPr>
            <w:r>
              <w:rPr>
                <w:rFonts w:cs="Calibri"/>
                <w:color w:val="006100"/>
              </w:rPr>
              <w:t>-25,2%</w:t>
            </w:r>
          </w:p>
        </w:tc>
      </w:tr>
      <w:tr w:rsidR="001857E7" w:rsidRPr="00D44AA7" w14:paraId="2DEF9DCA"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A2D8316" w14:textId="77777777" w:rsidR="001857E7" w:rsidRPr="00D44AA7" w:rsidRDefault="001857E7" w:rsidP="001857E7">
            <w:pPr>
              <w:spacing w:after="0" w:line="240" w:lineRule="auto"/>
              <w:contextualSpacing/>
              <w:rPr>
                <w:rFonts w:cs="Calibri"/>
              </w:rPr>
            </w:pPr>
            <w:r>
              <w:rPr>
                <w:rFonts w:cs="Calibri"/>
              </w:rPr>
              <w:t>Campania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0AC67F" w14:textId="77777777" w:rsidR="001857E7" w:rsidRPr="00D44AA7" w:rsidRDefault="001857E7" w:rsidP="001857E7">
            <w:pPr>
              <w:spacing w:after="0" w:line="240" w:lineRule="auto"/>
              <w:contextualSpacing/>
              <w:rPr>
                <w:rFonts w:cs="Calibri"/>
              </w:rPr>
            </w:pPr>
            <w:r>
              <w:rPr>
                <w:rFonts w:cs="Calibri"/>
              </w:rPr>
              <w:t>Napoli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B6DD85F" w14:textId="77777777" w:rsidR="001857E7" w:rsidRPr="00D44AA7" w:rsidRDefault="001857E7" w:rsidP="001857E7">
            <w:pPr>
              <w:spacing w:after="0" w:line="240" w:lineRule="auto"/>
              <w:contextualSpacing/>
              <w:jc w:val="center"/>
              <w:rPr>
                <w:rFonts w:cs="Calibri"/>
              </w:rPr>
            </w:pPr>
            <w:r>
              <w:rPr>
                <w:rFonts w:cs="Calibri"/>
              </w:rPr>
              <w:t xml:space="preserve">           201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0126D16" w14:textId="77777777" w:rsidR="001857E7" w:rsidRPr="001857E7" w:rsidRDefault="001857E7" w:rsidP="001857E7">
            <w:pPr>
              <w:spacing w:after="0" w:line="240" w:lineRule="auto"/>
              <w:contextualSpacing/>
              <w:jc w:val="center"/>
              <w:rPr>
                <w:rFonts w:cs="Calibri"/>
                <w:color w:val="006100"/>
              </w:rPr>
            </w:pPr>
            <w:r>
              <w:rPr>
                <w:rFonts w:cs="Calibri"/>
                <w:color w:val="006100"/>
              </w:rPr>
              <w:t>-9,2%</w:t>
            </w:r>
          </w:p>
        </w:tc>
      </w:tr>
      <w:tr w:rsidR="001857E7" w:rsidRPr="00D44AA7" w14:paraId="0613AA55"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851C15" w14:textId="77777777" w:rsidR="001857E7" w:rsidRPr="00D44AA7" w:rsidRDefault="001857E7" w:rsidP="001857E7">
            <w:pPr>
              <w:spacing w:after="0" w:line="240" w:lineRule="auto"/>
              <w:contextualSpacing/>
              <w:rPr>
                <w:rFonts w:cs="Calibri"/>
              </w:rPr>
            </w:pPr>
            <w:r>
              <w:rPr>
                <w:rFonts w:cs="Calibri"/>
              </w:rPr>
              <w:t>Campania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9933954" w14:textId="77777777" w:rsidR="001857E7" w:rsidRPr="00D44AA7" w:rsidRDefault="001857E7" w:rsidP="001857E7">
            <w:pPr>
              <w:spacing w:after="0" w:line="240" w:lineRule="auto"/>
              <w:contextualSpacing/>
              <w:rPr>
                <w:rFonts w:cs="Calibri"/>
              </w:rPr>
            </w:pPr>
            <w:r>
              <w:rPr>
                <w:rFonts w:cs="Calibri"/>
              </w:rPr>
              <w:t>Avellino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0B3458" w14:textId="77777777" w:rsidR="001857E7" w:rsidRPr="00D44AA7" w:rsidRDefault="001857E7" w:rsidP="001857E7">
            <w:pPr>
              <w:spacing w:after="0" w:line="240" w:lineRule="auto"/>
              <w:contextualSpacing/>
              <w:jc w:val="center"/>
              <w:rPr>
                <w:rFonts w:cs="Calibri"/>
              </w:rPr>
            </w:pPr>
            <w:r>
              <w:rPr>
                <w:rFonts w:cs="Calibri"/>
              </w:rPr>
              <w:t xml:space="preserve">           199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8E3CBF0" w14:textId="77777777" w:rsidR="001857E7" w:rsidRPr="001857E7" w:rsidRDefault="001857E7" w:rsidP="001857E7">
            <w:pPr>
              <w:spacing w:after="0" w:line="240" w:lineRule="auto"/>
              <w:contextualSpacing/>
              <w:jc w:val="center"/>
              <w:rPr>
                <w:rFonts w:cs="Calibri"/>
                <w:color w:val="006100"/>
              </w:rPr>
            </w:pPr>
            <w:r>
              <w:rPr>
                <w:rFonts w:cs="Calibri"/>
                <w:color w:val="006100"/>
              </w:rPr>
              <w:t>-18,9%</w:t>
            </w:r>
          </w:p>
        </w:tc>
      </w:tr>
      <w:tr w:rsidR="001857E7" w:rsidRPr="00D44AA7" w14:paraId="4B352BA5"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B7A20D2" w14:textId="77777777" w:rsidR="001857E7" w:rsidRPr="00D44AA7" w:rsidRDefault="001857E7" w:rsidP="001857E7">
            <w:pPr>
              <w:spacing w:after="0" w:line="240" w:lineRule="auto"/>
              <w:contextualSpacing/>
              <w:rPr>
                <w:rFonts w:cs="Calibri"/>
              </w:rPr>
            </w:pPr>
            <w:r>
              <w:rPr>
                <w:rFonts w:cs="Calibri"/>
              </w:rPr>
              <w:t>Campania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49FCFE" w14:textId="77777777" w:rsidR="001857E7" w:rsidRPr="00D44AA7" w:rsidRDefault="001857E7" w:rsidP="001857E7">
            <w:pPr>
              <w:spacing w:after="0" w:line="240" w:lineRule="auto"/>
              <w:contextualSpacing/>
              <w:rPr>
                <w:rFonts w:cs="Calibri"/>
              </w:rPr>
            </w:pPr>
            <w:r>
              <w:rPr>
                <w:rFonts w:cs="Calibri"/>
              </w:rPr>
              <w:t>Benevento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C7B7AE8" w14:textId="77777777" w:rsidR="001857E7" w:rsidRPr="00D44AA7" w:rsidRDefault="001857E7" w:rsidP="001857E7">
            <w:pPr>
              <w:spacing w:after="0" w:line="240" w:lineRule="auto"/>
              <w:contextualSpacing/>
              <w:jc w:val="center"/>
              <w:rPr>
                <w:rFonts w:cs="Calibri"/>
              </w:rPr>
            </w:pPr>
            <w:r>
              <w:rPr>
                <w:rFonts w:cs="Calibri"/>
              </w:rPr>
              <w:t xml:space="preserve">           187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826FFEE" w14:textId="77777777" w:rsidR="001857E7" w:rsidRPr="001857E7" w:rsidRDefault="001857E7" w:rsidP="001857E7">
            <w:pPr>
              <w:spacing w:after="0" w:line="240" w:lineRule="auto"/>
              <w:contextualSpacing/>
              <w:jc w:val="center"/>
              <w:rPr>
                <w:rFonts w:cs="Calibri"/>
                <w:color w:val="006100"/>
              </w:rPr>
            </w:pPr>
            <w:r>
              <w:rPr>
                <w:rFonts w:cs="Calibri"/>
                <w:color w:val="006100"/>
              </w:rPr>
              <w:t>-30,6%</w:t>
            </w:r>
          </w:p>
        </w:tc>
      </w:tr>
      <w:tr w:rsidR="001857E7" w:rsidRPr="00D44AA7" w14:paraId="30F4CB9B"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1D83F25" w14:textId="77777777" w:rsidR="001857E7" w:rsidRPr="00D44AA7" w:rsidRDefault="001857E7" w:rsidP="001857E7">
            <w:pPr>
              <w:spacing w:after="0" w:line="240" w:lineRule="auto"/>
              <w:contextualSpacing/>
              <w:rPr>
                <w:rFonts w:cs="Calibri"/>
              </w:rPr>
            </w:pPr>
            <w:r>
              <w:rPr>
                <w:rFonts w:cs="Calibri"/>
              </w:rPr>
              <w:t>Campania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FB3EFD" w14:textId="77777777" w:rsidR="001857E7" w:rsidRPr="00D44AA7" w:rsidRDefault="001857E7" w:rsidP="001857E7">
            <w:pPr>
              <w:spacing w:after="0" w:line="240" w:lineRule="auto"/>
              <w:contextualSpacing/>
              <w:rPr>
                <w:rFonts w:cs="Calibri"/>
              </w:rPr>
            </w:pPr>
            <w:r>
              <w:rPr>
                <w:rFonts w:cs="Calibri"/>
              </w:rPr>
              <w:t>Caserta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4AC53DE" w14:textId="77777777" w:rsidR="001857E7" w:rsidRPr="00D44AA7" w:rsidRDefault="001857E7" w:rsidP="001857E7">
            <w:pPr>
              <w:spacing w:after="0" w:line="240" w:lineRule="auto"/>
              <w:contextualSpacing/>
              <w:jc w:val="center"/>
              <w:rPr>
                <w:rFonts w:cs="Calibri"/>
              </w:rPr>
            </w:pPr>
            <w:r>
              <w:rPr>
                <w:rFonts w:cs="Calibri"/>
              </w:rPr>
              <w:t xml:space="preserve">           181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21A2B1D" w14:textId="77777777" w:rsidR="001857E7" w:rsidRPr="001857E7" w:rsidRDefault="001857E7" w:rsidP="001857E7">
            <w:pPr>
              <w:spacing w:after="0" w:line="240" w:lineRule="auto"/>
              <w:contextualSpacing/>
              <w:jc w:val="center"/>
              <w:rPr>
                <w:rFonts w:cs="Calibri"/>
                <w:color w:val="006100"/>
              </w:rPr>
            </w:pPr>
            <w:r>
              <w:rPr>
                <w:rFonts w:cs="Calibri"/>
                <w:color w:val="006100"/>
              </w:rPr>
              <w:t>-20,7%</w:t>
            </w:r>
          </w:p>
        </w:tc>
      </w:tr>
      <w:tr w:rsidR="001857E7" w:rsidRPr="00D44AA7" w14:paraId="62450AF4" w14:textId="77777777" w:rsidTr="00A3467B">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A33CB81" w14:textId="77777777" w:rsidR="001857E7" w:rsidRPr="00D44AA7" w:rsidRDefault="001857E7" w:rsidP="001857E7">
            <w:pPr>
              <w:spacing w:after="0" w:line="240" w:lineRule="auto"/>
              <w:contextualSpacing/>
              <w:rPr>
                <w:rFonts w:cs="Calibri"/>
              </w:rPr>
            </w:pPr>
            <w:r>
              <w:rPr>
                <w:rFonts w:cs="Calibri"/>
              </w:rPr>
              <w:t>Emilia Romagna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012F7AA" w14:textId="77777777" w:rsidR="001857E7" w:rsidRPr="00D44AA7" w:rsidRDefault="001857E7" w:rsidP="001857E7">
            <w:pPr>
              <w:spacing w:after="0" w:line="240" w:lineRule="auto"/>
              <w:contextualSpacing/>
              <w:rPr>
                <w:rFonts w:cs="Calibri"/>
              </w:rPr>
            </w:pPr>
            <w:r>
              <w:rPr>
                <w:rFonts w:cs="Calibri"/>
              </w:rPr>
              <w:t>Bologna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B432DD" w14:textId="77777777" w:rsidR="001857E7" w:rsidRPr="00D44AA7" w:rsidRDefault="001857E7" w:rsidP="001857E7">
            <w:pPr>
              <w:spacing w:after="0" w:line="240" w:lineRule="auto"/>
              <w:contextualSpacing/>
              <w:jc w:val="center"/>
              <w:rPr>
                <w:rFonts w:cs="Calibri"/>
              </w:rPr>
            </w:pPr>
            <w:r>
              <w:rPr>
                <w:rFonts w:cs="Calibri"/>
              </w:rPr>
              <w:t xml:space="preserve">           251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61016BB" w14:textId="77777777" w:rsidR="001857E7" w:rsidRPr="001857E7" w:rsidRDefault="001857E7" w:rsidP="001857E7">
            <w:pPr>
              <w:spacing w:after="0" w:line="240" w:lineRule="auto"/>
              <w:contextualSpacing/>
              <w:jc w:val="center"/>
              <w:rPr>
                <w:rFonts w:cs="Calibri"/>
                <w:color w:val="006100"/>
              </w:rPr>
            </w:pPr>
            <w:r>
              <w:rPr>
                <w:rFonts w:cs="Calibri"/>
                <w:color w:val="006100"/>
              </w:rPr>
              <w:t>-7,8%</w:t>
            </w:r>
          </w:p>
        </w:tc>
      </w:tr>
      <w:tr w:rsidR="001857E7" w:rsidRPr="00D44AA7" w14:paraId="02AFF4A3"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C218C5" w14:textId="77777777" w:rsidR="001857E7" w:rsidRPr="00D44AA7" w:rsidRDefault="001857E7" w:rsidP="001857E7">
            <w:pPr>
              <w:spacing w:after="0" w:line="240" w:lineRule="auto"/>
              <w:contextualSpacing/>
              <w:rPr>
                <w:rFonts w:cs="Calibri"/>
              </w:rPr>
            </w:pPr>
            <w:r>
              <w:rPr>
                <w:rFonts w:cs="Calibri"/>
              </w:rPr>
              <w:t>Emilia Romagna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A3D0725" w14:textId="77777777" w:rsidR="001857E7" w:rsidRPr="00D44AA7" w:rsidRDefault="001857E7" w:rsidP="001857E7">
            <w:pPr>
              <w:spacing w:after="0" w:line="240" w:lineRule="auto"/>
              <w:contextualSpacing/>
              <w:rPr>
                <w:rFonts w:cs="Calibri"/>
              </w:rPr>
            </w:pPr>
            <w:r>
              <w:rPr>
                <w:rFonts w:cs="Calibri"/>
              </w:rPr>
              <w:t>Ravenna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47FE84" w14:textId="77777777" w:rsidR="001857E7" w:rsidRPr="00D44AA7" w:rsidRDefault="001857E7" w:rsidP="001857E7">
            <w:pPr>
              <w:spacing w:after="0" w:line="240" w:lineRule="auto"/>
              <w:contextualSpacing/>
              <w:jc w:val="center"/>
              <w:rPr>
                <w:rFonts w:cs="Calibri"/>
              </w:rPr>
            </w:pPr>
            <w:r>
              <w:rPr>
                <w:rFonts w:cs="Calibri"/>
              </w:rPr>
              <w:t xml:space="preserve">           248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EFBF341" w14:textId="77777777" w:rsidR="001857E7" w:rsidRPr="001857E7" w:rsidRDefault="001857E7" w:rsidP="001857E7">
            <w:pPr>
              <w:spacing w:after="0" w:line="240" w:lineRule="auto"/>
              <w:contextualSpacing/>
              <w:jc w:val="center"/>
              <w:rPr>
                <w:rFonts w:cs="Calibri"/>
                <w:color w:val="006100"/>
              </w:rPr>
            </w:pPr>
            <w:r>
              <w:rPr>
                <w:rFonts w:cs="Calibri"/>
                <w:color w:val="9C0006"/>
              </w:rPr>
              <w:t>1,4%</w:t>
            </w:r>
          </w:p>
        </w:tc>
      </w:tr>
      <w:tr w:rsidR="001857E7" w:rsidRPr="00D44AA7" w14:paraId="1D106F23"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348B388" w14:textId="77777777" w:rsidR="001857E7" w:rsidRPr="00D44AA7" w:rsidRDefault="001857E7" w:rsidP="001857E7">
            <w:pPr>
              <w:spacing w:after="0" w:line="240" w:lineRule="auto"/>
              <w:contextualSpacing/>
              <w:rPr>
                <w:rFonts w:cs="Calibri"/>
              </w:rPr>
            </w:pPr>
            <w:r>
              <w:rPr>
                <w:rFonts w:cs="Calibri"/>
              </w:rPr>
              <w:t>Emilia Romagna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1C4998" w14:textId="77777777" w:rsidR="001857E7" w:rsidRPr="00D44AA7" w:rsidRDefault="001857E7" w:rsidP="001857E7">
            <w:pPr>
              <w:spacing w:after="0" w:line="240" w:lineRule="auto"/>
              <w:contextualSpacing/>
              <w:rPr>
                <w:rFonts w:cs="Calibri"/>
              </w:rPr>
            </w:pPr>
            <w:r>
              <w:rPr>
                <w:rFonts w:cs="Calibri"/>
              </w:rPr>
              <w:t>Forlì-Cesena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34006E3" w14:textId="77777777" w:rsidR="001857E7" w:rsidRPr="00D44AA7" w:rsidRDefault="001857E7" w:rsidP="001857E7">
            <w:pPr>
              <w:spacing w:after="0" w:line="240" w:lineRule="auto"/>
              <w:contextualSpacing/>
              <w:jc w:val="center"/>
              <w:rPr>
                <w:rFonts w:cs="Calibri"/>
              </w:rPr>
            </w:pPr>
            <w:r>
              <w:rPr>
                <w:rFonts w:cs="Calibri"/>
              </w:rPr>
              <w:t xml:space="preserve">           192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A5514EC" w14:textId="77777777" w:rsidR="001857E7" w:rsidRPr="001857E7" w:rsidRDefault="001857E7" w:rsidP="001857E7">
            <w:pPr>
              <w:spacing w:after="0" w:line="240" w:lineRule="auto"/>
              <w:contextualSpacing/>
              <w:jc w:val="center"/>
              <w:rPr>
                <w:rFonts w:cs="Calibri"/>
                <w:color w:val="006100"/>
              </w:rPr>
            </w:pPr>
            <w:r>
              <w:rPr>
                <w:rFonts w:cs="Calibri"/>
                <w:color w:val="006100"/>
              </w:rPr>
              <w:t>-11,9%</w:t>
            </w:r>
          </w:p>
        </w:tc>
      </w:tr>
      <w:tr w:rsidR="001857E7" w:rsidRPr="00D44AA7" w14:paraId="3EF8EDA0"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A845D8B" w14:textId="77777777" w:rsidR="001857E7" w:rsidRPr="00D44AA7" w:rsidRDefault="001857E7" w:rsidP="001857E7">
            <w:pPr>
              <w:spacing w:after="0" w:line="240" w:lineRule="auto"/>
              <w:contextualSpacing/>
              <w:rPr>
                <w:rFonts w:cs="Calibri"/>
              </w:rPr>
            </w:pPr>
            <w:r>
              <w:rPr>
                <w:rFonts w:cs="Calibri"/>
              </w:rPr>
              <w:t>Emilia Romagna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3057071" w14:textId="77777777" w:rsidR="001857E7" w:rsidRPr="00D44AA7" w:rsidRDefault="001857E7" w:rsidP="001857E7">
            <w:pPr>
              <w:spacing w:after="0" w:line="240" w:lineRule="auto"/>
              <w:contextualSpacing/>
              <w:rPr>
                <w:rFonts w:cs="Calibri"/>
              </w:rPr>
            </w:pPr>
            <w:r>
              <w:rPr>
                <w:rFonts w:cs="Calibri"/>
              </w:rPr>
              <w:t>Rimini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2B77BCF" w14:textId="77777777" w:rsidR="001857E7" w:rsidRPr="00D44AA7" w:rsidRDefault="001857E7" w:rsidP="001857E7">
            <w:pPr>
              <w:spacing w:after="0" w:line="240" w:lineRule="auto"/>
              <w:contextualSpacing/>
              <w:jc w:val="center"/>
              <w:rPr>
                <w:rFonts w:cs="Calibri"/>
              </w:rPr>
            </w:pPr>
            <w:r>
              <w:rPr>
                <w:rFonts w:cs="Calibri"/>
              </w:rPr>
              <w:t xml:space="preserve">           191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415AF75" w14:textId="77777777" w:rsidR="001857E7" w:rsidRPr="001857E7" w:rsidRDefault="001857E7" w:rsidP="001857E7">
            <w:pPr>
              <w:spacing w:after="0" w:line="240" w:lineRule="auto"/>
              <w:contextualSpacing/>
              <w:jc w:val="center"/>
              <w:rPr>
                <w:rFonts w:cs="Calibri"/>
                <w:color w:val="006100"/>
              </w:rPr>
            </w:pPr>
            <w:r>
              <w:rPr>
                <w:rFonts w:cs="Calibri"/>
                <w:color w:val="006100"/>
              </w:rPr>
              <w:t>-6,7%</w:t>
            </w:r>
          </w:p>
        </w:tc>
      </w:tr>
      <w:tr w:rsidR="001857E7" w:rsidRPr="00D44AA7" w14:paraId="533E7FC3"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EC0EFF5" w14:textId="77777777" w:rsidR="001857E7" w:rsidRPr="00D44AA7" w:rsidRDefault="001857E7" w:rsidP="001857E7">
            <w:pPr>
              <w:spacing w:after="0" w:line="240" w:lineRule="auto"/>
              <w:contextualSpacing/>
              <w:rPr>
                <w:rFonts w:cs="Calibri"/>
              </w:rPr>
            </w:pPr>
            <w:r>
              <w:rPr>
                <w:rFonts w:cs="Calibri"/>
              </w:rPr>
              <w:t>Emilia Romagna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AC28C3A" w14:textId="77777777" w:rsidR="001857E7" w:rsidRPr="00D44AA7" w:rsidRDefault="001857E7" w:rsidP="001857E7">
            <w:pPr>
              <w:spacing w:after="0" w:line="240" w:lineRule="auto"/>
              <w:contextualSpacing/>
              <w:rPr>
                <w:rFonts w:cs="Calibri"/>
              </w:rPr>
            </w:pPr>
            <w:r>
              <w:rPr>
                <w:rFonts w:cs="Calibri"/>
              </w:rPr>
              <w:t>Parma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48A8196" w14:textId="77777777" w:rsidR="001857E7" w:rsidRPr="00D44AA7" w:rsidRDefault="001857E7" w:rsidP="001857E7">
            <w:pPr>
              <w:spacing w:after="0" w:line="240" w:lineRule="auto"/>
              <w:contextualSpacing/>
              <w:jc w:val="center"/>
              <w:rPr>
                <w:rFonts w:cs="Calibri"/>
              </w:rPr>
            </w:pPr>
            <w:r>
              <w:rPr>
                <w:rFonts w:cs="Calibri"/>
              </w:rPr>
              <w:t xml:space="preserve">           191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09A1C5B" w14:textId="77777777" w:rsidR="001857E7" w:rsidRPr="001857E7" w:rsidRDefault="001857E7" w:rsidP="001857E7">
            <w:pPr>
              <w:spacing w:after="0" w:line="240" w:lineRule="auto"/>
              <w:contextualSpacing/>
              <w:jc w:val="center"/>
              <w:rPr>
                <w:rFonts w:cs="Calibri"/>
                <w:color w:val="006100"/>
              </w:rPr>
            </w:pPr>
            <w:r>
              <w:rPr>
                <w:rFonts w:cs="Calibri"/>
                <w:color w:val="006100"/>
              </w:rPr>
              <w:t>-0,3%</w:t>
            </w:r>
          </w:p>
        </w:tc>
      </w:tr>
      <w:tr w:rsidR="001857E7" w:rsidRPr="00D44AA7" w14:paraId="61709E2B" w14:textId="77777777" w:rsidTr="00A3467B">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B8383B" w14:textId="77777777" w:rsidR="001857E7" w:rsidRPr="00D44AA7" w:rsidRDefault="001857E7" w:rsidP="001857E7">
            <w:pPr>
              <w:spacing w:after="0" w:line="240" w:lineRule="auto"/>
              <w:contextualSpacing/>
              <w:rPr>
                <w:rFonts w:cs="Calibri"/>
              </w:rPr>
            </w:pPr>
            <w:r>
              <w:rPr>
                <w:rFonts w:cs="Calibri"/>
              </w:rPr>
              <w:t>Emilia Romagna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951E17C" w14:textId="77777777" w:rsidR="001857E7" w:rsidRPr="00D44AA7" w:rsidRDefault="001857E7" w:rsidP="001857E7">
            <w:pPr>
              <w:spacing w:after="0" w:line="240" w:lineRule="auto"/>
              <w:contextualSpacing/>
              <w:rPr>
                <w:rFonts w:cs="Calibri"/>
              </w:rPr>
            </w:pPr>
            <w:r>
              <w:rPr>
                <w:rFonts w:cs="Calibri"/>
              </w:rPr>
              <w:t>Ferrara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54438C6" w14:textId="77777777" w:rsidR="001857E7" w:rsidRPr="00D44AA7" w:rsidRDefault="001857E7" w:rsidP="001857E7">
            <w:pPr>
              <w:spacing w:after="0" w:line="240" w:lineRule="auto"/>
              <w:contextualSpacing/>
              <w:jc w:val="center"/>
              <w:rPr>
                <w:rFonts w:cs="Calibri"/>
              </w:rPr>
            </w:pPr>
            <w:r>
              <w:rPr>
                <w:rFonts w:cs="Calibri"/>
              </w:rPr>
              <w:t xml:space="preserve">           181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542DEF8" w14:textId="77777777" w:rsidR="001857E7" w:rsidRPr="001857E7" w:rsidRDefault="001857E7" w:rsidP="001857E7">
            <w:pPr>
              <w:spacing w:after="0" w:line="240" w:lineRule="auto"/>
              <w:contextualSpacing/>
              <w:jc w:val="center"/>
              <w:rPr>
                <w:rFonts w:cs="Calibri"/>
                <w:color w:val="006100"/>
              </w:rPr>
            </w:pPr>
            <w:r>
              <w:rPr>
                <w:rFonts w:cs="Calibri"/>
                <w:color w:val="006100"/>
              </w:rPr>
              <w:t>-24,0%</w:t>
            </w:r>
          </w:p>
        </w:tc>
      </w:tr>
      <w:tr w:rsidR="001857E7" w:rsidRPr="00D44AA7" w14:paraId="182FC2F6"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70BBCD" w14:textId="77777777" w:rsidR="001857E7" w:rsidRPr="00D44AA7" w:rsidRDefault="001857E7" w:rsidP="001857E7">
            <w:pPr>
              <w:spacing w:after="0" w:line="240" w:lineRule="auto"/>
              <w:contextualSpacing/>
              <w:rPr>
                <w:rFonts w:cs="Calibri"/>
              </w:rPr>
            </w:pPr>
            <w:r>
              <w:rPr>
                <w:rFonts w:cs="Calibri"/>
              </w:rPr>
              <w:t>Emilia Romagna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E17BB1" w14:textId="77777777" w:rsidR="001857E7" w:rsidRPr="00D44AA7" w:rsidRDefault="001857E7" w:rsidP="001857E7">
            <w:pPr>
              <w:spacing w:after="0" w:line="240" w:lineRule="auto"/>
              <w:contextualSpacing/>
              <w:rPr>
                <w:rFonts w:cs="Calibri"/>
              </w:rPr>
            </w:pPr>
            <w:r>
              <w:rPr>
                <w:rFonts w:cs="Calibri"/>
              </w:rPr>
              <w:t>Modena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531570" w14:textId="77777777" w:rsidR="001857E7" w:rsidRPr="00D44AA7" w:rsidRDefault="001857E7" w:rsidP="001857E7">
            <w:pPr>
              <w:spacing w:after="0" w:line="240" w:lineRule="auto"/>
              <w:contextualSpacing/>
              <w:jc w:val="center"/>
              <w:rPr>
                <w:rFonts w:cs="Calibri"/>
              </w:rPr>
            </w:pPr>
            <w:r>
              <w:rPr>
                <w:rFonts w:cs="Calibri"/>
              </w:rPr>
              <w:t xml:space="preserve">           179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E6A1EE4" w14:textId="77777777" w:rsidR="001857E7" w:rsidRPr="001857E7" w:rsidRDefault="001857E7" w:rsidP="001857E7">
            <w:pPr>
              <w:spacing w:after="0" w:line="240" w:lineRule="auto"/>
              <w:contextualSpacing/>
              <w:jc w:val="center"/>
              <w:rPr>
                <w:rFonts w:cs="Calibri"/>
                <w:color w:val="006100"/>
              </w:rPr>
            </w:pPr>
            <w:r>
              <w:rPr>
                <w:rFonts w:cs="Calibri"/>
                <w:color w:val="006100"/>
              </w:rPr>
              <w:t>-8,0%</w:t>
            </w:r>
          </w:p>
        </w:tc>
      </w:tr>
      <w:tr w:rsidR="001857E7" w:rsidRPr="00D44AA7" w14:paraId="3A629A45"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B5706B3" w14:textId="77777777" w:rsidR="001857E7" w:rsidRPr="00D44AA7" w:rsidRDefault="001857E7" w:rsidP="001857E7">
            <w:pPr>
              <w:spacing w:after="0" w:line="240" w:lineRule="auto"/>
              <w:contextualSpacing/>
              <w:rPr>
                <w:rFonts w:cs="Calibri"/>
              </w:rPr>
            </w:pPr>
            <w:r>
              <w:rPr>
                <w:rFonts w:cs="Calibri"/>
              </w:rPr>
              <w:t>Emilia Romagna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A90149" w14:textId="77777777" w:rsidR="001857E7" w:rsidRPr="00D44AA7" w:rsidRDefault="001857E7" w:rsidP="001857E7">
            <w:pPr>
              <w:spacing w:after="0" w:line="240" w:lineRule="auto"/>
              <w:contextualSpacing/>
              <w:rPr>
                <w:rFonts w:cs="Calibri"/>
              </w:rPr>
            </w:pPr>
            <w:r>
              <w:rPr>
                <w:rFonts w:cs="Calibri"/>
              </w:rPr>
              <w:t>Reggio nell'Emilia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A32E19" w14:textId="77777777" w:rsidR="001857E7" w:rsidRPr="00D44AA7" w:rsidRDefault="001857E7" w:rsidP="001857E7">
            <w:pPr>
              <w:spacing w:after="0" w:line="240" w:lineRule="auto"/>
              <w:contextualSpacing/>
              <w:jc w:val="center"/>
              <w:rPr>
                <w:rFonts w:cs="Calibri"/>
              </w:rPr>
            </w:pPr>
            <w:r>
              <w:rPr>
                <w:rFonts w:cs="Calibri"/>
              </w:rPr>
              <w:t xml:space="preserve">           143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92C7A74" w14:textId="77777777" w:rsidR="001857E7" w:rsidRPr="001857E7" w:rsidRDefault="001857E7" w:rsidP="001857E7">
            <w:pPr>
              <w:spacing w:after="0" w:line="240" w:lineRule="auto"/>
              <w:contextualSpacing/>
              <w:jc w:val="center"/>
              <w:rPr>
                <w:rFonts w:cs="Calibri"/>
                <w:color w:val="006100"/>
              </w:rPr>
            </w:pPr>
            <w:r>
              <w:rPr>
                <w:rFonts w:cs="Calibri"/>
                <w:color w:val="006100"/>
              </w:rPr>
              <w:t>-23,1%</w:t>
            </w:r>
          </w:p>
        </w:tc>
      </w:tr>
      <w:tr w:rsidR="001857E7" w:rsidRPr="00D44AA7" w14:paraId="4B28422F"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3C512B8" w14:textId="77777777" w:rsidR="001857E7" w:rsidRPr="00D44AA7" w:rsidRDefault="001857E7" w:rsidP="001857E7">
            <w:pPr>
              <w:spacing w:after="0" w:line="240" w:lineRule="auto"/>
              <w:contextualSpacing/>
              <w:rPr>
                <w:rFonts w:cs="Calibri"/>
              </w:rPr>
            </w:pPr>
            <w:r>
              <w:rPr>
                <w:rFonts w:cs="Calibri"/>
              </w:rPr>
              <w:t>Emilia Romagna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A6C0BE3" w14:textId="77777777" w:rsidR="001857E7" w:rsidRPr="00D44AA7" w:rsidRDefault="001857E7" w:rsidP="001857E7">
            <w:pPr>
              <w:spacing w:after="0" w:line="240" w:lineRule="auto"/>
              <w:contextualSpacing/>
              <w:rPr>
                <w:rFonts w:cs="Calibri"/>
              </w:rPr>
            </w:pPr>
            <w:r>
              <w:rPr>
                <w:rFonts w:cs="Calibri"/>
              </w:rPr>
              <w:t>Piacenza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10E4CC" w14:textId="77777777" w:rsidR="001857E7" w:rsidRPr="00D44AA7" w:rsidRDefault="001857E7" w:rsidP="001857E7">
            <w:pPr>
              <w:spacing w:after="0" w:line="240" w:lineRule="auto"/>
              <w:contextualSpacing/>
              <w:jc w:val="center"/>
              <w:rPr>
                <w:rFonts w:cs="Calibri"/>
              </w:rPr>
            </w:pPr>
            <w:r>
              <w:rPr>
                <w:rFonts w:cs="Calibri"/>
              </w:rPr>
              <w:t xml:space="preserve">           125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9263E12" w14:textId="77777777" w:rsidR="001857E7" w:rsidRPr="001857E7" w:rsidRDefault="001857E7" w:rsidP="001857E7">
            <w:pPr>
              <w:spacing w:after="0" w:line="240" w:lineRule="auto"/>
              <w:contextualSpacing/>
              <w:jc w:val="center"/>
              <w:rPr>
                <w:rFonts w:cs="Calibri"/>
                <w:color w:val="006100"/>
              </w:rPr>
            </w:pPr>
            <w:r>
              <w:rPr>
                <w:rFonts w:cs="Calibri"/>
                <w:color w:val="006100"/>
              </w:rPr>
              <w:t>-12,3%</w:t>
            </w:r>
          </w:p>
        </w:tc>
      </w:tr>
      <w:tr w:rsidR="001857E7" w:rsidRPr="00D44AA7" w14:paraId="735DCAA1"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27FD279" w14:textId="77777777" w:rsidR="001857E7" w:rsidRPr="00D44AA7" w:rsidRDefault="001857E7" w:rsidP="001857E7">
            <w:pPr>
              <w:spacing w:after="0" w:line="240" w:lineRule="auto"/>
              <w:contextualSpacing/>
              <w:rPr>
                <w:rFonts w:cs="Calibri"/>
              </w:rPr>
            </w:pPr>
            <w:r>
              <w:rPr>
                <w:rFonts w:cs="Calibri"/>
              </w:rPr>
              <w:t>Friuli Venezia Giulia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BA5E25" w14:textId="77777777" w:rsidR="001857E7" w:rsidRPr="00D44AA7" w:rsidRDefault="001857E7" w:rsidP="001857E7">
            <w:pPr>
              <w:spacing w:after="0" w:line="240" w:lineRule="auto"/>
              <w:contextualSpacing/>
              <w:rPr>
                <w:rFonts w:cs="Calibri"/>
              </w:rPr>
            </w:pPr>
            <w:r>
              <w:rPr>
                <w:rFonts w:cs="Calibri"/>
              </w:rPr>
              <w:t>Trieste</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4BAAABF" w14:textId="77777777" w:rsidR="001857E7" w:rsidRPr="00D44AA7" w:rsidRDefault="001857E7" w:rsidP="001857E7">
            <w:pPr>
              <w:spacing w:after="0" w:line="240" w:lineRule="auto"/>
              <w:contextualSpacing/>
              <w:jc w:val="center"/>
              <w:rPr>
                <w:rFonts w:cs="Calibri"/>
              </w:rPr>
            </w:pPr>
            <w:r>
              <w:rPr>
                <w:rFonts w:cs="Calibri"/>
              </w:rPr>
              <w:t xml:space="preserve">           186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8356483" w14:textId="77777777" w:rsidR="001857E7" w:rsidRPr="001857E7" w:rsidRDefault="001857E7" w:rsidP="001857E7">
            <w:pPr>
              <w:spacing w:after="0" w:line="240" w:lineRule="auto"/>
              <w:contextualSpacing/>
              <w:jc w:val="center"/>
              <w:rPr>
                <w:rFonts w:cs="Calibri"/>
                <w:color w:val="006100"/>
              </w:rPr>
            </w:pPr>
            <w:r>
              <w:rPr>
                <w:rFonts w:cs="Calibri"/>
                <w:color w:val="9C0006"/>
              </w:rPr>
              <w:t>2,6%</w:t>
            </w:r>
          </w:p>
        </w:tc>
      </w:tr>
      <w:tr w:rsidR="001857E7" w:rsidRPr="00D44AA7" w14:paraId="559C1620"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03388E8" w14:textId="77777777" w:rsidR="001857E7" w:rsidRPr="00D44AA7" w:rsidRDefault="001857E7" w:rsidP="001857E7">
            <w:pPr>
              <w:spacing w:after="0" w:line="240" w:lineRule="auto"/>
              <w:contextualSpacing/>
              <w:rPr>
                <w:rFonts w:cs="Calibri"/>
              </w:rPr>
            </w:pPr>
            <w:r>
              <w:rPr>
                <w:rFonts w:cs="Calibri"/>
              </w:rPr>
              <w:t>Friuli Venezia Giulia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182764" w14:textId="77777777" w:rsidR="001857E7" w:rsidRPr="00D44AA7" w:rsidRDefault="001857E7" w:rsidP="001857E7">
            <w:pPr>
              <w:spacing w:after="0" w:line="240" w:lineRule="auto"/>
              <w:contextualSpacing/>
              <w:rPr>
                <w:rFonts w:cs="Calibri"/>
              </w:rPr>
            </w:pPr>
            <w:r>
              <w:rPr>
                <w:rFonts w:cs="Calibri"/>
              </w:rPr>
              <w:t>Udine</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DABEB97" w14:textId="77777777" w:rsidR="001857E7" w:rsidRPr="00D44AA7" w:rsidRDefault="001857E7" w:rsidP="001857E7">
            <w:pPr>
              <w:spacing w:after="0" w:line="240" w:lineRule="auto"/>
              <w:contextualSpacing/>
              <w:jc w:val="center"/>
              <w:rPr>
                <w:rFonts w:cs="Calibri"/>
              </w:rPr>
            </w:pPr>
            <w:r>
              <w:rPr>
                <w:rFonts w:cs="Calibri"/>
              </w:rPr>
              <w:t xml:space="preserve">           182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779C58A" w14:textId="77777777" w:rsidR="001857E7" w:rsidRPr="001857E7" w:rsidRDefault="001857E7" w:rsidP="001857E7">
            <w:pPr>
              <w:spacing w:after="0" w:line="240" w:lineRule="auto"/>
              <w:contextualSpacing/>
              <w:jc w:val="center"/>
              <w:rPr>
                <w:rFonts w:cs="Calibri"/>
                <w:color w:val="006100"/>
              </w:rPr>
            </w:pPr>
            <w:r>
              <w:rPr>
                <w:rFonts w:cs="Calibri"/>
                <w:color w:val="9C0006"/>
              </w:rPr>
              <w:t>6,4%</w:t>
            </w:r>
          </w:p>
        </w:tc>
      </w:tr>
      <w:tr w:rsidR="001857E7" w:rsidRPr="00D44AA7" w14:paraId="344BC0D2"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099F0B" w14:textId="77777777" w:rsidR="001857E7" w:rsidRPr="00D44AA7" w:rsidRDefault="001857E7" w:rsidP="001857E7">
            <w:pPr>
              <w:spacing w:after="0" w:line="240" w:lineRule="auto"/>
              <w:contextualSpacing/>
              <w:rPr>
                <w:rFonts w:cs="Calibri"/>
              </w:rPr>
            </w:pPr>
            <w:r>
              <w:rPr>
                <w:rFonts w:cs="Calibri"/>
              </w:rPr>
              <w:t>Friuli Venezia Giulia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274588" w14:textId="77777777" w:rsidR="001857E7" w:rsidRPr="00D44AA7" w:rsidRDefault="001857E7" w:rsidP="001857E7">
            <w:pPr>
              <w:spacing w:after="0" w:line="240" w:lineRule="auto"/>
              <w:contextualSpacing/>
              <w:rPr>
                <w:rFonts w:cs="Calibri"/>
              </w:rPr>
            </w:pPr>
            <w:r>
              <w:rPr>
                <w:rFonts w:cs="Calibri"/>
              </w:rPr>
              <w:t>Pordenone</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A358C2" w14:textId="77777777" w:rsidR="001857E7" w:rsidRPr="00D44AA7" w:rsidRDefault="001857E7" w:rsidP="001857E7">
            <w:pPr>
              <w:spacing w:after="0" w:line="240" w:lineRule="auto"/>
              <w:contextualSpacing/>
              <w:jc w:val="center"/>
              <w:rPr>
                <w:rFonts w:cs="Calibri"/>
              </w:rPr>
            </w:pPr>
            <w:r>
              <w:rPr>
                <w:rFonts w:cs="Calibri"/>
              </w:rPr>
              <w:t xml:space="preserve">           127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A90E91C" w14:textId="77777777" w:rsidR="001857E7" w:rsidRPr="001857E7" w:rsidRDefault="001857E7" w:rsidP="001857E7">
            <w:pPr>
              <w:spacing w:after="0" w:line="240" w:lineRule="auto"/>
              <w:contextualSpacing/>
              <w:jc w:val="center"/>
              <w:rPr>
                <w:rFonts w:cs="Calibri"/>
                <w:color w:val="006100"/>
              </w:rPr>
            </w:pPr>
            <w:r>
              <w:rPr>
                <w:rFonts w:cs="Calibri"/>
                <w:color w:val="006100"/>
              </w:rPr>
              <w:t>-1,5%</w:t>
            </w:r>
          </w:p>
        </w:tc>
      </w:tr>
      <w:tr w:rsidR="001857E7" w:rsidRPr="00D44AA7" w14:paraId="1CC02E0B"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9311679" w14:textId="77777777" w:rsidR="001857E7" w:rsidRPr="00D44AA7" w:rsidRDefault="001857E7" w:rsidP="001857E7">
            <w:pPr>
              <w:spacing w:after="0" w:line="240" w:lineRule="auto"/>
              <w:contextualSpacing/>
              <w:rPr>
                <w:rFonts w:cs="Calibri"/>
              </w:rPr>
            </w:pPr>
            <w:r>
              <w:rPr>
                <w:rFonts w:cs="Calibri"/>
              </w:rPr>
              <w:t>Friuli Venezia Giulia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B380629" w14:textId="77777777" w:rsidR="001857E7" w:rsidRPr="00D44AA7" w:rsidRDefault="001857E7" w:rsidP="001857E7">
            <w:pPr>
              <w:spacing w:after="0" w:line="240" w:lineRule="auto"/>
              <w:contextualSpacing/>
              <w:rPr>
                <w:rFonts w:cs="Calibri"/>
              </w:rPr>
            </w:pPr>
            <w:r>
              <w:rPr>
                <w:rFonts w:cs="Calibri"/>
              </w:rPr>
              <w:t>Gorizia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F512371" w14:textId="77777777" w:rsidR="001857E7" w:rsidRPr="00D44AA7" w:rsidRDefault="001857E7" w:rsidP="001857E7">
            <w:pPr>
              <w:spacing w:after="0" w:line="240" w:lineRule="auto"/>
              <w:contextualSpacing/>
              <w:jc w:val="center"/>
              <w:rPr>
                <w:rFonts w:cs="Calibri"/>
              </w:rPr>
            </w:pPr>
            <w:r>
              <w:rPr>
                <w:rFonts w:cs="Calibri"/>
              </w:rPr>
              <w:t xml:space="preserve">           119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6C98A02" w14:textId="77777777" w:rsidR="001857E7" w:rsidRPr="001857E7" w:rsidRDefault="001857E7" w:rsidP="001857E7">
            <w:pPr>
              <w:spacing w:after="0" w:line="240" w:lineRule="auto"/>
              <w:contextualSpacing/>
              <w:jc w:val="center"/>
              <w:rPr>
                <w:rFonts w:cs="Calibri"/>
                <w:color w:val="006100"/>
              </w:rPr>
            </w:pPr>
            <w:r>
              <w:rPr>
                <w:rFonts w:cs="Calibri"/>
                <w:color w:val="006100"/>
              </w:rPr>
              <w:t>-15,3%</w:t>
            </w:r>
          </w:p>
        </w:tc>
      </w:tr>
      <w:tr w:rsidR="001857E7" w:rsidRPr="00D44AA7" w14:paraId="36CF1A5D"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3B32222" w14:textId="77777777" w:rsidR="001857E7" w:rsidRPr="00D44AA7" w:rsidRDefault="001857E7" w:rsidP="001857E7">
            <w:pPr>
              <w:spacing w:after="0" w:line="240" w:lineRule="auto"/>
              <w:contextualSpacing/>
              <w:rPr>
                <w:rFonts w:cs="Calibri"/>
              </w:rPr>
            </w:pPr>
            <w:r>
              <w:rPr>
                <w:rFonts w:cs="Calibri"/>
              </w:rPr>
              <w:t>Lazio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A31266D" w14:textId="77777777" w:rsidR="001857E7" w:rsidRPr="00D44AA7" w:rsidRDefault="001857E7" w:rsidP="001857E7">
            <w:pPr>
              <w:spacing w:after="0" w:line="240" w:lineRule="auto"/>
              <w:contextualSpacing/>
              <w:rPr>
                <w:rFonts w:cs="Calibri"/>
              </w:rPr>
            </w:pPr>
            <w:r>
              <w:rPr>
                <w:rFonts w:cs="Calibri"/>
              </w:rPr>
              <w:t>Roma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9C06A8" w14:textId="77777777" w:rsidR="001857E7" w:rsidRPr="00D44AA7" w:rsidRDefault="001857E7" w:rsidP="001857E7">
            <w:pPr>
              <w:spacing w:after="0" w:line="240" w:lineRule="auto"/>
              <w:contextualSpacing/>
              <w:jc w:val="center"/>
              <w:rPr>
                <w:rFonts w:cs="Calibri"/>
              </w:rPr>
            </w:pPr>
            <w:r>
              <w:rPr>
                <w:rFonts w:cs="Calibri"/>
              </w:rPr>
              <w:t xml:space="preserve">           307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EB81374" w14:textId="77777777" w:rsidR="001857E7" w:rsidRPr="001857E7" w:rsidRDefault="001857E7" w:rsidP="001857E7">
            <w:pPr>
              <w:spacing w:after="0" w:line="240" w:lineRule="auto"/>
              <w:contextualSpacing/>
              <w:jc w:val="center"/>
              <w:rPr>
                <w:rFonts w:cs="Calibri"/>
                <w:color w:val="006100"/>
              </w:rPr>
            </w:pPr>
            <w:r>
              <w:rPr>
                <w:rFonts w:cs="Calibri"/>
                <w:color w:val="9C0006"/>
              </w:rPr>
              <w:t>0,4%</w:t>
            </w:r>
          </w:p>
        </w:tc>
      </w:tr>
      <w:tr w:rsidR="001857E7" w:rsidRPr="00D44AA7" w14:paraId="34799D23"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3337BA" w14:textId="77777777" w:rsidR="001857E7" w:rsidRPr="00D44AA7" w:rsidRDefault="001857E7" w:rsidP="001857E7">
            <w:pPr>
              <w:spacing w:after="0" w:line="240" w:lineRule="auto"/>
              <w:contextualSpacing/>
              <w:rPr>
                <w:rFonts w:cs="Calibri"/>
              </w:rPr>
            </w:pPr>
            <w:r>
              <w:rPr>
                <w:rFonts w:cs="Calibri"/>
              </w:rPr>
              <w:t>Lazio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EDC186" w14:textId="77777777" w:rsidR="001857E7" w:rsidRPr="00D44AA7" w:rsidRDefault="001857E7" w:rsidP="001857E7">
            <w:pPr>
              <w:spacing w:after="0" w:line="240" w:lineRule="auto"/>
              <w:contextualSpacing/>
              <w:rPr>
                <w:rFonts w:cs="Calibri"/>
              </w:rPr>
            </w:pPr>
            <w:r>
              <w:rPr>
                <w:rFonts w:cs="Calibri"/>
              </w:rPr>
              <w:t>Rieti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925FB2F" w14:textId="77777777" w:rsidR="001857E7" w:rsidRPr="00D44AA7" w:rsidRDefault="001857E7" w:rsidP="001857E7">
            <w:pPr>
              <w:spacing w:after="0" w:line="240" w:lineRule="auto"/>
              <w:contextualSpacing/>
              <w:jc w:val="center"/>
              <w:rPr>
                <w:rFonts w:cs="Calibri"/>
              </w:rPr>
            </w:pPr>
            <w:r>
              <w:rPr>
                <w:rFonts w:cs="Calibri"/>
              </w:rPr>
              <w:t xml:space="preserve">           290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1221B2F" w14:textId="77777777" w:rsidR="001857E7" w:rsidRPr="001857E7" w:rsidRDefault="001857E7" w:rsidP="001857E7">
            <w:pPr>
              <w:spacing w:after="0" w:line="240" w:lineRule="auto"/>
              <w:contextualSpacing/>
              <w:jc w:val="center"/>
              <w:rPr>
                <w:rFonts w:cs="Calibri"/>
                <w:color w:val="006100"/>
              </w:rPr>
            </w:pPr>
            <w:r>
              <w:rPr>
                <w:rFonts w:cs="Calibri"/>
                <w:color w:val="9C0006"/>
              </w:rPr>
              <w:t>7,6%</w:t>
            </w:r>
          </w:p>
        </w:tc>
      </w:tr>
      <w:tr w:rsidR="001857E7" w:rsidRPr="001857E7" w14:paraId="0BC3E915"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8E10FF" w14:textId="77777777" w:rsidR="001857E7" w:rsidRPr="00D44AA7" w:rsidRDefault="001857E7" w:rsidP="001857E7">
            <w:pPr>
              <w:spacing w:after="0" w:line="240" w:lineRule="auto"/>
              <w:contextualSpacing/>
              <w:rPr>
                <w:rFonts w:cs="Calibri"/>
              </w:rPr>
            </w:pPr>
            <w:r>
              <w:rPr>
                <w:rFonts w:cs="Calibri"/>
              </w:rPr>
              <w:t>Lazio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D2ED2D7" w14:textId="77777777" w:rsidR="001857E7" w:rsidRPr="00D44AA7" w:rsidRDefault="001857E7" w:rsidP="001857E7">
            <w:pPr>
              <w:spacing w:after="0" w:line="240" w:lineRule="auto"/>
              <w:contextualSpacing/>
              <w:rPr>
                <w:rFonts w:cs="Calibri"/>
              </w:rPr>
            </w:pPr>
            <w:r>
              <w:rPr>
                <w:rFonts w:cs="Calibri"/>
              </w:rPr>
              <w:t>Latina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5B5187" w14:textId="77777777" w:rsidR="001857E7" w:rsidRPr="00D44AA7" w:rsidRDefault="001857E7" w:rsidP="001857E7">
            <w:pPr>
              <w:spacing w:after="0" w:line="240" w:lineRule="auto"/>
              <w:contextualSpacing/>
              <w:jc w:val="center"/>
              <w:rPr>
                <w:rFonts w:cs="Calibri"/>
              </w:rPr>
            </w:pPr>
            <w:r>
              <w:rPr>
                <w:rFonts w:cs="Calibri"/>
              </w:rPr>
              <w:t xml:space="preserve">           214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253968F" w14:textId="77777777" w:rsidR="001857E7" w:rsidRPr="001857E7" w:rsidRDefault="001857E7" w:rsidP="001857E7">
            <w:pPr>
              <w:spacing w:after="0" w:line="240" w:lineRule="auto"/>
              <w:contextualSpacing/>
              <w:jc w:val="center"/>
              <w:rPr>
                <w:rFonts w:cs="Calibri"/>
                <w:color w:val="006100"/>
              </w:rPr>
            </w:pPr>
            <w:r>
              <w:rPr>
                <w:rFonts w:cs="Calibri"/>
                <w:color w:val="006100"/>
              </w:rPr>
              <w:t>-4,6%</w:t>
            </w:r>
          </w:p>
        </w:tc>
      </w:tr>
      <w:tr w:rsidR="001857E7" w:rsidRPr="00D44AA7" w14:paraId="5E1A1B8B"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D18B4A" w14:textId="77777777" w:rsidR="001857E7" w:rsidRPr="00D44AA7" w:rsidRDefault="001857E7" w:rsidP="001857E7">
            <w:pPr>
              <w:spacing w:after="0" w:line="240" w:lineRule="auto"/>
              <w:contextualSpacing/>
              <w:rPr>
                <w:rFonts w:cs="Calibri"/>
              </w:rPr>
            </w:pPr>
            <w:r>
              <w:rPr>
                <w:rFonts w:cs="Calibri"/>
              </w:rPr>
              <w:t>Lazio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D98CB9" w14:textId="77777777" w:rsidR="001857E7" w:rsidRPr="00D44AA7" w:rsidRDefault="001857E7" w:rsidP="001857E7">
            <w:pPr>
              <w:spacing w:after="0" w:line="240" w:lineRule="auto"/>
              <w:contextualSpacing/>
              <w:rPr>
                <w:rFonts w:cs="Calibri"/>
              </w:rPr>
            </w:pPr>
            <w:r>
              <w:rPr>
                <w:rFonts w:cs="Calibri"/>
              </w:rPr>
              <w:t>Viterbo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EF84BFA" w14:textId="77777777" w:rsidR="001857E7" w:rsidRPr="00D44AA7" w:rsidRDefault="001857E7" w:rsidP="001857E7">
            <w:pPr>
              <w:spacing w:after="0" w:line="240" w:lineRule="auto"/>
              <w:contextualSpacing/>
              <w:jc w:val="center"/>
              <w:rPr>
                <w:rFonts w:cs="Calibri"/>
              </w:rPr>
            </w:pPr>
            <w:r>
              <w:rPr>
                <w:rFonts w:cs="Calibri"/>
              </w:rPr>
              <w:t xml:space="preserve">           199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687AD8F" w14:textId="77777777" w:rsidR="001857E7" w:rsidRPr="001857E7" w:rsidRDefault="001857E7" w:rsidP="001857E7">
            <w:pPr>
              <w:spacing w:after="0" w:line="240" w:lineRule="auto"/>
              <w:contextualSpacing/>
              <w:jc w:val="center"/>
              <w:rPr>
                <w:rFonts w:cs="Calibri"/>
                <w:color w:val="006100"/>
              </w:rPr>
            </w:pPr>
            <w:r>
              <w:rPr>
                <w:rFonts w:cs="Calibri"/>
                <w:color w:val="006100"/>
              </w:rPr>
              <w:t>-16,5%</w:t>
            </w:r>
          </w:p>
        </w:tc>
      </w:tr>
      <w:tr w:rsidR="001857E7" w:rsidRPr="00D44AA7" w14:paraId="72F65C8F"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9F801C" w14:textId="77777777" w:rsidR="001857E7" w:rsidRPr="00D44AA7" w:rsidRDefault="001857E7" w:rsidP="001857E7">
            <w:pPr>
              <w:spacing w:after="0" w:line="240" w:lineRule="auto"/>
              <w:contextualSpacing/>
              <w:rPr>
                <w:rFonts w:cs="Calibri"/>
              </w:rPr>
            </w:pPr>
            <w:r>
              <w:rPr>
                <w:rFonts w:cs="Calibri"/>
              </w:rPr>
              <w:t>Lazio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4027921" w14:textId="77777777" w:rsidR="001857E7" w:rsidRPr="00D44AA7" w:rsidRDefault="001857E7" w:rsidP="001857E7">
            <w:pPr>
              <w:spacing w:after="0" w:line="240" w:lineRule="auto"/>
              <w:contextualSpacing/>
              <w:rPr>
                <w:rFonts w:cs="Calibri"/>
              </w:rPr>
            </w:pPr>
            <w:r>
              <w:rPr>
                <w:rFonts w:cs="Calibri"/>
              </w:rPr>
              <w:t>Frosinone</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DEDC15A" w14:textId="77777777" w:rsidR="001857E7" w:rsidRPr="00D44AA7" w:rsidRDefault="001857E7" w:rsidP="001857E7">
            <w:pPr>
              <w:spacing w:after="0" w:line="240" w:lineRule="auto"/>
              <w:contextualSpacing/>
              <w:jc w:val="center"/>
              <w:rPr>
                <w:rFonts w:cs="Calibri"/>
              </w:rPr>
            </w:pPr>
            <w:r>
              <w:rPr>
                <w:rFonts w:cs="Calibri"/>
              </w:rPr>
              <w:t xml:space="preserve">           162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51F75C9" w14:textId="77777777" w:rsidR="001857E7" w:rsidRPr="001857E7" w:rsidRDefault="001857E7" w:rsidP="001857E7">
            <w:pPr>
              <w:spacing w:after="0" w:line="240" w:lineRule="auto"/>
              <w:contextualSpacing/>
              <w:jc w:val="center"/>
              <w:rPr>
                <w:rFonts w:cs="Calibri"/>
                <w:color w:val="006100"/>
              </w:rPr>
            </w:pPr>
            <w:r>
              <w:rPr>
                <w:rFonts w:cs="Calibri"/>
                <w:color w:val="006100"/>
              </w:rPr>
              <w:t>-10,4%</w:t>
            </w:r>
          </w:p>
        </w:tc>
      </w:tr>
      <w:tr w:rsidR="001857E7" w:rsidRPr="00D44AA7" w14:paraId="59F2DF5A"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049D128" w14:textId="77777777" w:rsidR="001857E7" w:rsidRPr="00D44AA7" w:rsidRDefault="001857E7" w:rsidP="001857E7">
            <w:pPr>
              <w:spacing w:after="0" w:line="240" w:lineRule="auto"/>
              <w:contextualSpacing/>
              <w:rPr>
                <w:rFonts w:cs="Calibri"/>
              </w:rPr>
            </w:pPr>
            <w:r>
              <w:rPr>
                <w:rFonts w:cs="Calibri"/>
              </w:rPr>
              <w:t>Liguria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AE9EB6F" w14:textId="77777777" w:rsidR="001857E7" w:rsidRPr="00D44AA7" w:rsidRDefault="001857E7" w:rsidP="001857E7">
            <w:pPr>
              <w:spacing w:after="0" w:line="240" w:lineRule="auto"/>
              <w:contextualSpacing/>
              <w:rPr>
                <w:rFonts w:cs="Calibri"/>
              </w:rPr>
            </w:pPr>
            <w:r>
              <w:rPr>
                <w:rFonts w:cs="Calibri"/>
              </w:rPr>
              <w:t>La Spezia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AF9DD8F" w14:textId="77777777" w:rsidR="001857E7" w:rsidRPr="00D44AA7" w:rsidRDefault="001857E7" w:rsidP="001857E7">
            <w:pPr>
              <w:spacing w:after="0" w:line="240" w:lineRule="auto"/>
              <w:contextualSpacing/>
              <w:jc w:val="center"/>
              <w:rPr>
                <w:rFonts w:cs="Calibri"/>
              </w:rPr>
            </w:pPr>
            <w:r>
              <w:rPr>
                <w:rFonts w:cs="Calibri"/>
              </w:rPr>
              <w:t xml:space="preserve">           201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EB5A7CB" w14:textId="77777777" w:rsidR="001857E7" w:rsidRPr="001857E7" w:rsidRDefault="001857E7" w:rsidP="001857E7">
            <w:pPr>
              <w:spacing w:after="0" w:line="240" w:lineRule="auto"/>
              <w:contextualSpacing/>
              <w:jc w:val="center"/>
              <w:rPr>
                <w:rFonts w:cs="Calibri"/>
                <w:color w:val="006100"/>
              </w:rPr>
            </w:pPr>
            <w:r>
              <w:rPr>
                <w:rFonts w:cs="Calibri"/>
                <w:color w:val="006100"/>
              </w:rPr>
              <w:t>-11,1%</w:t>
            </w:r>
          </w:p>
        </w:tc>
      </w:tr>
      <w:tr w:rsidR="001857E7" w:rsidRPr="00D44AA7" w14:paraId="1C06BB65"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56F59E8" w14:textId="77777777" w:rsidR="001857E7" w:rsidRPr="00D44AA7" w:rsidRDefault="001857E7" w:rsidP="001857E7">
            <w:pPr>
              <w:spacing w:after="0" w:line="240" w:lineRule="auto"/>
              <w:contextualSpacing/>
              <w:rPr>
                <w:rFonts w:cs="Calibri"/>
              </w:rPr>
            </w:pPr>
            <w:r>
              <w:rPr>
                <w:rFonts w:cs="Calibri"/>
              </w:rPr>
              <w:t>Liguria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D90DCC" w14:textId="77777777" w:rsidR="001857E7" w:rsidRPr="00D44AA7" w:rsidRDefault="001857E7" w:rsidP="001857E7">
            <w:pPr>
              <w:spacing w:after="0" w:line="240" w:lineRule="auto"/>
              <w:contextualSpacing/>
              <w:rPr>
                <w:rFonts w:cs="Calibri"/>
              </w:rPr>
            </w:pPr>
            <w:r>
              <w:rPr>
                <w:rFonts w:cs="Calibri"/>
              </w:rPr>
              <w:t>Genova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F30FE5" w14:textId="77777777" w:rsidR="001857E7" w:rsidRPr="00D44AA7" w:rsidRDefault="001857E7" w:rsidP="001857E7">
            <w:pPr>
              <w:spacing w:after="0" w:line="240" w:lineRule="auto"/>
              <w:contextualSpacing/>
              <w:jc w:val="center"/>
              <w:rPr>
                <w:rFonts w:cs="Calibri"/>
              </w:rPr>
            </w:pPr>
            <w:r>
              <w:rPr>
                <w:rFonts w:cs="Calibri"/>
              </w:rPr>
              <w:t xml:space="preserve">           183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7B5944A" w14:textId="77777777" w:rsidR="001857E7" w:rsidRPr="001857E7" w:rsidRDefault="001857E7" w:rsidP="001857E7">
            <w:pPr>
              <w:spacing w:after="0" w:line="240" w:lineRule="auto"/>
              <w:contextualSpacing/>
              <w:jc w:val="center"/>
              <w:rPr>
                <w:rFonts w:cs="Calibri"/>
                <w:color w:val="006100"/>
              </w:rPr>
            </w:pPr>
            <w:r>
              <w:rPr>
                <w:rFonts w:cs="Calibri"/>
                <w:color w:val="006100"/>
              </w:rPr>
              <w:t>-8,2%</w:t>
            </w:r>
          </w:p>
        </w:tc>
      </w:tr>
      <w:tr w:rsidR="001857E7" w:rsidRPr="00D44AA7" w14:paraId="369462F3"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94FC35E" w14:textId="77777777" w:rsidR="001857E7" w:rsidRPr="00D44AA7" w:rsidRDefault="001857E7" w:rsidP="001857E7">
            <w:pPr>
              <w:spacing w:after="0" w:line="240" w:lineRule="auto"/>
              <w:contextualSpacing/>
              <w:rPr>
                <w:rFonts w:cs="Calibri"/>
              </w:rPr>
            </w:pPr>
            <w:r>
              <w:rPr>
                <w:rFonts w:cs="Calibri"/>
              </w:rPr>
              <w:t>Liguria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406D766" w14:textId="77777777" w:rsidR="001857E7" w:rsidRPr="00D44AA7" w:rsidRDefault="001857E7" w:rsidP="001857E7">
            <w:pPr>
              <w:spacing w:after="0" w:line="240" w:lineRule="auto"/>
              <w:contextualSpacing/>
              <w:rPr>
                <w:rFonts w:cs="Calibri"/>
              </w:rPr>
            </w:pPr>
            <w:r>
              <w:rPr>
                <w:rFonts w:cs="Calibri"/>
              </w:rPr>
              <w:t>Imperia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822D42" w14:textId="77777777" w:rsidR="001857E7" w:rsidRPr="00D44AA7" w:rsidRDefault="001857E7" w:rsidP="001857E7">
            <w:pPr>
              <w:spacing w:after="0" w:line="240" w:lineRule="auto"/>
              <w:contextualSpacing/>
              <w:jc w:val="center"/>
              <w:rPr>
                <w:rFonts w:cs="Calibri"/>
              </w:rPr>
            </w:pPr>
            <w:r>
              <w:rPr>
                <w:rFonts w:cs="Calibri"/>
              </w:rPr>
              <w:t xml:space="preserve">           155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E0F2893" w14:textId="77777777" w:rsidR="001857E7" w:rsidRPr="001857E7" w:rsidRDefault="001857E7" w:rsidP="001857E7">
            <w:pPr>
              <w:spacing w:after="0" w:line="240" w:lineRule="auto"/>
              <w:contextualSpacing/>
              <w:jc w:val="center"/>
              <w:rPr>
                <w:rFonts w:cs="Calibri"/>
                <w:color w:val="006100"/>
              </w:rPr>
            </w:pPr>
            <w:r>
              <w:rPr>
                <w:rFonts w:cs="Calibri"/>
                <w:color w:val="006100"/>
              </w:rPr>
              <w:t>-4,4%</w:t>
            </w:r>
          </w:p>
        </w:tc>
      </w:tr>
      <w:tr w:rsidR="001857E7" w:rsidRPr="00D44AA7" w14:paraId="54E76127"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A4CC0E" w14:textId="77777777" w:rsidR="001857E7" w:rsidRPr="00D44AA7" w:rsidRDefault="001857E7" w:rsidP="001857E7">
            <w:pPr>
              <w:spacing w:after="0" w:line="240" w:lineRule="auto"/>
              <w:contextualSpacing/>
              <w:rPr>
                <w:rFonts w:cs="Calibri"/>
              </w:rPr>
            </w:pPr>
            <w:r>
              <w:rPr>
                <w:rFonts w:cs="Calibri"/>
              </w:rPr>
              <w:t>Liguria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3535BD" w14:textId="77777777" w:rsidR="001857E7" w:rsidRPr="00D44AA7" w:rsidRDefault="001857E7" w:rsidP="001857E7">
            <w:pPr>
              <w:spacing w:after="0" w:line="240" w:lineRule="auto"/>
              <w:contextualSpacing/>
              <w:rPr>
                <w:rFonts w:cs="Calibri"/>
              </w:rPr>
            </w:pPr>
            <w:r>
              <w:rPr>
                <w:rFonts w:cs="Calibri"/>
              </w:rPr>
              <w:t>Savona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A5B68DA" w14:textId="77777777" w:rsidR="001857E7" w:rsidRPr="00D44AA7" w:rsidRDefault="001857E7" w:rsidP="001857E7">
            <w:pPr>
              <w:spacing w:after="0" w:line="240" w:lineRule="auto"/>
              <w:contextualSpacing/>
              <w:jc w:val="center"/>
              <w:rPr>
                <w:rFonts w:cs="Calibri"/>
              </w:rPr>
            </w:pPr>
            <w:r>
              <w:rPr>
                <w:rFonts w:cs="Calibri"/>
              </w:rPr>
              <w:t xml:space="preserve">           149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FD26130" w14:textId="77777777" w:rsidR="001857E7" w:rsidRPr="001857E7" w:rsidRDefault="001857E7" w:rsidP="001857E7">
            <w:pPr>
              <w:spacing w:after="0" w:line="240" w:lineRule="auto"/>
              <w:contextualSpacing/>
              <w:jc w:val="center"/>
              <w:rPr>
                <w:rFonts w:cs="Calibri"/>
                <w:color w:val="006100"/>
              </w:rPr>
            </w:pPr>
            <w:r>
              <w:rPr>
                <w:rFonts w:cs="Calibri"/>
                <w:color w:val="006100"/>
              </w:rPr>
              <w:t>-10,6%</w:t>
            </w:r>
          </w:p>
        </w:tc>
      </w:tr>
      <w:tr w:rsidR="001857E7" w:rsidRPr="00D44AA7" w14:paraId="5C6EC7AC"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B86F287" w14:textId="77777777" w:rsidR="001857E7" w:rsidRPr="00D44AA7" w:rsidRDefault="001857E7" w:rsidP="001857E7">
            <w:pPr>
              <w:spacing w:after="0" w:line="240" w:lineRule="auto"/>
              <w:contextualSpacing/>
              <w:rPr>
                <w:rFonts w:cs="Calibri"/>
              </w:rPr>
            </w:pPr>
            <w:r>
              <w:rPr>
                <w:rFonts w:cs="Calibri"/>
              </w:rPr>
              <w:lastRenderedPageBreak/>
              <w:t>Lombardia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3130B53" w14:textId="77777777" w:rsidR="001857E7" w:rsidRPr="00D44AA7" w:rsidRDefault="001857E7" w:rsidP="001857E7">
            <w:pPr>
              <w:spacing w:after="0" w:line="240" w:lineRule="auto"/>
              <w:contextualSpacing/>
              <w:rPr>
                <w:rFonts w:cs="Calibri"/>
              </w:rPr>
            </w:pPr>
            <w:r>
              <w:rPr>
                <w:rFonts w:cs="Calibri"/>
              </w:rPr>
              <w:t>Milano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A6204E" w14:textId="77777777" w:rsidR="001857E7" w:rsidRPr="00D44AA7" w:rsidRDefault="001857E7" w:rsidP="001857E7">
            <w:pPr>
              <w:spacing w:after="0" w:line="240" w:lineRule="auto"/>
              <w:contextualSpacing/>
              <w:jc w:val="center"/>
              <w:rPr>
                <w:rFonts w:cs="Calibri"/>
              </w:rPr>
            </w:pPr>
            <w:r>
              <w:rPr>
                <w:rFonts w:cs="Calibri"/>
              </w:rPr>
              <w:t xml:space="preserve">           176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C32302B" w14:textId="77777777" w:rsidR="001857E7" w:rsidRPr="001857E7" w:rsidRDefault="001857E7" w:rsidP="001857E7">
            <w:pPr>
              <w:spacing w:after="0" w:line="240" w:lineRule="auto"/>
              <w:contextualSpacing/>
              <w:jc w:val="center"/>
              <w:rPr>
                <w:rFonts w:cs="Calibri"/>
                <w:color w:val="006100"/>
              </w:rPr>
            </w:pPr>
            <w:r>
              <w:rPr>
                <w:rFonts w:cs="Calibri"/>
                <w:color w:val="006100"/>
              </w:rPr>
              <w:t>-4,7%</w:t>
            </w:r>
          </w:p>
        </w:tc>
      </w:tr>
      <w:tr w:rsidR="001857E7" w:rsidRPr="00D44AA7" w14:paraId="481C71BC"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EEFA9C" w14:textId="77777777" w:rsidR="001857E7" w:rsidRPr="00D44AA7" w:rsidRDefault="001857E7" w:rsidP="001857E7">
            <w:pPr>
              <w:spacing w:after="0" w:line="240" w:lineRule="auto"/>
              <w:contextualSpacing/>
              <w:rPr>
                <w:rFonts w:cs="Calibri"/>
              </w:rPr>
            </w:pPr>
            <w:r>
              <w:rPr>
                <w:rFonts w:cs="Calibri"/>
              </w:rPr>
              <w:t>Lombardia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B110672" w14:textId="77777777" w:rsidR="001857E7" w:rsidRPr="00D44AA7" w:rsidRDefault="001857E7" w:rsidP="001857E7">
            <w:pPr>
              <w:spacing w:after="0" w:line="240" w:lineRule="auto"/>
              <w:contextualSpacing/>
              <w:rPr>
                <w:rFonts w:cs="Calibri"/>
              </w:rPr>
            </w:pPr>
            <w:r>
              <w:rPr>
                <w:rFonts w:cs="Calibri"/>
              </w:rPr>
              <w:t>Monza e della Brianza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730F9BD" w14:textId="77777777" w:rsidR="001857E7" w:rsidRPr="00D44AA7" w:rsidRDefault="001857E7" w:rsidP="001857E7">
            <w:pPr>
              <w:spacing w:after="0" w:line="240" w:lineRule="auto"/>
              <w:contextualSpacing/>
              <w:jc w:val="center"/>
              <w:rPr>
                <w:rFonts w:cs="Calibri"/>
              </w:rPr>
            </w:pPr>
            <w:r>
              <w:rPr>
                <w:rFonts w:cs="Calibri"/>
              </w:rPr>
              <w:t xml:space="preserve">           172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CE99597" w14:textId="77777777" w:rsidR="001857E7" w:rsidRPr="001857E7" w:rsidRDefault="001857E7" w:rsidP="001857E7">
            <w:pPr>
              <w:spacing w:after="0" w:line="240" w:lineRule="auto"/>
              <w:contextualSpacing/>
              <w:jc w:val="center"/>
              <w:rPr>
                <w:rFonts w:cs="Calibri"/>
                <w:color w:val="006100"/>
              </w:rPr>
            </w:pPr>
            <w:r>
              <w:rPr>
                <w:rFonts w:cs="Calibri"/>
                <w:color w:val="9C0006"/>
              </w:rPr>
              <w:t>4,0%</w:t>
            </w:r>
          </w:p>
        </w:tc>
      </w:tr>
      <w:tr w:rsidR="001857E7" w:rsidRPr="00D44AA7" w14:paraId="47787530"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64415C3" w14:textId="77777777" w:rsidR="001857E7" w:rsidRPr="00D44AA7" w:rsidRDefault="001857E7" w:rsidP="001857E7">
            <w:pPr>
              <w:spacing w:after="0" w:line="240" w:lineRule="auto"/>
              <w:contextualSpacing/>
              <w:rPr>
                <w:rFonts w:cs="Calibri"/>
              </w:rPr>
            </w:pPr>
            <w:r>
              <w:rPr>
                <w:rFonts w:cs="Calibri"/>
              </w:rPr>
              <w:t>Lombardia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0392DB" w14:textId="77777777" w:rsidR="001857E7" w:rsidRPr="00D44AA7" w:rsidRDefault="001857E7" w:rsidP="001857E7">
            <w:pPr>
              <w:spacing w:after="0" w:line="240" w:lineRule="auto"/>
              <w:contextualSpacing/>
              <w:rPr>
                <w:rFonts w:cs="Calibri"/>
              </w:rPr>
            </w:pPr>
            <w:r>
              <w:rPr>
                <w:rFonts w:cs="Calibri"/>
              </w:rPr>
              <w:t>Pavia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25E488" w14:textId="77777777" w:rsidR="001857E7" w:rsidRPr="00D44AA7" w:rsidRDefault="001857E7" w:rsidP="001857E7">
            <w:pPr>
              <w:spacing w:after="0" w:line="240" w:lineRule="auto"/>
              <w:contextualSpacing/>
              <w:jc w:val="center"/>
              <w:rPr>
                <w:rFonts w:cs="Calibri"/>
              </w:rPr>
            </w:pPr>
            <w:r>
              <w:rPr>
                <w:rFonts w:cs="Calibri"/>
              </w:rPr>
              <w:t xml:space="preserve">           169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1BCEA62" w14:textId="77777777" w:rsidR="001857E7" w:rsidRPr="001857E7" w:rsidRDefault="001857E7" w:rsidP="001857E7">
            <w:pPr>
              <w:spacing w:after="0" w:line="240" w:lineRule="auto"/>
              <w:contextualSpacing/>
              <w:jc w:val="center"/>
              <w:rPr>
                <w:rFonts w:cs="Calibri"/>
                <w:color w:val="006100"/>
              </w:rPr>
            </w:pPr>
            <w:r>
              <w:rPr>
                <w:rFonts w:cs="Calibri"/>
                <w:color w:val="9C0006"/>
              </w:rPr>
              <w:t>3,1%</w:t>
            </w:r>
          </w:p>
        </w:tc>
      </w:tr>
      <w:tr w:rsidR="001857E7" w:rsidRPr="00D44AA7" w14:paraId="6A51018B"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3348622" w14:textId="77777777" w:rsidR="001857E7" w:rsidRPr="00D44AA7" w:rsidRDefault="001857E7" w:rsidP="001857E7">
            <w:pPr>
              <w:spacing w:after="0" w:line="240" w:lineRule="auto"/>
              <w:contextualSpacing/>
              <w:rPr>
                <w:rFonts w:cs="Calibri"/>
              </w:rPr>
            </w:pPr>
            <w:r>
              <w:rPr>
                <w:rFonts w:cs="Calibri"/>
              </w:rPr>
              <w:t>Lombardia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0AB313" w14:textId="77777777" w:rsidR="001857E7" w:rsidRPr="00D44AA7" w:rsidRDefault="001857E7" w:rsidP="001857E7">
            <w:pPr>
              <w:spacing w:after="0" w:line="240" w:lineRule="auto"/>
              <w:contextualSpacing/>
              <w:rPr>
                <w:rFonts w:cs="Calibri"/>
              </w:rPr>
            </w:pPr>
            <w:r>
              <w:rPr>
                <w:rFonts w:cs="Calibri"/>
              </w:rPr>
              <w:t>Brescia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284A8F5" w14:textId="77777777" w:rsidR="001857E7" w:rsidRPr="00D44AA7" w:rsidRDefault="001857E7" w:rsidP="001857E7">
            <w:pPr>
              <w:spacing w:after="0" w:line="240" w:lineRule="auto"/>
              <w:contextualSpacing/>
              <w:jc w:val="center"/>
              <w:rPr>
                <w:rFonts w:cs="Calibri"/>
              </w:rPr>
            </w:pPr>
            <w:r>
              <w:rPr>
                <w:rFonts w:cs="Calibri"/>
              </w:rPr>
              <w:t xml:space="preserve">           149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6529CAA" w14:textId="77777777" w:rsidR="001857E7" w:rsidRPr="001857E7" w:rsidRDefault="001857E7" w:rsidP="001857E7">
            <w:pPr>
              <w:spacing w:after="0" w:line="240" w:lineRule="auto"/>
              <w:contextualSpacing/>
              <w:jc w:val="center"/>
              <w:rPr>
                <w:rFonts w:cs="Calibri"/>
                <w:color w:val="006100"/>
              </w:rPr>
            </w:pPr>
            <w:r>
              <w:rPr>
                <w:rFonts w:cs="Calibri"/>
                <w:color w:val="006100"/>
              </w:rPr>
              <w:t>-5,5%</w:t>
            </w:r>
          </w:p>
        </w:tc>
      </w:tr>
      <w:tr w:rsidR="001857E7" w:rsidRPr="00D44AA7" w14:paraId="33737CF6"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B51EE4" w14:textId="77777777" w:rsidR="001857E7" w:rsidRPr="00D44AA7" w:rsidRDefault="001857E7" w:rsidP="001857E7">
            <w:pPr>
              <w:spacing w:after="0" w:line="240" w:lineRule="auto"/>
              <w:contextualSpacing/>
              <w:rPr>
                <w:rFonts w:cs="Calibri"/>
              </w:rPr>
            </w:pPr>
            <w:r>
              <w:rPr>
                <w:rFonts w:cs="Calibri"/>
              </w:rPr>
              <w:t>Lombardia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6EF228" w14:textId="77777777" w:rsidR="001857E7" w:rsidRPr="00D44AA7" w:rsidRDefault="001857E7" w:rsidP="001857E7">
            <w:pPr>
              <w:spacing w:after="0" w:line="240" w:lineRule="auto"/>
              <w:contextualSpacing/>
              <w:rPr>
                <w:rFonts w:cs="Calibri"/>
              </w:rPr>
            </w:pPr>
            <w:r>
              <w:rPr>
                <w:rFonts w:cs="Calibri"/>
              </w:rPr>
              <w:t>Como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4CE6DC" w14:textId="77777777" w:rsidR="001857E7" w:rsidRPr="00D44AA7" w:rsidRDefault="001857E7" w:rsidP="001857E7">
            <w:pPr>
              <w:spacing w:after="0" w:line="240" w:lineRule="auto"/>
              <w:contextualSpacing/>
              <w:jc w:val="center"/>
              <w:rPr>
                <w:rFonts w:cs="Calibri"/>
              </w:rPr>
            </w:pPr>
            <w:r>
              <w:rPr>
                <w:rFonts w:cs="Calibri"/>
              </w:rPr>
              <w:t xml:space="preserve">           142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741695A" w14:textId="77777777" w:rsidR="001857E7" w:rsidRPr="001857E7" w:rsidRDefault="001857E7" w:rsidP="001857E7">
            <w:pPr>
              <w:spacing w:after="0" w:line="240" w:lineRule="auto"/>
              <w:contextualSpacing/>
              <w:jc w:val="center"/>
              <w:rPr>
                <w:rFonts w:cs="Calibri"/>
                <w:color w:val="006100"/>
              </w:rPr>
            </w:pPr>
            <w:r>
              <w:rPr>
                <w:rFonts w:cs="Calibri"/>
                <w:color w:val="006100"/>
              </w:rPr>
              <w:t>-6,3%</w:t>
            </w:r>
          </w:p>
        </w:tc>
      </w:tr>
      <w:tr w:rsidR="001857E7" w:rsidRPr="00D44AA7" w14:paraId="6DB2E60E"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08DA5FB" w14:textId="77777777" w:rsidR="001857E7" w:rsidRPr="00D44AA7" w:rsidRDefault="001857E7" w:rsidP="001857E7">
            <w:pPr>
              <w:spacing w:after="0" w:line="240" w:lineRule="auto"/>
              <w:contextualSpacing/>
              <w:rPr>
                <w:rFonts w:cs="Calibri"/>
              </w:rPr>
            </w:pPr>
            <w:r>
              <w:rPr>
                <w:rFonts w:cs="Calibri"/>
              </w:rPr>
              <w:t>Lombardia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5258C5E" w14:textId="77777777" w:rsidR="001857E7" w:rsidRPr="00D44AA7" w:rsidRDefault="001857E7" w:rsidP="001857E7">
            <w:pPr>
              <w:spacing w:after="0" w:line="240" w:lineRule="auto"/>
              <w:contextualSpacing/>
              <w:rPr>
                <w:rFonts w:cs="Calibri"/>
              </w:rPr>
            </w:pPr>
            <w:r>
              <w:rPr>
                <w:rFonts w:cs="Calibri"/>
              </w:rPr>
              <w:t>Varese</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C86A122" w14:textId="77777777" w:rsidR="001857E7" w:rsidRPr="00D44AA7" w:rsidRDefault="001857E7" w:rsidP="001857E7">
            <w:pPr>
              <w:spacing w:after="0" w:line="240" w:lineRule="auto"/>
              <w:contextualSpacing/>
              <w:jc w:val="center"/>
              <w:rPr>
                <w:rFonts w:cs="Calibri"/>
              </w:rPr>
            </w:pPr>
            <w:r>
              <w:rPr>
                <w:rFonts w:cs="Calibri"/>
              </w:rPr>
              <w:t xml:space="preserve">           138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3E0448F" w14:textId="77777777" w:rsidR="001857E7" w:rsidRPr="001857E7" w:rsidRDefault="001857E7" w:rsidP="001857E7">
            <w:pPr>
              <w:spacing w:after="0" w:line="240" w:lineRule="auto"/>
              <w:contextualSpacing/>
              <w:jc w:val="center"/>
              <w:rPr>
                <w:rFonts w:cs="Calibri"/>
                <w:color w:val="006100"/>
              </w:rPr>
            </w:pPr>
            <w:r>
              <w:rPr>
                <w:rFonts w:cs="Calibri"/>
                <w:color w:val="006100"/>
              </w:rPr>
              <w:t>-0,6%</w:t>
            </w:r>
          </w:p>
        </w:tc>
      </w:tr>
      <w:tr w:rsidR="001857E7" w:rsidRPr="00D44AA7" w14:paraId="49E0F450"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30AB90" w14:textId="77777777" w:rsidR="001857E7" w:rsidRPr="00D44AA7" w:rsidRDefault="001857E7" w:rsidP="001857E7">
            <w:pPr>
              <w:spacing w:after="0" w:line="240" w:lineRule="auto"/>
              <w:contextualSpacing/>
              <w:rPr>
                <w:rFonts w:cs="Calibri"/>
              </w:rPr>
            </w:pPr>
            <w:r>
              <w:rPr>
                <w:rFonts w:cs="Calibri"/>
              </w:rPr>
              <w:t>Lombardia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326C2E" w14:textId="77777777" w:rsidR="001857E7" w:rsidRPr="00D44AA7" w:rsidRDefault="001857E7" w:rsidP="001857E7">
            <w:pPr>
              <w:spacing w:after="0" w:line="240" w:lineRule="auto"/>
              <w:contextualSpacing/>
              <w:rPr>
                <w:rFonts w:cs="Calibri"/>
              </w:rPr>
            </w:pPr>
            <w:r>
              <w:rPr>
                <w:rFonts w:cs="Calibri"/>
              </w:rPr>
              <w:t>Lecco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6D1BC0" w14:textId="77777777" w:rsidR="001857E7" w:rsidRPr="00D44AA7" w:rsidRDefault="001857E7" w:rsidP="001857E7">
            <w:pPr>
              <w:spacing w:after="0" w:line="240" w:lineRule="auto"/>
              <w:contextualSpacing/>
              <w:jc w:val="center"/>
              <w:rPr>
                <w:rFonts w:cs="Calibri"/>
              </w:rPr>
            </w:pPr>
            <w:r>
              <w:rPr>
                <w:rFonts w:cs="Calibri"/>
              </w:rPr>
              <w:t xml:space="preserve">           133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ECE42AD" w14:textId="77777777" w:rsidR="001857E7" w:rsidRPr="001857E7" w:rsidRDefault="001857E7" w:rsidP="001857E7">
            <w:pPr>
              <w:spacing w:after="0" w:line="240" w:lineRule="auto"/>
              <w:contextualSpacing/>
              <w:jc w:val="center"/>
              <w:rPr>
                <w:rFonts w:cs="Calibri"/>
                <w:color w:val="006100"/>
              </w:rPr>
            </w:pPr>
            <w:r>
              <w:rPr>
                <w:rFonts w:cs="Calibri"/>
                <w:color w:val="006100"/>
              </w:rPr>
              <w:t>-0,4%</w:t>
            </w:r>
          </w:p>
        </w:tc>
      </w:tr>
      <w:tr w:rsidR="001857E7" w:rsidRPr="00D44AA7" w14:paraId="52C9AA7B"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097881" w14:textId="77777777" w:rsidR="001857E7" w:rsidRPr="00D44AA7" w:rsidRDefault="001857E7" w:rsidP="001857E7">
            <w:pPr>
              <w:spacing w:after="0" w:line="240" w:lineRule="auto"/>
              <w:contextualSpacing/>
              <w:rPr>
                <w:rFonts w:cs="Calibri"/>
              </w:rPr>
            </w:pPr>
            <w:r>
              <w:rPr>
                <w:rFonts w:cs="Calibri"/>
              </w:rPr>
              <w:t>Lombardia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460C5BA" w14:textId="77777777" w:rsidR="001857E7" w:rsidRPr="00D44AA7" w:rsidRDefault="001857E7" w:rsidP="001857E7">
            <w:pPr>
              <w:spacing w:after="0" w:line="240" w:lineRule="auto"/>
              <w:contextualSpacing/>
              <w:rPr>
                <w:rFonts w:cs="Calibri"/>
              </w:rPr>
            </w:pPr>
            <w:r>
              <w:rPr>
                <w:rFonts w:cs="Calibri"/>
              </w:rPr>
              <w:t>Cremona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F8E5ABE" w14:textId="77777777" w:rsidR="001857E7" w:rsidRPr="00D44AA7" w:rsidRDefault="001857E7" w:rsidP="001857E7">
            <w:pPr>
              <w:spacing w:after="0" w:line="240" w:lineRule="auto"/>
              <w:contextualSpacing/>
              <w:jc w:val="center"/>
              <w:rPr>
                <w:rFonts w:cs="Calibri"/>
              </w:rPr>
            </w:pPr>
            <w:r>
              <w:rPr>
                <w:rFonts w:cs="Calibri"/>
              </w:rPr>
              <w:t xml:space="preserve">           132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33C13A0" w14:textId="77777777" w:rsidR="001857E7" w:rsidRPr="001857E7" w:rsidRDefault="001857E7" w:rsidP="001857E7">
            <w:pPr>
              <w:spacing w:after="0" w:line="240" w:lineRule="auto"/>
              <w:contextualSpacing/>
              <w:jc w:val="center"/>
              <w:rPr>
                <w:rFonts w:cs="Calibri"/>
                <w:color w:val="006100"/>
              </w:rPr>
            </w:pPr>
            <w:r>
              <w:rPr>
                <w:rFonts w:cs="Calibri"/>
                <w:color w:val="9C0006"/>
              </w:rPr>
              <w:t>8,4%</w:t>
            </w:r>
          </w:p>
        </w:tc>
      </w:tr>
      <w:tr w:rsidR="001857E7" w:rsidRPr="00D44AA7" w14:paraId="3A6BF042"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D9E03DB" w14:textId="77777777" w:rsidR="001857E7" w:rsidRPr="00D44AA7" w:rsidRDefault="001857E7" w:rsidP="001857E7">
            <w:pPr>
              <w:spacing w:after="0" w:line="240" w:lineRule="auto"/>
              <w:contextualSpacing/>
              <w:rPr>
                <w:rFonts w:cs="Calibri"/>
              </w:rPr>
            </w:pPr>
            <w:r>
              <w:rPr>
                <w:rFonts w:cs="Calibri"/>
              </w:rPr>
              <w:t>Lombardia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206B3DC" w14:textId="77777777" w:rsidR="001857E7" w:rsidRPr="00D44AA7" w:rsidRDefault="001857E7" w:rsidP="001857E7">
            <w:pPr>
              <w:spacing w:after="0" w:line="240" w:lineRule="auto"/>
              <w:contextualSpacing/>
              <w:rPr>
                <w:rFonts w:cs="Calibri"/>
              </w:rPr>
            </w:pPr>
            <w:r>
              <w:rPr>
                <w:rFonts w:cs="Calibri"/>
              </w:rPr>
              <w:t>Lodi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2EEDD0" w14:textId="77777777" w:rsidR="001857E7" w:rsidRPr="00D44AA7" w:rsidRDefault="001857E7" w:rsidP="001857E7">
            <w:pPr>
              <w:spacing w:after="0" w:line="240" w:lineRule="auto"/>
              <w:contextualSpacing/>
              <w:jc w:val="center"/>
              <w:rPr>
                <w:rFonts w:cs="Calibri"/>
              </w:rPr>
            </w:pPr>
            <w:r>
              <w:rPr>
                <w:rFonts w:cs="Calibri"/>
              </w:rPr>
              <w:t xml:space="preserve">           131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1663E2C" w14:textId="77777777" w:rsidR="001857E7" w:rsidRPr="001857E7" w:rsidRDefault="001857E7" w:rsidP="001857E7">
            <w:pPr>
              <w:spacing w:after="0" w:line="240" w:lineRule="auto"/>
              <w:contextualSpacing/>
              <w:jc w:val="center"/>
              <w:rPr>
                <w:rFonts w:cs="Calibri"/>
                <w:color w:val="006100"/>
              </w:rPr>
            </w:pPr>
            <w:r>
              <w:rPr>
                <w:rFonts w:cs="Calibri"/>
                <w:color w:val="006100"/>
              </w:rPr>
              <w:t>-15,1%</w:t>
            </w:r>
          </w:p>
        </w:tc>
      </w:tr>
      <w:tr w:rsidR="001857E7" w:rsidRPr="00D44AA7" w14:paraId="3163D1AA"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9ECD863" w14:textId="77777777" w:rsidR="001857E7" w:rsidRPr="00D44AA7" w:rsidRDefault="001857E7" w:rsidP="001857E7">
            <w:pPr>
              <w:spacing w:after="0" w:line="240" w:lineRule="auto"/>
              <w:contextualSpacing/>
              <w:rPr>
                <w:rFonts w:cs="Calibri"/>
              </w:rPr>
            </w:pPr>
            <w:r>
              <w:rPr>
                <w:rFonts w:cs="Calibri"/>
              </w:rPr>
              <w:t>Lombardia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E362195" w14:textId="77777777" w:rsidR="001857E7" w:rsidRPr="00D44AA7" w:rsidRDefault="001857E7" w:rsidP="001857E7">
            <w:pPr>
              <w:spacing w:after="0" w:line="240" w:lineRule="auto"/>
              <w:contextualSpacing/>
              <w:rPr>
                <w:rFonts w:cs="Calibri"/>
              </w:rPr>
            </w:pPr>
            <w:r>
              <w:rPr>
                <w:rFonts w:cs="Calibri"/>
              </w:rPr>
              <w:t>Mantova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DB3463E" w14:textId="77777777" w:rsidR="001857E7" w:rsidRPr="00D44AA7" w:rsidRDefault="001857E7" w:rsidP="001857E7">
            <w:pPr>
              <w:spacing w:after="0" w:line="240" w:lineRule="auto"/>
              <w:contextualSpacing/>
              <w:jc w:val="center"/>
              <w:rPr>
                <w:rFonts w:cs="Calibri"/>
              </w:rPr>
            </w:pPr>
            <w:r>
              <w:rPr>
                <w:rFonts w:cs="Calibri"/>
              </w:rPr>
              <w:t xml:space="preserve">           125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19A8EC4" w14:textId="77777777" w:rsidR="001857E7" w:rsidRPr="001857E7" w:rsidRDefault="001857E7" w:rsidP="001857E7">
            <w:pPr>
              <w:spacing w:after="0" w:line="240" w:lineRule="auto"/>
              <w:contextualSpacing/>
              <w:jc w:val="center"/>
              <w:rPr>
                <w:rFonts w:cs="Calibri"/>
                <w:color w:val="006100"/>
              </w:rPr>
            </w:pPr>
            <w:r>
              <w:rPr>
                <w:rFonts w:cs="Calibri"/>
                <w:color w:val="006100"/>
              </w:rPr>
              <w:t>-7,5%</w:t>
            </w:r>
          </w:p>
        </w:tc>
      </w:tr>
      <w:tr w:rsidR="001857E7" w:rsidRPr="00D44AA7" w14:paraId="4D43DBEA"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6F4624" w14:textId="77777777" w:rsidR="001857E7" w:rsidRPr="00D44AA7" w:rsidRDefault="001857E7" w:rsidP="001857E7">
            <w:pPr>
              <w:spacing w:after="0" w:line="240" w:lineRule="auto"/>
              <w:contextualSpacing/>
              <w:rPr>
                <w:rFonts w:cs="Calibri"/>
              </w:rPr>
            </w:pPr>
            <w:r>
              <w:rPr>
                <w:rFonts w:cs="Calibri"/>
              </w:rPr>
              <w:t>Lombardia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0E2B5B0" w14:textId="77777777" w:rsidR="001857E7" w:rsidRPr="00D44AA7" w:rsidRDefault="001857E7" w:rsidP="001857E7">
            <w:pPr>
              <w:spacing w:after="0" w:line="240" w:lineRule="auto"/>
              <w:contextualSpacing/>
              <w:rPr>
                <w:rFonts w:cs="Calibri"/>
              </w:rPr>
            </w:pPr>
            <w:r>
              <w:rPr>
                <w:rFonts w:cs="Calibri"/>
              </w:rPr>
              <w:t>Sondrio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60D5E9" w14:textId="77777777" w:rsidR="001857E7" w:rsidRPr="00D44AA7" w:rsidRDefault="001857E7" w:rsidP="001857E7">
            <w:pPr>
              <w:spacing w:after="0" w:line="240" w:lineRule="auto"/>
              <w:contextualSpacing/>
              <w:jc w:val="center"/>
              <w:rPr>
                <w:rFonts w:cs="Calibri"/>
              </w:rPr>
            </w:pPr>
            <w:r>
              <w:rPr>
                <w:rFonts w:cs="Calibri"/>
              </w:rPr>
              <w:t xml:space="preserve">              98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1FB3597" w14:textId="77777777" w:rsidR="001857E7" w:rsidRPr="001857E7" w:rsidRDefault="001857E7" w:rsidP="001857E7">
            <w:pPr>
              <w:spacing w:after="0" w:line="240" w:lineRule="auto"/>
              <w:contextualSpacing/>
              <w:jc w:val="center"/>
              <w:rPr>
                <w:rFonts w:cs="Calibri"/>
                <w:color w:val="006100"/>
              </w:rPr>
            </w:pPr>
            <w:r>
              <w:rPr>
                <w:rFonts w:cs="Calibri"/>
                <w:color w:val="006100"/>
              </w:rPr>
              <w:t>-23,2%</w:t>
            </w:r>
          </w:p>
        </w:tc>
      </w:tr>
      <w:tr w:rsidR="001857E7" w:rsidRPr="00D44AA7" w14:paraId="0A48A9F0"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F5875CD" w14:textId="77777777" w:rsidR="001857E7" w:rsidRPr="00D44AA7" w:rsidRDefault="001857E7" w:rsidP="001857E7">
            <w:pPr>
              <w:spacing w:after="0" w:line="240" w:lineRule="auto"/>
              <w:contextualSpacing/>
              <w:rPr>
                <w:rFonts w:cs="Calibri"/>
              </w:rPr>
            </w:pPr>
            <w:r>
              <w:rPr>
                <w:rFonts w:cs="Calibri"/>
              </w:rPr>
              <w:t>Lombardia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FAC127D" w14:textId="77777777" w:rsidR="001857E7" w:rsidRPr="00D44AA7" w:rsidRDefault="001857E7" w:rsidP="001857E7">
            <w:pPr>
              <w:spacing w:after="0" w:line="240" w:lineRule="auto"/>
              <w:contextualSpacing/>
              <w:rPr>
                <w:rFonts w:cs="Calibri"/>
              </w:rPr>
            </w:pPr>
            <w:r>
              <w:rPr>
                <w:rFonts w:cs="Calibri"/>
              </w:rPr>
              <w:t>Bergamo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74E1728" w14:textId="77777777" w:rsidR="001857E7" w:rsidRPr="00D44AA7" w:rsidRDefault="001857E7" w:rsidP="001857E7">
            <w:pPr>
              <w:spacing w:after="0" w:line="240" w:lineRule="auto"/>
              <w:contextualSpacing/>
              <w:jc w:val="center"/>
              <w:rPr>
                <w:rFonts w:cs="Calibri"/>
              </w:rPr>
            </w:pPr>
            <w:r>
              <w:rPr>
                <w:rFonts w:cs="Calibri"/>
              </w:rPr>
              <w:t xml:space="preserve">              86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9DB39E4" w14:textId="77777777" w:rsidR="001857E7" w:rsidRPr="001857E7" w:rsidRDefault="001857E7" w:rsidP="001857E7">
            <w:pPr>
              <w:spacing w:after="0" w:line="240" w:lineRule="auto"/>
              <w:contextualSpacing/>
              <w:jc w:val="center"/>
              <w:rPr>
                <w:rFonts w:cs="Calibri"/>
                <w:color w:val="006100"/>
              </w:rPr>
            </w:pPr>
            <w:r>
              <w:rPr>
                <w:rFonts w:cs="Calibri"/>
                <w:color w:val="006100"/>
              </w:rPr>
              <w:t>-15,8%</w:t>
            </w:r>
          </w:p>
        </w:tc>
      </w:tr>
      <w:tr w:rsidR="001857E7" w:rsidRPr="00D44AA7" w14:paraId="0460A0F8"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AC01F4" w14:textId="77777777" w:rsidR="001857E7" w:rsidRPr="00D44AA7" w:rsidRDefault="001857E7" w:rsidP="001857E7">
            <w:pPr>
              <w:spacing w:after="0" w:line="240" w:lineRule="auto"/>
              <w:contextualSpacing/>
              <w:rPr>
                <w:rFonts w:cs="Calibri"/>
              </w:rPr>
            </w:pPr>
            <w:r>
              <w:rPr>
                <w:rFonts w:cs="Calibri"/>
              </w:rPr>
              <w:t>Marche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1D3B61A" w14:textId="77777777" w:rsidR="001857E7" w:rsidRPr="00D44AA7" w:rsidRDefault="001857E7" w:rsidP="001857E7">
            <w:pPr>
              <w:spacing w:after="0" w:line="240" w:lineRule="auto"/>
              <w:contextualSpacing/>
              <w:rPr>
                <w:rFonts w:cs="Calibri"/>
              </w:rPr>
            </w:pPr>
            <w:r>
              <w:rPr>
                <w:rFonts w:cs="Calibri"/>
              </w:rPr>
              <w:t>Ancona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FDA95C" w14:textId="77777777" w:rsidR="001857E7" w:rsidRPr="00D44AA7" w:rsidRDefault="001857E7" w:rsidP="001857E7">
            <w:pPr>
              <w:spacing w:after="0" w:line="240" w:lineRule="auto"/>
              <w:contextualSpacing/>
              <w:jc w:val="center"/>
              <w:rPr>
                <w:rFonts w:cs="Calibri"/>
              </w:rPr>
            </w:pPr>
            <w:r>
              <w:rPr>
                <w:rFonts w:cs="Calibri"/>
              </w:rPr>
              <w:t xml:space="preserve">           202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B5704D0" w14:textId="77777777" w:rsidR="001857E7" w:rsidRPr="001857E7" w:rsidRDefault="001857E7" w:rsidP="001857E7">
            <w:pPr>
              <w:spacing w:after="0" w:line="240" w:lineRule="auto"/>
              <w:contextualSpacing/>
              <w:jc w:val="center"/>
              <w:rPr>
                <w:rFonts w:cs="Calibri"/>
                <w:color w:val="006100"/>
              </w:rPr>
            </w:pPr>
            <w:r>
              <w:rPr>
                <w:rFonts w:cs="Calibri"/>
                <w:color w:val="006100"/>
              </w:rPr>
              <w:t>-7,4%</w:t>
            </w:r>
          </w:p>
        </w:tc>
      </w:tr>
      <w:tr w:rsidR="001857E7" w:rsidRPr="00D44AA7" w14:paraId="4860D354"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A0BF1E2" w14:textId="77777777" w:rsidR="001857E7" w:rsidRPr="00D44AA7" w:rsidRDefault="001857E7" w:rsidP="001857E7">
            <w:pPr>
              <w:spacing w:after="0" w:line="240" w:lineRule="auto"/>
              <w:contextualSpacing/>
              <w:rPr>
                <w:rFonts w:cs="Calibri"/>
              </w:rPr>
            </w:pPr>
            <w:r>
              <w:rPr>
                <w:rFonts w:cs="Calibri"/>
              </w:rPr>
              <w:t>Marche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4B2FE4" w14:textId="77777777" w:rsidR="001857E7" w:rsidRPr="00D44AA7" w:rsidRDefault="001857E7" w:rsidP="001857E7">
            <w:pPr>
              <w:spacing w:after="0" w:line="240" w:lineRule="auto"/>
              <w:contextualSpacing/>
              <w:rPr>
                <w:rFonts w:cs="Calibri"/>
              </w:rPr>
            </w:pPr>
            <w:r>
              <w:rPr>
                <w:rFonts w:cs="Calibri"/>
              </w:rPr>
              <w:t>Macerata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A78E790" w14:textId="77777777" w:rsidR="001857E7" w:rsidRPr="00D44AA7" w:rsidRDefault="001857E7" w:rsidP="001857E7">
            <w:pPr>
              <w:spacing w:after="0" w:line="240" w:lineRule="auto"/>
              <w:contextualSpacing/>
              <w:jc w:val="center"/>
              <w:rPr>
                <w:rFonts w:cs="Calibri"/>
              </w:rPr>
            </w:pPr>
            <w:r>
              <w:rPr>
                <w:rFonts w:cs="Calibri"/>
              </w:rPr>
              <w:t xml:space="preserve">           191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B585FD2" w14:textId="77777777" w:rsidR="001857E7" w:rsidRPr="001857E7" w:rsidRDefault="001857E7" w:rsidP="001857E7">
            <w:pPr>
              <w:spacing w:after="0" w:line="240" w:lineRule="auto"/>
              <w:contextualSpacing/>
              <w:jc w:val="center"/>
              <w:rPr>
                <w:rFonts w:cs="Calibri"/>
                <w:color w:val="006100"/>
              </w:rPr>
            </w:pPr>
            <w:r>
              <w:rPr>
                <w:rFonts w:cs="Calibri"/>
                <w:color w:val="006100"/>
              </w:rPr>
              <w:t>-12,0%</w:t>
            </w:r>
          </w:p>
        </w:tc>
      </w:tr>
      <w:tr w:rsidR="001857E7" w:rsidRPr="00D44AA7" w14:paraId="6F5D3ACC"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59827C4" w14:textId="77777777" w:rsidR="001857E7" w:rsidRPr="00D44AA7" w:rsidRDefault="001857E7" w:rsidP="001857E7">
            <w:pPr>
              <w:spacing w:after="0" w:line="240" w:lineRule="auto"/>
              <w:contextualSpacing/>
              <w:rPr>
                <w:rFonts w:cs="Calibri"/>
              </w:rPr>
            </w:pPr>
            <w:r>
              <w:rPr>
                <w:rFonts w:cs="Calibri"/>
              </w:rPr>
              <w:t>Marche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93A5368" w14:textId="77777777" w:rsidR="001857E7" w:rsidRPr="00D44AA7" w:rsidRDefault="001857E7" w:rsidP="001857E7">
            <w:pPr>
              <w:spacing w:after="0" w:line="240" w:lineRule="auto"/>
              <w:contextualSpacing/>
              <w:rPr>
                <w:rFonts w:cs="Calibri"/>
              </w:rPr>
            </w:pPr>
            <w:r>
              <w:rPr>
                <w:rFonts w:cs="Calibri"/>
              </w:rPr>
              <w:t>Ascoli Piceno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D9EA861" w14:textId="77777777" w:rsidR="001857E7" w:rsidRPr="00D44AA7" w:rsidRDefault="001857E7" w:rsidP="001857E7">
            <w:pPr>
              <w:spacing w:after="0" w:line="240" w:lineRule="auto"/>
              <w:contextualSpacing/>
              <w:jc w:val="center"/>
              <w:rPr>
                <w:rFonts w:cs="Calibri"/>
              </w:rPr>
            </w:pPr>
            <w:r>
              <w:rPr>
                <w:rFonts w:cs="Calibri"/>
              </w:rPr>
              <w:t xml:space="preserve">           170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AAE64C8" w14:textId="77777777" w:rsidR="001857E7" w:rsidRPr="001857E7" w:rsidRDefault="001857E7" w:rsidP="001857E7">
            <w:pPr>
              <w:spacing w:after="0" w:line="240" w:lineRule="auto"/>
              <w:contextualSpacing/>
              <w:jc w:val="center"/>
              <w:rPr>
                <w:rFonts w:cs="Calibri"/>
                <w:color w:val="006100"/>
              </w:rPr>
            </w:pPr>
            <w:r>
              <w:rPr>
                <w:rFonts w:cs="Calibri"/>
                <w:color w:val="006100"/>
              </w:rPr>
              <w:t>-24,8%</w:t>
            </w:r>
          </w:p>
        </w:tc>
      </w:tr>
      <w:tr w:rsidR="001857E7" w:rsidRPr="00D44AA7" w14:paraId="6FBD0080"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A5A4C2" w14:textId="77777777" w:rsidR="001857E7" w:rsidRPr="00D44AA7" w:rsidRDefault="001857E7" w:rsidP="001857E7">
            <w:pPr>
              <w:spacing w:after="0" w:line="240" w:lineRule="auto"/>
              <w:contextualSpacing/>
              <w:rPr>
                <w:rFonts w:cs="Calibri"/>
              </w:rPr>
            </w:pPr>
            <w:r>
              <w:rPr>
                <w:rFonts w:cs="Calibri"/>
              </w:rPr>
              <w:t>Marche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BAEA208" w14:textId="77777777" w:rsidR="001857E7" w:rsidRPr="00D44AA7" w:rsidRDefault="001857E7" w:rsidP="001857E7">
            <w:pPr>
              <w:spacing w:after="0" w:line="240" w:lineRule="auto"/>
              <w:contextualSpacing/>
              <w:rPr>
                <w:rFonts w:cs="Calibri"/>
              </w:rPr>
            </w:pPr>
            <w:r>
              <w:rPr>
                <w:rFonts w:cs="Calibri"/>
              </w:rPr>
              <w:t>Fermo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8AFAE6" w14:textId="77777777" w:rsidR="001857E7" w:rsidRPr="00D44AA7" w:rsidRDefault="001857E7" w:rsidP="001857E7">
            <w:pPr>
              <w:spacing w:after="0" w:line="240" w:lineRule="auto"/>
              <w:contextualSpacing/>
              <w:jc w:val="center"/>
              <w:rPr>
                <w:rFonts w:cs="Calibri"/>
              </w:rPr>
            </w:pPr>
            <w:r>
              <w:rPr>
                <w:rFonts w:cs="Calibri"/>
              </w:rPr>
              <w:t xml:space="preserve">           160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FC83C44" w14:textId="77777777" w:rsidR="001857E7" w:rsidRPr="001857E7" w:rsidRDefault="001857E7" w:rsidP="001857E7">
            <w:pPr>
              <w:spacing w:after="0" w:line="240" w:lineRule="auto"/>
              <w:contextualSpacing/>
              <w:jc w:val="center"/>
              <w:rPr>
                <w:rFonts w:cs="Calibri"/>
                <w:color w:val="006100"/>
              </w:rPr>
            </w:pPr>
            <w:r>
              <w:rPr>
                <w:rFonts w:cs="Calibri"/>
                <w:color w:val="006100"/>
              </w:rPr>
              <w:t>-31,1%</w:t>
            </w:r>
          </w:p>
        </w:tc>
      </w:tr>
      <w:tr w:rsidR="001857E7" w:rsidRPr="00D44AA7" w14:paraId="03DBEA9D"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C91BD2" w14:textId="77777777" w:rsidR="001857E7" w:rsidRPr="00D44AA7" w:rsidRDefault="001857E7" w:rsidP="001857E7">
            <w:pPr>
              <w:spacing w:after="0" w:line="240" w:lineRule="auto"/>
              <w:contextualSpacing/>
              <w:rPr>
                <w:rFonts w:cs="Calibri"/>
              </w:rPr>
            </w:pPr>
            <w:r>
              <w:rPr>
                <w:rFonts w:cs="Calibri"/>
              </w:rPr>
              <w:t>Marche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3D21B9" w14:textId="77777777" w:rsidR="001857E7" w:rsidRPr="00D44AA7" w:rsidRDefault="001857E7" w:rsidP="001857E7">
            <w:pPr>
              <w:spacing w:after="0" w:line="240" w:lineRule="auto"/>
              <w:contextualSpacing/>
              <w:rPr>
                <w:rFonts w:cs="Calibri"/>
              </w:rPr>
            </w:pPr>
            <w:r>
              <w:rPr>
                <w:rFonts w:cs="Calibri"/>
              </w:rPr>
              <w:t>Pesaro e Urbino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A43BFA1" w14:textId="77777777" w:rsidR="001857E7" w:rsidRPr="00D44AA7" w:rsidRDefault="001857E7" w:rsidP="001857E7">
            <w:pPr>
              <w:spacing w:after="0" w:line="240" w:lineRule="auto"/>
              <w:contextualSpacing/>
              <w:jc w:val="center"/>
              <w:rPr>
                <w:rFonts w:cs="Calibri"/>
              </w:rPr>
            </w:pPr>
            <w:r>
              <w:rPr>
                <w:rFonts w:cs="Calibri"/>
              </w:rPr>
              <w:t xml:space="preserve">           140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41B3C0F" w14:textId="77777777" w:rsidR="001857E7" w:rsidRPr="001857E7" w:rsidRDefault="001857E7" w:rsidP="001857E7">
            <w:pPr>
              <w:spacing w:after="0" w:line="240" w:lineRule="auto"/>
              <w:contextualSpacing/>
              <w:jc w:val="center"/>
              <w:rPr>
                <w:rFonts w:cs="Calibri"/>
                <w:color w:val="006100"/>
              </w:rPr>
            </w:pPr>
            <w:r>
              <w:rPr>
                <w:rFonts w:cs="Calibri"/>
                <w:color w:val="006100"/>
              </w:rPr>
              <w:t>-14,5%</w:t>
            </w:r>
          </w:p>
        </w:tc>
      </w:tr>
      <w:tr w:rsidR="001857E7" w:rsidRPr="00D44AA7" w14:paraId="22FA20DF"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6C43060" w14:textId="77777777" w:rsidR="001857E7" w:rsidRPr="00D44AA7" w:rsidRDefault="001857E7" w:rsidP="001857E7">
            <w:pPr>
              <w:spacing w:after="0" w:line="240" w:lineRule="auto"/>
              <w:contextualSpacing/>
              <w:rPr>
                <w:rFonts w:cs="Calibri"/>
              </w:rPr>
            </w:pPr>
            <w:r>
              <w:rPr>
                <w:rFonts w:cs="Calibri"/>
              </w:rPr>
              <w:t>Molise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F809436" w14:textId="77777777" w:rsidR="001857E7" w:rsidRPr="00D44AA7" w:rsidRDefault="001857E7" w:rsidP="001857E7">
            <w:pPr>
              <w:spacing w:after="0" w:line="240" w:lineRule="auto"/>
              <w:contextualSpacing/>
              <w:rPr>
                <w:rFonts w:cs="Calibri"/>
              </w:rPr>
            </w:pPr>
            <w:r>
              <w:rPr>
                <w:rFonts w:cs="Calibri"/>
              </w:rPr>
              <w:t>Isernia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C2C472" w14:textId="77777777" w:rsidR="001857E7" w:rsidRPr="00D44AA7" w:rsidRDefault="001857E7" w:rsidP="001857E7">
            <w:pPr>
              <w:spacing w:after="0" w:line="240" w:lineRule="auto"/>
              <w:contextualSpacing/>
              <w:jc w:val="center"/>
              <w:rPr>
                <w:rFonts w:cs="Calibri"/>
              </w:rPr>
            </w:pPr>
            <w:r>
              <w:rPr>
                <w:rFonts w:cs="Calibri"/>
              </w:rPr>
              <w:t xml:space="preserve">           201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4F7014F" w14:textId="77777777" w:rsidR="001857E7" w:rsidRPr="001857E7" w:rsidRDefault="001857E7" w:rsidP="001857E7">
            <w:pPr>
              <w:spacing w:after="0" w:line="240" w:lineRule="auto"/>
              <w:contextualSpacing/>
              <w:jc w:val="center"/>
              <w:rPr>
                <w:rFonts w:cs="Calibri"/>
                <w:color w:val="006100"/>
              </w:rPr>
            </w:pPr>
            <w:r>
              <w:rPr>
                <w:rFonts w:cs="Calibri"/>
                <w:color w:val="9C0006"/>
              </w:rPr>
              <w:t>4,5%</w:t>
            </w:r>
          </w:p>
        </w:tc>
      </w:tr>
      <w:tr w:rsidR="001857E7" w:rsidRPr="00D44AA7" w14:paraId="03EDAD85"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0CBD770" w14:textId="77777777" w:rsidR="001857E7" w:rsidRPr="00D44AA7" w:rsidRDefault="001857E7" w:rsidP="001857E7">
            <w:pPr>
              <w:spacing w:after="0" w:line="240" w:lineRule="auto"/>
              <w:contextualSpacing/>
              <w:rPr>
                <w:rFonts w:cs="Calibri"/>
              </w:rPr>
            </w:pPr>
            <w:r>
              <w:rPr>
                <w:rFonts w:cs="Calibri"/>
              </w:rPr>
              <w:t>Molise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14C804" w14:textId="77777777" w:rsidR="001857E7" w:rsidRPr="00D44AA7" w:rsidRDefault="001857E7" w:rsidP="001857E7">
            <w:pPr>
              <w:spacing w:after="0" w:line="240" w:lineRule="auto"/>
              <w:contextualSpacing/>
              <w:rPr>
                <w:rFonts w:cs="Calibri"/>
              </w:rPr>
            </w:pPr>
            <w:r>
              <w:rPr>
                <w:rFonts w:cs="Calibri"/>
              </w:rPr>
              <w:t>Campobasso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34A23AF" w14:textId="77777777" w:rsidR="001857E7" w:rsidRPr="00D44AA7" w:rsidRDefault="001857E7" w:rsidP="001857E7">
            <w:pPr>
              <w:spacing w:after="0" w:line="240" w:lineRule="auto"/>
              <w:contextualSpacing/>
              <w:jc w:val="center"/>
              <w:rPr>
                <w:rFonts w:cs="Calibri"/>
              </w:rPr>
            </w:pPr>
            <w:r>
              <w:rPr>
                <w:rFonts w:cs="Calibri"/>
              </w:rPr>
              <w:t xml:space="preserve">           177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E47CF6F" w14:textId="77777777" w:rsidR="001857E7" w:rsidRPr="001857E7" w:rsidRDefault="001857E7" w:rsidP="001857E7">
            <w:pPr>
              <w:spacing w:after="0" w:line="240" w:lineRule="auto"/>
              <w:contextualSpacing/>
              <w:jc w:val="center"/>
              <w:rPr>
                <w:rFonts w:cs="Calibri"/>
                <w:color w:val="006100"/>
              </w:rPr>
            </w:pPr>
            <w:r>
              <w:rPr>
                <w:rFonts w:cs="Calibri"/>
                <w:color w:val="006100"/>
              </w:rPr>
              <w:t>-14,5%</w:t>
            </w:r>
          </w:p>
        </w:tc>
      </w:tr>
      <w:tr w:rsidR="001857E7" w:rsidRPr="00D44AA7" w14:paraId="0CD1F6B1"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02672C6" w14:textId="77777777" w:rsidR="001857E7" w:rsidRPr="00D44AA7" w:rsidRDefault="001857E7" w:rsidP="001857E7">
            <w:pPr>
              <w:spacing w:after="0" w:line="240" w:lineRule="auto"/>
              <w:contextualSpacing/>
              <w:rPr>
                <w:rFonts w:cs="Calibri"/>
              </w:rPr>
            </w:pPr>
            <w:r>
              <w:rPr>
                <w:rFonts w:cs="Calibri"/>
              </w:rPr>
              <w:t>P.A. Bolzano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E0DFD41" w14:textId="77777777" w:rsidR="001857E7" w:rsidRPr="00D44AA7" w:rsidRDefault="001857E7" w:rsidP="001857E7">
            <w:pPr>
              <w:spacing w:after="0" w:line="240" w:lineRule="auto"/>
              <w:contextualSpacing/>
              <w:rPr>
                <w:rFonts w:cs="Calibri"/>
              </w:rPr>
            </w:pPr>
            <w:r>
              <w:rPr>
                <w:rFonts w:cs="Calibri"/>
              </w:rPr>
              <w:t>Bolzano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9B992F6" w14:textId="77777777" w:rsidR="001857E7" w:rsidRPr="00D44AA7" w:rsidRDefault="001857E7" w:rsidP="001857E7">
            <w:pPr>
              <w:spacing w:after="0" w:line="240" w:lineRule="auto"/>
              <w:contextualSpacing/>
              <w:jc w:val="center"/>
              <w:rPr>
                <w:rFonts w:cs="Calibri"/>
              </w:rPr>
            </w:pPr>
            <w:r>
              <w:rPr>
                <w:rFonts w:cs="Calibri"/>
              </w:rPr>
              <w:t xml:space="preserve">           151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F47B405" w14:textId="77777777" w:rsidR="001857E7" w:rsidRPr="001857E7" w:rsidRDefault="001857E7" w:rsidP="001857E7">
            <w:pPr>
              <w:spacing w:after="0" w:line="240" w:lineRule="auto"/>
              <w:contextualSpacing/>
              <w:jc w:val="center"/>
              <w:rPr>
                <w:rFonts w:cs="Calibri"/>
                <w:color w:val="006100"/>
              </w:rPr>
            </w:pPr>
            <w:r>
              <w:rPr>
                <w:rFonts w:cs="Calibri"/>
                <w:color w:val="006100"/>
              </w:rPr>
              <w:t>-17,9%</w:t>
            </w:r>
          </w:p>
        </w:tc>
      </w:tr>
      <w:tr w:rsidR="001857E7" w:rsidRPr="00D44AA7" w14:paraId="3514DB3D"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F193BA" w14:textId="77777777" w:rsidR="001857E7" w:rsidRPr="00D44AA7" w:rsidRDefault="001857E7" w:rsidP="001857E7">
            <w:pPr>
              <w:spacing w:after="0" w:line="240" w:lineRule="auto"/>
              <w:contextualSpacing/>
              <w:rPr>
                <w:rFonts w:cs="Calibri"/>
              </w:rPr>
            </w:pPr>
            <w:r>
              <w:rPr>
                <w:rFonts w:cs="Calibri"/>
              </w:rPr>
              <w:t>P.A. Trento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BD45F2" w14:textId="77777777" w:rsidR="001857E7" w:rsidRPr="00D44AA7" w:rsidRDefault="001857E7" w:rsidP="001857E7">
            <w:pPr>
              <w:spacing w:after="0" w:line="240" w:lineRule="auto"/>
              <w:contextualSpacing/>
              <w:rPr>
                <w:rFonts w:cs="Calibri"/>
              </w:rPr>
            </w:pPr>
            <w:r>
              <w:rPr>
                <w:rFonts w:cs="Calibri"/>
              </w:rPr>
              <w:t>Trento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3314D06" w14:textId="77777777" w:rsidR="001857E7" w:rsidRPr="00D44AA7" w:rsidRDefault="001857E7" w:rsidP="001857E7">
            <w:pPr>
              <w:spacing w:after="0" w:line="240" w:lineRule="auto"/>
              <w:contextualSpacing/>
              <w:jc w:val="center"/>
              <w:rPr>
                <w:rFonts w:cs="Calibri"/>
              </w:rPr>
            </w:pPr>
            <w:r>
              <w:rPr>
                <w:rFonts w:cs="Calibri"/>
              </w:rPr>
              <w:t xml:space="preserve">           136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564BF89" w14:textId="77777777" w:rsidR="001857E7" w:rsidRPr="001857E7" w:rsidRDefault="001857E7" w:rsidP="001857E7">
            <w:pPr>
              <w:spacing w:after="0" w:line="240" w:lineRule="auto"/>
              <w:contextualSpacing/>
              <w:jc w:val="center"/>
              <w:rPr>
                <w:rFonts w:cs="Calibri"/>
                <w:color w:val="006100"/>
              </w:rPr>
            </w:pPr>
            <w:r>
              <w:rPr>
                <w:rFonts w:cs="Calibri"/>
                <w:color w:val="006100"/>
              </w:rPr>
              <w:t>-16,0%</w:t>
            </w:r>
          </w:p>
        </w:tc>
      </w:tr>
      <w:tr w:rsidR="001857E7" w:rsidRPr="00D44AA7" w14:paraId="6F444E8A" w14:textId="77777777" w:rsidTr="00A3467B">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C2B7F5C" w14:textId="77777777" w:rsidR="001857E7" w:rsidRPr="00D44AA7" w:rsidRDefault="001857E7" w:rsidP="001857E7">
            <w:pPr>
              <w:spacing w:after="0" w:line="240" w:lineRule="auto"/>
              <w:contextualSpacing/>
              <w:rPr>
                <w:rFonts w:cs="Calibri"/>
              </w:rPr>
            </w:pPr>
            <w:r>
              <w:rPr>
                <w:rFonts w:cs="Calibri"/>
              </w:rPr>
              <w:t>Piemonte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C1E236" w14:textId="77777777" w:rsidR="001857E7" w:rsidRPr="00D44AA7" w:rsidRDefault="001857E7" w:rsidP="001857E7">
            <w:pPr>
              <w:spacing w:after="0" w:line="240" w:lineRule="auto"/>
              <w:contextualSpacing/>
              <w:rPr>
                <w:rFonts w:cs="Calibri"/>
              </w:rPr>
            </w:pPr>
            <w:r>
              <w:rPr>
                <w:rFonts w:cs="Calibri"/>
              </w:rPr>
              <w:t>Biella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0FF9C6" w14:textId="77777777" w:rsidR="001857E7" w:rsidRPr="00D44AA7" w:rsidRDefault="001857E7" w:rsidP="001857E7">
            <w:pPr>
              <w:spacing w:after="0" w:line="240" w:lineRule="auto"/>
              <w:contextualSpacing/>
              <w:jc w:val="center"/>
              <w:rPr>
                <w:rFonts w:cs="Calibri"/>
              </w:rPr>
            </w:pPr>
            <w:r>
              <w:rPr>
                <w:rFonts w:cs="Calibri"/>
              </w:rPr>
              <w:t xml:space="preserve">           160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7EDF7B3" w14:textId="77777777" w:rsidR="001857E7" w:rsidRPr="001857E7" w:rsidRDefault="001857E7" w:rsidP="001857E7">
            <w:pPr>
              <w:spacing w:after="0" w:line="240" w:lineRule="auto"/>
              <w:contextualSpacing/>
              <w:jc w:val="center"/>
              <w:rPr>
                <w:rFonts w:cs="Calibri"/>
                <w:color w:val="006100"/>
              </w:rPr>
            </w:pPr>
            <w:r>
              <w:rPr>
                <w:rFonts w:cs="Calibri"/>
                <w:color w:val="006100"/>
              </w:rPr>
              <w:t>-5,2%</w:t>
            </w:r>
          </w:p>
        </w:tc>
      </w:tr>
      <w:tr w:rsidR="001857E7" w:rsidRPr="00D44AA7" w14:paraId="7BDC8EE4"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85ED09" w14:textId="77777777" w:rsidR="001857E7" w:rsidRPr="00D44AA7" w:rsidRDefault="001857E7" w:rsidP="001857E7">
            <w:pPr>
              <w:spacing w:after="0" w:line="240" w:lineRule="auto"/>
              <w:contextualSpacing/>
              <w:rPr>
                <w:rFonts w:cs="Calibri"/>
              </w:rPr>
            </w:pPr>
            <w:r>
              <w:rPr>
                <w:rFonts w:cs="Calibri"/>
              </w:rPr>
              <w:t>Piemonte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EE33122" w14:textId="77777777" w:rsidR="001857E7" w:rsidRPr="00D44AA7" w:rsidRDefault="001857E7" w:rsidP="001857E7">
            <w:pPr>
              <w:spacing w:after="0" w:line="240" w:lineRule="auto"/>
              <w:contextualSpacing/>
              <w:rPr>
                <w:rFonts w:cs="Calibri"/>
              </w:rPr>
            </w:pPr>
            <w:r>
              <w:rPr>
                <w:rFonts w:cs="Calibri"/>
              </w:rPr>
              <w:t>Torino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CE0CE67" w14:textId="77777777" w:rsidR="001857E7" w:rsidRPr="00D44AA7" w:rsidRDefault="001857E7" w:rsidP="001857E7">
            <w:pPr>
              <w:spacing w:after="0" w:line="240" w:lineRule="auto"/>
              <w:contextualSpacing/>
              <w:jc w:val="center"/>
              <w:rPr>
                <w:rFonts w:cs="Calibri"/>
              </w:rPr>
            </w:pPr>
            <w:r>
              <w:rPr>
                <w:rFonts w:cs="Calibri"/>
              </w:rPr>
              <w:t xml:space="preserve">           155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75B125E" w14:textId="77777777" w:rsidR="001857E7" w:rsidRPr="001857E7" w:rsidRDefault="001857E7" w:rsidP="001857E7">
            <w:pPr>
              <w:spacing w:after="0" w:line="240" w:lineRule="auto"/>
              <w:contextualSpacing/>
              <w:jc w:val="center"/>
              <w:rPr>
                <w:rFonts w:cs="Calibri"/>
                <w:color w:val="006100"/>
              </w:rPr>
            </w:pPr>
            <w:r>
              <w:rPr>
                <w:rFonts w:cs="Calibri"/>
                <w:color w:val="006100"/>
              </w:rPr>
              <w:t>-9,9%</w:t>
            </w:r>
          </w:p>
        </w:tc>
      </w:tr>
      <w:tr w:rsidR="001857E7" w:rsidRPr="00D44AA7" w14:paraId="110B59CF"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62ACA6" w14:textId="77777777" w:rsidR="001857E7" w:rsidRPr="00D44AA7" w:rsidRDefault="001857E7" w:rsidP="001857E7">
            <w:pPr>
              <w:spacing w:after="0" w:line="240" w:lineRule="auto"/>
              <w:contextualSpacing/>
              <w:rPr>
                <w:rFonts w:cs="Calibri"/>
              </w:rPr>
            </w:pPr>
            <w:r>
              <w:rPr>
                <w:rFonts w:cs="Calibri"/>
              </w:rPr>
              <w:t>Piemonte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8644D3" w14:textId="77777777" w:rsidR="001857E7" w:rsidRPr="00D44AA7" w:rsidRDefault="001857E7" w:rsidP="001857E7">
            <w:pPr>
              <w:spacing w:after="0" w:line="240" w:lineRule="auto"/>
              <w:contextualSpacing/>
              <w:rPr>
                <w:rFonts w:cs="Calibri"/>
              </w:rPr>
            </w:pPr>
            <w:r>
              <w:rPr>
                <w:rFonts w:cs="Calibri"/>
              </w:rPr>
              <w:t>Vercelli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0B61C4" w14:textId="77777777" w:rsidR="001857E7" w:rsidRPr="00D44AA7" w:rsidRDefault="001857E7" w:rsidP="001857E7">
            <w:pPr>
              <w:spacing w:after="0" w:line="240" w:lineRule="auto"/>
              <w:contextualSpacing/>
              <w:jc w:val="center"/>
              <w:rPr>
                <w:rFonts w:cs="Calibri"/>
              </w:rPr>
            </w:pPr>
            <w:r>
              <w:rPr>
                <w:rFonts w:cs="Calibri"/>
              </w:rPr>
              <w:t xml:space="preserve">           137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8B273A6" w14:textId="77777777" w:rsidR="001857E7" w:rsidRPr="001857E7" w:rsidRDefault="001857E7" w:rsidP="001857E7">
            <w:pPr>
              <w:spacing w:after="0" w:line="240" w:lineRule="auto"/>
              <w:contextualSpacing/>
              <w:jc w:val="center"/>
              <w:rPr>
                <w:rFonts w:cs="Calibri"/>
                <w:color w:val="006100"/>
              </w:rPr>
            </w:pPr>
            <w:r>
              <w:rPr>
                <w:rFonts w:cs="Calibri"/>
                <w:color w:val="006100"/>
              </w:rPr>
              <w:t>-13,9%</w:t>
            </w:r>
          </w:p>
        </w:tc>
      </w:tr>
      <w:tr w:rsidR="001857E7" w:rsidRPr="00D44AA7" w14:paraId="4A487A60"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B811E02" w14:textId="77777777" w:rsidR="001857E7" w:rsidRPr="00D44AA7" w:rsidRDefault="001857E7" w:rsidP="001857E7">
            <w:pPr>
              <w:spacing w:after="0" w:line="240" w:lineRule="auto"/>
              <w:contextualSpacing/>
              <w:rPr>
                <w:rFonts w:cs="Calibri"/>
              </w:rPr>
            </w:pPr>
            <w:r>
              <w:rPr>
                <w:rFonts w:cs="Calibri"/>
              </w:rPr>
              <w:t>Piemonte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691B54" w14:textId="77777777" w:rsidR="001857E7" w:rsidRPr="00D44AA7" w:rsidRDefault="001857E7" w:rsidP="001857E7">
            <w:pPr>
              <w:spacing w:after="0" w:line="240" w:lineRule="auto"/>
              <w:contextualSpacing/>
              <w:rPr>
                <w:rFonts w:cs="Calibri"/>
              </w:rPr>
            </w:pPr>
            <w:r>
              <w:rPr>
                <w:rFonts w:cs="Calibri"/>
              </w:rPr>
              <w:t>Cuneo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4A2EE0" w14:textId="77777777" w:rsidR="001857E7" w:rsidRPr="00D44AA7" w:rsidRDefault="001857E7" w:rsidP="001857E7">
            <w:pPr>
              <w:spacing w:after="0" w:line="240" w:lineRule="auto"/>
              <w:contextualSpacing/>
              <w:jc w:val="center"/>
              <w:rPr>
                <w:rFonts w:cs="Calibri"/>
              </w:rPr>
            </w:pPr>
            <w:r>
              <w:rPr>
                <w:rFonts w:cs="Calibri"/>
              </w:rPr>
              <w:t xml:space="preserve">           124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2F4F42F" w14:textId="77777777" w:rsidR="001857E7" w:rsidRPr="001857E7" w:rsidRDefault="001857E7" w:rsidP="001857E7">
            <w:pPr>
              <w:spacing w:after="0" w:line="240" w:lineRule="auto"/>
              <w:contextualSpacing/>
              <w:jc w:val="center"/>
              <w:rPr>
                <w:rFonts w:cs="Calibri"/>
                <w:color w:val="006100"/>
              </w:rPr>
            </w:pPr>
            <w:r>
              <w:rPr>
                <w:rFonts w:cs="Calibri"/>
                <w:color w:val="006100"/>
              </w:rPr>
              <w:t>-11,9%</w:t>
            </w:r>
          </w:p>
        </w:tc>
      </w:tr>
      <w:tr w:rsidR="001857E7" w:rsidRPr="00D44AA7" w14:paraId="029BD9CB"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98BA3C5" w14:textId="77777777" w:rsidR="001857E7" w:rsidRPr="00D44AA7" w:rsidRDefault="001857E7" w:rsidP="001857E7">
            <w:pPr>
              <w:spacing w:after="0" w:line="240" w:lineRule="auto"/>
              <w:contextualSpacing/>
              <w:rPr>
                <w:rFonts w:cs="Calibri"/>
              </w:rPr>
            </w:pPr>
            <w:r>
              <w:rPr>
                <w:rFonts w:cs="Calibri"/>
              </w:rPr>
              <w:t>Piemonte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168FCF" w14:textId="77777777" w:rsidR="001857E7" w:rsidRPr="00D44AA7" w:rsidRDefault="001857E7" w:rsidP="001857E7">
            <w:pPr>
              <w:spacing w:after="0" w:line="240" w:lineRule="auto"/>
              <w:contextualSpacing/>
              <w:rPr>
                <w:rFonts w:cs="Calibri"/>
              </w:rPr>
            </w:pPr>
            <w:r>
              <w:rPr>
                <w:rFonts w:cs="Calibri"/>
              </w:rPr>
              <w:t>Novara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597F0D5" w14:textId="77777777" w:rsidR="001857E7" w:rsidRPr="00D44AA7" w:rsidRDefault="001857E7" w:rsidP="001857E7">
            <w:pPr>
              <w:spacing w:after="0" w:line="240" w:lineRule="auto"/>
              <w:contextualSpacing/>
              <w:jc w:val="center"/>
              <w:rPr>
                <w:rFonts w:cs="Calibri"/>
              </w:rPr>
            </w:pPr>
            <w:r>
              <w:rPr>
                <w:rFonts w:cs="Calibri"/>
              </w:rPr>
              <w:t xml:space="preserve">           118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70FF0626" w14:textId="77777777" w:rsidR="001857E7" w:rsidRPr="001857E7" w:rsidRDefault="001857E7" w:rsidP="001857E7">
            <w:pPr>
              <w:spacing w:after="0" w:line="240" w:lineRule="auto"/>
              <w:contextualSpacing/>
              <w:jc w:val="center"/>
              <w:rPr>
                <w:rFonts w:cs="Calibri"/>
                <w:color w:val="006100"/>
              </w:rPr>
            </w:pPr>
            <w:r>
              <w:rPr>
                <w:rFonts w:cs="Calibri"/>
                <w:color w:val="9C0006"/>
              </w:rPr>
              <w:t>14,4%</w:t>
            </w:r>
          </w:p>
        </w:tc>
      </w:tr>
      <w:tr w:rsidR="001857E7" w:rsidRPr="00D44AA7" w14:paraId="48D11A0E"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FFEE922" w14:textId="77777777" w:rsidR="001857E7" w:rsidRPr="00D44AA7" w:rsidRDefault="001857E7" w:rsidP="001857E7">
            <w:pPr>
              <w:spacing w:after="0" w:line="240" w:lineRule="auto"/>
              <w:contextualSpacing/>
              <w:rPr>
                <w:rFonts w:cs="Calibri"/>
              </w:rPr>
            </w:pPr>
            <w:r>
              <w:rPr>
                <w:rFonts w:cs="Calibri"/>
              </w:rPr>
              <w:t>Piemonte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1429385" w14:textId="77777777" w:rsidR="001857E7" w:rsidRPr="00D44AA7" w:rsidRDefault="001857E7" w:rsidP="001857E7">
            <w:pPr>
              <w:spacing w:after="0" w:line="240" w:lineRule="auto"/>
              <w:contextualSpacing/>
              <w:rPr>
                <w:rFonts w:cs="Calibri"/>
              </w:rPr>
            </w:pPr>
            <w:r>
              <w:rPr>
                <w:rFonts w:cs="Calibri"/>
              </w:rPr>
              <w:t>Verbano-Cusio-Ossola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22241D0" w14:textId="77777777" w:rsidR="001857E7" w:rsidRPr="00D44AA7" w:rsidRDefault="001857E7" w:rsidP="001857E7">
            <w:pPr>
              <w:spacing w:after="0" w:line="240" w:lineRule="auto"/>
              <w:contextualSpacing/>
              <w:jc w:val="center"/>
              <w:rPr>
                <w:rFonts w:cs="Calibri"/>
              </w:rPr>
            </w:pPr>
            <w:r>
              <w:rPr>
                <w:rFonts w:cs="Calibri"/>
              </w:rPr>
              <w:t xml:space="preserve">           117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743A301" w14:textId="77777777" w:rsidR="001857E7" w:rsidRPr="001857E7" w:rsidRDefault="001857E7" w:rsidP="001857E7">
            <w:pPr>
              <w:spacing w:after="0" w:line="240" w:lineRule="auto"/>
              <w:contextualSpacing/>
              <w:jc w:val="center"/>
              <w:rPr>
                <w:rFonts w:cs="Calibri"/>
                <w:color w:val="006100"/>
              </w:rPr>
            </w:pPr>
            <w:r>
              <w:rPr>
                <w:rFonts w:cs="Calibri"/>
                <w:color w:val="006100"/>
              </w:rPr>
              <w:t>-3,2%</w:t>
            </w:r>
          </w:p>
        </w:tc>
      </w:tr>
      <w:tr w:rsidR="001857E7" w:rsidRPr="00D44AA7" w14:paraId="218A958B"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E169DF" w14:textId="77777777" w:rsidR="001857E7" w:rsidRPr="00D44AA7" w:rsidRDefault="001857E7" w:rsidP="001857E7">
            <w:pPr>
              <w:spacing w:after="0" w:line="240" w:lineRule="auto"/>
              <w:contextualSpacing/>
              <w:rPr>
                <w:rFonts w:cs="Calibri"/>
              </w:rPr>
            </w:pPr>
            <w:r>
              <w:rPr>
                <w:rFonts w:cs="Calibri"/>
              </w:rPr>
              <w:t>Piemonte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AA7613D" w14:textId="77777777" w:rsidR="001857E7" w:rsidRPr="00D44AA7" w:rsidRDefault="001857E7" w:rsidP="001857E7">
            <w:pPr>
              <w:spacing w:after="0" w:line="240" w:lineRule="auto"/>
              <w:contextualSpacing/>
              <w:rPr>
                <w:rFonts w:cs="Calibri"/>
              </w:rPr>
            </w:pPr>
            <w:r>
              <w:rPr>
                <w:rFonts w:cs="Calibri"/>
              </w:rPr>
              <w:t>Alessandria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4A10BE" w14:textId="77777777" w:rsidR="001857E7" w:rsidRPr="00D44AA7" w:rsidRDefault="001857E7" w:rsidP="001857E7">
            <w:pPr>
              <w:spacing w:after="0" w:line="240" w:lineRule="auto"/>
              <w:contextualSpacing/>
              <w:jc w:val="center"/>
              <w:rPr>
                <w:rFonts w:cs="Calibri"/>
              </w:rPr>
            </w:pPr>
            <w:r>
              <w:rPr>
                <w:rFonts w:cs="Calibri"/>
              </w:rPr>
              <w:t xml:space="preserve">           117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E71099D" w14:textId="77777777" w:rsidR="001857E7" w:rsidRPr="001857E7" w:rsidRDefault="001857E7" w:rsidP="001857E7">
            <w:pPr>
              <w:spacing w:after="0" w:line="240" w:lineRule="auto"/>
              <w:contextualSpacing/>
              <w:jc w:val="center"/>
              <w:rPr>
                <w:rFonts w:cs="Calibri"/>
                <w:color w:val="006100"/>
              </w:rPr>
            </w:pPr>
            <w:r>
              <w:rPr>
                <w:rFonts w:cs="Calibri"/>
                <w:color w:val="006100"/>
              </w:rPr>
              <w:t>-6,4%</w:t>
            </w:r>
          </w:p>
        </w:tc>
      </w:tr>
      <w:tr w:rsidR="001857E7" w:rsidRPr="00D44AA7" w14:paraId="33B30BC7"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97B03D" w14:textId="77777777" w:rsidR="001857E7" w:rsidRPr="00D44AA7" w:rsidRDefault="001857E7" w:rsidP="001857E7">
            <w:pPr>
              <w:spacing w:after="0" w:line="240" w:lineRule="auto"/>
              <w:contextualSpacing/>
              <w:rPr>
                <w:rFonts w:cs="Calibri"/>
              </w:rPr>
            </w:pPr>
            <w:r>
              <w:rPr>
                <w:rFonts w:cs="Calibri"/>
              </w:rPr>
              <w:t>Piemonte</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50FD96" w14:textId="77777777" w:rsidR="001857E7" w:rsidRPr="00D44AA7" w:rsidRDefault="001857E7" w:rsidP="001857E7">
            <w:pPr>
              <w:spacing w:after="0" w:line="240" w:lineRule="auto"/>
              <w:contextualSpacing/>
              <w:rPr>
                <w:rFonts w:cs="Calibri"/>
              </w:rPr>
            </w:pPr>
            <w:r>
              <w:rPr>
                <w:rFonts w:cs="Calibri"/>
              </w:rPr>
              <w:t>Asti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1D2CC6" w14:textId="77777777" w:rsidR="001857E7" w:rsidRPr="00D44AA7" w:rsidRDefault="001857E7" w:rsidP="001857E7">
            <w:pPr>
              <w:spacing w:after="0" w:line="240" w:lineRule="auto"/>
              <w:contextualSpacing/>
              <w:jc w:val="center"/>
              <w:rPr>
                <w:rFonts w:cs="Calibri"/>
              </w:rPr>
            </w:pPr>
            <w:r>
              <w:rPr>
                <w:rFonts w:cs="Calibri"/>
              </w:rPr>
              <w:t xml:space="preserve">           114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24B7422" w14:textId="77777777" w:rsidR="001857E7" w:rsidRPr="001857E7" w:rsidRDefault="001857E7" w:rsidP="001857E7">
            <w:pPr>
              <w:spacing w:after="0" w:line="240" w:lineRule="auto"/>
              <w:contextualSpacing/>
              <w:jc w:val="center"/>
              <w:rPr>
                <w:rFonts w:cs="Calibri"/>
                <w:color w:val="006100"/>
              </w:rPr>
            </w:pPr>
            <w:r>
              <w:rPr>
                <w:rFonts w:cs="Calibri"/>
                <w:color w:val="006100"/>
              </w:rPr>
              <w:t>-22,4%</w:t>
            </w:r>
          </w:p>
        </w:tc>
      </w:tr>
      <w:tr w:rsidR="001857E7" w:rsidRPr="00D44AA7" w14:paraId="51C7FC27"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D79972" w14:textId="77777777" w:rsidR="001857E7" w:rsidRPr="00D44AA7" w:rsidRDefault="001857E7" w:rsidP="001857E7">
            <w:pPr>
              <w:spacing w:after="0" w:line="240" w:lineRule="auto"/>
              <w:contextualSpacing/>
              <w:rPr>
                <w:rFonts w:cs="Calibri"/>
              </w:rPr>
            </w:pPr>
            <w:r>
              <w:rPr>
                <w:rFonts w:cs="Calibri"/>
              </w:rPr>
              <w:t>Puglia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26A78B" w14:textId="77777777" w:rsidR="001857E7" w:rsidRPr="00D44AA7" w:rsidRDefault="001857E7" w:rsidP="001857E7">
            <w:pPr>
              <w:spacing w:after="0" w:line="240" w:lineRule="auto"/>
              <w:contextualSpacing/>
              <w:rPr>
                <w:rFonts w:cs="Calibri"/>
              </w:rPr>
            </w:pPr>
            <w:r>
              <w:rPr>
                <w:rFonts w:cs="Calibri"/>
              </w:rPr>
              <w:t>Foggia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F66687" w14:textId="77777777" w:rsidR="001857E7" w:rsidRPr="00D44AA7" w:rsidRDefault="001857E7" w:rsidP="001857E7">
            <w:pPr>
              <w:spacing w:after="0" w:line="240" w:lineRule="auto"/>
              <w:contextualSpacing/>
              <w:jc w:val="center"/>
              <w:rPr>
                <w:rFonts w:cs="Calibri"/>
              </w:rPr>
            </w:pPr>
            <w:r>
              <w:rPr>
                <w:rFonts w:cs="Calibri"/>
              </w:rPr>
              <w:t xml:space="preserve">           216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0C7F327" w14:textId="77777777" w:rsidR="001857E7" w:rsidRPr="001857E7" w:rsidRDefault="001857E7" w:rsidP="001857E7">
            <w:pPr>
              <w:spacing w:after="0" w:line="240" w:lineRule="auto"/>
              <w:contextualSpacing/>
              <w:jc w:val="center"/>
              <w:rPr>
                <w:rFonts w:cs="Calibri"/>
                <w:color w:val="006100"/>
              </w:rPr>
            </w:pPr>
            <w:r>
              <w:rPr>
                <w:rFonts w:cs="Calibri"/>
                <w:color w:val="9C0006"/>
              </w:rPr>
              <w:t>0,8%</w:t>
            </w:r>
          </w:p>
        </w:tc>
      </w:tr>
      <w:tr w:rsidR="001857E7" w:rsidRPr="00D44AA7" w14:paraId="12A51D22"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214DF9" w14:textId="77777777" w:rsidR="001857E7" w:rsidRPr="00D44AA7" w:rsidRDefault="001857E7" w:rsidP="001857E7">
            <w:pPr>
              <w:spacing w:after="0" w:line="240" w:lineRule="auto"/>
              <w:contextualSpacing/>
              <w:rPr>
                <w:rFonts w:cs="Calibri"/>
              </w:rPr>
            </w:pPr>
            <w:r>
              <w:rPr>
                <w:rFonts w:cs="Calibri"/>
              </w:rPr>
              <w:t>Puglia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B8E8DB" w14:textId="77777777" w:rsidR="001857E7" w:rsidRPr="00D44AA7" w:rsidRDefault="001857E7" w:rsidP="001857E7">
            <w:pPr>
              <w:spacing w:after="0" w:line="240" w:lineRule="auto"/>
              <w:contextualSpacing/>
              <w:rPr>
                <w:rFonts w:cs="Calibri"/>
              </w:rPr>
            </w:pPr>
            <w:r>
              <w:rPr>
                <w:rFonts w:cs="Calibri"/>
              </w:rPr>
              <w:t>Lecce</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C9D129" w14:textId="77777777" w:rsidR="001857E7" w:rsidRPr="00D44AA7" w:rsidRDefault="001857E7" w:rsidP="001857E7">
            <w:pPr>
              <w:spacing w:after="0" w:line="240" w:lineRule="auto"/>
              <w:contextualSpacing/>
              <w:jc w:val="center"/>
              <w:rPr>
                <w:rFonts w:cs="Calibri"/>
              </w:rPr>
            </w:pPr>
            <w:r>
              <w:rPr>
                <w:rFonts w:cs="Calibri"/>
              </w:rPr>
              <w:t xml:space="preserve">           207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169CB32" w14:textId="77777777" w:rsidR="001857E7" w:rsidRPr="001857E7" w:rsidRDefault="001857E7" w:rsidP="001857E7">
            <w:pPr>
              <w:spacing w:after="0" w:line="240" w:lineRule="auto"/>
              <w:contextualSpacing/>
              <w:jc w:val="center"/>
              <w:rPr>
                <w:rFonts w:cs="Calibri"/>
                <w:color w:val="006100"/>
              </w:rPr>
            </w:pPr>
            <w:r>
              <w:rPr>
                <w:rFonts w:cs="Calibri"/>
                <w:color w:val="006100"/>
              </w:rPr>
              <w:t>-18,5%</w:t>
            </w:r>
          </w:p>
        </w:tc>
      </w:tr>
      <w:tr w:rsidR="001857E7" w:rsidRPr="00D44AA7" w14:paraId="6115105F"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35B507B" w14:textId="77777777" w:rsidR="001857E7" w:rsidRPr="00D44AA7" w:rsidRDefault="001857E7" w:rsidP="001857E7">
            <w:pPr>
              <w:spacing w:after="0" w:line="240" w:lineRule="auto"/>
              <w:contextualSpacing/>
              <w:rPr>
                <w:rFonts w:cs="Calibri"/>
              </w:rPr>
            </w:pPr>
            <w:r>
              <w:rPr>
                <w:rFonts w:cs="Calibri"/>
              </w:rPr>
              <w:t>Puglia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2B6230" w14:textId="77777777" w:rsidR="001857E7" w:rsidRPr="00D44AA7" w:rsidRDefault="001857E7" w:rsidP="001857E7">
            <w:pPr>
              <w:spacing w:after="0" w:line="240" w:lineRule="auto"/>
              <w:contextualSpacing/>
              <w:rPr>
                <w:rFonts w:cs="Calibri"/>
              </w:rPr>
            </w:pPr>
            <w:r>
              <w:rPr>
                <w:rFonts w:cs="Calibri"/>
              </w:rPr>
              <w:t>Bari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62ADAB" w14:textId="77777777" w:rsidR="001857E7" w:rsidRPr="00D44AA7" w:rsidRDefault="001857E7" w:rsidP="001857E7">
            <w:pPr>
              <w:spacing w:after="0" w:line="240" w:lineRule="auto"/>
              <w:contextualSpacing/>
              <w:jc w:val="center"/>
              <w:rPr>
                <w:rFonts w:cs="Calibri"/>
              </w:rPr>
            </w:pPr>
            <w:r>
              <w:rPr>
                <w:rFonts w:cs="Calibri"/>
              </w:rPr>
              <w:t xml:space="preserve">           196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CAD57FB" w14:textId="77777777" w:rsidR="001857E7" w:rsidRPr="001857E7" w:rsidRDefault="001857E7" w:rsidP="001857E7">
            <w:pPr>
              <w:spacing w:after="0" w:line="240" w:lineRule="auto"/>
              <w:contextualSpacing/>
              <w:jc w:val="center"/>
              <w:rPr>
                <w:rFonts w:cs="Calibri"/>
                <w:color w:val="006100"/>
              </w:rPr>
            </w:pPr>
            <w:r>
              <w:rPr>
                <w:rFonts w:cs="Calibri"/>
                <w:color w:val="006100"/>
              </w:rPr>
              <w:t>-18,4%</w:t>
            </w:r>
          </w:p>
        </w:tc>
      </w:tr>
      <w:tr w:rsidR="001857E7" w:rsidRPr="00D44AA7" w14:paraId="468C33C9"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2204B3" w14:textId="77777777" w:rsidR="001857E7" w:rsidRPr="00D44AA7" w:rsidRDefault="001857E7" w:rsidP="001857E7">
            <w:pPr>
              <w:spacing w:after="0" w:line="240" w:lineRule="auto"/>
              <w:contextualSpacing/>
              <w:rPr>
                <w:rFonts w:cs="Calibri"/>
              </w:rPr>
            </w:pPr>
            <w:r>
              <w:rPr>
                <w:rFonts w:cs="Calibri"/>
              </w:rPr>
              <w:t>Puglia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41B07FE" w14:textId="77777777" w:rsidR="001857E7" w:rsidRPr="00D44AA7" w:rsidRDefault="001857E7" w:rsidP="001857E7">
            <w:pPr>
              <w:spacing w:after="0" w:line="240" w:lineRule="auto"/>
              <w:contextualSpacing/>
              <w:rPr>
                <w:rFonts w:cs="Calibri"/>
              </w:rPr>
            </w:pPr>
            <w:r>
              <w:rPr>
                <w:rFonts w:cs="Calibri"/>
              </w:rPr>
              <w:t>Taranto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C0E6143" w14:textId="77777777" w:rsidR="001857E7" w:rsidRPr="00D44AA7" w:rsidRDefault="001857E7" w:rsidP="001857E7">
            <w:pPr>
              <w:spacing w:after="0" w:line="240" w:lineRule="auto"/>
              <w:contextualSpacing/>
              <w:jc w:val="center"/>
              <w:rPr>
                <w:rFonts w:cs="Calibri"/>
              </w:rPr>
            </w:pPr>
            <w:r>
              <w:rPr>
                <w:rFonts w:cs="Calibri"/>
              </w:rPr>
              <w:t xml:space="preserve">           184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EB5FBDE" w14:textId="77777777" w:rsidR="001857E7" w:rsidRPr="001857E7" w:rsidRDefault="001857E7" w:rsidP="001857E7">
            <w:pPr>
              <w:spacing w:after="0" w:line="240" w:lineRule="auto"/>
              <w:contextualSpacing/>
              <w:jc w:val="center"/>
              <w:rPr>
                <w:rFonts w:cs="Calibri"/>
                <w:color w:val="006100"/>
              </w:rPr>
            </w:pPr>
            <w:r>
              <w:rPr>
                <w:rFonts w:cs="Calibri"/>
                <w:color w:val="006100"/>
              </w:rPr>
              <w:t>-22,8%</w:t>
            </w:r>
          </w:p>
        </w:tc>
      </w:tr>
      <w:tr w:rsidR="001857E7" w:rsidRPr="00D44AA7" w14:paraId="1D19D8D2"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BAB9272" w14:textId="77777777" w:rsidR="001857E7" w:rsidRPr="00D44AA7" w:rsidRDefault="001857E7" w:rsidP="001857E7">
            <w:pPr>
              <w:spacing w:after="0" w:line="240" w:lineRule="auto"/>
              <w:contextualSpacing/>
              <w:rPr>
                <w:rFonts w:cs="Calibri"/>
              </w:rPr>
            </w:pPr>
            <w:r>
              <w:rPr>
                <w:rFonts w:cs="Calibri"/>
              </w:rPr>
              <w:t>Puglia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01DCC85" w14:textId="77777777" w:rsidR="001857E7" w:rsidRPr="00D44AA7" w:rsidRDefault="001857E7" w:rsidP="001857E7">
            <w:pPr>
              <w:spacing w:after="0" w:line="240" w:lineRule="auto"/>
              <w:contextualSpacing/>
              <w:rPr>
                <w:rFonts w:cs="Calibri"/>
              </w:rPr>
            </w:pPr>
            <w:r>
              <w:rPr>
                <w:rFonts w:cs="Calibri"/>
              </w:rPr>
              <w:t>Barletta-Andria-Trani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3BF17F" w14:textId="77777777" w:rsidR="001857E7" w:rsidRPr="00D44AA7" w:rsidRDefault="001857E7" w:rsidP="001857E7">
            <w:pPr>
              <w:spacing w:after="0" w:line="240" w:lineRule="auto"/>
              <w:contextualSpacing/>
              <w:jc w:val="center"/>
              <w:rPr>
                <w:rFonts w:cs="Calibri"/>
              </w:rPr>
            </w:pPr>
            <w:r>
              <w:rPr>
                <w:rFonts w:cs="Calibri"/>
              </w:rPr>
              <w:t xml:space="preserve">           161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70AC4D2E" w14:textId="77777777" w:rsidR="001857E7" w:rsidRPr="001857E7" w:rsidRDefault="001857E7" w:rsidP="001857E7">
            <w:pPr>
              <w:spacing w:after="0" w:line="240" w:lineRule="auto"/>
              <w:contextualSpacing/>
              <w:jc w:val="center"/>
              <w:rPr>
                <w:rFonts w:cs="Calibri"/>
                <w:color w:val="006100"/>
              </w:rPr>
            </w:pPr>
            <w:r>
              <w:rPr>
                <w:rFonts w:cs="Calibri"/>
                <w:color w:val="9C0006"/>
              </w:rPr>
              <w:t>18,1%</w:t>
            </w:r>
          </w:p>
        </w:tc>
      </w:tr>
      <w:tr w:rsidR="001857E7" w:rsidRPr="00D44AA7" w14:paraId="57C9505E"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9FB48E" w14:textId="77777777" w:rsidR="001857E7" w:rsidRPr="00D44AA7" w:rsidRDefault="001857E7" w:rsidP="001857E7">
            <w:pPr>
              <w:spacing w:after="0" w:line="240" w:lineRule="auto"/>
              <w:contextualSpacing/>
              <w:rPr>
                <w:rFonts w:cs="Calibri"/>
              </w:rPr>
            </w:pPr>
            <w:r>
              <w:rPr>
                <w:rFonts w:cs="Calibri"/>
              </w:rPr>
              <w:t>Puglia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DE4AE8" w14:textId="77777777" w:rsidR="001857E7" w:rsidRPr="00D44AA7" w:rsidRDefault="001857E7" w:rsidP="001857E7">
            <w:pPr>
              <w:spacing w:after="0" w:line="240" w:lineRule="auto"/>
              <w:contextualSpacing/>
              <w:rPr>
                <w:rFonts w:cs="Calibri"/>
              </w:rPr>
            </w:pPr>
            <w:r>
              <w:rPr>
                <w:rFonts w:cs="Calibri"/>
              </w:rPr>
              <w:t>Brindisi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AEC7D47" w14:textId="77777777" w:rsidR="001857E7" w:rsidRPr="00D44AA7" w:rsidRDefault="001857E7" w:rsidP="001857E7">
            <w:pPr>
              <w:spacing w:after="0" w:line="240" w:lineRule="auto"/>
              <w:contextualSpacing/>
              <w:jc w:val="center"/>
              <w:rPr>
                <w:rFonts w:cs="Calibri"/>
              </w:rPr>
            </w:pPr>
            <w:r>
              <w:rPr>
                <w:rFonts w:cs="Calibri"/>
              </w:rPr>
              <w:t xml:space="preserve">           146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D8EBBD9" w14:textId="77777777" w:rsidR="001857E7" w:rsidRPr="001857E7" w:rsidRDefault="001857E7" w:rsidP="001857E7">
            <w:pPr>
              <w:spacing w:after="0" w:line="240" w:lineRule="auto"/>
              <w:contextualSpacing/>
              <w:jc w:val="center"/>
              <w:rPr>
                <w:rFonts w:cs="Calibri"/>
                <w:color w:val="006100"/>
              </w:rPr>
            </w:pPr>
            <w:r>
              <w:rPr>
                <w:rFonts w:cs="Calibri"/>
                <w:color w:val="006100"/>
              </w:rPr>
              <w:t>-27,7%</w:t>
            </w:r>
          </w:p>
        </w:tc>
      </w:tr>
      <w:tr w:rsidR="001857E7" w:rsidRPr="00D44AA7" w14:paraId="1D0C95E0" w14:textId="77777777" w:rsidTr="00A3467B">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11D0C80" w14:textId="77777777" w:rsidR="001857E7" w:rsidRPr="00D44AA7" w:rsidRDefault="001857E7" w:rsidP="001857E7">
            <w:pPr>
              <w:spacing w:after="0" w:line="240" w:lineRule="auto"/>
              <w:contextualSpacing/>
              <w:rPr>
                <w:rFonts w:cs="Calibri"/>
              </w:rPr>
            </w:pPr>
            <w:r>
              <w:rPr>
                <w:rFonts w:cs="Calibri"/>
              </w:rPr>
              <w:t>Sardegna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7568FC" w14:textId="77777777" w:rsidR="001857E7" w:rsidRPr="00D44AA7" w:rsidRDefault="001857E7" w:rsidP="001857E7">
            <w:pPr>
              <w:spacing w:after="0" w:line="240" w:lineRule="auto"/>
              <w:contextualSpacing/>
              <w:rPr>
                <w:rFonts w:cs="Calibri"/>
              </w:rPr>
            </w:pPr>
            <w:r>
              <w:rPr>
                <w:rFonts w:cs="Calibri"/>
              </w:rPr>
              <w:t>Cagliari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496742" w14:textId="77777777" w:rsidR="001857E7" w:rsidRPr="00D44AA7" w:rsidRDefault="001857E7" w:rsidP="001857E7">
            <w:pPr>
              <w:spacing w:after="0" w:line="240" w:lineRule="auto"/>
              <w:contextualSpacing/>
              <w:jc w:val="center"/>
              <w:rPr>
                <w:rFonts w:cs="Calibri"/>
              </w:rPr>
            </w:pPr>
            <w:r>
              <w:rPr>
                <w:rFonts w:cs="Calibri"/>
              </w:rPr>
              <w:t xml:space="preserve">           374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40B3567" w14:textId="77777777" w:rsidR="001857E7" w:rsidRPr="001857E7" w:rsidRDefault="001857E7" w:rsidP="001857E7">
            <w:pPr>
              <w:spacing w:after="0" w:line="240" w:lineRule="auto"/>
              <w:contextualSpacing/>
              <w:jc w:val="center"/>
              <w:rPr>
                <w:rFonts w:cs="Calibri"/>
                <w:color w:val="006100"/>
              </w:rPr>
            </w:pPr>
            <w:r>
              <w:rPr>
                <w:rFonts w:cs="Calibri"/>
                <w:color w:val="006100"/>
              </w:rPr>
              <w:t>-5,6%</w:t>
            </w:r>
          </w:p>
        </w:tc>
      </w:tr>
      <w:tr w:rsidR="001857E7" w:rsidRPr="00D44AA7" w14:paraId="0846EE9C"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6DE639B" w14:textId="77777777" w:rsidR="001857E7" w:rsidRPr="00D44AA7" w:rsidRDefault="001857E7" w:rsidP="001857E7">
            <w:pPr>
              <w:spacing w:after="0" w:line="240" w:lineRule="auto"/>
              <w:contextualSpacing/>
              <w:rPr>
                <w:rFonts w:cs="Calibri"/>
              </w:rPr>
            </w:pPr>
            <w:r>
              <w:rPr>
                <w:rFonts w:cs="Calibri"/>
              </w:rPr>
              <w:t>Sardegna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C9FF1C0" w14:textId="77777777" w:rsidR="001857E7" w:rsidRPr="00D44AA7" w:rsidRDefault="001857E7" w:rsidP="001857E7">
            <w:pPr>
              <w:spacing w:after="0" w:line="240" w:lineRule="auto"/>
              <w:contextualSpacing/>
              <w:rPr>
                <w:rFonts w:cs="Calibri"/>
              </w:rPr>
            </w:pPr>
            <w:r>
              <w:rPr>
                <w:rFonts w:cs="Calibri"/>
              </w:rPr>
              <w:t>Sud Sardegna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F0A0E52" w14:textId="77777777" w:rsidR="001857E7" w:rsidRPr="00D44AA7" w:rsidRDefault="001857E7" w:rsidP="001857E7">
            <w:pPr>
              <w:spacing w:after="0" w:line="240" w:lineRule="auto"/>
              <w:contextualSpacing/>
              <w:jc w:val="center"/>
              <w:rPr>
                <w:rFonts w:cs="Calibri"/>
              </w:rPr>
            </w:pPr>
            <w:r>
              <w:rPr>
                <w:rFonts w:cs="Calibri"/>
              </w:rPr>
              <w:t xml:space="preserve">           373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FD422C5" w14:textId="77777777" w:rsidR="001857E7" w:rsidRPr="001857E7" w:rsidRDefault="001857E7" w:rsidP="001857E7">
            <w:pPr>
              <w:spacing w:after="0" w:line="240" w:lineRule="auto"/>
              <w:contextualSpacing/>
              <w:jc w:val="center"/>
              <w:rPr>
                <w:rFonts w:cs="Calibri"/>
                <w:color w:val="006100"/>
              </w:rPr>
            </w:pPr>
            <w:r>
              <w:rPr>
                <w:rFonts w:cs="Calibri"/>
                <w:color w:val="006100"/>
              </w:rPr>
              <w:t>-6,8%</w:t>
            </w:r>
          </w:p>
        </w:tc>
      </w:tr>
      <w:tr w:rsidR="001857E7" w:rsidRPr="00D44AA7" w14:paraId="35EC613B"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3C80B5" w14:textId="77777777" w:rsidR="001857E7" w:rsidRPr="00D44AA7" w:rsidRDefault="001857E7" w:rsidP="001857E7">
            <w:pPr>
              <w:spacing w:after="0" w:line="240" w:lineRule="auto"/>
              <w:contextualSpacing/>
              <w:rPr>
                <w:rFonts w:cs="Calibri"/>
              </w:rPr>
            </w:pPr>
            <w:r>
              <w:rPr>
                <w:rFonts w:cs="Calibri"/>
              </w:rPr>
              <w:t>Sardegna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2275C6" w14:textId="77777777" w:rsidR="001857E7" w:rsidRPr="00D44AA7" w:rsidRDefault="001857E7" w:rsidP="001857E7">
            <w:pPr>
              <w:spacing w:after="0" w:line="240" w:lineRule="auto"/>
              <w:contextualSpacing/>
              <w:rPr>
                <w:rFonts w:cs="Calibri"/>
              </w:rPr>
            </w:pPr>
            <w:r>
              <w:rPr>
                <w:rFonts w:cs="Calibri"/>
              </w:rPr>
              <w:t>Oristano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50CF47D" w14:textId="77777777" w:rsidR="001857E7" w:rsidRPr="00D44AA7" w:rsidRDefault="001857E7" w:rsidP="001857E7">
            <w:pPr>
              <w:spacing w:after="0" w:line="240" w:lineRule="auto"/>
              <w:contextualSpacing/>
              <w:jc w:val="center"/>
              <w:rPr>
                <w:rFonts w:cs="Calibri"/>
              </w:rPr>
            </w:pPr>
            <w:r>
              <w:rPr>
                <w:rFonts w:cs="Calibri"/>
              </w:rPr>
              <w:t xml:space="preserve">           344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D0C24CB" w14:textId="77777777" w:rsidR="001857E7" w:rsidRPr="001857E7" w:rsidRDefault="001857E7" w:rsidP="001857E7">
            <w:pPr>
              <w:spacing w:after="0" w:line="240" w:lineRule="auto"/>
              <w:contextualSpacing/>
              <w:jc w:val="center"/>
              <w:rPr>
                <w:rFonts w:cs="Calibri"/>
                <w:color w:val="006100"/>
              </w:rPr>
            </w:pPr>
            <w:r>
              <w:rPr>
                <w:rFonts w:cs="Calibri"/>
                <w:color w:val="006100"/>
              </w:rPr>
              <w:t>-20,1%</w:t>
            </w:r>
          </w:p>
        </w:tc>
      </w:tr>
      <w:tr w:rsidR="001857E7" w:rsidRPr="00D44AA7" w14:paraId="2DA7B555"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5AD3F9" w14:textId="77777777" w:rsidR="001857E7" w:rsidRPr="00D44AA7" w:rsidRDefault="001857E7" w:rsidP="001857E7">
            <w:pPr>
              <w:spacing w:after="0" w:line="240" w:lineRule="auto"/>
              <w:contextualSpacing/>
              <w:rPr>
                <w:rFonts w:cs="Calibri"/>
              </w:rPr>
            </w:pPr>
            <w:r>
              <w:rPr>
                <w:rFonts w:cs="Calibri"/>
              </w:rPr>
              <w:t>Sardegna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F82D27E" w14:textId="77777777" w:rsidR="001857E7" w:rsidRPr="00D44AA7" w:rsidRDefault="001857E7" w:rsidP="001857E7">
            <w:pPr>
              <w:spacing w:after="0" w:line="240" w:lineRule="auto"/>
              <w:contextualSpacing/>
              <w:rPr>
                <w:rFonts w:cs="Calibri"/>
              </w:rPr>
            </w:pPr>
            <w:r>
              <w:rPr>
                <w:rFonts w:cs="Calibri"/>
              </w:rPr>
              <w:t>Nuoro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D22036" w14:textId="77777777" w:rsidR="001857E7" w:rsidRPr="00D44AA7" w:rsidRDefault="001857E7" w:rsidP="001857E7">
            <w:pPr>
              <w:spacing w:after="0" w:line="240" w:lineRule="auto"/>
              <w:contextualSpacing/>
              <w:jc w:val="center"/>
              <w:rPr>
                <w:rFonts w:cs="Calibri"/>
              </w:rPr>
            </w:pPr>
            <w:r>
              <w:rPr>
                <w:rFonts w:cs="Calibri"/>
              </w:rPr>
              <w:t xml:space="preserve">           244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02A9BCB" w14:textId="77777777" w:rsidR="001857E7" w:rsidRPr="001857E7" w:rsidRDefault="001857E7" w:rsidP="001857E7">
            <w:pPr>
              <w:spacing w:after="0" w:line="240" w:lineRule="auto"/>
              <w:contextualSpacing/>
              <w:jc w:val="center"/>
              <w:rPr>
                <w:rFonts w:cs="Calibri"/>
                <w:color w:val="006100"/>
              </w:rPr>
            </w:pPr>
            <w:r>
              <w:rPr>
                <w:rFonts w:cs="Calibri"/>
                <w:color w:val="006100"/>
              </w:rPr>
              <w:t>-18,1%</w:t>
            </w:r>
          </w:p>
        </w:tc>
      </w:tr>
      <w:tr w:rsidR="001857E7" w:rsidRPr="00D44AA7" w14:paraId="5D25C1DB"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5E437A7" w14:textId="77777777" w:rsidR="001857E7" w:rsidRPr="00D44AA7" w:rsidRDefault="001857E7" w:rsidP="001857E7">
            <w:pPr>
              <w:spacing w:after="0" w:line="240" w:lineRule="auto"/>
              <w:contextualSpacing/>
              <w:rPr>
                <w:rFonts w:cs="Calibri"/>
              </w:rPr>
            </w:pPr>
            <w:r>
              <w:rPr>
                <w:rFonts w:cs="Calibri"/>
              </w:rPr>
              <w:lastRenderedPageBreak/>
              <w:t>Sardegna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37B6DD" w14:textId="77777777" w:rsidR="001857E7" w:rsidRPr="00D44AA7" w:rsidRDefault="001857E7" w:rsidP="001857E7">
            <w:pPr>
              <w:spacing w:after="0" w:line="240" w:lineRule="auto"/>
              <w:contextualSpacing/>
              <w:rPr>
                <w:rFonts w:cs="Calibri"/>
              </w:rPr>
            </w:pPr>
            <w:r>
              <w:rPr>
                <w:rFonts w:cs="Calibri"/>
              </w:rPr>
              <w:t>Sassari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76F3B23" w14:textId="77777777" w:rsidR="001857E7" w:rsidRPr="00D44AA7" w:rsidRDefault="001857E7" w:rsidP="001857E7">
            <w:pPr>
              <w:spacing w:after="0" w:line="240" w:lineRule="auto"/>
              <w:contextualSpacing/>
              <w:jc w:val="center"/>
              <w:rPr>
                <w:rFonts w:cs="Calibri"/>
              </w:rPr>
            </w:pPr>
            <w:r>
              <w:rPr>
                <w:rFonts w:cs="Calibri"/>
              </w:rPr>
              <w:t xml:space="preserve">           146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13C9B7D" w14:textId="77777777" w:rsidR="001857E7" w:rsidRPr="001857E7" w:rsidRDefault="001857E7" w:rsidP="001857E7">
            <w:pPr>
              <w:spacing w:after="0" w:line="240" w:lineRule="auto"/>
              <w:contextualSpacing/>
              <w:jc w:val="center"/>
              <w:rPr>
                <w:rFonts w:cs="Calibri"/>
                <w:color w:val="006100"/>
              </w:rPr>
            </w:pPr>
            <w:r>
              <w:rPr>
                <w:rFonts w:cs="Calibri"/>
                <w:color w:val="006100"/>
              </w:rPr>
              <w:t>-14,4%</w:t>
            </w:r>
          </w:p>
        </w:tc>
      </w:tr>
      <w:tr w:rsidR="001857E7" w:rsidRPr="00D44AA7" w14:paraId="01354E34" w14:textId="77777777" w:rsidTr="0054617C">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C8AD849" w14:textId="77777777" w:rsidR="001857E7" w:rsidRPr="00D44AA7" w:rsidRDefault="001857E7" w:rsidP="001857E7">
            <w:pPr>
              <w:spacing w:after="0" w:line="240" w:lineRule="auto"/>
              <w:contextualSpacing/>
              <w:rPr>
                <w:rFonts w:cs="Calibri"/>
              </w:rPr>
            </w:pPr>
            <w:r>
              <w:rPr>
                <w:rFonts w:cs="Calibri"/>
              </w:rPr>
              <w:t>Sicilia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598274F" w14:textId="77777777" w:rsidR="001857E7" w:rsidRPr="00D44AA7" w:rsidRDefault="001857E7" w:rsidP="001857E7">
            <w:pPr>
              <w:spacing w:after="0" w:line="240" w:lineRule="auto"/>
              <w:contextualSpacing/>
              <w:rPr>
                <w:rFonts w:cs="Calibri"/>
              </w:rPr>
            </w:pPr>
            <w:r>
              <w:rPr>
                <w:rFonts w:cs="Calibri"/>
              </w:rPr>
              <w:t>Siracusa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928E3C7" w14:textId="77777777" w:rsidR="001857E7" w:rsidRPr="00D44AA7" w:rsidRDefault="001857E7" w:rsidP="001857E7">
            <w:pPr>
              <w:spacing w:after="0" w:line="240" w:lineRule="auto"/>
              <w:contextualSpacing/>
              <w:jc w:val="center"/>
              <w:rPr>
                <w:rFonts w:cs="Calibri"/>
              </w:rPr>
            </w:pPr>
            <w:r>
              <w:rPr>
                <w:rFonts w:cs="Calibri"/>
              </w:rPr>
              <w:t xml:space="preserve">           369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0B74094" w14:textId="77777777" w:rsidR="001857E7" w:rsidRPr="001857E7" w:rsidRDefault="001857E7" w:rsidP="001857E7">
            <w:pPr>
              <w:spacing w:after="0" w:line="240" w:lineRule="auto"/>
              <w:contextualSpacing/>
              <w:jc w:val="center"/>
              <w:rPr>
                <w:rFonts w:cs="Calibri"/>
                <w:color w:val="006100"/>
              </w:rPr>
            </w:pPr>
            <w:r>
              <w:rPr>
                <w:rFonts w:cs="Calibri"/>
                <w:color w:val="006100"/>
              </w:rPr>
              <w:t>-6,6%</w:t>
            </w:r>
          </w:p>
        </w:tc>
      </w:tr>
      <w:tr w:rsidR="001857E7" w:rsidRPr="00D44AA7" w14:paraId="4A6B1031"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05CB99" w14:textId="77777777" w:rsidR="001857E7" w:rsidRPr="00D44AA7" w:rsidRDefault="001857E7" w:rsidP="001857E7">
            <w:pPr>
              <w:spacing w:after="0" w:line="240" w:lineRule="auto"/>
              <w:contextualSpacing/>
              <w:rPr>
                <w:rFonts w:cs="Calibri"/>
              </w:rPr>
            </w:pPr>
            <w:r>
              <w:rPr>
                <w:rFonts w:cs="Calibri"/>
              </w:rPr>
              <w:t>Sicilia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A609AF3" w14:textId="77777777" w:rsidR="001857E7" w:rsidRPr="00D44AA7" w:rsidRDefault="001857E7" w:rsidP="001857E7">
            <w:pPr>
              <w:spacing w:after="0" w:line="240" w:lineRule="auto"/>
              <w:contextualSpacing/>
              <w:rPr>
                <w:rFonts w:cs="Calibri"/>
              </w:rPr>
            </w:pPr>
            <w:r>
              <w:rPr>
                <w:rFonts w:cs="Calibri"/>
              </w:rPr>
              <w:t>Palermo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255715" w14:textId="77777777" w:rsidR="001857E7" w:rsidRPr="00D44AA7" w:rsidRDefault="001857E7" w:rsidP="001857E7">
            <w:pPr>
              <w:spacing w:after="0" w:line="240" w:lineRule="auto"/>
              <w:contextualSpacing/>
              <w:jc w:val="center"/>
              <w:rPr>
                <w:rFonts w:cs="Calibri"/>
              </w:rPr>
            </w:pPr>
            <w:r>
              <w:rPr>
                <w:rFonts w:cs="Calibri"/>
              </w:rPr>
              <w:t xml:space="preserve">           335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E8AB5BF" w14:textId="77777777" w:rsidR="001857E7" w:rsidRPr="001857E7" w:rsidRDefault="001857E7" w:rsidP="001857E7">
            <w:pPr>
              <w:spacing w:after="0" w:line="240" w:lineRule="auto"/>
              <w:contextualSpacing/>
              <w:jc w:val="center"/>
              <w:rPr>
                <w:rFonts w:cs="Calibri"/>
                <w:color w:val="006100"/>
              </w:rPr>
            </w:pPr>
            <w:r>
              <w:rPr>
                <w:rFonts w:cs="Calibri"/>
                <w:color w:val="9C0006"/>
              </w:rPr>
              <w:t>19,5%</w:t>
            </w:r>
          </w:p>
        </w:tc>
      </w:tr>
      <w:tr w:rsidR="001857E7" w:rsidRPr="00D44AA7" w14:paraId="26B6D630"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58FD4C" w14:textId="77777777" w:rsidR="001857E7" w:rsidRPr="00D44AA7" w:rsidRDefault="001857E7" w:rsidP="001857E7">
            <w:pPr>
              <w:spacing w:after="0" w:line="240" w:lineRule="auto"/>
              <w:contextualSpacing/>
              <w:rPr>
                <w:rFonts w:cs="Calibri"/>
              </w:rPr>
            </w:pPr>
            <w:r>
              <w:rPr>
                <w:rFonts w:cs="Calibri"/>
              </w:rPr>
              <w:t>Sicilia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FA09C0" w14:textId="77777777" w:rsidR="001857E7" w:rsidRPr="00D44AA7" w:rsidRDefault="001857E7" w:rsidP="001857E7">
            <w:pPr>
              <w:spacing w:after="0" w:line="240" w:lineRule="auto"/>
              <w:contextualSpacing/>
              <w:rPr>
                <w:rFonts w:cs="Calibri"/>
              </w:rPr>
            </w:pPr>
            <w:r>
              <w:rPr>
                <w:rFonts w:cs="Calibri"/>
              </w:rPr>
              <w:t>Ragusa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B54ECFC" w14:textId="77777777" w:rsidR="001857E7" w:rsidRPr="00D44AA7" w:rsidRDefault="001857E7" w:rsidP="001857E7">
            <w:pPr>
              <w:spacing w:after="0" w:line="240" w:lineRule="auto"/>
              <w:contextualSpacing/>
              <w:jc w:val="center"/>
              <w:rPr>
                <w:rFonts w:cs="Calibri"/>
              </w:rPr>
            </w:pPr>
            <w:r>
              <w:rPr>
                <w:rFonts w:cs="Calibri"/>
              </w:rPr>
              <w:t xml:space="preserve">           329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414380B" w14:textId="77777777" w:rsidR="001857E7" w:rsidRPr="001857E7" w:rsidRDefault="001857E7" w:rsidP="001857E7">
            <w:pPr>
              <w:spacing w:after="0" w:line="240" w:lineRule="auto"/>
              <w:contextualSpacing/>
              <w:jc w:val="center"/>
              <w:rPr>
                <w:rFonts w:cs="Calibri"/>
                <w:color w:val="006100"/>
              </w:rPr>
            </w:pPr>
            <w:r>
              <w:rPr>
                <w:rFonts w:cs="Calibri"/>
                <w:color w:val="9C0006"/>
              </w:rPr>
              <w:t>6,5%</w:t>
            </w:r>
          </w:p>
        </w:tc>
      </w:tr>
      <w:tr w:rsidR="001857E7" w:rsidRPr="00D44AA7" w14:paraId="4BD2EDEC"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F43C142" w14:textId="77777777" w:rsidR="001857E7" w:rsidRPr="00D44AA7" w:rsidRDefault="001857E7" w:rsidP="001857E7">
            <w:pPr>
              <w:spacing w:after="0" w:line="240" w:lineRule="auto"/>
              <w:contextualSpacing/>
              <w:rPr>
                <w:rFonts w:cs="Calibri"/>
              </w:rPr>
            </w:pPr>
            <w:r>
              <w:rPr>
                <w:rFonts w:cs="Calibri"/>
              </w:rPr>
              <w:t>Sicilia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59E84D" w14:textId="77777777" w:rsidR="001857E7" w:rsidRPr="00D44AA7" w:rsidRDefault="001857E7" w:rsidP="001857E7">
            <w:pPr>
              <w:spacing w:after="0" w:line="240" w:lineRule="auto"/>
              <w:contextualSpacing/>
              <w:rPr>
                <w:rFonts w:cs="Calibri"/>
              </w:rPr>
            </w:pPr>
            <w:r>
              <w:rPr>
                <w:rFonts w:cs="Calibri"/>
              </w:rPr>
              <w:t>Catania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531BE52" w14:textId="77777777" w:rsidR="001857E7" w:rsidRPr="00D44AA7" w:rsidRDefault="001857E7" w:rsidP="001857E7">
            <w:pPr>
              <w:spacing w:after="0" w:line="240" w:lineRule="auto"/>
              <w:contextualSpacing/>
              <w:jc w:val="center"/>
              <w:rPr>
                <w:rFonts w:cs="Calibri"/>
              </w:rPr>
            </w:pPr>
            <w:r>
              <w:rPr>
                <w:rFonts w:cs="Calibri"/>
              </w:rPr>
              <w:t xml:space="preserve">           315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05F1C71" w14:textId="77777777" w:rsidR="001857E7" w:rsidRPr="001857E7" w:rsidRDefault="001857E7" w:rsidP="001857E7">
            <w:pPr>
              <w:spacing w:after="0" w:line="240" w:lineRule="auto"/>
              <w:contextualSpacing/>
              <w:jc w:val="center"/>
              <w:rPr>
                <w:rFonts w:cs="Calibri"/>
                <w:color w:val="006100"/>
              </w:rPr>
            </w:pPr>
            <w:r>
              <w:rPr>
                <w:rFonts w:cs="Calibri"/>
                <w:color w:val="006100"/>
              </w:rPr>
              <w:t>-17,3%</w:t>
            </w:r>
          </w:p>
        </w:tc>
      </w:tr>
      <w:tr w:rsidR="001857E7" w:rsidRPr="00D44AA7" w14:paraId="0551CDF0"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FE4C86" w14:textId="77777777" w:rsidR="001857E7" w:rsidRPr="00D44AA7" w:rsidRDefault="001857E7" w:rsidP="001857E7">
            <w:pPr>
              <w:spacing w:after="0" w:line="240" w:lineRule="auto"/>
              <w:contextualSpacing/>
              <w:rPr>
                <w:rFonts w:cs="Calibri"/>
              </w:rPr>
            </w:pPr>
            <w:r>
              <w:rPr>
                <w:rFonts w:cs="Calibri"/>
              </w:rPr>
              <w:t>Sicilia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7CAB00F" w14:textId="77777777" w:rsidR="001857E7" w:rsidRPr="00D44AA7" w:rsidRDefault="001857E7" w:rsidP="001857E7">
            <w:pPr>
              <w:spacing w:after="0" w:line="240" w:lineRule="auto"/>
              <w:contextualSpacing/>
              <w:rPr>
                <w:rFonts w:cs="Calibri"/>
              </w:rPr>
            </w:pPr>
            <w:r>
              <w:rPr>
                <w:rFonts w:cs="Calibri"/>
              </w:rPr>
              <w:t>Messina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D10131" w14:textId="77777777" w:rsidR="001857E7" w:rsidRPr="00D44AA7" w:rsidRDefault="001857E7" w:rsidP="001857E7">
            <w:pPr>
              <w:spacing w:after="0" w:line="240" w:lineRule="auto"/>
              <w:contextualSpacing/>
              <w:jc w:val="center"/>
              <w:rPr>
                <w:rFonts w:cs="Calibri"/>
              </w:rPr>
            </w:pPr>
            <w:r>
              <w:rPr>
                <w:rFonts w:cs="Calibri"/>
              </w:rPr>
              <w:t xml:space="preserve">           267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E27BB85" w14:textId="77777777" w:rsidR="001857E7" w:rsidRPr="001857E7" w:rsidRDefault="001857E7" w:rsidP="001857E7">
            <w:pPr>
              <w:spacing w:after="0" w:line="240" w:lineRule="auto"/>
              <w:contextualSpacing/>
              <w:jc w:val="center"/>
              <w:rPr>
                <w:rFonts w:cs="Calibri"/>
                <w:color w:val="006100"/>
              </w:rPr>
            </w:pPr>
            <w:r>
              <w:rPr>
                <w:rFonts w:cs="Calibri"/>
                <w:color w:val="9C0006"/>
              </w:rPr>
              <w:t>0,4%</w:t>
            </w:r>
          </w:p>
        </w:tc>
      </w:tr>
      <w:tr w:rsidR="001857E7" w:rsidRPr="00D44AA7" w14:paraId="71C42FF6"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E5623F7" w14:textId="77777777" w:rsidR="001857E7" w:rsidRPr="00D44AA7" w:rsidRDefault="001857E7" w:rsidP="001857E7">
            <w:pPr>
              <w:spacing w:after="0" w:line="240" w:lineRule="auto"/>
              <w:contextualSpacing/>
              <w:rPr>
                <w:rFonts w:cs="Calibri"/>
              </w:rPr>
            </w:pPr>
            <w:r>
              <w:rPr>
                <w:rFonts w:cs="Calibri"/>
              </w:rPr>
              <w:t>Sicilia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AE81EA" w14:textId="77777777" w:rsidR="001857E7" w:rsidRPr="00D44AA7" w:rsidRDefault="001857E7" w:rsidP="001857E7">
            <w:pPr>
              <w:spacing w:after="0" w:line="240" w:lineRule="auto"/>
              <w:contextualSpacing/>
              <w:rPr>
                <w:rFonts w:cs="Calibri"/>
              </w:rPr>
            </w:pPr>
            <w:r>
              <w:rPr>
                <w:rFonts w:cs="Calibri"/>
              </w:rPr>
              <w:t>Enna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BAB6E9" w14:textId="77777777" w:rsidR="001857E7" w:rsidRPr="00D44AA7" w:rsidRDefault="001857E7" w:rsidP="001857E7">
            <w:pPr>
              <w:spacing w:after="0" w:line="240" w:lineRule="auto"/>
              <w:contextualSpacing/>
              <w:jc w:val="center"/>
              <w:rPr>
                <w:rFonts w:cs="Calibri"/>
              </w:rPr>
            </w:pPr>
            <w:r>
              <w:rPr>
                <w:rFonts w:cs="Calibri"/>
              </w:rPr>
              <w:t xml:space="preserve">           249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7407FEBB" w14:textId="77777777" w:rsidR="001857E7" w:rsidRPr="001857E7" w:rsidRDefault="001857E7" w:rsidP="001857E7">
            <w:pPr>
              <w:spacing w:after="0" w:line="240" w:lineRule="auto"/>
              <w:contextualSpacing/>
              <w:jc w:val="center"/>
              <w:rPr>
                <w:rFonts w:cs="Calibri"/>
                <w:color w:val="006100"/>
              </w:rPr>
            </w:pPr>
            <w:r>
              <w:rPr>
                <w:rFonts w:cs="Calibri"/>
                <w:color w:val="9C0006"/>
              </w:rPr>
              <w:t>20,2%</w:t>
            </w:r>
          </w:p>
        </w:tc>
      </w:tr>
      <w:tr w:rsidR="001857E7" w:rsidRPr="00D44AA7" w14:paraId="2E850829" w14:textId="77777777" w:rsidTr="0054617C">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70DD17" w14:textId="77777777" w:rsidR="001857E7" w:rsidRPr="00D44AA7" w:rsidRDefault="001857E7" w:rsidP="001857E7">
            <w:pPr>
              <w:spacing w:after="0" w:line="240" w:lineRule="auto"/>
              <w:contextualSpacing/>
              <w:rPr>
                <w:rFonts w:cs="Calibri"/>
              </w:rPr>
            </w:pPr>
            <w:r>
              <w:rPr>
                <w:rFonts w:cs="Calibri"/>
              </w:rPr>
              <w:t>Sicilia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ADE846A" w14:textId="77777777" w:rsidR="001857E7" w:rsidRPr="00D44AA7" w:rsidRDefault="001857E7" w:rsidP="001857E7">
            <w:pPr>
              <w:spacing w:after="0" w:line="240" w:lineRule="auto"/>
              <w:contextualSpacing/>
              <w:rPr>
                <w:rFonts w:cs="Calibri"/>
              </w:rPr>
            </w:pPr>
            <w:r>
              <w:rPr>
                <w:rFonts w:cs="Calibri"/>
              </w:rPr>
              <w:t>Caltanissetta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8A8DCE" w14:textId="77777777" w:rsidR="001857E7" w:rsidRPr="00D44AA7" w:rsidRDefault="001857E7" w:rsidP="001857E7">
            <w:pPr>
              <w:spacing w:after="0" w:line="240" w:lineRule="auto"/>
              <w:contextualSpacing/>
              <w:jc w:val="center"/>
              <w:rPr>
                <w:rFonts w:cs="Calibri"/>
              </w:rPr>
            </w:pPr>
            <w:r>
              <w:rPr>
                <w:rFonts w:cs="Calibri"/>
              </w:rPr>
              <w:t xml:space="preserve">           240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F6EF3A0" w14:textId="77777777" w:rsidR="001857E7" w:rsidRPr="001857E7" w:rsidRDefault="001857E7" w:rsidP="001857E7">
            <w:pPr>
              <w:spacing w:after="0" w:line="240" w:lineRule="auto"/>
              <w:contextualSpacing/>
              <w:jc w:val="center"/>
              <w:rPr>
                <w:rFonts w:cs="Calibri"/>
                <w:color w:val="006100"/>
              </w:rPr>
            </w:pPr>
            <w:r>
              <w:rPr>
                <w:rFonts w:cs="Calibri"/>
                <w:color w:val="006100"/>
              </w:rPr>
              <w:t>-25,7%</w:t>
            </w:r>
          </w:p>
        </w:tc>
      </w:tr>
      <w:tr w:rsidR="001857E7" w:rsidRPr="00D44AA7" w14:paraId="3D049607"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96C7DD" w14:textId="77777777" w:rsidR="001857E7" w:rsidRPr="00D44AA7" w:rsidRDefault="001857E7" w:rsidP="001857E7">
            <w:pPr>
              <w:spacing w:after="0" w:line="240" w:lineRule="auto"/>
              <w:contextualSpacing/>
              <w:rPr>
                <w:rFonts w:cs="Calibri"/>
              </w:rPr>
            </w:pPr>
            <w:r>
              <w:rPr>
                <w:rFonts w:cs="Calibri"/>
              </w:rPr>
              <w:t>Sicilia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37E4140" w14:textId="77777777" w:rsidR="001857E7" w:rsidRPr="00D44AA7" w:rsidRDefault="001857E7" w:rsidP="001857E7">
            <w:pPr>
              <w:spacing w:after="0" w:line="240" w:lineRule="auto"/>
              <w:contextualSpacing/>
              <w:rPr>
                <w:rFonts w:cs="Calibri"/>
              </w:rPr>
            </w:pPr>
            <w:r>
              <w:rPr>
                <w:rFonts w:cs="Calibri"/>
              </w:rPr>
              <w:t>Trapani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D9A1788" w14:textId="77777777" w:rsidR="001857E7" w:rsidRPr="00D44AA7" w:rsidRDefault="001857E7" w:rsidP="001857E7">
            <w:pPr>
              <w:spacing w:after="0" w:line="240" w:lineRule="auto"/>
              <w:contextualSpacing/>
              <w:jc w:val="center"/>
              <w:rPr>
                <w:rFonts w:cs="Calibri"/>
              </w:rPr>
            </w:pPr>
            <w:r>
              <w:rPr>
                <w:rFonts w:cs="Calibri"/>
              </w:rPr>
              <w:t xml:space="preserve">           237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B8589CF" w14:textId="77777777" w:rsidR="001857E7" w:rsidRPr="001857E7" w:rsidRDefault="001857E7" w:rsidP="001857E7">
            <w:pPr>
              <w:spacing w:after="0" w:line="240" w:lineRule="auto"/>
              <w:contextualSpacing/>
              <w:jc w:val="center"/>
              <w:rPr>
                <w:rFonts w:cs="Calibri"/>
                <w:color w:val="006100"/>
              </w:rPr>
            </w:pPr>
            <w:r>
              <w:rPr>
                <w:rFonts w:cs="Calibri"/>
                <w:color w:val="006100"/>
              </w:rPr>
              <w:t>-10,0%</w:t>
            </w:r>
          </w:p>
        </w:tc>
      </w:tr>
      <w:tr w:rsidR="001857E7" w:rsidRPr="00D44AA7" w14:paraId="45C51EB0" w14:textId="77777777" w:rsidTr="0054617C">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3FC5D7C" w14:textId="77777777" w:rsidR="001857E7" w:rsidRPr="00D44AA7" w:rsidRDefault="001857E7" w:rsidP="001857E7">
            <w:pPr>
              <w:spacing w:after="0" w:line="240" w:lineRule="auto"/>
              <w:contextualSpacing/>
              <w:rPr>
                <w:rFonts w:cs="Calibri"/>
              </w:rPr>
            </w:pPr>
            <w:r>
              <w:rPr>
                <w:rFonts w:cs="Calibri"/>
              </w:rPr>
              <w:t>Sicilia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39B612C" w14:textId="77777777" w:rsidR="001857E7" w:rsidRPr="00D44AA7" w:rsidRDefault="001857E7" w:rsidP="001857E7">
            <w:pPr>
              <w:spacing w:after="0" w:line="240" w:lineRule="auto"/>
              <w:contextualSpacing/>
              <w:rPr>
                <w:rFonts w:cs="Calibri"/>
              </w:rPr>
            </w:pPr>
            <w:r>
              <w:rPr>
                <w:rFonts w:cs="Calibri"/>
              </w:rPr>
              <w:t>Agrigento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AEBAA07" w14:textId="77777777" w:rsidR="001857E7" w:rsidRPr="00D44AA7" w:rsidRDefault="001857E7" w:rsidP="001857E7">
            <w:pPr>
              <w:spacing w:after="0" w:line="240" w:lineRule="auto"/>
              <w:contextualSpacing/>
              <w:jc w:val="center"/>
              <w:rPr>
                <w:rFonts w:cs="Calibri"/>
              </w:rPr>
            </w:pPr>
            <w:r>
              <w:rPr>
                <w:rFonts w:cs="Calibri"/>
              </w:rPr>
              <w:t xml:space="preserve">           232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DE6AE99" w14:textId="77777777" w:rsidR="001857E7" w:rsidRPr="001857E7" w:rsidRDefault="001857E7" w:rsidP="001857E7">
            <w:pPr>
              <w:spacing w:after="0" w:line="240" w:lineRule="auto"/>
              <w:contextualSpacing/>
              <w:jc w:val="center"/>
              <w:rPr>
                <w:rFonts w:cs="Calibri"/>
                <w:color w:val="006100"/>
              </w:rPr>
            </w:pPr>
            <w:r>
              <w:rPr>
                <w:rFonts w:cs="Calibri"/>
                <w:color w:val="006100"/>
              </w:rPr>
              <w:t>-10,6%</w:t>
            </w:r>
          </w:p>
        </w:tc>
      </w:tr>
      <w:tr w:rsidR="001857E7" w:rsidRPr="00D44AA7" w14:paraId="623DA3B0"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373090" w14:textId="77777777" w:rsidR="001857E7" w:rsidRPr="00D44AA7" w:rsidRDefault="001857E7" w:rsidP="001857E7">
            <w:pPr>
              <w:spacing w:after="0" w:line="240" w:lineRule="auto"/>
              <w:contextualSpacing/>
              <w:rPr>
                <w:rFonts w:cs="Calibri"/>
              </w:rPr>
            </w:pPr>
            <w:r>
              <w:rPr>
                <w:rFonts w:cs="Calibri"/>
              </w:rPr>
              <w:t>Toscana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4EC9FE" w14:textId="77777777" w:rsidR="001857E7" w:rsidRPr="00D44AA7" w:rsidRDefault="001857E7" w:rsidP="001857E7">
            <w:pPr>
              <w:spacing w:after="0" w:line="240" w:lineRule="auto"/>
              <w:contextualSpacing/>
              <w:rPr>
                <w:rFonts w:cs="Calibri"/>
              </w:rPr>
            </w:pPr>
            <w:r>
              <w:rPr>
                <w:rFonts w:cs="Calibri"/>
              </w:rPr>
              <w:t>Pisa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FA812A1" w14:textId="77777777" w:rsidR="001857E7" w:rsidRPr="00D44AA7" w:rsidRDefault="001857E7" w:rsidP="001857E7">
            <w:pPr>
              <w:spacing w:after="0" w:line="240" w:lineRule="auto"/>
              <w:contextualSpacing/>
              <w:jc w:val="center"/>
              <w:rPr>
                <w:rFonts w:cs="Calibri"/>
              </w:rPr>
            </w:pPr>
            <w:r>
              <w:rPr>
                <w:rFonts w:cs="Calibri"/>
              </w:rPr>
              <w:t xml:space="preserve">           252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DDF7FFB" w14:textId="77777777" w:rsidR="001857E7" w:rsidRPr="001857E7" w:rsidRDefault="001857E7" w:rsidP="001857E7">
            <w:pPr>
              <w:spacing w:after="0" w:line="240" w:lineRule="auto"/>
              <w:contextualSpacing/>
              <w:jc w:val="center"/>
              <w:rPr>
                <w:rFonts w:cs="Calibri"/>
                <w:color w:val="006100"/>
              </w:rPr>
            </w:pPr>
            <w:r>
              <w:rPr>
                <w:rFonts w:cs="Calibri"/>
                <w:color w:val="9C0006"/>
              </w:rPr>
              <w:t>15,7%</w:t>
            </w:r>
          </w:p>
        </w:tc>
      </w:tr>
      <w:tr w:rsidR="001857E7" w:rsidRPr="00D44AA7" w14:paraId="1BA87F46"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1BD792A" w14:textId="77777777" w:rsidR="001857E7" w:rsidRPr="00D44AA7" w:rsidRDefault="001857E7" w:rsidP="001857E7">
            <w:pPr>
              <w:spacing w:after="0" w:line="240" w:lineRule="auto"/>
              <w:contextualSpacing/>
              <w:rPr>
                <w:rFonts w:cs="Calibri"/>
              </w:rPr>
            </w:pPr>
            <w:r>
              <w:rPr>
                <w:rFonts w:cs="Calibri"/>
              </w:rPr>
              <w:t>Toscana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CDE457C" w14:textId="77777777" w:rsidR="001857E7" w:rsidRPr="00D44AA7" w:rsidRDefault="001857E7" w:rsidP="001857E7">
            <w:pPr>
              <w:spacing w:after="0" w:line="240" w:lineRule="auto"/>
              <w:contextualSpacing/>
              <w:rPr>
                <w:rFonts w:cs="Calibri"/>
              </w:rPr>
            </w:pPr>
            <w:r>
              <w:rPr>
                <w:rFonts w:cs="Calibri"/>
              </w:rPr>
              <w:t>Grosseto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61C5806" w14:textId="77777777" w:rsidR="001857E7" w:rsidRPr="00D44AA7" w:rsidRDefault="001857E7" w:rsidP="001857E7">
            <w:pPr>
              <w:spacing w:after="0" w:line="240" w:lineRule="auto"/>
              <w:contextualSpacing/>
              <w:jc w:val="center"/>
              <w:rPr>
                <w:rFonts w:cs="Calibri"/>
              </w:rPr>
            </w:pPr>
            <w:r>
              <w:rPr>
                <w:rFonts w:cs="Calibri"/>
              </w:rPr>
              <w:t xml:space="preserve">           209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869BDF0" w14:textId="77777777" w:rsidR="001857E7" w:rsidRPr="001857E7" w:rsidRDefault="001857E7" w:rsidP="001857E7">
            <w:pPr>
              <w:spacing w:after="0" w:line="240" w:lineRule="auto"/>
              <w:contextualSpacing/>
              <w:jc w:val="center"/>
              <w:rPr>
                <w:rFonts w:cs="Calibri"/>
                <w:color w:val="006100"/>
              </w:rPr>
            </w:pPr>
            <w:r>
              <w:rPr>
                <w:rFonts w:cs="Calibri"/>
                <w:color w:val="006100"/>
              </w:rPr>
              <w:t>-14,2%</w:t>
            </w:r>
          </w:p>
        </w:tc>
      </w:tr>
      <w:tr w:rsidR="001857E7" w:rsidRPr="00D44AA7" w14:paraId="35AA5CF0"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27672A" w14:textId="77777777" w:rsidR="001857E7" w:rsidRPr="00D44AA7" w:rsidRDefault="001857E7" w:rsidP="001857E7">
            <w:pPr>
              <w:spacing w:after="0" w:line="240" w:lineRule="auto"/>
              <w:contextualSpacing/>
              <w:rPr>
                <w:rFonts w:cs="Calibri"/>
              </w:rPr>
            </w:pPr>
            <w:r>
              <w:rPr>
                <w:rFonts w:cs="Calibri"/>
              </w:rPr>
              <w:t>Toscana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4AD7BB7" w14:textId="77777777" w:rsidR="001857E7" w:rsidRPr="00D44AA7" w:rsidRDefault="001857E7" w:rsidP="001857E7">
            <w:pPr>
              <w:spacing w:after="0" w:line="240" w:lineRule="auto"/>
              <w:contextualSpacing/>
              <w:rPr>
                <w:rFonts w:cs="Calibri"/>
              </w:rPr>
            </w:pPr>
            <w:r>
              <w:rPr>
                <w:rFonts w:cs="Calibri"/>
              </w:rPr>
              <w:t>Livorno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7003EE" w14:textId="77777777" w:rsidR="001857E7" w:rsidRPr="00D44AA7" w:rsidRDefault="001857E7" w:rsidP="001857E7">
            <w:pPr>
              <w:spacing w:after="0" w:line="240" w:lineRule="auto"/>
              <w:contextualSpacing/>
              <w:jc w:val="center"/>
              <w:rPr>
                <w:rFonts w:cs="Calibri"/>
              </w:rPr>
            </w:pPr>
            <w:r>
              <w:rPr>
                <w:rFonts w:cs="Calibri"/>
              </w:rPr>
              <w:t xml:space="preserve">           197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A53A33E" w14:textId="77777777" w:rsidR="001857E7" w:rsidRPr="001857E7" w:rsidRDefault="001857E7" w:rsidP="001857E7">
            <w:pPr>
              <w:spacing w:after="0" w:line="240" w:lineRule="auto"/>
              <w:contextualSpacing/>
              <w:jc w:val="center"/>
              <w:rPr>
                <w:rFonts w:cs="Calibri"/>
                <w:color w:val="006100"/>
              </w:rPr>
            </w:pPr>
            <w:r>
              <w:rPr>
                <w:rFonts w:cs="Calibri"/>
                <w:color w:val="006100"/>
              </w:rPr>
              <w:t>-7,2%</w:t>
            </w:r>
          </w:p>
        </w:tc>
      </w:tr>
      <w:tr w:rsidR="001857E7" w:rsidRPr="00D44AA7" w14:paraId="4DC45323"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3BC2DBD" w14:textId="77777777" w:rsidR="001857E7" w:rsidRPr="00D44AA7" w:rsidRDefault="001857E7" w:rsidP="001857E7">
            <w:pPr>
              <w:spacing w:after="0" w:line="240" w:lineRule="auto"/>
              <w:contextualSpacing/>
              <w:rPr>
                <w:rFonts w:cs="Calibri"/>
              </w:rPr>
            </w:pPr>
            <w:r>
              <w:rPr>
                <w:rFonts w:cs="Calibri"/>
              </w:rPr>
              <w:t>Toscana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533A199" w14:textId="77777777" w:rsidR="001857E7" w:rsidRPr="00D44AA7" w:rsidRDefault="001857E7" w:rsidP="001857E7">
            <w:pPr>
              <w:spacing w:after="0" w:line="240" w:lineRule="auto"/>
              <w:contextualSpacing/>
              <w:rPr>
                <w:rFonts w:cs="Calibri"/>
              </w:rPr>
            </w:pPr>
            <w:r>
              <w:rPr>
                <w:rFonts w:cs="Calibri"/>
              </w:rPr>
              <w:t>Siena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8CB40AC" w14:textId="77777777" w:rsidR="001857E7" w:rsidRPr="00D44AA7" w:rsidRDefault="001857E7" w:rsidP="001857E7">
            <w:pPr>
              <w:spacing w:after="0" w:line="240" w:lineRule="auto"/>
              <w:contextualSpacing/>
              <w:jc w:val="center"/>
              <w:rPr>
                <w:rFonts w:cs="Calibri"/>
              </w:rPr>
            </w:pPr>
            <w:r>
              <w:rPr>
                <w:rFonts w:cs="Calibri"/>
              </w:rPr>
              <w:t xml:space="preserve">           196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87CFB5F" w14:textId="77777777" w:rsidR="001857E7" w:rsidRPr="001857E7" w:rsidRDefault="001857E7" w:rsidP="001857E7">
            <w:pPr>
              <w:spacing w:after="0" w:line="240" w:lineRule="auto"/>
              <w:contextualSpacing/>
              <w:jc w:val="center"/>
              <w:rPr>
                <w:rFonts w:cs="Calibri"/>
                <w:color w:val="006100"/>
              </w:rPr>
            </w:pPr>
            <w:r>
              <w:rPr>
                <w:rFonts w:cs="Calibri"/>
                <w:color w:val="006100"/>
              </w:rPr>
              <w:t>-20,2%</w:t>
            </w:r>
          </w:p>
        </w:tc>
      </w:tr>
      <w:tr w:rsidR="001857E7" w:rsidRPr="00D44AA7" w14:paraId="73F0C1FF"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B64791" w14:textId="77777777" w:rsidR="001857E7" w:rsidRPr="00D44AA7" w:rsidRDefault="001857E7" w:rsidP="001857E7">
            <w:pPr>
              <w:spacing w:after="0" w:line="240" w:lineRule="auto"/>
              <w:contextualSpacing/>
              <w:rPr>
                <w:rFonts w:cs="Calibri"/>
              </w:rPr>
            </w:pPr>
            <w:r>
              <w:rPr>
                <w:rFonts w:cs="Calibri"/>
              </w:rPr>
              <w:t>Toscana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E48E6C" w14:textId="77777777" w:rsidR="001857E7" w:rsidRPr="00D44AA7" w:rsidRDefault="001857E7" w:rsidP="001857E7">
            <w:pPr>
              <w:spacing w:after="0" w:line="240" w:lineRule="auto"/>
              <w:contextualSpacing/>
              <w:rPr>
                <w:rFonts w:cs="Calibri"/>
              </w:rPr>
            </w:pPr>
            <w:r>
              <w:rPr>
                <w:rFonts w:cs="Calibri"/>
              </w:rPr>
              <w:t>Lucca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1388BBD" w14:textId="77777777" w:rsidR="001857E7" w:rsidRPr="00D44AA7" w:rsidRDefault="001857E7" w:rsidP="001857E7">
            <w:pPr>
              <w:spacing w:after="0" w:line="240" w:lineRule="auto"/>
              <w:contextualSpacing/>
              <w:jc w:val="center"/>
              <w:rPr>
                <w:rFonts w:cs="Calibri"/>
              </w:rPr>
            </w:pPr>
            <w:r>
              <w:rPr>
                <w:rFonts w:cs="Calibri"/>
              </w:rPr>
              <w:t xml:space="preserve">           165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155CEF1" w14:textId="77777777" w:rsidR="001857E7" w:rsidRPr="001857E7" w:rsidRDefault="001857E7" w:rsidP="001857E7">
            <w:pPr>
              <w:spacing w:after="0" w:line="240" w:lineRule="auto"/>
              <w:contextualSpacing/>
              <w:jc w:val="center"/>
              <w:rPr>
                <w:rFonts w:cs="Calibri"/>
                <w:color w:val="006100"/>
              </w:rPr>
            </w:pPr>
            <w:r>
              <w:rPr>
                <w:rFonts w:cs="Calibri"/>
                <w:color w:val="006100"/>
              </w:rPr>
              <w:t>-18,0%</w:t>
            </w:r>
          </w:p>
        </w:tc>
      </w:tr>
      <w:tr w:rsidR="001857E7" w:rsidRPr="00D44AA7" w14:paraId="003EDB1B"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4F5AA8" w14:textId="77777777" w:rsidR="001857E7" w:rsidRPr="00D44AA7" w:rsidRDefault="001857E7" w:rsidP="001857E7">
            <w:pPr>
              <w:spacing w:after="0" w:line="240" w:lineRule="auto"/>
              <w:contextualSpacing/>
              <w:rPr>
                <w:rFonts w:cs="Calibri"/>
              </w:rPr>
            </w:pPr>
            <w:r>
              <w:rPr>
                <w:rFonts w:cs="Calibri"/>
              </w:rPr>
              <w:t>Toscana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55C528" w14:textId="77777777" w:rsidR="001857E7" w:rsidRPr="00D44AA7" w:rsidRDefault="001857E7" w:rsidP="001857E7">
            <w:pPr>
              <w:spacing w:after="0" w:line="240" w:lineRule="auto"/>
              <w:contextualSpacing/>
              <w:rPr>
                <w:rFonts w:cs="Calibri"/>
              </w:rPr>
            </w:pPr>
            <w:r>
              <w:rPr>
                <w:rFonts w:cs="Calibri"/>
              </w:rPr>
              <w:t>Firenze</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E797F8D" w14:textId="77777777" w:rsidR="001857E7" w:rsidRPr="00D44AA7" w:rsidRDefault="001857E7" w:rsidP="001857E7">
            <w:pPr>
              <w:spacing w:after="0" w:line="240" w:lineRule="auto"/>
              <w:contextualSpacing/>
              <w:jc w:val="center"/>
              <w:rPr>
                <w:rFonts w:cs="Calibri"/>
              </w:rPr>
            </w:pPr>
            <w:r>
              <w:rPr>
                <w:rFonts w:cs="Calibri"/>
              </w:rPr>
              <w:t xml:space="preserve">           161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61F0CE7" w14:textId="77777777" w:rsidR="001857E7" w:rsidRPr="001857E7" w:rsidRDefault="001857E7" w:rsidP="001857E7">
            <w:pPr>
              <w:spacing w:after="0" w:line="240" w:lineRule="auto"/>
              <w:contextualSpacing/>
              <w:jc w:val="center"/>
              <w:rPr>
                <w:rFonts w:cs="Calibri"/>
                <w:color w:val="006100"/>
              </w:rPr>
            </w:pPr>
            <w:r>
              <w:rPr>
                <w:rFonts w:cs="Calibri"/>
                <w:color w:val="006100"/>
              </w:rPr>
              <w:t>-19,7%</w:t>
            </w:r>
          </w:p>
        </w:tc>
      </w:tr>
      <w:tr w:rsidR="001857E7" w:rsidRPr="00D44AA7" w14:paraId="422D8D89"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6683E7A" w14:textId="77777777" w:rsidR="001857E7" w:rsidRPr="00D44AA7" w:rsidRDefault="001857E7" w:rsidP="001857E7">
            <w:pPr>
              <w:spacing w:after="0" w:line="240" w:lineRule="auto"/>
              <w:contextualSpacing/>
              <w:rPr>
                <w:rFonts w:cs="Calibri"/>
              </w:rPr>
            </w:pPr>
            <w:r>
              <w:rPr>
                <w:rFonts w:cs="Calibri"/>
              </w:rPr>
              <w:t>Toscana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831937A" w14:textId="77777777" w:rsidR="001857E7" w:rsidRPr="00D44AA7" w:rsidRDefault="001857E7" w:rsidP="001857E7">
            <w:pPr>
              <w:spacing w:after="0" w:line="240" w:lineRule="auto"/>
              <w:contextualSpacing/>
              <w:rPr>
                <w:rFonts w:cs="Calibri"/>
              </w:rPr>
            </w:pPr>
            <w:r>
              <w:rPr>
                <w:rFonts w:cs="Calibri"/>
              </w:rPr>
              <w:t>Massa Carrara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0F3B0A2" w14:textId="77777777" w:rsidR="001857E7" w:rsidRPr="00D44AA7" w:rsidRDefault="001857E7" w:rsidP="001857E7">
            <w:pPr>
              <w:spacing w:after="0" w:line="240" w:lineRule="auto"/>
              <w:contextualSpacing/>
              <w:jc w:val="center"/>
              <w:rPr>
                <w:rFonts w:cs="Calibri"/>
              </w:rPr>
            </w:pPr>
            <w:r>
              <w:rPr>
                <w:rFonts w:cs="Calibri"/>
              </w:rPr>
              <w:t xml:space="preserve">           152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FCC0D78" w14:textId="77777777" w:rsidR="001857E7" w:rsidRPr="001857E7" w:rsidRDefault="001857E7" w:rsidP="001857E7">
            <w:pPr>
              <w:spacing w:after="0" w:line="240" w:lineRule="auto"/>
              <w:contextualSpacing/>
              <w:jc w:val="center"/>
              <w:rPr>
                <w:rFonts w:cs="Calibri"/>
                <w:color w:val="006100"/>
              </w:rPr>
            </w:pPr>
            <w:r>
              <w:rPr>
                <w:rFonts w:cs="Calibri"/>
                <w:color w:val="006100"/>
              </w:rPr>
              <w:t>-15,5%</w:t>
            </w:r>
          </w:p>
        </w:tc>
      </w:tr>
      <w:tr w:rsidR="001857E7" w:rsidRPr="00D44AA7" w14:paraId="2FC932E4"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89B8B8C" w14:textId="77777777" w:rsidR="001857E7" w:rsidRPr="00D44AA7" w:rsidRDefault="001857E7" w:rsidP="001857E7">
            <w:pPr>
              <w:spacing w:after="0" w:line="240" w:lineRule="auto"/>
              <w:contextualSpacing/>
              <w:rPr>
                <w:rFonts w:cs="Calibri"/>
              </w:rPr>
            </w:pPr>
            <w:r>
              <w:rPr>
                <w:rFonts w:cs="Calibri"/>
              </w:rPr>
              <w:t>Toscana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455E57" w14:textId="77777777" w:rsidR="001857E7" w:rsidRPr="00D44AA7" w:rsidRDefault="001857E7" w:rsidP="001857E7">
            <w:pPr>
              <w:spacing w:after="0" w:line="240" w:lineRule="auto"/>
              <w:contextualSpacing/>
              <w:rPr>
                <w:rFonts w:cs="Calibri"/>
              </w:rPr>
            </w:pPr>
            <w:r>
              <w:rPr>
                <w:rFonts w:cs="Calibri"/>
              </w:rPr>
              <w:t>Pistoia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40F956" w14:textId="77777777" w:rsidR="001857E7" w:rsidRPr="00D44AA7" w:rsidRDefault="001857E7" w:rsidP="001857E7">
            <w:pPr>
              <w:spacing w:after="0" w:line="240" w:lineRule="auto"/>
              <w:contextualSpacing/>
              <w:jc w:val="center"/>
              <w:rPr>
                <w:rFonts w:cs="Calibri"/>
              </w:rPr>
            </w:pPr>
            <w:r>
              <w:rPr>
                <w:rFonts w:cs="Calibri"/>
              </w:rPr>
              <w:t xml:space="preserve">           151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9AA27E5" w14:textId="77777777" w:rsidR="001857E7" w:rsidRPr="001857E7" w:rsidRDefault="001857E7" w:rsidP="001857E7">
            <w:pPr>
              <w:spacing w:after="0" w:line="240" w:lineRule="auto"/>
              <w:contextualSpacing/>
              <w:jc w:val="center"/>
              <w:rPr>
                <w:rFonts w:cs="Calibri"/>
                <w:color w:val="006100"/>
              </w:rPr>
            </w:pPr>
            <w:r>
              <w:rPr>
                <w:rFonts w:cs="Calibri"/>
                <w:color w:val="006100"/>
              </w:rPr>
              <w:t>-5,4%</w:t>
            </w:r>
          </w:p>
        </w:tc>
      </w:tr>
      <w:tr w:rsidR="001857E7" w:rsidRPr="00D44AA7" w14:paraId="5405E74A"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B21F3B" w14:textId="77777777" w:rsidR="001857E7" w:rsidRPr="00D44AA7" w:rsidRDefault="001857E7" w:rsidP="001857E7">
            <w:pPr>
              <w:spacing w:after="0" w:line="240" w:lineRule="auto"/>
              <w:contextualSpacing/>
              <w:rPr>
                <w:rFonts w:cs="Calibri"/>
              </w:rPr>
            </w:pPr>
            <w:r>
              <w:rPr>
                <w:rFonts w:cs="Calibri"/>
              </w:rPr>
              <w:t>Toscana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065026F" w14:textId="77777777" w:rsidR="001857E7" w:rsidRPr="00D44AA7" w:rsidRDefault="001857E7" w:rsidP="001857E7">
            <w:pPr>
              <w:spacing w:after="0" w:line="240" w:lineRule="auto"/>
              <w:contextualSpacing/>
              <w:rPr>
                <w:rFonts w:cs="Calibri"/>
              </w:rPr>
            </w:pPr>
            <w:r>
              <w:rPr>
                <w:rFonts w:cs="Calibri"/>
              </w:rPr>
              <w:t>Arezzo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1B3AA9" w14:textId="77777777" w:rsidR="001857E7" w:rsidRPr="00D44AA7" w:rsidRDefault="001857E7" w:rsidP="001857E7">
            <w:pPr>
              <w:spacing w:after="0" w:line="240" w:lineRule="auto"/>
              <w:contextualSpacing/>
              <w:jc w:val="center"/>
              <w:rPr>
                <w:rFonts w:cs="Calibri"/>
              </w:rPr>
            </w:pPr>
            <w:r>
              <w:rPr>
                <w:rFonts w:cs="Calibri"/>
              </w:rPr>
              <w:t xml:space="preserve">           141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5A6332D" w14:textId="77777777" w:rsidR="001857E7" w:rsidRPr="001857E7" w:rsidRDefault="001857E7" w:rsidP="001857E7">
            <w:pPr>
              <w:spacing w:after="0" w:line="240" w:lineRule="auto"/>
              <w:contextualSpacing/>
              <w:jc w:val="center"/>
              <w:rPr>
                <w:rFonts w:cs="Calibri"/>
                <w:color w:val="006100"/>
              </w:rPr>
            </w:pPr>
            <w:r>
              <w:rPr>
                <w:rFonts w:cs="Calibri"/>
                <w:color w:val="006100"/>
              </w:rPr>
              <w:t>-19,6%</w:t>
            </w:r>
          </w:p>
        </w:tc>
      </w:tr>
      <w:tr w:rsidR="001857E7" w:rsidRPr="00D44AA7" w14:paraId="10485864"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186E697" w14:textId="77777777" w:rsidR="001857E7" w:rsidRPr="00D44AA7" w:rsidRDefault="001857E7" w:rsidP="001857E7">
            <w:pPr>
              <w:spacing w:after="0" w:line="240" w:lineRule="auto"/>
              <w:contextualSpacing/>
              <w:rPr>
                <w:rFonts w:cs="Calibri"/>
              </w:rPr>
            </w:pPr>
            <w:r>
              <w:rPr>
                <w:rFonts w:cs="Calibri"/>
              </w:rPr>
              <w:t>Toscana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F48E721" w14:textId="77777777" w:rsidR="001857E7" w:rsidRPr="00D44AA7" w:rsidRDefault="001857E7" w:rsidP="001857E7">
            <w:pPr>
              <w:spacing w:after="0" w:line="240" w:lineRule="auto"/>
              <w:contextualSpacing/>
              <w:rPr>
                <w:rFonts w:cs="Calibri"/>
              </w:rPr>
            </w:pPr>
            <w:r>
              <w:rPr>
                <w:rFonts w:cs="Calibri"/>
              </w:rPr>
              <w:t>Prato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AD7A047" w14:textId="77777777" w:rsidR="001857E7" w:rsidRPr="00D44AA7" w:rsidRDefault="001857E7" w:rsidP="001857E7">
            <w:pPr>
              <w:spacing w:after="0" w:line="240" w:lineRule="auto"/>
              <w:contextualSpacing/>
              <w:jc w:val="center"/>
              <w:rPr>
                <w:rFonts w:cs="Calibri"/>
              </w:rPr>
            </w:pPr>
            <w:r>
              <w:rPr>
                <w:rFonts w:cs="Calibri"/>
              </w:rPr>
              <w:t xml:space="preserve">           131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D2C871D" w14:textId="77777777" w:rsidR="001857E7" w:rsidRPr="001857E7" w:rsidRDefault="001857E7" w:rsidP="001857E7">
            <w:pPr>
              <w:spacing w:after="0" w:line="240" w:lineRule="auto"/>
              <w:contextualSpacing/>
              <w:jc w:val="center"/>
              <w:rPr>
                <w:rFonts w:cs="Calibri"/>
                <w:color w:val="006100"/>
              </w:rPr>
            </w:pPr>
            <w:r>
              <w:rPr>
                <w:rFonts w:cs="Calibri"/>
                <w:color w:val="006100"/>
              </w:rPr>
              <w:t>-15,8%</w:t>
            </w:r>
          </w:p>
        </w:tc>
      </w:tr>
      <w:tr w:rsidR="001857E7" w:rsidRPr="00D44AA7" w14:paraId="054012F9"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739EE3" w14:textId="77777777" w:rsidR="001857E7" w:rsidRPr="00D44AA7" w:rsidRDefault="001857E7" w:rsidP="001857E7">
            <w:pPr>
              <w:spacing w:after="0" w:line="240" w:lineRule="auto"/>
              <w:contextualSpacing/>
              <w:rPr>
                <w:rFonts w:cs="Calibri"/>
              </w:rPr>
            </w:pPr>
            <w:r>
              <w:rPr>
                <w:rFonts w:cs="Calibri"/>
              </w:rPr>
              <w:t>Umbria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8A34AE5" w14:textId="77777777" w:rsidR="001857E7" w:rsidRPr="00D44AA7" w:rsidRDefault="001857E7" w:rsidP="001857E7">
            <w:pPr>
              <w:spacing w:after="0" w:line="240" w:lineRule="auto"/>
              <w:contextualSpacing/>
              <w:rPr>
                <w:rFonts w:cs="Calibri"/>
              </w:rPr>
            </w:pPr>
            <w:r>
              <w:rPr>
                <w:rFonts w:cs="Calibri"/>
              </w:rPr>
              <w:t>Perugia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7D2AA0" w14:textId="77777777" w:rsidR="001857E7" w:rsidRPr="00D44AA7" w:rsidRDefault="001857E7" w:rsidP="001857E7">
            <w:pPr>
              <w:spacing w:after="0" w:line="240" w:lineRule="auto"/>
              <w:contextualSpacing/>
              <w:jc w:val="center"/>
              <w:rPr>
                <w:rFonts w:cs="Calibri"/>
              </w:rPr>
            </w:pPr>
            <w:r>
              <w:rPr>
                <w:rFonts w:cs="Calibri"/>
              </w:rPr>
              <w:t xml:space="preserve">           269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BD92A7E" w14:textId="77777777" w:rsidR="001857E7" w:rsidRPr="001857E7" w:rsidRDefault="001857E7" w:rsidP="001857E7">
            <w:pPr>
              <w:spacing w:after="0" w:line="240" w:lineRule="auto"/>
              <w:contextualSpacing/>
              <w:jc w:val="center"/>
              <w:rPr>
                <w:rFonts w:cs="Calibri"/>
                <w:color w:val="006100"/>
              </w:rPr>
            </w:pPr>
            <w:r>
              <w:rPr>
                <w:rFonts w:cs="Calibri"/>
                <w:color w:val="006100"/>
              </w:rPr>
              <w:t>-4,9%</w:t>
            </w:r>
          </w:p>
        </w:tc>
      </w:tr>
      <w:tr w:rsidR="001857E7" w:rsidRPr="00D44AA7" w14:paraId="0F6787B1"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6247CDA" w14:textId="77777777" w:rsidR="001857E7" w:rsidRPr="00D44AA7" w:rsidRDefault="001857E7" w:rsidP="001857E7">
            <w:pPr>
              <w:spacing w:after="0" w:line="240" w:lineRule="auto"/>
              <w:contextualSpacing/>
              <w:rPr>
                <w:rFonts w:cs="Calibri"/>
              </w:rPr>
            </w:pPr>
            <w:r>
              <w:rPr>
                <w:rFonts w:cs="Calibri"/>
              </w:rPr>
              <w:t>Umbria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D678FC" w14:textId="77777777" w:rsidR="001857E7" w:rsidRPr="00D44AA7" w:rsidRDefault="001857E7" w:rsidP="001857E7">
            <w:pPr>
              <w:spacing w:after="0" w:line="240" w:lineRule="auto"/>
              <w:contextualSpacing/>
              <w:rPr>
                <w:rFonts w:cs="Calibri"/>
              </w:rPr>
            </w:pPr>
            <w:r>
              <w:rPr>
                <w:rFonts w:cs="Calibri"/>
              </w:rPr>
              <w:t>Terni</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EC2174" w14:textId="77777777" w:rsidR="001857E7" w:rsidRPr="00D44AA7" w:rsidRDefault="001857E7" w:rsidP="001857E7">
            <w:pPr>
              <w:spacing w:after="0" w:line="240" w:lineRule="auto"/>
              <w:contextualSpacing/>
              <w:jc w:val="center"/>
              <w:rPr>
                <w:rFonts w:cs="Calibri"/>
              </w:rPr>
            </w:pPr>
            <w:r>
              <w:rPr>
                <w:rFonts w:cs="Calibri"/>
              </w:rPr>
              <w:t xml:space="preserve">           251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3CC4B0A" w14:textId="77777777" w:rsidR="001857E7" w:rsidRPr="001857E7" w:rsidRDefault="001857E7" w:rsidP="001857E7">
            <w:pPr>
              <w:spacing w:after="0" w:line="240" w:lineRule="auto"/>
              <w:contextualSpacing/>
              <w:jc w:val="center"/>
              <w:rPr>
                <w:rFonts w:cs="Calibri"/>
                <w:color w:val="006100"/>
              </w:rPr>
            </w:pPr>
            <w:r>
              <w:rPr>
                <w:rFonts w:cs="Calibri"/>
                <w:color w:val="006100"/>
              </w:rPr>
              <w:t>-7,5%</w:t>
            </w:r>
          </w:p>
        </w:tc>
      </w:tr>
      <w:tr w:rsidR="001857E7" w:rsidRPr="00D44AA7" w14:paraId="36006DFB"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1CD489A" w14:textId="77777777" w:rsidR="001857E7" w:rsidRPr="00D44AA7" w:rsidRDefault="001857E7" w:rsidP="001857E7">
            <w:pPr>
              <w:spacing w:after="0" w:line="240" w:lineRule="auto"/>
              <w:contextualSpacing/>
              <w:rPr>
                <w:rFonts w:cs="Calibri"/>
              </w:rPr>
            </w:pPr>
            <w:r>
              <w:rPr>
                <w:rFonts w:cs="Calibri"/>
              </w:rPr>
              <w:t>Valle d'Aosta</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B66F15F" w14:textId="77777777" w:rsidR="001857E7" w:rsidRPr="00D44AA7" w:rsidRDefault="001857E7" w:rsidP="001857E7">
            <w:pPr>
              <w:spacing w:after="0" w:line="240" w:lineRule="auto"/>
              <w:contextualSpacing/>
              <w:rPr>
                <w:rFonts w:cs="Calibri"/>
              </w:rPr>
            </w:pPr>
            <w:r>
              <w:rPr>
                <w:rFonts w:cs="Calibri"/>
              </w:rPr>
              <w:t>Aosta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46908C" w14:textId="77777777" w:rsidR="001857E7" w:rsidRPr="00D44AA7" w:rsidRDefault="001857E7" w:rsidP="001857E7">
            <w:pPr>
              <w:spacing w:after="0" w:line="240" w:lineRule="auto"/>
              <w:contextualSpacing/>
              <w:jc w:val="center"/>
              <w:rPr>
                <w:rFonts w:cs="Calibri"/>
              </w:rPr>
            </w:pPr>
            <w:r>
              <w:rPr>
                <w:rFonts w:cs="Calibri"/>
              </w:rPr>
              <w:t xml:space="preserve">           104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92405D4" w14:textId="77777777" w:rsidR="001857E7" w:rsidRPr="001857E7" w:rsidRDefault="001857E7" w:rsidP="001857E7">
            <w:pPr>
              <w:spacing w:after="0" w:line="240" w:lineRule="auto"/>
              <w:contextualSpacing/>
              <w:jc w:val="center"/>
              <w:rPr>
                <w:rFonts w:cs="Calibri"/>
                <w:color w:val="006100"/>
              </w:rPr>
            </w:pPr>
            <w:r>
              <w:rPr>
                <w:rFonts w:cs="Calibri"/>
                <w:color w:val="006100"/>
              </w:rPr>
              <w:t>-35,2%</w:t>
            </w:r>
          </w:p>
        </w:tc>
      </w:tr>
      <w:tr w:rsidR="001857E7" w:rsidRPr="00D44AA7" w14:paraId="3DC5CE17"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9881977" w14:textId="77777777" w:rsidR="001857E7" w:rsidRPr="00D44AA7" w:rsidRDefault="001857E7" w:rsidP="001857E7">
            <w:pPr>
              <w:spacing w:after="0" w:line="240" w:lineRule="auto"/>
              <w:contextualSpacing/>
              <w:rPr>
                <w:rFonts w:cs="Calibri"/>
              </w:rPr>
            </w:pPr>
            <w:r>
              <w:rPr>
                <w:rFonts w:cs="Calibri"/>
              </w:rPr>
              <w:t>Veneto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545B78F" w14:textId="77777777" w:rsidR="001857E7" w:rsidRPr="00D44AA7" w:rsidRDefault="001857E7" w:rsidP="001857E7">
            <w:pPr>
              <w:spacing w:after="0" w:line="240" w:lineRule="auto"/>
              <w:contextualSpacing/>
              <w:rPr>
                <w:rFonts w:cs="Calibri"/>
              </w:rPr>
            </w:pPr>
            <w:r>
              <w:rPr>
                <w:rFonts w:cs="Calibri"/>
              </w:rPr>
              <w:t>Treviso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9FADCF" w14:textId="77777777" w:rsidR="001857E7" w:rsidRPr="00D44AA7" w:rsidRDefault="001857E7" w:rsidP="001857E7">
            <w:pPr>
              <w:spacing w:after="0" w:line="240" w:lineRule="auto"/>
              <w:contextualSpacing/>
              <w:jc w:val="center"/>
              <w:rPr>
                <w:rFonts w:cs="Calibri"/>
              </w:rPr>
            </w:pPr>
            <w:r>
              <w:rPr>
                <w:rFonts w:cs="Calibri"/>
              </w:rPr>
              <w:t xml:space="preserve">           227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EDBB544" w14:textId="77777777" w:rsidR="001857E7" w:rsidRPr="001857E7" w:rsidRDefault="001857E7" w:rsidP="001857E7">
            <w:pPr>
              <w:spacing w:after="0" w:line="240" w:lineRule="auto"/>
              <w:contextualSpacing/>
              <w:jc w:val="center"/>
              <w:rPr>
                <w:rFonts w:cs="Calibri"/>
                <w:color w:val="006100"/>
              </w:rPr>
            </w:pPr>
            <w:r>
              <w:rPr>
                <w:rFonts w:cs="Calibri"/>
                <w:color w:val="9C0006"/>
              </w:rPr>
              <w:t>6,6%</w:t>
            </w:r>
          </w:p>
        </w:tc>
      </w:tr>
      <w:tr w:rsidR="001857E7" w:rsidRPr="00D44AA7" w14:paraId="10025B83"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88020C5" w14:textId="77777777" w:rsidR="001857E7" w:rsidRPr="00D44AA7" w:rsidRDefault="001857E7" w:rsidP="001857E7">
            <w:pPr>
              <w:spacing w:after="0" w:line="240" w:lineRule="auto"/>
              <w:contextualSpacing/>
              <w:rPr>
                <w:rFonts w:cs="Calibri"/>
              </w:rPr>
            </w:pPr>
            <w:r>
              <w:rPr>
                <w:rFonts w:cs="Calibri"/>
              </w:rPr>
              <w:t>Veneto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6760C4C" w14:textId="77777777" w:rsidR="001857E7" w:rsidRPr="00D44AA7" w:rsidRDefault="001857E7" w:rsidP="001857E7">
            <w:pPr>
              <w:spacing w:after="0" w:line="240" w:lineRule="auto"/>
              <w:contextualSpacing/>
              <w:rPr>
                <w:rFonts w:cs="Calibri"/>
              </w:rPr>
            </w:pPr>
            <w:r>
              <w:rPr>
                <w:rFonts w:cs="Calibri"/>
              </w:rPr>
              <w:t>Padova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9C27435" w14:textId="77777777" w:rsidR="001857E7" w:rsidRPr="00D44AA7" w:rsidRDefault="001857E7" w:rsidP="001857E7">
            <w:pPr>
              <w:spacing w:after="0" w:line="240" w:lineRule="auto"/>
              <w:contextualSpacing/>
              <w:jc w:val="center"/>
              <w:rPr>
                <w:rFonts w:cs="Calibri"/>
              </w:rPr>
            </w:pPr>
            <w:r>
              <w:rPr>
                <w:rFonts w:cs="Calibri"/>
              </w:rPr>
              <w:t xml:space="preserve">           209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3F102B9" w14:textId="77777777" w:rsidR="001857E7" w:rsidRPr="001857E7" w:rsidRDefault="001857E7" w:rsidP="001857E7">
            <w:pPr>
              <w:spacing w:after="0" w:line="240" w:lineRule="auto"/>
              <w:contextualSpacing/>
              <w:jc w:val="center"/>
              <w:rPr>
                <w:rFonts w:cs="Calibri"/>
                <w:color w:val="006100"/>
              </w:rPr>
            </w:pPr>
            <w:r>
              <w:rPr>
                <w:rFonts w:cs="Calibri"/>
                <w:color w:val="9C0006"/>
              </w:rPr>
              <w:t>0,4%</w:t>
            </w:r>
          </w:p>
        </w:tc>
      </w:tr>
      <w:tr w:rsidR="001857E7" w:rsidRPr="00D44AA7" w14:paraId="5F556A00"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57D5E12" w14:textId="77777777" w:rsidR="001857E7" w:rsidRPr="00D44AA7" w:rsidRDefault="001857E7" w:rsidP="001857E7">
            <w:pPr>
              <w:spacing w:after="0" w:line="240" w:lineRule="auto"/>
              <w:contextualSpacing/>
              <w:rPr>
                <w:rFonts w:cs="Calibri"/>
              </w:rPr>
            </w:pPr>
            <w:r>
              <w:rPr>
                <w:rFonts w:cs="Calibri"/>
              </w:rPr>
              <w:t>Veneto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8EBC31" w14:textId="77777777" w:rsidR="001857E7" w:rsidRPr="00D44AA7" w:rsidRDefault="001857E7" w:rsidP="001857E7">
            <w:pPr>
              <w:spacing w:after="0" w:line="240" w:lineRule="auto"/>
              <w:contextualSpacing/>
              <w:rPr>
                <w:rFonts w:cs="Calibri"/>
              </w:rPr>
            </w:pPr>
            <w:r>
              <w:rPr>
                <w:rFonts w:cs="Calibri"/>
              </w:rPr>
              <w:t>Venezia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D693F7" w14:textId="77777777" w:rsidR="001857E7" w:rsidRPr="00D44AA7" w:rsidRDefault="001857E7" w:rsidP="001857E7">
            <w:pPr>
              <w:spacing w:after="0" w:line="240" w:lineRule="auto"/>
              <w:contextualSpacing/>
              <w:jc w:val="center"/>
              <w:rPr>
                <w:rFonts w:cs="Calibri"/>
              </w:rPr>
            </w:pPr>
            <w:r>
              <w:rPr>
                <w:rFonts w:cs="Calibri"/>
              </w:rPr>
              <w:t xml:space="preserve">           204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5F767C9" w14:textId="77777777" w:rsidR="001857E7" w:rsidRPr="001857E7" w:rsidRDefault="001857E7" w:rsidP="001857E7">
            <w:pPr>
              <w:spacing w:after="0" w:line="240" w:lineRule="auto"/>
              <w:contextualSpacing/>
              <w:jc w:val="center"/>
              <w:rPr>
                <w:rFonts w:cs="Calibri"/>
                <w:color w:val="006100"/>
              </w:rPr>
            </w:pPr>
            <w:r>
              <w:rPr>
                <w:rFonts w:cs="Calibri"/>
                <w:color w:val="9C0006"/>
              </w:rPr>
              <w:t>13,8%</w:t>
            </w:r>
          </w:p>
        </w:tc>
      </w:tr>
      <w:tr w:rsidR="001857E7" w:rsidRPr="00D44AA7" w14:paraId="2F4ECFE6" w14:textId="77777777" w:rsidTr="001857E7">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AD075FD" w14:textId="77777777" w:rsidR="001857E7" w:rsidRPr="00D44AA7" w:rsidRDefault="001857E7" w:rsidP="001857E7">
            <w:pPr>
              <w:spacing w:after="0" w:line="240" w:lineRule="auto"/>
              <w:contextualSpacing/>
              <w:rPr>
                <w:rFonts w:cs="Calibri"/>
              </w:rPr>
            </w:pPr>
            <w:r>
              <w:rPr>
                <w:rFonts w:cs="Calibri"/>
              </w:rPr>
              <w:t>Veneto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A4B4BA4" w14:textId="77777777" w:rsidR="001857E7" w:rsidRPr="00D44AA7" w:rsidRDefault="001857E7" w:rsidP="001857E7">
            <w:pPr>
              <w:spacing w:after="0" w:line="240" w:lineRule="auto"/>
              <w:contextualSpacing/>
              <w:rPr>
                <w:rFonts w:cs="Calibri"/>
              </w:rPr>
            </w:pPr>
            <w:r>
              <w:rPr>
                <w:rFonts w:cs="Calibri"/>
              </w:rPr>
              <w:t>Rovigo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5A1BF9A" w14:textId="77777777" w:rsidR="001857E7" w:rsidRPr="00D44AA7" w:rsidRDefault="001857E7" w:rsidP="001857E7">
            <w:pPr>
              <w:spacing w:after="0" w:line="240" w:lineRule="auto"/>
              <w:contextualSpacing/>
              <w:jc w:val="center"/>
              <w:rPr>
                <w:rFonts w:cs="Calibri"/>
              </w:rPr>
            </w:pPr>
            <w:r>
              <w:rPr>
                <w:rFonts w:cs="Calibri"/>
              </w:rPr>
              <w:t xml:space="preserve">           180 </w:t>
            </w:r>
          </w:p>
        </w:tc>
        <w:tc>
          <w:tcPr>
            <w:tcW w:w="1727"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7940356F" w14:textId="77777777" w:rsidR="001857E7" w:rsidRPr="001857E7" w:rsidRDefault="001857E7" w:rsidP="001857E7">
            <w:pPr>
              <w:spacing w:after="0" w:line="240" w:lineRule="auto"/>
              <w:contextualSpacing/>
              <w:jc w:val="center"/>
              <w:rPr>
                <w:rFonts w:cs="Calibri"/>
                <w:color w:val="006100"/>
              </w:rPr>
            </w:pPr>
            <w:r>
              <w:rPr>
                <w:rFonts w:cs="Calibri"/>
                <w:color w:val="9C0006"/>
              </w:rPr>
              <w:t>15,3%</w:t>
            </w:r>
          </w:p>
        </w:tc>
      </w:tr>
      <w:tr w:rsidR="001857E7" w:rsidRPr="00D44AA7" w14:paraId="73361ADD"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8A65AB" w14:textId="77777777" w:rsidR="001857E7" w:rsidRPr="00D44AA7" w:rsidRDefault="001857E7" w:rsidP="001857E7">
            <w:pPr>
              <w:spacing w:after="0" w:line="240" w:lineRule="auto"/>
              <w:contextualSpacing/>
              <w:rPr>
                <w:rFonts w:cs="Calibri"/>
              </w:rPr>
            </w:pPr>
            <w:r>
              <w:rPr>
                <w:rFonts w:cs="Calibri"/>
              </w:rPr>
              <w:t>Veneto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6B5D63" w14:textId="77777777" w:rsidR="001857E7" w:rsidRPr="00D44AA7" w:rsidRDefault="001857E7" w:rsidP="001857E7">
            <w:pPr>
              <w:spacing w:after="0" w:line="240" w:lineRule="auto"/>
              <w:contextualSpacing/>
              <w:rPr>
                <w:rFonts w:cs="Calibri"/>
              </w:rPr>
            </w:pPr>
            <w:r>
              <w:rPr>
                <w:rFonts w:cs="Calibri"/>
              </w:rPr>
              <w:t>Belluno</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EA7A01" w14:textId="77777777" w:rsidR="001857E7" w:rsidRPr="00D44AA7" w:rsidRDefault="001857E7" w:rsidP="001857E7">
            <w:pPr>
              <w:spacing w:after="0" w:line="240" w:lineRule="auto"/>
              <w:contextualSpacing/>
              <w:jc w:val="center"/>
              <w:rPr>
                <w:rFonts w:cs="Calibri"/>
              </w:rPr>
            </w:pPr>
            <w:r>
              <w:rPr>
                <w:rFonts w:cs="Calibri"/>
              </w:rPr>
              <w:t xml:space="preserve">           173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4574671" w14:textId="77777777" w:rsidR="001857E7" w:rsidRPr="001857E7" w:rsidRDefault="001857E7" w:rsidP="001857E7">
            <w:pPr>
              <w:spacing w:after="0" w:line="240" w:lineRule="auto"/>
              <w:contextualSpacing/>
              <w:jc w:val="center"/>
              <w:rPr>
                <w:rFonts w:cs="Calibri"/>
                <w:color w:val="006100"/>
              </w:rPr>
            </w:pPr>
            <w:r>
              <w:rPr>
                <w:rFonts w:cs="Calibri"/>
                <w:color w:val="006100"/>
              </w:rPr>
              <w:t>-8,9%</w:t>
            </w:r>
          </w:p>
        </w:tc>
      </w:tr>
      <w:tr w:rsidR="001857E7" w:rsidRPr="00D44AA7" w14:paraId="32B4E0F7"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B18ADD" w14:textId="77777777" w:rsidR="001857E7" w:rsidRPr="00D44AA7" w:rsidRDefault="001857E7" w:rsidP="001857E7">
            <w:pPr>
              <w:spacing w:after="0" w:line="240" w:lineRule="auto"/>
              <w:contextualSpacing/>
              <w:rPr>
                <w:rFonts w:cs="Calibri"/>
              </w:rPr>
            </w:pPr>
            <w:r>
              <w:rPr>
                <w:rFonts w:cs="Calibri"/>
              </w:rPr>
              <w:t>Veneto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2946C9" w14:textId="77777777" w:rsidR="001857E7" w:rsidRPr="00D44AA7" w:rsidRDefault="001857E7" w:rsidP="001857E7">
            <w:pPr>
              <w:spacing w:after="0" w:line="240" w:lineRule="auto"/>
              <w:contextualSpacing/>
              <w:rPr>
                <w:rFonts w:cs="Calibri"/>
              </w:rPr>
            </w:pPr>
            <w:r>
              <w:rPr>
                <w:rFonts w:cs="Calibri"/>
              </w:rPr>
              <w:t>Vicenza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8D424C" w14:textId="77777777" w:rsidR="001857E7" w:rsidRPr="00D44AA7" w:rsidRDefault="001857E7" w:rsidP="001857E7">
            <w:pPr>
              <w:spacing w:after="0" w:line="240" w:lineRule="auto"/>
              <w:contextualSpacing/>
              <w:jc w:val="center"/>
              <w:rPr>
                <w:rFonts w:cs="Calibri"/>
              </w:rPr>
            </w:pPr>
            <w:r>
              <w:rPr>
                <w:rFonts w:cs="Calibri"/>
              </w:rPr>
              <w:t xml:space="preserve">           169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F3516B4" w14:textId="77777777" w:rsidR="001857E7" w:rsidRPr="001857E7" w:rsidRDefault="001857E7" w:rsidP="001857E7">
            <w:pPr>
              <w:spacing w:after="0" w:line="240" w:lineRule="auto"/>
              <w:contextualSpacing/>
              <w:jc w:val="center"/>
              <w:rPr>
                <w:rFonts w:cs="Calibri"/>
                <w:color w:val="006100"/>
              </w:rPr>
            </w:pPr>
            <w:r>
              <w:rPr>
                <w:rFonts w:cs="Calibri"/>
                <w:color w:val="006100"/>
              </w:rPr>
              <w:t>-3,9%</w:t>
            </w:r>
          </w:p>
        </w:tc>
      </w:tr>
      <w:tr w:rsidR="001857E7" w:rsidRPr="00D44AA7" w14:paraId="3406B680" w14:textId="77777777" w:rsidTr="004150D5">
        <w:tblPrEx>
          <w:shd w:val="clear" w:color="auto" w:fill="CDD4E9"/>
        </w:tblPrEx>
        <w:trPr>
          <w:trHeight w:val="20"/>
          <w:jc w:val="center"/>
        </w:trPr>
        <w:tc>
          <w:tcPr>
            <w:tcW w:w="20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273B05" w14:textId="77777777" w:rsidR="001857E7" w:rsidRPr="00D44AA7" w:rsidRDefault="001857E7" w:rsidP="001857E7">
            <w:pPr>
              <w:spacing w:after="0" w:line="240" w:lineRule="auto"/>
              <w:contextualSpacing/>
              <w:rPr>
                <w:rFonts w:cs="Calibri"/>
              </w:rPr>
            </w:pPr>
            <w:r>
              <w:rPr>
                <w:rFonts w:cs="Calibri"/>
              </w:rPr>
              <w:t>Veneto</w:t>
            </w:r>
          </w:p>
        </w:tc>
        <w:tc>
          <w:tcPr>
            <w:tcW w:w="224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10201B" w14:textId="77777777" w:rsidR="001857E7" w:rsidRPr="00D44AA7" w:rsidRDefault="001857E7" w:rsidP="001857E7">
            <w:pPr>
              <w:spacing w:after="0" w:line="240" w:lineRule="auto"/>
              <w:contextualSpacing/>
              <w:rPr>
                <w:rFonts w:cs="Calibri"/>
              </w:rPr>
            </w:pPr>
            <w:r>
              <w:rPr>
                <w:rFonts w:cs="Calibri"/>
              </w:rPr>
              <w:t>Verona</w:t>
            </w:r>
          </w:p>
        </w:tc>
        <w:tc>
          <w:tcPr>
            <w:tcW w:w="210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1AC9E39" w14:textId="77777777" w:rsidR="001857E7" w:rsidRPr="00D44AA7" w:rsidRDefault="001857E7" w:rsidP="001857E7">
            <w:pPr>
              <w:spacing w:after="0" w:line="240" w:lineRule="auto"/>
              <w:contextualSpacing/>
              <w:jc w:val="center"/>
              <w:rPr>
                <w:rFonts w:cs="Calibri"/>
              </w:rPr>
            </w:pPr>
            <w:r>
              <w:rPr>
                <w:rFonts w:cs="Calibri"/>
              </w:rPr>
              <w:t xml:space="preserve">           154 </w:t>
            </w:r>
          </w:p>
        </w:tc>
        <w:tc>
          <w:tcPr>
            <w:tcW w:w="1727"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63ED890" w14:textId="77777777" w:rsidR="001857E7" w:rsidRPr="001857E7" w:rsidRDefault="001857E7" w:rsidP="001857E7">
            <w:pPr>
              <w:spacing w:after="0" w:line="240" w:lineRule="auto"/>
              <w:contextualSpacing/>
              <w:jc w:val="center"/>
              <w:rPr>
                <w:rFonts w:cs="Calibri"/>
                <w:color w:val="006100"/>
              </w:rPr>
            </w:pPr>
            <w:r>
              <w:rPr>
                <w:rFonts w:cs="Calibri"/>
                <w:color w:val="006100"/>
              </w:rPr>
              <w:t>-14,9%</w:t>
            </w:r>
          </w:p>
        </w:tc>
      </w:tr>
      <w:tr w:rsidR="00D91289" w:rsidRPr="00D44AA7" w14:paraId="4A53FA08" w14:textId="77777777" w:rsidTr="004150D5">
        <w:tblPrEx>
          <w:shd w:val="clear" w:color="auto" w:fill="CDD4E9"/>
        </w:tblPrEx>
        <w:trPr>
          <w:trHeight w:val="567"/>
          <w:jc w:val="center"/>
        </w:trPr>
        <w:tc>
          <w:tcPr>
            <w:tcW w:w="8075" w:type="dxa"/>
            <w:gridSpan w:val="4"/>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center"/>
          </w:tcPr>
          <w:p w14:paraId="00940A18" w14:textId="77777777" w:rsidR="00D91289" w:rsidRPr="00D44AA7" w:rsidRDefault="002B5E81" w:rsidP="006013F1">
            <w:pPr>
              <w:spacing w:after="0" w:line="240" w:lineRule="auto"/>
              <w:contextualSpacing/>
              <w:rPr>
                <w:rFonts w:cs="Calibri"/>
              </w:rPr>
            </w:pPr>
            <w:r w:rsidRPr="00D44AA7">
              <w:rPr>
                <w:rFonts w:eastAsia="Times New Roman" w:cs="Calibri"/>
                <w:color w:val="auto"/>
                <w:sz w:val="20"/>
                <w:szCs w:val="20"/>
                <w:bdr w:val="none" w:sz="0" w:space="0" w:color="auto"/>
              </w:rPr>
              <w:t>Nella quarta colonna i colori rosso e verde indicano rispettivamente un aumento o una diminuzione percentuale dei nuovi casi rispetto alla settimana precedente.</w:t>
            </w:r>
          </w:p>
        </w:tc>
      </w:tr>
    </w:tbl>
    <w:p w14:paraId="12ABF168" w14:textId="77777777" w:rsidR="0080409E" w:rsidRPr="00D44AA7" w:rsidRDefault="0080409E" w:rsidP="004D16FF"/>
    <w:p w14:paraId="6958E251" w14:textId="77777777" w:rsidR="00764162" w:rsidRPr="00D44AA7" w:rsidRDefault="00764162"/>
    <w:p w14:paraId="11EF3ED4" w14:textId="77777777" w:rsidR="005E38B7" w:rsidRPr="00D44AA7" w:rsidRDefault="005E38B7" w:rsidP="005E38B7">
      <w:pPr>
        <w:widowControl w:val="0"/>
        <w:spacing w:after="80" w:line="240" w:lineRule="auto"/>
        <w:jc w:val="center"/>
      </w:pPr>
    </w:p>
    <w:p w14:paraId="224A1918" w14:textId="77777777" w:rsidR="005E38B7" w:rsidRPr="00D44AA7" w:rsidRDefault="005E38B7"/>
    <w:sectPr w:rsidR="005E38B7" w:rsidRPr="00D44AA7" w:rsidSect="005B4AE1">
      <w:pgSz w:w="11900" w:h="16840"/>
      <w:pgMar w:top="1134" w:right="1134" w:bottom="141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E7B70" w14:textId="77777777" w:rsidR="004148ED" w:rsidRDefault="004148ED">
      <w:pPr>
        <w:spacing w:after="0" w:line="240" w:lineRule="auto"/>
      </w:pPr>
      <w:r>
        <w:separator/>
      </w:r>
    </w:p>
  </w:endnote>
  <w:endnote w:type="continuationSeparator" w:id="0">
    <w:p w14:paraId="41637CC3" w14:textId="77777777" w:rsidR="004148ED" w:rsidRDefault="0041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A515A" w14:textId="77777777" w:rsidR="004148ED" w:rsidRDefault="004148ED">
      <w:pPr>
        <w:spacing w:after="0" w:line="240" w:lineRule="auto"/>
      </w:pPr>
      <w:r>
        <w:separator/>
      </w:r>
    </w:p>
  </w:footnote>
  <w:footnote w:type="continuationSeparator" w:id="0">
    <w:p w14:paraId="02BFC3B3" w14:textId="77777777" w:rsidR="004148ED" w:rsidRDefault="0041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04E8"/>
    <w:multiLevelType w:val="hybridMultilevel"/>
    <w:tmpl w:val="D040A854"/>
    <w:styleLink w:val="Stileimportato2"/>
    <w:lvl w:ilvl="0" w:tplc="1DBC225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74C6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ADE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94C8A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812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5A4D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04A17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3C8E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FE0B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5EA64BC"/>
    <w:multiLevelType w:val="hybridMultilevel"/>
    <w:tmpl w:val="96F6CF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AA843EA"/>
    <w:multiLevelType w:val="hybridMultilevel"/>
    <w:tmpl w:val="3F8C4CC8"/>
    <w:styleLink w:val="Stileimportato1"/>
    <w:lvl w:ilvl="0" w:tplc="1130B08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5641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A41F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165A9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66D5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B8BE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CC800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CEC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C6E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21779F4"/>
    <w:multiLevelType w:val="hybridMultilevel"/>
    <w:tmpl w:val="BC9ADE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95C575F"/>
    <w:multiLevelType w:val="hybridMultilevel"/>
    <w:tmpl w:val="1F6485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B41235F"/>
    <w:multiLevelType w:val="hybridMultilevel"/>
    <w:tmpl w:val="652CA2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FF87F41"/>
    <w:multiLevelType w:val="hybridMultilevel"/>
    <w:tmpl w:val="43D6B9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17E7BAF"/>
    <w:multiLevelType w:val="hybridMultilevel"/>
    <w:tmpl w:val="75583F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39A6A66"/>
    <w:multiLevelType w:val="hybridMultilevel"/>
    <w:tmpl w:val="11F64F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3A32E7B"/>
    <w:multiLevelType w:val="hybridMultilevel"/>
    <w:tmpl w:val="BD90AF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D175159"/>
    <w:multiLevelType w:val="hybridMultilevel"/>
    <w:tmpl w:val="14CC1B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D6928C1"/>
    <w:multiLevelType w:val="hybridMultilevel"/>
    <w:tmpl w:val="42A400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59F1D45"/>
    <w:multiLevelType w:val="hybridMultilevel"/>
    <w:tmpl w:val="44BAFC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C076C38"/>
    <w:multiLevelType w:val="hybridMultilevel"/>
    <w:tmpl w:val="038C6C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26C30FE"/>
    <w:multiLevelType w:val="hybridMultilevel"/>
    <w:tmpl w:val="8DD6BF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A930BDF"/>
    <w:multiLevelType w:val="hybridMultilevel"/>
    <w:tmpl w:val="3BB858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18B5854"/>
    <w:multiLevelType w:val="hybridMultilevel"/>
    <w:tmpl w:val="9A5C2F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A480D13"/>
    <w:multiLevelType w:val="hybridMultilevel"/>
    <w:tmpl w:val="986AB3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F5E423A"/>
    <w:multiLevelType w:val="hybridMultilevel"/>
    <w:tmpl w:val="BC8848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A416E13"/>
    <w:multiLevelType w:val="hybridMultilevel"/>
    <w:tmpl w:val="40660F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5"/>
  </w:num>
  <w:num w:numId="5">
    <w:abstractNumId w:val="5"/>
  </w:num>
  <w:num w:numId="6">
    <w:abstractNumId w:val="8"/>
  </w:num>
  <w:num w:numId="7">
    <w:abstractNumId w:val="4"/>
  </w:num>
  <w:num w:numId="8">
    <w:abstractNumId w:val="12"/>
  </w:num>
  <w:num w:numId="9">
    <w:abstractNumId w:val="13"/>
  </w:num>
  <w:num w:numId="10">
    <w:abstractNumId w:val="10"/>
  </w:num>
  <w:num w:numId="11">
    <w:abstractNumId w:val="7"/>
  </w:num>
  <w:num w:numId="12">
    <w:abstractNumId w:val="18"/>
  </w:num>
  <w:num w:numId="13">
    <w:abstractNumId w:val="19"/>
  </w:num>
  <w:num w:numId="14">
    <w:abstractNumId w:val="3"/>
  </w:num>
  <w:num w:numId="15">
    <w:abstractNumId w:val="16"/>
  </w:num>
  <w:num w:numId="16">
    <w:abstractNumId w:val="14"/>
  </w:num>
  <w:num w:numId="17">
    <w:abstractNumId w:val="17"/>
  </w:num>
  <w:num w:numId="18">
    <w:abstractNumId w:val="9"/>
  </w:num>
  <w:num w:numId="19">
    <w:abstractNumId w:val="11"/>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82B"/>
    <w:rsid w:val="000022A7"/>
    <w:rsid w:val="00002300"/>
    <w:rsid w:val="0000244C"/>
    <w:rsid w:val="000027F8"/>
    <w:rsid w:val="000043C6"/>
    <w:rsid w:val="00004BE3"/>
    <w:rsid w:val="00004BF7"/>
    <w:rsid w:val="00004CA3"/>
    <w:rsid w:val="00004D92"/>
    <w:rsid w:val="00005129"/>
    <w:rsid w:val="00005172"/>
    <w:rsid w:val="000056DE"/>
    <w:rsid w:val="000066F6"/>
    <w:rsid w:val="0000714A"/>
    <w:rsid w:val="000078FA"/>
    <w:rsid w:val="00007BF9"/>
    <w:rsid w:val="00007D52"/>
    <w:rsid w:val="00010548"/>
    <w:rsid w:val="00010F65"/>
    <w:rsid w:val="0001119D"/>
    <w:rsid w:val="0001122C"/>
    <w:rsid w:val="00011791"/>
    <w:rsid w:val="00011E61"/>
    <w:rsid w:val="00011F4F"/>
    <w:rsid w:val="00012113"/>
    <w:rsid w:val="0001299A"/>
    <w:rsid w:val="00012B67"/>
    <w:rsid w:val="0001337E"/>
    <w:rsid w:val="00014385"/>
    <w:rsid w:val="00014C7B"/>
    <w:rsid w:val="00015574"/>
    <w:rsid w:val="00015BAE"/>
    <w:rsid w:val="00016690"/>
    <w:rsid w:val="00017890"/>
    <w:rsid w:val="0002043C"/>
    <w:rsid w:val="000206F4"/>
    <w:rsid w:val="0002125E"/>
    <w:rsid w:val="00021C19"/>
    <w:rsid w:val="000222A5"/>
    <w:rsid w:val="00023784"/>
    <w:rsid w:val="00024C2D"/>
    <w:rsid w:val="00024FD2"/>
    <w:rsid w:val="0002522B"/>
    <w:rsid w:val="00026518"/>
    <w:rsid w:val="00026849"/>
    <w:rsid w:val="00027033"/>
    <w:rsid w:val="000276DE"/>
    <w:rsid w:val="000300C2"/>
    <w:rsid w:val="00030535"/>
    <w:rsid w:val="0003144B"/>
    <w:rsid w:val="00031CD6"/>
    <w:rsid w:val="00032112"/>
    <w:rsid w:val="0003262E"/>
    <w:rsid w:val="00032658"/>
    <w:rsid w:val="00033800"/>
    <w:rsid w:val="00033A78"/>
    <w:rsid w:val="00033CE4"/>
    <w:rsid w:val="0003499E"/>
    <w:rsid w:val="00034A98"/>
    <w:rsid w:val="000352B4"/>
    <w:rsid w:val="000354CC"/>
    <w:rsid w:val="000356DF"/>
    <w:rsid w:val="00036428"/>
    <w:rsid w:val="000365C2"/>
    <w:rsid w:val="00036D4B"/>
    <w:rsid w:val="00036D6B"/>
    <w:rsid w:val="000373F1"/>
    <w:rsid w:val="00037451"/>
    <w:rsid w:val="00037A0A"/>
    <w:rsid w:val="00037F01"/>
    <w:rsid w:val="000403D3"/>
    <w:rsid w:val="00040D5E"/>
    <w:rsid w:val="000410EA"/>
    <w:rsid w:val="000415C2"/>
    <w:rsid w:val="00041695"/>
    <w:rsid w:val="00041719"/>
    <w:rsid w:val="00041D6E"/>
    <w:rsid w:val="000421A9"/>
    <w:rsid w:val="00042A2C"/>
    <w:rsid w:val="00042E7E"/>
    <w:rsid w:val="00043C39"/>
    <w:rsid w:val="00044665"/>
    <w:rsid w:val="00044ABB"/>
    <w:rsid w:val="00044C9B"/>
    <w:rsid w:val="00044EB9"/>
    <w:rsid w:val="000453E7"/>
    <w:rsid w:val="0004577B"/>
    <w:rsid w:val="00046B65"/>
    <w:rsid w:val="00047BCE"/>
    <w:rsid w:val="0005001A"/>
    <w:rsid w:val="00051038"/>
    <w:rsid w:val="0005206B"/>
    <w:rsid w:val="000523C5"/>
    <w:rsid w:val="00052578"/>
    <w:rsid w:val="000531D1"/>
    <w:rsid w:val="000542D3"/>
    <w:rsid w:val="0005433B"/>
    <w:rsid w:val="00054A26"/>
    <w:rsid w:val="00054D1D"/>
    <w:rsid w:val="000552E2"/>
    <w:rsid w:val="0005670B"/>
    <w:rsid w:val="00056C03"/>
    <w:rsid w:val="000572F4"/>
    <w:rsid w:val="00057324"/>
    <w:rsid w:val="0005772C"/>
    <w:rsid w:val="00057C36"/>
    <w:rsid w:val="00057E5F"/>
    <w:rsid w:val="00057F3D"/>
    <w:rsid w:val="0006040F"/>
    <w:rsid w:val="00060FAC"/>
    <w:rsid w:val="00061647"/>
    <w:rsid w:val="00061BF2"/>
    <w:rsid w:val="00061D4E"/>
    <w:rsid w:val="00062223"/>
    <w:rsid w:val="000625F5"/>
    <w:rsid w:val="00063092"/>
    <w:rsid w:val="00063723"/>
    <w:rsid w:val="0006525F"/>
    <w:rsid w:val="000653E7"/>
    <w:rsid w:val="0006599B"/>
    <w:rsid w:val="00065C95"/>
    <w:rsid w:val="00066602"/>
    <w:rsid w:val="0006669C"/>
    <w:rsid w:val="000668DA"/>
    <w:rsid w:val="00067039"/>
    <w:rsid w:val="000673B6"/>
    <w:rsid w:val="00067B8B"/>
    <w:rsid w:val="00071568"/>
    <w:rsid w:val="00071A13"/>
    <w:rsid w:val="00071C3B"/>
    <w:rsid w:val="0007243C"/>
    <w:rsid w:val="00072AFD"/>
    <w:rsid w:val="00072C04"/>
    <w:rsid w:val="00072F7C"/>
    <w:rsid w:val="00073532"/>
    <w:rsid w:val="00073A8A"/>
    <w:rsid w:val="00073DFF"/>
    <w:rsid w:val="000743B7"/>
    <w:rsid w:val="000747A9"/>
    <w:rsid w:val="00074E5F"/>
    <w:rsid w:val="00074FDD"/>
    <w:rsid w:val="000753BA"/>
    <w:rsid w:val="0007555B"/>
    <w:rsid w:val="00075694"/>
    <w:rsid w:val="00075EF2"/>
    <w:rsid w:val="00076216"/>
    <w:rsid w:val="000762C3"/>
    <w:rsid w:val="00077B4C"/>
    <w:rsid w:val="00077B7F"/>
    <w:rsid w:val="00077DC5"/>
    <w:rsid w:val="00080225"/>
    <w:rsid w:val="000803DA"/>
    <w:rsid w:val="0008040C"/>
    <w:rsid w:val="00080BE8"/>
    <w:rsid w:val="00080F14"/>
    <w:rsid w:val="000814C4"/>
    <w:rsid w:val="000814F9"/>
    <w:rsid w:val="00081B96"/>
    <w:rsid w:val="0008271E"/>
    <w:rsid w:val="0008362E"/>
    <w:rsid w:val="00083804"/>
    <w:rsid w:val="00083DE2"/>
    <w:rsid w:val="0008457A"/>
    <w:rsid w:val="00084E0B"/>
    <w:rsid w:val="00085386"/>
    <w:rsid w:val="00085AF6"/>
    <w:rsid w:val="00085D13"/>
    <w:rsid w:val="000867DD"/>
    <w:rsid w:val="000871FB"/>
    <w:rsid w:val="00087236"/>
    <w:rsid w:val="00087B77"/>
    <w:rsid w:val="00087ED7"/>
    <w:rsid w:val="00091A87"/>
    <w:rsid w:val="00091D56"/>
    <w:rsid w:val="00092022"/>
    <w:rsid w:val="0009249D"/>
    <w:rsid w:val="00093AE7"/>
    <w:rsid w:val="0009411D"/>
    <w:rsid w:val="00095584"/>
    <w:rsid w:val="00095667"/>
    <w:rsid w:val="00095DC5"/>
    <w:rsid w:val="00096350"/>
    <w:rsid w:val="00096577"/>
    <w:rsid w:val="000A00BA"/>
    <w:rsid w:val="000A0380"/>
    <w:rsid w:val="000A08BA"/>
    <w:rsid w:val="000A0920"/>
    <w:rsid w:val="000A0EDA"/>
    <w:rsid w:val="000A1093"/>
    <w:rsid w:val="000A1424"/>
    <w:rsid w:val="000A3264"/>
    <w:rsid w:val="000A39B8"/>
    <w:rsid w:val="000A422E"/>
    <w:rsid w:val="000A57A1"/>
    <w:rsid w:val="000A6581"/>
    <w:rsid w:val="000A6DB2"/>
    <w:rsid w:val="000A72BA"/>
    <w:rsid w:val="000A7DDA"/>
    <w:rsid w:val="000A7E95"/>
    <w:rsid w:val="000A7EA7"/>
    <w:rsid w:val="000B0339"/>
    <w:rsid w:val="000B0548"/>
    <w:rsid w:val="000B0AC0"/>
    <w:rsid w:val="000B119C"/>
    <w:rsid w:val="000B1B66"/>
    <w:rsid w:val="000B211A"/>
    <w:rsid w:val="000B21CF"/>
    <w:rsid w:val="000B242E"/>
    <w:rsid w:val="000B2449"/>
    <w:rsid w:val="000B25F9"/>
    <w:rsid w:val="000B3CDF"/>
    <w:rsid w:val="000B4554"/>
    <w:rsid w:val="000B47B9"/>
    <w:rsid w:val="000B4A82"/>
    <w:rsid w:val="000B53A4"/>
    <w:rsid w:val="000B5AC9"/>
    <w:rsid w:val="000B6238"/>
    <w:rsid w:val="000B68AC"/>
    <w:rsid w:val="000B6BAC"/>
    <w:rsid w:val="000C07AC"/>
    <w:rsid w:val="000C0A45"/>
    <w:rsid w:val="000C0B9A"/>
    <w:rsid w:val="000C1E98"/>
    <w:rsid w:val="000C22FE"/>
    <w:rsid w:val="000C2BD2"/>
    <w:rsid w:val="000C3C3C"/>
    <w:rsid w:val="000C3DE4"/>
    <w:rsid w:val="000C4285"/>
    <w:rsid w:val="000C63F8"/>
    <w:rsid w:val="000C645E"/>
    <w:rsid w:val="000C6B69"/>
    <w:rsid w:val="000C7105"/>
    <w:rsid w:val="000C789B"/>
    <w:rsid w:val="000C7A89"/>
    <w:rsid w:val="000D0625"/>
    <w:rsid w:val="000D08C8"/>
    <w:rsid w:val="000D0980"/>
    <w:rsid w:val="000D1250"/>
    <w:rsid w:val="000D1503"/>
    <w:rsid w:val="000D1F5C"/>
    <w:rsid w:val="000D24D7"/>
    <w:rsid w:val="000D2A90"/>
    <w:rsid w:val="000D2CAA"/>
    <w:rsid w:val="000D3B36"/>
    <w:rsid w:val="000D40CB"/>
    <w:rsid w:val="000D4370"/>
    <w:rsid w:val="000D57B4"/>
    <w:rsid w:val="000D5878"/>
    <w:rsid w:val="000D5B61"/>
    <w:rsid w:val="000D5C61"/>
    <w:rsid w:val="000D67CD"/>
    <w:rsid w:val="000D7077"/>
    <w:rsid w:val="000D75CD"/>
    <w:rsid w:val="000D7645"/>
    <w:rsid w:val="000D7A69"/>
    <w:rsid w:val="000D7DCE"/>
    <w:rsid w:val="000D7E45"/>
    <w:rsid w:val="000D7EE3"/>
    <w:rsid w:val="000E0BCB"/>
    <w:rsid w:val="000E0C48"/>
    <w:rsid w:val="000E1A5A"/>
    <w:rsid w:val="000E1ABF"/>
    <w:rsid w:val="000E1C12"/>
    <w:rsid w:val="000E238A"/>
    <w:rsid w:val="000E2D17"/>
    <w:rsid w:val="000E3472"/>
    <w:rsid w:val="000E476D"/>
    <w:rsid w:val="000E4A1A"/>
    <w:rsid w:val="000E506B"/>
    <w:rsid w:val="000E5ABA"/>
    <w:rsid w:val="000E60E1"/>
    <w:rsid w:val="000E60EB"/>
    <w:rsid w:val="000E64DA"/>
    <w:rsid w:val="000E6F3B"/>
    <w:rsid w:val="000E770E"/>
    <w:rsid w:val="000E781A"/>
    <w:rsid w:val="000E7A53"/>
    <w:rsid w:val="000F0385"/>
    <w:rsid w:val="000F09AA"/>
    <w:rsid w:val="000F159D"/>
    <w:rsid w:val="000F1EC4"/>
    <w:rsid w:val="000F2082"/>
    <w:rsid w:val="000F2389"/>
    <w:rsid w:val="000F387B"/>
    <w:rsid w:val="000F3AC7"/>
    <w:rsid w:val="000F4209"/>
    <w:rsid w:val="000F4917"/>
    <w:rsid w:val="000F5019"/>
    <w:rsid w:val="000F50A4"/>
    <w:rsid w:val="000F63CB"/>
    <w:rsid w:val="000F6D38"/>
    <w:rsid w:val="000F6EBD"/>
    <w:rsid w:val="000F6FE7"/>
    <w:rsid w:val="000F704A"/>
    <w:rsid w:val="000F7752"/>
    <w:rsid w:val="00100D0A"/>
    <w:rsid w:val="001014E8"/>
    <w:rsid w:val="00101803"/>
    <w:rsid w:val="00101EE1"/>
    <w:rsid w:val="00102089"/>
    <w:rsid w:val="001022BC"/>
    <w:rsid w:val="00102EF5"/>
    <w:rsid w:val="00103B2C"/>
    <w:rsid w:val="0010442F"/>
    <w:rsid w:val="001047B6"/>
    <w:rsid w:val="00104974"/>
    <w:rsid w:val="00104B88"/>
    <w:rsid w:val="00104DDA"/>
    <w:rsid w:val="0010568D"/>
    <w:rsid w:val="00106801"/>
    <w:rsid w:val="00106888"/>
    <w:rsid w:val="00106B84"/>
    <w:rsid w:val="00110316"/>
    <w:rsid w:val="001104E4"/>
    <w:rsid w:val="00111ED5"/>
    <w:rsid w:val="00111EF8"/>
    <w:rsid w:val="00111F9A"/>
    <w:rsid w:val="00112328"/>
    <w:rsid w:val="00112E06"/>
    <w:rsid w:val="001130FB"/>
    <w:rsid w:val="00113933"/>
    <w:rsid w:val="00113F04"/>
    <w:rsid w:val="00113F85"/>
    <w:rsid w:val="00114088"/>
    <w:rsid w:val="00114459"/>
    <w:rsid w:val="00114A78"/>
    <w:rsid w:val="00115B80"/>
    <w:rsid w:val="00115C48"/>
    <w:rsid w:val="00116006"/>
    <w:rsid w:val="00116B12"/>
    <w:rsid w:val="00116C56"/>
    <w:rsid w:val="00116C93"/>
    <w:rsid w:val="00117C6A"/>
    <w:rsid w:val="00117E10"/>
    <w:rsid w:val="001203E4"/>
    <w:rsid w:val="0012099D"/>
    <w:rsid w:val="00120DCD"/>
    <w:rsid w:val="00120F46"/>
    <w:rsid w:val="00121EB7"/>
    <w:rsid w:val="00122302"/>
    <w:rsid w:val="0012327E"/>
    <w:rsid w:val="0012383F"/>
    <w:rsid w:val="00123878"/>
    <w:rsid w:val="00123934"/>
    <w:rsid w:val="0012399B"/>
    <w:rsid w:val="00123B8F"/>
    <w:rsid w:val="0012436D"/>
    <w:rsid w:val="00124890"/>
    <w:rsid w:val="00124C08"/>
    <w:rsid w:val="00124EFF"/>
    <w:rsid w:val="0012540D"/>
    <w:rsid w:val="00126938"/>
    <w:rsid w:val="00126C0E"/>
    <w:rsid w:val="00127096"/>
    <w:rsid w:val="00127307"/>
    <w:rsid w:val="00127892"/>
    <w:rsid w:val="00127AA8"/>
    <w:rsid w:val="001304B0"/>
    <w:rsid w:val="0013062E"/>
    <w:rsid w:val="0013077F"/>
    <w:rsid w:val="00130B71"/>
    <w:rsid w:val="00131B77"/>
    <w:rsid w:val="00131B83"/>
    <w:rsid w:val="00131BD2"/>
    <w:rsid w:val="00131ECD"/>
    <w:rsid w:val="001324D5"/>
    <w:rsid w:val="00132966"/>
    <w:rsid w:val="00132BF8"/>
    <w:rsid w:val="001343AE"/>
    <w:rsid w:val="00134D05"/>
    <w:rsid w:val="00135006"/>
    <w:rsid w:val="00135D77"/>
    <w:rsid w:val="00135DBC"/>
    <w:rsid w:val="00136196"/>
    <w:rsid w:val="00136581"/>
    <w:rsid w:val="001367B8"/>
    <w:rsid w:val="001378AD"/>
    <w:rsid w:val="0014031D"/>
    <w:rsid w:val="001410D3"/>
    <w:rsid w:val="0014184C"/>
    <w:rsid w:val="00141D1E"/>
    <w:rsid w:val="00141E72"/>
    <w:rsid w:val="00141F0A"/>
    <w:rsid w:val="00141F2B"/>
    <w:rsid w:val="00141F2F"/>
    <w:rsid w:val="00142677"/>
    <w:rsid w:val="001429C0"/>
    <w:rsid w:val="001434A9"/>
    <w:rsid w:val="00143D58"/>
    <w:rsid w:val="001440A0"/>
    <w:rsid w:val="00144669"/>
    <w:rsid w:val="00144E5A"/>
    <w:rsid w:val="0014500F"/>
    <w:rsid w:val="00145D4E"/>
    <w:rsid w:val="00146286"/>
    <w:rsid w:val="00147243"/>
    <w:rsid w:val="001473B8"/>
    <w:rsid w:val="00147D1B"/>
    <w:rsid w:val="00150022"/>
    <w:rsid w:val="00150920"/>
    <w:rsid w:val="00150E81"/>
    <w:rsid w:val="00150F3B"/>
    <w:rsid w:val="001513A9"/>
    <w:rsid w:val="001518FD"/>
    <w:rsid w:val="00152127"/>
    <w:rsid w:val="001527E3"/>
    <w:rsid w:val="00152D1F"/>
    <w:rsid w:val="001532BC"/>
    <w:rsid w:val="001533C7"/>
    <w:rsid w:val="001533DC"/>
    <w:rsid w:val="00153627"/>
    <w:rsid w:val="001536E7"/>
    <w:rsid w:val="001546C9"/>
    <w:rsid w:val="00154EE5"/>
    <w:rsid w:val="00156214"/>
    <w:rsid w:val="00157CBE"/>
    <w:rsid w:val="00157E6E"/>
    <w:rsid w:val="00157F8B"/>
    <w:rsid w:val="00160B7B"/>
    <w:rsid w:val="00161281"/>
    <w:rsid w:val="00161433"/>
    <w:rsid w:val="00161AEE"/>
    <w:rsid w:val="001626C3"/>
    <w:rsid w:val="00162B3C"/>
    <w:rsid w:val="00162BE4"/>
    <w:rsid w:val="00162D8C"/>
    <w:rsid w:val="0016301A"/>
    <w:rsid w:val="0016350E"/>
    <w:rsid w:val="00163CCF"/>
    <w:rsid w:val="00164036"/>
    <w:rsid w:val="001647A3"/>
    <w:rsid w:val="001649D7"/>
    <w:rsid w:val="00164A5D"/>
    <w:rsid w:val="00165554"/>
    <w:rsid w:val="001667ED"/>
    <w:rsid w:val="00166F65"/>
    <w:rsid w:val="0016753E"/>
    <w:rsid w:val="0016781B"/>
    <w:rsid w:val="00167984"/>
    <w:rsid w:val="00167C65"/>
    <w:rsid w:val="00170F6D"/>
    <w:rsid w:val="00171468"/>
    <w:rsid w:val="001715BB"/>
    <w:rsid w:val="00171FB8"/>
    <w:rsid w:val="0017205A"/>
    <w:rsid w:val="0017383E"/>
    <w:rsid w:val="00173E38"/>
    <w:rsid w:val="001749DD"/>
    <w:rsid w:val="001753F4"/>
    <w:rsid w:val="00175571"/>
    <w:rsid w:val="00175709"/>
    <w:rsid w:val="00176053"/>
    <w:rsid w:val="00176234"/>
    <w:rsid w:val="00176590"/>
    <w:rsid w:val="00176B1E"/>
    <w:rsid w:val="00177874"/>
    <w:rsid w:val="001803BE"/>
    <w:rsid w:val="0018079D"/>
    <w:rsid w:val="00181994"/>
    <w:rsid w:val="00181F5C"/>
    <w:rsid w:val="00182713"/>
    <w:rsid w:val="0018288F"/>
    <w:rsid w:val="00183B21"/>
    <w:rsid w:val="00183FA3"/>
    <w:rsid w:val="00184068"/>
    <w:rsid w:val="00184E2C"/>
    <w:rsid w:val="001857E7"/>
    <w:rsid w:val="00185D5F"/>
    <w:rsid w:val="00186142"/>
    <w:rsid w:val="00186853"/>
    <w:rsid w:val="00186E2D"/>
    <w:rsid w:val="00186FBE"/>
    <w:rsid w:val="001876F5"/>
    <w:rsid w:val="00187EBF"/>
    <w:rsid w:val="00190ADC"/>
    <w:rsid w:val="00190DB2"/>
    <w:rsid w:val="00191EB1"/>
    <w:rsid w:val="00192428"/>
    <w:rsid w:val="0019345D"/>
    <w:rsid w:val="00194070"/>
    <w:rsid w:val="001940FA"/>
    <w:rsid w:val="00194F60"/>
    <w:rsid w:val="001956DC"/>
    <w:rsid w:val="001956DE"/>
    <w:rsid w:val="0019613B"/>
    <w:rsid w:val="00196E72"/>
    <w:rsid w:val="00197134"/>
    <w:rsid w:val="00197435"/>
    <w:rsid w:val="001A09E4"/>
    <w:rsid w:val="001A156C"/>
    <w:rsid w:val="001A1A34"/>
    <w:rsid w:val="001A1D07"/>
    <w:rsid w:val="001A1D6C"/>
    <w:rsid w:val="001A25C7"/>
    <w:rsid w:val="001A2A7F"/>
    <w:rsid w:val="001A2CC0"/>
    <w:rsid w:val="001A2F1B"/>
    <w:rsid w:val="001A2F4F"/>
    <w:rsid w:val="001A3572"/>
    <w:rsid w:val="001A37AC"/>
    <w:rsid w:val="001A3E0F"/>
    <w:rsid w:val="001A3E43"/>
    <w:rsid w:val="001A49EA"/>
    <w:rsid w:val="001A4ADB"/>
    <w:rsid w:val="001A503E"/>
    <w:rsid w:val="001A50D6"/>
    <w:rsid w:val="001A5713"/>
    <w:rsid w:val="001A5A00"/>
    <w:rsid w:val="001A633C"/>
    <w:rsid w:val="001A65C5"/>
    <w:rsid w:val="001A6AD7"/>
    <w:rsid w:val="001A7237"/>
    <w:rsid w:val="001A791A"/>
    <w:rsid w:val="001A7CDE"/>
    <w:rsid w:val="001B0254"/>
    <w:rsid w:val="001B0691"/>
    <w:rsid w:val="001B0764"/>
    <w:rsid w:val="001B1084"/>
    <w:rsid w:val="001B1836"/>
    <w:rsid w:val="001B28CF"/>
    <w:rsid w:val="001B2CE3"/>
    <w:rsid w:val="001B3047"/>
    <w:rsid w:val="001B3764"/>
    <w:rsid w:val="001B3D34"/>
    <w:rsid w:val="001B3DE6"/>
    <w:rsid w:val="001B405E"/>
    <w:rsid w:val="001B4527"/>
    <w:rsid w:val="001B4571"/>
    <w:rsid w:val="001B4670"/>
    <w:rsid w:val="001B4693"/>
    <w:rsid w:val="001B4F73"/>
    <w:rsid w:val="001B51CC"/>
    <w:rsid w:val="001B5BA0"/>
    <w:rsid w:val="001B71EA"/>
    <w:rsid w:val="001B723C"/>
    <w:rsid w:val="001B75D8"/>
    <w:rsid w:val="001C0240"/>
    <w:rsid w:val="001C0EBF"/>
    <w:rsid w:val="001C167C"/>
    <w:rsid w:val="001C20F5"/>
    <w:rsid w:val="001C3537"/>
    <w:rsid w:val="001C3B3C"/>
    <w:rsid w:val="001C3D01"/>
    <w:rsid w:val="001C3E66"/>
    <w:rsid w:val="001C5BEA"/>
    <w:rsid w:val="001C6ED6"/>
    <w:rsid w:val="001C70B3"/>
    <w:rsid w:val="001C7926"/>
    <w:rsid w:val="001C7E16"/>
    <w:rsid w:val="001D0234"/>
    <w:rsid w:val="001D082E"/>
    <w:rsid w:val="001D0883"/>
    <w:rsid w:val="001D0943"/>
    <w:rsid w:val="001D0E98"/>
    <w:rsid w:val="001D0F0B"/>
    <w:rsid w:val="001D1070"/>
    <w:rsid w:val="001D12A5"/>
    <w:rsid w:val="001D13C8"/>
    <w:rsid w:val="001D1905"/>
    <w:rsid w:val="001D1D16"/>
    <w:rsid w:val="001D213D"/>
    <w:rsid w:val="001D224C"/>
    <w:rsid w:val="001D22BD"/>
    <w:rsid w:val="001D26AD"/>
    <w:rsid w:val="001D28BD"/>
    <w:rsid w:val="001D33A7"/>
    <w:rsid w:val="001D4639"/>
    <w:rsid w:val="001D48DB"/>
    <w:rsid w:val="001D4C72"/>
    <w:rsid w:val="001D4DDE"/>
    <w:rsid w:val="001D5639"/>
    <w:rsid w:val="001D5B10"/>
    <w:rsid w:val="001D5E5A"/>
    <w:rsid w:val="001D6F38"/>
    <w:rsid w:val="001D7E62"/>
    <w:rsid w:val="001D7FE5"/>
    <w:rsid w:val="001E1FB2"/>
    <w:rsid w:val="001E2196"/>
    <w:rsid w:val="001E2453"/>
    <w:rsid w:val="001E297F"/>
    <w:rsid w:val="001E3B61"/>
    <w:rsid w:val="001E4641"/>
    <w:rsid w:val="001E4724"/>
    <w:rsid w:val="001E481E"/>
    <w:rsid w:val="001E49E6"/>
    <w:rsid w:val="001E509A"/>
    <w:rsid w:val="001E5259"/>
    <w:rsid w:val="001E5653"/>
    <w:rsid w:val="001E5977"/>
    <w:rsid w:val="001E6262"/>
    <w:rsid w:val="001E7AB9"/>
    <w:rsid w:val="001E7D8F"/>
    <w:rsid w:val="001F00E4"/>
    <w:rsid w:val="001F0400"/>
    <w:rsid w:val="001F0985"/>
    <w:rsid w:val="001F1661"/>
    <w:rsid w:val="001F1DD8"/>
    <w:rsid w:val="001F1DEB"/>
    <w:rsid w:val="001F1E82"/>
    <w:rsid w:val="001F2A2D"/>
    <w:rsid w:val="001F2BEC"/>
    <w:rsid w:val="001F2C8A"/>
    <w:rsid w:val="001F2C8F"/>
    <w:rsid w:val="001F30E7"/>
    <w:rsid w:val="001F3785"/>
    <w:rsid w:val="001F4334"/>
    <w:rsid w:val="001F48D1"/>
    <w:rsid w:val="001F4A7E"/>
    <w:rsid w:val="001F4AD2"/>
    <w:rsid w:val="001F50EF"/>
    <w:rsid w:val="001F63AA"/>
    <w:rsid w:val="001F64EF"/>
    <w:rsid w:val="001F668D"/>
    <w:rsid w:val="001F67CE"/>
    <w:rsid w:val="001F6835"/>
    <w:rsid w:val="001F7135"/>
    <w:rsid w:val="001F7366"/>
    <w:rsid w:val="001F7612"/>
    <w:rsid w:val="00200400"/>
    <w:rsid w:val="002006FB"/>
    <w:rsid w:val="002008E2"/>
    <w:rsid w:val="00200DB8"/>
    <w:rsid w:val="00201768"/>
    <w:rsid w:val="00201A2D"/>
    <w:rsid w:val="00201D62"/>
    <w:rsid w:val="0020223B"/>
    <w:rsid w:val="00202793"/>
    <w:rsid w:val="00202D0A"/>
    <w:rsid w:val="00204993"/>
    <w:rsid w:val="00204D79"/>
    <w:rsid w:val="002054E6"/>
    <w:rsid w:val="002059AE"/>
    <w:rsid w:val="00205B01"/>
    <w:rsid w:val="0020699D"/>
    <w:rsid w:val="00207D85"/>
    <w:rsid w:val="00207EFE"/>
    <w:rsid w:val="00210040"/>
    <w:rsid w:val="002101D9"/>
    <w:rsid w:val="00210AF9"/>
    <w:rsid w:val="00211923"/>
    <w:rsid w:val="00211CA6"/>
    <w:rsid w:val="002122FF"/>
    <w:rsid w:val="002127CE"/>
    <w:rsid w:val="002127D1"/>
    <w:rsid w:val="00212F66"/>
    <w:rsid w:val="00213464"/>
    <w:rsid w:val="00213DE0"/>
    <w:rsid w:val="00213F85"/>
    <w:rsid w:val="00214B7C"/>
    <w:rsid w:val="0021525D"/>
    <w:rsid w:val="002158E7"/>
    <w:rsid w:val="00216973"/>
    <w:rsid w:val="00216F85"/>
    <w:rsid w:val="00217016"/>
    <w:rsid w:val="002171F6"/>
    <w:rsid w:val="00217A58"/>
    <w:rsid w:val="00217C57"/>
    <w:rsid w:val="002202C1"/>
    <w:rsid w:val="00220BCF"/>
    <w:rsid w:val="002222F6"/>
    <w:rsid w:val="0022308F"/>
    <w:rsid w:val="00223DBB"/>
    <w:rsid w:val="00223F5C"/>
    <w:rsid w:val="00224675"/>
    <w:rsid w:val="0022481D"/>
    <w:rsid w:val="0022544D"/>
    <w:rsid w:val="00226698"/>
    <w:rsid w:val="00226C11"/>
    <w:rsid w:val="00227577"/>
    <w:rsid w:val="002330ED"/>
    <w:rsid w:val="002344C4"/>
    <w:rsid w:val="002348FC"/>
    <w:rsid w:val="002349E6"/>
    <w:rsid w:val="00234AD6"/>
    <w:rsid w:val="00234B97"/>
    <w:rsid w:val="00234E8A"/>
    <w:rsid w:val="002351A0"/>
    <w:rsid w:val="00235552"/>
    <w:rsid w:val="00235E4D"/>
    <w:rsid w:val="00236626"/>
    <w:rsid w:val="0023670C"/>
    <w:rsid w:val="002369FF"/>
    <w:rsid w:val="00236FB0"/>
    <w:rsid w:val="0023721D"/>
    <w:rsid w:val="00240195"/>
    <w:rsid w:val="002408C1"/>
    <w:rsid w:val="00240E19"/>
    <w:rsid w:val="00240E86"/>
    <w:rsid w:val="00241542"/>
    <w:rsid w:val="0024188A"/>
    <w:rsid w:val="002427A3"/>
    <w:rsid w:val="00242AB2"/>
    <w:rsid w:val="00242C77"/>
    <w:rsid w:val="00242F2C"/>
    <w:rsid w:val="00243535"/>
    <w:rsid w:val="00243949"/>
    <w:rsid w:val="0024483B"/>
    <w:rsid w:val="00244983"/>
    <w:rsid w:val="00245030"/>
    <w:rsid w:val="00245DC3"/>
    <w:rsid w:val="00246244"/>
    <w:rsid w:val="00246954"/>
    <w:rsid w:val="0024739E"/>
    <w:rsid w:val="00247670"/>
    <w:rsid w:val="00247B4B"/>
    <w:rsid w:val="00247BA3"/>
    <w:rsid w:val="00247F6D"/>
    <w:rsid w:val="00250437"/>
    <w:rsid w:val="002515D1"/>
    <w:rsid w:val="002517CA"/>
    <w:rsid w:val="00251947"/>
    <w:rsid w:val="002519DD"/>
    <w:rsid w:val="00251A96"/>
    <w:rsid w:val="00252D32"/>
    <w:rsid w:val="0025323D"/>
    <w:rsid w:val="00253DD5"/>
    <w:rsid w:val="002540D8"/>
    <w:rsid w:val="00254613"/>
    <w:rsid w:val="00254744"/>
    <w:rsid w:val="002549B0"/>
    <w:rsid w:val="00254CC7"/>
    <w:rsid w:val="00254DBE"/>
    <w:rsid w:val="00255240"/>
    <w:rsid w:val="002560A9"/>
    <w:rsid w:val="002569A9"/>
    <w:rsid w:val="00257103"/>
    <w:rsid w:val="002572A2"/>
    <w:rsid w:val="002573BE"/>
    <w:rsid w:val="0026223C"/>
    <w:rsid w:val="00262272"/>
    <w:rsid w:val="00262672"/>
    <w:rsid w:val="00262F80"/>
    <w:rsid w:val="002634F1"/>
    <w:rsid w:val="00263869"/>
    <w:rsid w:val="00263A36"/>
    <w:rsid w:val="00263BCF"/>
    <w:rsid w:val="00263DA4"/>
    <w:rsid w:val="002642CF"/>
    <w:rsid w:val="0026464D"/>
    <w:rsid w:val="00264850"/>
    <w:rsid w:val="00265C72"/>
    <w:rsid w:val="00265ECF"/>
    <w:rsid w:val="00266358"/>
    <w:rsid w:val="00266588"/>
    <w:rsid w:val="002667D7"/>
    <w:rsid w:val="002669FF"/>
    <w:rsid w:val="00266BBA"/>
    <w:rsid w:val="00266BEA"/>
    <w:rsid w:val="00266D51"/>
    <w:rsid w:val="00266FB9"/>
    <w:rsid w:val="0026717A"/>
    <w:rsid w:val="0026757D"/>
    <w:rsid w:val="002676BD"/>
    <w:rsid w:val="0026792F"/>
    <w:rsid w:val="00267F98"/>
    <w:rsid w:val="00267FC6"/>
    <w:rsid w:val="00272094"/>
    <w:rsid w:val="002723FF"/>
    <w:rsid w:val="002739E8"/>
    <w:rsid w:val="00273C22"/>
    <w:rsid w:val="00275060"/>
    <w:rsid w:val="00275641"/>
    <w:rsid w:val="00275B6C"/>
    <w:rsid w:val="00275C72"/>
    <w:rsid w:val="00275FFE"/>
    <w:rsid w:val="002763EA"/>
    <w:rsid w:val="00276F49"/>
    <w:rsid w:val="00276FFD"/>
    <w:rsid w:val="00281537"/>
    <w:rsid w:val="00282D8E"/>
    <w:rsid w:val="0028387B"/>
    <w:rsid w:val="00283CCD"/>
    <w:rsid w:val="002846B6"/>
    <w:rsid w:val="00284E3A"/>
    <w:rsid w:val="002851AE"/>
    <w:rsid w:val="00285319"/>
    <w:rsid w:val="00286961"/>
    <w:rsid w:val="00286F0E"/>
    <w:rsid w:val="002870DE"/>
    <w:rsid w:val="002879EE"/>
    <w:rsid w:val="0029023D"/>
    <w:rsid w:val="00290AD4"/>
    <w:rsid w:val="00290DF8"/>
    <w:rsid w:val="00290E33"/>
    <w:rsid w:val="00290E59"/>
    <w:rsid w:val="00291E7C"/>
    <w:rsid w:val="00291ECD"/>
    <w:rsid w:val="0029275F"/>
    <w:rsid w:val="0029423D"/>
    <w:rsid w:val="0029562D"/>
    <w:rsid w:val="00295927"/>
    <w:rsid w:val="00296666"/>
    <w:rsid w:val="00296AF1"/>
    <w:rsid w:val="00296E5F"/>
    <w:rsid w:val="002970AF"/>
    <w:rsid w:val="00297573"/>
    <w:rsid w:val="00297667"/>
    <w:rsid w:val="00297DEB"/>
    <w:rsid w:val="002A0FB9"/>
    <w:rsid w:val="002A1AA7"/>
    <w:rsid w:val="002A1EB7"/>
    <w:rsid w:val="002A225E"/>
    <w:rsid w:val="002A22E3"/>
    <w:rsid w:val="002A2549"/>
    <w:rsid w:val="002A264E"/>
    <w:rsid w:val="002A2883"/>
    <w:rsid w:val="002A300B"/>
    <w:rsid w:val="002A35BD"/>
    <w:rsid w:val="002A407A"/>
    <w:rsid w:val="002A4098"/>
    <w:rsid w:val="002A4857"/>
    <w:rsid w:val="002A50E7"/>
    <w:rsid w:val="002A53C2"/>
    <w:rsid w:val="002A62EC"/>
    <w:rsid w:val="002A6E01"/>
    <w:rsid w:val="002A6F90"/>
    <w:rsid w:val="002A7BEE"/>
    <w:rsid w:val="002B0423"/>
    <w:rsid w:val="002B0A30"/>
    <w:rsid w:val="002B0ADF"/>
    <w:rsid w:val="002B20E2"/>
    <w:rsid w:val="002B2371"/>
    <w:rsid w:val="002B2CCB"/>
    <w:rsid w:val="002B3E49"/>
    <w:rsid w:val="002B3EF3"/>
    <w:rsid w:val="002B47C0"/>
    <w:rsid w:val="002B4F83"/>
    <w:rsid w:val="002B50CC"/>
    <w:rsid w:val="002B53AA"/>
    <w:rsid w:val="002B59E2"/>
    <w:rsid w:val="002B5AE9"/>
    <w:rsid w:val="002B5E81"/>
    <w:rsid w:val="002B66F4"/>
    <w:rsid w:val="002B6B31"/>
    <w:rsid w:val="002B7A43"/>
    <w:rsid w:val="002B7BFA"/>
    <w:rsid w:val="002B7F50"/>
    <w:rsid w:val="002C0EEE"/>
    <w:rsid w:val="002C162D"/>
    <w:rsid w:val="002C16AA"/>
    <w:rsid w:val="002C1743"/>
    <w:rsid w:val="002C181E"/>
    <w:rsid w:val="002C19C1"/>
    <w:rsid w:val="002C1E12"/>
    <w:rsid w:val="002C23F8"/>
    <w:rsid w:val="002C29AD"/>
    <w:rsid w:val="002C2AF9"/>
    <w:rsid w:val="002C3E8F"/>
    <w:rsid w:val="002C43D7"/>
    <w:rsid w:val="002C449C"/>
    <w:rsid w:val="002C4CF0"/>
    <w:rsid w:val="002C5910"/>
    <w:rsid w:val="002C5E04"/>
    <w:rsid w:val="002C672C"/>
    <w:rsid w:val="002C6B92"/>
    <w:rsid w:val="002C6B93"/>
    <w:rsid w:val="002C7BFD"/>
    <w:rsid w:val="002C7D11"/>
    <w:rsid w:val="002D13D6"/>
    <w:rsid w:val="002D15EC"/>
    <w:rsid w:val="002D19DA"/>
    <w:rsid w:val="002D1ACC"/>
    <w:rsid w:val="002D270C"/>
    <w:rsid w:val="002D287E"/>
    <w:rsid w:val="002D288E"/>
    <w:rsid w:val="002D30A6"/>
    <w:rsid w:val="002D3E70"/>
    <w:rsid w:val="002D4262"/>
    <w:rsid w:val="002D4591"/>
    <w:rsid w:val="002D49A9"/>
    <w:rsid w:val="002D4F74"/>
    <w:rsid w:val="002D5592"/>
    <w:rsid w:val="002D61FA"/>
    <w:rsid w:val="002D66EF"/>
    <w:rsid w:val="002D6D0C"/>
    <w:rsid w:val="002D7021"/>
    <w:rsid w:val="002D7B0F"/>
    <w:rsid w:val="002E0B40"/>
    <w:rsid w:val="002E0CF7"/>
    <w:rsid w:val="002E1056"/>
    <w:rsid w:val="002E11E1"/>
    <w:rsid w:val="002E1532"/>
    <w:rsid w:val="002E1669"/>
    <w:rsid w:val="002E1C4C"/>
    <w:rsid w:val="002E2285"/>
    <w:rsid w:val="002E246A"/>
    <w:rsid w:val="002E3070"/>
    <w:rsid w:val="002E30C9"/>
    <w:rsid w:val="002E37EA"/>
    <w:rsid w:val="002E3A5D"/>
    <w:rsid w:val="002E42FC"/>
    <w:rsid w:val="002E452A"/>
    <w:rsid w:val="002E63F1"/>
    <w:rsid w:val="002E732B"/>
    <w:rsid w:val="002E76BD"/>
    <w:rsid w:val="002E7BAF"/>
    <w:rsid w:val="002E7DDE"/>
    <w:rsid w:val="002F0760"/>
    <w:rsid w:val="002F0B13"/>
    <w:rsid w:val="002F1A2D"/>
    <w:rsid w:val="002F1D1A"/>
    <w:rsid w:val="002F262E"/>
    <w:rsid w:val="002F33CD"/>
    <w:rsid w:val="002F3559"/>
    <w:rsid w:val="002F4065"/>
    <w:rsid w:val="002F4AE2"/>
    <w:rsid w:val="002F5606"/>
    <w:rsid w:val="002F58DD"/>
    <w:rsid w:val="002F6010"/>
    <w:rsid w:val="002F60B6"/>
    <w:rsid w:val="002F6277"/>
    <w:rsid w:val="002F6530"/>
    <w:rsid w:val="002F6B9C"/>
    <w:rsid w:val="002F6D59"/>
    <w:rsid w:val="002F6DDF"/>
    <w:rsid w:val="002F76B6"/>
    <w:rsid w:val="002F7E69"/>
    <w:rsid w:val="002F7EF9"/>
    <w:rsid w:val="00300770"/>
    <w:rsid w:val="00301555"/>
    <w:rsid w:val="00301A05"/>
    <w:rsid w:val="00301F67"/>
    <w:rsid w:val="00302173"/>
    <w:rsid w:val="00302774"/>
    <w:rsid w:val="003033A7"/>
    <w:rsid w:val="00303AA0"/>
    <w:rsid w:val="00304225"/>
    <w:rsid w:val="00304954"/>
    <w:rsid w:val="003049F6"/>
    <w:rsid w:val="00305C43"/>
    <w:rsid w:val="00305D40"/>
    <w:rsid w:val="00305FD6"/>
    <w:rsid w:val="00306478"/>
    <w:rsid w:val="00306641"/>
    <w:rsid w:val="003068D2"/>
    <w:rsid w:val="00306EC3"/>
    <w:rsid w:val="003076C1"/>
    <w:rsid w:val="00310449"/>
    <w:rsid w:val="003106B8"/>
    <w:rsid w:val="00310997"/>
    <w:rsid w:val="003120AF"/>
    <w:rsid w:val="00312170"/>
    <w:rsid w:val="0031239E"/>
    <w:rsid w:val="00312A53"/>
    <w:rsid w:val="00312D49"/>
    <w:rsid w:val="00312E2D"/>
    <w:rsid w:val="00312EB1"/>
    <w:rsid w:val="0031336F"/>
    <w:rsid w:val="003148FC"/>
    <w:rsid w:val="00314B03"/>
    <w:rsid w:val="003159C9"/>
    <w:rsid w:val="00315A37"/>
    <w:rsid w:val="00315CB0"/>
    <w:rsid w:val="003163EB"/>
    <w:rsid w:val="003178F9"/>
    <w:rsid w:val="00317A4C"/>
    <w:rsid w:val="00317E3D"/>
    <w:rsid w:val="00320817"/>
    <w:rsid w:val="00320D4F"/>
    <w:rsid w:val="00320D92"/>
    <w:rsid w:val="00321347"/>
    <w:rsid w:val="00321CCA"/>
    <w:rsid w:val="00321D29"/>
    <w:rsid w:val="00322491"/>
    <w:rsid w:val="00322631"/>
    <w:rsid w:val="00322C39"/>
    <w:rsid w:val="00322F21"/>
    <w:rsid w:val="0032323D"/>
    <w:rsid w:val="0032415F"/>
    <w:rsid w:val="003245C8"/>
    <w:rsid w:val="00324695"/>
    <w:rsid w:val="00325B76"/>
    <w:rsid w:val="00325C89"/>
    <w:rsid w:val="00325D76"/>
    <w:rsid w:val="00326426"/>
    <w:rsid w:val="0032674E"/>
    <w:rsid w:val="003267E9"/>
    <w:rsid w:val="00326AB4"/>
    <w:rsid w:val="003274E5"/>
    <w:rsid w:val="0032773F"/>
    <w:rsid w:val="00330F1C"/>
    <w:rsid w:val="00330F23"/>
    <w:rsid w:val="00331A02"/>
    <w:rsid w:val="00332BC9"/>
    <w:rsid w:val="00332E22"/>
    <w:rsid w:val="00332FBA"/>
    <w:rsid w:val="003332F1"/>
    <w:rsid w:val="00333BB6"/>
    <w:rsid w:val="00333D4F"/>
    <w:rsid w:val="003350E5"/>
    <w:rsid w:val="0033511B"/>
    <w:rsid w:val="00337022"/>
    <w:rsid w:val="00337427"/>
    <w:rsid w:val="003375DC"/>
    <w:rsid w:val="00337B53"/>
    <w:rsid w:val="00340152"/>
    <w:rsid w:val="00340216"/>
    <w:rsid w:val="003408FB"/>
    <w:rsid w:val="00340B2D"/>
    <w:rsid w:val="0034119B"/>
    <w:rsid w:val="00341691"/>
    <w:rsid w:val="00342065"/>
    <w:rsid w:val="0034228C"/>
    <w:rsid w:val="003422C4"/>
    <w:rsid w:val="00342A3A"/>
    <w:rsid w:val="0034324C"/>
    <w:rsid w:val="00345444"/>
    <w:rsid w:val="00345585"/>
    <w:rsid w:val="0034565E"/>
    <w:rsid w:val="003457D9"/>
    <w:rsid w:val="00346171"/>
    <w:rsid w:val="003461BD"/>
    <w:rsid w:val="00347032"/>
    <w:rsid w:val="003477C3"/>
    <w:rsid w:val="00347F09"/>
    <w:rsid w:val="00347F76"/>
    <w:rsid w:val="00350108"/>
    <w:rsid w:val="0035087A"/>
    <w:rsid w:val="0035163C"/>
    <w:rsid w:val="00351746"/>
    <w:rsid w:val="003519B6"/>
    <w:rsid w:val="003534DD"/>
    <w:rsid w:val="00353CBD"/>
    <w:rsid w:val="00354B9D"/>
    <w:rsid w:val="0035543D"/>
    <w:rsid w:val="003562C6"/>
    <w:rsid w:val="003565D0"/>
    <w:rsid w:val="00357327"/>
    <w:rsid w:val="00357363"/>
    <w:rsid w:val="00360D63"/>
    <w:rsid w:val="00360F67"/>
    <w:rsid w:val="003612F6"/>
    <w:rsid w:val="003614B8"/>
    <w:rsid w:val="00361905"/>
    <w:rsid w:val="00361FB1"/>
    <w:rsid w:val="003621FC"/>
    <w:rsid w:val="003628BF"/>
    <w:rsid w:val="00362BBB"/>
    <w:rsid w:val="00362CAB"/>
    <w:rsid w:val="00362FDB"/>
    <w:rsid w:val="00363039"/>
    <w:rsid w:val="003631E5"/>
    <w:rsid w:val="0036469A"/>
    <w:rsid w:val="00364ED4"/>
    <w:rsid w:val="0036518B"/>
    <w:rsid w:val="00365280"/>
    <w:rsid w:val="0036535A"/>
    <w:rsid w:val="0036634C"/>
    <w:rsid w:val="00366CCB"/>
    <w:rsid w:val="00367020"/>
    <w:rsid w:val="00367AEB"/>
    <w:rsid w:val="00367BA7"/>
    <w:rsid w:val="0037023A"/>
    <w:rsid w:val="0037026E"/>
    <w:rsid w:val="003709B0"/>
    <w:rsid w:val="00370F56"/>
    <w:rsid w:val="003719ED"/>
    <w:rsid w:val="00371C1D"/>
    <w:rsid w:val="003726E1"/>
    <w:rsid w:val="003727A7"/>
    <w:rsid w:val="00372AFA"/>
    <w:rsid w:val="00372B2C"/>
    <w:rsid w:val="0037304B"/>
    <w:rsid w:val="00373CA2"/>
    <w:rsid w:val="0037430E"/>
    <w:rsid w:val="003744DF"/>
    <w:rsid w:val="0037469D"/>
    <w:rsid w:val="003747F1"/>
    <w:rsid w:val="0037564C"/>
    <w:rsid w:val="003763C5"/>
    <w:rsid w:val="00376A63"/>
    <w:rsid w:val="00376B57"/>
    <w:rsid w:val="00376B91"/>
    <w:rsid w:val="00376E88"/>
    <w:rsid w:val="00380127"/>
    <w:rsid w:val="00380531"/>
    <w:rsid w:val="00382074"/>
    <w:rsid w:val="00382557"/>
    <w:rsid w:val="0038374F"/>
    <w:rsid w:val="00383A18"/>
    <w:rsid w:val="00383FBD"/>
    <w:rsid w:val="00384423"/>
    <w:rsid w:val="00385025"/>
    <w:rsid w:val="00385142"/>
    <w:rsid w:val="00385C48"/>
    <w:rsid w:val="0038657C"/>
    <w:rsid w:val="003874BF"/>
    <w:rsid w:val="003874D0"/>
    <w:rsid w:val="003879A8"/>
    <w:rsid w:val="00387D4E"/>
    <w:rsid w:val="00387ED6"/>
    <w:rsid w:val="003908B8"/>
    <w:rsid w:val="00390F8F"/>
    <w:rsid w:val="00391515"/>
    <w:rsid w:val="00391BD8"/>
    <w:rsid w:val="00391D3F"/>
    <w:rsid w:val="00392041"/>
    <w:rsid w:val="003920FB"/>
    <w:rsid w:val="0039217B"/>
    <w:rsid w:val="0039246E"/>
    <w:rsid w:val="003924CD"/>
    <w:rsid w:val="003932D6"/>
    <w:rsid w:val="0039345B"/>
    <w:rsid w:val="00393652"/>
    <w:rsid w:val="00393F63"/>
    <w:rsid w:val="00394375"/>
    <w:rsid w:val="00394447"/>
    <w:rsid w:val="00394992"/>
    <w:rsid w:val="00394FF8"/>
    <w:rsid w:val="0039505A"/>
    <w:rsid w:val="003950EC"/>
    <w:rsid w:val="00395E21"/>
    <w:rsid w:val="00396346"/>
    <w:rsid w:val="003965BE"/>
    <w:rsid w:val="00396D1B"/>
    <w:rsid w:val="00397CA5"/>
    <w:rsid w:val="003A051C"/>
    <w:rsid w:val="003A0661"/>
    <w:rsid w:val="003A0BC9"/>
    <w:rsid w:val="003A0D49"/>
    <w:rsid w:val="003A149B"/>
    <w:rsid w:val="003A1AA3"/>
    <w:rsid w:val="003A1AD0"/>
    <w:rsid w:val="003A1C93"/>
    <w:rsid w:val="003A2395"/>
    <w:rsid w:val="003A27B9"/>
    <w:rsid w:val="003A3BE0"/>
    <w:rsid w:val="003A422A"/>
    <w:rsid w:val="003A4755"/>
    <w:rsid w:val="003A5301"/>
    <w:rsid w:val="003A5C42"/>
    <w:rsid w:val="003A60C1"/>
    <w:rsid w:val="003A6257"/>
    <w:rsid w:val="003A62BF"/>
    <w:rsid w:val="003A742F"/>
    <w:rsid w:val="003A7981"/>
    <w:rsid w:val="003B0176"/>
    <w:rsid w:val="003B0299"/>
    <w:rsid w:val="003B02F3"/>
    <w:rsid w:val="003B0352"/>
    <w:rsid w:val="003B037E"/>
    <w:rsid w:val="003B0622"/>
    <w:rsid w:val="003B0F67"/>
    <w:rsid w:val="003B19AE"/>
    <w:rsid w:val="003B1EF7"/>
    <w:rsid w:val="003B28FB"/>
    <w:rsid w:val="003B3D1D"/>
    <w:rsid w:val="003B3D8B"/>
    <w:rsid w:val="003B4640"/>
    <w:rsid w:val="003B4A61"/>
    <w:rsid w:val="003B4F88"/>
    <w:rsid w:val="003B53A4"/>
    <w:rsid w:val="003B5F29"/>
    <w:rsid w:val="003B632B"/>
    <w:rsid w:val="003B6B24"/>
    <w:rsid w:val="003B6F85"/>
    <w:rsid w:val="003B720F"/>
    <w:rsid w:val="003C0321"/>
    <w:rsid w:val="003C0756"/>
    <w:rsid w:val="003C0BF8"/>
    <w:rsid w:val="003C0C5D"/>
    <w:rsid w:val="003C1341"/>
    <w:rsid w:val="003C17AF"/>
    <w:rsid w:val="003C186F"/>
    <w:rsid w:val="003C1BE8"/>
    <w:rsid w:val="003C1DF7"/>
    <w:rsid w:val="003C2801"/>
    <w:rsid w:val="003C29FE"/>
    <w:rsid w:val="003C2DBB"/>
    <w:rsid w:val="003C3E71"/>
    <w:rsid w:val="003C47EA"/>
    <w:rsid w:val="003C4E72"/>
    <w:rsid w:val="003C5AEF"/>
    <w:rsid w:val="003C620D"/>
    <w:rsid w:val="003C69BE"/>
    <w:rsid w:val="003C6C3F"/>
    <w:rsid w:val="003C724A"/>
    <w:rsid w:val="003C7263"/>
    <w:rsid w:val="003C7892"/>
    <w:rsid w:val="003D049D"/>
    <w:rsid w:val="003D05A8"/>
    <w:rsid w:val="003D1170"/>
    <w:rsid w:val="003D18B2"/>
    <w:rsid w:val="003D28CD"/>
    <w:rsid w:val="003D29ED"/>
    <w:rsid w:val="003D2A0B"/>
    <w:rsid w:val="003D3137"/>
    <w:rsid w:val="003D353F"/>
    <w:rsid w:val="003D3799"/>
    <w:rsid w:val="003D3E69"/>
    <w:rsid w:val="003D3EE4"/>
    <w:rsid w:val="003D4011"/>
    <w:rsid w:val="003D4106"/>
    <w:rsid w:val="003D430C"/>
    <w:rsid w:val="003D4657"/>
    <w:rsid w:val="003D4BA4"/>
    <w:rsid w:val="003D4BF6"/>
    <w:rsid w:val="003D4D75"/>
    <w:rsid w:val="003D514B"/>
    <w:rsid w:val="003D5397"/>
    <w:rsid w:val="003D5649"/>
    <w:rsid w:val="003D66C3"/>
    <w:rsid w:val="003D7565"/>
    <w:rsid w:val="003D75C5"/>
    <w:rsid w:val="003D7D3B"/>
    <w:rsid w:val="003E083A"/>
    <w:rsid w:val="003E1BA0"/>
    <w:rsid w:val="003E1DB5"/>
    <w:rsid w:val="003E200D"/>
    <w:rsid w:val="003E230A"/>
    <w:rsid w:val="003E25C2"/>
    <w:rsid w:val="003E2622"/>
    <w:rsid w:val="003E293F"/>
    <w:rsid w:val="003E33FF"/>
    <w:rsid w:val="003E3422"/>
    <w:rsid w:val="003E35A0"/>
    <w:rsid w:val="003E3679"/>
    <w:rsid w:val="003E3C44"/>
    <w:rsid w:val="003E3EB4"/>
    <w:rsid w:val="003E3FDD"/>
    <w:rsid w:val="003E4620"/>
    <w:rsid w:val="003E49D4"/>
    <w:rsid w:val="003E4B31"/>
    <w:rsid w:val="003E512B"/>
    <w:rsid w:val="003E5430"/>
    <w:rsid w:val="003E5AB8"/>
    <w:rsid w:val="003E5D4D"/>
    <w:rsid w:val="003E5E24"/>
    <w:rsid w:val="003E609A"/>
    <w:rsid w:val="003E6288"/>
    <w:rsid w:val="003E6CDA"/>
    <w:rsid w:val="003E6CFB"/>
    <w:rsid w:val="003E6E27"/>
    <w:rsid w:val="003E6F3B"/>
    <w:rsid w:val="003E77B8"/>
    <w:rsid w:val="003F042E"/>
    <w:rsid w:val="003F07EE"/>
    <w:rsid w:val="003F0B7E"/>
    <w:rsid w:val="003F0EDE"/>
    <w:rsid w:val="003F1259"/>
    <w:rsid w:val="003F1D57"/>
    <w:rsid w:val="003F1E58"/>
    <w:rsid w:val="003F2282"/>
    <w:rsid w:val="003F23CF"/>
    <w:rsid w:val="003F26A1"/>
    <w:rsid w:val="003F28D2"/>
    <w:rsid w:val="003F2987"/>
    <w:rsid w:val="003F2CF1"/>
    <w:rsid w:val="003F3D44"/>
    <w:rsid w:val="003F434E"/>
    <w:rsid w:val="003F4BBB"/>
    <w:rsid w:val="003F5167"/>
    <w:rsid w:val="003F534E"/>
    <w:rsid w:val="003F5612"/>
    <w:rsid w:val="003F6A5F"/>
    <w:rsid w:val="003F6A89"/>
    <w:rsid w:val="003F6C05"/>
    <w:rsid w:val="003F7223"/>
    <w:rsid w:val="003F7469"/>
    <w:rsid w:val="003F7493"/>
    <w:rsid w:val="003F77B9"/>
    <w:rsid w:val="00400FA8"/>
    <w:rsid w:val="0040190A"/>
    <w:rsid w:val="00401C4B"/>
    <w:rsid w:val="004024E8"/>
    <w:rsid w:val="00402E63"/>
    <w:rsid w:val="00403151"/>
    <w:rsid w:val="0040351E"/>
    <w:rsid w:val="00403BEB"/>
    <w:rsid w:val="00403D87"/>
    <w:rsid w:val="00403F26"/>
    <w:rsid w:val="004041F5"/>
    <w:rsid w:val="004044E5"/>
    <w:rsid w:val="00405588"/>
    <w:rsid w:val="004055EE"/>
    <w:rsid w:val="00406554"/>
    <w:rsid w:val="004066D0"/>
    <w:rsid w:val="004071AC"/>
    <w:rsid w:val="00407426"/>
    <w:rsid w:val="00407F58"/>
    <w:rsid w:val="0041023E"/>
    <w:rsid w:val="004127E6"/>
    <w:rsid w:val="004129D3"/>
    <w:rsid w:val="00412F07"/>
    <w:rsid w:val="0041325C"/>
    <w:rsid w:val="0041381B"/>
    <w:rsid w:val="00413881"/>
    <w:rsid w:val="00413AEA"/>
    <w:rsid w:val="00414033"/>
    <w:rsid w:val="00414839"/>
    <w:rsid w:val="0041483C"/>
    <w:rsid w:val="004148ED"/>
    <w:rsid w:val="00414912"/>
    <w:rsid w:val="004149C0"/>
    <w:rsid w:val="00414E88"/>
    <w:rsid w:val="004150D5"/>
    <w:rsid w:val="004156CA"/>
    <w:rsid w:val="00415795"/>
    <w:rsid w:val="00415E66"/>
    <w:rsid w:val="004167BB"/>
    <w:rsid w:val="00417326"/>
    <w:rsid w:val="00417C5E"/>
    <w:rsid w:val="00417D75"/>
    <w:rsid w:val="00420736"/>
    <w:rsid w:val="00421389"/>
    <w:rsid w:val="004222A8"/>
    <w:rsid w:val="0042267C"/>
    <w:rsid w:val="004230E7"/>
    <w:rsid w:val="0042340E"/>
    <w:rsid w:val="004235BB"/>
    <w:rsid w:val="00423EC1"/>
    <w:rsid w:val="00424111"/>
    <w:rsid w:val="004243B2"/>
    <w:rsid w:val="004254C7"/>
    <w:rsid w:val="00426290"/>
    <w:rsid w:val="004262FC"/>
    <w:rsid w:val="00431177"/>
    <w:rsid w:val="004315A5"/>
    <w:rsid w:val="004317DC"/>
    <w:rsid w:val="00431BFD"/>
    <w:rsid w:val="0043242C"/>
    <w:rsid w:val="00432864"/>
    <w:rsid w:val="0043299D"/>
    <w:rsid w:val="00432C1D"/>
    <w:rsid w:val="00433412"/>
    <w:rsid w:val="00434350"/>
    <w:rsid w:val="00435333"/>
    <w:rsid w:val="004358B8"/>
    <w:rsid w:val="00435DD8"/>
    <w:rsid w:val="0043665F"/>
    <w:rsid w:val="00436FD3"/>
    <w:rsid w:val="00437754"/>
    <w:rsid w:val="0043788D"/>
    <w:rsid w:val="00440059"/>
    <w:rsid w:val="0044051F"/>
    <w:rsid w:val="004405AB"/>
    <w:rsid w:val="00440642"/>
    <w:rsid w:val="00440DA1"/>
    <w:rsid w:val="00440DF1"/>
    <w:rsid w:val="004410BB"/>
    <w:rsid w:val="0044264D"/>
    <w:rsid w:val="004428D2"/>
    <w:rsid w:val="00442D9F"/>
    <w:rsid w:val="00443A0B"/>
    <w:rsid w:val="00443AF2"/>
    <w:rsid w:val="00443EDD"/>
    <w:rsid w:val="00443F5B"/>
    <w:rsid w:val="004445AB"/>
    <w:rsid w:val="00444814"/>
    <w:rsid w:val="00444CD7"/>
    <w:rsid w:val="00444DCE"/>
    <w:rsid w:val="0044576F"/>
    <w:rsid w:val="00445E8D"/>
    <w:rsid w:val="00446432"/>
    <w:rsid w:val="00446B62"/>
    <w:rsid w:val="00446BB6"/>
    <w:rsid w:val="00447C34"/>
    <w:rsid w:val="00447CB6"/>
    <w:rsid w:val="00450520"/>
    <w:rsid w:val="00450606"/>
    <w:rsid w:val="00450FC6"/>
    <w:rsid w:val="0045113F"/>
    <w:rsid w:val="00451468"/>
    <w:rsid w:val="00451CF0"/>
    <w:rsid w:val="00451EEA"/>
    <w:rsid w:val="004535DC"/>
    <w:rsid w:val="0045421C"/>
    <w:rsid w:val="00455764"/>
    <w:rsid w:val="0045576F"/>
    <w:rsid w:val="00455AE7"/>
    <w:rsid w:val="00455C5F"/>
    <w:rsid w:val="00455FD5"/>
    <w:rsid w:val="00456315"/>
    <w:rsid w:val="00457225"/>
    <w:rsid w:val="004572B2"/>
    <w:rsid w:val="00457621"/>
    <w:rsid w:val="00457942"/>
    <w:rsid w:val="00460941"/>
    <w:rsid w:val="00460B6D"/>
    <w:rsid w:val="00460D0D"/>
    <w:rsid w:val="00460F8A"/>
    <w:rsid w:val="0046121C"/>
    <w:rsid w:val="00461433"/>
    <w:rsid w:val="00462A52"/>
    <w:rsid w:val="00463915"/>
    <w:rsid w:val="004642E7"/>
    <w:rsid w:val="004649D9"/>
    <w:rsid w:val="00464CCF"/>
    <w:rsid w:val="00465094"/>
    <w:rsid w:val="00465213"/>
    <w:rsid w:val="00465C37"/>
    <w:rsid w:val="00465DF9"/>
    <w:rsid w:val="004668E6"/>
    <w:rsid w:val="00466C2D"/>
    <w:rsid w:val="00467C34"/>
    <w:rsid w:val="00470C75"/>
    <w:rsid w:val="00470CE3"/>
    <w:rsid w:val="00471002"/>
    <w:rsid w:val="004712F1"/>
    <w:rsid w:val="0047216B"/>
    <w:rsid w:val="00472289"/>
    <w:rsid w:val="00472A13"/>
    <w:rsid w:val="00472A43"/>
    <w:rsid w:val="00472A5B"/>
    <w:rsid w:val="00472EFF"/>
    <w:rsid w:val="00473630"/>
    <w:rsid w:val="004738E2"/>
    <w:rsid w:val="00474D7E"/>
    <w:rsid w:val="00475624"/>
    <w:rsid w:val="004759A5"/>
    <w:rsid w:val="00476376"/>
    <w:rsid w:val="004765D7"/>
    <w:rsid w:val="00476F59"/>
    <w:rsid w:val="004770F1"/>
    <w:rsid w:val="0047724F"/>
    <w:rsid w:val="00477725"/>
    <w:rsid w:val="0047778D"/>
    <w:rsid w:val="004777C6"/>
    <w:rsid w:val="00477B91"/>
    <w:rsid w:val="00477E2C"/>
    <w:rsid w:val="00477F83"/>
    <w:rsid w:val="0048071C"/>
    <w:rsid w:val="00480E53"/>
    <w:rsid w:val="004813DC"/>
    <w:rsid w:val="00481B8E"/>
    <w:rsid w:val="00481C78"/>
    <w:rsid w:val="00481FF9"/>
    <w:rsid w:val="004821B7"/>
    <w:rsid w:val="004824DB"/>
    <w:rsid w:val="0048254D"/>
    <w:rsid w:val="0048276B"/>
    <w:rsid w:val="00482785"/>
    <w:rsid w:val="00482E79"/>
    <w:rsid w:val="0048371B"/>
    <w:rsid w:val="00483722"/>
    <w:rsid w:val="00483C7A"/>
    <w:rsid w:val="00483FB7"/>
    <w:rsid w:val="0048430C"/>
    <w:rsid w:val="00484921"/>
    <w:rsid w:val="0048493A"/>
    <w:rsid w:val="00484A42"/>
    <w:rsid w:val="00485372"/>
    <w:rsid w:val="00485811"/>
    <w:rsid w:val="004858C1"/>
    <w:rsid w:val="004865A6"/>
    <w:rsid w:val="004867DF"/>
    <w:rsid w:val="00486DBE"/>
    <w:rsid w:val="0048730A"/>
    <w:rsid w:val="0048747E"/>
    <w:rsid w:val="004875F7"/>
    <w:rsid w:val="00487710"/>
    <w:rsid w:val="0048771D"/>
    <w:rsid w:val="00490739"/>
    <w:rsid w:val="00490CAB"/>
    <w:rsid w:val="0049135C"/>
    <w:rsid w:val="00491484"/>
    <w:rsid w:val="004919DD"/>
    <w:rsid w:val="004920AE"/>
    <w:rsid w:val="0049213B"/>
    <w:rsid w:val="0049218A"/>
    <w:rsid w:val="004921A6"/>
    <w:rsid w:val="0049267B"/>
    <w:rsid w:val="004929EF"/>
    <w:rsid w:val="00492A5B"/>
    <w:rsid w:val="00492C7A"/>
    <w:rsid w:val="00493216"/>
    <w:rsid w:val="004939F2"/>
    <w:rsid w:val="00494E98"/>
    <w:rsid w:val="00495029"/>
    <w:rsid w:val="0049544D"/>
    <w:rsid w:val="0049549E"/>
    <w:rsid w:val="00495A9F"/>
    <w:rsid w:val="004960A6"/>
    <w:rsid w:val="00496B48"/>
    <w:rsid w:val="00497D65"/>
    <w:rsid w:val="00497E19"/>
    <w:rsid w:val="004A07F8"/>
    <w:rsid w:val="004A0F1A"/>
    <w:rsid w:val="004A19D1"/>
    <w:rsid w:val="004A3027"/>
    <w:rsid w:val="004A309A"/>
    <w:rsid w:val="004A3673"/>
    <w:rsid w:val="004A3B4B"/>
    <w:rsid w:val="004A447F"/>
    <w:rsid w:val="004A51BE"/>
    <w:rsid w:val="004A5D10"/>
    <w:rsid w:val="004A671F"/>
    <w:rsid w:val="004A702F"/>
    <w:rsid w:val="004A7619"/>
    <w:rsid w:val="004A7B51"/>
    <w:rsid w:val="004A7CFD"/>
    <w:rsid w:val="004A7D7C"/>
    <w:rsid w:val="004B0168"/>
    <w:rsid w:val="004B0317"/>
    <w:rsid w:val="004B0AA5"/>
    <w:rsid w:val="004B102C"/>
    <w:rsid w:val="004B1639"/>
    <w:rsid w:val="004B1E0F"/>
    <w:rsid w:val="004B248A"/>
    <w:rsid w:val="004B316D"/>
    <w:rsid w:val="004B3E0A"/>
    <w:rsid w:val="004B3EBB"/>
    <w:rsid w:val="004B4ECE"/>
    <w:rsid w:val="004B512D"/>
    <w:rsid w:val="004B5C6E"/>
    <w:rsid w:val="004B5CB6"/>
    <w:rsid w:val="004B6407"/>
    <w:rsid w:val="004B6438"/>
    <w:rsid w:val="004B6A39"/>
    <w:rsid w:val="004B6B3C"/>
    <w:rsid w:val="004B6DC2"/>
    <w:rsid w:val="004B7A79"/>
    <w:rsid w:val="004C00B7"/>
    <w:rsid w:val="004C0E6D"/>
    <w:rsid w:val="004C18D7"/>
    <w:rsid w:val="004C3357"/>
    <w:rsid w:val="004C465D"/>
    <w:rsid w:val="004C59D8"/>
    <w:rsid w:val="004C62E3"/>
    <w:rsid w:val="004C68B9"/>
    <w:rsid w:val="004C6AAC"/>
    <w:rsid w:val="004C70BD"/>
    <w:rsid w:val="004C7110"/>
    <w:rsid w:val="004C731C"/>
    <w:rsid w:val="004C75FC"/>
    <w:rsid w:val="004C774D"/>
    <w:rsid w:val="004C7EE1"/>
    <w:rsid w:val="004D0234"/>
    <w:rsid w:val="004D0247"/>
    <w:rsid w:val="004D0641"/>
    <w:rsid w:val="004D0801"/>
    <w:rsid w:val="004D090A"/>
    <w:rsid w:val="004D0D54"/>
    <w:rsid w:val="004D0E27"/>
    <w:rsid w:val="004D0E65"/>
    <w:rsid w:val="004D0E8A"/>
    <w:rsid w:val="004D0F04"/>
    <w:rsid w:val="004D16FF"/>
    <w:rsid w:val="004D1763"/>
    <w:rsid w:val="004D1B4B"/>
    <w:rsid w:val="004D1C78"/>
    <w:rsid w:val="004D26F0"/>
    <w:rsid w:val="004D2A97"/>
    <w:rsid w:val="004D2E6B"/>
    <w:rsid w:val="004D3112"/>
    <w:rsid w:val="004D39E9"/>
    <w:rsid w:val="004D3C41"/>
    <w:rsid w:val="004D3CD7"/>
    <w:rsid w:val="004D3DFD"/>
    <w:rsid w:val="004D49EC"/>
    <w:rsid w:val="004D4C65"/>
    <w:rsid w:val="004D52D6"/>
    <w:rsid w:val="004D5525"/>
    <w:rsid w:val="004D562D"/>
    <w:rsid w:val="004D5CB3"/>
    <w:rsid w:val="004D5CBF"/>
    <w:rsid w:val="004D7ABD"/>
    <w:rsid w:val="004D7C29"/>
    <w:rsid w:val="004D7E87"/>
    <w:rsid w:val="004E0DD7"/>
    <w:rsid w:val="004E102A"/>
    <w:rsid w:val="004E117D"/>
    <w:rsid w:val="004E18F8"/>
    <w:rsid w:val="004E1B35"/>
    <w:rsid w:val="004E220C"/>
    <w:rsid w:val="004E289D"/>
    <w:rsid w:val="004E3F56"/>
    <w:rsid w:val="004E3F72"/>
    <w:rsid w:val="004E4163"/>
    <w:rsid w:val="004E506C"/>
    <w:rsid w:val="004E555F"/>
    <w:rsid w:val="004E6084"/>
    <w:rsid w:val="004E61A3"/>
    <w:rsid w:val="004E6816"/>
    <w:rsid w:val="004E6C61"/>
    <w:rsid w:val="004E7F6E"/>
    <w:rsid w:val="004F00F6"/>
    <w:rsid w:val="004F0669"/>
    <w:rsid w:val="004F07A7"/>
    <w:rsid w:val="004F0A96"/>
    <w:rsid w:val="004F1605"/>
    <w:rsid w:val="004F17AF"/>
    <w:rsid w:val="004F2030"/>
    <w:rsid w:val="004F2DBC"/>
    <w:rsid w:val="004F2DDA"/>
    <w:rsid w:val="004F2E6B"/>
    <w:rsid w:val="004F4849"/>
    <w:rsid w:val="004F5848"/>
    <w:rsid w:val="004F6556"/>
    <w:rsid w:val="004F70C6"/>
    <w:rsid w:val="004F798A"/>
    <w:rsid w:val="0050002C"/>
    <w:rsid w:val="00500148"/>
    <w:rsid w:val="00500C6B"/>
    <w:rsid w:val="00501B5F"/>
    <w:rsid w:val="00502D2D"/>
    <w:rsid w:val="00502EE7"/>
    <w:rsid w:val="00503C5E"/>
    <w:rsid w:val="00504F29"/>
    <w:rsid w:val="00505750"/>
    <w:rsid w:val="00505A98"/>
    <w:rsid w:val="00505C8D"/>
    <w:rsid w:val="00505EB9"/>
    <w:rsid w:val="00506825"/>
    <w:rsid w:val="0050695E"/>
    <w:rsid w:val="00506BF3"/>
    <w:rsid w:val="00507254"/>
    <w:rsid w:val="00507572"/>
    <w:rsid w:val="00510F4E"/>
    <w:rsid w:val="005110E4"/>
    <w:rsid w:val="00511BFE"/>
    <w:rsid w:val="00512377"/>
    <w:rsid w:val="00513024"/>
    <w:rsid w:val="00513780"/>
    <w:rsid w:val="00514887"/>
    <w:rsid w:val="00514F57"/>
    <w:rsid w:val="00515A0B"/>
    <w:rsid w:val="00516521"/>
    <w:rsid w:val="00516F1E"/>
    <w:rsid w:val="00517884"/>
    <w:rsid w:val="005200F6"/>
    <w:rsid w:val="005200FB"/>
    <w:rsid w:val="005206D7"/>
    <w:rsid w:val="005207B1"/>
    <w:rsid w:val="00520CC0"/>
    <w:rsid w:val="00521427"/>
    <w:rsid w:val="00521485"/>
    <w:rsid w:val="005216C3"/>
    <w:rsid w:val="005220BB"/>
    <w:rsid w:val="005223FE"/>
    <w:rsid w:val="005236EA"/>
    <w:rsid w:val="005239E5"/>
    <w:rsid w:val="00524CDB"/>
    <w:rsid w:val="00525431"/>
    <w:rsid w:val="005265EC"/>
    <w:rsid w:val="005268E4"/>
    <w:rsid w:val="00526970"/>
    <w:rsid w:val="00526D10"/>
    <w:rsid w:val="00526D94"/>
    <w:rsid w:val="00527260"/>
    <w:rsid w:val="005278CA"/>
    <w:rsid w:val="00527AB3"/>
    <w:rsid w:val="005302FF"/>
    <w:rsid w:val="0053071C"/>
    <w:rsid w:val="00530B88"/>
    <w:rsid w:val="00530CC1"/>
    <w:rsid w:val="00531712"/>
    <w:rsid w:val="00531EFE"/>
    <w:rsid w:val="005322FE"/>
    <w:rsid w:val="005329DE"/>
    <w:rsid w:val="00532DB6"/>
    <w:rsid w:val="0053386F"/>
    <w:rsid w:val="005338CD"/>
    <w:rsid w:val="00533987"/>
    <w:rsid w:val="00533B1C"/>
    <w:rsid w:val="00533BE8"/>
    <w:rsid w:val="005354A9"/>
    <w:rsid w:val="0053578B"/>
    <w:rsid w:val="00535B9E"/>
    <w:rsid w:val="0053669F"/>
    <w:rsid w:val="0053670D"/>
    <w:rsid w:val="00536726"/>
    <w:rsid w:val="00536DC0"/>
    <w:rsid w:val="00537521"/>
    <w:rsid w:val="005378B1"/>
    <w:rsid w:val="005402F8"/>
    <w:rsid w:val="00540EB3"/>
    <w:rsid w:val="005416FD"/>
    <w:rsid w:val="0054238C"/>
    <w:rsid w:val="00542585"/>
    <w:rsid w:val="0054316E"/>
    <w:rsid w:val="00544321"/>
    <w:rsid w:val="00544794"/>
    <w:rsid w:val="00544A7D"/>
    <w:rsid w:val="00545404"/>
    <w:rsid w:val="005455CA"/>
    <w:rsid w:val="0054617C"/>
    <w:rsid w:val="00547203"/>
    <w:rsid w:val="00547B69"/>
    <w:rsid w:val="00547F28"/>
    <w:rsid w:val="00550D02"/>
    <w:rsid w:val="00551283"/>
    <w:rsid w:val="00551C90"/>
    <w:rsid w:val="005521C0"/>
    <w:rsid w:val="00552753"/>
    <w:rsid w:val="00553106"/>
    <w:rsid w:val="00553823"/>
    <w:rsid w:val="00553D22"/>
    <w:rsid w:val="00553FF4"/>
    <w:rsid w:val="005549FE"/>
    <w:rsid w:val="00554C0B"/>
    <w:rsid w:val="00554DEA"/>
    <w:rsid w:val="00554F5B"/>
    <w:rsid w:val="00555BDA"/>
    <w:rsid w:val="00555D82"/>
    <w:rsid w:val="005568AB"/>
    <w:rsid w:val="00557000"/>
    <w:rsid w:val="005574C5"/>
    <w:rsid w:val="0055798A"/>
    <w:rsid w:val="00557ACD"/>
    <w:rsid w:val="00557FA5"/>
    <w:rsid w:val="0056003D"/>
    <w:rsid w:val="00560DC0"/>
    <w:rsid w:val="00561D9B"/>
    <w:rsid w:val="00562977"/>
    <w:rsid w:val="0056300B"/>
    <w:rsid w:val="00563184"/>
    <w:rsid w:val="005644D5"/>
    <w:rsid w:val="00565708"/>
    <w:rsid w:val="00566BD9"/>
    <w:rsid w:val="005672CD"/>
    <w:rsid w:val="005675F6"/>
    <w:rsid w:val="00567C14"/>
    <w:rsid w:val="00567F60"/>
    <w:rsid w:val="00570647"/>
    <w:rsid w:val="00570A0E"/>
    <w:rsid w:val="005713EB"/>
    <w:rsid w:val="00571451"/>
    <w:rsid w:val="00571B0C"/>
    <w:rsid w:val="005724C2"/>
    <w:rsid w:val="00572677"/>
    <w:rsid w:val="0057319F"/>
    <w:rsid w:val="00573388"/>
    <w:rsid w:val="0057352F"/>
    <w:rsid w:val="005736A8"/>
    <w:rsid w:val="00573A36"/>
    <w:rsid w:val="00573CC2"/>
    <w:rsid w:val="00574EAE"/>
    <w:rsid w:val="00575515"/>
    <w:rsid w:val="0057592B"/>
    <w:rsid w:val="00575C7D"/>
    <w:rsid w:val="00576241"/>
    <w:rsid w:val="00576364"/>
    <w:rsid w:val="00576516"/>
    <w:rsid w:val="0057742F"/>
    <w:rsid w:val="005776BB"/>
    <w:rsid w:val="00580465"/>
    <w:rsid w:val="00580D28"/>
    <w:rsid w:val="00581005"/>
    <w:rsid w:val="00582285"/>
    <w:rsid w:val="005829B3"/>
    <w:rsid w:val="00582A9A"/>
    <w:rsid w:val="00582BAE"/>
    <w:rsid w:val="00583951"/>
    <w:rsid w:val="00584564"/>
    <w:rsid w:val="00584F59"/>
    <w:rsid w:val="0058585F"/>
    <w:rsid w:val="00585ADD"/>
    <w:rsid w:val="00585B70"/>
    <w:rsid w:val="005862A2"/>
    <w:rsid w:val="0058640B"/>
    <w:rsid w:val="00586DA6"/>
    <w:rsid w:val="005870B9"/>
    <w:rsid w:val="0058746E"/>
    <w:rsid w:val="00587698"/>
    <w:rsid w:val="0058785D"/>
    <w:rsid w:val="00590266"/>
    <w:rsid w:val="005906F8"/>
    <w:rsid w:val="005912B5"/>
    <w:rsid w:val="005913E3"/>
    <w:rsid w:val="00591406"/>
    <w:rsid w:val="00592B6E"/>
    <w:rsid w:val="0059338C"/>
    <w:rsid w:val="00594286"/>
    <w:rsid w:val="005943D6"/>
    <w:rsid w:val="00594D45"/>
    <w:rsid w:val="00594D89"/>
    <w:rsid w:val="00594FA3"/>
    <w:rsid w:val="0059524A"/>
    <w:rsid w:val="00595E1C"/>
    <w:rsid w:val="00595E53"/>
    <w:rsid w:val="00596109"/>
    <w:rsid w:val="00596736"/>
    <w:rsid w:val="00596E5A"/>
    <w:rsid w:val="005979B2"/>
    <w:rsid w:val="005A05A2"/>
    <w:rsid w:val="005A0E50"/>
    <w:rsid w:val="005A102B"/>
    <w:rsid w:val="005A115D"/>
    <w:rsid w:val="005A1383"/>
    <w:rsid w:val="005A138A"/>
    <w:rsid w:val="005A14F7"/>
    <w:rsid w:val="005A162B"/>
    <w:rsid w:val="005A1874"/>
    <w:rsid w:val="005A2F3C"/>
    <w:rsid w:val="005A2F89"/>
    <w:rsid w:val="005A3332"/>
    <w:rsid w:val="005A3333"/>
    <w:rsid w:val="005A3C0A"/>
    <w:rsid w:val="005A434C"/>
    <w:rsid w:val="005A4857"/>
    <w:rsid w:val="005A52DD"/>
    <w:rsid w:val="005A57C5"/>
    <w:rsid w:val="005A6770"/>
    <w:rsid w:val="005A7316"/>
    <w:rsid w:val="005A735E"/>
    <w:rsid w:val="005A755B"/>
    <w:rsid w:val="005A7880"/>
    <w:rsid w:val="005B083D"/>
    <w:rsid w:val="005B103D"/>
    <w:rsid w:val="005B129C"/>
    <w:rsid w:val="005B13D3"/>
    <w:rsid w:val="005B1AF1"/>
    <w:rsid w:val="005B3275"/>
    <w:rsid w:val="005B3D56"/>
    <w:rsid w:val="005B44BB"/>
    <w:rsid w:val="005B44F2"/>
    <w:rsid w:val="005B4786"/>
    <w:rsid w:val="005B48EF"/>
    <w:rsid w:val="005B4AE1"/>
    <w:rsid w:val="005B4F2F"/>
    <w:rsid w:val="005B4F47"/>
    <w:rsid w:val="005B5096"/>
    <w:rsid w:val="005B58F8"/>
    <w:rsid w:val="005B5BD7"/>
    <w:rsid w:val="005B5F58"/>
    <w:rsid w:val="005B6229"/>
    <w:rsid w:val="005B6ACD"/>
    <w:rsid w:val="005C09B4"/>
    <w:rsid w:val="005C1BAF"/>
    <w:rsid w:val="005C1E30"/>
    <w:rsid w:val="005C1E56"/>
    <w:rsid w:val="005C2379"/>
    <w:rsid w:val="005C2C9D"/>
    <w:rsid w:val="005C2D0A"/>
    <w:rsid w:val="005C335F"/>
    <w:rsid w:val="005C385F"/>
    <w:rsid w:val="005C40D9"/>
    <w:rsid w:val="005C4488"/>
    <w:rsid w:val="005C459F"/>
    <w:rsid w:val="005C52AD"/>
    <w:rsid w:val="005C59B7"/>
    <w:rsid w:val="005C61A2"/>
    <w:rsid w:val="005C6FBE"/>
    <w:rsid w:val="005C7C17"/>
    <w:rsid w:val="005D08F1"/>
    <w:rsid w:val="005D1496"/>
    <w:rsid w:val="005D1676"/>
    <w:rsid w:val="005D18C9"/>
    <w:rsid w:val="005D1A29"/>
    <w:rsid w:val="005D1D1E"/>
    <w:rsid w:val="005D1E21"/>
    <w:rsid w:val="005D214D"/>
    <w:rsid w:val="005D3686"/>
    <w:rsid w:val="005D485D"/>
    <w:rsid w:val="005D5B02"/>
    <w:rsid w:val="005D5D21"/>
    <w:rsid w:val="005D5E08"/>
    <w:rsid w:val="005D5E18"/>
    <w:rsid w:val="005D63FA"/>
    <w:rsid w:val="005D672E"/>
    <w:rsid w:val="005D750D"/>
    <w:rsid w:val="005E0753"/>
    <w:rsid w:val="005E0815"/>
    <w:rsid w:val="005E0EA1"/>
    <w:rsid w:val="005E19B1"/>
    <w:rsid w:val="005E19F0"/>
    <w:rsid w:val="005E1B40"/>
    <w:rsid w:val="005E236E"/>
    <w:rsid w:val="005E23F3"/>
    <w:rsid w:val="005E26E5"/>
    <w:rsid w:val="005E375E"/>
    <w:rsid w:val="005E3824"/>
    <w:rsid w:val="005E38B7"/>
    <w:rsid w:val="005E3BF0"/>
    <w:rsid w:val="005E3CC5"/>
    <w:rsid w:val="005E411F"/>
    <w:rsid w:val="005E4188"/>
    <w:rsid w:val="005E5FFA"/>
    <w:rsid w:val="005E7D0A"/>
    <w:rsid w:val="005E7ECA"/>
    <w:rsid w:val="005E7EE5"/>
    <w:rsid w:val="005F08A7"/>
    <w:rsid w:val="005F14E1"/>
    <w:rsid w:val="005F1527"/>
    <w:rsid w:val="005F1683"/>
    <w:rsid w:val="005F172A"/>
    <w:rsid w:val="005F1AA6"/>
    <w:rsid w:val="005F1BEA"/>
    <w:rsid w:val="005F1C90"/>
    <w:rsid w:val="005F25FD"/>
    <w:rsid w:val="005F2C47"/>
    <w:rsid w:val="005F3757"/>
    <w:rsid w:val="005F423E"/>
    <w:rsid w:val="005F43B2"/>
    <w:rsid w:val="005F47B7"/>
    <w:rsid w:val="005F493D"/>
    <w:rsid w:val="005F4AAD"/>
    <w:rsid w:val="005F5079"/>
    <w:rsid w:val="005F5521"/>
    <w:rsid w:val="005F57E7"/>
    <w:rsid w:val="005F5920"/>
    <w:rsid w:val="005F5E37"/>
    <w:rsid w:val="005F69C0"/>
    <w:rsid w:val="005F766B"/>
    <w:rsid w:val="00600184"/>
    <w:rsid w:val="00601177"/>
    <w:rsid w:val="006013F1"/>
    <w:rsid w:val="006026F8"/>
    <w:rsid w:val="00602E7A"/>
    <w:rsid w:val="00603956"/>
    <w:rsid w:val="006042E7"/>
    <w:rsid w:val="006049EE"/>
    <w:rsid w:val="00605B30"/>
    <w:rsid w:val="00605F09"/>
    <w:rsid w:val="0060713D"/>
    <w:rsid w:val="00607BE6"/>
    <w:rsid w:val="00607C48"/>
    <w:rsid w:val="00610E6C"/>
    <w:rsid w:val="00611AD3"/>
    <w:rsid w:val="00612146"/>
    <w:rsid w:val="0061216F"/>
    <w:rsid w:val="006121D4"/>
    <w:rsid w:val="00612689"/>
    <w:rsid w:val="006126F6"/>
    <w:rsid w:val="0061375F"/>
    <w:rsid w:val="00613848"/>
    <w:rsid w:val="006140B8"/>
    <w:rsid w:val="00614210"/>
    <w:rsid w:val="006147A5"/>
    <w:rsid w:val="00614835"/>
    <w:rsid w:val="00614FDF"/>
    <w:rsid w:val="0061581B"/>
    <w:rsid w:val="0061588C"/>
    <w:rsid w:val="00615BC9"/>
    <w:rsid w:val="00615C81"/>
    <w:rsid w:val="00615DC1"/>
    <w:rsid w:val="006163E5"/>
    <w:rsid w:val="0061675A"/>
    <w:rsid w:val="00617672"/>
    <w:rsid w:val="006176B8"/>
    <w:rsid w:val="006179CD"/>
    <w:rsid w:val="00617ADC"/>
    <w:rsid w:val="00617D14"/>
    <w:rsid w:val="0062012B"/>
    <w:rsid w:val="006203EA"/>
    <w:rsid w:val="006204CC"/>
    <w:rsid w:val="00621BD2"/>
    <w:rsid w:val="006222EF"/>
    <w:rsid w:val="00622991"/>
    <w:rsid w:val="00623175"/>
    <w:rsid w:val="006236A4"/>
    <w:rsid w:val="006237F8"/>
    <w:rsid w:val="00624679"/>
    <w:rsid w:val="00624898"/>
    <w:rsid w:val="006248CB"/>
    <w:rsid w:val="00624DFE"/>
    <w:rsid w:val="00626103"/>
    <w:rsid w:val="0062682F"/>
    <w:rsid w:val="00630FF7"/>
    <w:rsid w:val="0063151F"/>
    <w:rsid w:val="00631870"/>
    <w:rsid w:val="00631DF0"/>
    <w:rsid w:val="00632644"/>
    <w:rsid w:val="006326CC"/>
    <w:rsid w:val="00632798"/>
    <w:rsid w:val="00632B7B"/>
    <w:rsid w:val="00632CB0"/>
    <w:rsid w:val="00632D66"/>
    <w:rsid w:val="006334BF"/>
    <w:rsid w:val="00633B10"/>
    <w:rsid w:val="00634030"/>
    <w:rsid w:val="00634433"/>
    <w:rsid w:val="00634936"/>
    <w:rsid w:val="006352F9"/>
    <w:rsid w:val="006362D6"/>
    <w:rsid w:val="0063692A"/>
    <w:rsid w:val="006369E2"/>
    <w:rsid w:val="00636A4A"/>
    <w:rsid w:val="00636D6F"/>
    <w:rsid w:val="006370BE"/>
    <w:rsid w:val="006372AB"/>
    <w:rsid w:val="00637C16"/>
    <w:rsid w:val="00637ECB"/>
    <w:rsid w:val="00637F15"/>
    <w:rsid w:val="00640005"/>
    <w:rsid w:val="006404C4"/>
    <w:rsid w:val="006404C6"/>
    <w:rsid w:val="00640F5E"/>
    <w:rsid w:val="00641764"/>
    <w:rsid w:val="00641859"/>
    <w:rsid w:val="00641BE8"/>
    <w:rsid w:val="00641EC1"/>
    <w:rsid w:val="0064366A"/>
    <w:rsid w:val="00643731"/>
    <w:rsid w:val="00643937"/>
    <w:rsid w:val="00643C9B"/>
    <w:rsid w:val="00643DAD"/>
    <w:rsid w:val="0064474F"/>
    <w:rsid w:val="00645CFD"/>
    <w:rsid w:val="0064650F"/>
    <w:rsid w:val="00646CE4"/>
    <w:rsid w:val="006473B3"/>
    <w:rsid w:val="006479B3"/>
    <w:rsid w:val="00647D99"/>
    <w:rsid w:val="00647FC0"/>
    <w:rsid w:val="006501A2"/>
    <w:rsid w:val="00650970"/>
    <w:rsid w:val="00650ED3"/>
    <w:rsid w:val="00651045"/>
    <w:rsid w:val="00651334"/>
    <w:rsid w:val="00651524"/>
    <w:rsid w:val="00652231"/>
    <w:rsid w:val="00652242"/>
    <w:rsid w:val="006525C2"/>
    <w:rsid w:val="00652B36"/>
    <w:rsid w:val="0065334C"/>
    <w:rsid w:val="006533D4"/>
    <w:rsid w:val="00653636"/>
    <w:rsid w:val="0065366C"/>
    <w:rsid w:val="006537D6"/>
    <w:rsid w:val="00653A32"/>
    <w:rsid w:val="006557A4"/>
    <w:rsid w:val="00655803"/>
    <w:rsid w:val="00655A1E"/>
    <w:rsid w:val="00656118"/>
    <w:rsid w:val="00656F03"/>
    <w:rsid w:val="00657CF1"/>
    <w:rsid w:val="00657DDC"/>
    <w:rsid w:val="006603AC"/>
    <w:rsid w:val="00660463"/>
    <w:rsid w:val="006608D4"/>
    <w:rsid w:val="00660954"/>
    <w:rsid w:val="00662466"/>
    <w:rsid w:val="006625AC"/>
    <w:rsid w:val="0066298A"/>
    <w:rsid w:val="00662C85"/>
    <w:rsid w:val="00662EB9"/>
    <w:rsid w:val="006632AC"/>
    <w:rsid w:val="00663407"/>
    <w:rsid w:val="00663B72"/>
    <w:rsid w:val="00663DCF"/>
    <w:rsid w:val="006642BB"/>
    <w:rsid w:val="006642F5"/>
    <w:rsid w:val="00664489"/>
    <w:rsid w:val="00664A58"/>
    <w:rsid w:val="00664F82"/>
    <w:rsid w:val="00665951"/>
    <w:rsid w:val="006662C5"/>
    <w:rsid w:val="006666A9"/>
    <w:rsid w:val="00666867"/>
    <w:rsid w:val="00666A47"/>
    <w:rsid w:val="00670CB5"/>
    <w:rsid w:val="00670CBD"/>
    <w:rsid w:val="00670CE4"/>
    <w:rsid w:val="00672BE3"/>
    <w:rsid w:val="00672C34"/>
    <w:rsid w:val="00672F5A"/>
    <w:rsid w:val="0067334A"/>
    <w:rsid w:val="0067368F"/>
    <w:rsid w:val="00673E96"/>
    <w:rsid w:val="006743B7"/>
    <w:rsid w:val="0067511C"/>
    <w:rsid w:val="0067561F"/>
    <w:rsid w:val="006761A1"/>
    <w:rsid w:val="00676314"/>
    <w:rsid w:val="00676B7B"/>
    <w:rsid w:val="006771CE"/>
    <w:rsid w:val="00677ADA"/>
    <w:rsid w:val="00677B01"/>
    <w:rsid w:val="0068026F"/>
    <w:rsid w:val="0068195B"/>
    <w:rsid w:val="0068281C"/>
    <w:rsid w:val="00684004"/>
    <w:rsid w:val="0068405E"/>
    <w:rsid w:val="006847E4"/>
    <w:rsid w:val="006850DD"/>
    <w:rsid w:val="0068557B"/>
    <w:rsid w:val="00685F2D"/>
    <w:rsid w:val="00686C1B"/>
    <w:rsid w:val="006908CD"/>
    <w:rsid w:val="00690B90"/>
    <w:rsid w:val="00691E7E"/>
    <w:rsid w:val="006927A5"/>
    <w:rsid w:val="00692A2C"/>
    <w:rsid w:val="00692CF0"/>
    <w:rsid w:val="00692DB1"/>
    <w:rsid w:val="006934A7"/>
    <w:rsid w:val="00693BF3"/>
    <w:rsid w:val="00694315"/>
    <w:rsid w:val="00694ABC"/>
    <w:rsid w:val="00694C16"/>
    <w:rsid w:val="00694C54"/>
    <w:rsid w:val="00694C8E"/>
    <w:rsid w:val="00695005"/>
    <w:rsid w:val="0069612A"/>
    <w:rsid w:val="00696746"/>
    <w:rsid w:val="00696979"/>
    <w:rsid w:val="00697E35"/>
    <w:rsid w:val="006A02B7"/>
    <w:rsid w:val="006A03AB"/>
    <w:rsid w:val="006A145D"/>
    <w:rsid w:val="006A164A"/>
    <w:rsid w:val="006A2040"/>
    <w:rsid w:val="006A204B"/>
    <w:rsid w:val="006A22DD"/>
    <w:rsid w:val="006A2366"/>
    <w:rsid w:val="006A305E"/>
    <w:rsid w:val="006A37A7"/>
    <w:rsid w:val="006A3AEF"/>
    <w:rsid w:val="006A3F3C"/>
    <w:rsid w:val="006A4C22"/>
    <w:rsid w:val="006A5D49"/>
    <w:rsid w:val="006A6A5C"/>
    <w:rsid w:val="006A7099"/>
    <w:rsid w:val="006A7F61"/>
    <w:rsid w:val="006B0B88"/>
    <w:rsid w:val="006B0D74"/>
    <w:rsid w:val="006B1CCB"/>
    <w:rsid w:val="006B2137"/>
    <w:rsid w:val="006B344A"/>
    <w:rsid w:val="006B3522"/>
    <w:rsid w:val="006B365C"/>
    <w:rsid w:val="006B3B3A"/>
    <w:rsid w:val="006B3B7F"/>
    <w:rsid w:val="006B4376"/>
    <w:rsid w:val="006B627D"/>
    <w:rsid w:val="006B6E29"/>
    <w:rsid w:val="006B7129"/>
    <w:rsid w:val="006B75AC"/>
    <w:rsid w:val="006B77FA"/>
    <w:rsid w:val="006C08D3"/>
    <w:rsid w:val="006C142C"/>
    <w:rsid w:val="006C147D"/>
    <w:rsid w:val="006C178A"/>
    <w:rsid w:val="006C1992"/>
    <w:rsid w:val="006C1AB3"/>
    <w:rsid w:val="006C1B58"/>
    <w:rsid w:val="006C2126"/>
    <w:rsid w:val="006C2782"/>
    <w:rsid w:val="006C2933"/>
    <w:rsid w:val="006C2BF6"/>
    <w:rsid w:val="006C2C82"/>
    <w:rsid w:val="006C2FDF"/>
    <w:rsid w:val="006C322E"/>
    <w:rsid w:val="006C324F"/>
    <w:rsid w:val="006C32BF"/>
    <w:rsid w:val="006C3678"/>
    <w:rsid w:val="006C3703"/>
    <w:rsid w:val="006C3AEE"/>
    <w:rsid w:val="006C3F83"/>
    <w:rsid w:val="006C45F4"/>
    <w:rsid w:val="006C515D"/>
    <w:rsid w:val="006C7761"/>
    <w:rsid w:val="006C78E5"/>
    <w:rsid w:val="006C79D4"/>
    <w:rsid w:val="006D0DB7"/>
    <w:rsid w:val="006D1931"/>
    <w:rsid w:val="006D20F2"/>
    <w:rsid w:val="006D26E1"/>
    <w:rsid w:val="006D2CEA"/>
    <w:rsid w:val="006D2D8B"/>
    <w:rsid w:val="006D2E9D"/>
    <w:rsid w:val="006D32F4"/>
    <w:rsid w:val="006D3C23"/>
    <w:rsid w:val="006D4401"/>
    <w:rsid w:val="006D4E18"/>
    <w:rsid w:val="006D4FE3"/>
    <w:rsid w:val="006D60A3"/>
    <w:rsid w:val="006D67CC"/>
    <w:rsid w:val="006D6A4B"/>
    <w:rsid w:val="006D749A"/>
    <w:rsid w:val="006D7865"/>
    <w:rsid w:val="006D7CA8"/>
    <w:rsid w:val="006E14AA"/>
    <w:rsid w:val="006E1DA9"/>
    <w:rsid w:val="006E1DF1"/>
    <w:rsid w:val="006E201D"/>
    <w:rsid w:val="006E2AC2"/>
    <w:rsid w:val="006E2BA6"/>
    <w:rsid w:val="006E2BC3"/>
    <w:rsid w:val="006E2D9D"/>
    <w:rsid w:val="006E2DDC"/>
    <w:rsid w:val="006E2E12"/>
    <w:rsid w:val="006E34DC"/>
    <w:rsid w:val="006E4065"/>
    <w:rsid w:val="006E4555"/>
    <w:rsid w:val="006E4773"/>
    <w:rsid w:val="006E4E9A"/>
    <w:rsid w:val="006E4EC3"/>
    <w:rsid w:val="006E55DD"/>
    <w:rsid w:val="006E5F58"/>
    <w:rsid w:val="006E6EF5"/>
    <w:rsid w:val="006E6F88"/>
    <w:rsid w:val="006E759D"/>
    <w:rsid w:val="006E75AD"/>
    <w:rsid w:val="006F0419"/>
    <w:rsid w:val="006F05AA"/>
    <w:rsid w:val="006F0750"/>
    <w:rsid w:val="006F1B45"/>
    <w:rsid w:val="006F1E1A"/>
    <w:rsid w:val="006F2768"/>
    <w:rsid w:val="006F2F78"/>
    <w:rsid w:val="006F3DD6"/>
    <w:rsid w:val="006F4447"/>
    <w:rsid w:val="006F46F1"/>
    <w:rsid w:val="006F5548"/>
    <w:rsid w:val="006F58B0"/>
    <w:rsid w:val="006F5A3D"/>
    <w:rsid w:val="006F626D"/>
    <w:rsid w:val="006F6446"/>
    <w:rsid w:val="006F6B3E"/>
    <w:rsid w:val="006F7494"/>
    <w:rsid w:val="006F7DB6"/>
    <w:rsid w:val="00701098"/>
    <w:rsid w:val="007013E8"/>
    <w:rsid w:val="00701FEB"/>
    <w:rsid w:val="00702D43"/>
    <w:rsid w:val="007044C6"/>
    <w:rsid w:val="00705146"/>
    <w:rsid w:val="00705A25"/>
    <w:rsid w:val="00705BEA"/>
    <w:rsid w:val="00706165"/>
    <w:rsid w:val="00707895"/>
    <w:rsid w:val="00707C7F"/>
    <w:rsid w:val="007101B3"/>
    <w:rsid w:val="00710276"/>
    <w:rsid w:val="00710506"/>
    <w:rsid w:val="00710899"/>
    <w:rsid w:val="00710B07"/>
    <w:rsid w:val="00710CF6"/>
    <w:rsid w:val="007111CC"/>
    <w:rsid w:val="00711B02"/>
    <w:rsid w:val="0071234A"/>
    <w:rsid w:val="0071252F"/>
    <w:rsid w:val="007126C0"/>
    <w:rsid w:val="0071308F"/>
    <w:rsid w:val="0071337F"/>
    <w:rsid w:val="007135C5"/>
    <w:rsid w:val="00713E29"/>
    <w:rsid w:val="00713F55"/>
    <w:rsid w:val="007145F8"/>
    <w:rsid w:val="00714C4E"/>
    <w:rsid w:val="00715C90"/>
    <w:rsid w:val="00715CA2"/>
    <w:rsid w:val="00715F55"/>
    <w:rsid w:val="00716422"/>
    <w:rsid w:val="00716676"/>
    <w:rsid w:val="00716FA6"/>
    <w:rsid w:val="00717415"/>
    <w:rsid w:val="007176F0"/>
    <w:rsid w:val="0072059E"/>
    <w:rsid w:val="00720639"/>
    <w:rsid w:val="00720EB2"/>
    <w:rsid w:val="0072103C"/>
    <w:rsid w:val="00721048"/>
    <w:rsid w:val="00721D49"/>
    <w:rsid w:val="007230A4"/>
    <w:rsid w:val="007232FF"/>
    <w:rsid w:val="007237EA"/>
    <w:rsid w:val="007243DC"/>
    <w:rsid w:val="00724FE4"/>
    <w:rsid w:val="00725AE5"/>
    <w:rsid w:val="007267B6"/>
    <w:rsid w:val="00726D38"/>
    <w:rsid w:val="00726EE0"/>
    <w:rsid w:val="00727126"/>
    <w:rsid w:val="007273EF"/>
    <w:rsid w:val="007275D3"/>
    <w:rsid w:val="00727B91"/>
    <w:rsid w:val="00730711"/>
    <w:rsid w:val="00731284"/>
    <w:rsid w:val="00731555"/>
    <w:rsid w:val="0073276E"/>
    <w:rsid w:val="007328D1"/>
    <w:rsid w:val="00732E1A"/>
    <w:rsid w:val="00733177"/>
    <w:rsid w:val="007334AB"/>
    <w:rsid w:val="00733C9C"/>
    <w:rsid w:val="00733EC8"/>
    <w:rsid w:val="00733EDF"/>
    <w:rsid w:val="00734C40"/>
    <w:rsid w:val="007355A6"/>
    <w:rsid w:val="00735B0D"/>
    <w:rsid w:val="00736022"/>
    <w:rsid w:val="00736793"/>
    <w:rsid w:val="00736B4B"/>
    <w:rsid w:val="00736C14"/>
    <w:rsid w:val="00737DCD"/>
    <w:rsid w:val="007403B2"/>
    <w:rsid w:val="00741566"/>
    <w:rsid w:val="00741703"/>
    <w:rsid w:val="00741B18"/>
    <w:rsid w:val="00741B46"/>
    <w:rsid w:val="00742773"/>
    <w:rsid w:val="007433AC"/>
    <w:rsid w:val="00743F51"/>
    <w:rsid w:val="00744BCD"/>
    <w:rsid w:val="00745607"/>
    <w:rsid w:val="007459B0"/>
    <w:rsid w:val="00745BD1"/>
    <w:rsid w:val="00745D53"/>
    <w:rsid w:val="00746998"/>
    <w:rsid w:val="00746D21"/>
    <w:rsid w:val="0074714C"/>
    <w:rsid w:val="00747B61"/>
    <w:rsid w:val="00750B6D"/>
    <w:rsid w:val="0075139D"/>
    <w:rsid w:val="0075163A"/>
    <w:rsid w:val="00751D3E"/>
    <w:rsid w:val="00752906"/>
    <w:rsid w:val="00752DD8"/>
    <w:rsid w:val="00753317"/>
    <w:rsid w:val="00753DEA"/>
    <w:rsid w:val="00753E57"/>
    <w:rsid w:val="00754FB8"/>
    <w:rsid w:val="007553D7"/>
    <w:rsid w:val="00755427"/>
    <w:rsid w:val="007567B7"/>
    <w:rsid w:val="00756894"/>
    <w:rsid w:val="007575B8"/>
    <w:rsid w:val="00757965"/>
    <w:rsid w:val="00757CE0"/>
    <w:rsid w:val="00760751"/>
    <w:rsid w:val="00760CD8"/>
    <w:rsid w:val="00760FA9"/>
    <w:rsid w:val="0076144A"/>
    <w:rsid w:val="007627B7"/>
    <w:rsid w:val="00763128"/>
    <w:rsid w:val="007631BC"/>
    <w:rsid w:val="007633D4"/>
    <w:rsid w:val="007634C0"/>
    <w:rsid w:val="007636F9"/>
    <w:rsid w:val="00763956"/>
    <w:rsid w:val="00763B97"/>
    <w:rsid w:val="00764162"/>
    <w:rsid w:val="0076453A"/>
    <w:rsid w:val="0076460C"/>
    <w:rsid w:val="00764772"/>
    <w:rsid w:val="007649D3"/>
    <w:rsid w:val="00765343"/>
    <w:rsid w:val="007654A2"/>
    <w:rsid w:val="007654DA"/>
    <w:rsid w:val="00765C16"/>
    <w:rsid w:val="007663B3"/>
    <w:rsid w:val="00766C89"/>
    <w:rsid w:val="007672F4"/>
    <w:rsid w:val="007700E8"/>
    <w:rsid w:val="007702E4"/>
    <w:rsid w:val="00770441"/>
    <w:rsid w:val="00770468"/>
    <w:rsid w:val="00770A3F"/>
    <w:rsid w:val="00770A60"/>
    <w:rsid w:val="007713D9"/>
    <w:rsid w:val="00772548"/>
    <w:rsid w:val="007726C7"/>
    <w:rsid w:val="00774250"/>
    <w:rsid w:val="00774A36"/>
    <w:rsid w:val="00775180"/>
    <w:rsid w:val="00775550"/>
    <w:rsid w:val="007756ED"/>
    <w:rsid w:val="00775DC3"/>
    <w:rsid w:val="00776FE3"/>
    <w:rsid w:val="00777916"/>
    <w:rsid w:val="00777B99"/>
    <w:rsid w:val="00777C82"/>
    <w:rsid w:val="0078021F"/>
    <w:rsid w:val="00781526"/>
    <w:rsid w:val="007825E9"/>
    <w:rsid w:val="00782610"/>
    <w:rsid w:val="00782A95"/>
    <w:rsid w:val="00782F7C"/>
    <w:rsid w:val="007831C1"/>
    <w:rsid w:val="00783670"/>
    <w:rsid w:val="00783A99"/>
    <w:rsid w:val="00784341"/>
    <w:rsid w:val="00784AC9"/>
    <w:rsid w:val="00784E4D"/>
    <w:rsid w:val="007869FF"/>
    <w:rsid w:val="00790569"/>
    <w:rsid w:val="00790AC7"/>
    <w:rsid w:val="00790EA2"/>
    <w:rsid w:val="007915AC"/>
    <w:rsid w:val="007917C5"/>
    <w:rsid w:val="00791E54"/>
    <w:rsid w:val="00792A25"/>
    <w:rsid w:val="0079301A"/>
    <w:rsid w:val="007936A8"/>
    <w:rsid w:val="00793A6D"/>
    <w:rsid w:val="00793BD4"/>
    <w:rsid w:val="00793D2F"/>
    <w:rsid w:val="00793FA3"/>
    <w:rsid w:val="007945DD"/>
    <w:rsid w:val="007946AF"/>
    <w:rsid w:val="00794F6E"/>
    <w:rsid w:val="00795D4B"/>
    <w:rsid w:val="00796271"/>
    <w:rsid w:val="00796514"/>
    <w:rsid w:val="00796744"/>
    <w:rsid w:val="00796F41"/>
    <w:rsid w:val="00797493"/>
    <w:rsid w:val="00797AB7"/>
    <w:rsid w:val="007A01BF"/>
    <w:rsid w:val="007A0D05"/>
    <w:rsid w:val="007A2B0B"/>
    <w:rsid w:val="007A2D20"/>
    <w:rsid w:val="007A3184"/>
    <w:rsid w:val="007A3E8B"/>
    <w:rsid w:val="007A45A3"/>
    <w:rsid w:val="007A4810"/>
    <w:rsid w:val="007A4C12"/>
    <w:rsid w:val="007A5044"/>
    <w:rsid w:val="007A602C"/>
    <w:rsid w:val="007A6242"/>
    <w:rsid w:val="007A69F8"/>
    <w:rsid w:val="007A6C37"/>
    <w:rsid w:val="007A6E24"/>
    <w:rsid w:val="007A7FFB"/>
    <w:rsid w:val="007B0611"/>
    <w:rsid w:val="007B06BC"/>
    <w:rsid w:val="007B0A1A"/>
    <w:rsid w:val="007B1735"/>
    <w:rsid w:val="007B1C55"/>
    <w:rsid w:val="007B2AD3"/>
    <w:rsid w:val="007B2B6D"/>
    <w:rsid w:val="007B2CD4"/>
    <w:rsid w:val="007B33B7"/>
    <w:rsid w:val="007B36FD"/>
    <w:rsid w:val="007B398D"/>
    <w:rsid w:val="007B43CC"/>
    <w:rsid w:val="007B4655"/>
    <w:rsid w:val="007B4B60"/>
    <w:rsid w:val="007B5BBD"/>
    <w:rsid w:val="007B682B"/>
    <w:rsid w:val="007B6DAF"/>
    <w:rsid w:val="007C10A6"/>
    <w:rsid w:val="007C1124"/>
    <w:rsid w:val="007C11CB"/>
    <w:rsid w:val="007C16E7"/>
    <w:rsid w:val="007C1D27"/>
    <w:rsid w:val="007C22C2"/>
    <w:rsid w:val="007C27F4"/>
    <w:rsid w:val="007C4150"/>
    <w:rsid w:val="007C4320"/>
    <w:rsid w:val="007C4ED4"/>
    <w:rsid w:val="007C52BF"/>
    <w:rsid w:val="007C5375"/>
    <w:rsid w:val="007C5961"/>
    <w:rsid w:val="007C59CB"/>
    <w:rsid w:val="007C6181"/>
    <w:rsid w:val="007C6E4D"/>
    <w:rsid w:val="007C7630"/>
    <w:rsid w:val="007C7E75"/>
    <w:rsid w:val="007D03C2"/>
    <w:rsid w:val="007D0AAB"/>
    <w:rsid w:val="007D101B"/>
    <w:rsid w:val="007D10E0"/>
    <w:rsid w:val="007D1633"/>
    <w:rsid w:val="007D1A69"/>
    <w:rsid w:val="007D2352"/>
    <w:rsid w:val="007D2680"/>
    <w:rsid w:val="007D29FD"/>
    <w:rsid w:val="007D2BB8"/>
    <w:rsid w:val="007D2CB1"/>
    <w:rsid w:val="007D3167"/>
    <w:rsid w:val="007D3363"/>
    <w:rsid w:val="007D47A3"/>
    <w:rsid w:val="007D50FA"/>
    <w:rsid w:val="007D5A05"/>
    <w:rsid w:val="007D5F8C"/>
    <w:rsid w:val="007D70D0"/>
    <w:rsid w:val="007D79B3"/>
    <w:rsid w:val="007E07AE"/>
    <w:rsid w:val="007E0A27"/>
    <w:rsid w:val="007E1912"/>
    <w:rsid w:val="007E1AAC"/>
    <w:rsid w:val="007E1E21"/>
    <w:rsid w:val="007E1F3B"/>
    <w:rsid w:val="007E2283"/>
    <w:rsid w:val="007E2586"/>
    <w:rsid w:val="007E2D98"/>
    <w:rsid w:val="007E2E6E"/>
    <w:rsid w:val="007E30D5"/>
    <w:rsid w:val="007E34D2"/>
    <w:rsid w:val="007E3BE5"/>
    <w:rsid w:val="007E3D23"/>
    <w:rsid w:val="007E445B"/>
    <w:rsid w:val="007E4710"/>
    <w:rsid w:val="007E4775"/>
    <w:rsid w:val="007E5441"/>
    <w:rsid w:val="007E5D35"/>
    <w:rsid w:val="007E61A7"/>
    <w:rsid w:val="007E629F"/>
    <w:rsid w:val="007E6E8F"/>
    <w:rsid w:val="007E73DE"/>
    <w:rsid w:val="007E79D7"/>
    <w:rsid w:val="007F1012"/>
    <w:rsid w:val="007F139F"/>
    <w:rsid w:val="007F1BAD"/>
    <w:rsid w:val="007F1FA7"/>
    <w:rsid w:val="007F2079"/>
    <w:rsid w:val="007F3431"/>
    <w:rsid w:val="007F368C"/>
    <w:rsid w:val="007F391B"/>
    <w:rsid w:val="007F4A99"/>
    <w:rsid w:val="007F4BE5"/>
    <w:rsid w:val="007F4CB5"/>
    <w:rsid w:val="007F4E31"/>
    <w:rsid w:val="007F4EC6"/>
    <w:rsid w:val="007F5B75"/>
    <w:rsid w:val="007F6B7E"/>
    <w:rsid w:val="007F6C2C"/>
    <w:rsid w:val="007F6D39"/>
    <w:rsid w:val="007F79CD"/>
    <w:rsid w:val="007F79F1"/>
    <w:rsid w:val="007F7AC7"/>
    <w:rsid w:val="008002F6"/>
    <w:rsid w:val="008005C0"/>
    <w:rsid w:val="00801062"/>
    <w:rsid w:val="00801454"/>
    <w:rsid w:val="00801B23"/>
    <w:rsid w:val="00801F3C"/>
    <w:rsid w:val="008020E7"/>
    <w:rsid w:val="00802B83"/>
    <w:rsid w:val="00803E96"/>
    <w:rsid w:val="0080409E"/>
    <w:rsid w:val="0080443D"/>
    <w:rsid w:val="008048C9"/>
    <w:rsid w:val="008049CF"/>
    <w:rsid w:val="00804F16"/>
    <w:rsid w:val="0080523E"/>
    <w:rsid w:val="008061EC"/>
    <w:rsid w:val="00806579"/>
    <w:rsid w:val="00806876"/>
    <w:rsid w:val="00811174"/>
    <w:rsid w:val="00811762"/>
    <w:rsid w:val="008119C5"/>
    <w:rsid w:val="00811B49"/>
    <w:rsid w:val="00811CBC"/>
    <w:rsid w:val="00812023"/>
    <w:rsid w:val="008127B8"/>
    <w:rsid w:val="008134AE"/>
    <w:rsid w:val="00813661"/>
    <w:rsid w:val="00813DD6"/>
    <w:rsid w:val="00813F9F"/>
    <w:rsid w:val="00814786"/>
    <w:rsid w:val="00814DCC"/>
    <w:rsid w:val="00815D0F"/>
    <w:rsid w:val="00815E48"/>
    <w:rsid w:val="008160C8"/>
    <w:rsid w:val="0081624D"/>
    <w:rsid w:val="008163F2"/>
    <w:rsid w:val="00816802"/>
    <w:rsid w:val="00816811"/>
    <w:rsid w:val="008178D9"/>
    <w:rsid w:val="00820300"/>
    <w:rsid w:val="008204D8"/>
    <w:rsid w:val="00821434"/>
    <w:rsid w:val="00822041"/>
    <w:rsid w:val="00822759"/>
    <w:rsid w:val="0082308F"/>
    <w:rsid w:val="00824DF6"/>
    <w:rsid w:val="0082558A"/>
    <w:rsid w:val="00825C99"/>
    <w:rsid w:val="00826C47"/>
    <w:rsid w:val="00826F29"/>
    <w:rsid w:val="00827B8E"/>
    <w:rsid w:val="00830F30"/>
    <w:rsid w:val="0083203D"/>
    <w:rsid w:val="008327BE"/>
    <w:rsid w:val="0083354D"/>
    <w:rsid w:val="00833A0A"/>
    <w:rsid w:val="00833D33"/>
    <w:rsid w:val="008363A4"/>
    <w:rsid w:val="00836403"/>
    <w:rsid w:val="00836563"/>
    <w:rsid w:val="0083661E"/>
    <w:rsid w:val="00836759"/>
    <w:rsid w:val="008376AB"/>
    <w:rsid w:val="00837F1E"/>
    <w:rsid w:val="00840EBB"/>
    <w:rsid w:val="008416D6"/>
    <w:rsid w:val="0084280A"/>
    <w:rsid w:val="0084299B"/>
    <w:rsid w:val="00842C8F"/>
    <w:rsid w:val="008434F4"/>
    <w:rsid w:val="008436F7"/>
    <w:rsid w:val="00843B66"/>
    <w:rsid w:val="00843C5C"/>
    <w:rsid w:val="008444B0"/>
    <w:rsid w:val="00844619"/>
    <w:rsid w:val="00844B03"/>
    <w:rsid w:val="008456D9"/>
    <w:rsid w:val="0084571A"/>
    <w:rsid w:val="00845A3F"/>
    <w:rsid w:val="00845D3F"/>
    <w:rsid w:val="00846200"/>
    <w:rsid w:val="008463FF"/>
    <w:rsid w:val="0084641B"/>
    <w:rsid w:val="0084665B"/>
    <w:rsid w:val="00846966"/>
    <w:rsid w:val="0085003A"/>
    <w:rsid w:val="008502AF"/>
    <w:rsid w:val="00851CCD"/>
    <w:rsid w:val="0085291E"/>
    <w:rsid w:val="00852C4B"/>
    <w:rsid w:val="00853E22"/>
    <w:rsid w:val="00854918"/>
    <w:rsid w:val="0085491E"/>
    <w:rsid w:val="008551BE"/>
    <w:rsid w:val="008552D6"/>
    <w:rsid w:val="00855694"/>
    <w:rsid w:val="00855BD1"/>
    <w:rsid w:val="0085654E"/>
    <w:rsid w:val="0085655A"/>
    <w:rsid w:val="008568BE"/>
    <w:rsid w:val="008574A0"/>
    <w:rsid w:val="00857AB0"/>
    <w:rsid w:val="008602F0"/>
    <w:rsid w:val="00860D87"/>
    <w:rsid w:val="00860EFA"/>
    <w:rsid w:val="008610FE"/>
    <w:rsid w:val="008617F3"/>
    <w:rsid w:val="00861A3B"/>
    <w:rsid w:val="00862034"/>
    <w:rsid w:val="00863261"/>
    <w:rsid w:val="00864639"/>
    <w:rsid w:val="00865743"/>
    <w:rsid w:val="008663EB"/>
    <w:rsid w:val="0086656A"/>
    <w:rsid w:val="008665CF"/>
    <w:rsid w:val="00866738"/>
    <w:rsid w:val="00866C02"/>
    <w:rsid w:val="00867307"/>
    <w:rsid w:val="008673F0"/>
    <w:rsid w:val="00867620"/>
    <w:rsid w:val="00867F5D"/>
    <w:rsid w:val="008703FF"/>
    <w:rsid w:val="00870881"/>
    <w:rsid w:val="0087125A"/>
    <w:rsid w:val="00871650"/>
    <w:rsid w:val="00872355"/>
    <w:rsid w:val="0087236F"/>
    <w:rsid w:val="00872CB5"/>
    <w:rsid w:val="008731C5"/>
    <w:rsid w:val="008738A0"/>
    <w:rsid w:val="008740CE"/>
    <w:rsid w:val="00874C62"/>
    <w:rsid w:val="00874C6D"/>
    <w:rsid w:val="008751B7"/>
    <w:rsid w:val="00875B0E"/>
    <w:rsid w:val="00875CFB"/>
    <w:rsid w:val="00875EAF"/>
    <w:rsid w:val="00875ED5"/>
    <w:rsid w:val="00876CA0"/>
    <w:rsid w:val="00876E0A"/>
    <w:rsid w:val="00877372"/>
    <w:rsid w:val="008777DB"/>
    <w:rsid w:val="008807AE"/>
    <w:rsid w:val="0088094C"/>
    <w:rsid w:val="00880B59"/>
    <w:rsid w:val="00880B5D"/>
    <w:rsid w:val="00880C14"/>
    <w:rsid w:val="0088142A"/>
    <w:rsid w:val="00881788"/>
    <w:rsid w:val="00881A83"/>
    <w:rsid w:val="008823A3"/>
    <w:rsid w:val="0088256B"/>
    <w:rsid w:val="008828C6"/>
    <w:rsid w:val="008828FB"/>
    <w:rsid w:val="00883915"/>
    <w:rsid w:val="00884B82"/>
    <w:rsid w:val="00885CF3"/>
    <w:rsid w:val="00885D48"/>
    <w:rsid w:val="00885FFC"/>
    <w:rsid w:val="008864FB"/>
    <w:rsid w:val="008866A2"/>
    <w:rsid w:val="008867EF"/>
    <w:rsid w:val="0088732A"/>
    <w:rsid w:val="00887401"/>
    <w:rsid w:val="008904B8"/>
    <w:rsid w:val="00890638"/>
    <w:rsid w:val="00890898"/>
    <w:rsid w:val="00891337"/>
    <w:rsid w:val="00891DCD"/>
    <w:rsid w:val="008927DE"/>
    <w:rsid w:val="008943CE"/>
    <w:rsid w:val="008947F5"/>
    <w:rsid w:val="008948AD"/>
    <w:rsid w:val="00894BA6"/>
    <w:rsid w:val="00894C91"/>
    <w:rsid w:val="008955B7"/>
    <w:rsid w:val="00896078"/>
    <w:rsid w:val="008966F1"/>
    <w:rsid w:val="00896A21"/>
    <w:rsid w:val="0089751D"/>
    <w:rsid w:val="008A00D7"/>
    <w:rsid w:val="008A0975"/>
    <w:rsid w:val="008A1064"/>
    <w:rsid w:val="008A1771"/>
    <w:rsid w:val="008A19F3"/>
    <w:rsid w:val="008A1ACA"/>
    <w:rsid w:val="008A2274"/>
    <w:rsid w:val="008A228F"/>
    <w:rsid w:val="008A297F"/>
    <w:rsid w:val="008A299E"/>
    <w:rsid w:val="008A2D98"/>
    <w:rsid w:val="008A3887"/>
    <w:rsid w:val="008A3B8C"/>
    <w:rsid w:val="008A44E1"/>
    <w:rsid w:val="008A5F85"/>
    <w:rsid w:val="008A6515"/>
    <w:rsid w:val="008A658E"/>
    <w:rsid w:val="008A68D1"/>
    <w:rsid w:val="008A6C7F"/>
    <w:rsid w:val="008A7927"/>
    <w:rsid w:val="008A7B7E"/>
    <w:rsid w:val="008B0CE2"/>
    <w:rsid w:val="008B1464"/>
    <w:rsid w:val="008B15D8"/>
    <w:rsid w:val="008B1D8F"/>
    <w:rsid w:val="008B22E8"/>
    <w:rsid w:val="008B2AAF"/>
    <w:rsid w:val="008B33A7"/>
    <w:rsid w:val="008B3468"/>
    <w:rsid w:val="008B3B5E"/>
    <w:rsid w:val="008B3E08"/>
    <w:rsid w:val="008B4CFE"/>
    <w:rsid w:val="008B58B8"/>
    <w:rsid w:val="008B58F8"/>
    <w:rsid w:val="008B5F68"/>
    <w:rsid w:val="008B625F"/>
    <w:rsid w:val="008B68E4"/>
    <w:rsid w:val="008B7B4B"/>
    <w:rsid w:val="008C0406"/>
    <w:rsid w:val="008C05C3"/>
    <w:rsid w:val="008C0877"/>
    <w:rsid w:val="008C1196"/>
    <w:rsid w:val="008C1577"/>
    <w:rsid w:val="008C1A88"/>
    <w:rsid w:val="008C1B1B"/>
    <w:rsid w:val="008C1F7C"/>
    <w:rsid w:val="008C20AE"/>
    <w:rsid w:val="008C27CE"/>
    <w:rsid w:val="008C3364"/>
    <w:rsid w:val="008C4763"/>
    <w:rsid w:val="008C5BE0"/>
    <w:rsid w:val="008C5E4E"/>
    <w:rsid w:val="008C626F"/>
    <w:rsid w:val="008C6321"/>
    <w:rsid w:val="008C677D"/>
    <w:rsid w:val="008C684A"/>
    <w:rsid w:val="008C6E0A"/>
    <w:rsid w:val="008C7A58"/>
    <w:rsid w:val="008D00D2"/>
    <w:rsid w:val="008D030B"/>
    <w:rsid w:val="008D21DE"/>
    <w:rsid w:val="008D22CA"/>
    <w:rsid w:val="008D2843"/>
    <w:rsid w:val="008D2E90"/>
    <w:rsid w:val="008D351A"/>
    <w:rsid w:val="008D395A"/>
    <w:rsid w:val="008D3A27"/>
    <w:rsid w:val="008D3CA5"/>
    <w:rsid w:val="008D5B8B"/>
    <w:rsid w:val="008D5FB8"/>
    <w:rsid w:val="008D6312"/>
    <w:rsid w:val="008D6B31"/>
    <w:rsid w:val="008D799E"/>
    <w:rsid w:val="008D7A1D"/>
    <w:rsid w:val="008D7A28"/>
    <w:rsid w:val="008D7B00"/>
    <w:rsid w:val="008E0517"/>
    <w:rsid w:val="008E1A1B"/>
    <w:rsid w:val="008E1CD0"/>
    <w:rsid w:val="008E2689"/>
    <w:rsid w:val="008E304D"/>
    <w:rsid w:val="008E33A1"/>
    <w:rsid w:val="008E3E46"/>
    <w:rsid w:val="008E4092"/>
    <w:rsid w:val="008E4B12"/>
    <w:rsid w:val="008E50A0"/>
    <w:rsid w:val="008E68B1"/>
    <w:rsid w:val="008E7049"/>
    <w:rsid w:val="008F01DF"/>
    <w:rsid w:val="008F022F"/>
    <w:rsid w:val="008F039D"/>
    <w:rsid w:val="008F04B0"/>
    <w:rsid w:val="008F0A73"/>
    <w:rsid w:val="008F11C8"/>
    <w:rsid w:val="008F2195"/>
    <w:rsid w:val="008F284F"/>
    <w:rsid w:val="008F29A1"/>
    <w:rsid w:val="008F2AB2"/>
    <w:rsid w:val="008F3730"/>
    <w:rsid w:val="008F3DF3"/>
    <w:rsid w:val="008F41E1"/>
    <w:rsid w:val="008F4656"/>
    <w:rsid w:val="008F4EDC"/>
    <w:rsid w:val="008F66E7"/>
    <w:rsid w:val="008F76A3"/>
    <w:rsid w:val="00900B1E"/>
    <w:rsid w:val="00900C2C"/>
    <w:rsid w:val="00900FCD"/>
    <w:rsid w:val="00902C3F"/>
    <w:rsid w:val="0090300F"/>
    <w:rsid w:val="00903588"/>
    <w:rsid w:val="009039F1"/>
    <w:rsid w:val="00903B7D"/>
    <w:rsid w:val="00903DE5"/>
    <w:rsid w:val="009041E2"/>
    <w:rsid w:val="00904498"/>
    <w:rsid w:val="00904C80"/>
    <w:rsid w:val="00905176"/>
    <w:rsid w:val="009057D9"/>
    <w:rsid w:val="009057E2"/>
    <w:rsid w:val="00905FCC"/>
    <w:rsid w:val="009061FE"/>
    <w:rsid w:val="00906BDB"/>
    <w:rsid w:val="00906FB7"/>
    <w:rsid w:val="00907463"/>
    <w:rsid w:val="00907D11"/>
    <w:rsid w:val="00910EAA"/>
    <w:rsid w:val="00910F5F"/>
    <w:rsid w:val="0091168C"/>
    <w:rsid w:val="00911864"/>
    <w:rsid w:val="00911933"/>
    <w:rsid w:val="00912454"/>
    <w:rsid w:val="00912637"/>
    <w:rsid w:val="009129F1"/>
    <w:rsid w:val="00913182"/>
    <w:rsid w:val="00913ACC"/>
    <w:rsid w:val="00913BEB"/>
    <w:rsid w:val="00913E30"/>
    <w:rsid w:val="00914317"/>
    <w:rsid w:val="00914EEE"/>
    <w:rsid w:val="009152C6"/>
    <w:rsid w:val="00916DF2"/>
    <w:rsid w:val="00917B70"/>
    <w:rsid w:val="00920965"/>
    <w:rsid w:val="00921171"/>
    <w:rsid w:val="009216B6"/>
    <w:rsid w:val="00922A53"/>
    <w:rsid w:val="0092307C"/>
    <w:rsid w:val="009231D3"/>
    <w:rsid w:val="0092344C"/>
    <w:rsid w:val="00923E84"/>
    <w:rsid w:val="00924945"/>
    <w:rsid w:val="00924D28"/>
    <w:rsid w:val="00924D62"/>
    <w:rsid w:val="0092555D"/>
    <w:rsid w:val="00925643"/>
    <w:rsid w:val="0092593F"/>
    <w:rsid w:val="009260B9"/>
    <w:rsid w:val="009269C8"/>
    <w:rsid w:val="00927630"/>
    <w:rsid w:val="00927D5F"/>
    <w:rsid w:val="00930098"/>
    <w:rsid w:val="00930C08"/>
    <w:rsid w:val="00930D8E"/>
    <w:rsid w:val="00931814"/>
    <w:rsid w:val="00931C11"/>
    <w:rsid w:val="0093219B"/>
    <w:rsid w:val="009322D3"/>
    <w:rsid w:val="009326A6"/>
    <w:rsid w:val="00932D7B"/>
    <w:rsid w:val="00932E57"/>
    <w:rsid w:val="009332D3"/>
    <w:rsid w:val="0093388F"/>
    <w:rsid w:val="00933FD7"/>
    <w:rsid w:val="009341DB"/>
    <w:rsid w:val="0093429F"/>
    <w:rsid w:val="009346D0"/>
    <w:rsid w:val="00935100"/>
    <w:rsid w:val="00935328"/>
    <w:rsid w:val="00935401"/>
    <w:rsid w:val="009358D0"/>
    <w:rsid w:val="009362CC"/>
    <w:rsid w:val="0093662D"/>
    <w:rsid w:val="00936B4D"/>
    <w:rsid w:val="00936BBD"/>
    <w:rsid w:val="00936C2E"/>
    <w:rsid w:val="00936D85"/>
    <w:rsid w:val="00937D72"/>
    <w:rsid w:val="009403CB"/>
    <w:rsid w:val="00940E5B"/>
    <w:rsid w:val="00941445"/>
    <w:rsid w:val="00941A30"/>
    <w:rsid w:val="009427FE"/>
    <w:rsid w:val="00942B70"/>
    <w:rsid w:val="00942F02"/>
    <w:rsid w:val="00943F90"/>
    <w:rsid w:val="00944092"/>
    <w:rsid w:val="009450D2"/>
    <w:rsid w:val="009454D3"/>
    <w:rsid w:val="00945A99"/>
    <w:rsid w:val="00945FC3"/>
    <w:rsid w:val="00945FDF"/>
    <w:rsid w:val="00946299"/>
    <w:rsid w:val="0094638F"/>
    <w:rsid w:val="009466A4"/>
    <w:rsid w:val="00946F06"/>
    <w:rsid w:val="00946F37"/>
    <w:rsid w:val="00947096"/>
    <w:rsid w:val="00947330"/>
    <w:rsid w:val="00947865"/>
    <w:rsid w:val="00947B4E"/>
    <w:rsid w:val="00950BAE"/>
    <w:rsid w:val="009516EB"/>
    <w:rsid w:val="00951CAA"/>
    <w:rsid w:val="00952462"/>
    <w:rsid w:val="0095311B"/>
    <w:rsid w:val="00953D24"/>
    <w:rsid w:val="00955021"/>
    <w:rsid w:val="0095508A"/>
    <w:rsid w:val="00955123"/>
    <w:rsid w:val="00955B70"/>
    <w:rsid w:val="00955C34"/>
    <w:rsid w:val="009562A0"/>
    <w:rsid w:val="0095662D"/>
    <w:rsid w:val="00956F70"/>
    <w:rsid w:val="00957769"/>
    <w:rsid w:val="00957E32"/>
    <w:rsid w:val="00957FD4"/>
    <w:rsid w:val="0096086B"/>
    <w:rsid w:val="00960BCD"/>
    <w:rsid w:val="00960D54"/>
    <w:rsid w:val="00960FEE"/>
    <w:rsid w:val="00961084"/>
    <w:rsid w:val="009615E6"/>
    <w:rsid w:val="0096190C"/>
    <w:rsid w:val="009619D7"/>
    <w:rsid w:val="00961C02"/>
    <w:rsid w:val="00961D34"/>
    <w:rsid w:val="00962F4F"/>
    <w:rsid w:val="009630F6"/>
    <w:rsid w:val="009643C6"/>
    <w:rsid w:val="0096573D"/>
    <w:rsid w:val="00966416"/>
    <w:rsid w:val="0096654A"/>
    <w:rsid w:val="009670AB"/>
    <w:rsid w:val="00967927"/>
    <w:rsid w:val="00970EC3"/>
    <w:rsid w:val="00971726"/>
    <w:rsid w:val="00971802"/>
    <w:rsid w:val="00971D6F"/>
    <w:rsid w:val="009726A7"/>
    <w:rsid w:val="00972DD8"/>
    <w:rsid w:val="00973B91"/>
    <w:rsid w:val="00973EE1"/>
    <w:rsid w:val="00974518"/>
    <w:rsid w:val="0097494A"/>
    <w:rsid w:val="00975A2D"/>
    <w:rsid w:val="00975FC3"/>
    <w:rsid w:val="009762C3"/>
    <w:rsid w:val="00977496"/>
    <w:rsid w:val="009775C7"/>
    <w:rsid w:val="0097785F"/>
    <w:rsid w:val="00977923"/>
    <w:rsid w:val="00977E03"/>
    <w:rsid w:val="009809FC"/>
    <w:rsid w:val="00980BB4"/>
    <w:rsid w:val="00981E1A"/>
    <w:rsid w:val="0098244A"/>
    <w:rsid w:val="0098299E"/>
    <w:rsid w:val="00982AA4"/>
    <w:rsid w:val="00982C0A"/>
    <w:rsid w:val="00982E58"/>
    <w:rsid w:val="00982FBA"/>
    <w:rsid w:val="00983763"/>
    <w:rsid w:val="00984496"/>
    <w:rsid w:val="0098487C"/>
    <w:rsid w:val="00984930"/>
    <w:rsid w:val="00984C2B"/>
    <w:rsid w:val="00984E02"/>
    <w:rsid w:val="00984FFB"/>
    <w:rsid w:val="009850EA"/>
    <w:rsid w:val="009851D2"/>
    <w:rsid w:val="00985E6B"/>
    <w:rsid w:val="00985F02"/>
    <w:rsid w:val="00986267"/>
    <w:rsid w:val="00986C25"/>
    <w:rsid w:val="0098713B"/>
    <w:rsid w:val="0098799E"/>
    <w:rsid w:val="0099024A"/>
    <w:rsid w:val="00990312"/>
    <w:rsid w:val="009905F1"/>
    <w:rsid w:val="00990A83"/>
    <w:rsid w:val="00991024"/>
    <w:rsid w:val="00991CB2"/>
    <w:rsid w:val="00991D73"/>
    <w:rsid w:val="00991EFB"/>
    <w:rsid w:val="00992766"/>
    <w:rsid w:val="00992960"/>
    <w:rsid w:val="00992CAE"/>
    <w:rsid w:val="00992CF1"/>
    <w:rsid w:val="00993209"/>
    <w:rsid w:val="00993472"/>
    <w:rsid w:val="00993DFA"/>
    <w:rsid w:val="00993E22"/>
    <w:rsid w:val="00994E84"/>
    <w:rsid w:val="00996B6E"/>
    <w:rsid w:val="009972A4"/>
    <w:rsid w:val="00997759"/>
    <w:rsid w:val="00997C03"/>
    <w:rsid w:val="00997E70"/>
    <w:rsid w:val="009A174E"/>
    <w:rsid w:val="009A1C72"/>
    <w:rsid w:val="009A1DFB"/>
    <w:rsid w:val="009A1E61"/>
    <w:rsid w:val="009A2286"/>
    <w:rsid w:val="009A25F3"/>
    <w:rsid w:val="009A3154"/>
    <w:rsid w:val="009A341F"/>
    <w:rsid w:val="009A34E5"/>
    <w:rsid w:val="009A389D"/>
    <w:rsid w:val="009A3BFF"/>
    <w:rsid w:val="009A4229"/>
    <w:rsid w:val="009A4F94"/>
    <w:rsid w:val="009A505C"/>
    <w:rsid w:val="009A5F9F"/>
    <w:rsid w:val="009A647E"/>
    <w:rsid w:val="009A6621"/>
    <w:rsid w:val="009A6947"/>
    <w:rsid w:val="009A72B7"/>
    <w:rsid w:val="009A79D2"/>
    <w:rsid w:val="009B067C"/>
    <w:rsid w:val="009B13A0"/>
    <w:rsid w:val="009B286F"/>
    <w:rsid w:val="009B2C8D"/>
    <w:rsid w:val="009B2F08"/>
    <w:rsid w:val="009B371B"/>
    <w:rsid w:val="009B392C"/>
    <w:rsid w:val="009B4B46"/>
    <w:rsid w:val="009B563A"/>
    <w:rsid w:val="009B5DA0"/>
    <w:rsid w:val="009B6252"/>
    <w:rsid w:val="009B71E8"/>
    <w:rsid w:val="009B7C08"/>
    <w:rsid w:val="009B7CBC"/>
    <w:rsid w:val="009B7DFF"/>
    <w:rsid w:val="009C0E68"/>
    <w:rsid w:val="009C0F77"/>
    <w:rsid w:val="009C1CD8"/>
    <w:rsid w:val="009C2E47"/>
    <w:rsid w:val="009C32CB"/>
    <w:rsid w:val="009C36F3"/>
    <w:rsid w:val="009C37A0"/>
    <w:rsid w:val="009C41D8"/>
    <w:rsid w:val="009C44C5"/>
    <w:rsid w:val="009C468E"/>
    <w:rsid w:val="009C46A5"/>
    <w:rsid w:val="009C48C9"/>
    <w:rsid w:val="009C4904"/>
    <w:rsid w:val="009C7A93"/>
    <w:rsid w:val="009D052A"/>
    <w:rsid w:val="009D0980"/>
    <w:rsid w:val="009D0C36"/>
    <w:rsid w:val="009D1699"/>
    <w:rsid w:val="009D2A6C"/>
    <w:rsid w:val="009D348E"/>
    <w:rsid w:val="009D4A03"/>
    <w:rsid w:val="009D4FEE"/>
    <w:rsid w:val="009D5082"/>
    <w:rsid w:val="009D560A"/>
    <w:rsid w:val="009D710A"/>
    <w:rsid w:val="009D726A"/>
    <w:rsid w:val="009D74BC"/>
    <w:rsid w:val="009E0CAE"/>
    <w:rsid w:val="009E269C"/>
    <w:rsid w:val="009E2750"/>
    <w:rsid w:val="009E27B4"/>
    <w:rsid w:val="009E40E3"/>
    <w:rsid w:val="009E41F3"/>
    <w:rsid w:val="009E42F7"/>
    <w:rsid w:val="009E4CC9"/>
    <w:rsid w:val="009E53C6"/>
    <w:rsid w:val="009E6107"/>
    <w:rsid w:val="009E6B01"/>
    <w:rsid w:val="009E6CF1"/>
    <w:rsid w:val="009E7E3F"/>
    <w:rsid w:val="009F0FD6"/>
    <w:rsid w:val="009F18AC"/>
    <w:rsid w:val="009F2420"/>
    <w:rsid w:val="009F3002"/>
    <w:rsid w:val="009F31F4"/>
    <w:rsid w:val="009F33ED"/>
    <w:rsid w:val="009F4D03"/>
    <w:rsid w:val="009F5279"/>
    <w:rsid w:val="009F5E07"/>
    <w:rsid w:val="009F5E5D"/>
    <w:rsid w:val="009F5E8D"/>
    <w:rsid w:val="009F73FD"/>
    <w:rsid w:val="009F764A"/>
    <w:rsid w:val="009F7725"/>
    <w:rsid w:val="009F77A2"/>
    <w:rsid w:val="009F7F37"/>
    <w:rsid w:val="00A00F54"/>
    <w:rsid w:val="00A014E1"/>
    <w:rsid w:val="00A01528"/>
    <w:rsid w:val="00A018E7"/>
    <w:rsid w:val="00A02710"/>
    <w:rsid w:val="00A02B6E"/>
    <w:rsid w:val="00A02FE6"/>
    <w:rsid w:val="00A0358E"/>
    <w:rsid w:val="00A03998"/>
    <w:rsid w:val="00A03AAC"/>
    <w:rsid w:val="00A03BAF"/>
    <w:rsid w:val="00A03F9C"/>
    <w:rsid w:val="00A0466D"/>
    <w:rsid w:val="00A047C6"/>
    <w:rsid w:val="00A058D9"/>
    <w:rsid w:val="00A06A84"/>
    <w:rsid w:val="00A06C04"/>
    <w:rsid w:val="00A06D49"/>
    <w:rsid w:val="00A07987"/>
    <w:rsid w:val="00A10167"/>
    <w:rsid w:val="00A108BA"/>
    <w:rsid w:val="00A110EF"/>
    <w:rsid w:val="00A119AD"/>
    <w:rsid w:val="00A1291F"/>
    <w:rsid w:val="00A12C1B"/>
    <w:rsid w:val="00A12ECD"/>
    <w:rsid w:val="00A13012"/>
    <w:rsid w:val="00A13133"/>
    <w:rsid w:val="00A13153"/>
    <w:rsid w:val="00A1387C"/>
    <w:rsid w:val="00A13A12"/>
    <w:rsid w:val="00A13AE3"/>
    <w:rsid w:val="00A13EAB"/>
    <w:rsid w:val="00A13F38"/>
    <w:rsid w:val="00A14CE0"/>
    <w:rsid w:val="00A15056"/>
    <w:rsid w:val="00A150BB"/>
    <w:rsid w:val="00A15244"/>
    <w:rsid w:val="00A153C5"/>
    <w:rsid w:val="00A15BB4"/>
    <w:rsid w:val="00A160F0"/>
    <w:rsid w:val="00A16713"/>
    <w:rsid w:val="00A16BE4"/>
    <w:rsid w:val="00A16EF0"/>
    <w:rsid w:val="00A1731E"/>
    <w:rsid w:val="00A17AAF"/>
    <w:rsid w:val="00A20EFA"/>
    <w:rsid w:val="00A22D49"/>
    <w:rsid w:val="00A230BC"/>
    <w:rsid w:val="00A23E61"/>
    <w:rsid w:val="00A24D7C"/>
    <w:rsid w:val="00A25280"/>
    <w:rsid w:val="00A25891"/>
    <w:rsid w:val="00A25D04"/>
    <w:rsid w:val="00A26307"/>
    <w:rsid w:val="00A263C6"/>
    <w:rsid w:val="00A2657B"/>
    <w:rsid w:val="00A269CF"/>
    <w:rsid w:val="00A26D24"/>
    <w:rsid w:val="00A27021"/>
    <w:rsid w:val="00A2742D"/>
    <w:rsid w:val="00A303CB"/>
    <w:rsid w:val="00A303F6"/>
    <w:rsid w:val="00A30596"/>
    <w:rsid w:val="00A3065C"/>
    <w:rsid w:val="00A306BD"/>
    <w:rsid w:val="00A309A5"/>
    <w:rsid w:val="00A314DD"/>
    <w:rsid w:val="00A31B1F"/>
    <w:rsid w:val="00A321C6"/>
    <w:rsid w:val="00A32AD4"/>
    <w:rsid w:val="00A3302D"/>
    <w:rsid w:val="00A33529"/>
    <w:rsid w:val="00A33BE7"/>
    <w:rsid w:val="00A33F59"/>
    <w:rsid w:val="00A3467B"/>
    <w:rsid w:val="00A346DD"/>
    <w:rsid w:val="00A3560E"/>
    <w:rsid w:val="00A359A1"/>
    <w:rsid w:val="00A36909"/>
    <w:rsid w:val="00A3777A"/>
    <w:rsid w:val="00A37905"/>
    <w:rsid w:val="00A37F61"/>
    <w:rsid w:val="00A40F01"/>
    <w:rsid w:val="00A42390"/>
    <w:rsid w:val="00A4253C"/>
    <w:rsid w:val="00A42754"/>
    <w:rsid w:val="00A438B3"/>
    <w:rsid w:val="00A43AD7"/>
    <w:rsid w:val="00A44550"/>
    <w:rsid w:val="00A44B67"/>
    <w:rsid w:val="00A44EAA"/>
    <w:rsid w:val="00A44EAC"/>
    <w:rsid w:val="00A45C23"/>
    <w:rsid w:val="00A46150"/>
    <w:rsid w:val="00A462EE"/>
    <w:rsid w:val="00A46611"/>
    <w:rsid w:val="00A46946"/>
    <w:rsid w:val="00A46CEC"/>
    <w:rsid w:val="00A46E1B"/>
    <w:rsid w:val="00A46F1D"/>
    <w:rsid w:val="00A47155"/>
    <w:rsid w:val="00A474BF"/>
    <w:rsid w:val="00A47542"/>
    <w:rsid w:val="00A47A28"/>
    <w:rsid w:val="00A47F6F"/>
    <w:rsid w:val="00A50579"/>
    <w:rsid w:val="00A5060E"/>
    <w:rsid w:val="00A5083C"/>
    <w:rsid w:val="00A50F88"/>
    <w:rsid w:val="00A51744"/>
    <w:rsid w:val="00A51B01"/>
    <w:rsid w:val="00A51CC9"/>
    <w:rsid w:val="00A51DC5"/>
    <w:rsid w:val="00A525F7"/>
    <w:rsid w:val="00A52BDE"/>
    <w:rsid w:val="00A52D83"/>
    <w:rsid w:val="00A5313A"/>
    <w:rsid w:val="00A53412"/>
    <w:rsid w:val="00A53C37"/>
    <w:rsid w:val="00A5410B"/>
    <w:rsid w:val="00A54479"/>
    <w:rsid w:val="00A553F8"/>
    <w:rsid w:val="00A554EF"/>
    <w:rsid w:val="00A5573C"/>
    <w:rsid w:val="00A5586E"/>
    <w:rsid w:val="00A564F2"/>
    <w:rsid w:val="00A56ABF"/>
    <w:rsid w:val="00A56D3A"/>
    <w:rsid w:val="00A57606"/>
    <w:rsid w:val="00A576FD"/>
    <w:rsid w:val="00A5775A"/>
    <w:rsid w:val="00A57927"/>
    <w:rsid w:val="00A5799D"/>
    <w:rsid w:val="00A57B1C"/>
    <w:rsid w:val="00A57B6F"/>
    <w:rsid w:val="00A60B78"/>
    <w:rsid w:val="00A60D85"/>
    <w:rsid w:val="00A61C84"/>
    <w:rsid w:val="00A62994"/>
    <w:rsid w:val="00A64725"/>
    <w:rsid w:val="00A64FB3"/>
    <w:rsid w:val="00A65245"/>
    <w:rsid w:val="00A65462"/>
    <w:rsid w:val="00A6754C"/>
    <w:rsid w:val="00A700EF"/>
    <w:rsid w:val="00A701A5"/>
    <w:rsid w:val="00A702A7"/>
    <w:rsid w:val="00A703E5"/>
    <w:rsid w:val="00A7130A"/>
    <w:rsid w:val="00A72492"/>
    <w:rsid w:val="00A73635"/>
    <w:rsid w:val="00A73C5F"/>
    <w:rsid w:val="00A7416B"/>
    <w:rsid w:val="00A741DF"/>
    <w:rsid w:val="00A74C39"/>
    <w:rsid w:val="00A75312"/>
    <w:rsid w:val="00A75868"/>
    <w:rsid w:val="00A75E66"/>
    <w:rsid w:val="00A76391"/>
    <w:rsid w:val="00A76666"/>
    <w:rsid w:val="00A76E11"/>
    <w:rsid w:val="00A77605"/>
    <w:rsid w:val="00A7772E"/>
    <w:rsid w:val="00A77BBF"/>
    <w:rsid w:val="00A77EC1"/>
    <w:rsid w:val="00A77F9A"/>
    <w:rsid w:val="00A80B27"/>
    <w:rsid w:val="00A818EE"/>
    <w:rsid w:val="00A81E2A"/>
    <w:rsid w:val="00A8223F"/>
    <w:rsid w:val="00A83A50"/>
    <w:rsid w:val="00A84014"/>
    <w:rsid w:val="00A8444F"/>
    <w:rsid w:val="00A844BE"/>
    <w:rsid w:val="00A846D6"/>
    <w:rsid w:val="00A85051"/>
    <w:rsid w:val="00A85428"/>
    <w:rsid w:val="00A864F4"/>
    <w:rsid w:val="00A86B88"/>
    <w:rsid w:val="00A86CE3"/>
    <w:rsid w:val="00A8700B"/>
    <w:rsid w:val="00A876BA"/>
    <w:rsid w:val="00A879D6"/>
    <w:rsid w:val="00A87AF2"/>
    <w:rsid w:val="00A90702"/>
    <w:rsid w:val="00A90A08"/>
    <w:rsid w:val="00A914AC"/>
    <w:rsid w:val="00A91D76"/>
    <w:rsid w:val="00A94175"/>
    <w:rsid w:val="00A941CA"/>
    <w:rsid w:val="00A94F9E"/>
    <w:rsid w:val="00A951A4"/>
    <w:rsid w:val="00A95538"/>
    <w:rsid w:val="00AA006A"/>
    <w:rsid w:val="00AA00FA"/>
    <w:rsid w:val="00AA014E"/>
    <w:rsid w:val="00AA044F"/>
    <w:rsid w:val="00AA0600"/>
    <w:rsid w:val="00AA118D"/>
    <w:rsid w:val="00AA149F"/>
    <w:rsid w:val="00AA1561"/>
    <w:rsid w:val="00AA1E07"/>
    <w:rsid w:val="00AA20B8"/>
    <w:rsid w:val="00AA212C"/>
    <w:rsid w:val="00AA33DA"/>
    <w:rsid w:val="00AA3622"/>
    <w:rsid w:val="00AA3B0A"/>
    <w:rsid w:val="00AA3F44"/>
    <w:rsid w:val="00AA4374"/>
    <w:rsid w:val="00AA58B0"/>
    <w:rsid w:val="00AA6389"/>
    <w:rsid w:val="00AA64E5"/>
    <w:rsid w:val="00AA686E"/>
    <w:rsid w:val="00AA6C06"/>
    <w:rsid w:val="00AA70A1"/>
    <w:rsid w:val="00AA7725"/>
    <w:rsid w:val="00AA7784"/>
    <w:rsid w:val="00AA7D8D"/>
    <w:rsid w:val="00AB009D"/>
    <w:rsid w:val="00AB0C65"/>
    <w:rsid w:val="00AB1094"/>
    <w:rsid w:val="00AB1454"/>
    <w:rsid w:val="00AB1727"/>
    <w:rsid w:val="00AB1BD7"/>
    <w:rsid w:val="00AB2290"/>
    <w:rsid w:val="00AB2BE7"/>
    <w:rsid w:val="00AB3133"/>
    <w:rsid w:val="00AB4E9F"/>
    <w:rsid w:val="00AB6121"/>
    <w:rsid w:val="00AB62F8"/>
    <w:rsid w:val="00AC04E9"/>
    <w:rsid w:val="00AC0C0A"/>
    <w:rsid w:val="00AC1587"/>
    <w:rsid w:val="00AC1851"/>
    <w:rsid w:val="00AC1A43"/>
    <w:rsid w:val="00AC1B85"/>
    <w:rsid w:val="00AC1C9A"/>
    <w:rsid w:val="00AC22AB"/>
    <w:rsid w:val="00AC2737"/>
    <w:rsid w:val="00AC2A01"/>
    <w:rsid w:val="00AC2B7E"/>
    <w:rsid w:val="00AC2D32"/>
    <w:rsid w:val="00AC2F43"/>
    <w:rsid w:val="00AC32E6"/>
    <w:rsid w:val="00AC32F3"/>
    <w:rsid w:val="00AC337B"/>
    <w:rsid w:val="00AC37CB"/>
    <w:rsid w:val="00AC451C"/>
    <w:rsid w:val="00AC516D"/>
    <w:rsid w:val="00AC5AEE"/>
    <w:rsid w:val="00AC62A8"/>
    <w:rsid w:val="00AC6CE2"/>
    <w:rsid w:val="00AD0D1E"/>
    <w:rsid w:val="00AD1316"/>
    <w:rsid w:val="00AD1DD0"/>
    <w:rsid w:val="00AD1E10"/>
    <w:rsid w:val="00AD2CBB"/>
    <w:rsid w:val="00AD2EF1"/>
    <w:rsid w:val="00AD3E3C"/>
    <w:rsid w:val="00AD46ED"/>
    <w:rsid w:val="00AD4768"/>
    <w:rsid w:val="00AD4BCC"/>
    <w:rsid w:val="00AD4F13"/>
    <w:rsid w:val="00AD55CB"/>
    <w:rsid w:val="00AD55D2"/>
    <w:rsid w:val="00AD5A55"/>
    <w:rsid w:val="00AD5A92"/>
    <w:rsid w:val="00AD5B7E"/>
    <w:rsid w:val="00AD5CBB"/>
    <w:rsid w:val="00AD68DD"/>
    <w:rsid w:val="00AD6EBB"/>
    <w:rsid w:val="00AD7144"/>
    <w:rsid w:val="00AD7329"/>
    <w:rsid w:val="00AD7568"/>
    <w:rsid w:val="00AE02A2"/>
    <w:rsid w:val="00AE03CF"/>
    <w:rsid w:val="00AE0B11"/>
    <w:rsid w:val="00AE152F"/>
    <w:rsid w:val="00AE1959"/>
    <w:rsid w:val="00AE1BD7"/>
    <w:rsid w:val="00AE2266"/>
    <w:rsid w:val="00AE2767"/>
    <w:rsid w:val="00AE3036"/>
    <w:rsid w:val="00AE3042"/>
    <w:rsid w:val="00AE340B"/>
    <w:rsid w:val="00AE3BDB"/>
    <w:rsid w:val="00AE3C3E"/>
    <w:rsid w:val="00AE3EC3"/>
    <w:rsid w:val="00AE41A0"/>
    <w:rsid w:val="00AE47EE"/>
    <w:rsid w:val="00AE4F91"/>
    <w:rsid w:val="00AE54C6"/>
    <w:rsid w:val="00AE5586"/>
    <w:rsid w:val="00AE5B4A"/>
    <w:rsid w:val="00AE5F52"/>
    <w:rsid w:val="00AE61EF"/>
    <w:rsid w:val="00AE6245"/>
    <w:rsid w:val="00AE6A72"/>
    <w:rsid w:val="00AE7B93"/>
    <w:rsid w:val="00AE7D92"/>
    <w:rsid w:val="00AF00A2"/>
    <w:rsid w:val="00AF0139"/>
    <w:rsid w:val="00AF0411"/>
    <w:rsid w:val="00AF08E9"/>
    <w:rsid w:val="00AF0F8E"/>
    <w:rsid w:val="00AF1020"/>
    <w:rsid w:val="00AF1238"/>
    <w:rsid w:val="00AF12C3"/>
    <w:rsid w:val="00AF16A2"/>
    <w:rsid w:val="00AF1AC2"/>
    <w:rsid w:val="00AF20A2"/>
    <w:rsid w:val="00AF2607"/>
    <w:rsid w:val="00AF2C65"/>
    <w:rsid w:val="00AF30DA"/>
    <w:rsid w:val="00AF32CC"/>
    <w:rsid w:val="00AF398B"/>
    <w:rsid w:val="00AF3E34"/>
    <w:rsid w:val="00AF3F59"/>
    <w:rsid w:val="00AF40DE"/>
    <w:rsid w:val="00AF47DF"/>
    <w:rsid w:val="00AF5D96"/>
    <w:rsid w:val="00AF6AB2"/>
    <w:rsid w:val="00AF6DD7"/>
    <w:rsid w:val="00AF7B6E"/>
    <w:rsid w:val="00B00C4C"/>
    <w:rsid w:val="00B00E7E"/>
    <w:rsid w:val="00B00F13"/>
    <w:rsid w:val="00B018B9"/>
    <w:rsid w:val="00B01FE0"/>
    <w:rsid w:val="00B02115"/>
    <w:rsid w:val="00B02692"/>
    <w:rsid w:val="00B02719"/>
    <w:rsid w:val="00B03E87"/>
    <w:rsid w:val="00B03FFD"/>
    <w:rsid w:val="00B043C1"/>
    <w:rsid w:val="00B0473F"/>
    <w:rsid w:val="00B04959"/>
    <w:rsid w:val="00B05121"/>
    <w:rsid w:val="00B054AB"/>
    <w:rsid w:val="00B063E2"/>
    <w:rsid w:val="00B06841"/>
    <w:rsid w:val="00B06EDB"/>
    <w:rsid w:val="00B070C5"/>
    <w:rsid w:val="00B07331"/>
    <w:rsid w:val="00B07EF4"/>
    <w:rsid w:val="00B10419"/>
    <w:rsid w:val="00B10EED"/>
    <w:rsid w:val="00B11517"/>
    <w:rsid w:val="00B12111"/>
    <w:rsid w:val="00B127CC"/>
    <w:rsid w:val="00B128AE"/>
    <w:rsid w:val="00B12B0E"/>
    <w:rsid w:val="00B12B5D"/>
    <w:rsid w:val="00B132E7"/>
    <w:rsid w:val="00B1353C"/>
    <w:rsid w:val="00B137B8"/>
    <w:rsid w:val="00B13E97"/>
    <w:rsid w:val="00B13FB6"/>
    <w:rsid w:val="00B140FC"/>
    <w:rsid w:val="00B14D76"/>
    <w:rsid w:val="00B14DCD"/>
    <w:rsid w:val="00B153B3"/>
    <w:rsid w:val="00B157BD"/>
    <w:rsid w:val="00B16FB1"/>
    <w:rsid w:val="00B17440"/>
    <w:rsid w:val="00B17820"/>
    <w:rsid w:val="00B17958"/>
    <w:rsid w:val="00B17F0A"/>
    <w:rsid w:val="00B17FEF"/>
    <w:rsid w:val="00B243A0"/>
    <w:rsid w:val="00B24DAE"/>
    <w:rsid w:val="00B25129"/>
    <w:rsid w:val="00B254AD"/>
    <w:rsid w:val="00B25A89"/>
    <w:rsid w:val="00B261CF"/>
    <w:rsid w:val="00B26205"/>
    <w:rsid w:val="00B26784"/>
    <w:rsid w:val="00B278E3"/>
    <w:rsid w:val="00B305F0"/>
    <w:rsid w:val="00B30632"/>
    <w:rsid w:val="00B30901"/>
    <w:rsid w:val="00B30C5E"/>
    <w:rsid w:val="00B31DC3"/>
    <w:rsid w:val="00B32455"/>
    <w:rsid w:val="00B324DC"/>
    <w:rsid w:val="00B32A3E"/>
    <w:rsid w:val="00B339C4"/>
    <w:rsid w:val="00B33C4C"/>
    <w:rsid w:val="00B33EDF"/>
    <w:rsid w:val="00B34124"/>
    <w:rsid w:val="00B34469"/>
    <w:rsid w:val="00B34C35"/>
    <w:rsid w:val="00B34E04"/>
    <w:rsid w:val="00B34EC0"/>
    <w:rsid w:val="00B35AE0"/>
    <w:rsid w:val="00B36516"/>
    <w:rsid w:val="00B36A58"/>
    <w:rsid w:val="00B37354"/>
    <w:rsid w:val="00B40E79"/>
    <w:rsid w:val="00B4181F"/>
    <w:rsid w:val="00B41A4F"/>
    <w:rsid w:val="00B41C7F"/>
    <w:rsid w:val="00B41F6B"/>
    <w:rsid w:val="00B4215E"/>
    <w:rsid w:val="00B4242D"/>
    <w:rsid w:val="00B428BA"/>
    <w:rsid w:val="00B42CCD"/>
    <w:rsid w:val="00B42E1B"/>
    <w:rsid w:val="00B42E4C"/>
    <w:rsid w:val="00B43A83"/>
    <w:rsid w:val="00B46108"/>
    <w:rsid w:val="00B4610A"/>
    <w:rsid w:val="00B4655D"/>
    <w:rsid w:val="00B46AEB"/>
    <w:rsid w:val="00B46C56"/>
    <w:rsid w:val="00B46E4C"/>
    <w:rsid w:val="00B46F5D"/>
    <w:rsid w:val="00B47135"/>
    <w:rsid w:val="00B47552"/>
    <w:rsid w:val="00B47865"/>
    <w:rsid w:val="00B50183"/>
    <w:rsid w:val="00B51419"/>
    <w:rsid w:val="00B514EF"/>
    <w:rsid w:val="00B51B74"/>
    <w:rsid w:val="00B520C2"/>
    <w:rsid w:val="00B52247"/>
    <w:rsid w:val="00B52AF9"/>
    <w:rsid w:val="00B53CEF"/>
    <w:rsid w:val="00B54301"/>
    <w:rsid w:val="00B5440F"/>
    <w:rsid w:val="00B544B1"/>
    <w:rsid w:val="00B54779"/>
    <w:rsid w:val="00B54FC9"/>
    <w:rsid w:val="00B555ED"/>
    <w:rsid w:val="00B561D7"/>
    <w:rsid w:val="00B56876"/>
    <w:rsid w:val="00B570A6"/>
    <w:rsid w:val="00B60BF7"/>
    <w:rsid w:val="00B619C2"/>
    <w:rsid w:val="00B61E79"/>
    <w:rsid w:val="00B6203D"/>
    <w:rsid w:val="00B620E7"/>
    <w:rsid w:val="00B635A4"/>
    <w:rsid w:val="00B64004"/>
    <w:rsid w:val="00B649F9"/>
    <w:rsid w:val="00B655B5"/>
    <w:rsid w:val="00B66203"/>
    <w:rsid w:val="00B667E8"/>
    <w:rsid w:val="00B668A8"/>
    <w:rsid w:val="00B672EA"/>
    <w:rsid w:val="00B67538"/>
    <w:rsid w:val="00B67F5D"/>
    <w:rsid w:val="00B70699"/>
    <w:rsid w:val="00B70759"/>
    <w:rsid w:val="00B7174B"/>
    <w:rsid w:val="00B7198E"/>
    <w:rsid w:val="00B71C79"/>
    <w:rsid w:val="00B7201F"/>
    <w:rsid w:val="00B7225F"/>
    <w:rsid w:val="00B72828"/>
    <w:rsid w:val="00B7322A"/>
    <w:rsid w:val="00B735D1"/>
    <w:rsid w:val="00B740D8"/>
    <w:rsid w:val="00B7494F"/>
    <w:rsid w:val="00B74CE2"/>
    <w:rsid w:val="00B74EC4"/>
    <w:rsid w:val="00B74FCA"/>
    <w:rsid w:val="00B75208"/>
    <w:rsid w:val="00B75A29"/>
    <w:rsid w:val="00B75A9C"/>
    <w:rsid w:val="00B76193"/>
    <w:rsid w:val="00B7657B"/>
    <w:rsid w:val="00B77E16"/>
    <w:rsid w:val="00B802E1"/>
    <w:rsid w:val="00B806DD"/>
    <w:rsid w:val="00B8087D"/>
    <w:rsid w:val="00B80C2A"/>
    <w:rsid w:val="00B80EAA"/>
    <w:rsid w:val="00B81071"/>
    <w:rsid w:val="00B813D5"/>
    <w:rsid w:val="00B8174F"/>
    <w:rsid w:val="00B81B08"/>
    <w:rsid w:val="00B81F4F"/>
    <w:rsid w:val="00B82920"/>
    <w:rsid w:val="00B83207"/>
    <w:rsid w:val="00B8321C"/>
    <w:rsid w:val="00B8370F"/>
    <w:rsid w:val="00B83727"/>
    <w:rsid w:val="00B84259"/>
    <w:rsid w:val="00B842A4"/>
    <w:rsid w:val="00B85577"/>
    <w:rsid w:val="00B85EBA"/>
    <w:rsid w:val="00B85EE3"/>
    <w:rsid w:val="00B86161"/>
    <w:rsid w:val="00B869A2"/>
    <w:rsid w:val="00B86D74"/>
    <w:rsid w:val="00B86D95"/>
    <w:rsid w:val="00B86DE1"/>
    <w:rsid w:val="00B87C59"/>
    <w:rsid w:val="00B87F5E"/>
    <w:rsid w:val="00B90481"/>
    <w:rsid w:val="00B90BF4"/>
    <w:rsid w:val="00B90D08"/>
    <w:rsid w:val="00B91091"/>
    <w:rsid w:val="00B91A74"/>
    <w:rsid w:val="00B91F2F"/>
    <w:rsid w:val="00B91F34"/>
    <w:rsid w:val="00B922F0"/>
    <w:rsid w:val="00B92843"/>
    <w:rsid w:val="00B92911"/>
    <w:rsid w:val="00B92CB4"/>
    <w:rsid w:val="00B933EC"/>
    <w:rsid w:val="00B935C1"/>
    <w:rsid w:val="00B94292"/>
    <w:rsid w:val="00B9485B"/>
    <w:rsid w:val="00B9490A"/>
    <w:rsid w:val="00B9495B"/>
    <w:rsid w:val="00B950D8"/>
    <w:rsid w:val="00B951CE"/>
    <w:rsid w:val="00B951EB"/>
    <w:rsid w:val="00B952E3"/>
    <w:rsid w:val="00B955A1"/>
    <w:rsid w:val="00B95D69"/>
    <w:rsid w:val="00B97239"/>
    <w:rsid w:val="00BA0010"/>
    <w:rsid w:val="00BA058F"/>
    <w:rsid w:val="00BA061F"/>
    <w:rsid w:val="00BA097A"/>
    <w:rsid w:val="00BA0BFE"/>
    <w:rsid w:val="00BA0E9E"/>
    <w:rsid w:val="00BA17CB"/>
    <w:rsid w:val="00BA184B"/>
    <w:rsid w:val="00BA1894"/>
    <w:rsid w:val="00BA19EE"/>
    <w:rsid w:val="00BA213A"/>
    <w:rsid w:val="00BA21DB"/>
    <w:rsid w:val="00BA2557"/>
    <w:rsid w:val="00BA25F4"/>
    <w:rsid w:val="00BA26D5"/>
    <w:rsid w:val="00BA2A77"/>
    <w:rsid w:val="00BA34FE"/>
    <w:rsid w:val="00BA37C0"/>
    <w:rsid w:val="00BA3B3D"/>
    <w:rsid w:val="00BA43D6"/>
    <w:rsid w:val="00BA4618"/>
    <w:rsid w:val="00BA51F3"/>
    <w:rsid w:val="00BA58BF"/>
    <w:rsid w:val="00BA64F7"/>
    <w:rsid w:val="00BA66B2"/>
    <w:rsid w:val="00BA7ED4"/>
    <w:rsid w:val="00BB04A6"/>
    <w:rsid w:val="00BB07D7"/>
    <w:rsid w:val="00BB07E0"/>
    <w:rsid w:val="00BB0B64"/>
    <w:rsid w:val="00BB0DCF"/>
    <w:rsid w:val="00BB0F9F"/>
    <w:rsid w:val="00BB16C6"/>
    <w:rsid w:val="00BB1851"/>
    <w:rsid w:val="00BB2581"/>
    <w:rsid w:val="00BB2AE2"/>
    <w:rsid w:val="00BB2DA8"/>
    <w:rsid w:val="00BB36DE"/>
    <w:rsid w:val="00BB383A"/>
    <w:rsid w:val="00BB49C3"/>
    <w:rsid w:val="00BB4E1A"/>
    <w:rsid w:val="00BB5F01"/>
    <w:rsid w:val="00BB60A5"/>
    <w:rsid w:val="00BB793E"/>
    <w:rsid w:val="00BC0336"/>
    <w:rsid w:val="00BC0433"/>
    <w:rsid w:val="00BC0D4D"/>
    <w:rsid w:val="00BC1FCA"/>
    <w:rsid w:val="00BC2423"/>
    <w:rsid w:val="00BC2E90"/>
    <w:rsid w:val="00BC307C"/>
    <w:rsid w:val="00BC338E"/>
    <w:rsid w:val="00BC33D8"/>
    <w:rsid w:val="00BC3557"/>
    <w:rsid w:val="00BC432F"/>
    <w:rsid w:val="00BC4CC8"/>
    <w:rsid w:val="00BC4D3E"/>
    <w:rsid w:val="00BC660B"/>
    <w:rsid w:val="00BC71E8"/>
    <w:rsid w:val="00BC73B6"/>
    <w:rsid w:val="00BC759D"/>
    <w:rsid w:val="00BC7745"/>
    <w:rsid w:val="00BC78FF"/>
    <w:rsid w:val="00BC7AB6"/>
    <w:rsid w:val="00BC7EC5"/>
    <w:rsid w:val="00BD0408"/>
    <w:rsid w:val="00BD0977"/>
    <w:rsid w:val="00BD0D3E"/>
    <w:rsid w:val="00BD0FD5"/>
    <w:rsid w:val="00BD1202"/>
    <w:rsid w:val="00BD17DF"/>
    <w:rsid w:val="00BD1F43"/>
    <w:rsid w:val="00BD2319"/>
    <w:rsid w:val="00BD2355"/>
    <w:rsid w:val="00BD2487"/>
    <w:rsid w:val="00BD27F8"/>
    <w:rsid w:val="00BD3048"/>
    <w:rsid w:val="00BD30B2"/>
    <w:rsid w:val="00BD36AF"/>
    <w:rsid w:val="00BD3F2E"/>
    <w:rsid w:val="00BD3FEB"/>
    <w:rsid w:val="00BD4719"/>
    <w:rsid w:val="00BD4CEC"/>
    <w:rsid w:val="00BD4F61"/>
    <w:rsid w:val="00BD5050"/>
    <w:rsid w:val="00BD50D0"/>
    <w:rsid w:val="00BD58A3"/>
    <w:rsid w:val="00BD6745"/>
    <w:rsid w:val="00BD67DE"/>
    <w:rsid w:val="00BD684B"/>
    <w:rsid w:val="00BD6AC0"/>
    <w:rsid w:val="00BD7112"/>
    <w:rsid w:val="00BD7ADC"/>
    <w:rsid w:val="00BD7DAB"/>
    <w:rsid w:val="00BE0225"/>
    <w:rsid w:val="00BE0E22"/>
    <w:rsid w:val="00BE1761"/>
    <w:rsid w:val="00BE26B2"/>
    <w:rsid w:val="00BE2A2C"/>
    <w:rsid w:val="00BE32A5"/>
    <w:rsid w:val="00BE3414"/>
    <w:rsid w:val="00BE3893"/>
    <w:rsid w:val="00BE3A2F"/>
    <w:rsid w:val="00BE3F28"/>
    <w:rsid w:val="00BE3F2B"/>
    <w:rsid w:val="00BE4240"/>
    <w:rsid w:val="00BE48B0"/>
    <w:rsid w:val="00BE4C36"/>
    <w:rsid w:val="00BE5078"/>
    <w:rsid w:val="00BE5150"/>
    <w:rsid w:val="00BE5310"/>
    <w:rsid w:val="00BE533A"/>
    <w:rsid w:val="00BE5A42"/>
    <w:rsid w:val="00BE6B62"/>
    <w:rsid w:val="00BE73DF"/>
    <w:rsid w:val="00BE75C3"/>
    <w:rsid w:val="00BE774D"/>
    <w:rsid w:val="00BF05A8"/>
    <w:rsid w:val="00BF12A8"/>
    <w:rsid w:val="00BF1551"/>
    <w:rsid w:val="00BF186E"/>
    <w:rsid w:val="00BF270D"/>
    <w:rsid w:val="00BF2A6C"/>
    <w:rsid w:val="00BF36B3"/>
    <w:rsid w:val="00BF3A91"/>
    <w:rsid w:val="00BF3EA8"/>
    <w:rsid w:val="00BF469C"/>
    <w:rsid w:val="00BF55B6"/>
    <w:rsid w:val="00BF5C23"/>
    <w:rsid w:val="00BF670A"/>
    <w:rsid w:val="00BF6782"/>
    <w:rsid w:val="00BF7794"/>
    <w:rsid w:val="00BF7A2F"/>
    <w:rsid w:val="00C001EF"/>
    <w:rsid w:val="00C001FD"/>
    <w:rsid w:val="00C0045A"/>
    <w:rsid w:val="00C00927"/>
    <w:rsid w:val="00C00CFE"/>
    <w:rsid w:val="00C01D45"/>
    <w:rsid w:val="00C02CEF"/>
    <w:rsid w:val="00C02E02"/>
    <w:rsid w:val="00C03625"/>
    <w:rsid w:val="00C0383E"/>
    <w:rsid w:val="00C0446E"/>
    <w:rsid w:val="00C045B2"/>
    <w:rsid w:val="00C049FB"/>
    <w:rsid w:val="00C04A14"/>
    <w:rsid w:val="00C07B82"/>
    <w:rsid w:val="00C10293"/>
    <w:rsid w:val="00C10469"/>
    <w:rsid w:val="00C10693"/>
    <w:rsid w:val="00C11059"/>
    <w:rsid w:val="00C1172E"/>
    <w:rsid w:val="00C1245A"/>
    <w:rsid w:val="00C12AB9"/>
    <w:rsid w:val="00C13A5D"/>
    <w:rsid w:val="00C13A66"/>
    <w:rsid w:val="00C13AFF"/>
    <w:rsid w:val="00C14248"/>
    <w:rsid w:val="00C148D7"/>
    <w:rsid w:val="00C14970"/>
    <w:rsid w:val="00C15A30"/>
    <w:rsid w:val="00C15EAF"/>
    <w:rsid w:val="00C15EB5"/>
    <w:rsid w:val="00C15F87"/>
    <w:rsid w:val="00C16498"/>
    <w:rsid w:val="00C16995"/>
    <w:rsid w:val="00C174AA"/>
    <w:rsid w:val="00C17A73"/>
    <w:rsid w:val="00C20D17"/>
    <w:rsid w:val="00C20D68"/>
    <w:rsid w:val="00C2160C"/>
    <w:rsid w:val="00C21A63"/>
    <w:rsid w:val="00C222DE"/>
    <w:rsid w:val="00C22774"/>
    <w:rsid w:val="00C22D98"/>
    <w:rsid w:val="00C23202"/>
    <w:rsid w:val="00C23477"/>
    <w:rsid w:val="00C235D7"/>
    <w:rsid w:val="00C2456C"/>
    <w:rsid w:val="00C24A58"/>
    <w:rsid w:val="00C24DC9"/>
    <w:rsid w:val="00C252AC"/>
    <w:rsid w:val="00C2588C"/>
    <w:rsid w:val="00C25CCC"/>
    <w:rsid w:val="00C2644B"/>
    <w:rsid w:val="00C2652A"/>
    <w:rsid w:val="00C265DE"/>
    <w:rsid w:val="00C268DD"/>
    <w:rsid w:val="00C269F1"/>
    <w:rsid w:val="00C26E1B"/>
    <w:rsid w:val="00C26E40"/>
    <w:rsid w:val="00C26FE5"/>
    <w:rsid w:val="00C27708"/>
    <w:rsid w:val="00C27C15"/>
    <w:rsid w:val="00C27E98"/>
    <w:rsid w:val="00C27FC5"/>
    <w:rsid w:val="00C30159"/>
    <w:rsid w:val="00C305B1"/>
    <w:rsid w:val="00C30958"/>
    <w:rsid w:val="00C30D3B"/>
    <w:rsid w:val="00C31543"/>
    <w:rsid w:val="00C31A2B"/>
    <w:rsid w:val="00C31A5D"/>
    <w:rsid w:val="00C320D6"/>
    <w:rsid w:val="00C32134"/>
    <w:rsid w:val="00C325CC"/>
    <w:rsid w:val="00C33493"/>
    <w:rsid w:val="00C33661"/>
    <w:rsid w:val="00C33DF4"/>
    <w:rsid w:val="00C34550"/>
    <w:rsid w:val="00C35270"/>
    <w:rsid w:val="00C356F9"/>
    <w:rsid w:val="00C359C9"/>
    <w:rsid w:val="00C36726"/>
    <w:rsid w:val="00C3740F"/>
    <w:rsid w:val="00C40581"/>
    <w:rsid w:val="00C40A92"/>
    <w:rsid w:val="00C41089"/>
    <w:rsid w:val="00C41B42"/>
    <w:rsid w:val="00C42751"/>
    <w:rsid w:val="00C4313A"/>
    <w:rsid w:val="00C43985"/>
    <w:rsid w:val="00C43BFF"/>
    <w:rsid w:val="00C44288"/>
    <w:rsid w:val="00C4440A"/>
    <w:rsid w:val="00C44F88"/>
    <w:rsid w:val="00C45B48"/>
    <w:rsid w:val="00C45FA1"/>
    <w:rsid w:val="00C464DA"/>
    <w:rsid w:val="00C46585"/>
    <w:rsid w:val="00C465BC"/>
    <w:rsid w:val="00C46A82"/>
    <w:rsid w:val="00C46FF1"/>
    <w:rsid w:val="00C47174"/>
    <w:rsid w:val="00C47A07"/>
    <w:rsid w:val="00C50B1C"/>
    <w:rsid w:val="00C50BD9"/>
    <w:rsid w:val="00C510AB"/>
    <w:rsid w:val="00C51990"/>
    <w:rsid w:val="00C52085"/>
    <w:rsid w:val="00C5216E"/>
    <w:rsid w:val="00C523BD"/>
    <w:rsid w:val="00C526A6"/>
    <w:rsid w:val="00C5279E"/>
    <w:rsid w:val="00C534E1"/>
    <w:rsid w:val="00C53812"/>
    <w:rsid w:val="00C54017"/>
    <w:rsid w:val="00C5474A"/>
    <w:rsid w:val="00C54E12"/>
    <w:rsid w:val="00C54FAD"/>
    <w:rsid w:val="00C550FD"/>
    <w:rsid w:val="00C559EC"/>
    <w:rsid w:val="00C5672F"/>
    <w:rsid w:val="00C569D7"/>
    <w:rsid w:val="00C56CEA"/>
    <w:rsid w:val="00C5723E"/>
    <w:rsid w:val="00C57BD2"/>
    <w:rsid w:val="00C60299"/>
    <w:rsid w:val="00C60722"/>
    <w:rsid w:val="00C6096C"/>
    <w:rsid w:val="00C61A51"/>
    <w:rsid w:val="00C61D81"/>
    <w:rsid w:val="00C6227B"/>
    <w:rsid w:val="00C6239E"/>
    <w:rsid w:val="00C62BE4"/>
    <w:rsid w:val="00C63099"/>
    <w:rsid w:val="00C6367C"/>
    <w:rsid w:val="00C63886"/>
    <w:rsid w:val="00C64286"/>
    <w:rsid w:val="00C644BF"/>
    <w:rsid w:val="00C64A91"/>
    <w:rsid w:val="00C65468"/>
    <w:rsid w:val="00C6598C"/>
    <w:rsid w:val="00C6603F"/>
    <w:rsid w:val="00C6624D"/>
    <w:rsid w:val="00C66BFE"/>
    <w:rsid w:val="00C66C47"/>
    <w:rsid w:val="00C66FE3"/>
    <w:rsid w:val="00C678EB"/>
    <w:rsid w:val="00C67DF9"/>
    <w:rsid w:val="00C70295"/>
    <w:rsid w:val="00C702F9"/>
    <w:rsid w:val="00C706E5"/>
    <w:rsid w:val="00C71231"/>
    <w:rsid w:val="00C718CD"/>
    <w:rsid w:val="00C71BE9"/>
    <w:rsid w:val="00C721C9"/>
    <w:rsid w:val="00C73150"/>
    <w:rsid w:val="00C744C9"/>
    <w:rsid w:val="00C75102"/>
    <w:rsid w:val="00C75EC4"/>
    <w:rsid w:val="00C760F3"/>
    <w:rsid w:val="00C761A9"/>
    <w:rsid w:val="00C76A43"/>
    <w:rsid w:val="00C808C1"/>
    <w:rsid w:val="00C8158C"/>
    <w:rsid w:val="00C817D6"/>
    <w:rsid w:val="00C81A82"/>
    <w:rsid w:val="00C8230F"/>
    <w:rsid w:val="00C82D0C"/>
    <w:rsid w:val="00C83164"/>
    <w:rsid w:val="00C83D13"/>
    <w:rsid w:val="00C84407"/>
    <w:rsid w:val="00C847B4"/>
    <w:rsid w:val="00C84C0B"/>
    <w:rsid w:val="00C85275"/>
    <w:rsid w:val="00C85367"/>
    <w:rsid w:val="00C853CC"/>
    <w:rsid w:val="00C85A8F"/>
    <w:rsid w:val="00C86339"/>
    <w:rsid w:val="00C86A59"/>
    <w:rsid w:val="00C86D05"/>
    <w:rsid w:val="00C87080"/>
    <w:rsid w:val="00C87417"/>
    <w:rsid w:val="00C87919"/>
    <w:rsid w:val="00C879F1"/>
    <w:rsid w:val="00C87C75"/>
    <w:rsid w:val="00C90441"/>
    <w:rsid w:val="00C90548"/>
    <w:rsid w:val="00C90A20"/>
    <w:rsid w:val="00C90B3B"/>
    <w:rsid w:val="00C90B7F"/>
    <w:rsid w:val="00C90F39"/>
    <w:rsid w:val="00C91686"/>
    <w:rsid w:val="00C91DE7"/>
    <w:rsid w:val="00C92095"/>
    <w:rsid w:val="00C92230"/>
    <w:rsid w:val="00C92515"/>
    <w:rsid w:val="00C92FCC"/>
    <w:rsid w:val="00C94E2D"/>
    <w:rsid w:val="00C95AC9"/>
    <w:rsid w:val="00C95BCB"/>
    <w:rsid w:val="00C95BFF"/>
    <w:rsid w:val="00C971AD"/>
    <w:rsid w:val="00C9732C"/>
    <w:rsid w:val="00C97388"/>
    <w:rsid w:val="00C974D4"/>
    <w:rsid w:val="00C976DA"/>
    <w:rsid w:val="00CA0901"/>
    <w:rsid w:val="00CA1A31"/>
    <w:rsid w:val="00CA225A"/>
    <w:rsid w:val="00CA4A08"/>
    <w:rsid w:val="00CA5502"/>
    <w:rsid w:val="00CA5C35"/>
    <w:rsid w:val="00CA6ACC"/>
    <w:rsid w:val="00CA73D7"/>
    <w:rsid w:val="00CA7733"/>
    <w:rsid w:val="00CA7ACB"/>
    <w:rsid w:val="00CB0E1E"/>
    <w:rsid w:val="00CB100E"/>
    <w:rsid w:val="00CB10D7"/>
    <w:rsid w:val="00CB1ED3"/>
    <w:rsid w:val="00CB20B0"/>
    <w:rsid w:val="00CB2555"/>
    <w:rsid w:val="00CB2C68"/>
    <w:rsid w:val="00CB3727"/>
    <w:rsid w:val="00CB3BD4"/>
    <w:rsid w:val="00CB49DD"/>
    <w:rsid w:val="00CB5AF4"/>
    <w:rsid w:val="00CB5C32"/>
    <w:rsid w:val="00CB5CD3"/>
    <w:rsid w:val="00CB5E57"/>
    <w:rsid w:val="00CB6568"/>
    <w:rsid w:val="00CB68D9"/>
    <w:rsid w:val="00CB6BE6"/>
    <w:rsid w:val="00CB6D19"/>
    <w:rsid w:val="00CB6D2A"/>
    <w:rsid w:val="00CB7A6F"/>
    <w:rsid w:val="00CB7AA3"/>
    <w:rsid w:val="00CC0AB4"/>
    <w:rsid w:val="00CC0DB4"/>
    <w:rsid w:val="00CC2211"/>
    <w:rsid w:val="00CC2FB5"/>
    <w:rsid w:val="00CC3450"/>
    <w:rsid w:val="00CC4CA6"/>
    <w:rsid w:val="00CC5144"/>
    <w:rsid w:val="00CC5691"/>
    <w:rsid w:val="00CC5999"/>
    <w:rsid w:val="00CC620E"/>
    <w:rsid w:val="00CC6E57"/>
    <w:rsid w:val="00CC6E95"/>
    <w:rsid w:val="00CC723C"/>
    <w:rsid w:val="00CC75F9"/>
    <w:rsid w:val="00CC7750"/>
    <w:rsid w:val="00CC7A39"/>
    <w:rsid w:val="00CD03D4"/>
    <w:rsid w:val="00CD0695"/>
    <w:rsid w:val="00CD06DE"/>
    <w:rsid w:val="00CD09A4"/>
    <w:rsid w:val="00CD0E65"/>
    <w:rsid w:val="00CD10F7"/>
    <w:rsid w:val="00CD1D53"/>
    <w:rsid w:val="00CD2020"/>
    <w:rsid w:val="00CD2389"/>
    <w:rsid w:val="00CD29D5"/>
    <w:rsid w:val="00CD2BF7"/>
    <w:rsid w:val="00CD3191"/>
    <w:rsid w:val="00CD3234"/>
    <w:rsid w:val="00CD4019"/>
    <w:rsid w:val="00CD409D"/>
    <w:rsid w:val="00CD4775"/>
    <w:rsid w:val="00CD4AE6"/>
    <w:rsid w:val="00CD4B38"/>
    <w:rsid w:val="00CD534A"/>
    <w:rsid w:val="00CD53ED"/>
    <w:rsid w:val="00CD5819"/>
    <w:rsid w:val="00CD582C"/>
    <w:rsid w:val="00CD5A84"/>
    <w:rsid w:val="00CD68DE"/>
    <w:rsid w:val="00CD74C7"/>
    <w:rsid w:val="00CD7610"/>
    <w:rsid w:val="00CD774A"/>
    <w:rsid w:val="00CD7845"/>
    <w:rsid w:val="00CE06E9"/>
    <w:rsid w:val="00CE09E6"/>
    <w:rsid w:val="00CE0F85"/>
    <w:rsid w:val="00CE119C"/>
    <w:rsid w:val="00CE26B3"/>
    <w:rsid w:val="00CE3EAA"/>
    <w:rsid w:val="00CE4B95"/>
    <w:rsid w:val="00CE52BD"/>
    <w:rsid w:val="00CE547E"/>
    <w:rsid w:val="00CE577D"/>
    <w:rsid w:val="00CE58E8"/>
    <w:rsid w:val="00CE5B08"/>
    <w:rsid w:val="00CE5F5B"/>
    <w:rsid w:val="00CE642A"/>
    <w:rsid w:val="00CE670D"/>
    <w:rsid w:val="00CE71A8"/>
    <w:rsid w:val="00CE72C7"/>
    <w:rsid w:val="00CE7984"/>
    <w:rsid w:val="00CF02D1"/>
    <w:rsid w:val="00CF062A"/>
    <w:rsid w:val="00CF11B3"/>
    <w:rsid w:val="00CF2295"/>
    <w:rsid w:val="00CF2577"/>
    <w:rsid w:val="00CF2721"/>
    <w:rsid w:val="00CF2C69"/>
    <w:rsid w:val="00CF3AB6"/>
    <w:rsid w:val="00CF456C"/>
    <w:rsid w:val="00CF49A5"/>
    <w:rsid w:val="00CF5475"/>
    <w:rsid w:val="00CF55FA"/>
    <w:rsid w:val="00CF5823"/>
    <w:rsid w:val="00CF5DEB"/>
    <w:rsid w:val="00CF68DE"/>
    <w:rsid w:val="00CF698D"/>
    <w:rsid w:val="00CF6A71"/>
    <w:rsid w:val="00CF72E9"/>
    <w:rsid w:val="00CF74E2"/>
    <w:rsid w:val="00D001BF"/>
    <w:rsid w:val="00D00D7E"/>
    <w:rsid w:val="00D00E9B"/>
    <w:rsid w:val="00D0129C"/>
    <w:rsid w:val="00D013D0"/>
    <w:rsid w:val="00D01A49"/>
    <w:rsid w:val="00D01B87"/>
    <w:rsid w:val="00D022C4"/>
    <w:rsid w:val="00D02798"/>
    <w:rsid w:val="00D0282D"/>
    <w:rsid w:val="00D02D5E"/>
    <w:rsid w:val="00D02FFA"/>
    <w:rsid w:val="00D03026"/>
    <w:rsid w:val="00D0315E"/>
    <w:rsid w:val="00D0330D"/>
    <w:rsid w:val="00D0379C"/>
    <w:rsid w:val="00D03965"/>
    <w:rsid w:val="00D03C0F"/>
    <w:rsid w:val="00D04E11"/>
    <w:rsid w:val="00D067F0"/>
    <w:rsid w:val="00D06F8F"/>
    <w:rsid w:val="00D076D7"/>
    <w:rsid w:val="00D078B4"/>
    <w:rsid w:val="00D07DCA"/>
    <w:rsid w:val="00D07F4C"/>
    <w:rsid w:val="00D1010A"/>
    <w:rsid w:val="00D104B3"/>
    <w:rsid w:val="00D11146"/>
    <w:rsid w:val="00D126A3"/>
    <w:rsid w:val="00D12939"/>
    <w:rsid w:val="00D12B80"/>
    <w:rsid w:val="00D1391B"/>
    <w:rsid w:val="00D139E9"/>
    <w:rsid w:val="00D14AB1"/>
    <w:rsid w:val="00D14F46"/>
    <w:rsid w:val="00D1563D"/>
    <w:rsid w:val="00D15B52"/>
    <w:rsid w:val="00D1612B"/>
    <w:rsid w:val="00D1624F"/>
    <w:rsid w:val="00D162C6"/>
    <w:rsid w:val="00D16975"/>
    <w:rsid w:val="00D16AD8"/>
    <w:rsid w:val="00D16E7A"/>
    <w:rsid w:val="00D17415"/>
    <w:rsid w:val="00D175C4"/>
    <w:rsid w:val="00D203E1"/>
    <w:rsid w:val="00D205CA"/>
    <w:rsid w:val="00D20A66"/>
    <w:rsid w:val="00D21777"/>
    <w:rsid w:val="00D21CBA"/>
    <w:rsid w:val="00D21D64"/>
    <w:rsid w:val="00D225B0"/>
    <w:rsid w:val="00D22854"/>
    <w:rsid w:val="00D22D28"/>
    <w:rsid w:val="00D23836"/>
    <w:rsid w:val="00D241E2"/>
    <w:rsid w:val="00D2445C"/>
    <w:rsid w:val="00D24941"/>
    <w:rsid w:val="00D25531"/>
    <w:rsid w:val="00D257A4"/>
    <w:rsid w:val="00D25F6D"/>
    <w:rsid w:val="00D2625C"/>
    <w:rsid w:val="00D26A8F"/>
    <w:rsid w:val="00D27153"/>
    <w:rsid w:val="00D278B3"/>
    <w:rsid w:val="00D30329"/>
    <w:rsid w:val="00D304E2"/>
    <w:rsid w:val="00D3059A"/>
    <w:rsid w:val="00D30930"/>
    <w:rsid w:val="00D30B78"/>
    <w:rsid w:val="00D3124D"/>
    <w:rsid w:val="00D325D0"/>
    <w:rsid w:val="00D33951"/>
    <w:rsid w:val="00D34004"/>
    <w:rsid w:val="00D34302"/>
    <w:rsid w:val="00D3433F"/>
    <w:rsid w:val="00D34C6A"/>
    <w:rsid w:val="00D34DF9"/>
    <w:rsid w:val="00D3512D"/>
    <w:rsid w:val="00D353C6"/>
    <w:rsid w:val="00D35DA8"/>
    <w:rsid w:val="00D36B44"/>
    <w:rsid w:val="00D379DD"/>
    <w:rsid w:val="00D37DB1"/>
    <w:rsid w:val="00D405F9"/>
    <w:rsid w:val="00D405FC"/>
    <w:rsid w:val="00D4139A"/>
    <w:rsid w:val="00D41BA2"/>
    <w:rsid w:val="00D42384"/>
    <w:rsid w:val="00D42875"/>
    <w:rsid w:val="00D42AAE"/>
    <w:rsid w:val="00D43896"/>
    <w:rsid w:val="00D439F8"/>
    <w:rsid w:val="00D44AA7"/>
    <w:rsid w:val="00D44FB8"/>
    <w:rsid w:val="00D45C5F"/>
    <w:rsid w:val="00D4626F"/>
    <w:rsid w:val="00D462EF"/>
    <w:rsid w:val="00D46B30"/>
    <w:rsid w:val="00D47306"/>
    <w:rsid w:val="00D476FE"/>
    <w:rsid w:val="00D50EF0"/>
    <w:rsid w:val="00D50EF2"/>
    <w:rsid w:val="00D50FC1"/>
    <w:rsid w:val="00D511EF"/>
    <w:rsid w:val="00D513E3"/>
    <w:rsid w:val="00D51D9F"/>
    <w:rsid w:val="00D5251A"/>
    <w:rsid w:val="00D538B5"/>
    <w:rsid w:val="00D540E6"/>
    <w:rsid w:val="00D5452F"/>
    <w:rsid w:val="00D54B4A"/>
    <w:rsid w:val="00D54DDF"/>
    <w:rsid w:val="00D55046"/>
    <w:rsid w:val="00D553C3"/>
    <w:rsid w:val="00D557BC"/>
    <w:rsid w:val="00D557FA"/>
    <w:rsid w:val="00D55C02"/>
    <w:rsid w:val="00D563B4"/>
    <w:rsid w:val="00D56BB9"/>
    <w:rsid w:val="00D5785E"/>
    <w:rsid w:val="00D578CA"/>
    <w:rsid w:val="00D57A60"/>
    <w:rsid w:val="00D57ED4"/>
    <w:rsid w:val="00D6037C"/>
    <w:rsid w:val="00D60F5B"/>
    <w:rsid w:val="00D614C6"/>
    <w:rsid w:val="00D614D3"/>
    <w:rsid w:val="00D61941"/>
    <w:rsid w:val="00D61C25"/>
    <w:rsid w:val="00D62A37"/>
    <w:rsid w:val="00D62CC9"/>
    <w:rsid w:val="00D62D11"/>
    <w:rsid w:val="00D6336F"/>
    <w:rsid w:val="00D63707"/>
    <w:rsid w:val="00D63D7A"/>
    <w:rsid w:val="00D645E9"/>
    <w:rsid w:val="00D64DEC"/>
    <w:rsid w:val="00D65B96"/>
    <w:rsid w:val="00D6645A"/>
    <w:rsid w:val="00D66484"/>
    <w:rsid w:val="00D66677"/>
    <w:rsid w:val="00D6718E"/>
    <w:rsid w:val="00D67E77"/>
    <w:rsid w:val="00D707B3"/>
    <w:rsid w:val="00D71401"/>
    <w:rsid w:val="00D718F5"/>
    <w:rsid w:val="00D71F7F"/>
    <w:rsid w:val="00D722CE"/>
    <w:rsid w:val="00D72919"/>
    <w:rsid w:val="00D729A6"/>
    <w:rsid w:val="00D73279"/>
    <w:rsid w:val="00D744AC"/>
    <w:rsid w:val="00D74F90"/>
    <w:rsid w:val="00D75179"/>
    <w:rsid w:val="00D7558B"/>
    <w:rsid w:val="00D757EC"/>
    <w:rsid w:val="00D758FA"/>
    <w:rsid w:val="00D76765"/>
    <w:rsid w:val="00D7724D"/>
    <w:rsid w:val="00D77446"/>
    <w:rsid w:val="00D7796E"/>
    <w:rsid w:val="00D77BFB"/>
    <w:rsid w:val="00D77D4F"/>
    <w:rsid w:val="00D77EAE"/>
    <w:rsid w:val="00D80DD9"/>
    <w:rsid w:val="00D8144D"/>
    <w:rsid w:val="00D81615"/>
    <w:rsid w:val="00D82264"/>
    <w:rsid w:val="00D8240D"/>
    <w:rsid w:val="00D828A0"/>
    <w:rsid w:val="00D82A51"/>
    <w:rsid w:val="00D82F01"/>
    <w:rsid w:val="00D82FAF"/>
    <w:rsid w:val="00D83353"/>
    <w:rsid w:val="00D83C97"/>
    <w:rsid w:val="00D8437D"/>
    <w:rsid w:val="00D84781"/>
    <w:rsid w:val="00D84790"/>
    <w:rsid w:val="00D8485D"/>
    <w:rsid w:val="00D8565C"/>
    <w:rsid w:val="00D85BD3"/>
    <w:rsid w:val="00D86017"/>
    <w:rsid w:val="00D87040"/>
    <w:rsid w:val="00D8764F"/>
    <w:rsid w:val="00D87BFE"/>
    <w:rsid w:val="00D91289"/>
    <w:rsid w:val="00D9230D"/>
    <w:rsid w:val="00D9300D"/>
    <w:rsid w:val="00D930B4"/>
    <w:rsid w:val="00D936AC"/>
    <w:rsid w:val="00D93F71"/>
    <w:rsid w:val="00D93FAE"/>
    <w:rsid w:val="00D943DC"/>
    <w:rsid w:val="00D94910"/>
    <w:rsid w:val="00D94CB7"/>
    <w:rsid w:val="00D94FF1"/>
    <w:rsid w:val="00D9517B"/>
    <w:rsid w:val="00D952E7"/>
    <w:rsid w:val="00D954A7"/>
    <w:rsid w:val="00D956D2"/>
    <w:rsid w:val="00D95AF5"/>
    <w:rsid w:val="00D96EF3"/>
    <w:rsid w:val="00D97820"/>
    <w:rsid w:val="00DA02A0"/>
    <w:rsid w:val="00DA0EE7"/>
    <w:rsid w:val="00DA1178"/>
    <w:rsid w:val="00DA133A"/>
    <w:rsid w:val="00DA1853"/>
    <w:rsid w:val="00DA1A9D"/>
    <w:rsid w:val="00DA2B04"/>
    <w:rsid w:val="00DA2B4C"/>
    <w:rsid w:val="00DA2BA0"/>
    <w:rsid w:val="00DA33DB"/>
    <w:rsid w:val="00DA3756"/>
    <w:rsid w:val="00DA39C5"/>
    <w:rsid w:val="00DA3D5D"/>
    <w:rsid w:val="00DA4BC9"/>
    <w:rsid w:val="00DA54C8"/>
    <w:rsid w:val="00DA5AD4"/>
    <w:rsid w:val="00DA5F07"/>
    <w:rsid w:val="00DA602A"/>
    <w:rsid w:val="00DA672A"/>
    <w:rsid w:val="00DA708A"/>
    <w:rsid w:val="00DA7117"/>
    <w:rsid w:val="00DA7CCE"/>
    <w:rsid w:val="00DB1167"/>
    <w:rsid w:val="00DB1360"/>
    <w:rsid w:val="00DB19B0"/>
    <w:rsid w:val="00DB21EC"/>
    <w:rsid w:val="00DB26FB"/>
    <w:rsid w:val="00DB2CEA"/>
    <w:rsid w:val="00DB2DC0"/>
    <w:rsid w:val="00DB3A64"/>
    <w:rsid w:val="00DB436B"/>
    <w:rsid w:val="00DB51B3"/>
    <w:rsid w:val="00DB5E0F"/>
    <w:rsid w:val="00DB6A15"/>
    <w:rsid w:val="00DB70BE"/>
    <w:rsid w:val="00DB7EB6"/>
    <w:rsid w:val="00DB7F67"/>
    <w:rsid w:val="00DC0FBB"/>
    <w:rsid w:val="00DC12BC"/>
    <w:rsid w:val="00DC12E1"/>
    <w:rsid w:val="00DC15CF"/>
    <w:rsid w:val="00DC15ED"/>
    <w:rsid w:val="00DC2299"/>
    <w:rsid w:val="00DC23FC"/>
    <w:rsid w:val="00DC25D6"/>
    <w:rsid w:val="00DC2764"/>
    <w:rsid w:val="00DC27B0"/>
    <w:rsid w:val="00DC2E6E"/>
    <w:rsid w:val="00DC2EB9"/>
    <w:rsid w:val="00DC2FD8"/>
    <w:rsid w:val="00DC31F1"/>
    <w:rsid w:val="00DC3419"/>
    <w:rsid w:val="00DC34CB"/>
    <w:rsid w:val="00DC3704"/>
    <w:rsid w:val="00DC39E5"/>
    <w:rsid w:val="00DC3CB4"/>
    <w:rsid w:val="00DC3EDD"/>
    <w:rsid w:val="00DC4350"/>
    <w:rsid w:val="00DC4862"/>
    <w:rsid w:val="00DC513A"/>
    <w:rsid w:val="00DC6175"/>
    <w:rsid w:val="00DC637B"/>
    <w:rsid w:val="00DC6EA0"/>
    <w:rsid w:val="00DC770C"/>
    <w:rsid w:val="00DC790E"/>
    <w:rsid w:val="00DC7AAF"/>
    <w:rsid w:val="00DD0F99"/>
    <w:rsid w:val="00DD1090"/>
    <w:rsid w:val="00DD132F"/>
    <w:rsid w:val="00DD2ADA"/>
    <w:rsid w:val="00DD30B2"/>
    <w:rsid w:val="00DD32EC"/>
    <w:rsid w:val="00DD3438"/>
    <w:rsid w:val="00DD3D7F"/>
    <w:rsid w:val="00DD5234"/>
    <w:rsid w:val="00DD59AA"/>
    <w:rsid w:val="00DD5C2C"/>
    <w:rsid w:val="00DD62D9"/>
    <w:rsid w:val="00DD6C04"/>
    <w:rsid w:val="00DD6DE7"/>
    <w:rsid w:val="00DD6E0E"/>
    <w:rsid w:val="00DD73D5"/>
    <w:rsid w:val="00DD78C8"/>
    <w:rsid w:val="00DD7A8F"/>
    <w:rsid w:val="00DE0043"/>
    <w:rsid w:val="00DE0343"/>
    <w:rsid w:val="00DE0545"/>
    <w:rsid w:val="00DE0652"/>
    <w:rsid w:val="00DE0A4B"/>
    <w:rsid w:val="00DE0ED8"/>
    <w:rsid w:val="00DE15D2"/>
    <w:rsid w:val="00DE17EB"/>
    <w:rsid w:val="00DE1E6A"/>
    <w:rsid w:val="00DE279D"/>
    <w:rsid w:val="00DE2DDF"/>
    <w:rsid w:val="00DE3995"/>
    <w:rsid w:val="00DE4D9C"/>
    <w:rsid w:val="00DE5F4A"/>
    <w:rsid w:val="00DE6192"/>
    <w:rsid w:val="00DE68D8"/>
    <w:rsid w:val="00DE6EE2"/>
    <w:rsid w:val="00DE7474"/>
    <w:rsid w:val="00DE7E8F"/>
    <w:rsid w:val="00DF0BC0"/>
    <w:rsid w:val="00DF0EB0"/>
    <w:rsid w:val="00DF2577"/>
    <w:rsid w:val="00DF2815"/>
    <w:rsid w:val="00DF2939"/>
    <w:rsid w:val="00DF2A02"/>
    <w:rsid w:val="00DF2E7F"/>
    <w:rsid w:val="00DF2EAF"/>
    <w:rsid w:val="00DF30EE"/>
    <w:rsid w:val="00DF3FAB"/>
    <w:rsid w:val="00DF56AC"/>
    <w:rsid w:val="00DF5ABC"/>
    <w:rsid w:val="00DF6AE7"/>
    <w:rsid w:val="00DF6FFD"/>
    <w:rsid w:val="00DF7F37"/>
    <w:rsid w:val="00E00F2C"/>
    <w:rsid w:val="00E02403"/>
    <w:rsid w:val="00E027E8"/>
    <w:rsid w:val="00E03BC7"/>
    <w:rsid w:val="00E04F3B"/>
    <w:rsid w:val="00E05220"/>
    <w:rsid w:val="00E0525E"/>
    <w:rsid w:val="00E05B8E"/>
    <w:rsid w:val="00E05E3E"/>
    <w:rsid w:val="00E05F83"/>
    <w:rsid w:val="00E060C7"/>
    <w:rsid w:val="00E06511"/>
    <w:rsid w:val="00E06871"/>
    <w:rsid w:val="00E06B09"/>
    <w:rsid w:val="00E07201"/>
    <w:rsid w:val="00E075CE"/>
    <w:rsid w:val="00E0776D"/>
    <w:rsid w:val="00E079E0"/>
    <w:rsid w:val="00E1041B"/>
    <w:rsid w:val="00E10CD6"/>
    <w:rsid w:val="00E10DC3"/>
    <w:rsid w:val="00E11711"/>
    <w:rsid w:val="00E1175A"/>
    <w:rsid w:val="00E11F5D"/>
    <w:rsid w:val="00E1203B"/>
    <w:rsid w:val="00E129D4"/>
    <w:rsid w:val="00E12A5F"/>
    <w:rsid w:val="00E131AB"/>
    <w:rsid w:val="00E13512"/>
    <w:rsid w:val="00E146CB"/>
    <w:rsid w:val="00E154C3"/>
    <w:rsid w:val="00E16035"/>
    <w:rsid w:val="00E168E8"/>
    <w:rsid w:val="00E17C28"/>
    <w:rsid w:val="00E20002"/>
    <w:rsid w:val="00E2010C"/>
    <w:rsid w:val="00E2042C"/>
    <w:rsid w:val="00E2044B"/>
    <w:rsid w:val="00E20806"/>
    <w:rsid w:val="00E2195C"/>
    <w:rsid w:val="00E21BD0"/>
    <w:rsid w:val="00E21E4A"/>
    <w:rsid w:val="00E2256F"/>
    <w:rsid w:val="00E22C11"/>
    <w:rsid w:val="00E23CF9"/>
    <w:rsid w:val="00E23DC3"/>
    <w:rsid w:val="00E24263"/>
    <w:rsid w:val="00E2532F"/>
    <w:rsid w:val="00E25A51"/>
    <w:rsid w:val="00E26273"/>
    <w:rsid w:val="00E263B1"/>
    <w:rsid w:val="00E26609"/>
    <w:rsid w:val="00E27C46"/>
    <w:rsid w:val="00E300F1"/>
    <w:rsid w:val="00E3038F"/>
    <w:rsid w:val="00E30B7A"/>
    <w:rsid w:val="00E31DD1"/>
    <w:rsid w:val="00E32059"/>
    <w:rsid w:val="00E32D9C"/>
    <w:rsid w:val="00E33122"/>
    <w:rsid w:val="00E33744"/>
    <w:rsid w:val="00E33CA9"/>
    <w:rsid w:val="00E34458"/>
    <w:rsid w:val="00E34D2E"/>
    <w:rsid w:val="00E34FD7"/>
    <w:rsid w:val="00E355FA"/>
    <w:rsid w:val="00E35A73"/>
    <w:rsid w:val="00E36ACB"/>
    <w:rsid w:val="00E3714A"/>
    <w:rsid w:val="00E37174"/>
    <w:rsid w:val="00E3785F"/>
    <w:rsid w:val="00E37C1C"/>
    <w:rsid w:val="00E37C1F"/>
    <w:rsid w:val="00E404D6"/>
    <w:rsid w:val="00E40793"/>
    <w:rsid w:val="00E40B90"/>
    <w:rsid w:val="00E41153"/>
    <w:rsid w:val="00E41162"/>
    <w:rsid w:val="00E412E8"/>
    <w:rsid w:val="00E41394"/>
    <w:rsid w:val="00E413A6"/>
    <w:rsid w:val="00E41677"/>
    <w:rsid w:val="00E41FA0"/>
    <w:rsid w:val="00E41FA3"/>
    <w:rsid w:val="00E420D8"/>
    <w:rsid w:val="00E423A8"/>
    <w:rsid w:val="00E42527"/>
    <w:rsid w:val="00E430A3"/>
    <w:rsid w:val="00E43198"/>
    <w:rsid w:val="00E43550"/>
    <w:rsid w:val="00E438D5"/>
    <w:rsid w:val="00E44399"/>
    <w:rsid w:val="00E4461A"/>
    <w:rsid w:val="00E458E3"/>
    <w:rsid w:val="00E45DCE"/>
    <w:rsid w:val="00E46480"/>
    <w:rsid w:val="00E466E5"/>
    <w:rsid w:val="00E467E8"/>
    <w:rsid w:val="00E47A88"/>
    <w:rsid w:val="00E47D74"/>
    <w:rsid w:val="00E50207"/>
    <w:rsid w:val="00E5035B"/>
    <w:rsid w:val="00E50967"/>
    <w:rsid w:val="00E50DB3"/>
    <w:rsid w:val="00E51794"/>
    <w:rsid w:val="00E52C1A"/>
    <w:rsid w:val="00E538CF"/>
    <w:rsid w:val="00E53C87"/>
    <w:rsid w:val="00E53DB8"/>
    <w:rsid w:val="00E54306"/>
    <w:rsid w:val="00E558D4"/>
    <w:rsid w:val="00E558E4"/>
    <w:rsid w:val="00E55A2B"/>
    <w:rsid w:val="00E569DA"/>
    <w:rsid w:val="00E56B15"/>
    <w:rsid w:val="00E56B56"/>
    <w:rsid w:val="00E5730C"/>
    <w:rsid w:val="00E600E6"/>
    <w:rsid w:val="00E605BC"/>
    <w:rsid w:val="00E60808"/>
    <w:rsid w:val="00E6094F"/>
    <w:rsid w:val="00E61326"/>
    <w:rsid w:val="00E61434"/>
    <w:rsid w:val="00E614AA"/>
    <w:rsid w:val="00E618D5"/>
    <w:rsid w:val="00E61A10"/>
    <w:rsid w:val="00E62318"/>
    <w:rsid w:val="00E6298B"/>
    <w:rsid w:val="00E62D7E"/>
    <w:rsid w:val="00E630AC"/>
    <w:rsid w:val="00E6329F"/>
    <w:rsid w:val="00E635AF"/>
    <w:rsid w:val="00E64086"/>
    <w:rsid w:val="00E640D2"/>
    <w:rsid w:val="00E6449F"/>
    <w:rsid w:val="00E64C44"/>
    <w:rsid w:val="00E64D25"/>
    <w:rsid w:val="00E65FFE"/>
    <w:rsid w:val="00E667AD"/>
    <w:rsid w:val="00E66A25"/>
    <w:rsid w:val="00E66BE3"/>
    <w:rsid w:val="00E6700B"/>
    <w:rsid w:val="00E679F1"/>
    <w:rsid w:val="00E67F80"/>
    <w:rsid w:val="00E70AB7"/>
    <w:rsid w:val="00E71798"/>
    <w:rsid w:val="00E7186A"/>
    <w:rsid w:val="00E71B51"/>
    <w:rsid w:val="00E71BC7"/>
    <w:rsid w:val="00E71FFF"/>
    <w:rsid w:val="00E73ECC"/>
    <w:rsid w:val="00E74240"/>
    <w:rsid w:val="00E7471F"/>
    <w:rsid w:val="00E749D4"/>
    <w:rsid w:val="00E74DC4"/>
    <w:rsid w:val="00E74E91"/>
    <w:rsid w:val="00E74FB2"/>
    <w:rsid w:val="00E758A1"/>
    <w:rsid w:val="00E765CD"/>
    <w:rsid w:val="00E7681E"/>
    <w:rsid w:val="00E7681F"/>
    <w:rsid w:val="00E76C33"/>
    <w:rsid w:val="00E76D8A"/>
    <w:rsid w:val="00E76EAD"/>
    <w:rsid w:val="00E7721C"/>
    <w:rsid w:val="00E77426"/>
    <w:rsid w:val="00E77B0B"/>
    <w:rsid w:val="00E800DE"/>
    <w:rsid w:val="00E802A1"/>
    <w:rsid w:val="00E80699"/>
    <w:rsid w:val="00E80725"/>
    <w:rsid w:val="00E81FD3"/>
    <w:rsid w:val="00E82446"/>
    <w:rsid w:val="00E82708"/>
    <w:rsid w:val="00E82977"/>
    <w:rsid w:val="00E82C39"/>
    <w:rsid w:val="00E83335"/>
    <w:rsid w:val="00E83634"/>
    <w:rsid w:val="00E83882"/>
    <w:rsid w:val="00E838BE"/>
    <w:rsid w:val="00E84324"/>
    <w:rsid w:val="00E85820"/>
    <w:rsid w:val="00E858E0"/>
    <w:rsid w:val="00E85B74"/>
    <w:rsid w:val="00E8692F"/>
    <w:rsid w:val="00E86BBB"/>
    <w:rsid w:val="00E8769D"/>
    <w:rsid w:val="00E912AE"/>
    <w:rsid w:val="00E914EB"/>
    <w:rsid w:val="00E9195F"/>
    <w:rsid w:val="00E91DC0"/>
    <w:rsid w:val="00E926BB"/>
    <w:rsid w:val="00E92D25"/>
    <w:rsid w:val="00E9315C"/>
    <w:rsid w:val="00E93873"/>
    <w:rsid w:val="00E93B9A"/>
    <w:rsid w:val="00E93DFD"/>
    <w:rsid w:val="00E94BC6"/>
    <w:rsid w:val="00E953D1"/>
    <w:rsid w:val="00E9541D"/>
    <w:rsid w:val="00E97680"/>
    <w:rsid w:val="00E97CA3"/>
    <w:rsid w:val="00EA03F3"/>
    <w:rsid w:val="00EA05C9"/>
    <w:rsid w:val="00EA0787"/>
    <w:rsid w:val="00EA0841"/>
    <w:rsid w:val="00EA10DD"/>
    <w:rsid w:val="00EA11BD"/>
    <w:rsid w:val="00EA1361"/>
    <w:rsid w:val="00EA1471"/>
    <w:rsid w:val="00EA2429"/>
    <w:rsid w:val="00EA24C3"/>
    <w:rsid w:val="00EA3B7C"/>
    <w:rsid w:val="00EA3E2C"/>
    <w:rsid w:val="00EA4155"/>
    <w:rsid w:val="00EA429E"/>
    <w:rsid w:val="00EA484E"/>
    <w:rsid w:val="00EA4C24"/>
    <w:rsid w:val="00EA50E2"/>
    <w:rsid w:val="00EA5BB5"/>
    <w:rsid w:val="00EA6AE2"/>
    <w:rsid w:val="00EA78AE"/>
    <w:rsid w:val="00EB034D"/>
    <w:rsid w:val="00EB040E"/>
    <w:rsid w:val="00EB1389"/>
    <w:rsid w:val="00EB16CF"/>
    <w:rsid w:val="00EB21C9"/>
    <w:rsid w:val="00EB2EE9"/>
    <w:rsid w:val="00EB3216"/>
    <w:rsid w:val="00EB3A2B"/>
    <w:rsid w:val="00EB493D"/>
    <w:rsid w:val="00EB4A40"/>
    <w:rsid w:val="00EB5BE2"/>
    <w:rsid w:val="00EB63CA"/>
    <w:rsid w:val="00EB6539"/>
    <w:rsid w:val="00EB6697"/>
    <w:rsid w:val="00EB7E3F"/>
    <w:rsid w:val="00EB7E66"/>
    <w:rsid w:val="00EC02BE"/>
    <w:rsid w:val="00EC0339"/>
    <w:rsid w:val="00EC03A5"/>
    <w:rsid w:val="00EC05B7"/>
    <w:rsid w:val="00EC06E2"/>
    <w:rsid w:val="00EC0703"/>
    <w:rsid w:val="00EC1653"/>
    <w:rsid w:val="00EC1864"/>
    <w:rsid w:val="00EC2B72"/>
    <w:rsid w:val="00EC3BF8"/>
    <w:rsid w:val="00EC401B"/>
    <w:rsid w:val="00EC49A0"/>
    <w:rsid w:val="00EC4CC2"/>
    <w:rsid w:val="00EC4E64"/>
    <w:rsid w:val="00EC5819"/>
    <w:rsid w:val="00EC5B15"/>
    <w:rsid w:val="00EC5F03"/>
    <w:rsid w:val="00ED14DB"/>
    <w:rsid w:val="00ED17DB"/>
    <w:rsid w:val="00ED24DE"/>
    <w:rsid w:val="00ED316F"/>
    <w:rsid w:val="00ED402E"/>
    <w:rsid w:val="00ED4412"/>
    <w:rsid w:val="00ED4606"/>
    <w:rsid w:val="00ED47EC"/>
    <w:rsid w:val="00ED48D3"/>
    <w:rsid w:val="00ED52C8"/>
    <w:rsid w:val="00ED6992"/>
    <w:rsid w:val="00ED69DE"/>
    <w:rsid w:val="00ED6B96"/>
    <w:rsid w:val="00ED709C"/>
    <w:rsid w:val="00ED7456"/>
    <w:rsid w:val="00ED74BA"/>
    <w:rsid w:val="00ED786F"/>
    <w:rsid w:val="00ED7B5B"/>
    <w:rsid w:val="00ED7F42"/>
    <w:rsid w:val="00EE0C19"/>
    <w:rsid w:val="00EE1262"/>
    <w:rsid w:val="00EE1385"/>
    <w:rsid w:val="00EE265E"/>
    <w:rsid w:val="00EE280D"/>
    <w:rsid w:val="00EE2EC9"/>
    <w:rsid w:val="00EE3046"/>
    <w:rsid w:val="00EE385A"/>
    <w:rsid w:val="00EE3E16"/>
    <w:rsid w:val="00EE417D"/>
    <w:rsid w:val="00EE489D"/>
    <w:rsid w:val="00EE5241"/>
    <w:rsid w:val="00EE53A4"/>
    <w:rsid w:val="00EE55C6"/>
    <w:rsid w:val="00EE5687"/>
    <w:rsid w:val="00EE5E14"/>
    <w:rsid w:val="00EE6330"/>
    <w:rsid w:val="00EE651A"/>
    <w:rsid w:val="00EE6829"/>
    <w:rsid w:val="00EE6872"/>
    <w:rsid w:val="00EE6AFC"/>
    <w:rsid w:val="00EE6E27"/>
    <w:rsid w:val="00EE6E7C"/>
    <w:rsid w:val="00EE782D"/>
    <w:rsid w:val="00EE7BA6"/>
    <w:rsid w:val="00EF0408"/>
    <w:rsid w:val="00EF05E9"/>
    <w:rsid w:val="00EF0A5F"/>
    <w:rsid w:val="00EF0A73"/>
    <w:rsid w:val="00EF0C71"/>
    <w:rsid w:val="00EF109A"/>
    <w:rsid w:val="00EF166A"/>
    <w:rsid w:val="00EF2175"/>
    <w:rsid w:val="00EF28EE"/>
    <w:rsid w:val="00EF2F72"/>
    <w:rsid w:val="00EF2FDC"/>
    <w:rsid w:val="00EF398A"/>
    <w:rsid w:val="00EF4A8B"/>
    <w:rsid w:val="00EF4EFE"/>
    <w:rsid w:val="00EF64BE"/>
    <w:rsid w:val="00EF6C6E"/>
    <w:rsid w:val="00EF6CF6"/>
    <w:rsid w:val="00EF6D1F"/>
    <w:rsid w:val="00EF6DC3"/>
    <w:rsid w:val="00F00978"/>
    <w:rsid w:val="00F01E45"/>
    <w:rsid w:val="00F02206"/>
    <w:rsid w:val="00F02A69"/>
    <w:rsid w:val="00F02B02"/>
    <w:rsid w:val="00F03DC7"/>
    <w:rsid w:val="00F04192"/>
    <w:rsid w:val="00F04383"/>
    <w:rsid w:val="00F047AA"/>
    <w:rsid w:val="00F0509D"/>
    <w:rsid w:val="00F0538C"/>
    <w:rsid w:val="00F05E94"/>
    <w:rsid w:val="00F065A4"/>
    <w:rsid w:val="00F072BC"/>
    <w:rsid w:val="00F07317"/>
    <w:rsid w:val="00F073D2"/>
    <w:rsid w:val="00F07D28"/>
    <w:rsid w:val="00F101DD"/>
    <w:rsid w:val="00F106B7"/>
    <w:rsid w:val="00F10F26"/>
    <w:rsid w:val="00F10F65"/>
    <w:rsid w:val="00F112A8"/>
    <w:rsid w:val="00F117F4"/>
    <w:rsid w:val="00F119C3"/>
    <w:rsid w:val="00F11D93"/>
    <w:rsid w:val="00F12077"/>
    <w:rsid w:val="00F122C0"/>
    <w:rsid w:val="00F123D5"/>
    <w:rsid w:val="00F1254B"/>
    <w:rsid w:val="00F12951"/>
    <w:rsid w:val="00F134C8"/>
    <w:rsid w:val="00F134D7"/>
    <w:rsid w:val="00F13603"/>
    <w:rsid w:val="00F13AD1"/>
    <w:rsid w:val="00F13BC9"/>
    <w:rsid w:val="00F14A72"/>
    <w:rsid w:val="00F15458"/>
    <w:rsid w:val="00F1592D"/>
    <w:rsid w:val="00F15C76"/>
    <w:rsid w:val="00F15D70"/>
    <w:rsid w:val="00F16A4B"/>
    <w:rsid w:val="00F16AC3"/>
    <w:rsid w:val="00F1758E"/>
    <w:rsid w:val="00F17918"/>
    <w:rsid w:val="00F17D4C"/>
    <w:rsid w:val="00F20059"/>
    <w:rsid w:val="00F20699"/>
    <w:rsid w:val="00F20F9C"/>
    <w:rsid w:val="00F2127F"/>
    <w:rsid w:val="00F21976"/>
    <w:rsid w:val="00F228E3"/>
    <w:rsid w:val="00F22EF9"/>
    <w:rsid w:val="00F23616"/>
    <w:rsid w:val="00F23D8B"/>
    <w:rsid w:val="00F23E06"/>
    <w:rsid w:val="00F250B2"/>
    <w:rsid w:val="00F26897"/>
    <w:rsid w:val="00F26C68"/>
    <w:rsid w:val="00F2750E"/>
    <w:rsid w:val="00F27836"/>
    <w:rsid w:val="00F27B62"/>
    <w:rsid w:val="00F27F03"/>
    <w:rsid w:val="00F27FC0"/>
    <w:rsid w:val="00F304F2"/>
    <w:rsid w:val="00F305D9"/>
    <w:rsid w:val="00F317C1"/>
    <w:rsid w:val="00F31B40"/>
    <w:rsid w:val="00F3221C"/>
    <w:rsid w:val="00F32FC8"/>
    <w:rsid w:val="00F3347A"/>
    <w:rsid w:val="00F337C1"/>
    <w:rsid w:val="00F34894"/>
    <w:rsid w:val="00F36D90"/>
    <w:rsid w:val="00F4004D"/>
    <w:rsid w:val="00F407F6"/>
    <w:rsid w:val="00F40FCE"/>
    <w:rsid w:val="00F416BF"/>
    <w:rsid w:val="00F41F65"/>
    <w:rsid w:val="00F420D4"/>
    <w:rsid w:val="00F43424"/>
    <w:rsid w:val="00F43DFC"/>
    <w:rsid w:val="00F43FE9"/>
    <w:rsid w:val="00F441F1"/>
    <w:rsid w:val="00F44541"/>
    <w:rsid w:val="00F44AE4"/>
    <w:rsid w:val="00F454DA"/>
    <w:rsid w:val="00F45600"/>
    <w:rsid w:val="00F458BE"/>
    <w:rsid w:val="00F459BA"/>
    <w:rsid w:val="00F45A03"/>
    <w:rsid w:val="00F463B8"/>
    <w:rsid w:val="00F46D77"/>
    <w:rsid w:val="00F470D4"/>
    <w:rsid w:val="00F47218"/>
    <w:rsid w:val="00F4754E"/>
    <w:rsid w:val="00F510E2"/>
    <w:rsid w:val="00F51467"/>
    <w:rsid w:val="00F519BE"/>
    <w:rsid w:val="00F51F39"/>
    <w:rsid w:val="00F52330"/>
    <w:rsid w:val="00F529F2"/>
    <w:rsid w:val="00F52DDA"/>
    <w:rsid w:val="00F53962"/>
    <w:rsid w:val="00F54086"/>
    <w:rsid w:val="00F54427"/>
    <w:rsid w:val="00F54572"/>
    <w:rsid w:val="00F546D2"/>
    <w:rsid w:val="00F54D19"/>
    <w:rsid w:val="00F54E5C"/>
    <w:rsid w:val="00F551FA"/>
    <w:rsid w:val="00F55396"/>
    <w:rsid w:val="00F553EF"/>
    <w:rsid w:val="00F555F0"/>
    <w:rsid w:val="00F55CE8"/>
    <w:rsid w:val="00F5674C"/>
    <w:rsid w:val="00F5685E"/>
    <w:rsid w:val="00F56C0A"/>
    <w:rsid w:val="00F5709F"/>
    <w:rsid w:val="00F575A4"/>
    <w:rsid w:val="00F577C1"/>
    <w:rsid w:val="00F604BA"/>
    <w:rsid w:val="00F606BE"/>
    <w:rsid w:val="00F614A1"/>
    <w:rsid w:val="00F61968"/>
    <w:rsid w:val="00F627CD"/>
    <w:rsid w:val="00F62E1B"/>
    <w:rsid w:val="00F63151"/>
    <w:rsid w:val="00F645D0"/>
    <w:rsid w:val="00F64834"/>
    <w:rsid w:val="00F64A4A"/>
    <w:rsid w:val="00F64E93"/>
    <w:rsid w:val="00F65203"/>
    <w:rsid w:val="00F65592"/>
    <w:rsid w:val="00F663F8"/>
    <w:rsid w:val="00F66EB5"/>
    <w:rsid w:val="00F66FC8"/>
    <w:rsid w:val="00F678B6"/>
    <w:rsid w:val="00F706DD"/>
    <w:rsid w:val="00F7077A"/>
    <w:rsid w:val="00F720D8"/>
    <w:rsid w:val="00F72194"/>
    <w:rsid w:val="00F72734"/>
    <w:rsid w:val="00F72B0C"/>
    <w:rsid w:val="00F72F2D"/>
    <w:rsid w:val="00F72FD4"/>
    <w:rsid w:val="00F7332F"/>
    <w:rsid w:val="00F7357D"/>
    <w:rsid w:val="00F73BB8"/>
    <w:rsid w:val="00F7419D"/>
    <w:rsid w:val="00F746B2"/>
    <w:rsid w:val="00F74E2C"/>
    <w:rsid w:val="00F7555E"/>
    <w:rsid w:val="00F75859"/>
    <w:rsid w:val="00F75938"/>
    <w:rsid w:val="00F75BEE"/>
    <w:rsid w:val="00F75D8A"/>
    <w:rsid w:val="00F75FCC"/>
    <w:rsid w:val="00F760AC"/>
    <w:rsid w:val="00F7649F"/>
    <w:rsid w:val="00F76A6A"/>
    <w:rsid w:val="00F7703E"/>
    <w:rsid w:val="00F772F5"/>
    <w:rsid w:val="00F77D1F"/>
    <w:rsid w:val="00F77DC0"/>
    <w:rsid w:val="00F809CD"/>
    <w:rsid w:val="00F8233A"/>
    <w:rsid w:val="00F825E1"/>
    <w:rsid w:val="00F8276A"/>
    <w:rsid w:val="00F82848"/>
    <w:rsid w:val="00F8294C"/>
    <w:rsid w:val="00F83402"/>
    <w:rsid w:val="00F8392B"/>
    <w:rsid w:val="00F83B09"/>
    <w:rsid w:val="00F855A5"/>
    <w:rsid w:val="00F86251"/>
    <w:rsid w:val="00F86BDB"/>
    <w:rsid w:val="00F9180B"/>
    <w:rsid w:val="00F91968"/>
    <w:rsid w:val="00F92CFC"/>
    <w:rsid w:val="00F930A7"/>
    <w:rsid w:val="00F93621"/>
    <w:rsid w:val="00F93BCA"/>
    <w:rsid w:val="00F93CAD"/>
    <w:rsid w:val="00F93D56"/>
    <w:rsid w:val="00F93DAF"/>
    <w:rsid w:val="00F9470A"/>
    <w:rsid w:val="00F94CF7"/>
    <w:rsid w:val="00F9519D"/>
    <w:rsid w:val="00F95688"/>
    <w:rsid w:val="00F96518"/>
    <w:rsid w:val="00F97056"/>
    <w:rsid w:val="00F97074"/>
    <w:rsid w:val="00F970BE"/>
    <w:rsid w:val="00F97375"/>
    <w:rsid w:val="00FA0A87"/>
    <w:rsid w:val="00FA2822"/>
    <w:rsid w:val="00FA2E1B"/>
    <w:rsid w:val="00FA34F5"/>
    <w:rsid w:val="00FA3628"/>
    <w:rsid w:val="00FA3CF5"/>
    <w:rsid w:val="00FA3F2B"/>
    <w:rsid w:val="00FA3FEB"/>
    <w:rsid w:val="00FA4212"/>
    <w:rsid w:val="00FA4320"/>
    <w:rsid w:val="00FA445A"/>
    <w:rsid w:val="00FA5053"/>
    <w:rsid w:val="00FA59F5"/>
    <w:rsid w:val="00FA709B"/>
    <w:rsid w:val="00FA791F"/>
    <w:rsid w:val="00FA79F8"/>
    <w:rsid w:val="00FB08AE"/>
    <w:rsid w:val="00FB0E8B"/>
    <w:rsid w:val="00FB15D0"/>
    <w:rsid w:val="00FB22A4"/>
    <w:rsid w:val="00FB26BC"/>
    <w:rsid w:val="00FB396D"/>
    <w:rsid w:val="00FB3D6E"/>
    <w:rsid w:val="00FB3FE9"/>
    <w:rsid w:val="00FB4235"/>
    <w:rsid w:val="00FB4258"/>
    <w:rsid w:val="00FB4A67"/>
    <w:rsid w:val="00FB518D"/>
    <w:rsid w:val="00FB53E2"/>
    <w:rsid w:val="00FB5602"/>
    <w:rsid w:val="00FB5D63"/>
    <w:rsid w:val="00FB606D"/>
    <w:rsid w:val="00FB6128"/>
    <w:rsid w:val="00FB6287"/>
    <w:rsid w:val="00FB7CD8"/>
    <w:rsid w:val="00FC083B"/>
    <w:rsid w:val="00FC0FA2"/>
    <w:rsid w:val="00FC11B7"/>
    <w:rsid w:val="00FC1222"/>
    <w:rsid w:val="00FC2693"/>
    <w:rsid w:val="00FC2717"/>
    <w:rsid w:val="00FC2984"/>
    <w:rsid w:val="00FC29A4"/>
    <w:rsid w:val="00FC37E0"/>
    <w:rsid w:val="00FC42D8"/>
    <w:rsid w:val="00FC5534"/>
    <w:rsid w:val="00FC5A8C"/>
    <w:rsid w:val="00FC63A1"/>
    <w:rsid w:val="00FC64DD"/>
    <w:rsid w:val="00FC6F9A"/>
    <w:rsid w:val="00FC7FD9"/>
    <w:rsid w:val="00FD03FA"/>
    <w:rsid w:val="00FD0462"/>
    <w:rsid w:val="00FD07CB"/>
    <w:rsid w:val="00FD0889"/>
    <w:rsid w:val="00FD0B13"/>
    <w:rsid w:val="00FD0D93"/>
    <w:rsid w:val="00FD1441"/>
    <w:rsid w:val="00FD15C5"/>
    <w:rsid w:val="00FD1924"/>
    <w:rsid w:val="00FD261E"/>
    <w:rsid w:val="00FD2D0B"/>
    <w:rsid w:val="00FD3A41"/>
    <w:rsid w:val="00FD4012"/>
    <w:rsid w:val="00FD4218"/>
    <w:rsid w:val="00FD42BE"/>
    <w:rsid w:val="00FD53C6"/>
    <w:rsid w:val="00FD5775"/>
    <w:rsid w:val="00FD5BEE"/>
    <w:rsid w:val="00FD6AEE"/>
    <w:rsid w:val="00FD6C11"/>
    <w:rsid w:val="00FD6E2A"/>
    <w:rsid w:val="00FD7913"/>
    <w:rsid w:val="00FE099F"/>
    <w:rsid w:val="00FE1310"/>
    <w:rsid w:val="00FE1A1D"/>
    <w:rsid w:val="00FE1CCB"/>
    <w:rsid w:val="00FE2956"/>
    <w:rsid w:val="00FE2CC8"/>
    <w:rsid w:val="00FE2F96"/>
    <w:rsid w:val="00FE3950"/>
    <w:rsid w:val="00FE452F"/>
    <w:rsid w:val="00FE45DD"/>
    <w:rsid w:val="00FE462E"/>
    <w:rsid w:val="00FE4714"/>
    <w:rsid w:val="00FE50E9"/>
    <w:rsid w:val="00FE60CA"/>
    <w:rsid w:val="00FE61B8"/>
    <w:rsid w:val="00FE6358"/>
    <w:rsid w:val="00FE6A95"/>
    <w:rsid w:val="00FE6DBA"/>
    <w:rsid w:val="00FE71F0"/>
    <w:rsid w:val="00FE751E"/>
    <w:rsid w:val="00FE754C"/>
    <w:rsid w:val="00FE7E64"/>
    <w:rsid w:val="00FF0A58"/>
    <w:rsid w:val="00FF0B12"/>
    <w:rsid w:val="00FF0F83"/>
    <w:rsid w:val="00FF138C"/>
    <w:rsid w:val="00FF1F55"/>
    <w:rsid w:val="00FF200B"/>
    <w:rsid w:val="00FF2418"/>
    <w:rsid w:val="00FF2742"/>
    <w:rsid w:val="00FF2D69"/>
    <w:rsid w:val="00FF32D9"/>
    <w:rsid w:val="00FF3D45"/>
    <w:rsid w:val="00FF4047"/>
    <w:rsid w:val="00FF42E8"/>
    <w:rsid w:val="00FF44EA"/>
    <w:rsid w:val="00FF4B84"/>
    <w:rsid w:val="00FF504D"/>
    <w:rsid w:val="00FF5664"/>
    <w:rsid w:val="00FF5D9C"/>
    <w:rsid w:val="00FF69C6"/>
    <w:rsid w:val="00FF7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5096F"/>
  <w15:docId w15:val="{BF3EA948-BCF3-4D9B-BA75-F81B67EA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1857E7"/>
    <w:pPr>
      <w:spacing w:after="160" w:line="259" w:lineRule="auto"/>
    </w:pPr>
    <w:rPr>
      <w:rFonts w:ascii="Calibri" w:hAnsi="Calibri" w:cs="Arial Unicode MS"/>
      <w:color w:val="000000"/>
      <w:sz w:val="22"/>
      <w:szCs w:val="22"/>
      <w:u w:color="000000"/>
    </w:rPr>
  </w:style>
  <w:style w:type="paragraph" w:styleId="Titolo3">
    <w:name w:val="heading 3"/>
    <w:basedOn w:val="Normale"/>
    <w:link w:val="Titolo3Carattere"/>
    <w:uiPriority w:val="9"/>
    <w:qFormat/>
    <w:rsid w:val="004262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2">
    <w:name w:val="Stile importato 2"/>
    <w:pPr>
      <w:numPr>
        <w:numId w:val="2"/>
      </w:numPr>
    </w:p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0">
    <w:name w:val="Hyperlink.0"/>
    <w:basedOn w:val="Link"/>
    <w:rPr>
      <w:rFonts w:ascii="Calibri" w:eastAsia="Calibri" w:hAnsi="Calibri" w:cs="Calibri"/>
      <w:i/>
      <w:iCs/>
      <w:color w:val="0563C1"/>
      <w:u w:val="single" w:color="0563C1"/>
      <w14:textOutline w14:w="0" w14:cap="rnd" w14:cmpd="sng" w14:algn="ctr">
        <w14:noFill/>
        <w14:prstDash w14:val="solid"/>
        <w14:bevel/>
      </w14:textOutline>
    </w:rPr>
  </w:style>
  <w:style w:type="character" w:customStyle="1" w:styleId="Hyperlink1">
    <w:name w:val="Hyperlink.1"/>
    <w:basedOn w:val="Link"/>
    <w:rPr>
      <w:rFonts w:ascii="Calibri" w:eastAsia="Calibri" w:hAnsi="Calibri" w:cs="Calibri"/>
      <w:color w:val="0563C1"/>
      <w:sz w:val="20"/>
      <w:szCs w:val="20"/>
      <w:u w:val="single" w:color="0563C1"/>
      <w14:textOutline w14:w="0" w14:cap="rnd" w14:cmpd="sng" w14:algn="ctr">
        <w14:noFill/>
        <w14:prstDash w14:val="solid"/>
        <w14:bevel/>
      </w14:textOutline>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rFonts w:ascii="Calibri" w:hAnsi="Calibri" w:cs="Arial Unicode MS"/>
      <w:color w:val="000000"/>
      <w:u w:color="00000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F74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494"/>
    <w:rPr>
      <w:rFonts w:ascii="Tahoma" w:hAnsi="Tahoma" w:cs="Tahoma"/>
      <w:color w:val="000000"/>
      <w:sz w:val="16"/>
      <w:szCs w:val="16"/>
      <w:u w:color="000000"/>
    </w:rPr>
  </w:style>
  <w:style w:type="paragraph" w:styleId="Soggettocommento">
    <w:name w:val="annotation subject"/>
    <w:basedOn w:val="Testocommento"/>
    <w:next w:val="Testocommento"/>
    <w:link w:val="SoggettocommentoCarattere"/>
    <w:uiPriority w:val="99"/>
    <w:semiHidden/>
    <w:unhideWhenUsed/>
    <w:rsid w:val="00CE577D"/>
    <w:rPr>
      <w:b/>
      <w:bCs/>
    </w:rPr>
  </w:style>
  <w:style w:type="character" w:customStyle="1" w:styleId="SoggettocommentoCarattere">
    <w:name w:val="Soggetto commento Carattere"/>
    <w:basedOn w:val="TestocommentoCarattere"/>
    <w:link w:val="Soggettocommento"/>
    <w:uiPriority w:val="99"/>
    <w:semiHidden/>
    <w:rsid w:val="00CE577D"/>
    <w:rPr>
      <w:rFonts w:ascii="Calibri" w:hAnsi="Calibri" w:cs="Arial Unicode MS"/>
      <w:b/>
      <w:bCs/>
      <w:color w:val="000000"/>
      <w:u w:color="000000"/>
    </w:rPr>
  </w:style>
  <w:style w:type="paragraph" w:styleId="Intestazione">
    <w:name w:val="header"/>
    <w:basedOn w:val="Normale"/>
    <w:link w:val="IntestazioneCarattere"/>
    <w:uiPriority w:val="99"/>
    <w:unhideWhenUsed/>
    <w:rsid w:val="00AF08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08E9"/>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AF08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08E9"/>
    <w:rPr>
      <w:rFonts w:ascii="Calibri" w:hAnsi="Calibri" w:cs="Arial Unicode MS"/>
      <w:color w:val="000000"/>
      <w:sz w:val="22"/>
      <w:szCs w:val="22"/>
      <w:u w:color="000000"/>
    </w:rPr>
  </w:style>
  <w:style w:type="character" w:styleId="Collegamentovisitato">
    <w:name w:val="FollowedHyperlink"/>
    <w:basedOn w:val="Carpredefinitoparagrafo"/>
    <w:uiPriority w:val="99"/>
    <w:semiHidden/>
    <w:unhideWhenUsed/>
    <w:rsid w:val="000D7E45"/>
    <w:rPr>
      <w:color w:val="FF00FF" w:themeColor="followedHyperlink"/>
      <w:u w:val="single"/>
    </w:rPr>
  </w:style>
  <w:style w:type="character" w:customStyle="1" w:styleId="Menzionenonrisolta1">
    <w:name w:val="Menzione non risolta1"/>
    <w:basedOn w:val="Carpredefinitoparagrafo"/>
    <w:uiPriority w:val="99"/>
    <w:semiHidden/>
    <w:unhideWhenUsed/>
    <w:rsid w:val="00D26A8F"/>
    <w:rPr>
      <w:color w:val="605E5C"/>
      <w:shd w:val="clear" w:color="auto" w:fill="E1DFDD"/>
    </w:rPr>
  </w:style>
  <w:style w:type="paragraph" w:styleId="Testonotaapidipagina">
    <w:name w:val="footnote text"/>
    <w:basedOn w:val="Normale"/>
    <w:link w:val="TestonotaapidipaginaCarattere"/>
    <w:uiPriority w:val="99"/>
    <w:semiHidden/>
    <w:unhideWhenUsed/>
    <w:rsid w:val="00505C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TestonotaapidipaginaCarattere">
    <w:name w:val="Testo nota a piè di pagina Carattere"/>
    <w:basedOn w:val="Carpredefinitoparagrafo"/>
    <w:link w:val="Testonotaapidipagina"/>
    <w:uiPriority w:val="99"/>
    <w:semiHidden/>
    <w:rsid w:val="00505C8D"/>
    <w:rPr>
      <w:rFonts w:asciiTheme="minorHAnsi" w:eastAsiaTheme="minorHAnsi" w:hAnsiTheme="minorHAnsi" w:cstheme="minorBidi"/>
      <w:bdr w:val="none" w:sz="0" w:space="0" w:color="auto"/>
      <w:lang w:eastAsia="en-US"/>
    </w:rPr>
  </w:style>
  <w:style w:type="character" w:styleId="Rimandonotaapidipagina">
    <w:name w:val="footnote reference"/>
    <w:basedOn w:val="Carpredefinitoparagrafo"/>
    <w:uiPriority w:val="99"/>
    <w:semiHidden/>
    <w:unhideWhenUsed/>
    <w:rsid w:val="00505C8D"/>
    <w:rPr>
      <w:vertAlign w:val="superscript"/>
    </w:rPr>
  </w:style>
  <w:style w:type="character" w:customStyle="1" w:styleId="Menzionenonrisolta2">
    <w:name w:val="Menzione non risolta2"/>
    <w:basedOn w:val="Carpredefinitoparagrafo"/>
    <w:uiPriority w:val="99"/>
    <w:semiHidden/>
    <w:unhideWhenUsed/>
    <w:rsid w:val="003F2987"/>
    <w:rPr>
      <w:color w:val="605E5C"/>
      <w:shd w:val="clear" w:color="auto" w:fill="E1DFDD"/>
    </w:rPr>
  </w:style>
  <w:style w:type="paragraph" w:styleId="Testonormale">
    <w:name w:val="Plain Text"/>
    <w:basedOn w:val="Normale"/>
    <w:link w:val="TestonormaleCarattere"/>
    <w:uiPriority w:val="99"/>
    <w:unhideWhenUsed/>
    <w:rsid w:val="00C4440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Calibri"/>
      <w:color w:val="00457D"/>
      <w:bdr w:val="none" w:sz="0" w:space="0" w:color="auto"/>
    </w:rPr>
  </w:style>
  <w:style w:type="character" w:customStyle="1" w:styleId="TestonormaleCarattere">
    <w:name w:val="Testo normale Carattere"/>
    <w:basedOn w:val="Carpredefinitoparagrafo"/>
    <w:link w:val="Testonormale"/>
    <w:uiPriority w:val="99"/>
    <w:rsid w:val="00C4440A"/>
    <w:rPr>
      <w:rFonts w:ascii="Calibri" w:eastAsiaTheme="minorHAnsi" w:hAnsi="Calibri" w:cs="Calibri"/>
      <w:color w:val="00457D"/>
      <w:sz w:val="22"/>
      <w:szCs w:val="22"/>
      <w:bdr w:val="none" w:sz="0" w:space="0" w:color="auto"/>
    </w:rPr>
  </w:style>
  <w:style w:type="character" w:customStyle="1" w:styleId="Menzionenonrisolta3">
    <w:name w:val="Menzione non risolta3"/>
    <w:basedOn w:val="Carpredefinitoparagrafo"/>
    <w:uiPriority w:val="99"/>
    <w:semiHidden/>
    <w:unhideWhenUsed/>
    <w:rsid w:val="00262272"/>
    <w:rPr>
      <w:color w:val="605E5C"/>
      <w:shd w:val="clear" w:color="auto" w:fill="E1DFDD"/>
    </w:rPr>
  </w:style>
  <w:style w:type="character" w:customStyle="1" w:styleId="markedcontent">
    <w:name w:val="markedcontent"/>
    <w:basedOn w:val="Carpredefinitoparagrafo"/>
    <w:rsid w:val="00370F56"/>
  </w:style>
  <w:style w:type="character" w:customStyle="1" w:styleId="Menzionenonrisolta4">
    <w:name w:val="Menzione non risolta4"/>
    <w:basedOn w:val="Carpredefinitoparagrafo"/>
    <w:uiPriority w:val="99"/>
    <w:semiHidden/>
    <w:unhideWhenUsed/>
    <w:rsid w:val="003D5649"/>
    <w:rPr>
      <w:color w:val="605E5C"/>
      <w:shd w:val="clear" w:color="auto" w:fill="E1DFDD"/>
    </w:rPr>
  </w:style>
  <w:style w:type="character" w:styleId="Enfasigrassetto">
    <w:name w:val="Strong"/>
    <w:basedOn w:val="Carpredefinitoparagrafo"/>
    <w:uiPriority w:val="22"/>
    <w:qFormat/>
    <w:rsid w:val="00F86251"/>
    <w:rPr>
      <w:b/>
      <w:bCs/>
    </w:rPr>
  </w:style>
  <w:style w:type="paragraph" w:styleId="Revisione">
    <w:name w:val="Revision"/>
    <w:hidden/>
    <w:uiPriority w:val="99"/>
    <w:semiHidden/>
    <w:rsid w:val="004A0F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customStyle="1" w:styleId="Menzionenonrisolta5">
    <w:name w:val="Menzione non risolta5"/>
    <w:basedOn w:val="Carpredefinitoparagrafo"/>
    <w:uiPriority w:val="99"/>
    <w:semiHidden/>
    <w:unhideWhenUsed/>
    <w:rsid w:val="007A6242"/>
    <w:rPr>
      <w:color w:val="605E5C"/>
      <w:shd w:val="clear" w:color="auto" w:fill="E1DFDD"/>
    </w:rPr>
  </w:style>
  <w:style w:type="table" w:styleId="Grigliatabella">
    <w:name w:val="Table Grid"/>
    <w:basedOn w:val="Tabellanormale"/>
    <w:uiPriority w:val="39"/>
    <w:rsid w:val="00EE417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6">
    <w:name w:val="Menzione non risolta6"/>
    <w:basedOn w:val="Carpredefinitoparagrafo"/>
    <w:uiPriority w:val="99"/>
    <w:semiHidden/>
    <w:unhideWhenUsed/>
    <w:rsid w:val="009346D0"/>
    <w:rPr>
      <w:color w:val="605E5C"/>
      <w:shd w:val="clear" w:color="auto" w:fill="E1DFDD"/>
    </w:rPr>
  </w:style>
  <w:style w:type="character" w:styleId="Enfasicorsivo">
    <w:name w:val="Emphasis"/>
    <w:basedOn w:val="Carpredefinitoparagrafo"/>
    <w:uiPriority w:val="20"/>
    <w:qFormat/>
    <w:rsid w:val="00B34E04"/>
    <w:rPr>
      <w:i/>
      <w:iCs/>
    </w:rPr>
  </w:style>
  <w:style w:type="paragraph" w:styleId="NormaleWeb">
    <w:name w:val="Normal (Web)"/>
    <w:basedOn w:val="Normale"/>
    <w:uiPriority w:val="99"/>
    <w:unhideWhenUsed/>
    <w:rsid w:val="00B514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Menzionenonrisolta7">
    <w:name w:val="Menzione non risolta7"/>
    <w:basedOn w:val="Carpredefinitoparagrafo"/>
    <w:uiPriority w:val="99"/>
    <w:semiHidden/>
    <w:unhideWhenUsed/>
    <w:rsid w:val="00653636"/>
    <w:rPr>
      <w:color w:val="605E5C"/>
      <w:shd w:val="clear" w:color="auto" w:fill="E1DFDD"/>
    </w:rPr>
  </w:style>
  <w:style w:type="character" w:customStyle="1" w:styleId="Menzionenonrisolta8">
    <w:name w:val="Menzione non risolta8"/>
    <w:basedOn w:val="Carpredefinitoparagrafo"/>
    <w:uiPriority w:val="99"/>
    <w:semiHidden/>
    <w:unhideWhenUsed/>
    <w:rsid w:val="00C90A20"/>
    <w:rPr>
      <w:color w:val="605E5C"/>
      <w:shd w:val="clear" w:color="auto" w:fill="E1DFDD"/>
    </w:rPr>
  </w:style>
  <w:style w:type="character" w:customStyle="1" w:styleId="Menzionenonrisolta9">
    <w:name w:val="Menzione non risolta9"/>
    <w:basedOn w:val="Carpredefinitoparagrafo"/>
    <w:uiPriority w:val="99"/>
    <w:semiHidden/>
    <w:unhideWhenUsed/>
    <w:rsid w:val="007C59CB"/>
    <w:rPr>
      <w:color w:val="605E5C"/>
      <w:shd w:val="clear" w:color="auto" w:fill="E1DFDD"/>
    </w:rPr>
  </w:style>
  <w:style w:type="character" w:customStyle="1" w:styleId="d2edcug0">
    <w:name w:val="d2edcug0"/>
    <w:basedOn w:val="Carpredefinitoparagrafo"/>
    <w:rsid w:val="00C6096C"/>
  </w:style>
  <w:style w:type="character" w:customStyle="1" w:styleId="highlight">
    <w:name w:val="highlight"/>
    <w:basedOn w:val="Carpredefinitoparagrafo"/>
    <w:rsid w:val="006B0D74"/>
  </w:style>
  <w:style w:type="character" w:customStyle="1" w:styleId="Titolo3Carattere">
    <w:name w:val="Titolo 3 Carattere"/>
    <w:basedOn w:val="Carpredefinitoparagrafo"/>
    <w:link w:val="Titolo3"/>
    <w:uiPriority w:val="9"/>
    <w:rsid w:val="00426290"/>
    <w:rPr>
      <w:rFonts w:eastAsia="Times New Roman"/>
      <w:b/>
      <w:bCs/>
      <w:sz w:val="27"/>
      <w:szCs w:val="27"/>
      <w:u w:color="000000"/>
      <w:bdr w:val="none" w:sz="0" w:space="0" w:color="auto"/>
    </w:rPr>
  </w:style>
  <w:style w:type="character" w:customStyle="1" w:styleId="Menzionenonrisolta10">
    <w:name w:val="Menzione non risolta10"/>
    <w:basedOn w:val="Carpredefinitoparagrafo"/>
    <w:uiPriority w:val="99"/>
    <w:semiHidden/>
    <w:unhideWhenUsed/>
    <w:rsid w:val="00041719"/>
    <w:rPr>
      <w:color w:val="605E5C"/>
      <w:shd w:val="clear" w:color="auto" w:fill="E1DFDD"/>
    </w:rPr>
  </w:style>
  <w:style w:type="paragraph" w:customStyle="1" w:styleId="xmsonormal">
    <w:name w:val="x_msonormal"/>
    <w:basedOn w:val="Normale"/>
    <w:rsid w:val="00945FDF"/>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pPr>
    <w:rPr>
      <w:rFonts w:eastAsiaTheme="minorHAnsi" w:cs="Calibri"/>
      <w:bdr w:val="none" w:sz="0" w:space="0" w:color="auto"/>
    </w:rPr>
  </w:style>
  <w:style w:type="character" w:customStyle="1" w:styleId="Menzionenonrisolta11">
    <w:name w:val="Menzione non risolta11"/>
    <w:basedOn w:val="Carpredefinitoparagrafo"/>
    <w:uiPriority w:val="99"/>
    <w:semiHidden/>
    <w:unhideWhenUsed/>
    <w:rsid w:val="004B1639"/>
    <w:rPr>
      <w:color w:val="605E5C"/>
      <w:shd w:val="clear" w:color="auto" w:fill="E1DFDD"/>
    </w:rPr>
  </w:style>
  <w:style w:type="character" w:customStyle="1" w:styleId="Menzionenonrisolta12">
    <w:name w:val="Menzione non risolta12"/>
    <w:basedOn w:val="Carpredefinitoparagrafo"/>
    <w:uiPriority w:val="99"/>
    <w:semiHidden/>
    <w:unhideWhenUsed/>
    <w:rsid w:val="00B9490A"/>
    <w:rPr>
      <w:color w:val="605E5C"/>
      <w:shd w:val="clear" w:color="auto" w:fill="E1DFDD"/>
    </w:rPr>
  </w:style>
  <w:style w:type="character" w:customStyle="1" w:styleId="Menzionenonrisolta13">
    <w:name w:val="Menzione non risolta13"/>
    <w:basedOn w:val="Carpredefinitoparagrafo"/>
    <w:uiPriority w:val="99"/>
    <w:semiHidden/>
    <w:unhideWhenUsed/>
    <w:rsid w:val="00EC3BF8"/>
    <w:rPr>
      <w:color w:val="605E5C"/>
      <w:shd w:val="clear" w:color="auto" w:fill="E1DFDD"/>
    </w:rPr>
  </w:style>
  <w:style w:type="character" w:customStyle="1" w:styleId="Menzionenonrisolta14">
    <w:name w:val="Menzione non risolta14"/>
    <w:basedOn w:val="Carpredefinitoparagrafo"/>
    <w:uiPriority w:val="99"/>
    <w:semiHidden/>
    <w:unhideWhenUsed/>
    <w:rsid w:val="006404C6"/>
    <w:rPr>
      <w:color w:val="605E5C"/>
      <w:shd w:val="clear" w:color="auto" w:fill="E1DFDD"/>
    </w:rPr>
  </w:style>
  <w:style w:type="character" w:customStyle="1" w:styleId="Menzionenonrisolta15">
    <w:name w:val="Menzione non risolta15"/>
    <w:basedOn w:val="Carpredefinitoparagrafo"/>
    <w:uiPriority w:val="99"/>
    <w:semiHidden/>
    <w:unhideWhenUsed/>
    <w:rsid w:val="00A01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8692">
      <w:bodyDiv w:val="1"/>
      <w:marLeft w:val="0"/>
      <w:marRight w:val="0"/>
      <w:marTop w:val="0"/>
      <w:marBottom w:val="0"/>
      <w:divBdr>
        <w:top w:val="none" w:sz="0" w:space="0" w:color="auto"/>
        <w:left w:val="none" w:sz="0" w:space="0" w:color="auto"/>
        <w:bottom w:val="none" w:sz="0" w:space="0" w:color="auto"/>
        <w:right w:val="none" w:sz="0" w:space="0" w:color="auto"/>
      </w:divBdr>
    </w:div>
    <w:div w:id="24255750">
      <w:bodyDiv w:val="1"/>
      <w:marLeft w:val="0"/>
      <w:marRight w:val="0"/>
      <w:marTop w:val="0"/>
      <w:marBottom w:val="0"/>
      <w:divBdr>
        <w:top w:val="none" w:sz="0" w:space="0" w:color="auto"/>
        <w:left w:val="none" w:sz="0" w:space="0" w:color="auto"/>
        <w:bottom w:val="none" w:sz="0" w:space="0" w:color="auto"/>
        <w:right w:val="none" w:sz="0" w:space="0" w:color="auto"/>
      </w:divBdr>
    </w:div>
    <w:div w:id="31730755">
      <w:bodyDiv w:val="1"/>
      <w:marLeft w:val="0"/>
      <w:marRight w:val="0"/>
      <w:marTop w:val="0"/>
      <w:marBottom w:val="0"/>
      <w:divBdr>
        <w:top w:val="none" w:sz="0" w:space="0" w:color="auto"/>
        <w:left w:val="none" w:sz="0" w:space="0" w:color="auto"/>
        <w:bottom w:val="none" w:sz="0" w:space="0" w:color="auto"/>
        <w:right w:val="none" w:sz="0" w:space="0" w:color="auto"/>
      </w:divBdr>
      <w:divsChild>
        <w:div w:id="690688647">
          <w:marLeft w:val="0"/>
          <w:marRight w:val="0"/>
          <w:marTop w:val="0"/>
          <w:marBottom w:val="0"/>
          <w:divBdr>
            <w:top w:val="none" w:sz="0" w:space="0" w:color="auto"/>
            <w:left w:val="none" w:sz="0" w:space="0" w:color="auto"/>
            <w:bottom w:val="none" w:sz="0" w:space="0" w:color="auto"/>
            <w:right w:val="none" w:sz="0" w:space="0" w:color="auto"/>
          </w:divBdr>
        </w:div>
        <w:div w:id="1637056277">
          <w:marLeft w:val="0"/>
          <w:marRight w:val="0"/>
          <w:marTop w:val="0"/>
          <w:marBottom w:val="0"/>
          <w:divBdr>
            <w:top w:val="none" w:sz="0" w:space="0" w:color="auto"/>
            <w:left w:val="none" w:sz="0" w:space="0" w:color="auto"/>
            <w:bottom w:val="none" w:sz="0" w:space="0" w:color="auto"/>
            <w:right w:val="none" w:sz="0" w:space="0" w:color="auto"/>
          </w:divBdr>
        </w:div>
      </w:divsChild>
    </w:div>
    <w:div w:id="48844745">
      <w:bodyDiv w:val="1"/>
      <w:marLeft w:val="0"/>
      <w:marRight w:val="0"/>
      <w:marTop w:val="0"/>
      <w:marBottom w:val="0"/>
      <w:divBdr>
        <w:top w:val="none" w:sz="0" w:space="0" w:color="auto"/>
        <w:left w:val="none" w:sz="0" w:space="0" w:color="auto"/>
        <w:bottom w:val="none" w:sz="0" w:space="0" w:color="auto"/>
        <w:right w:val="none" w:sz="0" w:space="0" w:color="auto"/>
      </w:divBdr>
    </w:div>
    <w:div w:id="55517408">
      <w:bodyDiv w:val="1"/>
      <w:marLeft w:val="0"/>
      <w:marRight w:val="0"/>
      <w:marTop w:val="0"/>
      <w:marBottom w:val="0"/>
      <w:divBdr>
        <w:top w:val="none" w:sz="0" w:space="0" w:color="auto"/>
        <w:left w:val="none" w:sz="0" w:space="0" w:color="auto"/>
        <w:bottom w:val="none" w:sz="0" w:space="0" w:color="auto"/>
        <w:right w:val="none" w:sz="0" w:space="0" w:color="auto"/>
      </w:divBdr>
    </w:div>
    <w:div w:id="87119953">
      <w:bodyDiv w:val="1"/>
      <w:marLeft w:val="0"/>
      <w:marRight w:val="0"/>
      <w:marTop w:val="0"/>
      <w:marBottom w:val="0"/>
      <w:divBdr>
        <w:top w:val="none" w:sz="0" w:space="0" w:color="auto"/>
        <w:left w:val="none" w:sz="0" w:space="0" w:color="auto"/>
        <w:bottom w:val="none" w:sz="0" w:space="0" w:color="auto"/>
        <w:right w:val="none" w:sz="0" w:space="0" w:color="auto"/>
      </w:divBdr>
    </w:div>
    <w:div w:id="92553283">
      <w:bodyDiv w:val="1"/>
      <w:marLeft w:val="0"/>
      <w:marRight w:val="0"/>
      <w:marTop w:val="0"/>
      <w:marBottom w:val="0"/>
      <w:divBdr>
        <w:top w:val="none" w:sz="0" w:space="0" w:color="auto"/>
        <w:left w:val="none" w:sz="0" w:space="0" w:color="auto"/>
        <w:bottom w:val="none" w:sz="0" w:space="0" w:color="auto"/>
        <w:right w:val="none" w:sz="0" w:space="0" w:color="auto"/>
      </w:divBdr>
    </w:div>
    <w:div w:id="139663801">
      <w:bodyDiv w:val="1"/>
      <w:marLeft w:val="0"/>
      <w:marRight w:val="0"/>
      <w:marTop w:val="0"/>
      <w:marBottom w:val="0"/>
      <w:divBdr>
        <w:top w:val="none" w:sz="0" w:space="0" w:color="auto"/>
        <w:left w:val="none" w:sz="0" w:space="0" w:color="auto"/>
        <w:bottom w:val="none" w:sz="0" w:space="0" w:color="auto"/>
        <w:right w:val="none" w:sz="0" w:space="0" w:color="auto"/>
      </w:divBdr>
    </w:div>
    <w:div w:id="141234577">
      <w:bodyDiv w:val="1"/>
      <w:marLeft w:val="0"/>
      <w:marRight w:val="0"/>
      <w:marTop w:val="0"/>
      <w:marBottom w:val="0"/>
      <w:divBdr>
        <w:top w:val="none" w:sz="0" w:space="0" w:color="auto"/>
        <w:left w:val="none" w:sz="0" w:space="0" w:color="auto"/>
        <w:bottom w:val="none" w:sz="0" w:space="0" w:color="auto"/>
        <w:right w:val="none" w:sz="0" w:space="0" w:color="auto"/>
      </w:divBdr>
    </w:div>
    <w:div w:id="146365525">
      <w:bodyDiv w:val="1"/>
      <w:marLeft w:val="0"/>
      <w:marRight w:val="0"/>
      <w:marTop w:val="0"/>
      <w:marBottom w:val="0"/>
      <w:divBdr>
        <w:top w:val="none" w:sz="0" w:space="0" w:color="auto"/>
        <w:left w:val="none" w:sz="0" w:space="0" w:color="auto"/>
        <w:bottom w:val="none" w:sz="0" w:space="0" w:color="auto"/>
        <w:right w:val="none" w:sz="0" w:space="0" w:color="auto"/>
      </w:divBdr>
    </w:div>
    <w:div w:id="160699739">
      <w:bodyDiv w:val="1"/>
      <w:marLeft w:val="0"/>
      <w:marRight w:val="0"/>
      <w:marTop w:val="0"/>
      <w:marBottom w:val="0"/>
      <w:divBdr>
        <w:top w:val="none" w:sz="0" w:space="0" w:color="auto"/>
        <w:left w:val="none" w:sz="0" w:space="0" w:color="auto"/>
        <w:bottom w:val="none" w:sz="0" w:space="0" w:color="auto"/>
        <w:right w:val="none" w:sz="0" w:space="0" w:color="auto"/>
      </w:divBdr>
    </w:div>
    <w:div w:id="166946941">
      <w:bodyDiv w:val="1"/>
      <w:marLeft w:val="0"/>
      <w:marRight w:val="0"/>
      <w:marTop w:val="0"/>
      <w:marBottom w:val="0"/>
      <w:divBdr>
        <w:top w:val="none" w:sz="0" w:space="0" w:color="auto"/>
        <w:left w:val="none" w:sz="0" w:space="0" w:color="auto"/>
        <w:bottom w:val="none" w:sz="0" w:space="0" w:color="auto"/>
        <w:right w:val="none" w:sz="0" w:space="0" w:color="auto"/>
      </w:divBdr>
    </w:div>
    <w:div w:id="173303822">
      <w:bodyDiv w:val="1"/>
      <w:marLeft w:val="0"/>
      <w:marRight w:val="0"/>
      <w:marTop w:val="0"/>
      <w:marBottom w:val="0"/>
      <w:divBdr>
        <w:top w:val="none" w:sz="0" w:space="0" w:color="auto"/>
        <w:left w:val="none" w:sz="0" w:space="0" w:color="auto"/>
        <w:bottom w:val="none" w:sz="0" w:space="0" w:color="auto"/>
        <w:right w:val="none" w:sz="0" w:space="0" w:color="auto"/>
      </w:divBdr>
    </w:div>
    <w:div w:id="179316464">
      <w:bodyDiv w:val="1"/>
      <w:marLeft w:val="0"/>
      <w:marRight w:val="0"/>
      <w:marTop w:val="0"/>
      <w:marBottom w:val="0"/>
      <w:divBdr>
        <w:top w:val="none" w:sz="0" w:space="0" w:color="auto"/>
        <w:left w:val="none" w:sz="0" w:space="0" w:color="auto"/>
        <w:bottom w:val="none" w:sz="0" w:space="0" w:color="auto"/>
        <w:right w:val="none" w:sz="0" w:space="0" w:color="auto"/>
      </w:divBdr>
    </w:div>
    <w:div w:id="186066858">
      <w:bodyDiv w:val="1"/>
      <w:marLeft w:val="0"/>
      <w:marRight w:val="0"/>
      <w:marTop w:val="0"/>
      <w:marBottom w:val="0"/>
      <w:divBdr>
        <w:top w:val="none" w:sz="0" w:space="0" w:color="auto"/>
        <w:left w:val="none" w:sz="0" w:space="0" w:color="auto"/>
        <w:bottom w:val="none" w:sz="0" w:space="0" w:color="auto"/>
        <w:right w:val="none" w:sz="0" w:space="0" w:color="auto"/>
      </w:divBdr>
    </w:div>
    <w:div w:id="192812847">
      <w:bodyDiv w:val="1"/>
      <w:marLeft w:val="0"/>
      <w:marRight w:val="0"/>
      <w:marTop w:val="0"/>
      <w:marBottom w:val="0"/>
      <w:divBdr>
        <w:top w:val="none" w:sz="0" w:space="0" w:color="auto"/>
        <w:left w:val="none" w:sz="0" w:space="0" w:color="auto"/>
        <w:bottom w:val="none" w:sz="0" w:space="0" w:color="auto"/>
        <w:right w:val="none" w:sz="0" w:space="0" w:color="auto"/>
      </w:divBdr>
    </w:div>
    <w:div w:id="195852068">
      <w:bodyDiv w:val="1"/>
      <w:marLeft w:val="0"/>
      <w:marRight w:val="0"/>
      <w:marTop w:val="0"/>
      <w:marBottom w:val="0"/>
      <w:divBdr>
        <w:top w:val="none" w:sz="0" w:space="0" w:color="auto"/>
        <w:left w:val="none" w:sz="0" w:space="0" w:color="auto"/>
        <w:bottom w:val="none" w:sz="0" w:space="0" w:color="auto"/>
        <w:right w:val="none" w:sz="0" w:space="0" w:color="auto"/>
      </w:divBdr>
    </w:div>
    <w:div w:id="205066426">
      <w:bodyDiv w:val="1"/>
      <w:marLeft w:val="0"/>
      <w:marRight w:val="0"/>
      <w:marTop w:val="0"/>
      <w:marBottom w:val="0"/>
      <w:divBdr>
        <w:top w:val="none" w:sz="0" w:space="0" w:color="auto"/>
        <w:left w:val="none" w:sz="0" w:space="0" w:color="auto"/>
        <w:bottom w:val="none" w:sz="0" w:space="0" w:color="auto"/>
        <w:right w:val="none" w:sz="0" w:space="0" w:color="auto"/>
      </w:divBdr>
    </w:div>
    <w:div w:id="241330554">
      <w:bodyDiv w:val="1"/>
      <w:marLeft w:val="0"/>
      <w:marRight w:val="0"/>
      <w:marTop w:val="0"/>
      <w:marBottom w:val="0"/>
      <w:divBdr>
        <w:top w:val="none" w:sz="0" w:space="0" w:color="auto"/>
        <w:left w:val="none" w:sz="0" w:space="0" w:color="auto"/>
        <w:bottom w:val="none" w:sz="0" w:space="0" w:color="auto"/>
        <w:right w:val="none" w:sz="0" w:space="0" w:color="auto"/>
      </w:divBdr>
    </w:div>
    <w:div w:id="259720207">
      <w:bodyDiv w:val="1"/>
      <w:marLeft w:val="0"/>
      <w:marRight w:val="0"/>
      <w:marTop w:val="0"/>
      <w:marBottom w:val="0"/>
      <w:divBdr>
        <w:top w:val="none" w:sz="0" w:space="0" w:color="auto"/>
        <w:left w:val="none" w:sz="0" w:space="0" w:color="auto"/>
        <w:bottom w:val="none" w:sz="0" w:space="0" w:color="auto"/>
        <w:right w:val="none" w:sz="0" w:space="0" w:color="auto"/>
      </w:divBdr>
    </w:div>
    <w:div w:id="271936248">
      <w:bodyDiv w:val="1"/>
      <w:marLeft w:val="0"/>
      <w:marRight w:val="0"/>
      <w:marTop w:val="0"/>
      <w:marBottom w:val="0"/>
      <w:divBdr>
        <w:top w:val="none" w:sz="0" w:space="0" w:color="auto"/>
        <w:left w:val="none" w:sz="0" w:space="0" w:color="auto"/>
        <w:bottom w:val="none" w:sz="0" w:space="0" w:color="auto"/>
        <w:right w:val="none" w:sz="0" w:space="0" w:color="auto"/>
      </w:divBdr>
    </w:div>
    <w:div w:id="285281577">
      <w:bodyDiv w:val="1"/>
      <w:marLeft w:val="0"/>
      <w:marRight w:val="0"/>
      <w:marTop w:val="0"/>
      <w:marBottom w:val="0"/>
      <w:divBdr>
        <w:top w:val="none" w:sz="0" w:space="0" w:color="auto"/>
        <w:left w:val="none" w:sz="0" w:space="0" w:color="auto"/>
        <w:bottom w:val="none" w:sz="0" w:space="0" w:color="auto"/>
        <w:right w:val="none" w:sz="0" w:space="0" w:color="auto"/>
      </w:divBdr>
    </w:div>
    <w:div w:id="306085428">
      <w:bodyDiv w:val="1"/>
      <w:marLeft w:val="0"/>
      <w:marRight w:val="0"/>
      <w:marTop w:val="0"/>
      <w:marBottom w:val="0"/>
      <w:divBdr>
        <w:top w:val="none" w:sz="0" w:space="0" w:color="auto"/>
        <w:left w:val="none" w:sz="0" w:space="0" w:color="auto"/>
        <w:bottom w:val="none" w:sz="0" w:space="0" w:color="auto"/>
        <w:right w:val="none" w:sz="0" w:space="0" w:color="auto"/>
      </w:divBdr>
    </w:div>
    <w:div w:id="307707090">
      <w:bodyDiv w:val="1"/>
      <w:marLeft w:val="0"/>
      <w:marRight w:val="0"/>
      <w:marTop w:val="0"/>
      <w:marBottom w:val="0"/>
      <w:divBdr>
        <w:top w:val="none" w:sz="0" w:space="0" w:color="auto"/>
        <w:left w:val="none" w:sz="0" w:space="0" w:color="auto"/>
        <w:bottom w:val="none" w:sz="0" w:space="0" w:color="auto"/>
        <w:right w:val="none" w:sz="0" w:space="0" w:color="auto"/>
      </w:divBdr>
    </w:div>
    <w:div w:id="316804640">
      <w:bodyDiv w:val="1"/>
      <w:marLeft w:val="0"/>
      <w:marRight w:val="0"/>
      <w:marTop w:val="0"/>
      <w:marBottom w:val="0"/>
      <w:divBdr>
        <w:top w:val="none" w:sz="0" w:space="0" w:color="auto"/>
        <w:left w:val="none" w:sz="0" w:space="0" w:color="auto"/>
        <w:bottom w:val="none" w:sz="0" w:space="0" w:color="auto"/>
        <w:right w:val="none" w:sz="0" w:space="0" w:color="auto"/>
      </w:divBdr>
    </w:div>
    <w:div w:id="319382061">
      <w:bodyDiv w:val="1"/>
      <w:marLeft w:val="0"/>
      <w:marRight w:val="0"/>
      <w:marTop w:val="0"/>
      <w:marBottom w:val="0"/>
      <w:divBdr>
        <w:top w:val="none" w:sz="0" w:space="0" w:color="auto"/>
        <w:left w:val="none" w:sz="0" w:space="0" w:color="auto"/>
        <w:bottom w:val="none" w:sz="0" w:space="0" w:color="auto"/>
        <w:right w:val="none" w:sz="0" w:space="0" w:color="auto"/>
      </w:divBdr>
    </w:div>
    <w:div w:id="322272917">
      <w:bodyDiv w:val="1"/>
      <w:marLeft w:val="0"/>
      <w:marRight w:val="0"/>
      <w:marTop w:val="0"/>
      <w:marBottom w:val="0"/>
      <w:divBdr>
        <w:top w:val="none" w:sz="0" w:space="0" w:color="auto"/>
        <w:left w:val="none" w:sz="0" w:space="0" w:color="auto"/>
        <w:bottom w:val="none" w:sz="0" w:space="0" w:color="auto"/>
        <w:right w:val="none" w:sz="0" w:space="0" w:color="auto"/>
      </w:divBdr>
    </w:div>
    <w:div w:id="323627700">
      <w:bodyDiv w:val="1"/>
      <w:marLeft w:val="0"/>
      <w:marRight w:val="0"/>
      <w:marTop w:val="0"/>
      <w:marBottom w:val="0"/>
      <w:divBdr>
        <w:top w:val="none" w:sz="0" w:space="0" w:color="auto"/>
        <w:left w:val="none" w:sz="0" w:space="0" w:color="auto"/>
        <w:bottom w:val="none" w:sz="0" w:space="0" w:color="auto"/>
        <w:right w:val="none" w:sz="0" w:space="0" w:color="auto"/>
      </w:divBdr>
    </w:div>
    <w:div w:id="326590472">
      <w:bodyDiv w:val="1"/>
      <w:marLeft w:val="0"/>
      <w:marRight w:val="0"/>
      <w:marTop w:val="0"/>
      <w:marBottom w:val="0"/>
      <w:divBdr>
        <w:top w:val="none" w:sz="0" w:space="0" w:color="auto"/>
        <w:left w:val="none" w:sz="0" w:space="0" w:color="auto"/>
        <w:bottom w:val="none" w:sz="0" w:space="0" w:color="auto"/>
        <w:right w:val="none" w:sz="0" w:space="0" w:color="auto"/>
      </w:divBdr>
    </w:div>
    <w:div w:id="332729530">
      <w:bodyDiv w:val="1"/>
      <w:marLeft w:val="0"/>
      <w:marRight w:val="0"/>
      <w:marTop w:val="0"/>
      <w:marBottom w:val="0"/>
      <w:divBdr>
        <w:top w:val="none" w:sz="0" w:space="0" w:color="auto"/>
        <w:left w:val="none" w:sz="0" w:space="0" w:color="auto"/>
        <w:bottom w:val="none" w:sz="0" w:space="0" w:color="auto"/>
        <w:right w:val="none" w:sz="0" w:space="0" w:color="auto"/>
      </w:divBdr>
      <w:divsChild>
        <w:div w:id="2119521631">
          <w:marLeft w:val="0"/>
          <w:marRight w:val="0"/>
          <w:marTop w:val="0"/>
          <w:marBottom w:val="0"/>
          <w:divBdr>
            <w:top w:val="none" w:sz="0" w:space="0" w:color="auto"/>
            <w:left w:val="none" w:sz="0" w:space="0" w:color="auto"/>
            <w:bottom w:val="none" w:sz="0" w:space="0" w:color="auto"/>
            <w:right w:val="none" w:sz="0" w:space="0" w:color="auto"/>
          </w:divBdr>
          <w:divsChild>
            <w:div w:id="1981298535">
              <w:marLeft w:val="0"/>
              <w:marRight w:val="0"/>
              <w:marTop w:val="0"/>
              <w:marBottom w:val="0"/>
              <w:divBdr>
                <w:top w:val="none" w:sz="0" w:space="0" w:color="auto"/>
                <w:left w:val="none" w:sz="0" w:space="0" w:color="auto"/>
                <w:bottom w:val="none" w:sz="0" w:space="0" w:color="auto"/>
                <w:right w:val="none" w:sz="0" w:space="0" w:color="auto"/>
              </w:divBdr>
              <w:divsChild>
                <w:div w:id="1331524185">
                  <w:marLeft w:val="0"/>
                  <w:marRight w:val="0"/>
                  <w:marTop w:val="0"/>
                  <w:marBottom w:val="0"/>
                  <w:divBdr>
                    <w:top w:val="none" w:sz="0" w:space="0" w:color="auto"/>
                    <w:left w:val="none" w:sz="0" w:space="0" w:color="auto"/>
                    <w:bottom w:val="none" w:sz="0" w:space="0" w:color="auto"/>
                    <w:right w:val="none" w:sz="0" w:space="0" w:color="auto"/>
                  </w:divBdr>
                  <w:divsChild>
                    <w:div w:id="817579048">
                      <w:marLeft w:val="0"/>
                      <w:marRight w:val="0"/>
                      <w:marTop w:val="0"/>
                      <w:marBottom w:val="0"/>
                      <w:divBdr>
                        <w:top w:val="none" w:sz="0" w:space="0" w:color="auto"/>
                        <w:left w:val="none" w:sz="0" w:space="0" w:color="auto"/>
                        <w:bottom w:val="none" w:sz="0" w:space="0" w:color="auto"/>
                        <w:right w:val="none" w:sz="0" w:space="0" w:color="auto"/>
                      </w:divBdr>
                      <w:divsChild>
                        <w:div w:id="602230007">
                          <w:marLeft w:val="0"/>
                          <w:marRight w:val="0"/>
                          <w:marTop w:val="0"/>
                          <w:marBottom w:val="0"/>
                          <w:divBdr>
                            <w:top w:val="none" w:sz="0" w:space="0" w:color="auto"/>
                            <w:left w:val="none" w:sz="0" w:space="0" w:color="auto"/>
                            <w:bottom w:val="none" w:sz="0" w:space="0" w:color="auto"/>
                            <w:right w:val="none" w:sz="0" w:space="0" w:color="auto"/>
                          </w:divBdr>
                          <w:divsChild>
                            <w:div w:id="1761292029">
                              <w:marLeft w:val="0"/>
                              <w:marRight w:val="0"/>
                              <w:marTop w:val="0"/>
                              <w:marBottom w:val="0"/>
                              <w:divBdr>
                                <w:top w:val="none" w:sz="0" w:space="0" w:color="auto"/>
                                <w:left w:val="none" w:sz="0" w:space="0" w:color="auto"/>
                                <w:bottom w:val="none" w:sz="0" w:space="0" w:color="auto"/>
                                <w:right w:val="none" w:sz="0" w:space="0" w:color="auto"/>
                              </w:divBdr>
                              <w:divsChild>
                                <w:div w:id="20217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52580">
          <w:marLeft w:val="0"/>
          <w:marRight w:val="0"/>
          <w:marTop w:val="0"/>
          <w:marBottom w:val="0"/>
          <w:divBdr>
            <w:top w:val="none" w:sz="0" w:space="0" w:color="auto"/>
            <w:left w:val="none" w:sz="0" w:space="0" w:color="auto"/>
            <w:bottom w:val="none" w:sz="0" w:space="0" w:color="auto"/>
            <w:right w:val="none" w:sz="0" w:space="0" w:color="auto"/>
          </w:divBdr>
          <w:divsChild>
            <w:div w:id="234827921">
              <w:marLeft w:val="0"/>
              <w:marRight w:val="0"/>
              <w:marTop w:val="0"/>
              <w:marBottom w:val="0"/>
              <w:divBdr>
                <w:top w:val="none" w:sz="0" w:space="0" w:color="auto"/>
                <w:left w:val="none" w:sz="0" w:space="0" w:color="auto"/>
                <w:bottom w:val="none" w:sz="0" w:space="0" w:color="auto"/>
                <w:right w:val="none" w:sz="0" w:space="0" w:color="auto"/>
              </w:divBdr>
              <w:divsChild>
                <w:div w:id="2057583700">
                  <w:marLeft w:val="0"/>
                  <w:marRight w:val="0"/>
                  <w:marTop w:val="0"/>
                  <w:marBottom w:val="0"/>
                  <w:divBdr>
                    <w:top w:val="none" w:sz="0" w:space="0" w:color="auto"/>
                    <w:left w:val="none" w:sz="0" w:space="0" w:color="auto"/>
                    <w:bottom w:val="none" w:sz="0" w:space="0" w:color="auto"/>
                    <w:right w:val="none" w:sz="0" w:space="0" w:color="auto"/>
                  </w:divBdr>
                  <w:divsChild>
                    <w:div w:id="795757186">
                      <w:marLeft w:val="0"/>
                      <w:marRight w:val="0"/>
                      <w:marTop w:val="0"/>
                      <w:marBottom w:val="0"/>
                      <w:divBdr>
                        <w:top w:val="none" w:sz="0" w:space="0" w:color="auto"/>
                        <w:left w:val="none" w:sz="0" w:space="0" w:color="auto"/>
                        <w:bottom w:val="none" w:sz="0" w:space="0" w:color="auto"/>
                        <w:right w:val="none" w:sz="0" w:space="0" w:color="auto"/>
                      </w:divBdr>
                    </w:div>
                    <w:div w:id="61173778">
                      <w:marLeft w:val="0"/>
                      <w:marRight w:val="0"/>
                      <w:marTop w:val="0"/>
                      <w:marBottom w:val="0"/>
                      <w:divBdr>
                        <w:top w:val="none" w:sz="0" w:space="0" w:color="auto"/>
                        <w:left w:val="none" w:sz="0" w:space="0" w:color="auto"/>
                        <w:bottom w:val="none" w:sz="0" w:space="0" w:color="auto"/>
                        <w:right w:val="none" w:sz="0" w:space="0" w:color="auto"/>
                      </w:divBdr>
                      <w:divsChild>
                        <w:div w:id="1370374786">
                          <w:marLeft w:val="0"/>
                          <w:marRight w:val="0"/>
                          <w:marTop w:val="0"/>
                          <w:marBottom w:val="0"/>
                          <w:divBdr>
                            <w:top w:val="none" w:sz="0" w:space="0" w:color="auto"/>
                            <w:left w:val="none" w:sz="0" w:space="0" w:color="auto"/>
                            <w:bottom w:val="none" w:sz="0" w:space="0" w:color="auto"/>
                            <w:right w:val="none" w:sz="0" w:space="0" w:color="auto"/>
                          </w:divBdr>
                          <w:divsChild>
                            <w:div w:id="1202324385">
                              <w:marLeft w:val="0"/>
                              <w:marRight w:val="0"/>
                              <w:marTop w:val="0"/>
                              <w:marBottom w:val="0"/>
                              <w:divBdr>
                                <w:top w:val="none" w:sz="0" w:space="0" w:color="auto"/>
                                <w:left w:val="none" w:sz="0" w:space="0" w:color="auto"/>
                                <w:bottom w:val="none" w:sz="0" w:space="0" w:color="auto"/>
                                <w:right w:val="none" w:sz="0" w:space="0" w:color="auto"/>
                              </w:divBdr>
                              <w:divsChild>
                                <w:div w:id="1351252842">
                                  <w:marLeft w:val="0"/>
                                  <w:marRight w:val="0"/>
                                  <w:marTop w:val="0"/>
                                  <w:marBottom w:val="0"/>
                                  <w:divBdr>
                                    <w:top w:val="none" w:sz="0" w:space="0" w:color="auto"/>
                                    <w:left w:val="none" w:sz="0" w:space="0" w:color="auto"/>
                                    <w:bottom w:val="none" w:sz="0" w:space="0" w:color="auto"/>
                                    <w:right w:val="none" w:sz="0" w:space="0" w:color="auto"/>
                                  </w:divBdr>
                                  <w:divsChild>
                                    <w:div w:id="16784933">
                                      <w:marLeft w:val="0"/>
                                      <w:marRight w:val="0"/>
                                      <w:marTop w:val="0"/>
                                      <w:marBottom w:val="0"/>
                                      <w:divBdr>
                                        <w:top w:val="none" w:sz="0" w:space="0" w:color="auto"/>
                                        <w:left w:val="none" w:sz="0" w:space="0" w:color="auto"/>
                                        <w:bottom w:val="none" w:sz="0" w:space="0" w:color="auto"/>
                                        <w:right w:val="none" w:sz="0" w:space="0" w:color="auto"/>
                                      </w:divBdr>
                                      <w:divsChild>
                                        <w:div w:id="1542786929">
                                          <w:marLeft w:val="0"/>
                                          <w:marRight w:val="0"/>
                                          <w:marTop w:val="0"/>
                                          <w:marBottom w:val="0"/>
                                          <w:divBdr>
                                            <w:top w:val="none" w:sz="0" w:space="0" w:color="auto"/>
                                            <w:left w:val="none" w:sz="0" w:space="0" w:color="auto"/>
                                            <w:bottom w:val="none" w:sz="0" w:space="0" w:color="auto"/>
                                            <w:right w:val="none" w:sz="0" w:space="0" w:color="auto"/>
                                          </w:divBdr>
                                          <w:divsChild>
                                            <w:div w:id="229854449">
                                              <w:marLeft w:val="0"/>
                                              <w:marRight w:val="0"/>
                                              <w:marTop w:val="0"/>
                                              <w:marBottom w:val="0"/>
                                              <w:divBdr>
                                                <w:top w:val="none" w:sz="0" w:space="0" w:color="auto"/>
                                                <w:left w:val="none" w:sz="0" w:space="0" w:color="auto"/>
                                                <w:bottom w:val="none" w:sz="0" w:space="0" w:color="auto"/>
                                                <w:right w:val="none" w:sz="0" w:space="0" w:color="auto"/>
                                              </w:divBdr>
                                              <w:divsChild>
                                                <w:div w:id="797799059">
                                                  <w:marLeft w:val="0"/>
                                                  <w:marRight w:val="0"/>
                                                  <w:marTop w:val="0"/>
                                                  <w:marBottom w:val="0"/>
                                                  <w:divBdr>
                                                    <w:top w:val="none" w:sz="0" w:space="0" w:color="auto"/>
                                                    <w:left w:val="none" w:sz="0" w:space="0" w:color="auto"/>
                                                    <w:bottom w:val="none" w:sz="0" w:space="0" w:color="auto"/>
                                                    <w:right w:val="none" w:sz="0" w:space="0" w:color="auto"/>
                                                  </w:divBdr>
                                                  <w:divsChild>
                                                    <w:div w:id="685863818">
                                                      <w:marLeft w:val="0"/>
                                                      <w:marRight w:val="0"/>
                                                      <w:marTop w:val="0"/>
                                                      <w:marBottom w:val="0"/>
                                                      <w:divBdr>
                                                        <w:top w:val="none" w:sz="0" w:space="0" w:color="auto"/>
                                                        <w:left w:val="none" w:sz="0" w:space="0" w:color="auto"/>
                                                        <w:bottom w:val="none" w:sz="0" w:space="0" w:color="auto"/>
                                                        <w:right w:val="none" w:sz="0" w:space="0" w:color="auto"/>
                                                      </w:divBdr>
                                                      <w:divsChild>
                                                        <w:div w:id="373770805">
                                                          <w:marLeft w:val="0"/>
                                                          <w:marRight w:val="0"/>
                                                          <w:marTop w:val="0"/>
                                                          <w:marBottom w:val="0"/>
                                                          <w:divBdr>
                                                            <w:top w:val="none" w:sz="0" w:space="0" w:color="auto"/>
                                                            <w:left w:val="none" w:sz="0" w:space="0" w:color="auto"/>
                                                            <w:bottom w:val="none" w:sz="0" w:space="0" w:color="auto"/>
                                                            <w:right w:val="none" w:sz="0" w:space="0" w:color="auto"/>
                                                          </w:divBdr>
                                                          <w:divsChild>
                                                            <w:div w:id="1795905916">
                                                              <w:marLeft w:val="0"/>
                                                              <w:marRight w:val="0"/>
                                                              <w:marTop w:val="0"/>
                                                              <w:marBottom w:val="0"/>
                                                              <w:divBdr>
                                                                <w:top w:val="none" w:sz="0" w:space="0" w:color="auto"/>
                                                                <w:left w:val="none" w:sz="0" w:space="0" w:color="auto"/>
                                                                <w:bottom w:val="none" w:sz="0" w:space="0" w:color="auto"/>
                                                                <w:right w:val="none" w:sz="0" w:space="0" w:color="auto"/>
                                                              </w:divBdr>
                                                              <w:divsChild>
                                                                <w:div w:id="1255557164">
                                                                  <w:marLeft w:val="0"/>
                                                                  <w:marRight w:val="0"/>
                                                                  <w:marTop w:val="0"/>
                                                                  <w:marBottom w:val="0"/>
                                                                  <w:divBdr>
                                                                    <w:top w:val="none" w:sz="0" w:space="0" w:color="auto"/>
                                                                    <w:left w:val="none" w:sz="0" w:space="0" w:color="auto"/>
                                                                    <w:bottom w:val="none" w:sz="0" w:space="0" w:color="auto"/>
                                                                    <w:right w:val="none" w:sz="0" w:space="0" w:color="auto"/>
                                                                  </w:divBdr>
                                                                  <w:divsChild>
                                                                    <w:div w:id="288782033">
                                                                      <w:marLeft w:val="0"/>
                                                                      <w:marRight w:val="0"/>
                                                                      <w:marTop w:val="0"/>
                                                                      <w:marBottom w:val="0"/>
                                                                      <w:divBdr>
                                                                        <w:top w:val="none" w:sz="0" w:space="0" w:color="auto"/>
                                                                        <w:left w:val="none" w:sz="0" w:space="0" w:color="auto"/>
                                                                        <w:bottom w:val="none" w:sz="0" w:space="0" w:color="auto"/>
                                                                        <w:right w:val="none" w:sz="0" w:space="0" w:color="auto"/>
                                                                      </w:divBdr>
                                                                      <w:divsChild>
                                                                        <w:div w:id="2101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0681">
                                                              <w:marLeft w:val="0"/>
                                                              <w:marRight w:val="0"/>
                                                              <w:marTop w:val="0"/>
                                                              <w:marBottom w:val="0"/>
                                                              <w:divBdr>
                                                                <w:top w:val="none" w:sz="0" w:space="0" w:color="auto"/>
                                                                <w:left w:val="none" w:sz="0" w:space="0" w:color="auto"/>
                                                                <w:bottom w:val="none" w:sz="0" w:space="0" w:color="auto"/>
                                                                <w:right w:val="none" w:sz="0" w:space="0" w:color="auto"/>
                                                              </w:divBdr>
                                                            </w:div>
                                                          </w:divsChild>
                                                        </w:div>
                                                        <w:div w:id="690767975">
                                                          <w:marLeft w:val="0"/>
                                                          <w:marRight w:val="0"/>
                                                          <w:marTop w:val="0"/>
                                                          <w:marBottom w:val="0"/>
                                                          <w:divBdr>
                                                            <w:top w:val="none" w:sz="0" w:space="0" w:color="auto"/>
                                                            <w:left w:val="none" w:sz="0" w:space="0" w:color="auto"/>
                                                            <w:bottom w:val="none" w:sz="0" w:space="0" w:color="auto"/>
                                                            <w:right w:val="none" w:sz="0" w:space="0" w:color="auto"/>
                                                          </w:divBdr>
                                                          <w:divsChild>
                                                            <w:div w:id="17634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5825">
                              <w:marLeft w:val="0"/>
                              <w:marRight w:val="0"/>
                              <w:marTop w:val="0"/>
                              <w:marBottom w:val="0"/>
                              <w:divBdr>
                                <w:top w:val="none" w:sz="0" w:space="0" w:color="auto"/>
                                <w:left w:val="none" w:sz="0" w:space="0" w:color="auto"/>
                                <w:bottom w:val="none" w:sz="0" w:space="0" w:color="auto"/>
                                <w:right w:val="none" w:sz="0" w:space="0" w:color="auto"/>
                              </w:divBdr>
                              <w:divsChild>
                                <w:div w:id="8665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336132">
          <w:marLeft w:val="0"/>
          <w:marRight w:val="0"/>
          <w:marTop w:val="0"/>
          <w:marBottom w:val="0"/>
          <w:divBdr>
            <w:top w:val="none" w:sz="0" w:space="0" w:color="auto"/>
            <w:left w:val="none" w:sz="0" w:space="0" w:color="auto"/>
            <w:bottom w:val="none" w:sz="0" w:space="0" w:color="auto"/>
            <w:right w:val="none" w:sz="0" w:space="0" w:color="auto"/>
          </w:divBdr>
          <w:divsChild>
            <w:div w:id="1743866186">
              <w:marLeft w:val="0"/>
              <w:marRight w:val="0"/>
              <w:marTop w:val="0"/>
              <w:marBottom w:val="0"/>
              <w:divBdr>
                <w:top w:val="none" w:sz="0" w:space="0" w:color="auto"/>
                <w:left w:val="none" w:sz="0" w:space="0" w:color="auto"/>
                <w:bottom w:val="none" w:sz="0" w:space="0" w:color="auto"/>
                <w:right w:val="none" w:sz="0" w:space="0" w:color="auto"/>
              </w:divBdr>
              <w:divsChild>
                <w:div w:id="1447775213">
                  <w:marLeft w:val="0"/>
                  <w:marRight w:val="0"/>
                  <w:marTop w:val="0"/>
                  <w:marBottom w:val="0"/>
                  <w:divBdr>
                    <w:top w:val="none" w:sz="0" w:space="0" w:color="auto"/>
                    <w:left w:val="none" w:sz="0" w:space="0" w:color="auto"/>
                    <w:bottom w:val="none" w:sz="0" w:space="0" w:color="auto"/>
                    <w:right w:val="none" w:sz="0" w:space="0" w:color="auto"/>
                  </w:divBdr>
                  <w:divsChild>
                    <w:div w:id="1138305212">
                      <w:marLeft w:val="0"/>
                      <w:marRight w:val="0"/>
                      <w:marTop w:val="0"/>
                      <w:marBottom w:val="0"/>
                      <w:divBdr>
                        <w:top w:val="none" w:sz="0" w:space="0" w:color="auto"/>
                        <w:left w:val="none" w:sz="0" w:space="0" w:color="auto"/>
                        <w:bottom w:val="none" w:sz="0" w:space="0" w:color="auto"/>
                        <w:right w:val="none" w:sz="0" w:space="0" w:color="auto"/>
                      </w:divBdr>
                      <w:divsChild>
                        <w:div w:id="1747997016">
                          <w:marLeft w:val="0"/>
                          <w:marRight w:val="0"/>
                          <w:marTop w:val="0"/>
                          <w:marBottom w:val="0"/>
                          <w:divBdr>
                            <w:top w:val="none" w:sz="0" w:space="0" w:color="auto"/>
                            <w:left w:val="none" w:sz="0" w:space="0" w:color="auto"/>
                            <w:bottom w:val="none" w:sz="0" w:space="0" w:color="auto"/>
                            <w:right w:val="none" w:sz="0" w:space="0" w:color="auto"/>
                          </w:divBdr>
                          <w:divsChild>
                            <w:div w:id="537426668">
                              <w:marLeft w:val="0"/>
                              <w:marRight w:val="0"/>
                              <w:marTop w:val="0"/>
                              <w:marBottom w:val="0"/>
                              <w:divBdr>
                                <w:top w:val="none" w:sz="0" w:space="0" w:color="auto"/>
                                <w:left w:val="none" w:sz="0" w:space="0" w:color="auto"/>
                                <w:bottom w:val="none" w:sz="0" w:space="0" w:color="auto"/>
                                <w:right w:val="none" w:sz="0" w:space="0" w:color="auto"/>
                              </w:divBdr>
                              <w:divsChild>
                                <w:div w:id="1090852382">
                                  <w:marLeft w:val="0"/>
                                  <w:marRight w:val="0"/>
                                  <w:marTop w:val="0"/>
                                  <w:marBottom w:val="0"/>
                                  <w:divBdr>
                                    <w:top w:val="none" w:sz="0" w:space="0" w:color="auto"/>
                                    <w:left w:val="none" w:sz="0" w:space="0" w:color="auto"/>
                                    <w:bottom w:val="none" w:sz="0" w:space="0" w:color="auto"/>
                                    <w:right w:val="none" w:sz="0" w:space="0" w:color="auto"/>
                                  </w:divBdr>
                                  <w:divsChild>
                                    <w:div w:id="131990787">
                                      <w:marLeft w:val="0"/>
                                      <w:marRight w:val="0"/>
                                      <w:marTop w:val="0"/>
                                      <w:marBottom w:val="0"/>
                                      <w:divBdr>
                                        <w:top w:val="none" w:sz="0" w:space="0" w:color="auto"/>
                                        <w:left w:val="none" w:sz="0" w:space="0" w:color="auto"/>
                                        <w:bottom w:val="none" w:sz="0" w:space="0" w:color="auto"/>
                                        <w:right w:val="none" w:sz="0" w:space="0" w:color="auto"/>
                                      </w:divBdr>
                                      <w:divsChild>
                                        <w:div w:id="1968855186">
                                          <w:marLeft w:val="0"/>
                                          <w:marRight w:val="0"/>
                                          <w:marTop w:val="0"/>
                                          <w:marBottom w:val="0"/>
                                          <w:divBdr>
                                            <w:top w:val="none" w:sz="0" w:space="0" w:color="auto"/>
                                            <w:left w:val="none" w:sz="0" w:space="0" w:color="auto"/>
                                            <w:bottom w:val="none" w:sz="0" w:space="0" w:color="auto"/>
                                            <w:right w:val="none" w:sz="0" w:space="0" w:color="auto"/>
                                          </w:divBdr>
                                          <w:divsChild>
                                            <w:div w:id="36857943">
                                              <w:marLeft w:val="0"/>
                                              <w:marRight w:val="0"/>
                                              <w:marTop w:val="0"/>
                                              <w:marBottom w:val="0"/>
                                              <w:divBdr>
                                                <w:top w:val="none" w:sz="0" w:space="0" w:color="auto"/>
                                                <w:left w:val="none" w:sz="0" w:space="0" w:color="auto"/>
                                                <w:bottom w:val="none" w:sz="0" w:space="0" w:color="auto"/>
                                                <w:right w:val="none" w:sz="0" w:space="0" w:color="auto"/>
                                              </w:divBdr>
                                              <w:divsChild>
                                                <w:div w:id="722214060">
                                                  <w:marLeft w:val="0"/>
                                                  <w:marRight w:val="0"/>
                                                  <w:marTop w:val="0"/>
                                                  <w:marBottom w:val="0"/>
                                                  <w:divBdr>
                                                    <w:top w:val="none" w:sz="0" w:space="0" w:color="auto"/>
                                                    <w:left w:val="none" w:sz="0" w:space="0" w:color="auto"/>
                                                    <w:bottom w:val="none" w:sz="0" w:space="0" w:color="auto"/>
                                                    <w:right w:val="none" w:sz="0" w:space="0" w:color="auto"/>
                                                  </w:divBdr>
                                                  <w:divsChild>
                                                    <w:div w:id="14393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9327">
                                  <w:marLeft w:val="0"/>
                                  <w:marRight w:val="0"/>
                                  <w:marTop w:val="0"/>
                                  <w:marBottom w:val="0"/>
                                  <w:divBdr>
                                    <w:top w:val="none" w:sz="0" w:space="0" w:color="auto"/>
                                    <w:left w:val="none" w:sz="0" w:space="0" w:color="auto"/>
                                    <w:bottom w:val="none" w:sz="0" w:space="0" w:color="auto"/>
                                    <w:right w:val="none" w:sz="0" w:space="0" w:color="auto"/>
                                  </w:divBdr>
                                  <w:divsChild>
                                    <w:div w:id="2143692416">
                                      <w:marLeft w:val="0"/>
                                      <w:marRight w:val="0"/>
                                      <w:marTop w:val="0"/>
                                      <w:marBottom w:val="0"/>
                                      <w:divBdr>
                                        <w:top w:val="none" w:sz="0" w:space="0" w:color="auto"/>
                                        <w:left w:val="none" w:sz="0" w:space="0" w:color="auto"/>
                                        <w:bottom w:val="none" w:sz="0" w:space="0" w:color="auto"/>
                                        <w:right w:val="none" w:sz="0" w:space="0" w:color="auto"/>
                                      </w:divBdr>
                                      <w:divsChild>
                                        <w:div w:id="1776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71135">
          <w:marLeft w:val="0"/>
          <w:marRight w:val="0"/>
          <w:marTop w:val="0"/>
          <w:marBottom w:val="0"/>
          <w:divBdr>
            <w:top w:val="none" w:sz="0" w:space="0" w:color="auto"/>
            <w:left w:val="none" w:sz="0" w:space="0" w:color="auto"/>
            <w:bottom w:val="none" w:sz="0" w:space="0" w:color="auto"/>
            <w:right w:val="none" w:sz="0" w:space="0" w:color="auto"/>
          </w:divBdr>
          <w:divsChild>
            <w:div w:id="875970421">
              <w:marLeft w:val="0"/>
              <w:marRight w:val="0"/>
              <w:marTop w:val="0"/>
              <w:marBottom w:val="0"/>
              <w:divBdr>
                <w:top w:val="none" w:sz="0" w:space="0" w:color="auto"/>
                <w:left w:val="none" w:sz="0" w:space="0" w:color="auto"/>
                <w:bottom w:val="none" w:sz="0" w:space="0" w:color="auto"/>
                <w:right w:val="none" w:sz="0" w:space="0" w:color="auto"/>
              </w:divBdr>
              <w:divsChild>
                <w:div w:id="204485133">
                  <w:marLeft w:val="0"/>
                  <w:marRight w:val="0"/>
                  <w:marTop w:val="0"/>
                  <w:marBottom w:val="0"/>
                  <w:divBdr>
                    <w:top w:val="none" w:sz="0" w:space="0" w:color="auto"/>
                    <w:left w:val="none" w:sz="0" w:space="0" w:color="auto"/>
                    <w:bottom w:val="none" w:sz="0" w:space="0" w:color="auto"/>
                    <w:right w:val="none" w:sz="0" w:space="0" w:color="auto"/>
                  </w:divBdr>
                  <w:divsChild>
                    <w:div w:id="1514799484">
                      <w:marLeft w:val="0"/>
                      <w:marRight w:val="0"/>
                      <w:marTop w:val="0"/>
                      <w:marBottom w:val="0"/>
                      <w:divBdr>
                        <w:top w:val="none" w:sz="0" w:space="0" w:color="auto"/>
                        <w:left w:val="none" w:sz="0" w:space="0" w:color="auto"/>
                        <w:bottom w:val="none" w:sz="0" w:space="0" w:color="auto"/>
                        <w:right w:val="none" w:sz="0" w:space="0" w:color="auto"/>
                      </w:divBdr>
                      <w:divsChild>
                        <w:div w:id="572397521">
                          <w:marLeft w:val="0"/>
                          <w:marRight w:val="0"/>
                          <w:marTop w:val="0"/>
                          <w:marBottom w:val="0"/>
                          <w:divBdr>
                            <w:top w:val="none" w:sz="0" w:space="0" w:color="auto"/>
                            <w:left w:val="none" w:sz="0" w:space="0" w:color="auto"/>
                            <w:bottom w:val="none" w:sz="0" w:space="0" w:color="auto"/>
                            <w:right w:val="none" w:sz="0" w:space="0" w:color="auto"/>
                          </w:divBdr>
                          <w:divsChild>
                            <w:div w:id="418867732">
                              <w:marLeft w:val="0"/>
                              <w:marRight w:val="0"/>
                              <w:marTop w:val="0"/>
                              <w:marBottom w:val="0"/>
                              <w:divBdr>
                                <w:top w:val="none" w:sz="0" w:space="0" w:color="auto"/>
                                <w:left w:val="none" w:sz="0" w:space="0" w:color="auto"/>
                                <w:bottom w:val="none" w:sz="0" w:space="0" w:color="auto"/>
                                <w:right w:val="none" w:sz="0" w:space="0" w:color="auto"/>
                              </w:divBdr>
                              <w:divsChild>
                                <w:div w:id="8573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685">
                          <w:marLeft w:val="0"/>
                          <w:marRight w:val="0"/>
                          <w:marTop w:val="0"/>
                          <w:marBottom w:val="0"/>
                          <w:divBdr>
                            <w:top w:val="none" w:sz="0" w:space="0" w:color="auto"/>
                            <w:left w:val="none" w:sz="0" w:space="0" w:color="auto"/>
                            <w:bottom w:val="none" w:sz="0" w:space="0" w:color="auto"/>
                            <w:right w:val="none" w:sz="0" w:space="0" w:color="auto"/>
                          </w:divBdr>
                          <w:divsChild>
                            <w:div w:id="775711473">
                              <w:marLeft w:val="0"/>
                              <w:marRight w:val="0"/>
                              <w:marTop w:val="0"/>
                              <w:marBottom w:val="0"/>
                              <w:divBdr>
                                <w:top w:val="none" w:sz="0" w:space="0" w:color="auto"/>
                                <w:left w:val="none" w:sz="0" w:space="0" w:color="auto"/>
                                <w:bottom w:val="none" w:sz="0" w:space="0" w:color="auto"/>
                                <w:right w:val="none" w:sz="0" w:space="0" w:color="auto"/>
                              </w:divBdr>
                              <w:divsChild>
                                <w:div w:id="1867448461">
                                  <w:marLeft w:val="0"/>
                                  <w:marRight w:val="0"/>
                                  <w:marTop w:val="0"/>
                                  <w:marBottom w:val="0"/>
                                  <w:divBdr>
                                    <w:top w:val="none" w:sz="0" w:space="0" w:color="auto"/>
                                    <w:left w:val="none" w:sz="0" w:space="0" w:color="auto"/>
                                    <w:bottom w:val="none" w:sz="0" w:space="0" w:color="auto"/>
                                    <w:right w:val="none" w:sz="0" w:space="0" w:color="auto"/>
                                  </w:divBdr>
                                  <w:divsChild>
                                    <w:div w:id="768427433">
                                      <w:marLeft w:val="0"/>
                                      <w:marRight w:val="0"/>
                                      <w:marTop w:val="0"/>
                                      <w:marBottom w:val="0"/>
                                      <w:divBdr>
                                        <w:top w:val="none" w:sz="0" w:space="0" w:color="auto"/>
                                        <w:left w:val="none" w:sz="0" w:space="0" w:color="auto"/>
                                        <w:bottom w:val="none" w:sz="0" w:space="0" w:color="auto"/>
                                        <w:right w:val="none" w:sz="0" w:space="0" w:color="auto"/>
                                      </w:divBdr>
                                      <w:divsChild>
                                        <w:div w:id="6507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0624">
                  <w:marLeft w:val="0"/>
                  <w:marRight w:val="0"/>
                  <w:marTop w:val="0"/>
                  <w:marBottom w:val="0"/>
                  <w:divBdr>
                    <w:top w:val="none" w:sz="0" w:space="0" w:color="auto"/>
                    <w:left w:val="none" w:sz="0" w:space="0" w:color="auto"/>
                    <w:bottom w:val="none" w:sz="0" w:space="0" w:color="auto"/>
                    <w:right w:val="none" w:sz="0" w:space="0" w:color="auto"/>
                  </w:divBdr>
                  <w:divsChild>
                    <w:div w:id="706150437">
                      <w:marLeft w:val="0"/>
                      <w:marRight w:val="0"/>
                      <w:marTop w:val="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sChild>
                            <w:div w:id="1700543062">
                              <w:marLeft w:val="0"/>
                              <w:marRight w:val="0"/>
                              <w:marTop w:val="0"/>
                              <w:marBottom w:val="0"/>
                              <w:divBdr>
                                <w:top w:val="none" w:sz="0" w:space="0" w:color="auto"/>
                                <w:left w:val="none" w:sz="0" w:space="0" w:color="auto"/>
                                <w:bottom w:val="none" w:sz="0" w:space="0" w:color="auto"/>
                                <w:right w:val="none" w:sz="0" w:space="0" w:color="auto"/>
                              </w:divBdr>
                              <w:divsChild>
                                <w:div w:id="7520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282755">
          <w:marLeft w:val="0"/>
          <w:marRight w:val="0"/>
          <w:marTop w:val="0"/>
          <w:marBottom w:val="0"/>
          <w:divBdr>
            <w:top w:val="none" w:sz="0" w:space="0" w:color="auto"/>
            <w:left w:val="none" w:sz="0" w:space="0" w:color="auto"/>
            <w:bottom w:val="none" w:sz="0" w:space="0" w:color="auto"/>
            <w:right w:val="none" w:sz="0" w:space="0" w:color="auto"/>
          </w:divBdr>
          <w:divsChild>
            <w:div w:id="779842452">
              <w:marLeft w:val="0"/>
              <w:marRight w:val="0"/>
              <w:marTop w:val="0"/>
              <w:marBottom w:val="0"/>
              <w:divBdr>
                <w:top w:val="none" w:sz="0" w:space="0" w:color="auto"/>
                <w:left w:val="none" w:sz="0" w:space="0" w:color="auto"/>
                <w:bottom w:val="none" w:sz="0" w:space="0" w:color="auto"/>
                <w:right w:val="none" w:sz="0" w:space="0" w:color="auto"/>
              </w:divBdr>
              <w:divsChild>
                <w:div w:id="610014484">
                  <w:marLeft w:val="0"/>
                  <w:marRight w:val="0"/>
                  <w:marTop w:val="0"/>
                  <w:marBottom w:val="0"/>
                  <w:divBdr>
                    <w:top w:val="none" w:sz="0" w:space="0" w:color="auto"/>
                    <w:left w:val="none" w:sz="0" w:space="0" w:color="auto"/>
                    <w:bottom w:val="none" w:sz="0" w:space="0" w:color="auto"/>
                    <w:right w:val="none" w:sz="0" w:space="0" w:color="auto"/>
                  </w:divBdr>
                  <w:divsChild>
                    <w:div w:id="249973575">
                      <w:marLeft w:val="0"/>
                      <w:marRight w:val="0"/>
                      <w:marTop w:val="0"/>
                      <w:marBottom w:val="0"/>
                      <w:divBdr>
                        <w:top w:val="none" w:sz="0" w:space="0" w:color="auto"/>
                        <w:left w:val="none" w:sz="0" w:space="0" w:color="auto"/>
                        <w:bottom w:val="none" w:sz="0" w:space="0" w:color="auto"/>
                        <w:right w:val="none" w:sz="0" w:space="0" w:color="auto"/>
                      </w:divBdr>
                    </w:div>
                    <w:div w:id="1864392948">
                      <w:marLeft w:val="0"/>
                      <w:marRight w:val="0"/>
                      <w:marTop w:val="0"/>
                      <w:marBottom w:val="0"/>
                      <w:divBdr>
                        <w:top w:val="none" w:sz="0" w:space="0" w:color="auto"/>
                        <w:left w:val="none" w:sz="0" w:space="0" w:color="auto"/>
                        <w:bottom w:val="none" w:sz="0" w:space="0" w:color="auto"/>
                        <w:right w:val="none" w:sz="0" w:space="0" w:color="auto"/>
                      </w:divBdr>
                      <w:divsChild>
                        <w:div w:id="2018580521">
                          <w:marLeft w:val="0"/>
                          <w:marRight w:val="0"/>
                          <w:marTop w:val="0"/>
                          <w:marBottom w:val="0"/>
                          <w:divBdr>
                            <w:top w:val="none" w:sz="0" w:space="0" w:color="auto"/>
                            <w:left w:val="none" w:sz="0" w:space="0" w:color="auto"/>
                            <w:bottom w:val="none" w:sz="0" w:space="0" w:color="auto"/>
                            <w:right w:val="none" w:sz="0" w:space="0" w:color="auto"/>
                          </w:divBdr>
                          <w:divsChild>
                            <w:div w:id="1975717385">
                              <w:marLeft w:val="0"/>
                              <w:marRight w:val="0"/>
                              <w:marTop w:val="0"/>
                              <w:marBottom w:val="0"/>
                              <w:divBdr>
                                <w:top w:val="none" w:sz="0" w:space="0" w:color="auto"/>
                                <w:left w:val="none" w:sz="0" w:space="0" w:color="auto"/>
                                <w:bottom w:val="none" w:sz="0" w:space="0" w:color="auto"/>
                                <w:right w:val="none" w:sz="0" w:space="0" w:color="auto"/>
                              </w:divBdr>
                              <w:divsChild>
                                <w:div w:id="1950432133">
                                  <w:marLeft w:val="0"/>
                                  <w:marRight w:val="0"/>
                                  <w:marTop w:val="0"/>
                                  <w:marBottom w:val="0"/>
                                  <w:divBdr>
                                    <w:top w:val="none" w:sz="0" w:space="0" w:color="auto"/>
                                    <w:left w:val="none" w:sz="0" w:space="0" w:color="auto"/>
                                    <w:bottom w:val="none" w:sz="0" w:space="0" w:color="auto"/>
                                    <w:right w:val="none" w:sz="0" w:space="0" w:color="auto"/>
                                  </w:divBdr>
                                  <w:divsChild>
                                    <w:div w:id="996495115">
                                      <w:marLeft w:val="0"/>
                                      <w:marRight w:val="0"/>
                                      <w:marTop w:val="0"/>
                                      <w:marBottom w:val="0"/>
                                      <w:divBdr>
                                        <w:top w:val="none" w:sz="0" w:space="0" w:color="auto"/>
                                        <w:left w:val="none" w:sz="0" w:space="0" w:color="auto"/>
                                        <w:bottom w:val="none" w:sz="0" w:space="0" w:color="auto"/>
                                        <w:right w:val="none" w:sz="0" w:space="0" w:color="auto"/>
                                      </w:divBdr>
                                      <w:divsChild>
                                        <w:div w:id="588346154">
                                          <w:marLeft w:val="0"/>
                                          <w:marRight w:val="0"/>
                                          <w:marTop w:val="0"/>
                                          <w:marBottom w:val="0"/>
                                          <w:divBdr>
                                            <w:top w:val="none" w:sz="0" w:space="0" w:color="auto"/>
                                            <w:left w:val="none" w:sz="0" w:space="0" w:color="auto"/>
                                            <w:bottom w:val="none" w:sz="0" w:space="0" w:color="auto"/>
                                            <w:right w:val="none" w:sz="0" w:space="0" w:color="auto"/>
                                          </w:divBdr>
                                          <w:divsChild>
                                            <w:div w:id="1893299586">
                                              <w:marLeft w:val="0"/>
                                              <w:marRight w:val="0"/>
                                              <w:marTop w:val="0"/>
                                              <w:marBottom w:val="0"/>
                                              <w:divBdr>
                                                <w:top w:val="none" w:sz="0" w:space="0" w:color="auto"/>
                                                <w:left w:val="none" w:sz="0" w:space="0" w:color="auto"/>
                                                <w:bottom w:val="none" w:sz="0" w:space="0" w:color="auto"/>
                                                <w:right w:val="none" w:sz="0" w:space="0" w:color="auto"/>
                                              </w:divBdr>
                                              <w:divsChild>
                                                <w:div w:id="1728646608">
                                                  <w:marLeft w:val="0"/>
                                                  <w:marRight w:val="0"/>
                                                  <w:marTop w:val="0"/>
                                                  <w:marBottom w:val="0"/>
                                                  <w:divBdr>
                                                    <w:top w:val="none" w:sz="0" w:space="0" w:color="auto"/>
                                                    <w:left w:val="none" w:sz="0" w:space="0" w:color="auto"/>
                                                    <w:bottom w:val="none" w:sz="0" w:space="0" w:color="auto"/>
                                                    <w:right w:val="none" w:sz="0" w:space="0" w:color="auto"/>
                                                  </w:divBdr>
                                                  <w:divsChild>
                                                    <w:div w:id="1157460485">
                                                      <w:marLeft w:val="0"/>
                                                      <w:marRight w:val="0"/>
                                                      <w:marTop w:val="0"/>
                                                      <w:marBottom w:val="0"/>
                                                      <w:divBdr>
                                                        <w:top w:val="none" w:sz="0" w:space="0" w:color="auto"/>
                                                        <w:left w:val="none" w:sz="0" w:space="0" w:color="auto"/>
                                                        <w:bottom w:val="none" w:sz="0" w:space="0" w:color="auto"/>
                                                        <w:right w:val="none" w:sz="0" w:space="0" w:color="auto"/>
                                                      </w:divBdr>
                                                      <w:divsChild>
                                                        <w:div w:id="983120311">
                                                          <w:marLeft w:val="0"/>
                                                          <w:marRight w:val="0"/>
                                                          <w:marTop w:val="0"/>
                                                          <w:marBottom w:val="0"/>
                                                          <w:divBdr>
                                                            <w:top w:val="none" w:sz="0" w:space="0" w:color="auto"/>
                                                            <w:left w:val="none" w:sz="0" w:space="0" w:color="auto"/>
                                                            <w:bottom w:val="none" w:sz="0" w:space="0" w:color="auto"/>
                                                            <w:right w:val="none" w:sz="0" w:space="0" w:color="auto"/>
                                                          </w:divBdr>
                                                          <w:divsChild>
                                                            <w:div w:id="1820878361">
                                                              <w:marLeft w:val="0"/>
                                                              <w:marRight w:val="0"/>
                                                              <w:marTop w:val="0"/>
                                                              <w:marBottom w:val="0"/>
                                                              <w:divBdr>
                                                                <w:top w:val="none" w:sz="0" w:space="0" w:color="auto"/>
                                                                <w:left w:val="none" w:sz="0" w:space="0" w:color="auto"/>
                                                                <w:bottom w:val="none" w:sz="0" w:space="0" w:color="auto"/>
                                                                <w:right w:val="none" w:sz="0" w:space="0" w:color="auto"/>
                                                              </w:divBdr>
                                                              <w:divsChild>
                                                                <w:div w:id="1799032512">
                                                                  <w:marLeft w:val="0"/>
                                                                  <w:marRight w:val="0"/>
                                                                  <w:marTop w:val="0"/>
                                                                  <w:marBottom w:val="0"/>
                                                                  <w:divBdr>
                                                                    <w:top w:val="none" w:sz="0" w:space="0" w:color="auto"/>
                                                                    <w:left w:val="none" w:sz="0" w:space="0" w:color="auto"/>
                                                                    <w:bottom w:val="none" w:sz="0" w:space="0" w:color="auto"/>
                                                                    <w:right w:val="none" w:sz="0" w:space="0" w:color="auto"/>
                                                                  </w:divBdr>
                                                                  <w:divsChild>
                                                                    <w:div w:id="1783574270">
                                                                      <w:marLeft w:val="0"/>
                                                                      <w:marRight w:val="0"/>
                                                                      <w:marTop w:val="0"/>
                                                                      <w:marBottom w:val="0"/>
                                                                      <w:divBdr>
                                                                        <w:top w:val="none" w:sz="0" w:space="0" w:color="auto"/>
                                                                        <w:left w:val="none" w:sz="0" w:space="0" w:color="auto"/>
                                                                        <w:bottom w:val="none" w:sz="0" w:space="0" w:color="auto"/>
                                                                        <w:right w:val="none" w:sz="0" w:space="0" w:color="auto"/>
                                                                      </w:divBdr>
                                                                      <w:divsChild>
                                                                        <w:div w:id="1836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8078545">
          <w:marLeft w:val="0"/>
          <w:marRight w:val="0"/>
          <w:marTop w:val="0"/>
          <w:marBottom w:val="0"/>
          <w:divBdr>
            <w:top w:val="none" w:sz="0" w:space="0" w:color="auto"/>
            <w:left w:val="none" w:sz="0" w:space="0" w:color="auto"/>
            <w:bottom w:val="none" w:sz="0" w:space="0" w:color="auto"/>
            <w:right w:val="none" w:sz="0" w:space="0" w:color="auto"/>
          </w:divBdr>
          <w:divsChild>
            <w:div w:id="1350444940">
              <w:marLeft w:val="0"/>
              <w:marRight w:val="0"/>
              <w:marTop w:val="0"/>
              <w:marBottom w:val="0"/>
              <w:divBdr>
                <w:top w:val="none" w:sz="0" w:space="0" w:color="auto"/>
                <w:left w:val="none" w:sz="0" w:space="0" w:color="auto"/>
                <w:bottom w:val="none" w:sz="0" w:space="0" w:color="auto"/>
                <w:right w:val="none" w:sz="0" w:space="0" w:color="auto"/>
              </w:divBdr>
              <w:divsChild>
                <w:div w:id="683750966">
                  <w:marLeft w:val="0"/>
                  <w:marRight w:val="0"/>
                  <w:marTop w:val="0"/>
                  <w:marBottom w:val="0"/>
                  <w:divBdr>
                    <w:top w:val="none" w:sz="0" w:space="0" w:color="auto"/>
                    <w:left w:val="none" w:sz="0" w:space="0" w:color="auto"/>
                    <w:bottom w:val="none" w:sz="0" w:space="0" w:color="auto"/>
                    <w:right w:val="none" w:sz="0" w:space="0" w:color="auto"/>
                  </w:divBdr>
                  <w:divsChild>
                    <w:div w:id="1437212792">
                      <w:marLeft w:val="0"/>
                      <w:marRight w:val="0"/>
                      <w:marTop w:val="0"/>
                      <w:marBottom w:val="0"/>
                      <w:divBdr>
                        <w:top w:val="none" w:sz="0" w:space="0" w:color="auto"/>
                        <w:left w:val="none" w:sz="0" w:space="0" w:color="auto"/>
                        <w:bottom w:val="none" w:sz="0" w:space="0" w:color="auto"/>
                        <w:right w:val="none" w:sz="0" w:space="0" w:color="auto"/>
                      </w:divBdr>
                      <w:divsChild>
                        <w:div w:id="1813404570">
                          <w:marLeft w:val="0"/>
                          <w:marRight w:val="0"/>
                          <w:marTop w:val="0"/>
                          <w:marBottom w:val="0"/>
                          <w:divBdr>
                            <w:top w:val="none" w:sz="0" w:space="0" w:color="auto"/>
                            <w:left w:val="none" w:sz="0" w:space="0" w:color="auto"/>
                            <w:bottom w:val="none" w:sz="0" w:space="0" w:color="auto"/>
                            <w:right w:val="none" w:sz="0" w:space="0" w:color="auto"/>
                          </w:divBdr>
                          <w:divsChild>
                            <w:div w:id="604922973">
                              <w:marLeft w:val="0"/>
                              <w:marRight w:val="0"/>
                              <w:marTop w:val="0"/>
                              <w:marBottom w:val="0"/>
                              <w:divBdr>
                                <w:top w:val="none" w:sz="0" w:space="0" w:color="auto"/>
                                <w:left w:val="none" w:sz="0" w:space="0" w:color="auto"/>
                                <w:bottom w:val="none" w:sz="0" w:space="0" w:color="auto"/>
                                <w:right w:val="none" w:sz="0" w:space="0" w:color="auto"/>
                              </w:divBdr>
                              <w:divsChild>
                                <w:div w:id="1512065056">
                                  <w:marLeft w:val="0"/>
                                  <w:marRight w:val="0"/>
                                  <w:marTop w:val="0"/>
                                  <w:marBottom w:val="0"/>
                                  <w:divBdr>
                                    <w:top w:val="none" w:sz="0" w:space="0" w:color="auto"/>
                                    <w:left w:val="none" w:sz="0" w:space="0" w:color="auto"/>
                                    <w:bottom w:val="none" w:sz="0" w:space="0" w:color="auto"/>
                                    <w:right w:val="none" w:sz="0" w:space="0" w:color="auto"/>
                                  </w:divBdr>
                                  <w:divsChild>
                                    <w:div w:id="110979869">
                                      <w:marLeft w:val="0"/>
                                      <w:marRight w:val="0"/>
                                      <w:marTop w:val="0"/>
                                      <w:marBottom w:val="0"/>
                                      <w:divBdr>
                                        <w:top w:val="none" w:sz="0" w:space="0" w:color="auto"/>
                                        <w:left w:val="none" w:sz="0" w:space="0" w:color="auto"/>
                                        <w:bottom w:val="none" w:sz="0" w:space="0" w:color="auto"/>
                                        <w:right w:val="none" w:sz="0" w:space="0" w:color="auto"/>
                                      </w:divBdr>
                                      <w:divsChild>
                                        <w:div w:id="1911693371">
                                          <w:marLeft w:val="0"/>
                                          <w:marRight w:val="0"/>
                                          <w:marTop w:val="0"/>
                                          <w:marBottom w:val="0"/>
                                          <w:divBdr>
                                            <w:top w:val="none" w:sz="0" w:space="0" w:color="auto"/>
                                            <w:left w:val="none" w:sz="0" w:space="0" w:color="auto"/>
                                            <w:bottom w:val="none" w:sz="0" w:space="0" w:color="auto"/>
                                            <w:right w:val="none" w:sz="0" w:space="0" w:color="auto"/>
                                          </w:divBdr>
                                          <w:divsChild>
                                            <w:div w:id="1152523396">
                                              <w:marLeft w:val="0"/>
                                              <w:marRight w:val="0"/>
                                              <w:marTop w:val="0"/>
                                              <w:marBottom w:val="0"/>
                                              <w:divBdr>
                                                <w:top w:val="none" w:sz="0" w:space="0" w:color="auto"/>
                                                <w:left w:val="none" w:sz="0" w:space="0" w:color="auto"/>
                                                <w:bottom w:val="none" w:sz="0" w:space="0" w:color="auto"/>
                                                <w:right w:val="none" w:sz="0" w:space="0" w:color="auto"/>
                                              </w:divBdr>
                                              <w:divsChild>
                                                <w:div w:id="2033649703">
                                                  <w:marLeft w:val="0"/>
                                                  <w:marRight w:val="0"/>
                                                  <w:marTop w:val="0"/>
                                                  <w:marBottom w:val="0"/>
                                                  <w:divBdr>
                                                    <w:top w:val="none" w:sz="0" w:space="0" w:color="auto"/>
                                                    <w:left w:val="none" w:sz="0" w:space="0" w:color="auto"/>
                                                    <w:bottom w:val="none" w:sz="0" w:space="0" w:color="auto"/>
                                                    <w:right w:val="none" w:sz="0" w:space="0" w:color="auto"/>
                                                  </w:divBdr>
                                                  <w:divsChild>
                                                    <w:div w:id="149372762">
                                                      <w:marLeft w:val="0"/>
                                                      <w:marRight w:val="0"/>
                                                      <w:marTop w:val="0"/>
                                                      <w:marBottom w:val="0"/>
                                                      <w:divBdr>
                                                        <w:top w:val="none" w:sz="0" w:space="0" w:color="auto"/>
                                                        <w:left w:val="none" w:sz="0" w:space="0" w:color="auto"/>
                                                        <w:bottom w:val="none" w:sz="0" w:space="0" w:color="auto"/>
                                                        <w:right w:val="none" w:sz="0" w:space="0" w:color="auto"/>
                                                      </w:divBdr>
                                                      <w:divsChild>
                                                        <w:div w:id="2002614764">
                                                          <w:marLeft w:val="0"/>
                                                          <w:marRight w:val="0"/>
                                                          <w:marTop w:val="0"/>
                                                          <w:marBottom w:val="0"/>
                                                          <w:divBdr>
                                                            <w:top w:val="none" w:sz="0" w:space="0" w:color="auto"/>
                                                            <w:left w:val="none" w:sz="0" w:space="0" w:color="auto"/>
                                                            <w:bottom w:val="none" w:sz="0" w:space="0" w:color="auto"/>
                                                            <w:right w:val="none" w:sz="0" w:space="0" w:color="auto"/>
                                                          </w:divBdr>
                                                          <w:divsChild>
                                                            <w:div w:id="1834639003">
                                                              <w:marLeft w:val="0"/>
                                                              <w:marRight w:val="0"/>
                                                              <w:marTop w:val="0"/>
                                                              <w:marBottom w:val="0"/>
                                                              <w:divBdr>
                                                                <w:top w:val="none" w:sz="0" w:space="0" w:color="auto"/>
                                                                <w:left w:val="none" w:sz="0" w:space="0" w:color="auto"/>
                                                                <w:bottom w:val="none" w:sz="0" w:space="0" w:color="auto"/>
                                                                <w:right w:val="none" w:sz="0" w:space="0" w:color="auto"/>
                                                              </w:divBdr>
                                                              <w:divsChild>
                                                                <w:div w:id="1384478451">
                                                                  <w:marLeft w:val="0"/>
                                                                  <w:marRight w:val="0"/>
                                                                  <w:marTop w:val="0"/>
                                                                  <w:marBottom w:val="0"/>
                                                                  <w:divBdr>
                                                                    <w:top w:val="none" w:sz="0" w:space="0" w:color="auto"/>
                                                                    <w:left w:val="none" w:sz="0" w:space="0" w:color="auto"/>
                                                                    <w:bottom w:val="none" w:sz="0" w:space="0" w:color="auto"/>
                                                                    <w:right w:val="none" w:sz="0" w:space="0" w:color="auto"/>
                                                                  </w:divBdr>
                                                                  <w:divsChild>
                                                                    <w:div w:id="2068455211">
                                                                      <w:marLeft w:val="0"/>
                                                                      <w:marRight w:val="0"/>
                                                                      <w:marTop w:val="0"/>
                                                                      <w:marBottom w:val="0"/>
                                                                      <w:divBdr>
                                                                        <w:top w:val="none" w:sz="0" w:space="0" w:color="auto"/>
                                                                        <w:left w:val="none" w:sz="0" w:space="0" w:color="auto"/>
                                                                        <w:bottom w:val="none" w:sz="0" w:space="0" w:color="auto"/>
                                                                        <w:right w:val="none" w:sz="0" w:space="0" w:color="auto"/>
                                                                      </w:divBdr>
                                                                      <w:divsChild>
                                                                        <w:div w:id="837963995">
                                                                          <w:marLeft w:val="0"/>
                                                                          <w:marRight w:val="0"/>
                                                                          <w:marTop w:val="0"/>
                                                                          <w:marBottom w:val="0"/>
                                                                          <w:divBdr>
                                                                            <w:top w:val="none" w:sz="0" w:space="0" w:color="auto"/>
                                                                            <w:left w:val="none" w:sz="0" w:space="0" w:color="auto"/>
                                                                            <w:bottom w:val="none" w:sz="0" w:space="0" w:color="auto"/>
                                                                            <w:right w:val="none" w:sz="0" w:space="0" w:color="auto"/>
                                                                          </w:divBdr>
                                                                          <w:divsChild>
                                                                            <w:div w:id="972832620">
                                                                              <w:marLeft w:val="0"/>
                                                                              <w:marRight w:val="0"/>
                                                                              <w:marTop w:val="0"/>
                                                                              <w:marBottom w:val="0"/>
                                                                              <w:divBdr>
                                                                                <w:top w:val="none" w:sz="0" w:space="0" w:color="auto"/>
                                                                                <w:left w:val="none" w:sz="0" w:space="0" w:color="auto"/>
                                                                                <w:bottom w:val="none" w:sz="0" w:space="0" w:color="auto"/>
                                                                                <w:right w:val="none" w:sz="0" w:space="0" w:color="auto"/>
                                                                              </w:divBdr>
                                                                              <w:divsChild>
                                                                                <w:div w:id="15213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121">
                                                  <w:marLeft w:val="0"/>
                                                  <w:marRight w:val="0"/>
                                                  <w:marTop w:val="0"/>
                                                  <w:marBottom w:val="0"/>
                                                  <w:divBdr>
                                                    <w:top w:val="none" w:sz="0" w:space="0" w:color="auto"/>
                                                    <w:left w:val="none" w:sz="0" w:space="0" w:color="auto"/>
                                                    <w:bottom w:val="none" w:sz="0" w:space="0" w:color="auto"/>
                                                    <w:right w:val="none" w:sz="0" w:space="0" w:color="auto"/>
                                                  </w:divBdr>
                                                  <w:divsChild>
                                                    <w:div w:id="1104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946728">
          <w:marLeft w:val="0"/>
          <w:marRight w:val="0"/>
          <w:marTop w:val="0"/>
          <w:marBottom w:val="0"/>
          <w:divBdr>
            <w:top w:val="none" w:sz="0" w:space="0" w:color="auto"/>
            <w:left w:val="none" w:sz="0" w:space="0" w:color="auto"/>
            <w:bottom w:val="none" w:sz="0" w:space="0" w:color="auto"/>
            <w:right w:val="none" w:sz="0" w:space="0" w:color="auto"/>
          </w:divBdr>
          <w:divsChild>
            <w:div w:id="782962401">
              <w:marLeft w:val="0"/>
              <w:marRight w:val="0"/>
              <w:marTop w:val="0"/>
              <w:marBottom w:val="0"/>
              <w:divBdr>
                <w:top w:val="none" w:sz="0" w:space="0" w:color="auto"/>
                <w:left w:val="none" w:sz="0" w:space="0" w:color="auto"/>
                <w:bottom w:val="none" w:sz="0" w:space="0" w:color="auto"/>
                <w:right w:val="none" w:sz="0" w:space="0" w:color="auto"/>
              </w:divBdr>
              <w:divsChild>
                <w:div w:id="2030135845">
                  <w:marLeft w:val="0"/>
                  <w:marRight w:val="0"/>
                  <w:marTop w:val="0"/>
                  <w:marBottom w:val="0"/>
                  <w:divBdr>
                    <w:top w:val="none" w:sz="0" w:space="0" w:color="auto"/>
                    <w:left w:val="none" w:sz="0" w:space="0" w:color="auto"/>
                    <w:bottom w:val="none" w:sz="0" w:space="0" w:color="auto"/>
                    <w:right w:val="none" w:sz="0" w:space="0" w:color="auto"/>
                  </w:divBdr>
                  <w:divsChild>
                    <w:div w:id="231896356">
                      <w:marLeft w:val="0"/>
                      <w:marRight w:val="0"/>
                      <w:marTop w:val="0"/>
                      <w:marBottom w:val="0"/>
                      <w:divBdr>
                        <w:top w:val="none" w:sz="0" w:space="0" w:color="auto"/>
                        <w:left w:val="none" w:sz="0" w:space="0" w:color="auto"/>
                        <w:bottom w:val="none" w:sz="0" w:space="0" w:color="auto"/>
                        <w:right w:val="none" w:sz="0" w:space="0" w:color="auto"/>
                      </w:divBdr>
                    </w:div>
                    <w:div w:id="274530654">
                      <w:marLeft w:val="0"/>
                      <w:marRight w:val="0"/>
                      <w:marTop w:val="0"/>
                      <w:marBottom w:val="0"/>
                      <w:divBdr>
                        <w:top w:val="none" w:sz="0" w:space="0" w:color="auto"/>
                        <w:left w:val="none" w:sz="0" w:space="0" w:color="auto"/>
                        <w:bottom w:val="none" w:sz="0" w:space="0" w:color="auto"/>
                        <w:right w:val="none" w:sz="0" w:space="0" w:color="auto"/>
                      </w:divBdr>
                      <w:divsChild>
                        <w:div w:id="427655094">
                          <w:marLeft w:val="0"/>
                          <w:marRight w:val="0"/>
                          <w:marTop w:val="0"/>
                          <w:marBottom w:val="0"/>
                          <w:divBdr>
                            <w:top w:val="none" w:sz="0" w:space="0" w:color="auto"/>
                            <w:left w:val="none" w:sz="0" w:space="0" w:color="auto"/>
                            <w:bottom w:val="none" w:sz="0" w:space="0" w:color="auto"/>
                            <w:right w:val="none" w:sz="0" w:space="0" w:color="auto"/>
                          </w:divBdr>
                          <w:divsChild>
                            <w:div w:id="1403405404">
                              <w:marLeft w:val="0"/>
                              <w:marRight w:val="0"/>
                              <w:marTop w:val="0"/>
                              <w:marBottom w:val="0"/>
                              <w:divBdr>
                                <w:top w:val="none" w:sz="0" w:space="0" w:color="auto"/>
                                <w:left w:val="none" w:sz="0" w:space="0" w:color="auto"/>
                                <w:bottom w:val="none" w:sz="0" w:space="0" w:color="auto"/>
                                <w:right w:val="none" w:sz="0" w:space="0" w:color="auto"/>
                              </w:divBdr>
                              <w:divsChild>
                                <w:div w:id="555897617">
                                  <w:marLeft w:val="0"/>
                                  <w:marRight w:val="0"/>
                                  <w:marTop w:val="0"/>
                                  <w:marBottom w:val="0"/>
                                  <w:divBdr>
                                    <w:top w:val="none" w:sz="0" w:space="0" w:color="auto"/>
                                    <w:left w:val="none" w:sz="0" w:space="0" w:color="auto"/>
                                    <w:bottom w:val="none" w:sz="0" w:space="0" w:color="auto"/>
                                    <w:right w:val="none" w:sz="0" w:space="0" w:color="auto"/>
                                  </w:divBdr>
                                  <w:divsChild>
                                    <w:div w:id="1988852665">
                                      <w:marLeft w:val="0"/>
                                      <w:marRight w:val="0"/>
                                      <w:marTop w:val="0"/>
                                      <w:marBottom w:val="0"/>
                                      <w:divBdr>
                                        <w:top w:val="none" w:sz="0" w:space="0" w:color="auto"/>
                                        <w:left w:val="none" w:sz="0" w:space="0" w:color="auto"/>
                                        <w:bottom w:val="none" w:sz="0" w:space="0" w:color="auto"/>
                                        <w:right w:val="none" w:sz="0" w:space="0" w:color="auto"/>
                                      </w:divBdr>
                                      <w:divsChild>
                                        <w:div w:id="2143571963">
                                          <w:marLeft w:val="0"/>
                                          <w:marRight w:val="0"/>
                                          <w:marTop w:val="0"/>
                                          <w:marBottom w:val="0"/>
                                          <w:divBdr>
                                            <w:top w:val="none" w:sz="0" w:space="0" w:color="auto"/>
                                            <w:left w:val="none" w:sz="0" w:space="0" w:color="auto"/>
                                            <w:bottom w:val="none" w:sz="0" w:space="0" w:color="auto"/>
                                            <w:right w:val="none" w:sz="0" w:space="0" w:color="auto"/>
                                          </w:divBdr>
                                          <w:divsChild>
                                            <w:div w:id="206770437">
                                              <w:marLeft w:val="0"/>
                                              <w:marRight w:val="0"/>
                                              <w:marTop w:val="0"/>
                                              <w:marBottom w:val="0"/>
                                              <w:divBdr>
                                                <w:top w:val="none" w:sz="0" w:space="0" w:color="auto"/>
                                                <w:left w:val="none" w:sz="0" w:space="0" w:color="auto"/>
                                                <w:bottom w:val="none" w:sz="0" w:space="0" w:color="auto"/>
                                                <w:right w:val="none" w:sz="0" w:space="0" w:color="auto"/>
                                              </w:divBdr>
                                              <w:divsChild>
                                                <w:div w:id="533536951">
                                                  <w:marLeft w:val="0"/>
                                                  <w:marRight w:val="0"/>
                                                  <w:marTop w:val="0"/>
                                                  <w:marBottom w:val="0"/>
                                                  <w:divBdr>
                                                    <w:top w:val="none" w:sz="0" w:space="0" w:color="auto"/>
                                                    <w:left w:val="none" w:sz="0" w:space="0" w:color="auto"/>
                                                    <w:bottom w:val="none" w:sz="0" w:space="0" w:color="auto"/>
                                                    <w:right w:val="none" w:sz="0" w:space="0" w:color="auto"/>
                                                  </w:divBdr>
                                                  <w:divsChild>
                                                    <w:div w:id="1464614247">
                                                      <w:marLeft w:val="0"/>
                                                      <w:marRight w:val="0"/>
                                                      <w:marTop w:val="0"/>
                                                      <w:marBottom w:val="0"/>
                                                      <w:divBdr>
                                                        <w:top w:val="none" w:sz="0" w:space="0" w:color="auto"/>
                                                        <w:left w:val="none" w:sz="0" w:space="0" w:color="auto"/>
                                                        <w:bottom w:val="none" w:sz="0" w:space="0" w:color="auto"/>
                                                        <w:right w:val="none" w:sz="0" w:space="0" w:color="auto"/>
                                                      </w:divBdr>
                                                      <w:divsChild>
                                                        <w:div w:id="977339678">
                                                          <w:marLeft w:val="0"/>
                                                          <w:marRight w:val="0"/>
                                                          <w:marTop w:val="0"/>
                                                          <w:marBottom w:val="0"/>
                                                          <w:divBdr>
                                                            <w:top w:val="none" w:sz="0" w:space="0" w:color="auto"/>
                                                            <w:left w:val="none" w:sz="0" w:space="0" w:color="auto"/>
                                                            <w:bottom w:val="none" w:sz="0" w:space="0" w:color="auto"/>
                                                            <w:right w:val="none" w:sz="0" w:space="0" w:color="auto"/>
                                                          </w:divBdr>
                                                          <w:divsChild>
                                                            <w:div w:id="1800491433">
                                                              <w:marLeft w:val="0"/>
                                                              <w:marRight w:val="0"/>
                                                              <w:marTop w:val="0"/>
                                                              <w:marBottom w:val="0"/>
                                                              <w:divBdr>
                                                                <w:top w:val="none" w:sz="0" w:space="0" w:color="auto"/>
                                                                <w:left w:val="none" w:sz="0" w:space="0" w:color="auto"/>
                                                                <w:bottom w:val="none" w:sz="0" w:space="0" w:color="auto"/>
                                                                <w:right w:val="none" w:sz="0" w:space="0" w:color="auto"/>
                                                              </w:divBdr>
                                                              <w:divsChild>
                                                                <w:div w:id="2011833833">
                                                                  <w:marLeft w:val="0"/>
                                                                  <w:marRight w:val="0"/>
                                                                  <w:marTop w:val="0"/>
                                                                  <w:marBottom w:val="0"/>
                                                                  <w:divBdr>
                                                                    <w:top w:val="none" w:sz="0" w:space="0" w:color="auto"/>
                                                                    <w:left w:val="none" w:sz="0" w:space="0" w:color="auto"/>
                                                                    <w:bottom w:val="none" w:sz="0" w:space="0" w:color="auto"/>
                                                                    <w:right w:val="none" w:sz="0" w:space="0" w:color="auto"/>
                                                                  </w:divBdr>
                                                                  <w:divsChild>
                                                                    <w:div w:id="1371804419">
                                                                      <w:marLeft w:val="0"/>
                                                                      <w:marRight w:val="0"/>
                                                                      <w:marTop w:val="0"/>
                                                                      <w:marBottom w:val="0"/>
                                                                      <w:divBdr>
                                                                        <w:top w:val="none" w:sz="0" w:space="0" w:color="auto"/>
                                                                        <w:left w:val="none" w:sz="0" w:space="0" w:color="auto"/>
                                                                        <w:bottom w:val="none" w:sz="0" w:space="0" w:color="auto"/>
                                                                        <w:right w:val="none" w:sz="0" w:space="0" w:color="auto"/>
                                                                      </w:divBdr>
                                                                      <w:divsChild>
                                                                        <w:div w:id="2031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3764178">
          <w:marLeft w:val="0"/>
          <w:marRight w:val="0"/>
          <w:marTop w:val="0"/>
          <w:marBottom w:val="0"/>
          <w:divBdr>
            <w:top w:val="none" w:sz="0" w:space="0" w:color="auto"/>
            <w:left w:val="none" w:sz="0" w:space="0" w:color="auto"/>
            <w:bottom w:val="none" w:sz="0" w:space="0" w:color="auto"/>
            <w:right w:val="none" w:sz="0" w:space="0" w:color="auto"/>
          </w:divBdr>
          <w:divsChild>
            <w:div w:id="1517228663">
              <w:marLeft w:val="0"/>
              <w:marRight w:val="0"/>
              <w:marTop w:val="0"/>
              <w:marBottom w:val="0"/>
              <w:divBdr>
                <w:top w:val="none" w:sz="0" w:space="0" w:color="auto"/>
                <w:left w:val="none" w:sz="0" w:space="0" w:color="auto"/>
                <w:bottom w:val="none" w:sz="0" w:space="0" w:color="auto"/>
                <w:right w:val="none" w:sz="0" w:space="0" w:color="auto"/>
              </w:divBdr>
              <w:divsChild>
                <w:div w:id="789401642">
                  <w:marLeft w:val="0"/>
                  <w:marRight w:val="0"/>
                  <w:marTop w:val="0"/>
                  <w:marBottom w:val="0"/>
                  <w:divBdr>
                    <w:top w:val="none" w:sz="0" w:space="0" w:color="auto"/>
                    <w:left w:val="none" w:sz="0" w:space="0" w:color="auto"/>
                    <w:bottom w:val="none" w:sz="0" w:space="0" w:color="auto"/>
                    <w:right w:val="none" w:sz="0" w:space="0" w:color="auto"/>
                  </w:divBdr>
                  <w:divsChild>
                    <w:div w:id="670260395">
                      <w:marLeft w:val="0"/>
                      <w:marRight w:val="0"/>
                      <w:marTop w:val="0"/>
                      <w:marBottom w:val="0"/>
                      <w:divBdr>
                        <w:top w:val="none" w:sz="0" w:space="0" w:color="auto"/>
                        <w:left w:val="none" w:sz="0" w:space="0" w:color="auto"/>
                        <w:bottom w:val="none" w:sz="0" w:space="0" w:color="auto"/>
                        <w:right w:val="none" w:sz="0" w:space="0" w:color="auto"/>
                      </w:divBdr>
                      <w:divsChild>
                        <w:div w:id="1546674647">
                          <w:marLeft w:val="0"/>
                          <w:marRight w:val="0"/>
                          <w:marTop w:val="0"/>
                          <w:marBottom w:val="0"/>
                          <w:divBdr>
                            <w:top w:val="none" w:sz="0" w:space="0" w:color="auto"/>
                            <w:left w:val="none" w:sz="0" w:space="0" w:color="auto"/>
                            <w:bottom w:val="none" w:sz="0" w:space="0" w:color="auto"/>
                            <w:right w:val="none" w:sz="0" w:space="0" w:color="auto"/>
                          </w:divBdr>
                          <w:divsChild>
                            <w:div w:id="669143618">
                              <w:marLeft w:val="0"/>
                              <w:marRight w:val="0"/>
                              <w:marTop w:val="0"/>
                              <w:marBottom w:val="0"/>
                              <w:divBdr>
                                <w:top w:val="none" w:sz="0" w:space="0" w:color="auto"/>
                                <w:left w:val="none" w:sz="0" w:space="0" w:color="auto"/>
                                <w:bottom w:val="none" w:sz="0" w:space="0" w:color="auto"/>
                                <w:right w:val="none" w:sz="0" w:space="0" w:color="auto"/>
                              </w:divBdr>
                              <w:divsChild>
                                <w:div w:id="794176616">
                                  <w:marLeft w:val="0"/>
                                  <w:marRight w:val="0"/>
                                  <w:marTop w:val="0"/>
                                  <w:marBottom w:val="0"/>
                                  <w:divBdr>
                                    <w:top w:val="none" w:sz="0" w:space="0" w:color="auto"/>
                                    <w:left w:val="none" w:sz="0" w:space="0" w:color="auto"/>
                                    <w:bottom w:val="none" w:sz="0" w:space="0" w:color="auto"/>
                                    <w:right w:val="none" w:sz="0" w:space="0" w:color="auto"/>
                                  </w:divBdr>
                                  <w:divsChild>
                                    <w:div w:id="854270356">
                                      <w:marLeft w:val="0"/>
                                      <w:marRight w:val="0"/>
                                      <w:marTop w:val="0"/>
                                      <w:marBottom w:val="0"/>
                                      <w:divBdr>
                                        <w:top w:val="none" w:sz="0" w:space="0" w:color="auto"/>
                                        <w:left w:val="none" w:sz="0" w:space="0" w:color="auto"/>
                                        <w:bottom w:val="none" w:sz="0" w:space="0" w:color="auto"/>
                                        <w:right w:val="none" w:sz="0" w:space="0" w:color="auto"/>
                                      </w:divBdr>
                                      <w:divsChild>
                                        <w:div w:id="13711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097">
          <w:marLeft w:val="0"/>
          <w:marRight w:val="0"/>
          <w:marTop w:val="0"/>
          <w:marBottom w:val="0"/>
          <w:divBdr>
            <w:top w:val="none" w:sz="0" w:space="0" w:color="auto"/>
            <w:left w:val="none" w:sz="0" w:space="0" w:color="auto"/>
            <w:bottom w:val="none" w:sz="0" w:space="0" w:color="auto"/>
            <w:right w:val="none" w:sz="0" w:space="0" w:color="auto"/>
          </w:divBdr>
          <w:divsChild>
            <w:div w:id="809829087">
              <w:marLeft w:val="0"/>
              <w:marRight w:val="0"/>
              <w:marTop w:val="0"/>
              <w:marBottom w:val="0"/>
              <w:divBdr>
                <w:top w:val="none" w:sz="0" w:space="0" w:color="auto"/>
                <w:left w:val="none" w:sz="0" w:space="0" w:color="auto"/>
                <w:bottom w:val="none" w:sz="0" w:space="0" w:color="auto"/>
                <w:right w:val="none" w:sz="0" w:space="0" w:color="auto"/>
              </w:divBdr>
            </w:div>
          </w:divsChild>
        </w:div>
        <w:div w:id="304701704">
          <w:marLeft w:val="0"/>
          <w:marRight w:val="0"/>
          <w:marTop w:val="0"/>
          <w:marBottom w:val="0"/>
          <w:divBdr>
            <w:top w:val="none" w:sz="0" w:space="0" w:color="auto"/>
            <w:left w:val="none" w:sz="0" w:space="0" w:color="auto"/>
            <w:bottom w:val="none" w:sz="0" w:space="0" w:color="auto"/>
            <w:right w:val="none" w:sz="0" w:space="0" w:color="auto"/>
          </w:divBdr>
          <w:divsChild>
            <w:div w:id="1267693693">
              <w:marLeft w:val="0"/>
              <w:marRight w:val="0"/>
              <w:marTop w:val="0"/>
              <w:marBottom w:val="0"/>
              <w:divBdr>
                <w:top w:val="none" w:sz="0" w:space="0" w:color="auto"/>
                <w:left w:val="none" w:sz="0" w:space="0" w:color="auto"/>
                <w:bottom w:val="none" w:sz="0" w:space="0" w:color="auto"/>
                <w:right w:val="none" w:sz="0" w:space="0" w:color="auto"/>
              </w:divBdr>
              <w:divsChild>
                <w:div w:id="1550190893">
                  <w:marLeft w:val="0"/>
                  <w:marRight w:val="0"/>
                  <w:marTop w:val="0"/>
                  <w:marBottom w:val="0"/>
                  <w:divBdr>
                    <w:top w:val="none" w:sz="0" w:space="0" w:color="auto"/>
                    <w:left w:val="none" w:sz="0" w:space="0" w:color="auto"/>
                    <w:bottom w:val="none" w:sz="0" w:space="0" w:color="auto"/>
                    <w:right w:val="none" w:sz="0" w:space="0" w:color="auto"/>
                  </w:divBdr>
                  <w:divsChild>
                    <w:div w:id="1418281120">
                      <w:marLeft w:val="0"/>
                      <w:marRight w:val="0"/>
                      <w:marTop w:val="0"/>
                      <w:marBottom w:val="0"/>
                      <w:divBdr>
                        <w:top w:val="none" w:sz="0" w:space="0" w:color="auto"/>
                        <w:left w:val="none" w:sz="0" w:space="0" w:color="auto"/>
                        <w:bottom w:val="none" w:sz="0" w:space="0" w:color="auto"/>
                        <w:right w:val="none" w:sz="0" w:space="0" w:color="auto"/>
                      </w:divBdr>
                      <w:divsChild>
                        <w:div w:id="949899958">
                          <w:marLeft w:val="0"/>
                          <w:marRight w:val="0"/>
                          <w:marTop w:val="0"/>
                          <w:marBottom w:val="0"/>
                          <w:divBdr>
                            <w:top w:val="none" w:sz="0" w:space="0" w:color="auto"/>
                            <w:left w:val="none" w:sz="0" w:space="0" w:color="auto"/>
                            <w:bottom w:val="none" w:sz="0" w:space="0" w:color="auto"/>
                            <w:right w:val="none" w:sz="0" w:space="0" w:color="auto"/>
                          </w:divBdr>
                          <w:divsChild>
                            <w:div w:id="542983054">
                              <w:marLeft w:val="0"/>
                              <w:marRight w:val="0"/>
                              <w:marTop w:val="0"/>
                              <w:marBottom w:val="0"/>
                              <w:divBdr>
                                <w:top w:val="none" w:sz="0" w:space="0" w:color="auto"/>
                                <w:left w:val="none" w:sz="0" w:space="0" w:color="auto"/>
                                <w:bottom w:val="none" w:sz="0" w:space="0" w:color="auto"/>
                                <w:right w:val="none" w:sz="0" w:space="0" w:color="auto"/>
                              </w:divBdr>
                              <w:divsChild>
                                <w:div w:id="464615777">
                                  <w:marLeft w:val="0"/>
                                  <w:marRight w:val="0"/>
                                  <w:marTop w:val="0"/>
                                  <w:marBottom w:val="0"/>
                                  <w:divBdr>
                                    <w:top w:val="none" w:sz="0" w:space="0" w:color="auto"/>
                                    <w:left w:val="none" w:sz="0" w:space="0" w:color="auto"/>
                                    <w:bottom w:val="none" w:sz="0" w:space="0" w:color="auto"/>
                                    <w:right w:val="none" w:sz="0" w:space="0" w:color="auto"/>
                                  </w:divBdr>
                                  <w:divsChild>
                                    <w:div w:id="185605917">
                                      <w:marLeft w:val="0"/>
                                      <w:marRight w:val="0"/>
                                      <w:marTop w:val="0"/>
                                      <w:marBottom w:val="0"/>
                                      <w:divBdr>
                                        <w:top w:val="none" w:sz="0" w:space="0" w:color="auto"/>
                                        <w:left w:val="none" w:sz="0" w:space="0" w:color="auto"/>
                                        <w:bottom w:val="none" w:sz="0" w:space="0" w:color="auto"/>
                                        <w:right w:val="none" w:sz="0" w:space="0" w:color="auto"/>
                                      </w:divBdr>
                                      <w:divsChild>
                                        <w:div w:id="1503201060">
                                          <w:marLeft w:val="0"/>
                                          <w:marRight w:val="0"/>
                                          <w:marTop w:val="0"/>
                                          <w:marBottom w:val="0"/>
                                          <w:divBdr>
                                            <w:top w:val="none" w:sz="0" w:space="0" w:color="auto"/>
                                            <w:left w:val="none" w:sz="0" w:space="0" w:color="auto"/>
                                            <w:bottom w:val="none" w:sz="0" w:space="0" w:color="auto"/>
                                            <w:right w:val="none" w:sz="0" w:space="0" w:color="auto"/>
                                          </w:divBdr>
                                          <w:divsChild>
                                            <w:div w:id="2122454944">
                                              <w:marLeft w:val="0"/>
                                              <w:marRight w:val="0"/>
                                              <w:marTop w:val="0"/>
                                              <w:marBottom w:val="0"/>
                                              <w:divBdr>
                                                <w:top w:val="none" w:sz="0" w:space="0" w:color="auto"/>
                                                <w:left w:val="none" w:sz="0" w:space="0" w:color="auto"/>
                                                <w:bottom w:val="none" w:sz="0" w:space="0" w:color="auto"/>
                                                <w:right w:val="none" w:sz="0" w:space="0" w:color="auto"/>
                                              </w:divBdr>
                                              <w:divsChild>
                                                <w:div w:id="1596792534">
                                                  <w:marLeft w:val="0"/>
                                                  <w:marRight w:val="0"/>
                                                  <w:marTop w:val="0"/>
                                                  <w:marBottom w:val="0"/>
                                                  <w:divBdr>
                                                    <w:top w:val="none" w:sz="0" w:space="0" w:color="auto"/>
                                                    <w:left w:val="none" w:sz="0" w:space="0" w:color="auto"/>
                                                    <w:bottom w:val="none" w:sz="0" w:space="0" w:color="auto"/>
                                                    <w:right w:val="none" w:sz="0" w:space="0" w:color="auto"/>
                                                  </w:divBdr>
                                                  <w:divsChild>
                                                    <w:div w:id="13682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761682">
                          <w:marLeft w:val="0"/>
                          <w:marRight w:val="0"/>
                          <w:marTop w:val="0"/>
                          <w:marBottom w:val="0"/>
                          <w:divBdr>
                            <w:top w:val="none" w:sz="0" w:space="0" w:color="auto"/>
                            <w:left w:val="none" w:sz="0" w:space="0" w:color="auto"/>
                            <w:bottom w:val="none" w:sz="0" w:space="0" w:color="auto"/>
                            <w:right w:val="none" w:sz="0" w:space="0" w:color="auto"/>
                          </w:divBdr>
                          <w:divsChild>
                            <w:div w:id="2079011779">
                              <w:marLeft w:val="0"/>
                              <w:marRight w:val="0"/>
                              <w:marTop w:val="0"/>
                              <w:marBottom w:val="0"/>
                              <w:divBdr>
                                <w:top w:val="none" w:sz="0" w:space="0" w:color="auto"/>
                                <w:left w:val="none" w:sz="0" w:space="0" w:color="auto"/>
                                <w:bottom w:val="none" w:sz="0" w:space="0" w:color="auto"/>
                                <w:right w:val="none" w:sz="0" w:space="0" w:color="auto"/>
                              </w:divBdr>
                              <w:divsChild>
                                <w:div w:id="1509632109">
                                  <w:marLeft w:val="0"/>
                                  <w:marRight w:val="0"/>
                                  <w:marTop w:val="0"/>
                                  <w:marBottom w:val="0"/>
                                  <w:divBdr>
                                    <w:top w:val="none" w:sz="0" w:space="0" w:color="auto"/>
                                    <w:left w:val="none" w:sz="0" w:space="0" w:color="auto"/>
                                    <w:bottom w:val="none" w:sz="0" w:space="0" w:color="auto"/>
                                    <w:right w:val="none" w:sz="0" w:space="0" w:color="auto"/>
                                  </w:divBdr>
                                  <w:divsChild>
                                    <w:div w:id="542403947">
                                      <w:marLeft w:val="0"/>
                                      <w:marRight w:val="0"/>
                                      <w:marTop w:val="0"/>
                                      <w:marBottom w:val="0"/>
                                      <w:divBdr>
                                        <w:top w:val="none" w:sz="0" w:space="0" w:color="auto"/>
                                        <w:left w:val="none" w:sz="0" w:space="0" w:color="auto"/>
                                        <w:bottom w:val="none" w:sz="0" w:space="0" w:color="auto"/>
                                        <w:right w:val="none" w:sz="0" w:space="0" w:color="auto"/>
                                      </w:divBdr>
                                      <w:divsChild>
                                        <w:div w:id="3579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160214">
                  <w:marLeft w:val="0"/>
                  <w:marRight w:val="0"/>
                  <w:marTop w:val="0"/>
                  <w:marBottom w:val="0"/>
                  <w:divBdr>
                    <w:top w:val="none" w:sz="0" w:space="0" w:color="auto"/>
                    <w:left w:val="none" w:sz="0" w:space="0" w:color="auto"/>
                    <w:bottom w:val="none" w:sz="0" w:space="0" w:color="auto"/>
                    <w:right w:val="none" w:sz="0" w:space="0" w:color="auto"/>
                  </w:divBdr>
                  <w:divsChild>
                    <w:div w:id="1707027439">
                      <w:marLeft w:val="0"/>
                      <w:marRight w:val="0"/>
                      <w:marTop w:val="0"/>
                      <w:marBottom w:val="0"/>
                      <w:divBdr>
                        <w:top w:val="none" w:sz="0" w:space="0" w:color="auto"/>
                        <w:left w:val="none" w:sz="0" w:space="0" w:color="auto"/>
                        <w:bottom w:val="none" w:sz="0" w:space="0" w:color="auto"/>
                        <w:right w:val="none" w:sz="0" w:space="0" w:color="auto"/>
                      </w:divBdr>
                      <w:divsChild>
                        <w:div w:id="324626302">
                          <w:marLeft w:val="0"/>
                          <w:marRight w:val="0"/>
                          <w:marTop w:val="0"/>
                          <w:marBottom w:val="0"/>
                          <w:divBdr>
                            <w:top w:val="none" w:sz="0" w:space="0" w:color="auto"/>
                            <w:left w:val="none" w:sz="0" w:space="0" w:color="auto"/>
                            <w:bottom w:val="none" w:sz="0" w:space="0" w:color="auto"/>
                            <w:right w:val="none" w:sz="0" w:space="0" w:color="auto"/>
                          </w:divBdr>
                          <w:divsChild>
                            <w:div w:id="242032893">
                              <w:marLeft w:val="0"/>
                              <w:marRight w:val="0"/>
                              <w:marTop w:val="0"/>
                              <w:marBottom w:val="0"/>
                              <w:divBdr>
                                <w:top w:val="none" w:sz="0" w:space="0" w:color="auto"/>
                                <w:left w:val="none" w:sz="0" w:space="0" w:color="auto"/>
                                <w:bottom w:val="none" w:sz="0" w:space="0" w:color="auto"/>
                                <w:right w:val="none" w:sz="0" w:space="0" w:color="auto"/>
                              </w:divBdr>
                              <w:divsChild>
                                <w:div w:id="4648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677401">
          <w:marLeft w:val="0"/>
          <w:marRight w:val="0"/>
          <w:marTop w:val="0"/>
          <w:marBottom w:val="0"/>
          <w:divBdr>
            <w:top w:val="none" w:sz="0" w:space="0" w:color="auto"/>
            <w:left w:val="none" w:sz="0" w:space="0" w:color="auto"/>
            <w:bottom w:val="none" w:sz="0" w:space="0" w:color="auto"/>
            <w:right w:val="none" w:sz="0" w:space="0" w:color="auto"/>
          </w:divBdr>
          <w:divsChild>
            <w:div w:id="1771662518">
              <w:marLeft w:val="0"/>
              <w:marRight w:val="0"/>
              <w:marTop w:val="0"/>
              <w:marBottom w:val="0"/>
              <w:divBdr>
                <w:top w:val="none" w:sz="0" w:space="0" w:color="auto"/>
                <w:left w:val="none" w:sz="0" w:space="0" w:color="auto"/>
                <w:bottom w:val="none" w:sz="0" w:space="0" w:color="auto"/>
                <w:right w:val="none" w:sz="0" w:space="0" w:color="auto"/>
              </w:divBdr>
              <w:divsChild>
                <w:div w:id="1259869875">
                  <w:marLeft w:val="0"/>
                  <w:marRight w:val="0"/>
                  <w:marTop w:val="0"/>
                  <w:marBottom w:val="0"/>
                  <w:divBdr>
                    <w:top w:val="none" w:sz="0" w:space="0" w:color="auto"/>
                    <w:left w:val="none" w:sz="0" w:space="0" w:color="auto"/>
                    <w:bottom w:val="none" w:sz="0" w:space="0" w:color="auto"/>
                    <w:right w:val="none" w:sz="0" w:space="0" w:color="auto"/>
                  </w:divBdr>
                  <w:divsChild>
                    <w:div w:id="1902979644">
                      <w:marLeft w:val="0"/>
                      <w:marRight w:val="0"/>
                      <w:marTop w:val="0"/>
                      <w:marBottom w:val="0"/>
                      <w:divBdr>
                        <w:top w:val="none" w:sz="0" w:space="0" w:color="auto"/>
                        <w:left w:val="none" w:sz="0" w:space="0" w:color="auto"/>
                        <w:bottom w:val="none" w:sz="0" w:space="0" w:color="auto"/>
                        <w:right w:val="none" w:sz="0" w:space="0" w:color="auto"/>
                      </w:divBdr>
                      <w:divsChild>
                        <w:div w:id="1284262923">
                          <w:marLeft w:val="0"/>
                          <w:marRight w:val="0"/>
                          <w:marTop w:val="0"/>
                          <w:marBottom w:val="0"/>
                          <w:divBdr>
                            <w:top w:val="none" w:sz="0" w:space="0" w:color="auto"/>
                            <w:left w:val="none" w:sz="0" w:space="0" w:color="auto"/>
                            <w:bottom w:val="none" w:sz="0" w:space="0" w:color="auto"/>
                            <w:right w:val="none" w:sz="0" w:space="0" w:color="auto"/>
                          </w:divBdr>
                          <w:divsChild>
                            <w:div w:id="510412653">
                              <w:marLeft w:val="0"/>
                              <w:marRight w:val="0"/>
                              <w:marTop w:val="0"/>
                              <w:marBottom w:val="0"/>
                              <w:divBdr>
                                <w:top w:val="none" w:sz="0" w:space="0" w:color="auto"/>
                                <w:left w:val="none" w:sz="0" w:space="0" w:color="auto"/>
                                <w:bottom w:val="none" w:sz="0" w:space="0" w:color="auto"/>
                                <w:right w:val="none" w:sz="0" w:space="0" w:color="auto"/>
                              </w:divBdr>
                              <w:divsChild>
                                <w:div w:id="2090613014">
                                  <w:marLeft w:val="0"/>
                                  <w:marRight w:val="0"/>
                                  <w:marTop w:val="0"/>
                                  <w:marBottom w:val="0"/>
                                  <w:divBdr>
                                    <w:top w:val="none" w:sz="0" w:space="0" w:color="auto"/>
                                    <w:left w:val="none" w:sz="0" w:space="0" w:color="auto"/>
                                    <w:bottom w:val="none" w:sz="0" w:space="0" w:color="auto"/>
                                    <w:right w:val="none" w:sz="0" w:space="0" w:color="auto"/>
                                  </w:divBdr>
                                  <w:divsChild>
                                    <w:div w:id="1992521296">
                                      <w:marLeft w:val="0"/>
                                      <w:marRight w:val="0"/>
                                      <w:marTop w:val="0"/>
                                      <w:marBottom w:val="0"/>
                                      <w:divBdr>
                                        <w:top w:val="none" w:sz="0" w:space="0" w:color="auto"/>
                                        <w:left w:val="none" w:sz="0" w:space="0" w:color="auto"/>
                                        <w:bottom w:val="none" w:sz="0" w:space="0" w:color="auto"/>
                                        <w:right w:val="none" w:sz="0" w:space="0" w:color="auto"/>
                                      </w:divBdr>
                                      <w:divsChild>
                                        <w:div w:id="314648914">
                                          <w:marLeft w:val="0"/>
                                          <w:marRight w:val="0"/>
                                          <w:marTop w:val="0"/>
                                          <w:marBottom w:val="0"/>
                                          <w:divBdr>
                                            <w:top w:val="none" w:sz="0" w:space="0" w:color="auto"/>
                                            <w:left w:val="none" w:sz="0" w:space="0" w:color="auto"/>
                                            <w:bottom w:val="none" w:sz="0" w:space="0" w:color="auto"/>
                                            <w:right w:val="none" w:sz="0" w:space="0" w:color="auto"/>
                                          </w:divBdr>
                                        </w:div>
                                        <w:div w:id="321743766">
                                          <w:marLeft w:val="0"/>
                                          <w:marRight w:val="0"/>
                                          <w:marTop w:val="0"/>
                                          <w:marBottom w:val="0"/>
                                          <w:divBdr>
                                            <w:top w:val="none" w:sz="0" w:space="0" w:color="auto"/>
                                            <w:left w:val="none" w:sz="0" w:space="0" w:color="auto"/>
                                            <w:bottom w:val="none" w:sz="0" w:space="0" w:color="auto"/>
                                            <w:right w:val="none" w:sz="0" w:space="0" w:color="auto"/>
                                          </w:divBdr>
                                          <w:divsChild>
                                            <w:div w:id="442263139">
                                              <w:marLeft w:val="0"/>
                                              <w:marRight w:val="0"/>
                                              <w:marTop w:val="0"/>
                                              <w:marBottom w:val="0"/>
                                              <w:divBdr>
                                                <w:top w:val="none" w:sz="0" w:space="0" w:color="auto"/>
                                                <w:left w:val="none" w:sz="0" w:space="0" w:color="auto"/>
                                                <w:bottom w:val="none" w:sz="0" w:space="0" w:color="auto"/>
                                                <w:right w:val="none" w:sz="0" w:space="0" w:color="auto"/>
                                              </w:divBdr>
                                              <w:divsChild>
                                                <w:div w:id="653528679">
                                                  <w:marLeft w:val="0"/>
                                                  <w:marRight w:val="0"/>
                                                  <w:marTop w:val="0"/>
                                                  <w:marBottom w:val="0"/>
                                                  <w:divBdr>
                                                    <w:top w:val="none" w:sz="0" w:space="0" w:color="auto"/>
                                                    <w:left w:val="none" w:sz="0" w:space="0" w:color="auto"/>
                                                    <w:bottom w:val="none" w:sz="0" w:space="0" w:color="auto"/>
                                                    <w:right w:val="none" w:sz="0" w:space="0" w:color="auto"/>
                                                  </w:divBdr>
                                                  <w:divsChild>
                                                    <w:div w:id="2028409294">
                                                      <w:marLeft w:val="0"/>
                                                      <w:marRight w:val="0"/>
                                                      <w:marTop w:val="0"/>
                                                      <w:marBottom w:val="0"/>
                                                      <w:divBdr>
                                                        <w:top w:val="none" w:sz="0" w:space="0" w:color="auto"/>
                                                        <w:left w:val="none" w:sz="0" w:space="0" w:color="auto"/>
                                                        <w:bottom w:val="none" w:sz="0" w:space="0" w:color="auto"/>
                                                        <w:right w:val="none" w:sz="0" w:space="0" w:color="auto"/>
                                                      </w:divBdr>
                                                      <w:divsChild>
                                                        <w:div w:id="727844922">
                                                          <w:marLeft w:val="0"/>
                                                          <w:marRight w:val="0"/>
                                                          <w:marTop w:val="0"/>
                                                          <w:marBottom w:val="0"/>
                                                          <w:divBdr>
                                                            <w:top w:val="none" w:sz="0" w:space="0" w:color="auto"/>
                                                            <w:left w:val="none" w:sz="0" w:space="0" w:color="auto"/>
                                                            <w:bottom w:val="none" w:sz="0" w:space="0" w:color="auto"/>
                                                            <w:right w:val="none" w:sz="0" w:space="0" w:color="auto"/>
                                                          </w:divBdr>
                                                          <w:divsChild>
                                                            <w:div w:id="824277852">
                                                              <w:marLeft w:val="0"/>
                                                              <w:marRight w:val="0"/>
                                                              <w:marTop w:val="0"/>
                                                              <w:marBottom w:val="0"/>
                                                              <w:divBdr>
                                                                <w:top w:val="none" w:sz="0" w:space="0" w:color="auto"/>
                                                                <w:left w:val="none" w:sz="0" w:space="0" w:color="auto"/>
                                                                <w:bottom w:val="none" w:sz="0" w:space="0" w:color="auto"/>
                                                                <w:right w:val="none" w:sz="0" w:space="0" w:color="auto"/>
                                                              </w:divBdr>
                                                              <w:divsChild>
                                                                <w:div w:id="495195265">
                                                                  <w:marLeft w:val="0"/>
                                                                  <w:marRight w:val="0"/>
                                                                  <w:marTop w:val="0"/>
                                                                  <w:marBottom w:val="0"/>
                                                                  <w:divBdr>
                                                                    <w:top w:val="none" w:sz="0" w:space="0" w:color="auto"/>
                                                                    <w:left w:val="none" w:sz="0" w:space="0" w:color="auto"/>
                                                                    <w:bottom w:val="none" w:sz="0" w:space="0" w:color="auto"/>
                                                                    <w:right w:val="none" w:sz="0" w:space="0" w:color="auto"/>
                                                                  </w:divBdr>
                                                                  <w:divsChild>
                                                                    <w:div w:id="1156339769">
                                                                      <w:marLeft w:val="0"/>
                                                                      <w:marRight w:val="0"/>
                                                                      <w:marTop w:val="0"/>
                                                                      <w:marBottom w:val="0"/>
                                                                      <w:divBdr>
                                                                        <w:top w:val="none" w:sz="0" w:space="0" w:color="auto"/>
                                                                        <w:left w:val="none" w:sz="0" w:space="0" w:color="auto"/>
                                                                        <w:bottom w:val="none" w:sz="0" w:space="0" w:color="auto"/>
                                                                        <w:right w:val="none" w:sz="0" w:space="0" w:color="auto"/>
                                                                      </w:divBdr>
                                                                      <w:divsChild>
                                                                        <w:div w:id="220754500">
                                                                          <w:marLeft w:val="0"/>
                                                                          <w:marRight w:val="0"/>
                                                                          <w:marTop w:val="0"/>
                                                                          <w:marBottom w:val="0"/>
                                                                          <w:divBdr>
                                                                            <w:top w:val="none" w:sz="0" w:space="0" w:color="auto"/>
                                                                            <w:left w:val="none" w:sz="0" w:space="0" w:color="auto"/>
                                                                            <w:bottom w:val="none" w:sz="0" w:space="0" w:color="auto"/>
                                                                            <w:right w:val="none" w:sz="0" w:space="0" w:color="auto"/>
                                                                          </w:divBdr>
                                                                          <w:divsChild>
                                                                            <w:div w:id="1677272458">
                                                                              <w:marLeft w:val="0"/>
                                                                              <w:marRight w:val="0"/>
                                                                              <w:marTop w:val="0"/>
                                                                              <w:marBottom w:val="0"/>
                                                                              <w:divBdr>
                                                                                <w:top w:val="none" w:sz="0" w:space="0" w:color="auto"/>
                                                                                <w:left w:val="none" w:sz="0" w:space="0" w:color="auto"/>
                                                                                <w:bottom w:val="none" w:sz="0" w:space="0" w:color="auto"/>
                                                                                <w:right w:val="none" w:sz="0" w:space="0" w:color="auto"/>
                                                                              </w:divBdr>
                                                                              <w:divsChild>
                                                                                <w:div w:id="1988047540">
                                                                                  <w:marLeft w:val="0"/>
                                                                                  <w:marRight w:val="0"/>
                                                                                  <w:marTop w:val="0"/>
                                                                                  <w:marBottom w:val="0"/>
                                                                                  <w:divBdr>
                                                                                    <w:top w:val="none" w:sz="0" w:space="0" w:color="auto"/>
                                                                                    <w:left w:val="none" w:sz="0" w:space="0" w:color="auto"/>
                                                                                    <w:bottom w:val="none" w:sz="0" w:space="0" w:color="auto"/>
                                                                                    <w:right w:val="none" w:sz="0" w:space="0" w:color="auto"/>
                                                                                  </w:divBdr>
                                                                                  <w:divsChild>
                                                                                    <w:div w:id="1264805314">
                                                                                      <w:marLeft w:val="0"/>
                                                                                      <w:marRight w:val="0"/>
                                                                                      <w:marTop w:val="0"/>
                                                                                      <w:marBottom w:val="0"/>
                                                                                      <w:divBdr>
                                                                                        <w:top w:val="none" w:sz="0" w:space="0" w:color="auto"/>
                                                                                        <w:left w:val="none" w:sz="0" w:space="0" w:color="auto"/>
                                                                                        <w:bottom w:val="none" w:sz="0" w:space="0" w:color="auto"/>
                                                                                        <w:right w:val="none" w:sz="0" w:space="0" w:color="auto"/>
                                                                                      </w:divBdr>
                                                                                      <w:divsChild>
                                                                                        <w:div w:id="1773277267">
                                                                                          <w:marLeft w:val="0"/>
                                                                                          <w:marRight w:val="0"/>
                                                                                          <w:marTop w:val="0"/>
                                                                                          <w:marBottom w:val="0"/>
                                                                                          <w:divBdr>
                                                                                            <w:top w:val="none" w:sz="0" w:space="0" w:color="auto"/>
                                                                                            <w:left w:val="none" w:sz="0" w:space="0" w:color="auto"/>
                                                                                            <w:bottom w:val="none" w:sz="0" w:space="0" w:color="auto"/>
                                                                                            <w:right w:val="none" w:sz="0" w:space="0" w:color="auto"/>
                                                                                          </w:divBdr>
                                                                                          <w:divsChild>
                                                                                            <w:div w:id="1280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8193">
                                                                                  <w:marLeft w:val="0"/>
                                                                                  <w:marRight w:val="0"/>
                                                                                  <w:marTop w:val="0"/>
                                                                                  <w:marBottom w:val="0"/>
                                                                                  <w:divBdr>
                                                                                    <w:top w:val="none" w:sz="0" w:space="0" w:color="auto"/>
                                                                                    <w:left w:val="none" w:sz="0" w:space="0" w:color="auto"/>
                                                                                    <w:bottom w:val="none" w:sz="0" w:space="0" w:color="auto"/>
                                                                                    <w:right w:val="none" w:sz="0" w:space="0" w:color="auto"/>
                                                                                  </w:divBdr>
                                                                                </w:div>
                                                                              </w:divsChild>
                                                                            </w:div>
                                                                            <w:div w:id="1581678087">
                                                                              <w:marLeft w:val="0"/>
                                                                              <w:marRight w:val="0"/>
                                                                              <w:marTop w:val="0"/>
                                                                              <w:marBottom w:val="0"/>
                                                                              <w:divBdr>
                                                                                <w:top w:val="none" w:sz="0" w:space="0" w:color="auto"/>
                                                                                <w:left w:val="none" w:sz="0" w:space="0" w:color="auto"/>
                                                                                <w:bottom w:val="none" w:sz="0" w:space="0" w:color="auto"/>
                                                                                <w:right w:val="none" w:sz="0" w:space="0" w:color="auto"/>
                                                                              </w:divBdr>
                                                                              <w:divsChild>
                                                                                <w:div w:id="7379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7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6281">
                                                  <w:marLeft w:val="0"/>
                                                  <w:marRight w:val="0"/>
                                                  <w:marTop w:val="0"/>
                                                  <w:marBottom w:val="0"/>
                                                  <w:divBdr>
                                                    <w:top w:val="none" w:sz="0" w:space="0" w:color="auto"/>
                                                    <w:left w:val="none" w:sz="0" w:space="0" w:color="auto"/>
                                                    <w:bottom w:val="none" w:sz="0" w:space="0" w:color="auto"/>
                                                    <w:right w:val="none" w:sz="0" w:space="0" w:color="auto"/>
                                                  </w:divBdr>
                                                  <w:divsChild>
                                                    <w:div w:id="441192167">
                                                      <w:marLeft w:val="0"/>
                                                      <w:marRight w:val="0"/>
                                                      <w:marTop w:val="0"/>
                                                      <w:marBottom w:val="0"/>
                                                      <w:divBdr>
                                                        <w:top w:val="none" w:sz="0" w:space="0" w:color="auto"/>
                                                        <w:left w:val="none" w:sz="0" w:space="0" w:color="auto"/>
                                                        <w:bottom w:val="none" w:sz="0" w:space="0" w:color="auto"/>
                                                        <w:right w:val="none" w:sz="0" w:space="0" w:color="auto"/>
                                                      </w:divBdr>
                                                    </w:div>
                                                    <w:div w:id="10512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030412">
          <w:marLeft w:val="0"/>
          <w:marRight w:val="0"/>
          <w:marTop w:val="0"/>
          <w:marBottom w:val="0"/>
          <w:divBdr>
            <w:top w:val="none" w:sz="0" w:space="0" w:color="auto"/>
            <w:left w:val="none" w:sz="0" w:space="0" w:color="auto"/>
            <w:bottom w:val="none" w:sz="0" w:space="0" w:color="auto"/>
            <w:right w:val="none" w:sz="0" w:space="0" w:color="auto"/>
          </w:divBdr>
          <w:divsChild>
            <w:div w:id="349068849">
              <w:marLeft w:val="0"/>
              <w:marRight w:val="0"/>
              <w:marTop w:val="0"/>
              <w:marBottom w:val="0"/>
              <w:divBdr>
                <w:top w:val="none" w:sz="0" w:space="0" w:color="auto"/>
                <w:left w:val="none" w:sz="0" w:space="0" w:color="auto"/>
                <w:bottom w:val="none" w:sz="0" w:space="0" w:color="auto"/>
                <w:right w:val="none" w:sz="0" w:space="0" w:color="auto"/>
              </w:divBdr>
              <w:divsChild>
                <w:div w:id="1384792142">
                  <w:marLeft w:val="0"/>
                  <w:marRight w:val="0"/>
                  <w:marTop w:val="0"/>
                  <w:marBottom w:val="0"/>
                  <w:divBdr>
                    <w:top w:val="none" w:sz="0" w:space="0" w:color="auto"/>
                    <w:left w:val="none" w:sz="0" w:space="0" w:color="auto"/>
                    <w:bottom w:val="none" w:sz="0" w:space="0" w:color="auto"/>
                    <w:right w:val="none" w:sz="0" w:space="0" w:color="auto"/>
                  </w:divBdr>
                  <w:divsChild>
                    <w:div w:id="2121680613">
                      <w:marLeft w:val="0"/>
                      <w:marRight w:val="0"/>
                      <w:marTop w:val="0"/>
                      <w:marBottom w:val="0"/>
                      <w:divBdr>
                        <w:top w:val="none" w:sz="0" w:space="0" w:color="auto"/>
                        <w:left w:val="none" w:sz="0" w:space="0" w:color="auto"/>
                        <w:bottom w:val="none" w:sz="0" w:space="0" w:color="auto"/>
                        <w:right w:val="none" w:sz="0" w:space="0" w:color="auto"/>
                      </w:divBdr>
                      <w:divsChild>
                        <w:div w:id="712386189">
                          <w:marLeft w:val="0"/>
                          <w:marRight w:val="0"/>
                          <w:marTop w:val="0"/>
                          <w:marBottom w:val="0"/>
                          <w:divBdr>
                            <w:top w:val="none" w:sz="0" w:space="0" w:color="auto"/>
                            <w:left w:val="none" w:sz="0" w:space="0" w:color="auto"/>
                            <w:bottom w:val="none" w:sz="0" w:space="0" w:color="auto"/>
                            <w:right w:val="none" w:sz="0" w:space="0" w:color="auto"/>
                          </w:divBdr>
                          <w:divsChild>
                            <w:div w:id="2108965570">
                              <w:marLeft w:val="0"/>
                              <w:marRight w:val="0"/>
                              <w:marTop w:val="0"/>
                              <w:marBottom w:val="0"/>
                              <w:divBdr>
                                <w:top w:val="none" w:sz="0" w:space="0" w:color="auto"/>
                                <w:left w:val="none" w:sz="0" w:space="0" w:color="auto"/>
                                <w:bottom w:val="none" w:sz="0" w:space="0" w:color="auto"/>
                                <w:right w:val="none" w:sz="0" w:space="0" w:color="auto"/>
                              </w:divBdr>
                              <w:divsChild>
                                <w:div w:id="1544564196">
                                  <w:marLeft w:val="0"/>
                                  <w:marRight w:val="0"/>
                                  <w:marTop w:val="0"/>
                                  <w:marBottom w:val="0"/>
                                  <w:divBdr>
                                    <w:top w:val="none" w:sz="0" w:space="0" w:color="auto"/>
                                    <w:left w:val="none" w:sz="0" w:space="0" w:color="auto"/>
                                    <w:bottom w:val="none" w:sz="0" w:space="0" w:color="auto"/>
                                    <w:right w:val="none" w:sz="0" w:space="0" w:color="auto"/>
                                  </w:divBdr>
                                  <w:divsChild>
                                    <w:div w:id="928196436">
                                      <w:marLeft w:val="0"/>
                                      <w:marRight w:val="0"/>
                                      <w:marTop w:val="0"/>
                                      <w:marBottom w:val="0"/>
                                      <w:divBdr>
                                        <w:top w:val="none" w:sz="0" w:space="0" w:color="auto"/>
                                        <w:left w:val="none" w:sz="0" w:space="0" w:color="auto"/>
                                        <w:bottom w:val="none" w:sz="0" w:space="0" w:color="auto"/>
                                        <w:right w:val="none" w:sz="0" w:space="0" w:color="auto"/>
                                      </w:divBdr>
                                      <w:divsChild>
                                        <w:div w:id="406922036">
                                          <w:marLeft w:val="0"/>
                                          <w:marRight w:val="0"/>
                                          <w:marTop w:val="0"/>
                                          <w:marBottom w:val="0"/>
                                          <w:divBdr>
                                            <w:top w:val="none" w:sz="0" w:space="0" w:color="auto"/>
                                            <w:left w:val="none" w:sz="0" w:space="0" w:color="auto"/>
                                            <w:bottom w:val="none" w:sz="0" w:space="0" w:color="auto"/>
                                            <w:right w:val="none" w:sz="0" w:space="0" w:color="auto"/>
                                          </w:divBdr>
                                        </w:div>
                                        <w:div w:id="2051370367">
                                          <w:marLeft w:val="0"/>
                                          <w:marRight w:val="0"/>
                                          <w:marTop w:val="0"/>
                                          <w:marBottom w:val="0"/>
                                          <w:divBdr>
                                            <w:top w:val="none" w:sz="0" w:space="0" w:color="auto"/>
                                            <w:left w:val="none" w:sz="0" w:space="0" w:color="auto"/>
                                            <w:bottom w:val="none" w:sz="0" w:space="0" w:color="auto"/>
                                            <w:right w:val="none" w:sz="0" w:space="0" w:color="auto"/>
                                          </w:divBdr>
                                          <w:divsChild>
                                            <w:div w:id="264848762">
                                              <w:marLeft w:val="0"/>
                                              <w:marRight w:val="0"/>
                                              <w:marTop w:val="0"/>
                                              <w:marBottom w:val="0"/>
                                              <w:divBdr>
                                                <w:top w:val="none" w:sz="0" w:space="0" w:color="auto"/>
                                                <w:left w:val="none" w:sz="0" w:space="0" w:color="auto"/>
                                                <w:bottom w:val="none" w:sz="0" w:space="0" w:color="auto"/>
                                                <w:right w:val="none" w:sz="0" w:space="0" w:color="auto"/>
                                              </w:divBdr>
                                              <w:divsChild>
                                                <w:div w:id="465901982">
                                                  <w:marLeft w:val="0"/>
                                                  <w:marRight w:val="0"/>
                                                  <w:marTop w:val="0"/>
                                                  <w:marBottom w:val="0"/>
                                                  <w:divBdr>
                                                    <w:top w:val="none" w:sz="0" w:space="0" w:color="auto"/>
                                                    <w:left w:val="none" w:sz="0" w:space="0" w:color="auto"/>
                                                    <w:bottom w:val="none" w:sz="0" w:space="0" w:color="auto"/>
                                                    <w:right w:val="none" w:sz="0" w:space="0" w:color="auto"/>
                                                  </w:divBdr>
                                                  <w:divsChild>
                                                    <w:div w:id="595359009">
                                                      <w:marLeft w:val="0"/>
                                                      <w:marRight w:val="0"/>
                                                      <w:marTop w:val="0"/>
                                                      <w:marBottom w:val="0"/>
                                                      <w:divBdr>
                                                        <w:top w:val="none" w:sz="0" w:space="0" w:color="auto"/>
                                                        <w:left w:val="none" w:sz="0" w:space="0" w:color="auto"/>
                                                        <w:bottom w:val="none" w:sz="0" w:space="0" w:color="auto"/>
                                                        <w:right w:val="none" w:sz="0" w:space="0" w:color="auto"/>
                                                      </w:divBdr>
                                                      <w:divsChild>
                                                        <w:div w:id="1938829606">
                                                          <w:marLeft w:val="0"/>
                                                          <w:marRight w:val="0"/>
                                                          <w:marTop w:val="0"/>
                                                          <w:marBottom w:val="0"/>
                                                          <w:divBdr>
                                                            <w:top w:val="none" w:sz="0" w:space="0" w:color="auto"/>
                                                            <w:left w:val="none" w:sz="0" w:space="0" w:color="auto"/>
                                                            <w:bottom w:val="none" w:sz="0" w:space="0" w:color="auto"/>
                                                            <w:right w:val="none" w:sz="0" w:space="0" w:color="auto"/>
                                                          </w:divBdr>
                                                          <w:divsChild>
                                                            <w:div w:id="1729648285">
                                                              <w:marLeft w:val="0"/>
                                                              <w:marRight w:val="0"/>
                                                              <w:marTop w:val="0"/>
                                                              <w:marBottom w:val="0"/>
                                                              <w:divBdr>
                                                                <w:top w:val="none" w:sz="0" w:space="0" w:color="auto"/>
                                                                <w:left w:val="none" w:sz="0" w:space="0" w:color="auto"/>
                                                                <w:bottom w:val="none" w:sz="0" w:space="0" w:color="auto"/>
                                                                <w:right w:val="none" w:sz="0" w:space="0" w:color="auto"/>
                                                              </w:divBdr>
                                                              <w:divsChild>
                                                                <w:div w:id="2076391117">
                                                                  <w:marLeft w:val="0"/>
                                                                  <w:marRight w:val="0"/>
                                                                  <w:marTop w:val="0"/>
                                                                  <w:marBottom w:val="0"/>
                                                                  <w:divBdr>
                                                                    <w:top w:val="none" w:sz="0" w:space="0" w:color="auto"/>
                                                                    <w:left w:val="none" w:sz="0" w:space="0" w:color="auto"/>
                                                                    <w:bottom w:val="none" w:sz="0" w:space="0" w:color="auto"/>
                                                                    <w:right w:val="none" w:sz="0" w:space="0" w:color="auto"/>
                                                                  </w:divBdr>
                                                                  <w:divsChild>
                                                                    <w:div w:id="745230415">
                                                                      <w:marLeft w:val="0"/>
                                                                      <w:marRight w:val="0"/>
                                                                      <w:marTop w:val="0"/>
                                                                      <w:marBottom w:val="0"/>
                                                                      <w:divBdr>
                                                                        <w:top w:val="none" w:sz="0" w:space="0" w:color="auto"/>
                                                                        <w:left w:val="none" w:sz="0" w:space="0" w:color="auto"/>
                                                                        <w:bottom w:val="none" w:sz="0" w:space="0" w:color="auto"/>
                                                                        <w:right w:val="none" w:sz="0" w:space="0" w:color="auto"/>
                                                                      </w:divBdr>
                                                                      <w:divsChild>
                                                                        <w:div w:id="1925072105">
                                                                          <w:marLeft w:val="0"/>
                                                                          <w:marRight w:val="0"/>
                                                                          <w:marTop w:val="0"/>
                                                                          <w:marBottom w:val="0"/>
                                                                          <w:divBdr>
                                                                            <w:top w:val="none" w:sz="0" w:space="0" w:color="auto"/>
                                                                            <w:left w:val="none" w:sz="0" w:space="0" w:color="auto"/>
                                                                            <w:bottom w:val="none" w:sz="0" w:space="0" w:color="auto"/>
                                                                            <w:right w:val="none" w:sz="0" w:space="0" w:color="auto"/>
                                                                          </w:divBdr>
                                                                          <w:divsChild>
                                                                            <w:div w:id="122890815">
                                                                              <w:marLeft w:val="0"/>
                                                                              <w:marRight w:val="0"/>
                                                                              <w:marTop w:val="0"/>
                                                                              <w:marBottom w:val="0"/>
                                                                              <w:divBdr>
                                                                                <w:top w:val="none" w:sz="0" w:space="0" w:color="auto"/>
                                                                                <w:left w:val="none" w:sz="0" w:space="0" w:color="auto"/>
                                                                                <w:bottom w:val="none" w:sz="0" w:space="0" w:color="auto"/>
                                                                                <w:right w:val="none" w:sz="0" w:space="0" w:color="auto"/>
                                                                              </w:divBdr>
                                                                              <w:divsChild>
                                                                                <w:div w:id="368147954">
                                                                                  <w:marLeft w:val="0"/>
                                                                                  <w:marRight w:val="0"/>
                                                                                  <w:marTop w:val="0"/>
                                                                                  <w:marBottom w:val="0"/>
                                                                                  <w:divBdr>
                                                                                    <w:top w:val="none" w:sz="0" w:space="0" w:color="auto"/>
                                                                                    <w:left w:val="none" w:sz="0" w:space="0" w:color="auto"/>
                                                                                    <w:bottom w:val="none" w:sz="0" w:space="0" w:color="auto"/>
                                                                                    <w:right w:val="none" w:sz="0" w:space="0" w:color="auto"/>
                                                                                  </w:divBdr>
                                                                                  <w:divsChild>
                                                                                    <w:div w:id="930315250">
                                                                                      <w:marLeft w:val="0"/>
                                                                                      <w:marRight w:val="0"/>
                                                                                      <w:marTop w:val="0"/>
                                                                                      <w:marBottom w:val="0"/>
                                                                                      <w:divBdr>
                                                                                        <w:top w:val="none" w:sz="0" w:space="0" w:color="auto"/>
                                                                                        <w:left w:val="none" w:sz="0" w:space="0" w:color="auto"/>
                                                                                        <w:bottom w:val="none" w:sz="0" w:space="0" w:color="auto"/>
                                                                                        <w:right w:val="none" w:sz="0" w:space="0" w:color="auto"/>
                                                                                      </w:divBdr>
                                                                                      <w:divsChild>
                                                                                        <w:div w:id="2091927475">
                                                                                          <w:marLeft w:val="0"/>
                                                                                          <w:marRight w:val="0"/>
                                                                                          <w:marTop w:val="0"/>
                                                                                          <w:marBottom w:val="0"/>
                                                                                          <w:divBdr>
                                                                                            <w:top w:val="none" w:sz="0" w:space="0" w:color="auto"/>
                                                                                            <w:left w:val="none" w:sz="0" w:space="0" w:color="auto"/>
                                                                                            <w:bottom w:val="none" w:sz="0" w:space="0" w:color="auto"/>
                                                                                            <w:right w:val="none" w:sz="0" w:space="0" w:color="auto"/>
                                                                                          </w:divBdr>
                                                                                          <w:divsChild>
                                                                                            <w:div w:id="2148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6512">
                                                                                  <w:marLeft w:val="0"/>
                                                                                  <w:marRight w:val="0"/>
                                                                                  <w:marTop w:val="0"/>
                                                                                  <w:marBottom w:val="0"/>
                                                                                  <w:divBdr>
                                                                                    <w:top w:val="none" w:sz="0" w:space="0" w:color="auto"/>
                                                                                    <w:left w:val="none" w:sz="0" w:space="0" w:color="auto"/>
                                                                                    <w:bottom w:val="none" w:sz="0" w:space="0" w:color="auto"/>
                                                                                    <w:right w:val="none" w:sz="0" w:space="0" w:color="auto"/>
                                                                                  </w:divBdr>
                                                                                </w:div>
                                                                              </w:divsChild>
                                                                            </w:div>
                                                                            <w:div w:id="383144008">
                                                                              <w:marLeft w:val="0"/>
                                                                              <w:marRight w:val="0"/>
                                                                              <w:marTop w:val="0"/>
                                                                              <w:marBottom w:val="0"/>
                                                                              <w:divBdr>
                                                                                <w:top w:val="none" w:sz="0" w:space="0" w:color="auto"/>
                                                                                <w:left w:val="none" w:sz="0" w:space="0" w:color="auto"/>
                                                                                <w:bottom w:val="none" w:sz="0" w:space="0" w:color="auto"/>
                                                                                <w:right w:val="none" w:sz="0" w:space="0" w:color="auto"/>
                                                                              </w:divBdr>
                                                                              <w:divsChild>
                                                                                <w:div w:id="14058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9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2233">
                                                  <w:marLeft w:val="0"/>
                                                  <w:marRight w:val="0"/>
                                                  <w:marTop w:val="0"/>
                                                  <w:marBottom w:val="0"/>
                                                  <w:divBdr>
                                                    <w:top w:val="none" w:sz="0" w:space="0" w:color="auto"/>
                                                    <w:left w:val="none" w:sz="0" w:space="0" w:color="auto"/>
                                                    <w:bottom w:val="none" w:sz="0" w:space="0" w:color="auto"/>
                                                    <w:right w:val="none" w:sz="0" w:space="0" w:color="auto"/>
                                                  </w:divBdr>
                                                  <w:divsChild>
                                                    <w:div w:id="14712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98241">
                                  <w:marLeft w:val="0"/>
                                  <w:marRight w:val="0"/>
                                  <w:marTop w:val="0"/>
                                  <w:marBottom w:val="0"/>
                                  <w:divBdr>
                                    <w:top w:val="none" w:sz="0" w:space="0" w:color="auto"/>
                                    <w:left w:val="none" w:sz="0" w:space="0" w:color="auto"/>
                                    <w:bottom w:val="none" w:sz="0" w:space="0" w:color="auto"/>
                                    <w:right w:val="none" w:sz="0" w:space="0" w:color="auto"/>
                                  </w:divBdr>
                                  <w:divsChild>
                                    <w:div w:id="1498032501">
                                      <w:marLeft w:val="0"/>
                                      <w:marRight w:val="0"/>
                                      <w:marTop w:val="0"/>
                                      <w:marBottom w:val="0"/>
                                      <w:divBdr>
                                        <w:top w:val="none" w:sz="0" w:space="0" w:color="auto"/>
                                        <w:left w:val="none" w:sz="0" w:space="0" w:color="auto"/>
                                        <w:bottom w:val="none" w:sz="0" w:space="0" w:color="auto"/>
                                        <w:right w:val="none" w:sz="0" w:space="0" w:color="auto"/>
                                      </w:divBdr>
                                      <w:divsChild>
                                        <w:div w:id="1742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38552">
          <w:marLeft w:val="0"/>
          <w:marRight w:val="0"/>
          <w:marTop w:val="0"/>
          <w:marBottom w:val="0"/>
          <w:divBdr>
            <w:top w:val="none" w:sz="0" w:space="0" w:color="auto"/>
            <w:left w:val="none" w:sz="0" w:space="0" w:color="auto"/>
            <w:bottom w:val="none" w:sz="0" w:space="0" w:color="auto"/>
            <w:right w:val="none" w:sz="0" w:space="0" w:color="auto"/>
          </w:divBdr>
          <w:divsChild>
            <w:div w:id="1038896224">
              <w:marLeft w:val="0"/>
              <w:marRight w:val="0"/>
              <w:marTop w:val="0"/>
              <w:marBottom w:val="0"/>
              <w:divBdr>
                <w:top w:val="none" w:sz="0" w:space="0" w:color="auto"/>
                <w:left w:val="none" w:sz="0" w:space="0" w:color="auto"/>
                <w:bottom w:val="none" w:sz="0" w:space="0" w:color="auto"/>
                <w:right w:val="none" w:sz="0" w:space="0" w:color="auto"/>
              </w:divBdr>
              <w:divsChild>
                <w:div w:id="2087652161">
                  <w:marLeft w:val="0"/>
                  <w:marRight w:val="0"/>
                  <w:marTop w:val="0"/>
                  <w:marBottom w:val="0"/>
                  <w:divBdr>
                    <w:top w:val="none" w:sz="0" w:space="0" w:color="auto"/>
                    <w:left w:val="none" w:sz="0" w:space="0" w:color="auto"/>
                    <w:bottom w:val="none" w:sz="0" w:space="0" w:color="auto"/>
                    <w:right w:val="none" w:sz="0" w:space="0" w:color="auto"/>
                  </w:divBdr>
                  <w:divsChild>
                    <w:div w:id="1305502303">
                      <w:marLeft w:val="0"/>
                      <w:marRight w:val="0"/>
                      <w:marTop w:val="0"/>
                      <w:marBottom w:val="0"/>
                      <w:divBdr>
                        <w:top w:val="none" w:sz="0" w:space="0" w:color="auto"/>
                        <w:left w:val="none" w:sz="0" w:space="0" w:color="auto"/>
                        <w:bottom w:val="none" w:sz="0" w:space="0" w:color="auto"/>
                        <w:right w:val="none" w:sz="0" w:space="0" w:color="auto"/>
                      </w:divBdr>
                      <w:divsChild>
                        <w:div w:id="128548091">
                          <w:marLeft w:val="0"/>
                          <w:marRight w:val="0"/>
                          <w:marTop w:val="0"/>
                          <w:marBottom w:val="0"/>
                          <w:divBdr>
                            <w:top w:val="none" w:sz="0" w:space="0" w:color="auto"/>
                            <w:left w:val="none" w:sz="0" w:space="0" w:color="auto"/>
                            <w:bottom w:val="none" w:sz="0" w:space="0" w:color="auto"/>
                            <w:right w:val="none" w:sz="0" w:space="0" w:color="auto"/>
                          </w:divBdr>
                          <w:divsChild>
                            <w:div w:id="406615192">
                              <w:marLeft w:val="0"/>
                              <w:marRight w:val="0"/>
                              <w:marTop w:val="0"/>
                              <w:marBottom w:val="0"/>
                              <w:divBdr>
                                <w:top w:val="none" w:sz="0" w:space="0" w:color="auto"/>
                                <w:left w:val="none" w:sz="0" w:space="0" w:color="auto"/>
                                <w:bottom w:val="none" w:sz="0" w:space="0" w:color="auto"/>
                                <w:right w:val="none" w:sz="0" w:space="0" w:color="auto"/>
                              </w:divBdr>
                              <w:divsChild>
                                <w:div w:id="1436631502">
                                  <w:marLeft w:val="0"/>
                                  <w:marRight w:val="0"/>
                                  <w:marTop w:val="0"/>
                                  <w:marBottom w:val="0"/>
                                  <w:divBdr>
                                    <w:top w:val="none" w:sz="0" w:space="0" w:color="auto"/>
                                    <w:left w:val="none" w:sz="0" w:space="0" w:color="auto"/>
                                    <w:bottom w:val="none" w:sz="0" w:space="0" w:color="auto"/>
                                    <w:right w:val="none" w:sz="0" w:space="0" w:color="auto"/>
                                  </w:divBdr>
                                  <w:divsChild>
                                    <w:div w:id="759717079">
                                      <w:marLeft w:val="0"/>
                                      <w:marRight w:val="0"/>
                                      <w:marTop w:val="0"/>
                                      <w:marBottom w:val="0"/>
                                      <w:divBdr>
                                        <w:top w:val="none" w:sz="0" w:space="0" w:color="auto"/>
                                        <w:left w:val="none" w:sz="0" w:space="0" w:color="auto"/>
                                        <w:bottom w:val="none" w:sz="0" w:space="0" w:color="auto"/>
                                        <w:right w:val="none" w:sz="0" w:space="0" w:color="auto"/>
                                      </w:divBdr>
                                      <w:divsChild>
                                        <w:div w:id="1876118490">
                                          <w:marLeft w:val="0"/>
                                          <w:marRight w:val="0"/>
                                          <w:marTop w:val="0"/>
                                          <w:marBottom w:val="0"/>
                                          <w:divBdr>
                                            <w:top w:val="none" w:sz="0" w:space="0" w:color="auto"/>
                                            <w:left w:val="none" w:sz="0" w:space="0" w:color="auto"/>
                                            <w:bottom w:val="none" w:sz="0" w:space="0" w:color="auto"/>
                                            <w:right w:val="none" w:sz="0" w:space="0" w:color="auto"/>
                                          </w:divBdr>
                                        </w:div>
                                        <w:div w:id="521089152">
                                          <w:marLeft w:val="0"/>
                                          <w:marRight w:val="0"/>
                                          <w:marTop w:val="0"/>
                                          <w:marBottom w:val="0"/>
                                          <w:divBdr>
                                            <w:top w:val="none" w:sz="0" w:space="0" w:color="auto"/>
                                            <w:left w:val="none" w:sz="0" w:space="0" w:color="auto"/>
                                            <w:bottom w:val="none" w:sz="0" w:space="0" w:color="auto"/>
                                            <w:right w:val="none" w:sz="0" w:space="0" w:color="auto"/>
                                          </w:divBdr>
                                          <w:divsChild>
                                            <w:div w:id="706176241">
                                              <w:marLeft w:val="0"/>
                                              <w:marRight w:val="0"/>
                                              <w:marTop w:val="0"/>
                                              <w:marBottom w:val="0"/>
                                              <w:divBdr>
                                                <w:top w:val="none" w:sz="0" w:space="0" w:color="auto"/>
                                                <w:left w:val="none" w:sz="0" w:space="0" w:color="auto"/>
                                                <w:bottom w:val="none" w:sz="0" w:space="0" w:color="auto"/>
                                                <w:right w:val="none" w:sz="0" w:space="0" w:color="auto"/>
                                              </w:divBdr>
                                              <w:divsChild>
                                                <w:div w:id="1203592144">
                                                  <w:marLeft w:val="0"/>
                                                  <w:marRight w:val="0"/>
                                                  <w:marTop w:val="0"/>
                                                  <w:marBottom w:val="0"/>
                                                  <w:divBdr>
                                                    <w:top w:val="none" w:sz="0" w:space="0" w:color="auto"/>
                                                    <w:left w:val="none" w:sz="0" w:space="0" w:color="auto"/>
                                                    <w:bottom w:val="none" w:sz="0" w:space="0" w:color="auto"/>
                                                    <w:right w:val="none" w:sz="0" w:space="0" w:color="auto"/>
                                                  </w:divBdr>
                                                  <w:divsChild>
                                                    <w:div w:id="685450548">
                                                      <w:marLeft w:val="0"/>
                                                      <w:marRight w:val="0"/>
                                                      <w:marTop w:val="0"/>
                                                      <w:marBottom w:val="0"/>
                                                      <w:divBdr>
                                                        <w:top w:val="none" w:sz="0" w:space="0" w:color="auto"/>
                                                        <w:left w:val="none" w:sz="0" w:space="0" w:color="auto"/>
                                                        <w:bottom w:val="none" w:sz="0" w:space="0" w:color="auto"/>
                                                        <w:right w:val="none" w:sz="0" w:space="0" w:color="auto"/>
                                                      </w:divBdr>
                                                      <w:divsChild>
                                                        <w:div w:id="928343164">
                                                          <w:marLeft w:val="0"/>
                                                          <w:marRight w:val="0"/>
                                                          <w:marTop w:val="0"/>
                                                          <w:marBottom w:val="0"/>
                                                          <w:divBdr>
                                                            <w:top w:val="none" w:sz="0" w:space="0" w:color="auto"/>
                                                            <w:left w:val="none" w:sz="0" w:space="0" w:color="auto"/>
                                                            <w:bottom w:val="none" w:sz="0" w:space="0" w:color="auto"/>
                                                            <w:right w:val="none" w:sz="0" w:space="0" w:color="auto"/>
                                                          </w:divBdr>
                                                          <w:divsChild>
                                                            <w:div w:id="15621141">
                                                              <w:marLeft w:val="0"/>
                                                              <w:marRight w:val="0"/>
                                                              <w:marTop w:val="0"/>
                                                              <w:marBottom w:val="0"/>
                                                              <w:divBdr>
                                                                <w:top w:val="none" w:sz="0" w:space="0" w:color="auto"/>
                                                                <w:left w:val="none" w:sz="0" w:space="0" w:color="auto"/>
                                                                <w:bottom w:val="none" w:sz="0" w:space="0" w:color="auto"/>
                                                                <w:right w:val="none" w:sz="0" w:space="0" w:color="auto"/>
                                                              </w:divBdr>
                                                              <w:divsChild>
                                                                <w:div w:id="1854146247">
                                                                  <w:marLeft w:val="0"/>
                                                                  <w:marRight w:val="0"/>
                                                                  <w:marTop w:val="0"/>
                                                                  <w:marBottom w:val="0"/>
                                                                  <w:divBdr>
                                                                    <w:top w:val="none" w:sz="0" w:space="0" w:color="auto"/>
                                                                    <w:left w:val="none" w:sz="0" w:space="0" w:color="auto"/>
                                                                    <w:bottom w:val="none" w:sz="0" w:space="0" w:color="auto"/>
                                                                    <w:right w:val="none" w:sz="0" w:space="0" w:color="auto"/>
                                                                  </w:divBdr>
                                                                  <w:divsChild>
                                                                    <w:div w:id="1892841086">
                                                                      <w:marLeft w:val="0"/>
                                                                      <w:marRight w:val="0"/>
                                                                      <w:marTop w:val="0"/>
                                                                      <w:marBottom w:val="0"/>
                                                                      <w:divBdr>
                                                                        <w:top w:val="none" w:sz="0" w:space="0" w:color="auto"/>
                                                                        <w:left w:val="none" w:sz="0" w:space="0" w:color="auto"/>
                                                                        <w:bottom w:val="none" w:sz="0" w:space="0" w:color="auto"/>
                                                                        <w:right w:val="none" w:sz="0" w:space="0" w:color="auto"/>
                                                                      </w:divBdr>
                                                                      <w:divsChild>
                                                                        <w:div w:id="2024477834">
                                                                          <w:marLeft w:val="0"/>
                                                                          <w:marRight w:val="0"/>
                                                                          <w:marTop w:val="0"/>
                                                                          <w:marBottom w:val="0"/>
                                                                          <w:divBdr>
                                                                            <w:top w:val="none" w:sz="0" w:space="0" w:color="auto"/>
                                                                            <w:left w:val="none" w:sz="0" w:space="0" w:color="auto"/>
                                                                            <w:bottom w:val="none" w:sz="0" w:space="0" w:color="auto"/>
                                                                            <w:right w:val="none" w:sz="0" w:space="0" w:color="auto"/>
                                                                          </w:divBdr>
                                                                          <w:divsChild>
                                                                            <w:div w:id="1297490564">
                                                                              <w:marLeft w:val="0"/>
                                                                              <w:marRight w:val="0"/>
                                                                              <w:marTop w:val="0"/>
                                                                              <w:marBottom w:val="0"/>
                                                                              <w:divBdr>
                                                                                <w:top w:val="none" w:sz="0" w:space="0" w:color="auto"/>
                                                                                <w:left w:val="none" w:sz="0" w:space="0" w:color="auto"/>
                                                                                <w:bottom w:val="none" w:sz="0" w:space="0" w:color="auto"/>
                                                                                <w:right w:val="none" w:sz="0" w:space="0" w:color="auto"/>
                                                                              </w:divBdr>
                                                                              <w:divsChild>
                                                                                <w:div w:id="724178877">
                                                                                  <w:marLeft w:val="0"/>
                                                                                  <w:marRight w:val="0"/>
                                                                                  <w:marTop w:val="0"/>
                                                                                  <w:marBottom w:val="0"/>
                                                                                  <w:divBdr>
                                                                                    <w:top w:val="none" w:sz="0" w:space="0" w:color="auto"/>
                                                                                    <w:left w:val="none" w:sz="0" w:space="0" w:color="auto"/>
                                                                                    <w:bottom w:val="none" w:sz="0" w:space="0" w:color="auto"/>
                                                                                    <w:right w:val="none" w:sz="0" w:space="0" w:color="auto"/>
                                                                                  </w:divBdr>
                                                                                  <w:divsChild>
                                                                                    <w:div w:id="2139684982">
                                                                                      <w:marLeft w:val="0"/>
                                                                                      <w:marRight w:val="0"/>
                                                                                      <w:marTop w:val="0"/>
                                                                                      <w:marBottom w:val="0"/>
                                                                                      <w:divBdr>
                                                                                        <w:top w:val="none" w:sz="0" w:space="0" w:color="auto"/>
                                                                                        <w:left w:val="none" w:sz="0" w:space="0" w:color="auto"/>
                                                                                        <w:bottom w:val="none" w:sz="0" w:space="0" w:color="auto"/>
                                                                                        <w:right w:val="none" w:sz="0" w:space="0" w:color="auto"/>
                                                                                      </w:divBdr>
                                                                                      <w:divsChild>
                                                                                        <w:div w:id="414864476">
                                                                                          <w:marLeft w:val="0"/>
                                                                                          <w:marRight w:val="0"/>
                                                                                          <w:marTop w:val="0"/>
                                                                                          <w:marBottom w:val="0"/>
                                                                                          <w:divBdr>
                                                                                            <w:top w:val="none" w:sz="0" w:space="0" w:color="auto"/>
                                                                                            <w:left w:val="none" w:sz="0" w:space="0" w:color="auto"/>
                                                                                            <w:bottom w:val="none" w:sz="0" w:space="0" w:color="auto"/>
                                                                                            <w:right w:val="none" w:sz="0" w:space="0" w:color="auto"/>
                                                                                          </w:divBdr>
                                                                                          <w:divsChild>
                                                                                            <w:div w:id="266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0857">
                                                                                  <w:marLeft w:val="0"/>
                                                                                  <w:marRight w:val="0"/>
                                                                                  <w:marTop w:val="0"/>
                                                                                  <w:marBottom w:val="0"/>
                                                                                  <w:divBdr>
                                                                                    <w:top w:val="none" w:sz="0" w:space="0" w:color="auto"/>
                                                                                    <w:left w:val="none" w:sz="0" w:space="0" w:color="auto"/>
                                                                                    <w:bottom w:val="none" w:sz="0" w:space="0" w:color="auto"/>
                                                                                    <w:right w:val="none" w:sz="0" w:space="0" w:color="auto"/>
                                                                                  </w:divBdr>
                                                                                </w:div>
                                                                              </w:divsChild>
                                                                            </w:div>
                                                                            <w:div w:id="399523390">
                                                                              <w:marLeft w:val="0"/>
                                                                              <w:marRight w:val="0"/>
                                                                              <w:marTop w:val="0"/>
                                                                              <w:marBottom w:val="0"/>
                                                                              <w:divBdr>
                                                                                <w:top w:val="none" w:sz="0" w:space="0" w:color="auto"/>
                                                                                <w:left w:val="none" w:sz="0" w:space="0" w:color="auto"/>
                                                                                <w:bottom w:val="none" w:sz="0" w:space="0" w:color="auto"/>
                                                                                <w:right w:val="none" w:sz="0" w:space="0" w:color="auto"/>
                                                                              </w:divBdr>
                                                                              <w:divsChild>
                                                                                <w:div w:id="8922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2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0192">
                                                  <w:marLeft w:val="0"/>
                                                  <w:marRight w:val="0"/>
                                                  <w:marTop w:val="0"/>
                                                  <w:marBottom w:val="0"/>
                                                  <w:divBdr>
                                                    <w:top w:val="none" w:sz="0" w:space="0" w:color="auto"/>
                                                    <w:left w:val="none" w:sz="0" w:space="0" w:color="auto"/>
                                                    <w:bottom w:val="none" w:sz="0" w:space="0" w:color="auto"/>
                                                    <w:right w:val="none" w:sz="0" w:space="0" w:color="auto"/>
                                                  </w:divBdr>
                                                  <w:divsChild>
                                                    <w:div w:id="15858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371324">
          <w:marLeft w:val="0"/>
          <w:marRight w:val="0"/>
          <w:marTop w:val="0"/>
          <w:marBottom w:val="0"/>
          <w:divBdr>
            <w:top w:val="none" w:sz="0" w:space="0" w:color="auto"/>
            <w:left w:val="none" w:sz="0" w:space="0" w:color="auto"/>
            <w:bottom w:val="none" w:sz="0" w:space="0" w:color="auto"/>
            <w:right w:val="none" w:sz="0" w:space="0" w:color="auto"/>
          </w:divBdr>
          <w:divsChild>
            <w:div w:id="1989901065">
              <w:marLeft w:val="0"/>
              <w:marRight w:val="0"/>
              <w:marTop w:val="0"/>
              <w:marBottom w:val="0"/>
              <w:divBdr>
                <w:top w:val="none" w:sz="0" w:space="0" w:color="auto"/>
                <w:left w:val="none" w:sz="0" w:space="0" w:color="auto"/>
                <w:bottom w:val="none" w:sz="0" w:space="0" w:color="auto"/>
                <w:right w:val="none" w:sz="0" w:space="0" w:color="auto"/>
              </w:divBdr>
              <w:divsChild>
                <w:div w:id="1880121857">
                  <w:marLeft w:val="0"/>
                  <w:marRight w:val="0"/>
                  <w:marTop w:val="0"/>
                  <w:marBottom w:val="0"/>
                  <w:divBdr>
                    <w:top w:val="none" w:sz="0" w:space="0" w:color="auto"/>
                    <w:left w:val="none" w:sz="0" w:space="0" w:color="auto"/>
                    <w:bottom w:val="none" w:sz="0" w:space="0" w:color="auto"/>
                    <w:right w:val="none" w:sz="0" w:space="0" w:color="auto"/>
                  </w:divBdr>
                  <w:divsChild>
                    <w:div w:id="1606107870">
                      <w:marLeft w:val="0"/>
                      <w:marRight w:val="0"/>
                      <w:marTop w:val="0"/>
                      <w:marBottom w:val="0"/>
                      <w:divBdr>
                        <w:top w:val="none" w:sz="0" w:space="0" w:color="auto"/>
                        <w:left w:val="none" w:sz="0" w:space="0" w:color="auto"/>
                        <w:bottom w:val="none" w:sz="0" w:space="0" w:color="auto"/>
                        <w:right w:val="none" w:sz="0" w:space="0" w:color="auto"/>
                      </w:divBdr>
                    </w:div>
                    <w:div w:id="1249801597">
                      <w:marLeft w:val="0"/>
                      <w:marRight w:val="0"/>
                      <w:marTop w:val="0"/>
                      <w:marBottom w:val="0"/>
                      <w:divBdr>
                        <w:top w:val="none" w:sz="0" w:space="0" w:color="auto"/>
                        <w:left w:val="none" w:sz="0" w:space="0" w:color="auto"/>
                        <w:bottom w:val="none" w:sz="0" w:space="0" w:color="auto"/>
                        <w:right w:val="none" w:sz="0" w:space="0" w:color="auto"/>
                      </w:divBdr>
                      <w:divsChild>
                        <w:div w:id="1222867715">
                          <w:marLeft w:val="0"/>
                          <w:marRight w:val="0"/>
                          <w:marTop w:val="0"/>
                          <w:marBottom w:val="0"/>
                          <w:divBdr>
                            <w:top w:val="none" w:sz="0" w:space="0" w:color="auto"/>
                            <w:left w:val="none" w:sz="0" w:space="0" w:color="auto"/>
                            <w:bottom w:val="none" w:sz="0" w:space="0" w:color="auto"/>
                            <w:right w:val="none" w:sz="0" w:space="0" w:color="auto"/>
                          </w:divBdr>
                          <w:divsChild>
                            <w:div w:id="1147361104">
                              <w:marLeft w:val="0"/>
                              <w:marRight w:val="0"/>
                              <w:marTop w:val="0"/>
                              <w:marBottom w:val="0"/>
                              <w:divBdr>
                                <w:top w:val="none" w:sz="0" w:space="0" w:color="auto"/>
                                <w:left w:val="none" w:sz="0" w:space="0" w:color="auto"/>
                                <w:bottom w:val="none" w:sz="0" w:space="0" w:color="auto"/>
                                <w:right w:val="none" w:sz="0" w:space="0" w:color="auto"/>
                              </w:divBdr>
                              <w:divsChild>
                                <w:div w:id="2103642708">
                                  <w:marLeft w:val="0"/>
                                  <w:marRight w:val="0"/>
                                  <w:marTop w:val="0"/>
                                  <w:marBottom w:val="0"/>
                                  <w:divBdr>
                                    <w:top w:val="none" w:sz="0" w:space="0" w:color="auto"/>
                                    <w:left w:val="none" w:sz="0" w:space="0" w:color="auto"/>
                                    <w:bottom w:val="none" w:sz="0" w:space="0" w:color="auto"/>
                                    <w:right w:val="none" w:sz="0" w:space="0" w:color="auto"/>
                                  </w:divBdr>
                                  <w:divsChild>
                                    <w:div w:id="279721697">
                                      <w:marLeft w:val="0"/>
                                      <w:marRight w:val="0"/>
                                      <w:marTop w:val="0"/>
                                      <w:marBottom w:val="0"/>
                                      <w:divBdr>
                                        <w:top w:val="none" w:sz="0" w:space="0" w:color="auto"/>
                                        <w:left w:val="none" w:sz="0" w:space="0" w:color="auto"/>
                                        <w:bottom w:val="none" w:sz="0" w:space="0" w:color="auto"/>
                                        <w:right w:val="none" w:sz="0" w:space="0" w:color="auto"/>
                                      </w:divBdr>
                                      <w:divsChild>
                                        <w:div w:id="2080708660">
                                          <w:marLeft w:val="0"/>
                                          <w:marRight w:val="0"/>
                                          <w:marTop w:val="0"/>
                                          <w:marBottom w:val="0"/>
                                          <w:divBdr>
                                            <w:top w:val="none" w:sz="0" w:space="0" w:color="auto"/>
                                            <w:left w:val="none" w:sz="0" w:space="0" w:color="auto"/>
                                            <w:bottom w:val="none" w:sz="0" w:space="0" w:color="auto"/>
                                            <w:right w:val="none" w:sz="0" w:space="0" w:color="auto"/>
                                          </w:divBdr>
                                          <w:divsChild>
                                            <w:div w:id="1544781362">
                                              <w:marLeft w:val="0"/>
                                              <w:marRight w:val="0"/>
                                              <w:marTop w:val="0"/>
                                              <w:marBottom w:val="0"/>
                                              <w:divBdr>
                                                <w:top w:val="none" w:sz="0" w:space="0" w:color="auto"/>
                                                <w:left w:val="none" w:sz="0" w:space="0" w:color="auto"/>
                                                <w:bottom w:val="none" w:sz="0" w:space="0" w:color="auto"/>
                                                <w:right w:val="none" w:sz="0" w:space="0" w:color="auto"/>
                                              </w:divBdr>
                                              <w:divsChild>
                                                <w:div w:id="2089039137">
                                                  <w:marLeft w:val="0"/>
                                                  <w:marRight w:val="0"/>
                                                  <w:marTop w:val="0"/>
                                                  <w:marBottom w:val="0"/>
                                                  <w:divBdr>
                                                    <w:top w:val="none" w:sz="0" w:space="0" w:color="auto"/>
                                                    <w:left w:val="none" w:sz="0" w:space="0" w:color="auto"/>
                                                    <w:bottom w:val="none" w:sz="0" w:space="0" w:color="auto"/>
                                                    <w:right w:val="none" w:sz="0" w:space="0" w:color="auto"/>
                                                  </w:divBdr>
                                                  <w:divsChild>
                                                    <w:div w:id="589045161">
                                                      <w:marLeft w:val="0"/>
                                                      <w:marRight w:val="0"/>
                                                      <w:marTop w:val="0"/>
                                                      <w:marBottom w:val="0"/>
                                                      <w:divBdr>
                                                        <w:top w:val="none" w:sz="0" w:space="0" w:color="auto"/>
                                                        <w:left w:val="none" w:sz="0" w:space="0" w:color="auto"/>
                                                        <w:bottom w:val="none" w:sz="0" w:space="0" w:color="auto"/>
                                                        <w:right w:val="none" w:sz="0" w:space="0" w:color="auto"/>
                                                      </w:divBdr>
                                                      <w:divsChild>
                                                        <w:div w:id="21515841">
                                                          <w:marLeft w:val="0"/>
                                                          <w:marRight w:val="0"/>
                                                          <w:marTop w:val="0"/>
                                                          <w:marBottom w:val="0"/>
                                                          <w:divBdr>
                                                            <w:top w:val="none" w:sz="0" w:space="0" w:color="auto"/>
                                                            <w:left w:val="none" w:sz="0" w:space="0" w:color="auto"/>
                                                            <w:bottom w:val="none" w:sz="0" w:space="0" w:color="auto"/>
                                                            <w:right w:val="none" w:sz="0" w:space="0" w:color="auto"/>
                                                          </w:divBdr>
                                                          <w:divsChild>
                                                            <w:div w:id="1651474266">
                                                              <w:marLeft w:val="0"/>
                                                              <w:marRight w:val="0"/>
                                                              <w:marTop w:val="0"/>
                                                              <w:marBottom w:val="0"/>
                                                              <w:divBdr>
                                                                <w:top w:val="none" w:sz="0" w:space="0" w:color="auto"/>
                                                                <w:left w:val="none" w:sz="0" w:space="0" w:color="auto"/>
                                                                <w:bottom w:val="none" w:sz="0" w:space="0" w:color="auto"/>
                                                                <w:right w:val="none" w:sz="0" w:space="0" w:color="auto"/>
                                                              </w:divBdr>
                                                              <w:divsChild>
                                                                <w:div w:id="1564025978">
                                                                  <w:marLeft w:val="0"/>
                                                                  <w:marRight w:val="0"/>
                                                                  <w:marTop w:val="0"/>
                                                                  <w:marBottom w:val="0"/>
                                                                  <w:divBdr>
                                                                    <w:top w:val="none" w:sz="0" w:space="0" w:color="auto"/>
                                                                    <w:left w:val="none" w:sz="0" w:space="0" w:color="auto"/>
                                                                    <w:bottom w:val="none" w:sz="0" w:space="0" w:color="auto"/>
                                                                    <w:right w:val="none" w:sz="0" w:space="0" w:color="auto"/>
                                                                  </w:divBdr>
                                                                  <w:divsChild>
                                                                    <w:div w:id="2106800484">
                                                                      <w:marLeft w:val="0"/>
                                                                      <w:marRight w:val="0"/>
                                                                      <w:marTop w:val="0"/>
                                                                      <w:marBottom w:val="0"/>
                                                                      <w:divBdr>
                                                                        <w:top w:val="none" w:sz="0" w:space="0" w:color="auto"/>
                                                                        <w:left w:val="none" w:sz="0" w:space="0" w:color="auto"/>
                                                                        <w:bottom w:val="none" w:sz="0" w:space="0" w:color="auto"/>
                                                                        <w:right w:val="none" w:sz="0" w:space="0" w:color="auto"/>
                                                                      </w:divBdr>
                                                                      <w:divsChild>
                                                                        <w:div w:id="16167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0083100">
          <w:marLeft w:val="0"/>
          <w:marRight w:val="0"/>
          <w:marTop w:val="0"/>
          <w:marBottom w:val="0"/>
          <w:divBdr>
            <w:top w:val="none" w:sz="0" w:space="0" w:color="auto"/>
            <w:left w:val="none" w:sz="0" w:space="0" w:color="auto"/>
            <w:bottom w:val="none" w:sz="0" w:space="0" w:color="auto"/>
            <w:right w:val="none" w:sz="0" w:space="0" w:color="auto"/>
          </w:divBdr>
          <w:divsChild>
            <w:div w:id="55012706">
              <w:marLeft w:val="0"/>
              <w:marRight w:val="0"/>
              <w:marTop w:val="0"/>
              <w:marBottom w:val="0"/>
              <w:divBdr>
                <w:top w:val="none" w:sz="0" w:space="0" w:color="auto"/>
                <w:left w:val="none" w:sz="0" w:space="0" w:color="auto"/>
                <w:bottom w:val="none" w:sz="0" w:space="0" w:color="auto"/>
                <w:right w:val="none" w:sz="0" w:space="0" w:color="auto"/>
              </w:divBdr>
              <w:divsChild>
                <w:div w:id="1962683605">
                  <w:marLeft w:val="0"/>
                  <w:marRight w:val="0"/>
                  <w:marTop w:val="0"/>
                  <w:marBottom w:val="0"/>
                  <w:divBdr>
                    <w:top w:val="none" w:sz="0" w:space="0" w:color="auto"/>
                    <w:left w:val="none" w:sz="0" w:space="0" w:color="auto"/>
                    <w:bottom w:val="none" w:sz="0" w:space="0" w:color="auto"/>
                    <w:right w:val="none" w:sz="0" w:space="0" w:color="auto"/>
                  </w:divBdr>
                  <w:divsChild>
                    <w:div w:id="889876471">
                      <w:marLeft w:val="0"/>
                      <w:marRight w:val="0"/>
                      <w:marTop w:val="0"/>
                      <w:marBottom w:val="0"/>
                      <w:divBdr>
                        <w:top w:val="none" w:sz="0" w:space="0" w:color="auto"/>
                        <w:left w:val="none" w:sz="0" w:space="0" w:color="auto"/>
                        <w:bottom w:val="none" w:sz="0" w:space="0" w:color="auto"/>
                        <w:right w:val="none" w:sz="0" w:space="0" w:color="auto"/>
                      </w:divBdr>
                      <w:divsChild>
                        <w:div w:id="1379236807">
                          <w:marLeft w:val="0"/>
                          <w:marRight w:val="0"/>
                          <w:marTop w:val="0"/>
                          <w:marBottom w:val="0"/>
                          <w:divBdr>
                            <w:top w:val="none" w:sz="0" w:space="0" w:color="auto"/>
                            <w:left w:val="none" w:sz="0" w:space="0" w:color="auto"/>
                            <w:bottom w:val="none" w:sz="0" w:space="0" w:color="auto"/>
                            <w:right w:val="none" w:sz="0" w:space="0" w:color="auto"/>
                          </w:divBdr>
                          <w:divsChild>
                            <w:div w:id="1637635814">
                              <w:marLeft w:val="0"/>
                              <w:marRight w:val="0"/>
                              <w:marTop w:val="0"/>
                              <w:marBottom w:val="0"/>
                              <w:divBdr>
                                <w:top w:val="none" w:sz="0" w:space="0" w:color="auto"/>
                                <w:left w:val="none" w:sz="0" w:space="0" w:color="auto"/>
                                <w:bottom w:val="none" w:sz="0" w:space="0" w:color="auto"/>
                                <w:right w:val="none" w:sz="0" w:space="0" w:color="auto"/>
                              </w:divBdr>
                              <w:divsChild>
                                <w:div w:id="625042061">
                                  <w:marLeft w:val="0"/>
                                  <w:marRight w:val="0"/>
                                  <w:marTop w:val="0"/>
                                  <w:marBottom w:val="0"/>
                                  <w:divBdr>
                                    <w:top w:val="none" w:sz="0" w:space="0" w:color="auto"/>
                                    <w:left w:val="none" w:sz="0" w:space="0" w:color="auto"/>
                                    <w:bottom w:val="none" w:sz="0" w:space="0" w:color="auto"/>
                                    <w:right w:val="none" w:sz="0" w:space="0" w:color="auto"/>
                                  </w:divBdr>
                                  <w:divsChild>
                                    <w:div w:id="1119715098">
                                      <w:marLeft w:val="0"/>
                                      <w:marRight w:val="0"/>
                                      <w:marTop w:val="0"/>
                                      <w:marBottom w:val="0"/>
                                      <w:divBdr>
                                        <w:top w:val="none" w:sz="0" w:space="0" w:color="auto"/>
                                        <w:left w:val="none" w:sz="0" w:space="0" w:color="auto"/>
                                        <w:bottom w:val="none" w:sz="0" w:space="0" w:color="auto"/>
                                        <w:right w:val="none" w:sz="0" w:space="0" w:color="auto"/>
                                      </w:divBdr>
                                      <w:divsChild>
                                        <w:div w:id="1116364985">
                                          <w:marLeft w:val="0"/>
                                          <w:marRight w:val="0"/>
                                          <w:marTop w:val="0"/>
                                          <w:marBottom w:val="0"/>
                                          <w:divBdr>
                                            <w:top w:val="none" w:sz="0" w:space="0" w:color="auto"/>
                                            <w:left w:val="none" w:sz="0" w:space="0" w:color="auto"/>
                                            <w:bottom w:val="none" w:sz="0" w:space="0" w:color="auto"/>
                                            <w:right w:val="none" w:sz="0" w:space="0" w:color="auto"/>
                                          </w:divBdr>
                                          <w:divsChild>
                                            <w:div w:id="1001472994">
                                              <w:marLeft w:val="0"/>
                                              <w:marRight w:val="0"/>
                                              <w:marTop w:val="0"/>
                                              <w:marBottom w:val="0"/>
                                              <w:divBdr>
                                                <w:top w:val="none" w:sz="0" w:space="0" w:color="auto"/>
                                                <w:left w:val="none" w:sz="0" w:space="0" w:color="auto"/>
                                                <w:bottom w:val="none" w:sz="0" w:space="0" w:color="auto"/>
                                                <w:right w:val="none" w:sz="0" w:space="0" w:color="auto"/>
                                              </w:divBdr>
                                              <w:divsChild>
                                                <w:div w:id="1372534054">
                                                  <w:marLeft w:val="0"/>
                                                  <w:marRight w:val="0"/>
                                                  <w:marTop w:val="0"/>
                                                  <w:marBottom w:val="0"/>
                                                  <w:divBdr>
                                                    <w:top w:val="none" w:sz="0" w:space="0" w:color="auto"/>
                                                    <w:left w:val="none" w:sz="0" w:space="0" w:color="auto"/>
                                                    <w:bottom w:val="none" w:sz="0" w:space="0" w:color="auto"/>
                                                    <w:right w:val="none" w:sz="0" w:space="0" w:color="auto"/>
                                                  </w:divBdr>
                                                  <w:divsChild>
                                                    <w:div w:id="169219592">
                                                      <w:marLeft w:val="0"/>
                                                      <w:marRight w:val="0"/>
                                                      <w:marTop w:val="0"/>
                                                      <w:marBottom w:val="0"/>
                                                      <w:divBdr>
                                                        <w:top w:val="none" w:sz="0" w:space="0" w:color="auto"/>
                                                        <w:left w:val="none" w:sz="0" w:space="0" w:color="auto"/>
                                                        <w:bottom w:val="none" w:sz="0" w:space="0" w:color="auto"/>
                                                        <w:right w:val="none" w:sz="0" w:space="0" w:color="auto"/>
                                                      </w:divBdr>
                                                      <w:divsChild>
                                                        <w:div w:id="738284102">
                                                          <w:marLeft w:val="0"/>
                                                          <w:marRight w:val="0"/>
                                                          <w:marTop w:val="0"/>
                                                          <w:marBottom w:val="0"/>
                                                          <w:divBdr>
                                                            <w:top w:val="none" w:sz="0" w:space="0" w:color="auto"/>
                                                            <w:left w:val="none" w:sz="0" w:space="0" w:color="auto"/>
                                                            <w:bottom w:val="none" w:sz="0" w:space="0" w:color="auto"/>
                                                            <w:right w:val="none" w:sz="0" w:space="0" w:color="auto"/>
                                                          </w:divBdr>
                                                          <w:divsChild>
                                                            <w:div w:id="1305281747">
                                                              <w:marLeft w:val="0"/>
                                                              <w:marRight w:val="0"/>
                                                              <w:marTop w:val="0"/>
                                                              <w:marBottom w:val="0"/>
                                                              <w:divBdr>
                                                                <w:top w:val="none" w:sz="0" w:space="0" w:color="auto"/>
                                                                <w:left w:val="none" w:sz="0" w:space="0" w:color="auto"/>
                                                                <w:bottom w:val="none" w:sz="0" w:space="0" w:color="auto"/>
                                                                <w:right w:val="none" w:sz="0" w:space="0" w:color="auto"/>
                                                              </w:divBdr>
                                                              <w:divsChild>
                                                                <w:div w:id="114180303">
                                                                  <w:marLeft w:val="0"/>
                                                                  <w:marRight w:val="0"/>
                                                                  <w:marTop w:val="0"/>
                                                                  <w:marBottom w:val="0"/>
                                                                  <w:divBdr>
                                                                    <w:top w:val="none" w:sz="0" w:space="0" w:color="auto"/>
                                                                    <w:left w:val="none" w:sz="0" w:space="0" w:color="auto"/>
                                                                    <w:bottom w:val="none" w:sz="0" w:space="0" w:color="auto"/>
                                                                    <w:right w:val="none" w:sz="0" w:space="0" w:color="auto"/>
                                                                  </w:divBdr>
                                                                  <w:divsChild>
                                                                    <w:div w:id="1856574826">
                                                                      <w:marLeft w:val="0"/>
                                                                      <w:marRight w:val="0"/>
                                                                      <w:marTop w:val="0"/>
                                                                      <w:marBottom w:val="0"/>
                                                                      <w:divBdr>
                                                                        <w:top w:val="none" w:sz="0" w:space="0" w:color="auto"/>
                                                                        <w:left w:val="none" w:sz="0" w:space="0" w:color="auto"/>
                                                                        <w:bottom w:val="none" w:sz="0" w:space="0" w:color="auto"/>
                                                                        <w:right w:val="none" w:sz="0" w:space="0" w:color="auto"/>
                                                                      </w:divBdr>
                                                                      <w:divsChild>
                                                                        <w:div w:id="1022361810">
                                                                          <w:marLeft w:val="0"/>
                                                                          <w:marRight w:val="0"/>
                                                                          <w:marTop w:val="0"/>
                                                                          <w:marBottom w:val="0"/>
                                                                          <w:divBdr>
                                                                            <w:top w:val="none" w:sz="0" w:space="0" w:color="auto"/>
                                                                            <w:left w:val="none" w:sz="0" w:space="0" w:color="auto"/>
                                                                            <w:bottom w:val="none" w:sz="0" w:space="0" w:color="auto"/>
                                                                            <w:right w:val="none" w:sz="0" w:space="0" w:color="auto"/>
                                                                          </w:divBdr>
                                                                          <w:divsChild>
                                                                            <w:div w:id="1110196737">
                                                                              <w:marLeft w:val="0"/>
                                                                              <w:marRight w:val="0"/>
                                                                              <w:marTop w:val="0"/>
                                                                              <w:marBottom w:val="0"/>
                                                                              <w:divBdr>
                                                                                <w:top w:val="none" w:sz="0" w:space="0" w:color="auto"/>
                                                                                <w:left w:val="none" w:sz="0" w:space="0" w:color="auto"/>
                                                                                <w:bottom w:val="none" w:sz="0" w:space="0" w:color="auto"/>
                                                                                <w:right w:val="none" w:sz="0" w:space="0" w:color="auto"/>
                                                                              </w:divBdr>
                                                                              <w:divsChild>
                                                                                <w:div w:id="6407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3487">
                                                  <w:marLeft w:val="0"/>
                                                  <w:marRight w:val="0"/>
                                                  <w:marTop w:val="0"/>
                                                  <w:marBottom w:val="0"/>
                                                  <w:divBdr>
                                                    <w:top w:val="none" w:sz="0" w:space="0" w:color="auto"/>
                                                    <w:left w:val="none" w:sz="0" w:space="0" w:color="auto"/>
                                                    <w:bottom w:val="none" w:sz="0" w:space="0" w:color="auto"/>
                                                    <w:right w:val="none" w:sz="0" w:space="0" w:color="auto"/>
                                                  </w:divBdr>
                                                  <w:divsChild>
                                                    <w:div w:id="249702181">
                                                      <w:marLeft w:val="0"/>
                                                      <w:marRight w:val="0"/>
                                                      <w:marTop w:val="0"/>
                                                      <w:marBottom w:val="0"/>
                                                      <w:divBdr>
                                                        <w:top w:val="none" w:sz="0" w:space="0" w:color="auto"/>
                                                        <w:left w:val="none" w:sz="0" w:space="0" w:color="auto"/>
                                                        <w:bottom w:val="none" w:sz="0" w:space="0" w:color="auto"/>
                                                        <w:right w:val="none" w:sz="0" w:space="0" w:color="auto"/>
                                                      </w:divBdr>
                                                    </w:div>
                                                  </w:divsChild>
                                                </w:div>
                                                <w:div w:id="2088527050">
                                                  <w:marLeft w:val="0"/>
                                                  <w:marRight w:val="0"/>
                                                  <w:marTop w:val="0"/>
                                                  <w:marBottom w:val="0"/>
                                                  <w:divBdr>
                                                    <w:top w:val="none" w:sz="0" w:space="0" w:color="auto"/>
                                                    <w:left w:val="none" w:sz="0" w:space="0" w:color="auto"/>
                                                    <w:bottom w:val="none" w:sz="0" w:space="0" w:color="auto"/>
                                                    <w:right w:val="none" w:sz="0" w:space="0" w:color="auto"/>
                                                  </w:divBdr>
                                                  <w:divsChild>
                                                    <w:div w:id="1397581287">
                                                      <w:marLeft w:val="0"/>
                                                      <w:marRight w:val="0"/>
                                                      <w:marTop w:val="0"/>
                                                      <w:marBottom w:val="0"/>
                                                      <w:divBdr>
                                                        <w:top w:val="none" w:sz="0" w:space="0" w:color="auto"/>
                                                        <w:left w:val="none" w:sz="0" w:space="0" w:color="auto"/>
                                                        <w:bottom w:val="none" w:sz="0" w:space="0" w:color="auto"/>
                                                        <w:right w:val="none" w:sz="0" w:space="0" w:color="auto"/>
                                                      </w:divBdr>
                                                      <w:divsChild>
                                                        <w:div w:id="288976382">
                                                          <w:marLeft w:val="0"/>
                                                          <w:marRight w:val="0"/>
                                                          <w:marTop w:val="0"/>
                                                          <w:marBottom w:val="0"/>
                                                          <w:divBdr>
                                                            <w:top w:val="none" w:sz="0" w:space="0" w:color="auto"/>
                                                            <w:left w:val="none" w:sz="0" w:space="0" w:color="auto"/>
                                                            <w:bottom w:val="none" w:sz="0" w:space="0" w:color="auto"/>
                                                            <w:right w:val="none" w:sz="0" w:space="0" w:color="auto"/>
                                                          </w:divBdr>
                                                          <w:divsChild>
                                                            <w:div w:id="688213194">
                                                              <w:marLeft w:val="0"/>
                                                              <w:marRight w:val="0"/>
                                                              <w:marTop w:val="0"/>
                                                              <w:marBottom w:val="0"/>
                                                              <w:divBdr>
                                                                <w:top w:val="none" w:sz="0" w:space="0" w:color="auto"/>
                                                                <w:left w:val="none" w:sz="0" w:space="0" w:color="auto"/>
                                                                <w:bottom w:val="none" w:sz="0" w:space="0" w:color="auto"/>
                                                                <w:right w:val="none" w:sz="0" w:space="0" w:color="auto"/>
                                                              </w:divBdr>
                                                              <w:divsChild>
                                                                <w:div w:id="1864245221">
                                                                  <w:marLeft w:val="0"/>
                                                                  <w:marRight w:val="0"/>
                                                                  <w:marTop w:val="0"/>
                                                                  <w:marBottom w:val="0"/>
                                                                  <w:divBdr>
                                                                    <w:top w:val="none" w:sz="0" w:space="0" w:color="auto"/>
                                                                    <w:left w:val="none" w:sz="0" w:space="0" w:color="auto"/>
                                                                    <w:bottom w:val="none" w:sz="0" w:space="0" w:color="auto"/>
                                                                    <w:right w:val="none" w:sz="0" w:space="0" w:color="auto"/>
                                                                  </w:divBdr>
                                                                  <w:divsChild>
                                                                    <w:div w:id="710155863">
                                                                      <w:marLeft w:val="0"/>
                                                                      <w:marRight w:val="0"/>
                                                                      <w:marTop w:val="0"/>
                                                                      <w:marBottom w:val="0"/>
                                                                      <w:divBdr>
                                                                        <w:top w:val="none" w:sz="0" w:space="0" w:color="auto"/>
                                                                        <w:left w:val="none" w:sz="0" w:space="0" w:color="auto"/>
                                                                        <w:bottom w:val="none" w:sz="0" w:space="0" w:color="auto"/>
                                                                        <w:right w:val="none" w:sz="0" w:space="0" w:color="auto"/>
                                                                      </w:divBdr>
                                                                      <w:divsChild>
                                                                        <w:div w:id="17023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1265359">
          <w:marLeft w:val="0"/>
          <w:marRight w:val="0"/>
          <w:marTop w:val="0"/>
          <w:marBottom w:val="0"/>
          <w:divBdr>
            <w:top w:val="none" w:sz="0" w:space="0" w:color="auto"/>
            <w:left w:val="none" w:sz="0" w:space="0" w:color="auto"/>
            <w:bottom w:val="none" w:sz="0" w:space="0" w:color="auto"/>
            <w:right w:val="none" w:sz="0" w:space="0" w:color="auto"/>
          </w:divBdr>
          <w:divsChild>
            <w:div w:id="1950896157">
              <w:marLeft w:val="0"/>
              <w:marRight w:val="0"/>
              <w:marTop w:val="0"/>
              <w:marBottom w:val="0"/>
              <w:divBdr>
                <w:top w:val="none" w:sz="0" w:space="0" w:color="auto"/>
                <w:left w:val="none" w:sz="0" w:space="0" w:color="auto"/>
                <w:bottom w:val="none" w:sz="0" w:space="0" w:color="auto"/>
                <w:right w:val="none" w:sz="0" w:space="0" w:color="auto"/>
              </w:divBdr>
              <w:divsChild>
                <w:div w:id="1312714538">
                  <w:marLeft w:val="0"/>
                  <w:marRight w:val="0"/>
                  <w:marTop w:val="0"/>
                  <w:marBottom w:val="0"/>
                  <w:divBdr>
                    <w:top w:val="none" w:sz="0" w:space="0" w:color="auto"/>
                    <w:left w:val="none" w:sz="0" w:space="0" w:color="auto"/>
                    <w:bottom w:val="none" w:sz="0" w:space="0" w:color="auto"/>
                    <w:right w:val="none" w:sz="0" w:space="0" w:color="auto"/>
                  </w:divBdr>
                  <w:divsChild>
                    <w:div w:id="10420353">
                      <w:marLeft w:val="0"/>
                      <w:marRight w:val="0"/>
                      <w:marTop w:val="0"/>
                      <w:marBottom w:val="0"/>
                      <w:divBdr>
                        <w:top w:val="none" w:sz="0" w:space="0" w:color="auto"/>
                        <w:left w:val="none" w:sz="0" w:space="0" w:color="auto"/>
                        <w:bottom w:val="none" w:sz="0" w:space="0" w:color="auto"/>
                        <w:right w:val="none" w:sz="0" w:space="0" w:color="auto"/>
                      </w:divBdr>
                      <w:divsChild>
                        <w:div w:id="917205801">
                          <w:marLeft w:val="0"/>
                          <w:marRight w:val="0"/>
                          <w:marTop w:val="0"/>
                          <w:marBottom w:val="0"/>
                          <w:divBdr>
                            <w:top w:val="none" w:sz="0" w:space="0" w:color="auto"/>
                            <w:left w:val="none" w:sz="0" w:space="0" w:color="auto"/>
                            <w:bottom w:val="none" w:sz="0" w:space="0" w:color="auto"/>
                            <w:right w:val="none" w:sz="0" w:space="0" w:color="auto"/>
                          </w:divBdr>
                          <w:divsChild>
                            <w:div w:id="1338919142">
                              <w:marLeft w:val="0"/>
                              <w:marRight w:val="0"/>
                              <w:marTop w:val="0"/>
                              <w:marBottom w:val="0"/>
                              <w:divBdr>
                                <w:top w:val="none" w:sz="0" w:space="0" w:color="auto"/>
                                <w:left w:val="none" w:sz="0" w:space="0" w:color="auto"/>
                                <w:bottom w:val="none" w:sz="0" w:space="0" w:color="auto"/>
                                <w:right w:val="none" w:sz="0" w:space="0" w:color="auto"/>
                              </w:divBdr>
                              <w:divsChild>
                                <w:div w:id="1634213318">
                                  <w:marLeft w:val="0"/>
                                  <w:marRight w:val="0"/>
                                  <w:marTop w:val="0"/>
                                  <w:marBottom w:val="0"/>
                                  <w:divBdr>
                                    <w:top w:val="none" w:sz="0" w:space="0" w:color="auto"/>
                                    <w:left w:val="none" w:sz="0" w:space="0" w:color="auto"/>
                                    <w:bottom w:val="none" w:sz="0" w:space="0" w:color="auto"/>
                                    <w:right w:val="none" w:sz="0" w:space="0" w:color="auto"/>
                                  </w:divBdr>
                                  <w:divsChild>
                                    <w:div w:id="368265280">
                                      <w:marLeft w:val="0"/>
                                      <w:marRight w:val="0"/>
                                      <w:marTop w:val="0"/>
                                      <w:marBottom w:val="0"/>
                                      <w:divBdr>
                                        <w:top w:val="none" w:sz="0" w:space="0" w:color="auto"/>
                                        <w:left w:val="none" w:sz="0" w:space="0" w:color="auto"/>
                                        <w:bottom w:val="none" w:sz="0" w:space="0" w:color="auto"/>
                                        <w:right w:val="none" w:sz="0" w:space="0" w:color="auto"/>
                                      </w:divBdr>
                                      <w:divsChild>
                                        <w:div w:id="1249730268">
                                          <w:marLeft w:val="0"/>
                                          <w:marRight w:val="0"/>
                                          <w:marTop w:val="0"/>
                                          <w:marBottom w:val="0"/>
                                          <w:divBdr>
                                            <w:top w:val="none" w:sz="0" w:space="0" w:color="auto"/>
                                            <w:left w:val="none" w:sz="0" w:space="0" w:color="auto"/>
                                            <w:bottom w:val="none" w:sz="0" w:space="0" w:color="auto"/>
                                            <w:right w:val="none" w:sz="0" w:space="0" w:color="auto"/>
                                          </w:divBdr>
                                        </w:div>
                                        <w:div w:id="958561252">
                                          <w:marLeft w:val="0"/>
                                          <w:marRight w:val="0"/>
                                          <w:marTop w:val="0"/>
                                          <w:marBottom w:val="0"/>
                                          <w:divBdr>
                                            <w:top w:val="none" w:sz="0" w:space="0" w:color="auto"/>
                                            <w:left w:val="none" w:sz="0" w:space="0" w:color="auto"/>
                                            <w:bottom w:val="none" w:sz="0" w:space="0" w:color="auto"/>
                                            <w:right w:val="none" w:sz="0" w:space="0" w:color="auto"/>
                                          </w:divBdr>
                                          <w:divsChild>
                                            <w:div w:id="991912318">
                                              <w:marLeft w:val="0"/>
                                              <w:marRight w:val="0"/>
                                              <w:marTop w:val="0"/>
                                              <w:marBottom w:val="0"/>
                                              <w:divBdr>
                                                <w:top w:val="none" w:sz="0" w:space="0" w:color="auto"/>
                                                <w:left w:val="none" w:sz="0" w:space="0" w:color="auto"/>
                                                <w:bottom w:val="none" w:sz="0" w:space="0" w:color="auto"/>
                                                <w:right w:val="none" w:sz="0" w:space="0" w:color="auto"/>
                                              </w:divBdr>
                                              <w:divsChild>
                                                <w:div w:id="1315834497">
                                                  <w:marLeft w:val="0"/>
                                                  <w:marRight w:val="0"/>
                                                  <w:marTop w:val="0"/>
                                                  <w:marBottom w:val="0"/>
                                                  <w:divBdr>
                                                    <w:top w:val="none" w:sz="0" w:space="0" w:color="auto"/>
                                                    <w:left w:val="none" w:sz="0" w:space="0" w:color="auto"/>
                                                    <w:bottom w:val="none" w:sz="0" w:space="0" w:color="auto"/>
                                                    <w:right w:val="none" w:sz="0" w:space="0" w:color="auto"/>
                                                  </w:divBdr>
                                                  <w:divsChild>
                                                    <w:div w:id="459693908">
                                                      <w:marLeft w:val="0"/>
                                                      <w:marRight w:val="0"/>
                                                      <w:marTop w:val="0"/>
                                                      <w:marBottom w:val="0"/>
                                                      <w:divBdr>
                                                        <w:top w:val="none" w:sz="0" w:space="0" w:color="auto"/>
                                                        <w:left w:val="none" w:sz="0" w:space="0" w:color="auto"/>
                                                        <w:bottom w:val="none" w:sz="0" w:space="0" w:color="auto"/>
                                                        <w:right w:val="none" w:sz="0" w:space="0" w:color="auto"/>
                                                      </w:divBdr>
                                                      <w:divsChild>
                                                        <w:div w:id="117068729">
                                                          <w:marLeft w:val="0"/>
                                                          <w:marRight w:val="0"/>
                                                          <w:marTop w:val="0"/>
                                                          <w:marBottom w:val="0"/>
                                                          <w:divBdr>
                                                            <w:top w:val="none" w:sz="0" w:space="0" w:color="auto"/>
                                                            <w:left w:val="none" w:sz="0" w:space="0" w:color="auto"/>
                                                            <w:bottom w:val="none" w:sz="0" w:space="0" w:color="auto"/>
                                                            <w:right w:val="none" w:sz="0" w:space="0" w:color="auto"/>
                                                          </w:divBdr>
                                                          <w:divsChild>
                                                            <w:div w:id="540702842">
                                                              <w:marLeft w:val="0"/>
                                                              <w:marRight w:val="0"/>
                                                              <w:marTop w:val="0"/>
                                                              <w:marBottom w:val="0"/>
                                                              <w:divBdr>
                                                                <w:top w:val="none" w:sz="0" w:space="0" w:color="auto"/>
                                                                <w:left w:val="none" w:sz="0" w:space="0" w:color="auto"/>
                                                                <w:bottom w:val="none" w:sz="0" w:space="0" w:color="auto"/>
                                                                <w:right w:val="none" w:sz="0" w:space="0" w:color="auto"/>
                                                              </w:divBdr>
                                                              <w:divsChild>
                                                                <w:div w:id="673611422">
                                                                  <w:marLeft w:val="0"/>
                                                                  <w:marRight w:val="0"/>
                                                                  <w:marTop w:val="0"/>
                                                                  <w:marBottom w:val="0"/>
                                                                  <w:divBdr>
                                                                    <w:top w:val="none" w:sz="0" w:space="0" w:color="auto"/>
                                                                    <w:left w:val="none" w:sz="0" w:space="0" w:color="auto"/>
                                                                    <w:bottom w:val="none" w:sz="0" w:space="0" w:color="auto"/>
                                                                    <w:right w:val="none" w:sz="0" w:space="0" w:color="auto"/>
                                                                  </w:divBdr>
                                                                  <w:divsChild>
                                                                    <w:div w:id="1639529901">
                                                                      <w:marLeft w:val="0"/>
                                                                      <w:marRight w:val="0"/>
                                                                      <w:marTop w:val="0"/>
                                                                      <w:marBottom w:val="0"/>
                                                                      <w:divBdr>
                                                                        <w:top w:val="none" w:sz="0" w:space="0" w:color="auto"/>
                                                                        <w:left w:val="none" w:sz="0" w:space="0" w:color="auto"/>
                                                                        <w:bottom w:val="none" w:sz="0" w:space="0" w:color="auto"/>
                                                                        <w:right w:val="none" w:sz="0" w:space="0" w:color="auto"/>
                                                                      </w:divBdr>
                                                                      <w:divsChild>
                                                                        <w:div w:id="127675317">
                                                                          <w:marLeft w:val="0"/>
                                                                          <w:marRight w:val="0"/>
                                                                          <w:marTop w:val="0"/>
                                                                          <w:marBottom w:val="0"/>
                                                                          <w:divBdr>
                                                                            <w:top w:val="none" w:sz="0" w:space="0" w:color="auto"/>
                                                                            <w:left w:val="none" w:sz="0" w:space="0" w:color="auto"/>
                                                                            <w:bottom w:val="none" w:sz="0" w:space="0" w:color="auto"/>
                                                                            <w:right w:val="none" w:sz="0" w:space="0" w:color="auto"/>
                                                                          </w:divBdr>
                                                                          <w:divsChild>
                                                                            <w:div w:id="1769346713">
                                                                              <w:marLeft w:val="0"/>
                                                                              <w:marRight w:val="0"/>
                                                                              <w:marTop w:val="0"/>
                                                                              <w:marBottom w:val="0"/>
                                                                              <w:divBdr>
                                                                                <w:top w:val="none" w:sz="0" w:space="0" w:color="auto"/>
                                                                                <w:left w:val="none" w:sz="0" w:space="0" w:color="auto"/>
                                                                                <w:bottom w:val="none" w:sz="0" w:space="0" w:color="auto"/>
                                                                                <w:right w:val="none" w:sz="0" w:space="0" w:color="auto"/>
                                                                              </w:divBdr>
                                                                              <w:divsChild>
                                                                                <w:div w:id="554507755">
                                                                                  <w:marLeft w:val="0"/>
                                                                                  <w:marRight w:val="0"/>
                                                                                  <w:marTop w:val="0"/>
                                                                                  <w:marBottom w:val="0"/>
                                                                                  <w:divBdr>
                                                                                    <w:top w:val="none" w:sz="0" w:space="0" w:color="auto"/>
                                                                                    <w:left w:val="none" w:sz="0" w:space="0" w:color="auto"/>
                                                                                    <w:bottom w:val="none" w:sz="0" w:space="0" w:color="auto"/>
                                                                                    <w:right w:val="none" w:sz="0" w:space="0" w:color="auto"/>
                                                                                  </w:divBdr>
                                                                                  <w:divsChild>
                                                                                    <w:div w:id="347684275">
                                                                                      <w:marLeft w:val="0"/>
                                                                                      <w:marRight w:val="0"/>
                                                                                      <w:marTop w:val="0"/>
                                                                                      <w:marBottom w:val="0"/>
                                                                                      <w:divBdr>
                                                                                        <w:top w:val="none" w:sz="0" w:space="0" w:color="auto"/>
                                                                                        <w:left w:val="none" w:sz="0" w:space="0" w:color="auto"/>
                                                                                        <w:bottom w:val="none" w:sz="0" w:space="0" w:color="auto"/>
                                                                                        <w:right w:val="none" w:sz="0" w:space="0" w:color="auto"/>
                                                                                      </w:divBdr>
                                                                                      <w:divsChild>
                                                                                        <w:div w:id="520122983">
                                                                                          <w:marLeft w:val="0"/>
                                                                                          <w:marRight w:val="0"/>
                                                                                          <w:marTop w:val="0"/>
                                                                                          <w:marBottom w:val="0"/>
                                                                                          <w:divBdr>
                                                                                            <w:top w:val="none" w:sz="0" w:space="0" w:color="auto"/>
                                                                                            <w:left w:val="none" w:sz="0" w:space="0" w:color="auto"/>
                                                                                            <w:bottom w:val="none" w:sz="0" w:space="0" w:color="auto"/>
                                                                                            <w:right w:val="none" w:sz="0" w:space="0" w:color="auto"/>
                                                                                          </w:divBdr>
                                                                                          <w:divsChild>
                                                                                            <w:div w:id="12389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45115">
                                                                                  <w:marLeft w:val="0"/>
                                                                                  <w:marRight w:val="0"/>
                                                                                  <w:marTop w:val="0"/>
                                                                                  <w:marBottom w:val="0"/>
                                                                                  <w:divBdr>
                                                                                    <w:top w:val="none" w:sz="0" w:space="0" w:color="auto"/>
                                                                                    <w:left w:val="none" w:sz="0" w:space="0" w:color="auto"/>
                                                                                    <w:bottom w:val="none" w:sz="0" w:space="0" w:color="auto"/>
                                                                                    <w:right w:val="none" w:sz="0" w:space="0" w:color="auto"/>
                                                                                  </w:divBdr>
                                                                                </w:div>
                                                                              </w:divsChild>
                                                                            </w:div>
                                                                            <w:div w:id="1882664166">
                                                                              <w:marLeft w:val="0"/>
                                                                              <w:marRight w:val="0"/>
                                                                              <w:marTop w:val="0"/>
                                                                              <w:marBottom w:val="0"/>
                                                                              <w:divBdr>
                                                                                <w:top w:val="none" w:sz="0" w:space="0" w:color="auto"/>
                                                                                <w:left w:val="none" w:sz="0" w:space="0" w:color="auto"/>
                                                                                <w:bottom w:val="none" w:sz="0" w:space="0" w:color="auto"/>
                                                                                <w:right w:val="none" w:sz="0" w:space="0" w:color="auto"/>
                                                                              </w:divBdr>
                                                                              <w:divsChild>
                                                                                <w:div w:id="18379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7853">
                                                  <w:marLeft w:val="0"/>
                                                  <w:marRight w:val="0"/>
                                                  <w:marTop w:val="0"/>
                                                  <w:marBottom w:val="0"/>
                                                  <w:divBdr>
                                                    <w:top w:val="none" w:sz="0" w:space="0" w:color="auto"/>
                                                    <w:left w:val="none" w:sz="0" w:space="0" w:color="auto"/>
                                                    <w:bottom w:val="none" w:sz="0" w:space="0" w:color="auto"/>
                                                    <w:right w:val="none" w:sz="0" w:space="0" w:color="auto"/>
                                                  </w:divBdr>
                                                  <w:divsChild>
                                                    <w:div w:id="1906404364">
                                                      <w:marLeft w:val="0"/>
                                                      <w:marRight w:val="0"/>
                                                      <w:marTop w:val="0"/>
                                                      <w:marBottom w:val="0"/>
                                                      <w:divBdr>
                                                        <w:top w:val="none" w:sz="0" w:space="0" w:color="auto"/>
                                                        <w:left w:val="none" w:sz="0" w:space="0" w:color="auto"/>
                                                        <w:bottom w:val="none" w:sz="0" w:space="0" w:color="auto"/>
                                                        <w:right w:val="none" w:sz="0" w:space="0" w:color="auto"/>
                                                      </w:divBdr>
                                                    </w:div>
                                                    <w:div w:id="9908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86389">
                          <w:marLeft w:val="0"/>
                          <w:marRight w:val="0"/>
                          <w:marTop w:val="0"/>
                          <w:marBottom w:val="0"/>
                          <w:divBdr>
                            <w:top w:val="none" w:sz="0" w:space="0" w:color="auto"/>
                            <w:left w:val="none" w:sz="0" w:space="0" w:color="auto"/>
                            <w:bottom w:val="none" w:sz="0" w:space="0" w:color="auto"/>
                            <w:right w:val="none" w:sz="0" w:space="0" w:color="auto"/>
                          </w:divBdr>
                          <w:divsChild>
                            <w:div w:id="1504738007">
                              <w:marLeft w:val="0"/>
                              <w:marRight w:val="0"/>
                              <w:marTop w:val="0"/>
                              <w:marBottom w:val="0"/>
                              <w:divBdr>
                                <w:top w:val="none" w:sz="0" w:space="0" w:color="auto"/>
                                <w:left w:val="none" w:sz="0" w:space="0" w:color="auto"/>
                                <w:bottom w:val="none" w:sz="0" w:space="0" w:color="auto"/>
                                <w:right w:val="none" w:sz="0" w:space="0" w:color="auto"/>
                              </w:divBdr>
                              <w:divsChild>
                                <w:div w:id="1936013548">
                                  <w:marLeft w:val="0"/>
                                  <w:marRight w:val="0"/>
                                  <w:marTop w:val="0"/>
                                  <w:marBottom w:val="0"/>
                                  <w:divBdr>
                                    <w:top w:val="none" w:sz="0" w:space="0" w:color="auto"/>
                                    <w:left w:val="none" w:sz="0" w:space="0" w:color="auto"/>
                                    <w:bottom w:val="none" w:sz="0" w:space="0" w:color="auto"/>
                                    <w:right w:val="none" w:sz="0" w:space="0" w:color="auto"/>
                                  </w:divBdr>
                                  <w:divsChild>
                                    <w:div w:id="1367560751">
                                      <w:marLeft w:val="0"/>
                                      <w:marRight w:val="0"/>
                                      <w:marTop w:val="0"/>
                                      <w:marBottom w:val="0"/>
                                      <w:divBdr>
                                        <w:top w:val="none" w:sz="0" w:space="0" w:color="auto"/>
                                        <w:left w:val="none" w:sz="0" w:space="0" w:color="auto"/>
                                        <w:bottom w:val="none" w:sz="0" w:space="0" w:color="auto"/>
                                        <w:right w:val="none" w:sz="0" w:space="0" w:color="auto"/>
                                      </w:divBdr>
                                      <w:divsChild>
                                        <w:div w:id="11615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828959">
                  <w:marLeft w:val="0"/>
                  <w:marRight w:val="0"/>
                  <w:marTop w:val="0"/>
                  <w:marBottom w:val="0"/>
                  <w:divBdr>
                    <w:top w:val="none" w:sz="0" w:space="0" w:color="auto"/>
                    <w:left w:val="none" w:sz="0" w:space="0" w:color="auto"/>
                    <w:bottom w:val="none" w:sz="0" w:space="0" w:color="auto"/>
                    <w:right w:val="none" w:sz="0" w:space="0" w:color="auto"/>
                  </w:divBdr>
                  <w:divsChild>
                    <w:div w:id="253320872">
                      <w:marLeft w:val="0"/>
                      <w:marRight w:val="0"/>
                      <w:marTop w:val="0"/>
                      <w:marBottom w:val="0"/>
                      <w:divBdr>
                        <w:top w:val="none" w:sz="0" w:space="0" w:color="auto"/>
                        <w:left w:val="none" w:sz="0" w:space="0" w:color="auto"/>
                        <w:bottom w:val="none" w:sz="0" w:space="0" w:color="auto"/>
                        <w:right w:val="none" w:sz="0" w:space="0" w:color="auto"/>
                      </w:divBdr>
                      <w:divsChild>
                        <w:div w:id="644242902">
                          <w:marLeft w:val="0"/>
                          <w:marRight w:val="0"/>
                          <w:marTop w:val="0"/>
                          <w:marBottom w:val="0"/>
                          <w:divBdr>
                            <w:top w:val="none" w:sz="0" w:space="0" w:color="auto"/>
                            <w:left w:val="none" w:sz="0" w:space="0" w:color="auto"/>
                            <w:bottom w:val="none" w:sz="0" w:space="0" w:color="auto"/>
                            <w:right w:val="none" w:sz="0" w:space="0" w:color="auto"/>
                          </w:divBdr>
                          <w:divsChild>
                            <w:div w:id="207685640">
                              <w:marLeft w:val="0"/>
                              <w:marRight w:val="0"/>
                              <w:marTop w:val="0"/>
                              <w:marBottom w:val="0"/>
                              <w:divBdr>
                                <w:top w:val="none" w:sz="0" w:space="0" w:color="auto"/>
                                <w:left w:val="none" w:sz="0" w:space="0" w:color="auto"/>
                                <w:bottom w:val="none" w:sz="0" w:space="0" w:color="auto"/>
                                <w:right w:val="none" w:sz="0" w:space="0" w:color="auto"/>
                              </w:divBdr>
                              <w:divsChild>
                                <w:div w:id="11489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183411">
          <w:marLeft w:val="0"/>
          <w:marRight w:val="0"/>
          <w:marTop w:val="0"/>
          <w:marBottom w:val="0"/>
          <w:divBdr>
            <w:top w:val="none" w:sz="0" w:space="0" w:color="auto"/>
            <w:left w:val="none" w:sz="0" w:space="0" w:color="auto"/>
            <w:bottom w:val="none" w:sz="0" w:space="0" w:color="auto"/>
            <w:right w:val="none" w:sz="0" w:space="0" w:color="auto"/>
          </w:divBdr>
          <w:divsChild>
            <w:div w:id="860972445">
              <w:marLeft w:val="0"/>
              <w:marRight w:val="0"/>
              <w:marTop w:val="0"/>
              <w:marBottom w:val="0"/>
              <w:divBdr>
                <w:top w:val="none" w:sz="0" w:space="0" w:color="auto"/>
                <w:left w:val="none" w:sz="0" w:space="0" w:color="auto"/>
                <w:bottom w:val="none" w:sz="0" w:space="0" w:color="auto"/>
                <w:right w:val="none" w:sz="0" w:space="0" w:color="auto"/>
              </w:divBdr>
              <w:divsChild>
                <w:div w:id="1795442057">
                  <w:marLeft w:val="0"/>
                  <w:marRight w:val="0"/>
                  <w:marTop w:val="0"/>
                  <w:marBottom w:val="0"/>
                  <w:divBdr>
                    <w:top w:val="none" w:sz="0" w:space="0" w:color="auto"/>
                    <w:left w:val="none" w:sz="0" w:space="0" w:color="auto"/>
                    <w:bottom w:val="none" w:sz="0" w:space="0" w:color="auto"/>
                    <w:right w:val="none" w:sz="0" w:space="0" w:color="auto"/>
                  </w:divBdr>
                  <w:divsChild>
                    <w:div w:id="718213197">
                      <w:marLeft w:val="0"/>
                      <w:marRight w:val="0"/>
                      <w:marTop w:val="0"/>
                      <w:marBottom w:val="0"/>
                      <w:divBdr>
                        <w:top w:val="none" w:sz="0" w:space="0" w:color="auto"/>
                        <w:left w:val="none" w:sz="0" w:space="0" w:color="auto"/>
                        <w:bottom w:val="none" w:sz="0" w:space="0" w:color="auto"/>
                        <w:right w:val="none" w:sz="0" w:space="0" w:color="auto"/>
                      </w:divBdr>
                      <w:divsChild>
                        <w:div w:id="575017509">
                          <w:marLeft w:val="0"/>
                          <w:marRight w:val="0"/>
                          <w:marTop w:val="0"/>
                          <w:marBottom w:val="0"/>
                          <w:divBdr>
                            <w:top w:val="none" w:sz="0" w:space="0" w:color="auto"/>
                            <w:left w:val="none" w:sz="0" w:space="0" w:color="auto"/>
                            <w:bottom w:val="none" w:sz="0" w:space="0" w:color="auto"/>
                            <w:right w:val="none" w:sz="0" w:space="0" w:color="auto"/>
                          </w:divBdr>
                          <w:divsChild>
                            <w:div w:id="880945643">
                              <w:marLeft w:val="0"/>
                              <w:marRight w:val="0"/>
                              <w:marTop w:val="0"/>
                              <w:marBottom w:val="0"/>
                              <w:divBdr>
                                <w:top w:val="none" w:sz="0" w:space="0" w:color="auto"/>
                                <w:left w:val="none" w:sz="0" w:space="0" w:color="auto"/>
                                <w:bottom w:val="none" w:sz="0" w:space="0" w:color="auto"/>
                                <w:right w:val="none" w:sz="0" w:space="0" w:color="auto"/>
                              </w:divBdr>
                              <w:divsChild>
                                <w:div w:id="358513197">
                                  <w:marLeft w:val="0"/>
                                  <w:marRight w:val="0"/>
                                  <w:marTop w:val="0"/>
                                  <w:marBottom w:val="0"/>
                                  <w:divBdr>
                                    <w:top w:val="none" w:sz="0" w:space="0" w:color="auto"/>
                                    <w:left w:val="none" w:sz="0" w:space="0" w:color="auto"/>
                                    <w:bottom w:val="none" w:sz="0" w:space="0" w:color="auto"/>
                                    <w:right w:val="none" w:sz="0" w:space="0" w:color="auto"/>
                                  </w:divBdr>
                                  <w:divsChild>
                                    <w:div w:id="1366103516">
                                      <w:marLeft w:val="0"/>
                                      <w:marRight w:val="0"/>
                                      <w:marTop w:val="0"/>
                                      <w:marBottom w:val="0"/>
                                      <w:divBdr>
                                        <w:top w:val="none" w:sz="0" w:space="0" w:color="auto"/>
                                        <w:left w:val="none" w:sz="0" w:space="0" w:color="auto"/>
                                        <w:bottom w:val="none" w:sz="0" w:space="0" w:color="auto"/>
                                        <w:right w:val="none" w:sz="0" w:space="0" w:color="auto"/>
                                      </w:divBdr>
                                      <w:divsChild>
                                        <w:div w:id="1921670383">
                                          <w:marLeft w:val="0"/>
                                          <w:marRight w:val="0"/>
                                          <w:marTop w:val="0"/>
                                          <w:marBottom w:val="0"/>
                                          <w:divBdr>
                                            <w:top w:val="none" w:sz="0" w:space="0" w:color="auto"/>
                                            <w:left w:val="none" w:sz="0" w:space="0" w:color="auto"/>
                                            <w:bottom w:val="none" w:sz="0" w:space="0" w:color="auto"/>
                                            <w:right w:val="none" w:sz="0" w:space="0" w:color="auto"/>
                                          </w:divBdr>
                                          <w:divsChild>
                                            <w:div w:id="976227765">
                                              <w:marLeft w:val="0"/>
                                              <w:marRight w:val="0"/>
                                              <w:marTop w:val="0"/>
                                              <w:marBottom w:val="0"/>
                                              <w:divBdr>
                                                <w:top w:val="none" w:sz="0" w:space="0" w:color="auto"/>
                                                <w:left w:val="none" w:sz="0" w:space="0" w:color="auto"/>
                                                <w:bottom w:val="none" w:sz="0" w:space="0" w:color="auto"/>
                                                <w:right w:val="none" w:sz="0" w:space="0" w:color="auto"/>
                                              </w:divBdr>
                                              <w:divsChild>
                                                <w:div w:id="1622416878">
                                                  <w:marLeft w:val="0"/>
                                                  <w:marRight w:val="0"/>
                                                  <w:marTop w:val="0"/>
                                                  <w:marBottom w:val="0"/>
                                                  <w:divBdr>
                                                    <w:top w:val="none" w:sz="0" w:space="0" w:color="auto"/>
                                                    <w:left w:val="none" w:sz="0" w:space="0" w:color="auto"/>
                                                    <w:bottom w:val="none" w:sz="0" w:space="0" w:color="auto"/>
                                                    <w:right w:val="none" w:sz="0" w:space="0" w:color="auto"/>
                                                  </w:divBdr>
                                                  <w:divsChild>
                                                    <w:div w:id="146171944">
                                                      <w:marLeft w:val="0"/>
                                                      <w:marRight w:val="0"/>
                                                      <w:marTop w:val="0"/>
                                                      <w:marBottom w:val="0"/>
                                                      <w:divBdr>
                                                        <w:top w:val="none" w:sz="0" w:space="0" w:color="auto"/>
                                                        <w:left w:val="none" w:sz="0" w:space="0" w:color="auto"/>
                                                        <w:bottom w:val="none" w:sz="0" w:space="0" w:color="auto"/>
                                                        <w:right w:val="none" w:sz="0" w:space="0" w:color="auto"/>
                                                      </w:divBdr>
                                                      <w:divsChild>
                                                        <w:div w:id="1198082140">
                                                          <w:marLeft w:val="0"/>
                                                          <w:marRight w:val="0"/>
                                                          <w:marTop w:val="0"/>
                                                          <w:marBottom w:val="0"/>
                                                          <w:divBdr>
                                                            <w:top w:val="none" w:sz="0" w:space="0" w:color="auto"/>
                                                            <w:left w:val="none" w:sz="0" w:space="0" w:color="auto"/>
                                                            <w:bottom w:val="none" w:sz="0" w:space="0" w:color="auto"/>
                                                            <w:right w:val="none" w:sz="0" w:space="0" w:color="auto"/>
                                                          </w:divBdr>
                                                          <w:divsChild>
                                                            <w:div w:id="820464981">
                                                              <w:marLeft w:val="0"/>
                                                              <w:marRight w:val="0"/>
                                                              <w:marTop w:val="0"/>
                                                              <w:marBottom w:val="0"/>
                                                              <w:divBdr>
                                                                <w:top w:val="none" w:sz="0" w:space="0" w:color="auto"/>
                                                                <w:left w:val="none" w:sz="0" w:space="0" w:color="auto"/>
                                                                <w:bottom w:val="none" w:sz="0" w:space="0" w:color="auto"/>
                                                                <w:right w:val="none" w:sz="0" w:space="0" w:color="auto"/>
                                                              </w:divBdr>
                                                            </w:div>
                                                            <w:div w:id="514154064">
                                                              <w:marLeft w:val="0"/>
                                                              <w:marRight w:val="0"/>
                                                              <w:marTop w:val="0"/>
                                                              <w:marBottom w:val="0"/>
                                                              <w:divBdr>
                                                                <w:top w:val="none" w:sz="0" w:space="0" w:color="auto"/>
                                                                <w:left w:val="none" w:sz="0" w:space="0" w:color="auto"/>
                                                                <w:bottom w:val="none" w:sz="0" w:space="0" w:color="auto"/>
                                                                <w:right w:val="none" w:sz="0" w:space="0" w:color="auto"/>
                                                              </w:divBdr>
                                                              <w:divsChild>
                                                                <w:div w:id="765467877">
                                                                  <w:marLeft w:val="0"/>
                                                                  <w:marRight w:val="0"/>
                                                                  <w:marTop w:val="0"/>
                                                                  <w:marBottom w:val="0"/>
                                                                  <w:divBdr>
                                                                    <w:top w:val="none" w:sz="0" w:space="0" w:color="auto"/>
                                                                    <w:left w:val="none" w:sz="0" w:space="0" w:color="auto"/>
                                                                    <w:bottom w:val="none" w:sz="0" w:space="0" w:color="auto"/>
                                                                    <w:right w:val="none" w:sz="0" w:space="0" w:color="auto"/>
                                                                  </w:divBdr>
                                                                  <w:divsChild>
                                                                    <w:div w:id="1452242546">
                                                                      <w:marLeft w:val="0"/>
                                                                      <w:marRight w:val="0"/>
                                                                      <w:marTop w:val="0"/>
                                                                      <w:marBottom w:val="0"/>
                                                                      <w:divBdr>
                                                                        <w:top w:val="none" w:sz="0" w:space="0" w:color="auto"/>
                                                                        <w:left w:val="none" w:sz="0" w:space="0" w:color="auto"/>
                                                                        <w:bottom w:val="none" w:sz="0" w:space="0" w:color="auto"/>
                                                                        <w:right w:val="none" w:sz="0" w:space="0" w:color="auto"/>
                                                                      </w:divBdr>
                                                                      <w:divsChild>
                                                                        <w:div w:id="590241294">
                                                                          <w:marLeft w:val="0"/>
                                                                          <w:marRight w:val="0"/>
                                                                          <w:marTop w:val="0"/>
                                                                          <w:marBottom w:val="0"/>
                                                                          <w:divBdr>
                                                                            <w:top w:val="none" w:sz="0" w:space="0" w:color="auto"/>
                                                                            <w:left w:val="none" w:sz="0" w:space="0" w:color="auto"/>
                                                                            <w:bottom w:val="none" w:sz="0" w:space="0" w:color="auto"/>
                                                                            <w:right w:val="none" w:sz="0" w:space="0" w:color="auto"/>
                                                                          </w:divBdr>
                                                                          <w:divsChild>
                                                                            <w:div w:id="132021648">
                                                                              <w:marLeft w:val="0"/>
                                                                              <w:marRight w:val="0"/>
                                                                              <w:marTop w:val="0"/>
                                                                              <w:marBottom w:val="0"/>
                                                                              <w:divBdr>
                                                                                <w:top w:val="none" w:sz="0" w:space="0" w:color="auto"/>
                                                                                <w:left w:val="none" w:sz="0" w:space="0" w:color="auto"/>
                                                                                <w:bottom w:val="none" w:sz="0" w:space="0" w:color="auto"/>
                                                                                <w:right w:val="none" w:sz="0" w:space="0" w:color="auto"/>
                                                                              </w:divBdr>
                                                                              <w:divsChild>
                                                                                <w:div w:id="244649822">
                                                                                  <w:marLeft w:val="0"/>
                                                                                  <w:marRight w:val="0"/>
                                                                                  <w:marTop w:val="0"/>
                                                                                  <w:marBottom w:val="0"/>
                                                                                  <w:divBdr>
                                                                                    <w:top w:val="none" w:sz="0" w:space="0" w:color="auto"/>
                                                                                    <w:left w:val="none" w:sz="0" w:space="0" w:color="auto"/>
                                                                                    <w:bottom w:val="none" w:sz="0" w:space="0" w:color="auto"/>
                                                                                    <w:right w:val="none" w:sz="0" w:space="0" w:color="auto"/>
                                                                                  </w:divBdr>
                                                                                  <w:divsChild>
                                                                                    <w:div w:id="69620635">
                                                                                      <w:marLeft w:val="0"/>
                                                                                      <w:marRight w:val="0"/>
                                                                                      <w:marTop w:val="0"/>
                                                                                      <w:marBottom w:val="0"/>
                                                                                      <w:divBdr>
                                                                                        <w:top w:val="none" w:sz="0" w:space="0" w:color="auto"/>
                                                                                        <w:left w:val="none" w:sz="0" w:space="0" w:color="auto"/>
                                                                                        <w:bottom w:val="none" w:sz="0" w:space="0" w:color="auto"/>
                                                                                        <w:right w:val="none" w:sz="0" w:space="0" w:color="auto"/>
                                                                                      </w:divBdr>
                                                                                      <w:divsChild>
                                                                                        <w:div w:id="26494651">
                                                                                          <w:marLeft w:val="0"/>
                                                                                          <w:marRight w:val="0"/>
                                                                                          <w:marTop w:val="0"/>
                                                                                          <w:marBottom w:val="0"/>
                                                                                          <w:divBdr>
                                                                                            <w:top w:val="none" w:sz="0" w:space="0" w:color="auto"/>
                                                                                            <w:left w:val="none" w:sz="0" w:space="0" w:color="auto"/>
                                                                                            <w:bottom w:val="none" w:sz="0" w:space="0" w:color="auto"/>
                                                                                            <w:right w:val="none" w:sz="0" w:space="0" w:color="auto"/>
                                                                                          </w:divBdr>
                                                                                          <w:divsChild>
                                                                                            <w:div w:id="974526853">
                                                                                              <w:marLeft w:val="0"/>
                                                                                              <w:marRight w:val="0"/>
                                                                                              <w:marTop w:val="0"/>
                                                                                              <w:marBottom w:val="0"/>
                                                                                              <w:divBdr>
                                                                                                <w:top w:val="none" w:sz="0" w:space="0" w:color="auto"/>
                                                                                                <w:left w:val="none" w:sz="0" w:space="0" w:color="auto"/>
                                                                                                <w:bottom w:val="none" w:sz="0" w:space="0" w:color="auto"/>
                                                                                                <w:right w:val="none" w:sz="0" w:space="0" w:color="auto"/>
                                                                                              </w:divBdr>
                                                                                              <w:divsChild>
                                                                                                <w:div w:id="480775522">
                                                                                                  <w:marLeft w:val="0"/>
                                                                                                  <w:marRight w:val="0"/>
                                                                                                  <w:marTop w:val="0"/>
                                                                                                  <w:marBottom w:val="0"/>
                                                                                                  <w:divBdr>
                                                                                                    <w:top w:val="none" w:sz="0" w:space="0" w:color="auto"/>
                                                                                                    <w:left w:val="none" w:sz="0" w:space="0" w:color="auto"/>
                                                                                                    <w:bottom w:val="none" w:sz="0" w:space="0" w:color="auto"/>
                                                                                                    <w:right w:val="none" w:sz="0" w:space="0" w:color="auto"/>
                                                                                                  </w:divBdr>
                                                                                                  <w:divsChild>
                                                                                                    <w:div w:id="1020470264">
                                                                                                      <w:marLeft w:val="0"/>
                                                                                                      <w:marRight w:val="0"/>
                                                                                                      <w:marTop w:val="0"/>
                                                                                                      <w:marBottom w:val="0"/>
                                                                                                      <w:divBdr>
                                                                                                        <w:top w:val="none" w:sz="0" w:space="0" w:color="auto"/>
                                                                                                        <w:left w:val="none" w:sz="0" w:space="0" w:color="auto"/>
                                                                                                        <w:bottom w:val="none" w:sz="0" w:space="0" w:color="auto"/>
                                                                                                        <w:right w:val="none" w:sz="0" w:space="0" w:color="auto"/>
                                                                                                      </w:divBdr>
                                                                                                      <w:divsChild>
                                                                                                        <w:div w:id="1293101017">
                                                                                                          <w:marLeft w:val="0"/>
                                                                                                          <w:marRight w:val="0"/>
                                                                                                          <w:marTop w:val="0"/>
                                                                                                          <w:marBottom w:val="0"/>
                                                                                                          <w:divBdr>
                                                                                                            <w:top w:val="none" w:sz="0" w:space="0" w:color="auto"/>
                                                                                                            <w:left w:val="none" w:sz="0" w:space="0" w:color="auto"/>
                                                                                                            <w:bottom w:val="none" w:sz="0" w:space="0" w:color="auto"/>
                                                                                                            <w:right w:val="none" w:sz="0" w:space="0" w:color="auto"/>
                                                                                                          </w:divBdr>
                                                                                                          <w:divsChild>
                                                                                                            <w:div w:id="1655793877">
                                                                                                              <w:marLeft w:val="0"/>
                                                                                                              <w:marRight w:val="0"/>
                                                                                                              <w:marTop w:val="0"/>
                                                                                                              <w:marBottom w:val="0"/>
                                                                                                              <w:divBdr>
                                                                                                                <w:top w:val="none" w:sz="0" w:space="0" w:color="auto"/>
                                                                                                                <w:left w:val="none" w:sz="0" w:space="0" w:color="auto"/>
                                                                                                                <w:bottom w:val="none" w:sz="0" w:space="0" w:color="auto"/>
                                                                                                                <w:right w:val="none" w:sz="0" w:space="0" w:color="auto"/>
                                                                                                              </w:divBdr>
                                                                                                              <w:divsChild>
                                                                                                                <w:div w:id="15199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9436">
                                                                                                      <w:marLeft w:val="0"/>
                                                                                                      <w:marRight w:val="0"/>
                                                                                                      <w:marTop w:val="0"/>
                                                                                                      <w:marBottom w:val="0"/>
                                                                                                      <w:divBdr>
                                                                                                        <w:top w:val="none" w:sz="0" w:space="0" w:color="auto"/>
                                                                                                        <w:left w:val="none" w:sz="0" w:space="0" w:color="auto"/>
                                                                                                        <w:bottom w:val="none" w:sz="0" w:space="0" w:color="auto"/>
                                                                                                        <w:right w:val="none" w:sz="0" w:space="0" w:color="auto"/>
                                                                                                      </w:divBdr>
                                                                                                    </w:div>
                                                                                                  </w:divsChild>
                                                                                                </w:div>
                                                                                                <w:div w:id="1649555441">
                                                                                                  <w:marLeft w:val="0"/>
                                                                                                  <w:marRight w:val="0"/>
                                                                                                  <w:marTop w:val="0"/>
                                                                                                  <w:marBottom w:val="0"/>
                                                                                                  <w:divBdr>
                                                                                                    <w:top w:val="none" w:sz="0" w:space="0" w:color="auto"/>
                                                                                                    <w:left w:val="none" w:sz="0" w:space="0" w:color="auto"/>
                                                                                                    <w:bottom w:val="none" w:sz="0" w:space="0" w:color="auto"/>
                                                                                                    <w:right w:val="none" w:sz="0" w:space="0" w:color="auto"/>
                                                                                                  </w:divBdr>
                                                                                                  <w:divsChild>
                                                                                                    <w:div w:id="667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1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0071">
                                                                      <w:marLeft w:val="0"/>
                                                                      <w:marRight w:val="0"/>
                                                                      <w:marTop w:val="0"/>
                                                                      <w:marBottom w:val="0"/>
                                                                      <w:divBdr>
                                                                        <w:top w:val="none" w:sz="0" w:space="0" w:color="auto"/>
                                                                        <w:left w:val="none" w:sz="0" w:space="0" w:color="auto"/>
                                                                        <w:bottom w:val="none" w:sz="0" w:space="0" w:color="auto"/>
                                                                        <w:right w:val="none" w:sz="0" w:space="0" w:color="auto"/>
                                                                      </w:divBdr>
                                                                      <w:divsChild>
                                                                        <w:div w:id="477502967">
                                                                          <w:marLeft w:val="0"/>
                                                                          <w:marRight w:val="0"/>
                                                                          <w:marTop w:val="0"/>
                                                                          <w:marBottom w:val="0"/>
                                                                          <w:divBdr>
                                                                            <w:top w:val="none" w:sz="0" w:space="0" w:color="auto"/>
                                                                            <w:left w:val="none" w:sz="0" w:space="0" w:color="auto"/>
                                                                            <w:bottom w:val="none" w:sz="0" w:space="0" w:color="auto"/>
                                                                            <w:right w:val="none" w:sz="0" w:space="0" w:color="auto"/>
                                                                          </w:divBdr>
                                                                        </w:div>
                                                                        <w:div w:id="7932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892015">
          <w:marLeft w:val="0"/>
          <w:marRight w:val="0"/>
          <w:marTop w:val="0"/>
          <w:marBottom w:val="0"/>
          <w:divBdr>
            <w:top w:val="none" w:sz="0" w:space="0" w:color="auto"/>
            <w:left w:val="none" w:sz="0" w:space="0" w:color="auto"/>
            <w:bottom w:val="none" w:sz="0" w:space="0" w:color="auto"/>
            <w:right w:val="none" w:sz="0" w:space="0" w:color="auto"/>
          </w:divBdr>
          <w:divsChild>
            <w:div w:id="588733359">
              <w:marLeft w:val="0"/>
              <w:marRight w:val="0"/>
              <w:marTop w:val="0"/>
              <w:marBottom w:val="0"/>
              <w:divBdr>
                <w:top w:val="none" w:sz="0" w:space="0" w:color="auto"/>
                <w:left w:val="none" w:sz="0" w:space="0" w:color="auto"/>
                <w:bottom w:val="none" w:sz="0" w:space="0" w:color="auto"/>
                <w:right w:val="none" w:sz="0" w:space="0" w:color="auto"/>
              </w:divBdr>
              <w:divsChild>
                <w:div w:id="17130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237">
      <w:bodyDiv w:val="1"/>
      <w:marLeft w:val="0"/>
      <w:marRight w:val="0"/>
      <w:marTop w:val="0"/>
      <w:marBottom w:val="0"/>
      <w:divBdr>
        <w:top w:val="none" w:sz="0" w:space="0" w:color="auto"/>
        <w:left w:val="none" w:sz="0" w:space="0" w:color="auto"/>
        <w:bottom w:val="none" w:sz="0" w:space="0" w:color="auto"/>
        <w:right w:val="none" w:sz="0" w:space="0" w:color="auto"/>
      </w:divBdr>
    </w:div>
    <w:div w:id="346948713">
      <w:bodyDiv w:val="1"/>
      <w:marLeft w:val="0"/>
      <w:marRight w:val="0"/>
      <w:marTop w:val="0"/>
      <w:marBottom w:val="0"/>
      <w:divBdr>
        <w:top w:val="none" w:sz="0" w:space="0" w:color="auto"/>
        <w:left w:val="none" w:sz="0" w:space="0" w:color="auto"/>
        <w:bottom w:val="none" w:sz="0" w:space="0" w:color="auto"/>
        <w:right w:val="none" w:sz="0" w:space="0" w:color="auto"/>
      </w:divBdr>
    </w:div>
    <w:div w:id="356583821">
      <w:bodyDiv w:val="1"/>
      <w:marLeft w:val="0"/>
      <w:marRight w:val="0"/>
      <w:marTop w:val="0"/>
      <w:marBottom w:val="0"/>
      <w:divBdr>
        <w:top w:val="none" w:sz="0" w:space="0" w:color="auto"/>
        <w:left w:val="none" w:sz="0" w:space="0" w:color="auto"/>
        <w:bottom w:val="none" w:sz="0" w:space="0" w:color="auto"/>
        <w:right w:val="none" w:sz="0" w:space="0" w:color="auto"/>
      </w:divBdr>
    </w:div>
    <w:div w:id="367879679">
      <w:bodyDiv w:val="1"/>
      <w:marLeft w:val="0"/>
      <w:marRight w:val="0"/>
      <w:marTop w:val="0"/>
      <w:marBottom w:val="0"/>
      <w:divBdr>
        <w:top w:val="none" w:sz="0" w:space="0" w:color="auto"/>
        <w:left w:val="none" w:sz="0" w:space="0" w:color="auto"/>
        <w:bottom w:val="none" w:sz="0" w:space="0" w:color="auto"/>
        <w:right w:val="none" w:sz="0" w:space="0" w:color="auto"/>
      </w:divBdr>
    </w:div>
    <w:div w:id="368339222">
      <w:bodyDiv w:val="1"/>
      <w:marLeft w:val="0"/>
      <w:marRight w:val="0"/>
      <w:marTop w:val="0"/>
      <w:marBottom w:val="0"/>
      <w:divBdr>
        <w:top w:val="none" w:sz="0" w:space="0" w:color="auto"/>
        <w:left w:val="none" w:sz="0" w:space="0" w:color="auto"/>
        <w:bottom w:val="none" w:sz="0" w:space="0" w:color="auto"/>
        <w:right w:val="none" w:sz="0" w:space="0" w:color="auto"/>
      </w:divBdr>
    </w:div>
    <w:div w:id="383870680">
      <w:bodyDiv w:val="1"/>
      <w:marLeft w:val="0"/>
      <w:marRight w:val="0"/>
      <w:marTop w:val="0"/>
      <w:marBottom w:val="0"/>
      <w:divBdr>
        <w:top w:val="none" w:sz="0" w:space="0" w:color="auto"/>
        <w:left w:val="none" w:sz="0" w:space="0" w:color="auto"/>
        <w:bottom w:val="none" w:sz="0" w:space="0" w:color="auto"/>
        <w:right w:val="none" w:sz="0" w:space="0" w:color="auto"/>
      </w:divBdr>
    </w:div>
    <w:div w:id="393046029">
      <w:bodyDiv w:val="1"/>
      <w:marLeft w:val="0"/>
      <w:marRight w:val="0"/>
      <w:marTop w:val="0"/>
      <w:marBottom w:val="0"/>
      <w:divBdr>
        <w:top w:val="none" w:sz="0" w:space="0" w:color="auto"/>
        <w:left w:val="none" w:sz="0" w:space="0" w:color="auto"/>
        <w:bottom w:val="none" w:sz="0" w:space="0" w:color="auto"/>
        <w:right w:val="none" w:sz="0" w:space="0" w:color="auto"/>
      </w:divBdr>
    </w:div>
    <w:div w:id="414329595">
      <w:bodyDiv w:val="1"/>
      <w:marLeft w:val="0"/>
      <w:marRight w:val="0"/>
      <w:marTop w:val="0"/>
      <w:marBottom w:val="0"/>
      <w:divBdr>
        <w:top w:val="none" w:sz="0" w:space="0" w:color="auto"/>
        <w:left w:val="none" w:sz="0" w:space="0" w:color="auto"/>
        <w:bottom w:val="none" w:sz="0" w:space="0" w:color="auto"/>
        <w:right w:val="none" w:sz="0" w:space="0" w:color="auto"/>
      </w:divBdr>
      <w:divsChild>
        <w:div w:id="791486535">
          <w:marLeft w:val="0"/>
          <w:marRight w:val="0"/>
          <w:marTop w:val="0"/>
          <w:marBottom w:val="0"/>
          <w:divBdr>
            <w:top w:val="none" w:sz="0" w:space="0" w:color="auto"/>
            <w:left w:val="none" w:sz="0" w:space="0" w:color="auto"/>
            <w:bottom w:val="none" w:sz="0" w:space="0" w:color="auto"/>
            <w:right w:val="none" w:sz="0" w:space="0" w:color="auto"/>
          </w:divBdr>
        </w:div>
        <w:div w:id="1745493101">
          <w:marLeft w:val="0"/>
          <w:marRight w:val="0"/>
          <w:marTop w:val="0"/>
          <w:marBottom w:val="0"/>
          <w:divBdr>
            <w:top w:val="none" w:sz="0" w:space="0" w:color="auto"/>
            <w:left w:val="none" w:sz="0" w:space="0" w:color="auto"/>
            <w:bottom w:val="none" w:sz="0" w:space="0" w:color="auto"/>
            <w:right w:val="none" w:sz="0" w:space="0" w:color="auto"/>
          </w:divBdr>
        </w:div>
      </w:divsChild>
    </w:div>
    <w:div w:id="446506201">
      <w:bodyDiv w:val="1"/>
      <w:marLeft w:val="0"/>
      <w:marRight w:val="0"/>
      <w:marTop w:val="0"/>
      <w:marBottom w:val="0"/>
      <w:divBdr>
        <w:top w:val="none" w:sz="0" w:space="0" w:color="auto"/>
        <w:left w:val="none" w:sz="0" w:space="0" w:color="auto"/>
        <w:bottom w:val="none" w:sz="0" w:space="0" w:color="auto"/>
        <w:right w:val="none" w:sz="0" w:space="0" w:color="auto"/>
      </w:divBdr>
    </w:div>
    <w:div w:id="454057265">
      <w:bodyDiv w:val="1"/>
      <w:marLeft w:val="0"/>
      <w:marRight w:val="0"/>
      <w:marTop w:val="0"/>
      <w:marBottom w:val="0"/>
      <w:divBdr>
        <w:top w:val="none" w:sz="0" w:space="0" w:color="auto"/>
        <w:left w:val="none" w:sz="0" w:space="0" w:color="auto"/>
        <w:bottom w:val="none" w:sz="0" w:space="0" w:color="auto"/>
        <w:right w:val="none" w:sz="0" w:space="0" w:color="auto"/>
      </w:divBdr>
    </w:div>
    <w:div w:id="457187803">
      <w:bodyDiv w:val="1"/>
      <w:marLeft w:val="0"/>
      <w:marRight w:val="0"/>
      <w:marTop w:val="0"/>
      <w:marBottom w:val="0"/>
      <w:divBdr>
        <w:top w:val="none" w:sz="0" w:space="0" w:color="auto"/>
        <w:left w:val="none" w:sz="0" w:space="0" w:color="auto"/>
        <w:bottom w:val="none" w:sz="0" w:space="0" w:color="auto"/>
        <w:right w:val="none" w:sz="0" w:space="0" w:color="auto"/>
      </w:divBdr>
    </w:div>
    <w:div w:id="464739633">
      <w:bodyDiv w:val="1"/>
      <w:marLeft w:val="0"/>
      <w:marRight w:val="0"/>
      <w:marTop w:val="0"/>
      <w:marBottom w:val="0"/>
      <w:divBdr>
        <w:top w:val="none" w:sz="0" w:space="0" w:color="auto"/>
        <w:left w:val="none" w:sz="0" w:space="0" w:color="auto"/>
        <w:bottom w:val="none" w:sz="0" w:space="0" w:color="auto"/>
        <w:right w:val="none" w:sz="0" w:space="0" w:color="auto"/>
      </w:divBdr>
    </w:div>
    <w:div w:id="480271744">
      <w:bodyDiv w:val="1"/>
      <w:marLeft w:val="0"/>
      <w:marRight w:val="0"/>
      <w:marTop w:val="0"/>
      <w:marBottom w:val="0"/>
      <w:divBdr>
        <w:top w:val="none" w:sz="0" w:space="0" w:color="auto"/>
        <w:left w:val="none" w:sz="0" w:space="0" w:color="auto"/>
        <w:bottom w:val="none" w:sz="0" w:space="0" w:color="auto"/>
        <w:right w:val="none" w:sz="0" w:space="0" w:color="auto"/>
      </w:divBdr>
    </w:div>
    <w:div w:id="488399133">
      <w:bodyDiv w:val="1"/>
      <w:marLeft w:val="0"/>
      <w:marRight w:val="0"/>
      <w:marTop w:val="0"/>
      <w:marBottom w:val="0"/>
      <w:divBdr>
        <w:top w:val="none" w:sz="0" w:space="0" w:color="auto"/>
        <w:left w:val="none" w:sz="0" w:space="0" w:color="auto"/>
        <w:bottom w:val="none" w:sz="0" w:space="0" w:color="auto"/>
        <w:right w:val="none" w:sz="0" w:space="0" w:color="auto"/>
      </w:divBdr>
    </w:div>
    <w:div w:id="510333804">
      <w:bodyDiv w:val="1"/>
      <w:marLeft w:val="0"/>
      <w:marRight w:val="0"/>
      <w:marTop w:val="0"/>
      <w:marBottom w:val="0"/>
      <w:divBdr>
        <w:top w:val="none" w:sz="0" w:space="0" w:color="auto"/>
        <w:left w:val="none" w:sz="0" w:space="0" w:color="auto"/>
        <w:bottom w:val="none" w:sz="0" w:space="0" w:color="auto"/>
        <w:right w:val="none" w:sz="0" w:space="0" w:color="auto"/>
      </w:divBdr>
    </w:div>
    <w:div w:id="540021522">
      <w:bodyDiv w:val="1"/>
      <w:marLeft w:val="0"/>
      <w:marRight w:val="0"/>
      <w:marTop w:val="0"/>
      <w:marBottom w:val="0"/>
      <w:divBdr>
        <w:top w:val="none" w:sz="0" w:space="0" w:color="auto"/>
        <w:left w:val="none" w:sz="0" w:space="0" w:color="auto"/>
        <w:bottom w:val="none" w:sz="0" w:space="0" w:color="auto"/>
        <w:right w:val="none" w:sz="0" w:space="0" w:color="auto"/>
      </w:divBdr>
    </w:div>
    <w:div w:id="552695610">
      <w:bodyDiv w:val="1"/>
      <w:marLeft w:val="0"/>
      <w:marRight w:val="0"/>
      <w:marTop w:val="0"/>
      <w:marBottom w:val="0"/>
      <w:divBdr>
        <w:top w:val="none" w:sz="0" w:space="0" w:color="auto"/>
        <w:left w:val="none" w:sz="0" w:space="0" w:color="auto"/>
        <w:bottom w:val="none" w:sz="0" w:space="0" w:color="auto"/>
        <w:right w:val="none" w:sz="0" w:space="0" w:color="auto"/>
      </w:divBdr>
    </w:div>
    <w:div w:id="571164322">
      <w:bodyDiv w:val="1"/>
      <w:marLeft w:val="0"/>
      <w:marRight w:val="0"/>
      <w:marTop w:val="0"/>
      <w:marBottom w:val="0"/>
      <w:divBdr>
        <w:top w:val="none" w:sz="0" w:space="0" w:color="auto"/>
        <w:left w:val="none" w:sz="0" w:space="0" w:color="auto"/>
        <w:bottom w:val="none" w:sz="0" w:space="0" w:color="auto"/>
        <w:right w:val="none" w:sz="0" w:space="0" w:color="auto"/>
      </w:divBdr>
    </w:div>
    <w:div w:id="608320484">
      <w:bodyDiv w:val="1"/>
      <w:marLeft w:val="0"/>
      <w:marRight w:val="0"/>
      <w:marTop w:val="0"/>
      <w:marBottom w:val="0"/>
      <w:divBdr>
        <w:top w:val="none" w:sz="0" w:space="0" w:color="auto"/>
        <w:left w:val="none" w:sz="0" w:space="0" w:color="auto"/>
        <w:bottom w:val="none" w:sz="0" w:space="0" w:color="auto"/>
        <w:right w:val="none" w:sz="0" w:space="0" w:color="auto"/>
      </w:divBdr>
    </w:div>
    <w:div w:id="609357154">
      <w:bodyDiv w:val="1"/>
      <w:marLeft w:val="0"/>
      <w:marRight w:val="0"/>
      <w:marTop w:val="0"/>
      <w:marBottom w:val="0"/>
      <w:divBdr>
        <w:top w:val="none" w:sz="0" w:space="0" w:color="auto"/>
        <w:left w:val="none" w:sz="0" w:space="0" w:color="auto"/>
        <w:bottom w:val="none" w:sz="0" w:space="0" w:color="auto"/>
        <w:right w:val="none" w:sz="0" w:space="0" w:color="auto"/>
      </w:divBdr>
    </w:div>
    <w:div w:id="643044923">
      <w:bodyDiv w:val="1"/>
      <w:marLeft w:val="0"/>
      <w:marRight w:val="0"/>
      <w:marTop w:val="0"/>
      <w:marBottom w:val="0"/>
      <w:divBdr>
        <w:top w:val="none" w:sz="0" w:space="0" w:color="auto"/>
        <w:left w:val="none" w:sz="0" w:space="0" w:color="auto"/>
        <w:bottom w:val="none" w:sz="0" w:space="0" w:color="auto"/>
        <w:right w:val="none" w:sz="0" w:space="0" w:color="auto"/>
      </w:divBdr>
    </w:div>
    <w:div w:id="661811844">
      <w:bodyDiv w:val="1"/>
      <w:marLeft w:val="0"/>
      <w:marRight w:val="0"/>
      <w:marTop w:val="0"/>
      <w:marBottom w:val="0"/>
      <w:divBdr>
        <w:top w:val="none" w:sz="0" w:space="0" w:color="auto"/>
        <w:left w:val="none" w:sz="0" w:space="0" w:color="auto"/>
        <w:bottom w:val="none" w:sz="0" w:space="0" w:color="auto"/>
        <w:right w:val="none" w:sz="0" w:space="0" w:color="auto"/>
      </w:divBdr>
    </w:div>
    <w:div w:id="666445640">
      <w:bodyDiv w:val="1"/>
      <w:marLeft w:val="0"/>
      <w:marRight w:val="0"/>
      <w:marTop w:val="0"/>
      <w:marBottom w:val="0"/>
      <w:divBdr>
        <w:top w:val="none" w:sz="0" w:space="0" w:color="auto"/>
        <w:left w:val="none" w:sz="0" w:space="0" w:color="auto"/>
        <w:bottom w:val="none" w:sz="0" w:space="0" w:color="auto"/>
        <w:right w:val="none" w:sz="0" w:space="0" w:color="auto"/>
      </w:divBdr>
    </w:div>
    <w:div w:id="669521704">
      <w:bodyDiv w:val="1"/>
      <w:marLeft w:val="0"/>
      <w:marRight w:val="0"/>
      <w:marTop w:val="0"/>
      <w:marBottom w:val="0"/>
      <w:divBdr>
        <w:top w:val="none" w:sz="0" w:space="0" w:color="auto"/>
        <w:left w:val="none" w:sz="0" w:space="0" w:color="auto"/>
        <w:bottom w:val="none" w:sz="0" w:space="0" w:color="auto"/>
        <w:right w:val="none" w:sz="0" w:space="0" w:color="auto"/>
      </w:divBdr>
    </w:div>
    <w:div w:id="692612719">
      <w:bodyDiv w:val="1"/>
      <w:marLeft w:val="0"/>
      <w:marRight w:val="0"/>
      <w:marTop w:val="0"/>
      <w:marBottom w:val="0"/>
      <w:divBdr>
        <w:top w:val="none" w:sz="0" w:space="0" w:color="auto"/>
        <w:left w:val="none" w:sz="0" w:space="0" w:color="auto"/>
        <w:bottom w:val="none" w:sz="0" w:space="0" w:color="auto"/>
        <w:right w:val="none" w:sz="0" w:space="0" w:color="auto"/>
      </w:divBdr>
      <w:divsChild>
        <w:div w:id="1037895975">
          <w:marLeft w:val="0"/>
          <w:marRight w:val="0"/>
          <w:marTop w:val="0"/>
          <w:marBottom w:val="0"/>
          <w:divBdr>
            <w:top w:val="none" w:sz="0" w:space="0" w:color="auto"/>
            <w:left w:val="none" w:sz="0" w:space="0" w:color="auto"/>
            <w:bottom w:val="none" w:sz="0" w:space="0" w:color="auto"/>
            <w:right w:val="none" w:sz="0" w:space="0" w:color="auto"/>
          </w:divBdr>
        </w:div>
      </w:divsChild>
    </w:div>
    <w:div w:id="695734857">
      <w:bodyDiv w:val="1"/>
      <w:marLeft w:val="0"/>
      <w:marRight w:val="0"/>
      <w:marTop w:val="0"/>
      <w:marBottom w:val="0"/>
      <w:divBdr>
        <w:top w:val="none" w:sz="0" w:space="0" w:color="auto"/>
        <w:left w:val="none" w:sz="0" w:space="0" w:color="auto"/>
        <w:bottom w:val="none" w:sz="0" w:space="0" w:color="auto"/>
        <w:right w:val="none" w:sz="0" w:space="0" w:color="auto"/>
      </w:divBdr>
    </w:div>
    <w:div w:id="709307841">
      <w:bodyDiv w:val="1"/>
      <w:marLeft w:val="0"/>
      <w:marRight w:val="0"/>
      <w:marTop w:val="0"/>
      <w:marBottom w:val="0"/>
      <w:divBdr>
        <w:top w:val="none" w:sz="0" w:space="0" w:color="auto"/>
        <w:left w:val="none" w:sz="0" w:space="0" w:color="auto"/>
        <w:bottom w:val="none" w:sz="0" w:space="0" w:color="auto"/>
        <w:right w:val="none" w:sz="0" w:space="0" w:color="auto"/>
      </w:divBdr>
    </w:div>
    <w:div w:id="716440968">
      <w:bodyDiv w:val="1"/>
      <w:marLeft w:val="0"/>
      <w:marRight w:val="0"/>
      <w:marTop w:val="0"/>
      <w:marBottom w:val="0"/>
      <w:divBdr>
        <w:top w:val="none" w:sz="0" w:space="0" w:color="auto"/>
        <w:left w:val="none" w:sz="0" w:space="0" w:color="auto"/>
        <w:bottom w:val="none" w:sz="0" w:space="0" w:color="auto"/>
        <w:right w:val="none" w:sz="0" w:space="0" w:color="auto"/>
      </w:divBdr>
    </w:div>
    <w:div w:id="752750091">
      <w:bodyDiv w:val="1"/>
      <w:marLeft w:val="0"/>
      <w:marRight w:val="0"/>
      <w:marTop w:val="0"/>
      <w:marBottom w:val="0"/>
      <w:divBdr>
        <w:top w:val="none" w:sz="0" w:space="0" w:color="auto"/>
        <w:left w:val="none" w:sz="0" w:space="0" w:color="auto"/>
        <w:bottom w:val="none" w:sz="0" w:space="0" w:color="auto"/>
        <w:right w:val="none" w:sz="0" w:space="0" w:color="auto"/>
      </w:divBdr>
    </w:div>
    <w:div w:id="764958774">
      <w:bodyDiv w:val="1"/>
      <w:marLeft w:val="0"/>
      <w:marRight w:val="0"/>
      <w:marTop w:val="0"/>
      <w:marBottom w:val="0"/>
      <w:divBdr>
        <w:top w:val="none" w:sz="0" w:space="0" w:color="auto"/>
        <w:left w:val="none" w:sz="0" w:space="0" w:color="auto"/>
        <w:bottom w:val="none" w:sz="0" w:space="0" w:color="auto"/>
        <w:right w:val="none" w:sz="0" w:space="0" w:color="auto"/>
      </w:divBdr>
    </w:div>
    <w:div w:id="784466013">
      <w:bodyDiv w:val="1"/>
      <w:marLeft w:val="0"/>
      <w:marRight w:val="0"/>
      <w:marTop w:val="0"/>
      <w:marBottom w:val="0"/>
      <w:divBdr>
        <w:top w:val="none" w:sz="0" w:space="0" w:color="auto"/>
        <w:left w:val="none" w:sz="0" w:space="0" w:color="auto"/>
        <w:bottom w:val="none" w:sz="0" w:space="0" w:color="auto"/>
        <w:right w:val="none" w:sz="0" w:space="0" w:color="auto"/>
      </w:divBdr>
    </w:div>
    <w:div w:id="786201265">
      <w:bodyDiv w:val="1"/>
      <w:marLeft w:val="0"/>
      <w:marRight w:val="0"/>
      <w:marTop w:val="0"/>
      <w:marBottom w:val="0"/>
      <w:divBdr>
        <w:top w:val="none" w:sz="0" w:space="0" w:color="auto"/>
        <w:left w:val="none" w:sz="0" w:space="0" w:color="auto"/>
        <w:bottom w:val="none" w:sz="0" w:space="0" w:color="auto"/>
        <w:right w:val="none" w:sz="0" w:space="0" w:color="auto"/>
      </w:divBdr>
    </w:div>
    <w:div w:id="814220622">
      <w:bodyDiv w:val="1"/>
      <w:marLeft w:val="0"/>
      <w:marRight w:val="0"/>
      <w:marTop w:val="0"/>
      <w:marBottom w:val="0"/>
      <w:divBdr>
        <w:top w:val="none" w:sz="0" w:space="0" w:color="auto"/>
        <w:left w:val="none" w:sz="0" w:space="0" w:color="auto"/>
        <w:bottom w:val="none" w:sz="0" w:space="0" w:color="auto"/>
        <w:right w:val="none" w:sz="0" w:space="0" w:color="auto"/>
      </w:divBdr>
    </w:div>
    <w:div w:id="865405078">
      <w:bodyDiv w:val="1"/>
      <w:marLeft w:val="0"/>
      <w:marRight w:val="0"/>
      <w:marTop w:val="0"/>
      <w:marBottom w:val="0"/>
      <w:divBdr>
        <w:top w:val="none" w:sz="0" w:space="0" w:color="auto"/>
        <w:left w:val="none" w:sz="0" w:space="0" w:color="auto"/>
        <w:bottom w:val="none" w:sz="0" w:space="0" w:color="auto"/>
        <w:right w:val="none" w:sz="0" w:space="0" w:color="auto"/>
      </w:divBdr>
      <w:divsChild>
        <w:div w:id="1442339210">
          <w:marLeft w:val="0"/>
          <w:marRight w:val="0"/>
          <w:marTop w:val="0"/>
          <w:marBottom w:val="75"/>
          <w:divBdr>
            <w:top w:val="none" w:sz="0" w:space="0" w:color="auto"/>
            <w:left w:val="none" w:sz="0" w:space="0" w:color="auto"/>
            <w:bottom w:val="none" w:sz="0" w:space="0" w:color="auto"/>
            <w:right w:val="none" w:sz="0" w:space="0" w:color="auto"/>
          </w:divBdr>
        </w:div>
      </w:divsChild>
    </w:div>
    <w:div w:id="873616562">
      <w:bodyDiv w:val="1"/>
      <w:marLeft w:val="0"/>
      <w:marRight w:val="0"/>
      <w:marTop w:val="0"/>
      <w:marBottom w:val="0"/>
      <w:divBdr>
        <w:top w:val="none" w:sz="0" w:space="0" w:color="auto"/>
        <w:left w:val="none" w:sz="0" w:space="0" w:color="auto"/>
        <w:bottom w:val="none" w:sz="0" w:space="0" w:color="auto"/>
        <w:right w:val="none" w:sz="0" w:space="0" w:color="auto"/>
      </w:divBdr>
    </w:div>
    <w:div w:id="877819956">
      <w:bodyDiv w:val="1"/>
      <w:marLeft w:val="0"/>
      <w:marRight w:val="0"/>
      <w:marTop w:val="0"/>
      <w:marBottom w:val="0"/>
      <w:divBdr>
        <w:top w:val="none" w:sz="0" w:space="0" w:color="auto"/>
        <w:left w:val="none" w:sz="0" w:space="0" w:color="auto"/>
        <w:bottom w:val="none" w:sz="0" w:space="0" w:color="auto"/>
        <w:right w:val="none" w:sz="0" w:space="0" w:color="auto"/>
      </w:divBdr>
    </w:div>
    <w:div w:id="882060831">
      <w:bodyDiv w:val="1"/>
      <w:marLeft w:val="0"/>
      <w:marRight w:val="0"/>
      <w:marTop w:val="0"/>
      <w:marBottom w:val="0"/>
      <w:divBdr>
        <w:top w:val="none" w:sz="0" w:space="0" w:color="auto"/>
        <w:left w:val="none" w:sz="0" w:space="0" w:color="auto"/>
        <w:bottom w:val="none" w:sz="0" w:space="0" w:color="auto"/>
        <w:right w:val="none" w:sz="0" w:space="0" w:color="auto"/>
      </w:divBdr>
    </w:div>
    <w:div w:id="884023333">
      <w:bodyDiv w:val="1"/>
      <w:marLeft w:val="0"/>
      <w:marRight w:val="0"/>
      <w:marTop w:val="0"/>
      <w:marBottom w:val="0"/>
      <w:divBdr>
        <w:top w:val="none" w:sz="0" w:space="0" w:color="auto"/>
        <w:left w:val="none" w:sz="0" w:space="0" w:color="auto"/>
        <w:bottom w:val="none" w:sz="0" w:space="0" w:color="auto"/>
        <w:right w:val="none" w:sz="0" w:space="0" w:color="auto"/>
      </w:divBdr>
    </w:div>
    <w:div w:id="940256705">
      <w:bodyDiv w:val="1"/>
      <w:marLeft w:val="0"/>
      <w:marRight w:val="0"/>
      <w:marTop w:val="0"/>
      <w:marBottom w:val="0"/>
      <w:divBdr>
        <w:top w:val="none" w:sz="0" w:space="0" w:color="auto"/>
        <w:left w:val="none" w:sz="0" w:space="0" w:color="auto"/>
        <w:bottom w:val="none" w:sz="0" w:space="0" w:color="auto"/>
        <w:right w:val="none" w:sz="0" w:space="0" w:color="auto"/>
      </w:divBdr>
    </w:div>
    <w:div w:id="941036771">
      <w:bodyDiv w:val="1"/>
      <w:marLeft w:val="0"/>
      <w:marRight w:val="0"/>
      <w:marTop w:val="0"/>
      <w:marBottom w:val="0"/>
      <w:divBdr>
        <w:top w:val="none" w:sz="0" w:space="0" w:color="auto"/>
        <w:left w:val="none" w:sz="0" w:space="0" w:color="auto"/>
        <w:bottom w:val="none" w:sz="0" w:space="0" w:color="auto"/>
        <w:right w:val="none" w:sz="0" w:space="0" w:color="auto"/>
      </w:divBdr>
      <w:divsChild>
        <w:div w:id="2172875">
          <w:marLeft w:val="0"/>
          <w:marRight w:val="0"/>
          <w:marTop w:val="0"/>
          <w:marBottom w:val="0"/>
          <w:divBdr>
            <w:top w:val="none" w:sz="0" w:space="0" w:color="auto"/>
            <w:left w:val="none" w:sz="0" w:space="0" w:color="auto"/>
            <w:bottom w:val="none" w:sz="0" w:space="0" w:color="auto"/>
            <w:right w:val="none" w:sz="0" w:space="0" w:color="auto"/>
          </w:divBdr>
        </w:div>
      </w:divsChild>
    </w:div>
    <w:div w:id="955790790">
      <w:bodyDiv w:val="1"/>
      <w:marLeft w:val="0"/>
      <w:marRight w:val="0"/>
      <w:marTop w:val="0"/>
      <w:marBottom w:val="0"/>
      <w:divBdr>
        <w:top w:val="none" w:sz="0" w:space="0" w:color="auto"/>
        <w:left w:val="none" w:sz="0" w:space="0" w:color="auto"/>
        <w:bottom w:val="none" w:sz="0" w:space="0" w:color="auto"/>
        <w:right w:val="none" w:sz="0" w:space="0" w:color="auto"/>
      </w:divBdr>
    </w:div>
    <w:div w:id="960764067">
      <w:bodyDiv w:val="1"/>
      <w:marLeft w:val="0"/>
      <w:marRight w:val="0"/>
      <w:marTop w:val="0"/>
      <w:marBottom w:val="0"/>
      <w:divBdr>
        <w:top w:val="none" w:sz="0" w:space="0" w:color="auto"/>
        <w:left w:val="none" w:sz="0" w:space="0" w:color="auto"/>
        <w:bottom w:val="none" w:sz="0" w:space="0" w:color="auto"/>
        <w:right w:val="none" w:sz="0" w:space="0" w:color="auto"/>
      </w:divBdr>
    </w:div>
    <w:div w:id="975599242">
      <w:bodyDiv w:val="1"/>
      <w:marLeft w:val="0"/>
      <w:marRight w:val="0"/>
      <w:marTop w:val="0"/>
      <w:marBottom w:val="0"/>
      <w:divBdr>
        <w:top w:val="none" w:sz="0" w:space="0" w:color="auto"/>
        <w:left w:val="none" w:sz="0" w:space="0" w:color="auto"/>
        <w:bottom w:val="none" w:sz="0" w:space="0" w:color="auto"/>
        <w:right w:val="none" w:sz="0" w:space="0" w:color="auto"/>
      </w:divBdr>
    </w:div>
    <w:div w:id="977153800">
      <w:bodyDiv w:val="1"/>
      <w:marLeft w:val="0"/>
      <w:marRight w:val="0"/>
      <w:marTop w:val="0"/>
      <w:marBottom w:val="0"/>
      <w:divBdr>
        <w:top w:val="none" w:sz="0" w:space="0" w:color="auto"/>
        <w:left w:val="none" w:sz="0" w:space="0" w:color="auto"/>
        <w:bottom w:val="none" w:sz="0" w:space="0" w:color="auto"/>
        <w:right w:val="none" w:sz="0" w:space="0" w:color="auto"/>
      </w:divBdr>
    </w:div>
    <w:div w:id="979270399">
      <w:bodyDiv w:val="1"/>
      <w:marLeft w:val="0"/>
      <w:marRight w:val="0"/>
      <w:marTop w:val="0"/>
      <w:marBottom w:val="0"/>
      <w:divBdr>
        <w:top w:val="none" w:sz="0" w:space="0" w:color="auto"/>
        <w:left w:val="none" w:sz="0" w:space="0" w:color="auto"/>
        <w:bottom w:val="none" w:sz="0" w:space="0" w:color="auto"/>
        <w:right w:val="none" w:sz="0" w:space="0" w:color="auto"/>
      </w:divBdr>
    </w:div>
    <w:div w:id="989283383">
      <w:bodyDiv w:val="1"/>
      <w:marLeft w:val="0"/>
      <w:marRight w:val="0"/>
      <w:marTop w:val="0"/>
      <w:marBottom w:val="0"/>
      <w:divBdr>
        <w:top w:val="none" w:sz="0" w:space="0" w:color="auto"/>
        <w:left w:val="none" w:sz="0" w:space="0" w:color="auto"/>
        <w:bottom w:val="none" w:sz="0" w:space="0" w:color="auto"/>
        <w:right w:val="none" w:sz="0" w:space="0" w:color="auto"/>
      </w:divBdr>
    </w:div>
    <w:div w:id="1002471116">
      <w:bodyDiv w:val="1"/>
      <w:marLeft w:val="0"/>
      <w:marRight w:val="0"/>
      <w:marTop w:val="0"/>
      <w:marBottom w:val="0"/>
      <w:divBdr>
        <w:top w:val="none" w:sz="0" w:space="0" w:color="auto"/>
        <w:left w:val="none" w:sz="0" w:space="0" w:color="auto"/>
        <w:bottom w:val="none" w:sz="0" w:space="0" w:color="auto"/>
        <w:right w:val="none" w:sz="0" w:space="0" w:color="auto"/>
      </w:divBdr>
    </w:div>
    <w:div w:id="1028605887">
      <w:bodyDiv w:val="1"/>
      <w:marLeft w:val="0"/>
      <w:marRight w:val="0"/>
      <w:marTop w:val="0"/>
      <w:marBottom w:val="0"/>
      <w:divBdr>
        <w:top w:val="none" w:sz="0" w:space="0" w:color="auto"/>
        <w:left w:val="none" w:sz="0" w:space="0" w:color="auto"/>
        <w:bottom w:val="none" w:sz="0" w:space="0" w:color="auto"/>
        <w:right w:val="none" w:sz="0" w:space="0" w:color="auto"/>
      </w:divBdr>
    </w:div>
    <w:div w:id="1028876988">
      <w:bodyDiv w:val="1"/>
      <w:marLeft w:val="0"/>
      <w:marRight w:val="0"/>
      <w:marTop w:val="0"/>
      <w:marBottom w:val="0"/>
      <w:divBdr>
        <w:top w:val="none" w:sz="0" w:space="0" w:color="auto"/>
        <w:left w:val="none" w:sz="0" w:space="0" w:color="auto"/>
        <w:bottom w:val="none" w:sz="0" w:space="0" w:color="auto"/>
        <w:right w:val="none" w:sz="0" w:space="0" w:color="auto"/>
      </w:divBdr>
    </w:div>
    <w:div w:id="1061249452">
      <w:bodyDiv w:val="1"/>
      <w:marLeft w:val="0"/>
      <w:marRight w:val="0"/>
      <w:marTop w:val="0"/>
      <w:marBottom w:val="0"/>
      <w:divBdr>
        <w:top w:val="none" w:sz="0" w:space="0" w:color="auto"/>
        <w:left w:val="none" w:sz="0" w:space="0" w:color="auto"/>
        <w:bottom w:val="none" w:sz="0" w:space="0" w:color="auto"/>
        <w:right w:val="none" w:sz="0" w:space="0" w:color="auto"/>
      </w:divBdr>
    </w:div>
    <w:div w:id="1066146468">
      <w:bodyDiv w:val="1"/>
      <w:marLeft w:val="0"/>
      <w:marRight w:val="0"/>
      <w:marTop w:val="0"/>
      <w:marBottom w:val="0"/>
      <w:divBdr>
        <w:top w:val="none" w:sz="0" w:space="0" w:color="auto"/>
        <w:left w:val="none" w:sz="0" w:space="0" w:color="auto"/>
        <w:bottom w:val="none" w:sz="0" w:space="0" w:color="auto"/>
        <w:right w:val="none" w:sz="0" w:space="0" w:color="auto"/>
      </w:divBdr>
    </w:div>
    <w:div w:id="1078361418">
      <w:bodyDiv w:val="1"/>
      <w:marLeft w:val="0"/>
      <w:marRight w:val="0"/>
      <w:marTop w:val="0"/>
      <w:marBottom w:val="0"/>
      <w:divBdr>
        <w:top w:val="none" w:sz="0" w:space="0" w:color="auto"/>
        <w:left w:val="none" w:sz="0" w:space="0" w:color="auto"/>
        <w:bottom w:val="none" w:sz="0" w:space="0" w:color="auto"/>
        <w:right w:val="none" w:sz="0" w:space="0" w:color="auto"/>
      </w:divBdr>
    </w:div>
    <w:div w:id="1082215216">
      <w:bodyDiv w:val="1"/>
      <w:marLeft w:val="0"/>
      <w:marRight w:val="0"/>
      <w:marTop w:val="0"/>
      <w:marBottom w:val="0"/>
      <w:divBdr>
        <w:top w:val="none" w:sz="0" w:space="0" w:color="auto"/>
        <w:left w:val="none" w:sz="0" w:space="0" w:color="auto"/>
        <w:bottom w:val="none" w:sz="0" w:space="0" w:color="auto"/>
        <w:right w:val="none" w:sz="0" w:space="0" w:color="auto"/>
      </w:divBdr>
    </w:div>
    <w:div w:id="1108156238">
      <w:bodyDiv w:val="1"/>
      <w:marLeft w:val="0"/>
      <w:marRight w:val="0"/>
      <w:marTop w:val="0"/>
      <w:marBottom w:val="0"/>
      <w:divBdr>
        <w:top w:val="none" w:sz="0" w:space="0" w:color="auto"/>
        <w:left w:val="none" w:sz="0" w:space="0" w:color="auto"/>
        <w:bottom w:val="none" w:sz="0" w:space="0" w:color="auto"/>
        <w:right w:val="none" w:sz="0" w:space="0" w:color="auto"/>
      </w:divBdr>
    </w:div>
    <w:div w:id="1122306043">
      <w:bodyDiv w:val="1"/>
      <w:marLeft w:val="0"/>
      <w:marRight w:val="0"/>
      <w:marTop w:val="0"/>
      <w:marBottom w:val="0"/>
      <w:divBdr>
        <w:top w:val="none" w:sz="0" w:space="0" w:color="auto"/>
        <w:left w:val="none" w:sz="0" w:space="0" w:color="auto"/>
        <w:bottom w:val="none" w:sz="0" w:space="0" w:color="auto"/>
        <w:right w:val="none" w:sz="0" w:space="0" w:color="auto"/>
      </w:divBdr>
    </w:div>
    <w:div w:id="1127553397">
      <w:bodyDiv w:val="1"/>
      <w:marLeft w:val="0"/>
      <w:marRight w:val="0"/>
      <w:marTop w:val="0"/>
      <w:marBottom w:val="0"/>
      <w:divBdr>
        <w:top w:val="none" w:sz="0" w:space="0" w:color="auto"/>
        <w:left w:val="none" w:sz="0" w:space="0" w:color="auto"/>
        <w:bottom w:val="none" w:sz="0" w:space="0" w:color="auto"/>
        <w:right w:val="none" w:sz="0" w:space="0" w:color="auto"/>
      </w:divBdr>
    </w:div>
    <w:div w:id="1142769290">
      <w:bodyDiv w:val="1"/>
      <w:marLeft w:val="0"/>
      <w:marRight w:val="0"/>
      <w:marTop w:val="0"/>
      <w:marBottom w:val="0"/>
      <w:divBdr>
        <w:top w:val="none" w:sz="0" w:space="0" w:color="auto"/>
        <w:left w:val="none" w:sz="0" w:space="0" w:color="auto"/>
        <w:bottom w:val="none" w:sz="0" w:space="0" w:color="auto"/>
        <w:right w:val="none" w:sz="0" w:space="0" w:color="auto"/>
      </w:divBdr>
    </w:div>
    <w:div w:id="1148593684">
      <w:bodyDiv w:val="1"/>
      <w:marLeft w:val="0"/>
      <w:marRight w:val="0"/>
      <w:marTop w:val="0"/>
      <w:marBottom w:val="0"/>
      <w:divBdr>
        <w:top w:val="none" w:sz="0" w:space="0" w:color="auto"/>
        <w:left w:val="none" w:sz="0" w:space="0" w:color="auto"/>
        <w:bottom w:val="none" w:sz="0" w:space="0" w:color="auto"/>
        <w:right w:val="none" w:sz="0" w:space="0" w:color="auto"/>
      </w:divBdr>
    </w:div>
    <w:div w:id="1150444992">
      <w:bodyDiv w:val="1"/>
      <w:marLeft w:val="0"/>
      <w:marRight w:val="0"/>
      <w:marTop w:val="0"/>
      <w:marBottom w:val="0"/>
      <w:divBdr>
        <w:top w:val="none" w:sz="0" w:space="0" w:color="auto"/>
        <w:left w:val="none" w:sz="0" w:space="0" w:color="auto"/>
        <w:bottom w:val="none" w:sz="0" w:space="0" w:color="auto"/>
        <w:right w:val="none" w:sz="0" w:space="0" w:color="auto"/>
      </w:divBdr>
    </w:div>
    <w:div w:id="1159808338">
      <w:bodyDiv w:val="1"/>
      <w:marLeft w:val="0"/>
      <w:marRight w:val="0"/>
      <w:marTop w:val="0"/>
      <w:marBottom w:val="0"/>
      <w:divBdr>
        <w:top w:val="none" w:sz="0" w:space="0" w:color="auto"/>
        <w:left w:val="none" w:sz="0" w:space="0" w:color="auto"/>
        <w:bottom w:val="none" w:sz="0" w:space="0" w:color="auto"/>
        <w:right w:val="none" w:sz="0" w:space="0" w:color="auto"/>
      </w:divBdr>
    </w:div>
    <w:div w:id="1162937735">
      <w:bodyDiv w:val="1"/>
      <w:marLeft w:val="0"/>
      <w:marRight w:val="0"/>
      <w:marTop w:val="0"/>
      <w:marBottom w:val="0"/>
      <w:divBdr>
        <w:top w:val="none" w:sz="0" w:space="0" w:color="auto"/>
        <w:left w:val="none" w:sz="0" w:space="0" w:color="auto"/>
        <w:bottom w:val="none" w:sz="0" w:space="0" w:color="auto"/>
        <w:right w:val="none" w:sz="0" w:space="0" w:color="auto"/>
      </w:divBdr>
    </w:div>
    <w:div w:id="1170483289">
      <w:bodyDiv w:val="1"/>
      <w:marLeft w:val="0"/>
      <w:marRight w:val="0"/>
      <w:marTop w:val="0"/>
      <w:marBottom w:val="0"/>
      <w:divBdr>
        <w:top w:val="none" w:sz="0" w:space="0" w:color="auto"/>
        <w:left w:val="none" w:sz="0" w:space="0" w:color="auto"/>
        <w:bottom w:val="none" w:sz="0" w:space="0" w:color="auto"/>
        <w:right w:val="none" w:sz="0" w:space="0" w:color="auto"/>
      </w:divBdr>
    </w:div>
    <w:div w:id="1179463247">
      <w:bodyDiv w:val="1"/>
      <w:marLeft w:val="0"/>
      <w:marRight w:val="0"/>
      <w:marTop w:val="0"/>
      <w:marBottom w:val="0"/>
      <w:divBdr>
        <w:top w:val="none" w:sz="0" w:space="0" w:color="auto"/>
        <w:left w:val="none" w:sz="0" w:space="0" w:color="auto"/>
        <w:bottom w:val="none" w:sz="0" w:space="0" w:color="auto"/>
        <w:right w:val="none" w:sz="0" w:space="0" w:color="auto"/>
      </w:divBdr>
    </w:div>
    <w:div w:id="1187330369">
      <w:bodyDiv w:val="1"/>
      <w:marLeft w:val="0"/>
      <w:marRight w:val="0"/>
      <w:marTop w:val="0"/>
      <w:marBottom w:val="0"/>
      <w:divBdr>
        <w:top w:val="none" w:sz="0" w:space="0" w:color="auto"/>
        <w:left w:val="none" w:sz="0" w:space="0" w:color="auto"/>
        <w:bottom w:val="none" w:sz="0" w:space="0" w:color="auto"/>
        <w:right w:val="none" w:sz="0" w:space="0" w:color="auto"/>
      </w:divBdr>
      <w:divsChild>
        <w:div w:id="709765098">
          <w:marLeft w:val="0"/>
          <w:marRight w:val="0"/>
          <w:marTop w:val="0"/>
          <w:marBottom w:val="0"/>
          <w:divBdr>
            <w:top w:val="none" w:sz="0" w:space="0" w:color="auto"/>
            <w:left w:val="none" w:sz="0" w:space="0" w:color="auto"/>
            <w:bottom w:val="none" w:sz="0" w:space="0" w:color="auto"/>
            <w:right w:val="none" w:sz="0" w:space="0" w:color="auto"/>
          </w:divBdr>
        </w:div>
      </w:divsChild>
    </w:div>
    <w:div w:id="1190801958">
      <w:bodyDiv w:val="1"/>
      <w:marLeft w:val="0"/>
      <w:marRight w:val="0"/>
      <w:marTop w:val="0"/>
      <w:marBottom w:val="0"/>
      <w:divBdr>
        <w:top w:val="none" w:sz="0" w:space="0" w:color="auto"/>
        <w:left w:val="none" w:sz="0" w:space="0" w:color="auto"/>
        <w:bottom w:val="none" w:sz="0" w:space="0" w:color="auto"/>
        <w:right w:val="none" w:sz="0" w:space="0" w:color="auto"/>
      </w:divBdr>
    </w:div>
    <w:div w:id="1196965991">
      <w:bodyDiv w:val="1"/>
      <w:marLeft w:val="0"/>
      <w:marRight w:val="0"/>
      <w:marTop w:val="0"/>
      <w:marBottom w:val="0"/>
      <w:divBdr>
        <w:top w:val="none" w:sz="0" w:space="0" w:color="auto"/>
        <w:left w:val="none" w:sz="0" w:space="0" w:color="auto"/>
        <w:bottom w:val="none" w:sz="0" w:space="0" w:color="auto"/>
        <w:right w:val="none" w:sz="0" w:space="0" w:color="auto"/>
      </w:divBdr>
    </w:div>
    <w:div w:id="1205482496">
      <w:bodyDiv w:val="1"/>
      <w:marLeft w:val="0"/>
      <w:marRight w:val="0"/>
      <w:marTop w:val="0"/>
      <w:marBottom w:val="0"/>
      <w:divBdr>
        <w:top w:val="none" w:sz="0" w:space="0" w:color="auto"/>
        <w:left w:val="none" w:sz="0" w:space="0" w:color="auto"/>
        <w:bottom w:val="none" w:sz="0" w:space="0" w:color="auto"/>
        <w:right w:val="none" w:sz="0" w:space="0" w:color="auto"/>
      </w:divBdr>
    </w:div>
    <w:div w:id="1210385847">
      <w:bodyDiv w:val="1"/>
      <w:marLeft w:val="0"/>
      <w:marRight w:val="0"/>
      <w:marTop w:val="0"/>
      <w:marBottom w:val="0"/>
      <w:divBdr>
        <w:top w:val="none" w:sz="0" w:space="0" w:color="auto"/>
        <w:left w:val="none" w:sz="0" w:space="0" w:color="auto"/>
        <w:bottom w:val="none" w:sz="0" w:space="0" w:color="auto"/>
        <w:right w:val="none" w:sz="0" w:space="0" w:color="auto"/>
      </w:divBdr>
    </w:div>
    <w:div w:id="1213538858">
      <w:bodyDiv w:val="1"/>
      <w:marLeft w:val="0"/>
      <w:marRight w:val="0"/>
      <w:marTop w:val="0"/>
      <w:marBottom w:val="0"/>
      <w:divBdr>
        <w:top w:val="none" w:sz="0" w:space="0" w:color="auto"/>
        <w:left w:val="none" w:sz="0" w:space="0" w:color="auto"/>
        <w:bottom w:val="none" w:sz="0" w:space="0" w:color="auto"/>
        <w:right w:val="none" w:sz="0" w:space="0" w:color="auto"/>
      </w:divBdr>
    </w:div>
    <w:div w:id="1222642931">
      <w:bodyDiv w:val="1"/>
      <w:marLeft w:val="0"/>
      <w:marRight w:val="0"/>
      <w:marTop w:val="0"/>
      <w:marBottom w:val="0"/>
      <w:divBdr>
        <w:top w:val="none" w:sz="0" w:space="0" w:color="auto"/>
        <w:left w:val="none" w:sz="0" w:space="0" w:color="auto"/>
        <w:bottom w:val="none" w:sz="0" w:space="0" w:color="auto"/>
        <w:right w:val="none" w:sz="0" w:space="0" w:color="auto"/>
      </w:divBdr>
    </w:div>
    <w:div w:id="1247422234">
      <w:bodyDiv w:val="1"/>
      <w:marLeft w:val="0"/>
      <w:marRight w:val="0"/>
      <w:marTop w:val="0"/>
      <w:marBottom w:val="0"/>
      <w:divBdr>
        <w:top w:val="none" w:sz="0" w:space="0" w:color="auto"/>
        <w:left w:val="none" w:sz="0" w:space="0" w:color="auto"/>
        <w:bottom w:val="none" w:sz="0" w:space="0" w:color="auto"/>
        <w:right w:val="none" w:sz="0" w:space="0" w:color="auto"/>
      </w:divBdr>
    </w:div>
    <w:div w:id="1257520813">
      <w:bodyDiv w:val="1"/>
      <w:marLeft w:val="0"/>
      <w:marRight w:val="0"/>
      <w:marTop w:val="0"/>
      <w:marBottom w:val="0"/>
      <w:divBdr>
        <w:top w:val="none" w:sz="0" w:space="0" w:color="auto"/>
        <w:left w:val="none" w:sz="0" w:space="0" w:color="auto"/>
        <w:bottom w:val="none" w:sz="0" w:space="0" w:color="auto"/>
        <w:right w:val="none" w:sz="0" w:space="0" w:color="auto"/>
      </w:divBdr>
    </w:div>
    <w:div w:id="1261109953">
      <w:bodyDiv w:val="1"/>
      <w:marLeft w:val="0"/>
      <w:marRight w:val="0"/>
      <w:marTop w:val="0"/>
      <w:marBottom w:val="0"/>
      <w:divBdr>
        <w:top w:val="none" w:sz="0" w:space="0" w:color="auto"/>
        <w:left w:val="none" w:sz="0" w:space="0" w:color="auto"/>
        <w:bottom w:val="none" w:sz="0" w:space="0" w:color="auto"/>
        <w:right w:val="none" w:sz="0" w:space="0" w:color="auto"/>
      </w:divBdr>
    </w:div>
    <w:div w:id="1264535129">
      <w:bodyDiv w:val="1"/>
      <w:marLeft w:val="0"/>
      <w:marRight w:val="0"/>
      <w:marTop w:val="0"/>
      <w:marBottom w:val="0"/>
      <w:divBdr>
        <w:top w:val="none" w:sz="0" w:space="0" w:color="auto"/>
        <w:left w:val="none" w:sz="0" w:space="0" w:color="auto"/>
        <w:bottom w:val="none" w:sz="0" w:space="0" w:color="auto"/>
        <w:right w:val="none" w:sz="0" w:space="0" w:color="auto"/>
      </w:divBdr>
    </w:div>
    <w:div w:id="1266109516">
      <w:bodyDiv w:val="1"/>
      <w:marLeft w:val="0"/>
      <w:marRight w:val="0"/>
      <w:marTop w:val="0"/>
      <w:marBottom w:val="0"/>
      <w:divBdr>
        <w:top w:val="none" w:sz="0" w:space="0" w:color="auto"/>
        <w:left w:val="none" w:sz="0" w:space="0" w:color="auto"/>
        <w:bottom w:val="none" w:sz="0" w:space="0" w:color="auto"/>
        <w:right w:val="none" w:sz="0" w:space="0" w:color="auto"/>
      </w:divBdr>
    </w:div>
    <w:div w:id="1267543037">
      <w:bodyDiv w:val="1"/>
      <w:marLeft w:val="0"/>
      <w:marRight w:val="0"/>
      <w:marTop w:val="0"/>
      <w:marBottom w:val="0"/>
      <w:divBdr>
        <w:top w:val="none" w:sz="0" w:space="0" w:color="auto"/>
        <w:left w:val="none" w:sz="0" w:space="0" w:color="auto"/>
        <w:bottom w:val="none" w:sz="0" w:space="0" w:color="auto"/>
        <w:right w:val="none" w:sz="0" w:space="0" w:color="auto"/>
      </w:divBdr>
    </w:div>
    <w:div w:id="1271665259">
      <w:bodyDiv w:val="1"/>
      <w:marLeft w:val="0"/>
      <w:marRight w:val="0"/>
      <w:marTop w:val="0"/>
      <w:marBottom w:val="0"/>
      <w:divBdr>
        <w:top w:val="none" w:sz="0" w:space="0" w:color="auto"/>
        <w:left w:val="none" w:sz="0" w:space="0" w:color="auto"/>
        <w:bottom w:val="none" w:sz="0" w:space="0" w:color="auto"/>
        <w:right w:val="none" w:sz="0" w:space="0" w:color="auto"/>
      </w:divBdr>
    </w:div>
    <w:div w:id="1281182556">
      <w:bodyDiv w:val="1"/>
      <w:marLeft w:val="0"/>
      <w:marRight w:val="0"/>
      <w:marTop w:val="0"/>
      <w:marBottom w:val="0"/>
      <w:divBdr>
        <w:top w:val="none" w:sz="0" w:space="0" w:color="auto"/>
        <w:left w:val="none" w:sz="0" w:space="0" w:color="auto"/>
        <w:bottom w:val="none" w:sz="0" w:space="0" w:color="auto"/>
        <w:right w:val="none" w:sz="0" w:space="0" w:color="auto"/>
      </w:divBdr>
    </w:div>
    <w:div w:id="1301223889">
      <w:bodyDiv w:val="1"/>
      <w:marLeft w:val="0"/>
      <w:marRight w:val="0"/>
      <w:marTop w:val="0"/>
      <w:marBottom w:val="0"/>
      <w:divBdr>
        <w:top w:val="none" w:sz="0" w:space="0" w:color="auto"/>
        <w:left w:val="none" w:sz="0" w:space="0" w:color="auto"/>
        <w:bottom w:val="none" w:sz="0" w:space="0" w:color="auto"/>
        <w:right w:val="none" w:sz="0" w:space="0" w:color="auto"/>
      </w:divBdr>
    </w:div>
    <w:div w:id="1303076831">
      <w:bodyDiv w:val="1"/>
      <w:marLeft w:val="0"/>
      <w:marRight w:val="0"/>
      <w:marTop w:val="0"/>
      <w:marBottom w:val="0"/>
      <w:divBdr>
        <w:top w:val="none" w:sz="0" w:space="0" w:color="auto"/>
        <w:left w:val="none" w:sz="0" w:space="0" w:color="auto"/>
        <w:bottom w:val="none" w:sz="0" w:space="0" w:color="auto"/>
        <w:right w:val="none" w:sz="0" w:space="0" w:color="auto"/>
      </w:divBdr>
    </w:div>
    <w:div w:id="1304191118">
      <w:bodyDiv w:val="1"/>
      <w:marLeft w:val="0"/>
      <w:marRight w:val="0"/>
      <w:marTop w:val="0"/>
      <w:marBottom w:val="0"/>
      <w:divBdr>
        <w:top w:val="none" w:sz="0" w:space="0" w:color="auto"/>
        <w:left w:val="none" w:sz="0" w:space="0" w:color="auto"/>
        <w:bottom w:val="none" w:sz="0" w:space="0" w:color="auto"/>
        <w:right w:val="none" w:sz="0" w:space="0" w:color="auto"/>
      </w:divBdr>
    </w:div>
    <w:div w:id="1320885309">
      <w:bodyDiv w:val="1"/>
      <w:marLeft w:val="0"/>
      <w:marRight w:val="0"/>
      <w:marTop w:val="0"/>
      <w:marBottom w:val="0"/>
      <w:divBdr>
        <w:top w:val="none" w:sz="0" w:space="0" w:color="auto"/>
        <w:left w:val="none" w:sz="0" w:space="0" w:color="auto"/>
        <w:bottom w:val="none" w:sz="0" w:space="0" w:color="auto"/>
        <w:right w:val="none" w:sz="0" w:space="0" w:color="auto"/>
      </w:divBdr>
    </w:div>
    <w:div w:id="1322196125">
      <w:bodyDiv w:val="1"/>
      <w:marLeft w:val="0"/>
      <w:marRight w:val="0"/>
      <w:marTop w:val="0"/>
      <w:marBottom w:val="0"/>
      <w:divBdr>
        <w:top w:val="none" w:sz="0" w:space="0" w:color="auto"/>
        <w:left w:val="none" w:sz="0" w:space="0" w:color="auto"/>
        <w:bottom w:val="none" w:sz="0" w:space="0" w:color="auto"/>
        <w:right w:val="none" w:sz="0" w:space="0" w:color="auto"/>
      </w:divBdr>
    </w:div>
    <w:div w:id="1366515149">
      <w:bodyDiv w:val="1"/>
      <w:marLeft w:val="0"/>
      <w:marRight w:val="0"/>
      <w:marTop w:val="0"/>
      <w:marBottom w:val="0"/>
      <w:divBdr>
        <w:top w:val="none" w:sz="0" w:space="0" w:color="auto"/>
        <w:left w:val="none" w:sz="0" w:space="0" w:color="auto"/>
        <w:bottom w:val="none" w:sz="0" w:space="0" w:color="auto"/>
        <w:right w:val="none" w:sz="0" w:space="0" w:color="auto"/>
      </w:divBdr>
    </w:div>
    <w:div w:id="1384449781">
      <w:bodyDiv w:val="1"/>
      <w:marLeft w:val="0"/>
      <w:marRight w:val="0"/>
      <w:marTop w:val="0"/>
      <w:marBottom w:val="0"/>
      <w:divBdr>
        <w:top w:val="none" w:sz="0" w:space="0" w:color="auto"/>
        <w:left w:val="none" w:sz="0" w:space="0" w:color="auto"/>
        <w:bottom w:val="none" w:sz="0" w:space="0" w:color="auto"/>
        <w:right w:val="none" w:sz="0" w:space="0" w:color="auto"/>
      </w:divBdr>
    </w:div>
    <w:div w:id="1425685554">
      <w:bodyDiv w:val="1"/>
      <w:marLeft w:val="0"/>
      <w:marRight w:val="0"/>
      <w:marTop w:val="0"/>
      <w:marBottom w:val="0"/>
      <w:divBdr>
        <w:top w:val="none" w:sz="0" w:space="0" w:color="auto"/>
        <w:left w:val="none" w:sz="0" w:space="0" w:color="auto"/>
        <w:bottom w:val="none" w:sz="0" w:space="0" w:color="auto"/>
        <w:right w:val="none" w:sz="0" w:space="0" w:color="auto"/>
      </w:divBdr>
    </w:div>
    <w:div w:id="1434127431">
      <w:bodyDiv w:val="1"/>
      <w:marLeft w:val="0"/>
      <w:marRight w:val="0"/>
      <w:marTop w:val="0"/>
      <w:marBottom w:val="0"/>
      <w:divBdr>
        <w:top w:val="none" w:sz="0" w:space="0" w:color="auto"/>
        <w:left w:val="none" w:sz="0" w:space="0" w:color="auto"/>
        <w:bottom w:val="none" w:sz="0" w:space="0" w:color="auto"/>
        <w:right w:val="none" w:sz="0" w:space="0" w:color="auto"/>
      </w:divBdr>
    </w:div>
    <w:div w:id="1440296078">
      <w:bodyDiv w:val="1"/>
      <w:marLeft w:val="0"/>
      <w:marRight w:val="0"/>
      <w:marTop w:val="0"/>
      <w:marBottom w:val="0"/>
      <w:divBdr>
        <w:top w:val="none" w:sz="0" w:space="0" w:color="auto"/>
        <w:left w:val="none" w:sz="0" w:space="0" w:color="auto"/>
        <w:bottom w:val="none" w:sz="0" w:space="0" w:color="auto"/>
        <w:right w:val="none" w:sz="0" w:space="0" w:color="auto"/>
      </w:divBdr>
    </w:div>
    <w:div w:id="1447191838">
      <w:bodyDiv w:val="1"/>
      <w:marLeft w:val="0"/>
      <w:marRight w:val="0"/>
      <w:marTop w:val="0"/>
      <w:marBottom w:val="0"/>
      <w:divBdr>
        <w:top w:val="none" w:sz="0" w:space="0" w:color="auto"/>
        <w:left w:val="none" w:sz="0" w:space="0" w:color="auto"/>
        <w:bottom w:val="none" w:sz="0" w:space="0" w:color="auto"/>
        <w:right w:val="none" w:sz="0" w:space="0" w:color="auto"/>
      </w:divBdr>
    </w:div>
    <w:div w:id="1459107849">
      <w:bodyDiv w:val="1"/>
      <w:marLeft w:val="0"/>
      <w:marRight w:val="0"/>
      <w:marTop w:val="0"/>
      <w:marBottom w:val="0"/>
      <w:divBdr>
        <w:top w:val="none" w:sz="0" w:space="0" w:color="auto"/>
        <w:left w:val="none" w:sz="0" w:space="0" w:color="auto"/>
        <w:bottom w:val="none" w:sz="0" w:space="0" w:color="auto"/>
        <w:right w:val="none" w:sz="0" w:space="0" w:color="auto"/>
      </w:divBdr>
    </w:div>
    <w:div w:id="1491216301">
      <w:bodyDiv w:val="1"/>
      <w:marLeft w:val="0"/>
      <w:marRight w:val="0"/>
      <w:marTop w:val="0"/>
      <w:marBottom w:val="0"/>
      <w:divBdr>
        <w:top w:val="none" w:sz="0" w:space="0" w:color="auto"/>
        <w:left w:val="none" w:sz="0" w:space="0" w:color="auto"/>
        <w:bottom w:val="none" w:sz="0" w:space="0" w:color="auto"/>
        <w:right w:val="none" w:sz="0" w:space="0" w:color="auto"/>
      </w:divBdr>
    </w:div>
    <w:div w:id="1522430620">
      <w:bodyDiv w:val="1"/>
      <w:marLeft w:val="0"/>
      <w:marRight w:val="0"/>
      <w:marTop w:val="0"/>
      <w:marBottom w:val="0"/>
      <w:divBdr>
        <w:top w:val="none" w:sz="0" w:space="0" w:color="auto"/>
        <w:left w:val="none" w:sz="0" w:space="0" w:color="auto"/>
        <w:bottom w:val="none" w:sz="0" w:space="0" w:color="auto"/>
        <w:right w:val="none" w:sz="0" w:space="0" w:color="auto"/>
      </w:divBdr>
    </w:div>
    <w:div w:id="1531190186">
      <w:bodyDiv w:val="1"/>
      <w:marLeft w:val="0"/>
      <w:marRight w:val="0"/>
      <w:marTop w:val="0"/>
      <w:marBottom w:val="0"/>
      <w:divBdr>
        <w:top w:val="none" w:sz="0" w:space="0" w:color="auto"/>
        <w:left w:val="none" w:sz="0" w:space="0" w:color="auto"/>
        <w:bottom w:val="none" w:sz="0" w:space="0" w:color="auto"/>
        <w:right w:val="none" w:sz="0" w:space="0" w:color="auto"/>
      </w:divBdr>
    </w:div>
    <w:div w:id="1543514757">
      <w:bodyDiv w:val="1"/>
      <w:marLeft w:val="0"/>
      <w:marRight w:val="0"/>
      <w:marTop w:val="0"/>
      <w:marBottom w:val="0"/>
      <w:divBdr>
        <w:top w:val="none" w:sz="0" w:space="0" w:color="auto"/>
        <w:left w:val="none" w:sz="0" w:space="0" w:color="auto"/>
        <w:bottom w:val="none" w:sz="0" w:space="0" w:color="auto"/>
        <w:right w:val="none" w:sz="0" w:space="0" w:color="auto"/>
      </w:divBdr>
    </w:div>
    <w:div w:id="1565869373">
      <w:bodyDiv w:val="1"/>
      <w:marLeft w:val="0"/>
      <w:marRight w:val="0"/>
      <w:marTop w:val="0"/>
      <w:marBottom w:val="0"/>
      <w:divBdr>
        <w:top w:val="none" w:sz="0" w:space="0" w:color="auto"/>
        <w:left w:val="none" w:sz="0" w:space="0" w:color="auto"/>
        <w:bottom w:val="none" w:sz="0" w:space="0" w:color="auto"/>
        <w:right w:val="none" w:sz="0" w:space="0" w:color="auto"/>
      </w:divBdr>
    </w:div>
    <w:div w:id="1579361724">
      <w:bodyDiv w:val="1"/>
      <w:marLeft w:val="0"/>
      <w:marRight w:val="0"/>
      <w:marTop w:val="0"/>
      <w:marBottom w:val="0"/>
      <w:divBdr>
        <w:top w:val="none" w:sz="0" w:space="0" w:color="auto"/>
        <w:left w:val="none" w:sz="0" w:space="0" w:color="auto"/>
        <w:bottom w:val="none" w:sz="0" w:space="0" w:color="auto"/>
        <w:right w:val="none" w:sz="0" w:space="0" w:color="auto"/>
      </w:divBdr>
    </w:div>
    <w:div w:id="1586306652">
      <w:bodyDiv w:val="1"/>
      <w:marLeft w:val="0"/>
      <w:marRight w:val="0"/>
      <w:marTop w:val="0"/>
      <w:marBottom w:val="0"/>
      <w:divBdr>
        <w:top w:val="none" w:sz="0" w:space="0" w:color="auto"/>
        <w:left w:val="none" w:sz="0" w:space="0" w:color="auto"/>
        <w:bottom w:val="none" w:sz="0" w:space="0" w:color="auto"/>
        <w:right w:val="none" w:sz="0" w:space="0" w:color="auto"/>
      </w:divBdr>
    </w:div>
    <w:div w:id="1610813196">
      <w:bodyDiv w:val="1"/>
      <w:marLeft w:val="0"/>
      <w:marRight w:val="0"/>
      <w:marTop w:val="0"/>
      <w:marBottom w:val="0"/>
      <w:divBdr>
        <w:top w:val="none" w:sz="0" w:space="0" w:color="auto"/>
        <w:left w:val="none" w:sz="0" w:space="0" w:color="auto"/>
        <w:bottom w:val="none" w:sz="0" w:space="0" w:color="auto"/>
        <w:right w:val="none" w:sz="0" w:space="0" w:color="auto"/>
      </w:divBdr>
    </w:div>
    <w:div w:id="1632662300">
      <w:bodyDiv w:val="1"/>
      <w:marLeft w:val="0"/>
      <w:marRight w:val="0"/>
      <w:marTop w:val="0"/>
      <w:marBottom w:val="0"/>
      <w:divBdr>
        <w:top w:val="none" w:sz="0" w:space="0" w:color="auto"/>
        <w:left w:val="none" w:sz="0" w:space="0" w:color="auto"/>
        <w:bottom w:val="none" w:sz="0" w:space="0" w:color="auto"/>
        <w:right w:val="none" w:sz="0" w:space="0" w:color="auto"/>
      </w:divBdr>
    </w:div>
    <w:div w:id="1640260163">
      <w:bodyDiv w:val="1"/>
      <w:marLeft w:val="0"/>
      <w:marRight w:val="0"/>
      <w:marTop w:val="0"/>
      <w:marBottom w:val="0"/>
      <w:divBdr>
        <w:top w:val="none" w:sz="0" w:space="0" w:color="auto"/>
        <w:left w:val="none" w:sz="0" w:space="0" w:color="auto"/>
        <w:bottom w:val="none" w:sz="0" w:space="0" w:color="auto"/>
        <w:right w:val="none" w:sz="0" w:space="0" w:color="auto"/>
      </w:divBdr>
    </w:div>
    <w:div w:id="1672633739">
      <w:bodyDiv w:val="1"/>
      <w:marLeft w:val="0"/>
      <w:marRight w:val="0"/>
      <w:marTop w:val="0"/>
      <w:marBottom w:val="0"/>
      <w:divBdr>
        <w:top w:val="none" w:sz="0" w:space="0" w:color="auto"/>
        <w:left w:val="none" w:sz="0" w:space="0" w:color="auto"/>
        <w:bottom w:val="none" w:sz="0" w:space="0" w:color="auto"/>
        <w:right w:val="none" w:sz="0" w:space="0" w:color="auto"/>
      </w:divBdr>
    </w:div>
    <w:div w:id="1674144074">
      <w:bodyDiv w:val="1"/>
      <w:marLeft w:val="0"/>
      <w:marRight w:val="0"/>
      <w:marTop w:val="0"/>
      <w:marBottom w:val="0"/>
      <w:divBdr>
        <w:top w:val="none" w:sz="0" w:space="0" w:color="auto"/>
        <w:left w:val="none" w:sz="0" w:space="0" w:color="auto"/>
        <w:bottom w:val="none" w:sz="0" w:space="0" w:color="auto"/>
        <w:right w:val="none" w:sz="0" w:space="0" w:color="auto"/>
      </w:divBdr>
    </w:div>
    <w:div w:id="1679237921">
      <w:bodyDiv w:val="1"/>
      <w:marLeft w:val="0"/>
      <w:marRight w:val="0"/>
      <w:marTop w:val="0"/>
      <w:marBottom w:val="0"/>
      <w:divBdr>
        <w:top w:val="none" w:sz="0" w:space="0" w:color="auto"/>
        <w:left w:val="none" w:sz="0" w:space="0" w:color="auto"/>
        <w:bottom w:val="none" w:sz="0" w:space="0" w:color="auto"/>
        <w:right w:val="none" w:sz="0" w:space="0" w:color="auto"/>
      </w:divBdr>
    </w:div>
    <w:div w:id="1685744314">
      <w:bodyDiv w:val="1"/>
      <w:marLeft w:val="0"/>
      <w:marRight w:val="0"/>
      <w:marTop w:val="0"/>
      <w:marBottom w:val="0"/>
      <w:divBdr>
        <w:top w:val="none" w:sz="0" w:space="0" w:color="auto"/>
        <w:left w:val="none" w:sz="0" w:space="0" w:color="auto"/>
        <w:bottom w:val="none" w:sz="0" w:space="0" w:color="auto"/>
        <w:right w:val="none" w:sz="0" w:space="0" w:color="auto"/>
      </w:divBdr>
    </w:div>
    <w:div w:id="1688754231">
      <w:bodyDiv w:val="1"/>
      <w:marLeft w:val="0"/>
      <w:marRight w:val="0"/>
      <w:marTop w:val="0"/>
      <w:marBottom w:val="0"/>
      <w:divBdr>
        <w:top w:val="none" w:sz="0" w:space="0" w:color="auto"/>
        <w:left w:val="none" w:sz="0" w:space="0" w:color="auto"/>
        <w:bottom w:val="none" w:sz="0" w:space="0" w:color="auto"/>
        <w:right w:val="none" w:sz="0" w:space="0" w:color="auto"/>
      </w:divBdr>
    </w:div>
    <w:div w:id="1700163357">
      <w:bodyDiv w:val="1"/>
      <w:marLeft w:val="0"/>
      <w:marRight w:val="0"/>
      <w:marTop w:val="0"/>
      <w:marBottom w:val="0"/>
      <w:divBdr>
        <w:top w:val="none" w:sz="0" w:space="0" w:color="auto"/>
        <w:left w:val="none" w:sz="0" w:space="0" w:color="auto"/>
        <w:bottom w:val="none" w:sz="0" w:space="0" w:color="auto"/>
        <w:right w:val="none" w:sz="0" w:space="0" w:color="auto"/>
      </w:divBdr>
    </w:div>
    <w:div w:id="1713266361">
      <w:bodyDiv w:val="1"/>
      <w:marLeft w:val="0"/>
      <w:marRight w:val="0"/>
      <w:marTop w:val="0"/>
      <w:marBottom w:val="0"/>
      <w:divBdr>
        <w:top w:val="none" w:sz="0" w:space="0" w:color="auto"/>
        <w:left w:val="none" w:sz="0" w:space="0" w:color="auto"/>
        <w:bottom w:val="none" w:sz="0" w:space="0" w:color="auto"/>
        <w:right w:val="none" w:sz="0" w:space="0" w:color="auto"/>
      </w:divBdr>
    </w:div>
    <w:div w:id="1736320098">
      <w:bodyDiv w:val="1"/>
      <w:marLeft w:val="0"/>
      <w:marRight w:val="0"/>
      <w:marTop w:val="0"/>
      <w:marBottom w:val="0"/>
      <w:divBdr>
        <w:top w:val="none" w:sz="0" w:space="0" w:color="auto"/>
        <w:left w:val="none" w:sz="0" w:space="0" w:color="auto"/>
        <w:bottom w:val="none" w:sz="0" w:space="0" w:color="auto"/>
        <w:right w:val="none" w:sz="0" w:space="0" w:color="auto"/>
      </w:divBdr>
    </w:div>
    <w:div w:id="1754744048">
      <w:bodyDiv w:val="1"/>
      <w:marLeft w:val="0"/>
      <w:marRight w:val="0"/>
      <w:marTop w:val="0"/>
      <w:marBottom w:val="0"/>
      <w:divBdr>
        <w:top w:val="none" w:sz="0" w:space="0" w:color="auto"/>
        <w:left w:val="none" w:sz="0" w:space="0" w:color="auto"/>
        <w:bottom w:val="none" w:sz="0" w:space="0" w:color="auto"/>
        <w:right w:val="none" w:sz="0" w:space="0" w:color="auto"/>
      </w:divBdr>
      <w:divsChild>
        <w:div w:id="963660183">
          <w:marLeft w:val="0"/>
          <w:marRight w:val="0"/>
          <w:marTop w:val="0"/>
          <w:marBottom w:val="0"/>
          <w:divBdr>
            <w:top w:val="none" w:sz="0" w:space="0" w:color="auto"/>
            <w:left w:val="none" w:sz="0" w:space="0" w:color="auto"/>
            <w:bottom w:val="none" w:sz="0" w:space="0" w:color="auto"/>
            <w:right w:val="none" w:sz="0" w:space="0" w:color="auto"/>
          </w:divBdr>
        </w:div>
        <w:div w:id="1008631579">
          <w:marLeft w:val="0"/>
          <w:marRight w:val="0"/>
          <w:marTop w:val="0"/>
          <w:marBottom w:val="0"/>
          <w:divBdr>
            <w:top w:val="none" w:sz="0" w:space="0" w:color="auto"/>
            <w:left w:val="none" w:sz="0" w:space="0" w:color="auto"/>
            <w:bottom w:val="none" w:sz="0" w:space="0" w:color="auto"/>
            <w:right w:val="none" w:sz="0" w:space="0" w:color="auto"/>
          </w:divBdr>
        </w:div>
      </w:divsChild>
    </w:div>
    <w:div w:id="1763604581">
      <w:bodyDiv w:val="1"/>
      <w:marLeft w:val="0"/>
      <w:marRight w:val="0"/>
      <w:marTop w:val="0"/>
      <w:marBottom w:val="0"/>
      <w:divBdr>
        <w:top w:val="none" w:sz="0" w:space="0" w:color="auto"/>
        <w:left w:val="none" w:sz="0" w:space="0" w:color="auto"/>
        <w:bottom w:val="none" w:sz="0" w:space="0" w:color="auto"/>
        <w:right w:val="none" w:sz="0" w:space="0" w:color="auto"/>
      </w:divBdr>
    </w:div>
    <w:div w:id="1774864693">
      <w:bodyDiv w:val="1"/>
      <w:marLeft w:val="0"/>
      <w:marRight w:val="0"/>
      <w:marTop w:val="0"/>
      <w:marBottom w:val="0"/>
      <w:divBdr>
        <w:top w:val="none" w:sz="0" w:space="0" w:color="auto"/>
        <w:left w:val="none" w:sz="0" w:space="0" w:color="auto"/>
        <w:bottom w:val="none" w:sz="0" w:space="0" w:color="auto"/>
        <w:right w:val="none" w:sz="0" w:space="0" w:color="auto"/>
      </w:divBdr>
    </w:div>
    <w:div w:id="1783069916">
      <w:bodyDiv w:val="1"/>
      <w:marLeft w:val="0"/>
      <w:marRight w:val="0"/>
      <w:marTop w:val="0"/>
      <w:marBottom w:val="0"/>
      <w:divBdr>
        <w:top w:val="none" w:sz="0" w:space="0" w:color="auto"/>
        <w:left w:val="none" w:sz="0" w:space="0" w:color="auto"/>
        <w:bottom w:val="none" w:sz="0" w:space="0" w:color="auto"/>
        <w:right w:val="none" w:sz="0" w:space="0" w:color="auto"/>
      </w:divBdr>
    </w:div>
    <w:div w:id="1819690311">
      <w:bodyDiv w:val="1"/>
      <w:marLeft w:val="0"/>
      <w:marRight w:val="0"/>
      <w:marTop w:val="0"/>
      <w:marBottom w:val="0"/>
      <w:divBdr>
        <w:top w:val="none" w:sz="0" w:space="0" w:color="auto"/>
        <w:left w:val="none" w:sz="0" w:space="0" w:color="auto"/>
        <w:bottom w:val="none" w:sz="0" w:space="0" w:color="auto"/>
        <w:right w:val="none" w:sz="0" w:space="0" w:color="auto"/>
      </w:divBdr>
    </w:div>
    <w:div w:id="1821120597">
      <w:bodyDiv w:val="1"/>
      <w:marLeft w:val="0"/>
      <w:marRight w:val="0"/>
      <w:marTop w:val="0"/>
      <w:marBottom w:val="0"/>
      <w:divBdr>
        <w:top w:val="none" w:sz="0" w:space="0" w:color="auto"/>
        <w:left w:val="none" w:sz="0" w:space="0" w:color="auto"/>
        <w:bottom w:val="none" w:sz="0" w:space="0" w:color="auto"/>
        <w:right w:val="none" w:sz="0" w:space="0" w:color="auto"/>
      </w:divBdr>
    </w:div>
    <w:div w:id="1835023317">
      <w:bodyDiv w:val="1"/>
      <w:marLeft w:val="0"/>
      <w:marRight w:val="0"/>
      <w:marTop w:val="0"/>
      <w:marBottom w:val="0"/>
      <w:divBdr>
        <w:top w:val="none" w:sz="0" w:space="0" w:color="auto"/>
        <w:left w:val="none" w:sz="0" w:space="0" w:color="auto"/>
        <w:bottom w:val="none" w:sz="0" w:space="0" w:color="auto"/>
        <w:right w:val="none" w:sz="0" w:space="0" w:color="auto"/>
      </w:divBdr>
    </w:div>
    <w:div w:id="1860780767">
      <w:bodyDiv w:val="1"/>
      <w:marLeft w:val="0"/>
      <w:marRight w:val="0"/>
      <w:marTop w:val="0"/>
      <w:marBottom w:val="0"/>
      <w:divBdr>
        <w:top w:val="none" w:sz="0" w:space="0" w:color="auto"/>
        <w:left w:val="none" w:sz="0" w:space="0" w:color="auto"/>
        <w:bottom w:val="none" w:sz="0" w:space="0" w:color="auto"/>
        <w:right w:val="none" w:sz="0" w:space="0" w:color="auto"/>
      </w:divBdr>
    </w:div>
    <w:div w:id="1864780336">
      <w:bodyDiv w:val="1"/>
      <w:marLeft w:val="0"/>
      <w:marRight w:val="0"/>
      <w:marTop w:val="0"/>
      <w:marBottom w:val="0"/>
      <w:divBdr>
        <w:top w:val="none" w:sz="0" w:space="0" w:color="auto"/>
        <w:left w:val="none" w:sz="0" w:space="0" w:color="auto"/>
        <w:bottom w:val="none" w:sz="0" w:space="0" w:color="auto"/>
        <w:right w:val="none" w:sz="0" w:space="0" w:color="auto"/>
      </w:divBdr>
    </w:div>
    <w:div w:id="1868987447">
      <w:bodyDiv w:val="1"/>
      <w:marLeft w:val="0"/>
      <w:marRight w:val="0"/>
      <w:marTop w:val="0"/>
      <w:marBottom w:val="0"/>
      <w:divBdr>
        <w:top w:val="none" w:sz="0" w:space="0" w:color="auto"/>
        <w:left w:val="none" w:sz="0" w:space="0" w:color="auto"/>
        <w:bottom w:val="none" w:sz="0" w:space="0" w:color="auto"/>
        <w:right w:val="none" w:sz="0" w:space="0" w:color="auto"/>
      </w:divBdr>
    </w:div>
    <w:div w:id="1873835047">
      <w:bodyDiv w:val="1"/>
      <w:marLeft w:val="0"/>
      <w:marRight w:val="0"/>
      <w:marTop w:val="0"/>
      <w:marBottom w:val="0"/>
      <w:divBdr>
        <w:top w:val="none" w:sz="0" w:space="0" w:color="auto"/>
        <w:left w:val="none" w:sz="0" w:space="0" w:color="auto"/>
        <w:bottom w:val="none" w:sz="0" w:space="0" w:color="auto"/>
        <w:right w:val="none" w:sz="0" w:space="0" w:color="auto"/>
      </w:divBdr>
    </w:div>
    <w:div w:id="1879538702">
      <w:bodyDiv w:val="1"/>
      <w:marLeft w:val="0"/>
      <w:marRight w:val="0"/>
      <w:marTop w:val="0"/>
      <w:marBottom w:val="0"/>
      <w:divBdr>
        <w:top w:val="none" w:sz="0" w:space="0" w:color="auto"/>
        <w:left w:val="none" w:sz="0" w:space="0" w:color="auto"/>
        <w:bottom w:val="none" w:sz="0" w:space="0" w:color="auto"/>
        <w:right w:val="none" w:sz="0" w:space="0" w:color="auto"/>
      </w:divBdr>
    </w:div>
    <w:div w:id="1886142684">
      <w:bodyDiv w:val="1"/>
      <w:marLeft w:val="0"/>
      <w:marRight w:val="0"/>
      <w:marTop w:val="0"/>
      <w:marBottom w:val="0"/>
      <w:divBdr>
        <w:top w:val="none" w:sz="0" w:space="0" w:color="auto"/>
        <w:left w:val="none" w:sz="0" w:space="0" w:color="auto"/>
        <w:bottom w:val="none" w:sz="0" w:space="0" w:color="auto"/>
        <w:right w:val="none" w:sz="0" w:space="0" w:color="auto"/>
      </w:divBdr>
    </w:div>
    <w:div w:id="1892188091">
      <w:bodyDiv w:val="1"/>
      <w:marLeft w:val="0"/>
      <w:marRight w:val="0"/>
      <w:marTop w:val="0"/>
      <w:marBottom w:val="0"/>
      <w:divBdr>
        <w:top w:val="none" w:sz="0" w:space="0" w:color="auto"/>
        <w:left w:val="none" w:sz="0" w:space="0" w:color="auto"/>
        <w:bottom w:val="none" w:sz="0" w:space="0" w:color="auto"/>
        <w:right w:val="none" w:sz="0" w:space="0" w:color="auto"/>
      </w:divBdr>
    </w:div>
    <w:div w:id="1919750548">
      <w:bodyDiv w:val="1"/>
      <w:marLeft w:val="0"/>
      <w:marRight w:val="0"/>
      <w:marTop w:val="0"/>
      <w:marBottom w:val="0"/>
      <w:divBdr>
        <w:top w:val="none" w:sz="0" w:space="0" w:color="auto"/>
        <w:left w:val="none" w:sz="0" w:space="0" w:color="auto"/>
        <w:bottom w:val="none" w:sz="0" w:space="0" w:color="auto"/>
        <w:right w:val="none" w:sz="0" w:space="0" w:color="auto"/>
      </w:divBdr>
    </w:div>
    <w:div w:id="1926265132">
      <w:bodyDiv w:val="1"/>
      <w:marLeft w:val="0"/>
      <w:marRight w:val="0"/>
      <w:marTop w:val="0"/>
      <w:marBottom w:val="0"/>
      <w:divBdr>
        <w:top w:val="none" w:sz="0" w:space="0" w:color="auto"/>
        <w:left w:val="none" w:sz="0" w:space="0" w:color="auto"/>
        <w:bottom w:val="none" w:sz="0" w:space="0" w:color="auto"/>
        <w:right w:val="none" w:sz="0" w:space="0" w:color="auto"/>
      </w:divBdr>
    </w:div>
    <w:div w:id="1952125073">
      <w:bodyDiv w:val="1"/>
      <w:marLeft w:val="0"/>
      <w:marRight w:val="0"/>
      <w:marTop w:val="0"/>
      <w:marBottom w:val="0"/>
      <w:divBdr>
        <w:top w:val="none" w:sz="0" w:space="0" w:color="auto"/>
        <w:left w:val="none" w:sz="0" w:space="0" w:color="auto"/>
        <w:bottom w:val="none" w:sz="0" w:space="0" w:color="auto"/>
        <w:right w:val="none" w:sz="0" w:space="0" w:color="auto"/>
      </w:divBdr>
      <w:divsChild>
        <w:div w:id="907760966">
          <w:marLeft w:val="0"/>
          <w:marRight w:val="0"/>
          <w:marTop w:val="0"/>
          <w:marBottom w:val="0"/>
          <w:divBdr>
            <w:top w:val="none" w:sz="0" w:space="0" w:color="auto"/>
            <w:left w:val="none" w:sz="0" w:space="0" w:color="auto"/>
            <w:bottom w:val="none" w:sz="0" w:space="0" w:color="auto"/>
            <w:right w:val="none" w:sz="0" w:space="0" w:color="auto"/>
          </w:divBdr>
        </w:div>
      </w:divsChild>
    </w:div>
    <w:div w:id="2011368227">
      <w:bodyDiv w:val="1"/>
      <w:marLeft w:val="0"/>
      <w:marRight w:val="0"/>
      <w:marTop w:val="0"/>
      <w:marBottom w:val="0"/>
      <w:divBdr>
        <w:top w:val="none" w:sz="0" w:space="0" w:color="auto"/>
        <w:left w:val="none" w:sz="0" w:space="0" w:color="auto"/>
        <w:bottom w:val="none" w:sz="0" w:space="0" w:color="auto"/>
        <w:right w:val="none" w:sz="0" w:space="0" w:color="auto"/>
      </w:divBdr>
    </w:div>
    <w:div w:id="2014339025">
      <w:bodyDiv w:val="1"/>
      <w:marLeft w:val="0"/>
      <w:marRight w:val="0"/>
      <w:marTop w:val="0"/>
      <w:marBottom w:val="0"/>
      <w:divBdr>
        <w:top w:val="none" w:sz="0" w:space="0" w:color="auto"/>
        <w:left w:val="none" w:sz="0" w:space="0" w:color="auto"/>
        <w:bottom w:val="none" w:sz="0" w:space="0" w:color="auto"/>
        <w:right w:val="none" w:sz="0" w:space="0" w:color="auto"/>
      </w:divBdr>
    </w:div>
    <w:div w:id="2031829419">
      <w:bodyDiv w:val="1"/>
      <w:marLeft w:val="0"/>
      <w:marRight w:val="0"/>
      <w:marTop w:val="0"/>
      <w:marBottom w:val="0"/>
      <w:divBdr>
        <w:top w:val="none" w:sz="0" w:space="0" w:color="auto"/>
        <w:left w:val="none" w:sz="0" w:space="0" w:color="auto"/>
        <w:bottom w:val="none" w:sz="0" w:space="0" w:color="auto"/>
        <w:right w:val="none" w:sz="0" w:space="0" w:color="auto"/>
      </w:divBdr>
    </w:div>
    <w:div w:id="2053068713">
      <w:bodyDiv w:val="1"/>
      <w:marLeft w:val="0"/>
      <w:marRight w:val="0"/>
      <w:marTop w:val="0"/>
      <w:marBottom w:val="0"/>
      <w:divBdr>
        <w:top w:val="none" w:sz="0" w:space="0" w:color="auto"/>
        <w:left w:val="none" w:sz="0" w:space="0" w:color="auto"/>
        <w:bottom w:val="none" w:sz="0" w:space="0" w:color="auto"/>
        <w:right w:val="none" w:sz="0" w:space="0" w:color="auto"/>
      </w:divBdr>
    </w:div>
    <w:div w:id="2071807164">
      <w:bodyDiv w:val="1"/>
      <w:marLeft w:val="0"/>
      <w:marRight w:val="0"/>
      <w:marTop w:val="0"/>
      <w:marBottom w:val="0"/>
      <w:divBdr>
        <w:top w:val="none" w:sz="0" w:space="0" w:color="auto"/>
        <w:left w:val="none" w:sz="0" w:space="0" w:color="auto"/>
        <w:bottom w:val="none" w:sz="0" w:space="0" w:color="auto"/>
        <w:right w:val="none" w:sz="0" w:space="0" w:color="auto"/>
      </w:divBdr>
      <w:divsChild>
        <w:div w:id="1283538881">
          <w:marLeft w:val="0"/>
          <w:marRight w:val="0"/>
          <w:marTop w:val="0"/>
          <w:marBottom w:val="0"/>
          <w:divBdr>
            <w:top w:val="none" w:sz="0" w:space="0" w:color="auto"/>
            <w:left w:val="none" w:sz="0" w:space="0" w:color="auto"/>
            <w:bottom w:val="none" w:sz="0" w:space="0" w:color="auto"/>
            <w:right w:val="none" w:sz="0" w:space="0" w:color="auto"/>
          </w:divBdr>
        </w:div>
      </w:divsChild>
    </w:div>
    <w:div w:id="2075424104">
      <w:bodyDiv w:val="1"/>
      <w:marLeft w:val="0"/>
      <w:marRight w:val="0"/>
      <w:marTop w:val="0"/>
      <w:marBottom w:val="0"/>
      <w:divBdr>
        <w:top w:val="none" w:sz="0" w:space="0" w:color="auto"/>
        <w:left w:val="none" w:sz="0" w:space="0" w:color="auto"/>
        <w:bottom w:val="none" w:sz="0" w:space="0" w:color="auto"/>
        <w:right w:val="none" w:sz="0" w:space="0" w:color="auto"/>
      </w:divBdr>
    </w:div>
    <w:div w:id="2076471190">
      <w:bodyDiv w:val="1"/>
      <w:marLeft w:val="0"/>
      <w:marRight w:val="0"/>
      <w:marTop w:val="0"/>
      <w:marBottom w:val="0"/>
      <w:divBdr>
        <w:top w:val="none" w:sz="0" w:space="0" w:color="auto"/>
        <w:left w:val="none" w:sz="0" w:space="0" w:color="auto"/>
        <w:bottom w:val="none" w:sz="0" w:space="0" w:color="auto"/>
        <w:right w:val="none" w:sz="0" w:space="0" w:color="auto"/>
      </w:divBdr>
    </w:div>
    <w:div w:id="2091582578">
      <w:bodyDiv w:val="1"/>
      <w:marLeft w:val="0"/>
      <w:marRight w:val="0"/>
      <w:marTop w:val="0"/>
      <w:marBottom w:val="0"/>
      <w:divBdr>
        <w:top w:val="none" w:sz="0" w:space="0" w:color="auto"/>
        <w:left w:val="none" w:sz="0" w:space="0" w:color="auto"/>
        <w:bottom w:val="none" w:sz="0" w:space="0" w:color="auto"/>
        <w:right w:val="none" w:sz="0" w:space="0" w:color="auto"/>
      </w:divBdr>
    </w:div>
    <w:div w:id="2126651029">
      <w:bodyDiv w:val="1"/>
      <w:marLeft w:val="0"/>
      <w:marRight w:val="0"/>
      <w:marTop w:val="0"/>
      <w:marBottom w:val="0"/>
      <w:divBdr>
        <w:top w:val="none" w:sz="0" w:space="0" w:color="auto"/>
        <w:left w:val="none" w:sz="0" w:space="0" w:color="auto"/>
        <w:bottom w:val="none" w:sz="0" w:space="0" w:color="auto"/>
        <w:right w:val="none" w:sz="0" w:space="0" w:color="auto"/>
      </w:divBdr>
    </w:div>
    <w:div w:id="2127237431">
      <w:bodyDiv w:val="1"/>
      <w:marLeft w:val="0"/>
      <w:marRight w:val="0"/>
      <w:marTop w:val="0"/>
      <w:marBottom w:val="0"/>
      <w:divBdr>
        <w:top w:val="none" w:sz="0" w:space="0" w:color="auto"/>
        <w:left w:val="none" w:sz="0" w:space="0" w:color="auto"/>
        <w:bottom w:val="none" w:sz="0" w:space="0" w:color="auto"/>
        <w:right w:val="none" w:sz="0" w:space="0" w:color="auto"/>
      </w:divBdr>
    </w:div>
    <w:div w:id="214499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italia/covid19-opendata-vaccini/blob/master/dati/platea-second-booster.csv" TargetMode="External"/><Relationship Id="rId18" Type="http://schemas.openxmlformats.org/officeDocument/2006/relationships/image" Target="media/image3.pn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hyperlink" Target="https://github.com/italia/covid19-opendata-vaccini/blob/master/dati/platea-booster-immunocompromessi.csv"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icentro.iss.it/coronavirus/bollettino/Bollettino-sorveglianza-integrata-COVID-19_31-maggio-2022.pdf"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fficio.stampa@gimbe.org"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hyperlink" Target="https://github.com/italia/covid19-opendata-vaccini/blob/master/dati/platea-dose-addizionale-booster.csv" TargetMode="Externa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s://www.epicentro.iss.it/coronavirus/bollettino/Bollettino-sorveglianza-integrata-COVID-19_31-maggio-2022.pdf" TargetMode="External"/><Relationship Id="rId14" Type="http://schemas.openxmlformats.org/officeDocument/2006/relationships/hyperlink" Target="https://coronavirus.gimbe.org"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8" Type="http://schemas.openxmlformats.org/officeDocument/2006/relationships/hyperlink" Target="https://www.trovanorme.salute.gov.it/norme/renderNormsanPdf?anno=2022&amp;codLeg=87542&amp;parte=1%20&amp;serie=null"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2F81C-B0B6-40CC-B7C4-75DD85FB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3176</Words>
  <Characters>18104</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Cartabellotta</dc:creator>
  <cp:lastModifiedBy>Luca Bellusci</cp:lastModifiedBy>
  <cp:revision>6</cp:revision>
  <cp:lastPrinted>2022-05-04T09:11:00Z</cp:lastPrinted>
  <dcterms:created xsi:type="dcterms:W3CDTF">2022-06-09T05:34:00Z</dcterms:created>
  <dcterms:modified xsi:type="dcterms:W3CDTF">2022-06-09T07:56:00Z</dcterms:modified>
</cp:coreProperties>
</file>