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53772" w14:textId="6F4621A0" w:rsidR="00526E14" w:rsidRPr="00634978" w:rsidRDefault="00526E14" w:rsidP="00526E14">
      <w:pPr>
        <w:spacing w:after="0" w:line="276" w:lineRule="auto"/>
        <w:jc w:val="center"/>
        <w:rPr>
          <w:rFonts w:eastAsia="Times New Roman" w:cs="Calibri"/>
          <w:b/>
          <w:bCs/>
          <w:color w:val="auto"/>
          <w:sz w:val="36"/>
          <w:szCs w:val="36"/>
          <w:bdr w:val="none" w:sz="0" w:space="0" w:color="auto" w:frame="1"/>
        </w:rPr>
      </w:pPr>
      <w:r w:rsidRPr="00634978">
        <w:rPr>
          <w:b/>
          <w:bCs/>
          <w:color w:val="auto"/>
          <w:sz w:val="36"/>
          <w:szCs w:val="33"/>
        </w:rPr>
        <w:t>COMUNICATO STAMPA</w:t>
      </w:r>
    </w:p>
    <w:p w14:paraId="7EAA9305" w14:textId="77777777" w:rsidR="0084504B" w:rsidRPr="00FD6EB2" w:rsidRDefault="0084504B" w:rsidP="00F63B24">
      <w:pPr>
        <w:spacing w:after="0" w:line="276" w:lineRule="auto"/>
        <w:jc w:val="center"/>
        <w:rPr>
          <w:rFonts w:eastAsia="Times New Roman" w:cs="Calibri"/>
          <w:b/>
          <w:bCs/>
          <w:color w:val="FF0000"/>
          <w:sz w:val="8"/>
          <w:szCs w:val="8"/>
          <w:bdr w:val="none" w:sz="0" w:space="0" w:color="auto" w:frame="1"/>
        </w:rPr>
      </w:pPr>
    </w:p>
    <w:p w14:paraId="2E2DBAB7" w14:textId="011BA489" w:rsidR="0083732C" w:rsidRPr="00FD6EB2" w:rsidRDefault="0018231F" w:rsidP="00634978">
      <w:pPr>
        <w:spacing w:after="0" w:line="276" w:lineRule="auto"/>
        <w:jc w:val="center"/>
        <w:rPr>
          <w:rFonts w:eastAsia="Times New Roman" w:cs="Calibri"/>
          <w:b/>
          <w:bCs/>
          <w:color w:val="FF0000"/>
          <w:sz w:val="36"/>
          <w:szCs w:val="36"/>
          <w:bdr w:val="none" w:sz="0" w:space="0" w:color="auto" w:frame="1"/>
        </w:rPr>
      </w:pPr>
      <w:bookmarkStart w:id="0" w:name="_Hlk130199001"/>
      <w:r w:rsidRPr="00634978">
        <w:rPr>
          <w:rFonts w:eastAsia="Times New Roman" w:cs="Calibri"/>
          <w:b/>
          <w:bCs/>
          <w:color w:val="auto"/>
          <w:sz w:val="36"/>
          <w:szCs w:val="36"/>
          <w:bdr w:val="none" w:sz="0" w:space="0" w:color="auto" w:frame="1"/>
        </w:rPr>
        <w:t xml:space="preserve">CORONAVIRUS: </w:t>
      </w:r>
      <w:r w:rsidR="00634978" w:rsidRPr="00634978">
        <w:rPr>
          <w:rFonts w:eastAsia="Times New Roman" w:cs="Calibri"/>
          <w:b/>
          <w:bCs/>
          <w:color w:val="auto"/>
          <w:sz w:val="36"/>
          <w:szCs w:val="36"/>
          <w:bdr w:val="none" w:sz="0" w:space="0" w:color="auto" w:frame="1"/>
        </w:rPr>
        <w:t>NELL’ULTIMA SETTIMANA STABILI I</w:t>
      </w:r>
      <w:r w:rsidR="003E42E2" w:rsidRPr="00634978">
        <w:rPr>
          <w:rFonts w:eastAsia="Times New Roman" w:cs="Calibri"/>
          <w:b/>
          <w:bCs/>
          <w:color w:val="auto"/>
          <w:sz w:val="36"/>
          <w:szCs w:val="36"/>
          <w:bdr w:val="none" w:sz="0" w:space="0" w:color="auto" w:frame="1"/>
        </w:rPr>
        <w:t xml:space="preserve"> </w:t>
      </w:r>
      <w:r w:rsidR="00634978" w:rsidRPr="00634978">
        <w:rPr>
          <w:rFonts w:eastAsia="Times New Roman" w:cs="Calibri"/>
          <w:b/>
          <w:bCs/>
          <w:color w:val="auto"/>
          <w:sz w:val="36"/>
          <w:szCs w:val="36"/>
          <w:bdr w:val="none" w:sz="0" w:space="0" w:color="auto" w:frame="1"/>
        </w:rPr>
        <w:t xml:space="preserve">CONTAGI </w:t>
      </w:r>
      <w:r w:rsidR="003F7B63">
        <w:rPr>
          <w:rFonts w:eastAsia="Times New Roman" w:cs="Calibri"/>
          <w:b/>
          <w:bCs/>
          <w:color w:val="auto"/>
          <w:sz w:val="36"/>
          <w:szCs w:val="36"/>
          <w:bdr w:val="none" w:sz="0" w:space="0" w:color="auto" w:frame="1"/>
        </w:rPr>
        <w:br/>
      </w:r>
      <w:r w:rsidR="00634978" w:rsidRPr="00634978">
        <w:rPr>
          <w:rFonts w:eastAsia="Times New Roman" w:cs="Calibri"/>
          <w:b/>
          <w:bCs/>
          <w:color w:val="auto"/>
          <w:sz w:val="36"/>
          <w:szCs w:val="36"/>
          <w:bdr w:val="none" w:sz="0" w:space="0" w:color="auto" w:frame="1"/>
        </w:rPr>
        <w:t>(-</w:t>
      </w:r>
      <w:r w:rsidRPr="00634978">
        <w:rPr>
          <w:rFonts w:eastAsia="Times New Roman" w:cs="Calibri"/>
          <w:b/>
          <w:bCs/>
          <w:color w:val="auto"/>
          <w:sz w:val="36"/>
          <w:szCs w:val="36"/>
          <w:bdr w:val="none" w:sz="0" w:space="0" w:color="auto" w:frame="1"/>
        </w:rPr>
        <w:t xml:space="preserve">1%), </w:t>
      </w:r>
      <w:bookmarkStart w:id="1" w:name="_GoBack"/>
      <w:bookmarkEnd w:id="1"/>
      <w:r w:rsidRPr="00634978">
        <w:rPr>
          <w:rFonts w:eastAsia="Times New Roman" w:cs="Calibri"/>
          <w:b/>
          <w:bCs/>
          <w:color w:val="auto"/>
          <w:sz w:val="36"/>
          <w:szCs w:val="36"/>
          <w:bdr w:val="none" w:sz="0" w:space="0" w:color="auto" w:frame="1"/>
        </w:rPr>
        <w:t>DECESSI (-</w:t>
      </w:r>
      <w:r w:rsidR="00634978" w:rsidRPr="00634978">
        <w:rPr>
          <w:rFonts w:eastAsia="Times New Roman" w:cs="Calibri"/>
          <w:b/>
          <w:bCs/>
          <w:color w:val="auto"/>
          <w:sz w:val="36"/>
          <w:szCs w:val="36"/>
          <w:bdr w:val="none" w:sz="0" w:space="0" w:color="auto" w:frame="1"/>
        </w:rPr>
        <w:t>1,9</w:t>
      </w:r>
      <w:r w:rsidRPr="00634978">
        <w:rPr>
          <w:rFonts w:eastAsia="Times New Roman" w:cs="Calibri"/>
          <w:b/>
          <w:bCs/>
          <w:color w:val="auto"/>
          <w:sz w:val="36"/>
          <w:szCs w:val="36"/>
          <w:bdr w:val="none" w:sz="0" w:space="0" w:color="auto" w:frame="1"/>
        </w:rPr>
        <w:t>%)</w:t>
      </w:r>
      <w:r w:rsidR="00A37B69">
        <w:rPr>
          <w:rFonts w:eastAsia="Times New Roman" w:cs="Calibri"/>
          <w:b/>
          <w:bCs/>
          <w:color w:val="auto"/>
          <w:sz w:val="36"/>
          <w:szCs w:val="36"/>
          <w:bdr w:val="none" w:sz="0" w:space="0" w:color="auto" w:frame="1"/>
        </w:rPr>
        <w:t xml:space="preserve"> E </w:t>
      </w:r>
      <w:r w:rsidR="00A37B69" w:rsidRPr="00634978">
        <w:rPr>
          <w:rFonts w:eastAsia="Times New Roman" w:cs="Calibri"/>
          <w:b/>
          <w:bCs/>
          <w:color w:val="auto"/>
          <w:sz w:val="36"/>
          <w:szCs w:val="36"/>
          <w:bdr w:val="none" w:sz="0" w:space="0" w:color="auto" w:frame="1"/>
        </w:rPr>
        <w:t>TERAPIE INTENSIVE (0</w:t>
      </w:r>
      <w:r w:rsidR="00A37B69">
        <w:rPr>
          <w:rFonts w:eastAsia="Times New Roman" w:cs="Calibri"/>
          <w:b/>
          <w:bCs/>
          <w:color w:val="auto"/>
          <w:sz w:val="36"/>
          <w:szCs w:val="36"/>
          <w:bdr w:val="none" w:sz="0" w:space="0" w:color="auto" w:frame="1"/>
        </w:rPr>
        <w:t>%)</w:t>
      </w:r>
      <w:r w:rsidRPr="00634978">
        <w:rPr>
          <w:rFonts w:eastAsia="Times New Roman" w:cs="Calibri"/>
          <w:b/>
          <w:bCs/>
          <w:color w:val="auto"/>
          <w:sz w:val="36"/>
          <w:szCs w:val="36"/>
          <w:bdr w:val="none" w:sz="0" w:space="0" w:color="auto" w:frame="1"/>
        </w:rPr>
        <w:t xml:space="preserve">. </w:t>
      </w:r>
      <w:r w:rsidR="003F7B63">
        <w:rPr>
          <w:rFonts w:eastAsia="Times New Roman" w:cs="Calibri"/>
          <w:b/>
          <w:bCs/>
          <w:color w:val="auto"/>
          <w:sz w:val="36"/>
          <w:szCs w:val="36"/>
          <w:bdr w:val="none" w:sz="0" w:space="0" w:color="auto" w:frame="1"/>
        </w:rPr>
        <w:br/>
      </w:r>
      <w:r w:rsidR="00634978" w:rsidRPr="00634978">
        <w:rPr>
          <w:rFonts w:eastAsia="Times New Roman" w:cs="Calibri"/>
          <w:b/>
          <w:bCs/>
          <w:color w:val="auto"/>
          <w:sz w:val="36"/>
          <w:szCs w:val="36"/>
          <w:bdr w:val="none" w:sz="0" w:space="0" w:color="auto" w:frame="1"/>
        </w:rPr>
        <w:t>SCENDONO I RICOVERI (-7,9%)</w:t>
      </w:r>
      <w:r w:rsidRPr="00FD6EB2">
        <w:rPr>
          <w:rFonts w:eastAsia="Times New Roman" w:cs="Calibri"/>
          <w:b/>
          <w:bCs/>
          <w:color w:val="FF0000"/>
          <w:sz w:val="36"/>
          <w:szCs w:val="36"/>
          <w:bdr w:val="none" w:sz="0" w:space="0" w:color="auto" w:frame="1"/>
        </w:rPr>
        <w:br/>
      </w:r>
      <w:r w:rsidR="00634978" w:rsidRPr="00634978">
        <w:rPr>
          <w:rFonts w:eastAsia="Times New Roman" w:cs="Calibri"/>
          <w:b/>
          <w:bCs/>
          <w:color w:val="auto"/>
          <w:sz w:val="36"/>
          <w:szCs w:val="36"/>
          <w:bdr w:val="none" w:sz="0" w:space="0" w:color="auto" w:frame="1"/>
        </w:rPr>
        <w:t>QUARTA DOSE: SCOPERTE 2 PERSONE SU 3.</w:t>
      </w:r>
      <w:r w:rsidR="00634978" w:rsidRPr="00634978">
        <w:rPr>
          <w:rFonts w:eastAsia="Times New Roman" w:cs="Calibri"/>
          <w:b/>
          <w:bCs/>
          <w:color w:val="auto"/>
          <w:sz w:val="36"/>
          <w:szCs w:val="36"/>
          <w:bdr w:val="none" w:sz="0" w:space="0" w:color="auto" w:frame="1"/>
        </w:rPr>
        <w:br/>
        <w:t>QUINTA DOSE: MENO DI 500 MILA SOMMINISTRAZIONI IN 5 MESI. COPERTURA FERMA AL 15,7%</w:t>
      </w:r>
      <w:bookmarkEnd w:id="0"/>
      <w:r w:rsidR="00634978" w:rsidRPr="00634978">
        <w:rPr>
          <w:rFonts w:eastAsia="Times New Roman" w:cs="Calibri"/>
          <w:b/>
          <w:bCs/>
          <w:color w:val="auto"/>
          <w:sz w:val="36"/>
          <w:szCs w:val="36"/>
          <w:bdr w:val="none" w:sz="0" w:space="0" w:color="auto" w:frame="1"/>
        </w:rPr>
        <w:t>.</w:t>
      </w:r>
      <w:r w:rsidR="00C62C39" w:rsidRPr="00634978">
        <w:rPr>
          <w:rFonts w:eastAsia="Times New Roman" w:cs="Calibri"/>
          <w:b/>
          <w:bCs/>
          <w:color w:val="auto"/>
          <w:sz w:val="36"/>
          <w:szCs w:val="36"/>
          <w:bdr w:val="none" w:sz="0" w:space="0" w:color="auto" w:frame="1"/>
        </w:rPr>
        <w:t xml:space="preserve"> </w:t>
      </w:r>
    </w:p>
    <w:p w14:paraId="6697EED9" w14:textId="64610F71" w:rsidR="00526E14" w:rsidRPr="00B928B4" w:rsidRDefault="00B928B4" w:rsidP="00136112">
      <w:pPr>
        <w:spacing w:after="0" w:line="276" w:lineRule="auto"/>
        <w:jc w:val="center"/>
        <w:rPr>
          <w:rFonts w:cs="Calibri"/>
          <w:b/>
          <w:bCs/>
          <w:color w:val="auto"/>
          <w:sz w:val="24"/>
          <w:szCs w:val="24"/>
        </w:rPr>
      </w:pPr>
      <w:r w:rsidRPr="00B928B4">
        <w:rPr>
          <w:rFonts w:cs="Calibri"/>
          <w:b/>
          <w:bCs/>
          <w:color w:val="auto"/>
          <w:sz w:val="24"/>
          <w:szCs w:val="24"/>
        </w:rPr>
        <w:t>20</w:t>
      </w:r>
      <w:r w:rsidR="00526E14" w:rsidRPr="00B928B4">
        <w:rPr>
          <w:rFonts w:cs="Calibri"/>
          <w:b/>
          <w:bCs/>
          <w:color w:val="auto"/>
          <w:sz w:val="24"/>
          <w:szCs w:val="24"/>
        </w:rPr>
        <w:t xml:space="preserve"> </w:t>
      </w:r>
      <w:r w:rsidR="00453495" w:rsidRPr="00B928B4">
        <w:rPr>
          <w:rFonts w:cs="Calibri"/>
          <w:b/>
          <w:bCs/>
          <w:color w:val="auto"/>
          <w:sz w:val="24"/>
          <w:szCs w:val="24"/>
        </w:rPr>
        <w:t>marzo</w:t>
      </w:r>
      <w:r w:rsidR="00526E14" w:rsidRPr="00B928B4">
        <w:rPr>
          <w:rFonts w:cs="Calibri"/>
          <w:b/>
          <w:bCs/>
          <w:color w:val="auto"/>
          <w:sz w:val="24"/>
          <w:szCs w:val="24"/>
        </w:rPr>
        <w:t xml:space="preserve"> 2023 - Fondazione GIMBE, Bologna</w:t>
      </w:r>
    </w:p>
    <w:p w14:paraId="6DB2E082" w14:textId="77777777" w:rsidR="00DD6B88" w:rsidRPr="00FD6EB2" w:rsidRDefault="00DD6B88" w:rsidP="00FA5297">
      <w:pPr>
        <w:spacing w:after="0" w:line="276" w:lineRule="auto"/>
        <w:jc w:val="both"/>
        <w:rPr>
          <w:color w:val="FF0000"/>
        </w:rPr>
      </w:pPr>
    </w:p>
    <w:p w14:paraId="025BC7BA" w14:textId="77777777" w:rsidR="00DD6B88" w:rsidRPr="00B928B4" w:rsidRDefault="00DD6B88" w:rsidP="00DD6B88">
      <w:pPr>
        <w:spacing w:line="276" w:lineRule="auto"/>
        <w:jc w:val="both"/>
        <w:rPr>
          <w:b/>
          <w:color w:val="auto"/>
        </w:rPr>
      </w:pPr>
      <w:r w:rsidRPr="00B928B4">
        <w:rPr>
          <w:b/>
          <w:color w:val="auto"/>
        </w:rPr>
        <w:t>MONITORAGGIO PANDEMIA COVID-19</w:t>
      </w:r>
    </w:p>
    <w:p w14:paraId="1CFE3DBE" w14:textId="214CC615" w:rsidR="009437EC" w:rsidRPr="009437EC" w:rsidRDefault="009437EC" w:rsidP="00EC6BB3">
      <w:pPr>
        <w:spacing w:after="0" w:line="276" w:lineRule="auto"/>
        <w:jc w:val="both"/>
        <w:rPr>
          <w:color w:val="auto"/>
        </w:rPr>
      </w:pPr>
      <w:bookmarkStart w:id="2" w:name="_Hlk105580520"/>
      <w:r w:rsidRPr="009437EC">
        <w:rPr>
          <w:color w:val="auto"/>
        </w:rPr>
        <w:t xml:space="preserve">Il monitoraggio indipendente della Fondazione GIMBE rileva nella settimana 10-16 marzo 2023, rispetto alla precedente, una </w:t>
      </w:r>
      <w:r w:rsidR="00634978">
        <w:rPr>
          <w:color w:val="auto"/>
        </w:rPr>
        <w:t xml:space="preserve">sostanziale stabilità dei </w:t>
      </w:r>
      <w:r w:rsidRPr="009437EC">
        <w:rPr>
          <w:color w:val="auto"/>
        </w:rPr>
        <w:t>nuovi casi (23.732 vs 23.963) (</w:t>
      </w:r>
      <w:r w:rsidRPr="009437EC">
        <w:rPr>
          <w:color w:val="auto"/>
          <w:highlight w:val="yellow"/>
        </w:rPr>
        <w:t>figura 1</w:t>
      </w:r>
      <w:r w:rsidR="00634978">
        <w:rPr>
          <w:color w:val="auto"/>
        </w:rPr>
        <w:t>),</w:t>
      </w:r>
      <w:r w:rsidRPr="009437EC">
        <w:rPr>
          <w:color w:val="auto"/>
        </w:rPr>
        <w:t xml:space="preserve"> dei decessi (212 vs 216) (</w:t>
      </w:r>
      <w:r w:rsidRPr="009437EC">
        <w:rPr>
          <w:color w:val="auto"/>
          <w:highlight w:val="yellow"/>
        </w:rPr>
        <w:t>figura 2</w:t>
      </w:r>
      <w:r w:rsidR="00634978">
        <w:rPr>
          <w:color w:val="auto"/>
        </w:rPr>
        <w:t>), del</w:t>
      </w:r>
      <w:r w:rsidR="00634978" w:rsidRPr="009437EC">
        <w:rPr>
          <w:color w:val="auto"/>
        </w:rPr>
        <w:t>le terapie intensive (104 vs 104)</w:t>
      </w:r>
      <w:r w:rsidR="00634978">
        <w:rPr>
          <w:color w:val="auto"/>
        </w:rPr>
        <w:t xml:space="preserve"> e del</w:t>
      </w:r>
      <w:r w:rsidRPr="009437EC">
        <w:rPr>
          <w:color w:val="auto"/>
        </w:rPr>
        <w:t>le persone in isolamento d</w:t>
      </w:r>
      <w:r>
        <w:rPr>
          <w:color w:val="auto"/>
        </w:rPr>
        <w:t>o</w:t>
      </w:r>
      <w:r w:rsidR="00634978">
        <w:rPr>
          <w:color w:val="auto"/>
        </w:rPr>
        <w:t>miciliare (139.157 vs 141.005). In calo</w:t>
      </w:r>
      <w:r w:rsidRPr="009437EC">
        <w:rPr>
          <w:color w:val="auto"/>
        </w:rPr>
        <w:t xml:space="preserve"> i ricoveri con sintomi (2.727 vs 2.962). In dettaglio, rispetto alla settimana precedente, si registrano le seguenti variazioni:</w:t>
      </w:r>
    </w:p>
    <w:p w14:paraId="14448199" w14:textId="77777777" w:rsidR="009437EC" w:rsidRPr="009437EC" w:rsidRDefault="009437EC" w:rsidP="009437EC">
      <w:pPr>
        <w:pStyle w:val="Paragrafoelenco"/>
        <w:numPr>
          <w:ilvl w:val="0"/>
          <w:numId w:val="3"/>
        </w:numPr>
        <w:spacing w:after="0" w:line="276" w:lineRule="auto"/>
        <w:jc w:val="both"/>
        <w:rPr>
          <w:color w:val="auto"/>
        </w:rPr>
      </w:pPr>
      <w:r w:rsidRPr="009437EC">
        <w:rPr>
          <w:color w:val="auto"/>
        </w:rPr>
        <w:t>Decessi: 212 (-1,9%)</w:t>
      </w:r>
    </w:p>
    <w:p w14:paraId="232C8E8B" w14:textId="00ECB01B" w:rsidR="009437EC" w:rsidRPr="009437EC" w:rsidRDefault="009437EC" w:rsidP="009437EC">
      <w:pPr>
        <w:pStyle w:val="Paragrafoelenco"/>
        <w:numPr>
          <w:ilvl w:val="0"/>
          <w:numId w:val="3"/>
        </w:numPr>
        <w:spacing w:after="0" w:line="276" w:lineRule="auto"/>
        <w:jc w:val="both"/>
        <w:rPr>
          <w:color w:val="auto"/>
        </w:rPr>
      </w:pPr>
      <w:r w:rsidRPr="009437EC">
        <w:rPr>
          <w:color w:val="auto"/>
        </w:rPr>
        <w:t xml:space="preserve">Terapia intensiva: </w:t>
      </w:r>
      <w:r>
        <w:rPr>
          <w:color w:val="auto"/>
        </w:rPr>
        <w:t>0</w:t>
      </w:r>
      <w:r w:rsidRPr="009437EC">
        <w:rPr>
          <w:color w:val="auto"/>
        </w:rPr>
        <w:t xml:space="preserve"> (</w:t>
      </w:r>
      <w:r>
        <w:rPr>
          <w:color w:val="auto"/>
        </w:rPr>
        <w:t>0</w:t>
      </w:r>
      <w:r w:rsidRPr="009437EC">
        <w:rPr>
          <w:color w:val="auto"/>
        </w:rPr>
        <w:t>%)</w:t>
      </w:r>
    </w:p>
    <w:p w14:paraId="7F653AAA" w14:textId="77777777" w:rsidR="009437EC" w:rsidRPr="009437EC" w:rsidRDefault="009437EC" w:rsidP="009437EC">
      <w:pPr>
        <w:pStyle w:val="Paragrafoelenco"/>
        <w:numPr>
          <w:ilvl w:val="0"/>
          <w:numId w:val="3"/>
        </w:numPr>
        <w:spacing w:after="0" w:line="276" w:lineRule="auto"/>
        <w:jc w:val="both"/>
        <w:rPr>
          <w:color w:val="auto"/>
        </w:rPr>
      </w:pPr>
      <w:r w:rsidRPr="009437EC">
        <w:rPr>
          <w:color w:val="auto"/>
        </w:rPr>
        <w:t>Ricoverati con sintomi: -235 (-7,9%)</w:t>
      </w:r>
    </w:p>
    <w:p w14:paraId="69889998" w14:textId="77777777" w:rsidR="009437EC" w:rsidRPr="009437EC" w:rsidRDefault="009437EC" w:rsidP="009437EC">
      <w:pPr>
        <w:pStyle w:val="Paragrafoelenco"/>
        <w:numPr>
          <w:ilvl w:val="0"/>
          <w:numId w:val="3"/>
        </w:numPr>
        <w:spacing w:after="0" w:line="276" w:lineRule="auto"/>
        <w:jc w:val="both"/>
        <w:rPr>
          <w:color w:val="auto"/>
        </w:rPr>
      </w:pPr>
      <w:r w:rsidRPr="009437EC">
        <w:rPr>
          <w:color w:val="auto"/>
        </w:rPr>
        <w:t>Isolamento domiciliare: -1.848 (-1,3%)</w:t>
      </w:r>
    </w:p>
    <w:p w14:paraId="40E6915B" w14:textId="2DF30EA3" w:rsidR="00EC6BB3" w:rsidRPr="009437EC" w:rsidRDefault="009437EC" w:rsidP="009437EC">
      <w:pPr>
        <w:pStyle w:val="Paragrafoelenco"/>
        <w:numPr>
          <w:ilvl w:val="0"/>
          <w:numId w:val="3"/>
        </w:numPr>
        <w:spacing w:line="276" w:lineRule="auto"/>
        <w:jc w:val="both"/>
        <w:rPr>
          <w:color w:val="auto"/>
        </w:rPr>
      </w:pPr>
      <w:r w:rsidRPr="009437EC">
        <w:rPr>
          <w:color w:val="auto"/>
        </w:rPr>
        <w:t>Nuovi casi: 23.732 (-</w:t>
      </w:r>
      <w:r>
        <w:rPr>
          <w:color w:val="auto"/>
        </w:rPr>
        <w:t>1</w:t>
      </w:r>
      <w:r w:rsidRPr="009437EC">
        <w:rPr>
          <w:color w:val="auto"/>
        </w:rPr>
        <w:t>%)</w:t>
      </w:r>
    </w:p>
    <w:p w14:paraId="686339A1" w14:textId="611F0926" w:rsidR="00EC6BB3" w:rsidRPr="00A455C9" w:rsidRDefault="00EC6BB3" w:rsidP="00EC6BB3">
      <w:pPr>
        <w:spacing w:after="120" w:line="276" w:lineRule="auto"/>
        <w:jc w:val="both"/>
        <w:rPr>
          <w:color w:val="auto"/>
        </w:rPr>
      </w:pPr>
      <w:r w:rsidRPr="00613221">
        <w:rPr>
          <w:b/>
          <w:color w:val="auto"/>
        </w:rPr>
        <w:t xml:space="preserve">Nuovi casi. </w:t>
      </w:r>
      <w:bookmarkStart w:id="3" w:name="_Hlk123984615"/>
      <w:r w:rsidRPr="00613221">
        <w:rPr>
          <w:color w:val="auto"/>
        </w:rPr>
        <w:t xml:space="preserve">«Dopo </w:t>
      </w:r>
      <w:r w:rsidR="00613221">
        <w:rPr>
          <w:color w:val="auto"/>
        </w:rPr>
        <w:t>la discesa delle ultime due settimane</w:t>
      </w:r>
      <w:r w:rsidRPr="00613221">
        <w:rPr>
          <w:color w:val="auto"/>
        </w:rPr>
        <w:t xml:space="preserve"> – dichiara Nino Cartabellotta, Presidente della Fondazione GIMBE – </w:t>
      </w:r>
      <w:r w:rsidR="00613221">
        <w:rPr>
          <w:color w:val="auto"/>
        </w:rPr>
        <w:t>sono sostanzialmente stabili</w:t>
      </w:r>
      <w:r w:rsidRPr="00613221">
        <w:rPr>
          <w:color w:val="auto"/>
        </w:rPr>
        <w:t xml:space="preserve"> (-1%) i nuovi casi settimanali, che rimangono comunque ampiamente sottostimati. Da</w:t>
      </w:r>
      <w:r w:rsidR="00613221">
        <w:rPr>
          <w:color w:val="auto"/>
        </w:rPr>
        <w:t>i</w:t>
      </w:r>
      <w:r w:rsidRPr="00613221">
        <w:rPr>
          <w:color w:val="auto"/>
        </w:rPr>
        <w:t xml:space="preserve"> </w:t>
      </w:r>
      <w:r w:rsidR="009437EC" w:rsidRPr="00613221">
        <w:rPr>
          <w:color w:val="auto"/>
        </w:rPr>
        <w:t>2</w:t>
      </w:r>
      <w:r w:rsidR="00613221">
        <w:rPr>
          <w:color w:val="auto"/>
        </w:rPr>
        <w:t>3,9 mila</w:t>
      </w:r>
      <w:r w:rsidRPr="00613221">
        <w:rPr>
          <w:color w:val="auto"/>
        </w:rPr>
        <w:t xml:space="preserve"> nella settimana precedente </w:t>
      </w:r>
      <w:r w:rsidR="00613221">
        <w:rPr>
          <w:color w:val="auto"/>
        </w:rPr>
        <w:t xml:space="preserve">si attestano a </w:t>
      </w:r>
      <w:r w:rsidRPr="00613221">
        <w:rPr>
          <w:color w:val="auto"/>
        </w:rPr>
        <w:t>quota 2</w:t>
      </w:r>
      <w:r w:rsidR="00613221">
        <w:rPr>
          <w:color w:val="auto"/>
        </w:rPr>
        <w:t>3,7</w:t>
      </w:r>
      <w:r w:rsidRPr="00613221">
        <w:rPr>
          <w:color w:val="auto"/>
        </w:rPr>
        <w:t xml:space="preserve"> mila, con una media mobile a 7 giorni di 3.</w:t>
      </w:r>
      <w:r w:rsidR="00613221" w:rsidRPr="00613221">
        <w:rPr>
          <w:color w:val="auto"/>
        </w:rPr>
        <w:t>387</w:t>
      </w:r>
      <w:r w:rsidRPr="00613221">
        <w:rPr>
          <w:color w:val="auto"/>
        </w:rPr>
        <w:t xml:space="preserve"> casi al giorno</w:t>
      </w:r>
      <w:bookmarkEnd w:id="2"/>
      <w:r w:rsidRPr="00613221">
        <w:rPr>
          <w:color w:val="auto"/>
        </w:rPr>
        <w:t xml:space="preserve">» </w:t>
      </w:r>
      <w:bookmarkEnd w:id="3"/>
      <w:r w:rsidRPr="00613221">
        <w:rPr>
          <w:color w:val="auto"/>
        </w:rPr>
        <w:t>(</w:t>
      </w:r>
      <w:r w:rsidRPr="00613221">
        <w:rPr>
          <w:color w:val="auto"/>
          <w:highlight w:val="yellow"/>
        </w:rPr>
        <w:t>figura 3</w:t>
      </w:r>
      <w:r w:rsidRPr="00613221">
        <w:rPr>
          <w:color w:val="auto"/>
        </w:rPr>
        <w:t xml:space="preserve">). </w:t>
      </w:r>
      <w:r w:rsidR="00613221" w:rsidRPr="00613221">
        <w:rPr>
          <w:color w:val="auto"/>
        </w:rPr>
        <w:t>I nuovi casi aumentano in 10</w:t>
      </w:r>
      <w:r w:rsidRPr="00613221">
        <w:rPr>
          <w:color w:val="auto"/>
        </w:rPr>
        <w:t xml:space="preserve"> Regioni: dal +</w:t>
      </w:r>
      <w:r w:rsidR="00613221" w:rsidRPr="00613221">
        <w:rPr>
          <w:color w:val="auto"/>
        </w:rPr>
        <w:t>1,2</w:t>
      </w:r>
      <w:r w:rsidRPr="00613221">
        <w:rPr>
          <w:color w:val="auto"/>
        </w:rPr>
        <w:t xml:space="preserve">% della </w:t>
      </w:r>
      <w:r w:rsidR="00613221" w:rsidRPr="00613221">
        <w:rPr>
          <w:color w:val="auto"/>
        </w:rPr>
        <w:t>Toscana</w:t>
      </w:r>
      <w:r w:rsidRPr="00613221">
        <w:rPr>
          <w:color w:val="auto"/>
        </w:rPr>
        <w:t xml:space="preserve"> al +</w:t>
      </w:r>
      <w:r w:rsidR="00613221" w:rsidRPr="00613221">
        <w:rPr>
          <w:color w:val="auto"/>
        </w:rPr>
        <w:t>3</w:t>
      </w:r>
      <w:r w:rsidRPr="00613221">
        <w:rPr>
          <w:color w:val="auto"/>
        </w:rPr>
        <w:t>3,</w:t>
      </w:r>
      <w:r w:rsidR="00613221" w:rsidRPr="00613221">
        <w:rPr>
          <w:color w:val="auto"/>
        </w:rPr>
        <w:t>8</w:t>
      </w:r>
      <w:r w:rsidRPr="00613221">
        <w:rPr>
          <w:color w:val="auto"/>
        </w:rPr>
        <w:t xml:space="preserve">% della </w:t>
      </w:r>
      <w:r w:rsidR="00613221" w:rsidRPr="00613221">
        <w:rPr>
          <w:color w:val="auto"/>
        </w:rPr>
        <w:t>Basilicata</w:t>
      </w:r>
      <w:r w:rsidRPr="00613221">
        <w:rPr>
          <w:color w:val="auto"/>
        </w:rPr>
        <w:t>. In calo le restanti 1</w:t>
      </w:r>
      <w:r w:rsidR="00613221" w:rsidRPr="00613221">
        <w:rPr>
          <w:color w:val="auto"/>
        </w:rPr>
        <w:t>0</w:t>
      </w:r>
      <w:r w:rsidRPr="00613221">
        <w:rPr>
          <w:color w:val="auto"/>
        </w:rPr>
        <w:t xml:space="preserve"> Regioni: dal -</w:t>
      </w:r>
      <w:r w:rsidR="00613221" w:rsidRPr="00613221">
        <w:rPr>
          <w:color w:val="auto"/>
        </w:rPr>
        <w:t>4</w:t>
      </w:r>
      <w:r w:rsidRPr="00A455C9">
        <w:rPr>
          <w:color w:val="auto"/>
        </w:rPr>
        <w:t xml:space="preserve">% del </w:t>
      </w:r>
      <w:r w:rsidR="00613221" w:rsidRPr="00A455C9">
        <w:rPr>
          <w:color w:val="auto"/>
        </w:rPr>
        <w:t>Piemonte</w:t>
      </w:r>
      <w:r w:rsidRPr="00A455C9">
        <w:rPr>
          <w:color w:val="auto"/>
        </w:rPr>
        <w:t xml:space="preserve"> al -</w:t>
      </w:r>
      <w:r w:rsidR="00613221" w:rsidRPr="00A455C9">
        <w:rPr>
          <w:color w:val="auto"/>
        </w:rPr>
        <w:t>25,8</w:t>
      </w:r>
      <w:r w:rsidRPr="00A455C9">
        <w:rPr>
          <w:color w:val="auto"/>
        </w:rPr>
        <w:t>% della Valle d’Aosta</w:t>
      </w:r>
      <w:r w:rsidR="00613221" w:rsidRPr="00A455C9">
        <w:rPr>
          <w:color w:val="auto"/>
        </w:rPr>
        <w:t>; mentre è stabile la Puglia con una variazione dello 0%</w:t>
      </w:r>
      <w:r w:rsidRPr="00A455C9">
        <w:rPr>
          <w:color w:val="auto"/>
        </w:rPr>
        <w:t xml:space="preserve"> (</w:t>
      </w:r>
      <w:r w:rsidRPr="00A455C9">
        <w:rPr>
          <w:color w:val="auto"/>
          <w:highlight w:val="yellow"/>
        </w:rPr>
        <w:t>tabella 1</w:t>
      </w:r>
      <w:r w:rsidRPr="00A455C9">
        <w:rPr>
          <w:color w:val="auto"/>
        </w:rPr>
        <w:t xml:space="preserve">). In </w:t>
      </w:r>
      <w:r w:rsidR="00613221" w:rsidRPr="00A455C9">
        <w:rPr>
          <w:color w:val="auto"/>
        </w:rPr>
        <w:t>61</w:t>
      </w:r>
      <w:r w:rsidRPr="00A455C9">
        <w:rPr>
          <w:color w:val="auto"/>
        </w:rPr>
        <w:t xml:space="preserve"> Province si registra un aumento dei nuovi casi: dal +0,</w:t>
      </w:r>
      <w:r w:rsidR="00A455C9" w:rsidRPr="00A455C9">
        <w:rPr>
          <w:color w:val="auto"/>
        </w:rPr>
        <w:t>1</w:t>
      </w:r>
      <w:r w:rsidRPr="00A455C9">
        <w:rPr>
          <w:color w:val="auto"/>
        </w:rPr>
        <w:t xml:space="preserve">% di </w:t>
      </w:r>
      <w:r w:rsidR="00A455C9" w:rsidRPr="00A455C9">
        <w:rPr>
          <w:color w:val="auto"/>
        </w:rPr>
        <w:t>Treviso al +</w:t>
      </w:r>
      <w:r w:rsidRPr="00A455C9">
        <w:rPr>
          <w:color w:val="auto"/>
        </w:rPr>
        <w:t>7</w:t>
      </w:r>
      <w:r w:rsidR="00A455C9" w:rsidRPr="00A455C9">
        <w:rPr>
          <w:color w:val="auto"/>
        </w:rPr>
        <w:t>6,9</w:t>
      </w:r>
      <w:r w:rsidRPr="00A455C9">
        <w:rPr>
          <w:color w:val="auto"/>
        </w:rPr>
        <w:t xml:space="preserve">% di </w:t>
      </w:r>
      <w:r w:rsidR="00A455C9" w:rsidRPr="00A455C9">
        <w:rPr>
          <w:color w:val="auto"/>
        </w:rPr>
        <w:t>Lodi</w:t>
      </w:r>
      <w:r w:rsidRPr="00A455C9">
        <w:rPr>
          <w:color w:val="auto"/>
        </w:rPr>
        <w:t xml:space="preserve">. Nelle restanti </w:t>
      </w:r>
      <w:r w:rsidR="00A455C9" w:rsidRPr="00A455C9">
        <w:rPr>
          <w:color w:val="auto"/>
        </w:rPr>
        <w:t>44</w:t>
      </w:r>
      <w:r w:rsidRPr="00A455C9">
        <w:rPr>
          <w:color w:val="auto"/>
        </w:rPr>
        <w:t xml:space="preserve"> Province si rileva una diminuzione dei nuovi casi (dal -</w:t>
      </w:r>
      <w:r w:rsidR="00A455C9" w:rsidRPr="00A455C9">
        <w:rPr>
          <w:color w:val="auto"/>
        </w:rPr>
        <w:t>0,6</w:t>
      </w:r>
      <w:r w:rsidRPr="00A455C9">
        <w:rPr>
          <w:color w:val="auto"/>
        </w:rPr>
        <w:t xml:space="preserve">% di </w:t>
      </w:r>
      <w:r w:rsidR="00A455C9" w:rsidRPr="00A455C9">
        <w:rPr>
          <w:color w:val="auto"/>
        </w:rPr>
        <w:t>Brescia</w:t>
      </w:r>
      <w:r w:rsidRPr="00A455C9">
        <w:rPr>
          <w:color w:val="auto"/>
        </w:rPr>
        <w:t xml:space="preserve"> al -4</w:t>
      </w:r>
      <w:r w:rsidR="00A455C9" w:rsidRPr="00A455C9">
        <w:rPr>
          <w:color w:val="auto"/>
        </w:rPr>
        <w:t>3</w:t>
      </w:r>
      <w:r w:rsidRPr="00A455C9">
        <w:rPr>
          <w:color w:val="auto"/>
        </w:rPr>
        <w:t xml:space="preserve">,2% di </w:t>
      </w:r>
      <w:r w:rsidR="00A455C9" w:rsidRPr="00A455C9">
        <w:rPr>
          <w:color w:val="auto"/>
        </w:rPr>
        <w:t>Reggio Calabria</w:t>
      </w:r>
      <w:r w:rsidRPr="00A455C9">
        <w:rPr>
          <w:color w:val="auto"/>
        </w:rPr>
        <w:t>)</w:t>
      </w:r>
      <w:r w:rsidR="00A455C9" w:rsidRPr="00A455C9">
        <w:rPr>
          <w:color w:val="auto"/>
        </w:rPr>
        <w:t>; stabili le province di Fermo e Verona con una variazione dello 0%</w:t>
      </w:r>
      <w:r w:rsidRPr="00A455C9">
        <w:rPr>
          <w:color w:val="auto"/>
        </w:rPr>
        <w:t xml:space="preserve"> (</w:t>
      </w:r>
      <w:r w:rsidRPr="00A455C9">
        <w:rPr>
          <w:color w:val="auto"/>
          <w:highlight w:val="yellow"/>
        </w:rPr>
        <w:t>tabella 2</w:t>
      </w:r>
      <w:r w:rsidRPr="00A455C9">
        <w:rPr>
          <w:color w:val="auto"/>
        </w:rPr>
        <w:t>).</w:t>
      </w:r>
    </w:p>
    <w:p w14:paraId="78109BAD" w14:textId="4A477D59" w:rsidR="00A455C9" w:rsidRPr="00A455C9" w:rsidRDefault="00A455C9" w:rsidP="00EC6BB3">
      <w:pPr>
        <w:spacing w:after="120" w:line="276" w:lineRule="auto"/>
        <w:jc w:val="both"/>
        <w:rPr>
          <w:color w:val="auto"/>
          <w:spacing w:val="-2"/>
        </w:rPr>
      </w:pPr>
      <w:bookmarkStart w:id="4" w:name="_Hlk116462683"/>
      <w:r w:rsidRPr="00A455C9">
        <w:rPr>
          <w:b/>
          <w:color w:val="auto"/>
          <w:spacing w:val="-2"/>
        </w:rPr>
        <w:t>Testing.</w:t>
      </w:r>
      <w:r w:rsidRPr="00A455C9">
        <w:rPr>
          <w:color w:val="auto"/>
          <w:spacing w:val="-2"/>
        </w:rPr>
        <w:t xml:space="preserve"> Si registra un calo del numero dei tamponi totali (-5,3%): da 477.908 della settimana 3-9 marzo a 452.747 della settimana 10-16 marzo. In particolare i tam</w:t>
      </w:r>
      <w:r>
        <w:rPr>
          <w:color w:val="auto"/>
          <w:spacing w:val="-2"/>
        </w:rPr>
        <w:t xml:space="preserve">poni rapidi sono diminuiti del </w:t>
      </w:r>
      <w:r w:rsidRPr="00A455C9">
        <w:rPr>
          <w:color w:val="auto"/>
          <w:spacing w:val="-2"/>
        </w:rPr>
        <w:t>3,9% (-14.310), mentre quelli molecolari del 10,2% (-10.851) (</w:t>
      </w:r>
      <w:r w:rsidRPr="00A455C9">
        <w:rPr>
          <w:color w:val="auto"/>
          <w:spacing w:val="-2"/>
          <w:highlight w:val="yellow"/>
        </w:rPr>
        <w:t>figura 4</w:t>
      </w:r>
      <w:r w:rsidRPr="00A455C9">
        <w:rPr>
          <w:color w:val="auto"/>
          <w:spacing w:val="-2"/>
        </w:rPr>
        <w:t>). La media mobile a 7 giorni del tasso di positività aumenta dal 4,3% al 4,6% per i tamponi molecolari e dal 5,1% al 5,4% per gli antigenici rapidi (</w:t>
      </w:r>
      <w:r w:rsidRPr="00A455C9">
        <w:rPr>
          <w:color w:val="auto"/>
          <w:spacing w:val="-2"/>
          <w:highlight w:val="yellow"/>
        </w:rPr>
        <w:t>figura 5</w:t>
      </w:r>
      <w:r w:rsidRPr="00A455C9">
        <w:rPr>
          <w:color w:val="auto"/>
          <w:spacing w:val="-2"/>
        </w:rPr>
        <w:t>).</w:t>
      </w:r>
    </w:p>
    <w:bookmarkEnd w:id="4"/>
    <w:p w14:paraId="37FC1D80" w14:textId="1BE9532A" w:rsidR="00EC6BB3" w:rsidRPr="006C03EE" w:rsidRDefault="00A455C9" w:rsidP="00EC6BB3">
      <w:pPr>
        <w:spacing w:after="120" w:line="276" w:lineRule="auto"/>
        <w:jc w:val="both"/>
        <w:rPr>
          <w:color w:val="auto"/>
        </w:rPr>
      </w:pPr>
      <w:r w:rsidRPr="00A455C9">
        <w:rPr>
          <w:b/>
          <w:color w:val="auto"/>
        </w:rPr>
        <w:t>Ospedalizzazioni.</w:t>
      </w:r>
      <w:r w:rsidRPr="00A455C9">
        <w:rPr>
          <w:color w:val="auto"/>
        </w:rPr>
        <w:t xml:space="preserve"> «Sul fronte degli ospedali – afferma Marco Mosti, Direttore Operativo della Fondazione GIMBE – prosegue il calo dei ricoveri in area medica (-7,9%) </w:t>
      </w:r>
      <w:r>
        <w:rPr>
          <w:color w:val="auto"/>
        </w:rPr>
        <w:t>mentre sono stabili quelli in terapia intensiva (0</w:t>
      </w:r>
      <w:r w:rsidRPr="00A455C9">
        <w:rPr>
          <w:color w:val="auto"/>
        </w:rPr>
        <w:t>%)». In termini assoluti, i posti letto COVID occupati in area critica, raggiunto il mass</w:t>
      </w:r>
      <w:r>
        <w:rPr>
          <w:color w:val="auto"/>
        </w:rPr>
        <w:t xml:space="preserve">imo di 148 il 28 febbraio, restano fermi </w:t>
      </w:r>
      <w:r w:rsidRPr="00A455C9">
        <w:rPr>
          <w:color w:val="auto"/>
        </w:rPr>
        <w:t xml:space="preserve">a </w:t>
      </w:r>
      <w:r>
        <w:rPr>
          <w:color w:val="auto"/>
        </w:rPr>
        <w:t xml:space="preserve">quota </w:t>
      </w:r>
      <w:r w:rsidRPr="00A455C9">
        <w:rPr>
          <w:color w:val="auto"/>
        </w:rPr>
        <w:t>104 il 16 marzo; in area medica, raggiunto il massimo di 3.331 il 23 febbraio, sono scesi a 2.727 il 16 marzo (</w:t>
      </w:r>
      <w:r w:rsidRPr="00A455C9">
        <w:rPr>
          <w:color w:val="auto"/>
          <w:highlight w:val="yellow"/>
        </w:rPr>
        <w:t>figura 6</w:t>
      </w:r>
      <w:r w:rsidRPr="00A455C9">
        <w:rPr>
          <w:color w:val="auto"/>
        </w:rPr>
        <w:t>).</w:t>
      </w:r>
      <w:r w:rsidR="00EC6BB3" w:rsidRPr="00FD6EB2">
        <w:rPr>
          <w:color w:val="FF0000"/>
        </w:rPr>
        <w:t xml:space="preserve"> </w:t>
      </w:r>
      <w:r w:rsidR="00157BAD" w:rsidRPr="00157BAD">
        <w:rPr>
          <w:color w:val="auto"/>
        </w:rPr>
        <w:t>Al 16 marzo il tasso nazionale di occupazione da parte di pazienti COVID</w:t>
      </w:r>
      <w:r w:rsidR="00157BAD">
        <w:rPr>
          <w:color w:val="auto"/>
        </w:rPr>
        <w:t xml:space="preserve"> è del 4,3% in area medica (dall’</w:t>
      </w:r>
      <w:r w:rsidR="00157BAD" w:rsidRPr="00157BAD">
        <w:rPr>
          <w:color w:val="auto"/>
        </w:rPr>
        <w:t>1,8% della Basilic</w:t>
      </w:r>
      <w:r w:rsidR="00157BAD">
        <w:rPr>
          <w:color w:val="auto"/>
        </w:rPr>
        <w:t>ata al 10,1% dell'Umbria) e dell’1</w:t>
      </w:r>
      <w:r w:rsidR="00157BAD" w:rsidRPr="00157BAD">
        <w:rPr>
          <w:color w:val="auto"/>
        </w:rPr>
        <w:t>% in area critica (dal</w:t>
      </w:r>
      <w:r w:rsidR="00157BAD">
        <w:rPr>
          <w:color w:val="auto"/>
        </w:rPr>
        <w:t>lo 0</w:t>
      </w:r>
      <w:r w:rsidR="00157BAD" w:rsidRPr="00157BAD">
        <w:rPr>
          <w:color w:val="auto"/>
        </w:rPr>
        <w:t>% d</w:t>
      </w:r>
      <w:r w:rsidR="00157BAD">
        <w:rPr>
          <w:color w:val="auto"/>
        </w:rPr>
        <w:t>i</w:t>
      </w:r>
      <w:r w:rsidR="00157BAD" w:rsidRPr="00157BAD">
        <w:rPr>
          <w:color w:val="auto"/>
        </w:rPr>
        <w:t xml:space="preserve"> Basilicata</w:t>
      </w:r>
      <w:r w:rsidR="00157BAD">
        <w:rPr>
          <w:color w:val="auto"/>
        </w:rPr>
        <w:t>, Marche, Provincia Autonoma di Bolzano e Valle d’Aosta</w:t>
      </w:r>
      <w:r w:rsidR="00157BAD" w:rsidRPr="00157BAD">
        <w:rPr>
          <w:color w:val="auto"/>
        </w:rPr>
        <w:t xml:space="preserve"> al 2,8% dell'Emilia Romagna) </w:t>
      </w:r>
      <w:r w:rsidR="00157BAD" w:rsidRPr="00157BAD">
        <w:rPr>
          <w:color w:val="auto"/>
        </w:rPr>
        <w:lastRenderedPageBreak/>
        <w:t>(</w:t>
      </w:r>
      <w:r w:rsidR="00157BAD" w:rsidRPr="00157BAD">
        <w:rPr>
          <w:color w:val="auto"/>
          <w:highlight w:val="yellow"/>
        </w:rPr>
        <w:t>figura 7</w:t>
      </w:r>
      <w:r w:rsidR="00157BAD" w:rsidRPr="00A455C9">
        <w:rPr>
          <w:color w:val="auto"/>
        </w:rPr>
        <w:t>).</w:t>
      </w:r>
      <w:r w:rsidR="00EC6BB3" w:rsidRPr="00A455C9">
        <w:rPr>
          <w:color w:val="auto"/>
        </w:rPr>
        <w:t xml:space="preserve"> «</w:t>
      </w:r>
      <w:r w:rsidRPr="00A455C9">
        <w:rPr>
          <w:color w:val="auto"/>
        </w:rPr>
        <w:t>Stabili</w:t>
      </w:r>
      <w:r w:rsidR="00EC6BB3" w:rsidRPr="00A455C9">
        <w:rPr>
          <w:color w:val="auto"/>
        </w:rPr>
        <w:t xml:space="preserve"> gli ingressi giornalieri in terapia intensiva – puntualizza Mosti – con una media mobile a 7 </w:t>
      </w:r>
      <w:r w:rsidR="00EC6BB3" w:rsidRPr="006C03EE">
        <w:rPr>
          <w:color w:val="auto"/>
        </w:rPr>
        <w:t>giorni di 1</w:t>
      </w:r>
      <w:r w:rsidRPr="006C03EE">
        <w:rPr>
          <w:color w:val="auto"/>
        </w:rPr>
        <w:t>1</w:t>
      </w:r>
      <w:r w:rsidR="00EC6BB3" w:rsidRPr="006C03EE">
        <w:rPr>
          <w:color w:val="auto"/>
        </w:rPr>
        <w:t xml:space="preserve"> ingressi/die ris</w:t>
      </w:r>
      <w:r w:rsidRPr="006C03EE">
        <w:rPr>
          <w:color w:val="auto"/>
        </w:rPr>
        <w:t>petto ai 12</w:t>
      </w:r>
      <w:r w:rsidR="00EC6BB3" w:rsidRPr="006C03EE">
        <w:rPr>
          <w:color w:val="auto"/>
        </w:rPr>
        <w:t xml:space="preserve"> della settimana precedente» (</w:t>
      </w:r>
      <w:r w:rsidR="00EC6BB3" w:rsidRPr="006C03EE">
        <w:rPr>
          <w:color w:val="auto"/>
          <w:highlight w:val="yellow"/>
        </w:rPr>
        <w:t>figura 8</w:t>
      </w:r>
      <w:r w:rsidR="00EC6BB3" w:rsidRPr="006C03EE">
        <w:rPr>
          <w:color w:val="auto"/>
        </w:rPr>
        <w:t>).</w:t>
      </w:r>
    </w:p>
    <w:p w14:paraId="52808648" w14:textId="7671F95F" w:rsidR="00A455C9" w:rsidRPr="006C03EE" w:rsidRDefault="00A455C9" w:rsidP="00EC6BB3">
      <w:pPr>
        <w:spacing w:line="276" w:lineRule="auto"/>
        <w:jc w:val="both"/>
        <w:rPr>
          <w:color w:val="auto"/>
        </w:rPr>
      </w:pPr>
      <w:r w:rsidRPr="006C03EE">
        <w:rPr>
          <w:b/>
          <w:color w:val="auto"/>
        </w:rPr>
        <w:t>Decessi.</w:t>
      </w:r>
      <w:r w:rsidRPr="006C03EE">
        <w:rPr>
          <w:color w:val="auto"/>
        </w:rPr>
        <w:t xml:space="preserve"> </w:t>
      </w:r>
      <w:r w:rsidR="00634978">
        <w:rPr>
          <w:color w:val="auto"/>
        </w:rPr>
        <w:t>Sostanzialmente stabili</w:t>
      </w:r>
      <w:r w:rsidRPr="006C03EE">
        <w:rPr>
          <w:color w:val="auto"/>
        </w:rPr>
        <w:t xml:space="preserve"> i decessi (-1,9%): 212 negli ultimi 7 giorni, con una media di 30 al giorno rispetto ai 31 della settimana precedente.</w:t>
      </w:r>
    </w:p>
    <w:p w14:paraId="6ED5B8F5" w14:textId="77777777" w:rsidR="00EC6BB3" w:rsidRPr="00FD6EB2" w:rsidRDefault="00EC6BB3" w:rsidP="00EC6BB3">
      <w:pPr>
        <w:spacing w:before="400" w:line="276" w:lineRule="auto"/>
        <w:jc w:val="both"/>
        <w:rPr>
          <w:b/>
          <w:color w:val="FF0000"/>
        </w:rPr>
      </w:pPr>
      <w:r w:rsidRPr="00FD6EB2">
        <w:rPr>
          <w:b/>
          <w:color w:val="auto"/>
        </w:rPr>
        <w:t>MONITORAGGIO CAMPAGNA VACCINALE</w:t>
      </w:r>
    </w:p>
    <w:p w14:paraId="6F13B38A" w14:textId="31056D4B" w:rsidR="00FD6EB2" w:rsidRPr="00FD6EB2" w:rsidRDefault="00FD6EB2" w:rsidP="00FD6EB2">
      <w:pPr>
        <w:spacing w:after="0" w:line="276" w:lineRule="auto"/>
        <w:jc w:val="both"/>
        <w:rPr>
          <w:color w:val="auto"/>
        </w:rPr>
      </w:pPr>
      <w:r w:rsidRPr="00FD6EB2">
        <w:rPr>
          <w:b/>
          <w:color w:val="auto"/>
        </w:rPr>
        <w:t>Vaccini: persone non vaccinate.</w:t>
      </w:r>
      <w:r w:rsidRPr="00FD6EB2">
        <w:rPr>
          <w:color w:val="auto"/>
        </w:rPr>
        <w:t xml:space="preserve"> Al 17 marzo (aggiornamento ore 06.18) sono 8,61 milioni le persone che non hanno ricevuto nemmeno una dose di vaccino (</w:t>
      </w:r>
      <w:r w:rsidRPr="00B91B82">
        <w:rPr>
          <w:color w:val="auto"/>
          <w:highlight w:val="yellow"/>
        </w:rPr>
        <w:t>figura 9</w:t>
      </w:r>
      <w:r w:rsidRPr="00FD6EB2">
        <w:rPr>
          <w:color w:val="auto"/>
        </w:rPr>
        <w:t xml:space="preserve">), di cui: </w:t>
      </w:r>
    </w:p>
    <w:p w14:paraId="61DB9843" w14:textId="094D5297" w:rsidR="00FD6EB2" w:rsidRPr="00FD6EB2" w:rsidRDefault="00FD6EB2" w:rsidP="00FD6EB2">
      <w:pPr>
        <w:pStyle w:val="Paragrafoelenco"/>
        <w:numPr>
          <w:ilvl w:val="0"/>
          <w:numId w:val="6"/>
        </w:numPr>
        <w:spacing w:after="0" w:line="276" w:lineRule="auto"/>
        <w:jc w:val="both"/>
        <w:rPr>
          <w:color w:val="auto"/>
        </w:rPr>
      </w:pPr>
      <w:r w:rsidRPr="00FD6EB2">
        <w:rPr>
          <w:color w:val="auto"/>
        </w:rPr>
        <w:t>8,31 milioni attualmente vaccinabili, pari al 14</w:t>
      </w:r>
      <w:r w:rsidR="00B91B82">
        <w:rPr>
          <w:color w:val="auto"/>
        </w:rPr>
        <w:t>% della platea (dall’</w:t>
      </w:r>
      <w:r w:rsidRPr="00FD6EB2">
        <w:rPr>
          <w:color w:val="auto"/>
        </w:rPr>
        <w:t>11,2% della Toscana al 26,4% della Provincia Autonoma di Trento);</w:t>
      </w:r>
    </w:p>
    <w:p w14:paraId="024A226A" w14:textId="7CAD39EB" w:rsidR="00FD6EB2" w:rsidRPr="00FD6EB2" w:rsidRDefault="00FD6EB2" w:rsidP="00FD6EB2">
      <w:pPr>
        <w:pStyle w:val="Paragrafoelenco"/>
        <w:numPr>
          <w:ilvl w:val="0"/>
          <w:numId w:val="6"/>
        </w:numPr>
        <w:spacing w:line="276" w:lineRule="auto"/>
        <w:jc w:val="both"/>
        <w:rPr>
          <w:color w:val="auto"/>
        </w:rPr>
      </w:pPr>
      <w:r w:rsidRPr="00FD6EB2">
        <w:rPr>
          <w:color w:val="auto"/>
        </w:rPr>
        <w:t>0,30 milioni temporaneamente protette in quanto guarite da COVID-19 da meno di 180 giorni, pari al</w:t>
      </w:r>
      <w:r w:rsidR="00B91B82">
        <w:rPr>
          <w:color w:val="auto"/>
        </w:rPr>
        <w:t>lo</w:t>
      </w:r>
      <w:r w:rsidRPr="00FD6EB2">
        <w:rPr>
          <w:color w:val="auto"/>
        </w:rPr>
        <w:t xml:space="preserve"> 0,5% della platea (dal</w:t>
      </w:r>
      <w:r w:rsidR="00B91B82">
        <w:rPr>
          <w:color w:val="auto"/>
        </w:rPr>
        <w:t>lo 0,2% della Sicilia all’</w:t>
      </w:r>
      <w:r w:rsidRPr="00FD6EB2">
        <w:rPr>
          <w:color w:val="auto"/>
        </w:rPr>
        <w:t>1</w:t>
      </w:r>
      <w:r>
        <w:rPr>
          <w:color w:val="auto"/>
        </w:rPr>
        <w:t>% del Friuli Venezia Giulia).</w:t>
      </w:r>
    </w:p>
    <w:p w14:paraId="0DF30AAE" w14:textId="08CC6DEF" w:rsidR="00B91B82" w:rsidRPr="00B91B82" w:rsidRDefault="00B91B82" w:rsidP="00B91B82">
      <w:pPr>
        <w:spacing w:after="0" w:line="276" w:lineRule="auto"/>
        <w:jc w:val="both"/>
        <w:rPr>
          <w:color w:val="auto"/>
        </w:rPr>
      </w:pPr>
      <w:r w:rsidRPr="00B91B82">
        <w:rPr>
          <w:b/>
          <w:color w:val="auto"/>
        </w:rPr>
        <w:t>Vaccini: terza dose.</w:t>
      </w:r>
      <w:r w:rsidRPr="00B91B82">
        <w:rPr>
          <w:color w:val="auto"/>
        </w:rPr>
        <w:t xml:space="preserve"> Al 17 marzo (aggiornamento ore 06.18) sono 8,51 milioni le persone che non hanno ancora ricevuto la dose </w:t>
      </w:r>
      <w:r w:rsidRPr="00B91B82">
        <w:rPr>
          <w:i/>
          <w:color w:val="auto"/>
        </w:rPr>
        <w:t>booster</w:t>
      </w:r>
      <w:r w:rsidRPr="00B91B82">
        <w:rPr>
          <w:color w:val="auto"/>
        </w:rPr>
        <w:t xml:space="preserve"> (</w:t>
      </w:r>
      <w:r w:rsidRPr="00B91B82">
        <w:rPr>
          <w:color w:val="auto"/>
          <w:highlight w:val="yellow"/>
        </w:rPr>
        <w:t>figura 10</w:t>
      </w:r>
      <w:r w:rsidRPr="00B91B82">
        <w:rPr>
          <w:color w:val="auto"/>
        </w:rPr>
        <w:t xml:space="preserve">), di cui: </w:t>
      </w:r>
    </w:p>
    <w:p w14:paraId="3FED6B3C" w14:textId="3E62F35F" w:rsidR="00B91B82" w:rsidRPr="00B91B82" w:rsidRDefault="00B91B82" w:rsidP="00B91B82">
      <w:pPr>
        <w:pStyle w:val="Paragrafoelenco"/>
        <w:numPr>
          <w:ilvl w:val="0"/>
          <w:numId w:val="6"/>
        </w:numPr>
        <w:spacing w:after="0" w:line="276" w:lineRule="auto"/>
        <w:jc w:val="both"/>
        <w:rPr>
          <w:color w:val="auto"/>
        </w:rPr>
      </w:pPr>
      <w:r w:rsidRPr="00B91B82">
        <w:rPr>
          <w:color w:val="auto"/>
        </w:rPr>
        <w:t>7,73 milioni possono riceverla subito, par</w:t>
      </w:r>
      <w:r>
        <w:rPr>
          <w:color w:val="auto"/>
        </w:rPr>
        <w:t>i al 15,8% della platea (dall’</w:t>
      </w:r>
      <w:r w:rsidRPr="00B91B82">
        <w:rPr>
          <w:color w:val="auto"/>
        </w:rPr>
        <w:t>11,8% del Piemonte al 22,5% della Sicilia);</w:t>
      </w:r>
    </w:p>
    <w:p w14:paraId="1D50A33F" w14:textId="4A3C3F79" w:rsidR="00EC6BB3" w:rsidRPr="00B91B82" w:rsidRDefault="00B91B82" w:rsidP="00B91B82">
      <w:pPr>
        <w:pStyle w:val="Paragrafoelenco"/>
        <w:numPr>
          <w:ilvl w:val="0"/>
          <w:numId w:val="6"/>
        </w:numPr>
        <w:spacing w:line="276" w:lineRule="auto"/>
        <w:jc w:val="both"/>
        <w:rPr>
          <w:color w:val="FF0000"/>
        </w:rPr>
      </w:pPr>
      <w:r w:rsidRPr="00B91B82">
        <w:rPr>
          <w:color w:val="auto"/>
        </w:rPr>
        <w:t>0,78 milioni non possono riceverla nell’immediato in quanto guarite</w:t>
      </w:r>
      <w:r>
        <w:rPr>
          <w:color w:val="auto"/>
        </w:rPr>
        <w:t xml:space="preserve"> da meno di 120 giorni, pari all’</w:t>
      </w:r>
      <w:r w:rsidRPr="00B91B82">
        <w:rPr>
          <w:color w:val="auto"/>
        </w:rPr>
        <w:t>1,6% della platea (dal</w:t>
      </w:r>
      <w:r>
        <w:rPr>
          <w:color w:val="auto"/>
        </w:rPr>
        <w:t>lo</w:t>
      </w:r>
      <w:r w:rsidRPr="00B91B82">
        <w:rPr>
          <w:color w:val="auto"/>
        </w:rPr>
        <w:t xml:space="preserve"> 0,4% della Valle </w:t>
      </w:r>
      <w:r>
        <w:rPr>
          <w:color w:val="auto"/>
        </w:rPr>
        <w:t>D'Aosta al 3,1% del Veneto).</w:t>
      </w:r>
    </w:p>
    <w:p w14:paraId="56C0A447" w14:textId="76EE1A3F" w:rsidR="00B91B82" w:rsidRPr="00B91B82" w:rsidRDefault="00B91B82" w:rsidP="00EC6BB3">
      <w:pPr>
        <w:spacing w:line="276" w:lineRule="auto"/>
        <w:jc w:val="both"/>
        <w:rPr>
          <w:color w:val="auto"/>
        </w:rPr>
      </w:pPr>
      <w:r w:rsidRPr="00B91B82">
        <w:rPr>
          <w:b/>
          <w:color w:val="auto"/>
        </w:rPr>
        <w:t>Vaccini: quarta dose.</w:t>
      </w:r>
      <w:r w:rsidRPr="00B91B82">
        <w:rPr>
          <w:color w:val="auto"/>
        </w:rPr>
        <w:t xml:space="preserve">  La platea per il secondo richiamo (quarta dose), aggiornata al 17 settembre 2022, è di 19,1 milioni di persone: di queste, 12,2 milioni possono riceverlo subito, un milione non sono eleggibili nell’immediato in quanto guarite da meno di 120 giorni e 6 milioni l’hanno già ricevuto. Al 17 marzo (aggiornamento ore 06.18) sono state somministrate 5.984.294 quarte dosi, con una media mobile di 876 somministrazioni al giorno, in calo rispetto alle 961 della scorsa settimana (-8,8%) (</w:t>
      </w:r>
      <w:r w:rsidRPr="00B91B82">
        <w:rPr>
          <w:color w:val="auto"/>
          <w:highlight w:val="yellow"/>
        </w:rPr>
        <w:t>figura 11</w:t>
      </w:r>
      <w:r w:rsidRPr="00B91B82">
        <w:rPr>
          <w:color w:val="auto"/>
        </w:rPr>
        <w:t xml:space="preserve">). In base alla </w:t>
      </w:r>
      <w:hyperlink r:id="rId8" w:history="1">
        <w:r w:rsidRPr="00B91B82">
          <w:rPr>
            <w:rStyle w:val="Collegamentoipertestuale"/>
            <w:color w:val="auto"/>
          </w:rPr>
          <w:t>platea ufficiale</w:t>
        </w:r>
      </w:hyperlink>
      <w:r w:rsidRPr="00B91B82">
        <w:rPr>
          <w:color w:val="auto"/>
        </w:rPr>
        <w:t xml:space="preserve"> (n. 19.119.772 di cui 13.060.462 over 60, 3.990.080 fragili e immunocompromessi, 1.748.256 di personale sanitario e 320.974 ospiti delle RSA che non ricadono nelle categorie precedenti), il tasso di copertura nazionale per le quarte dosi è del 31,3%</w:t>
      </w:r>
      <w:r w:rsidR="00634978">
        <w:rPr>
          <w:color w:val="auto"/>
        </w:rPr>
        <w:t>, ovvero sono scoperte più di due persone su tre,</w:t>
      </w:r>
      <w:r w:rsidR="00634978" w:rsidRPr="00B91B82">
        <w:rPr>
          <w:color w:val="auto"/>
        </w:rPr>
        <w:t xml:space="preserve"> </w:t>
      </w:r>
      <w:r w:rsidRPr="00B91B82">
        <w:rPr>
          <w:color w:val="auto"/>
        </w:rPr>
        <w:t>con nette differenze regionali: dal 14% della Calabria al 45,3% del Piemonte (</w:t>
      </w:r>
      <w:r w:rsidRPr="00B91B82">
        <w:rPr>
          <w:color w:val="auto"/>
          <w:highlight w:val="yellow"/>
        </w:rPr>
        <w:t>figura 12</w:t>
      </w:r>
      <w:r w:rsidRPr="00B91B82">
        <w:rPr>
          <w:color w:val="auto"/>
        </w:rPr>
        <w:t>).</w:t>
      </w:r>
    </w:p>
    <w:p w14:paraId="0828D92C" w14:textId="1C83D697" w:rsidR="008F569F" w:rsidRDefault="008F569F" w:rsidP="00EC6BB3">
      <w:pPr>
        <w:spacing w:line="276" w:lineRule="auto"/>
        <w:jc w:val="both"/>
        <w:rPr>
          <w:color w:val="auto"/>
        </w:rPr>
      </w:pPr>
      <w:r w:rsidRPr="008F569F">
        <w:rPr>
          <w:b/>
          <w:color w:val="auto"/>
        </w:rPr>
        <w:t>Vaccini: quinta dose.</w:t>
      </w:r>
      <w:r w:rsidRPr="008F569F">
        <w:rPr>
          <w:color w:val="auto"/>
        </w:rPr>
        <w:t xml:space="preserve">  La platea per il terzo richiamo (quinta dose), aggiornata al 20 gennaio 2023, è di 3,1 milioni di persone: di queste, 2,4 milioni possono riceverlo subito, 0,2 milioni non sono eleggibili nell’immediato in quanto guarite da meno di 120 giorni e 0,5 milioni l’hanno già ricevuto. </w:t>
      </w:r>
      <w:r w:rsidR="007156CD">
        <w:rPr>
          <w:color w:val="auto"/>
        </w:rPr>
        <w:t>Dopo cinque mesi dall’avvio della campagna, a</w:t>
      </w:r>
      <w:r w:rsidRPr="008F569F">
        <w:rPr>
          <w:color w:val="auto"/>
        </w:rPr>
        <w:t>l 17 marzo (aggiornamento ore 06.18) sono state somministrate 495.567 quinte dosi, con una media mobile di 746 somministrazioni al giorno, in aumento rispetto alle 735 della scorsa settimana (+1,5%) (</w:t>
      </w:r>
      <w:r w:rsidRPr="008F569F">
        <w:rPr>
          <w:color w:val="auto"/>
          <w:highlight w:val="yellow"/>
        </w:rPr>
        <w:t>figura 13</w:t>
      </w:r>
      <w:r w:rsidRPr="008F569F">
        <w:rPr>
          <w:color w:val="auto"/>
        </w:rPr>
        <w:t xml:space="preserve">). In base alla </w:t>
      </w:r>
      <w:hyperlink r:id="rId9" w:history="1">
        <w:r w:rsidRPr="008F569F">
          <w:rPr>
            <w:rStyle w:val="Collegamentoipertestuale"/>
            <w:color w:val="auto"/>
          </w:rPr>
          <w:t>platea ufficiale</w:t>
        </w:r>
      </w:hyperlink>
      <w:r w:rsidRPr="008F569F">
        <w:rPr>
          <w:color w:val="auto"/>
        </w:rPr>
        <w:t xml:space="preserve"> (n. 3.146.516 di cui 2.298.047 over 60, 731.224 fragili e immunocompromessi, 117.245 ospiti delle RSA che non ricadono nelle categorie precedenti), il tasso di copertura nazionale per le quinte dosi è del 15,7% con nette differenze regionali: dal 6% della Campania al 29,9% del Piemonte (</w:t>
      </w:r>
      <w:r w:rsidRPr="008F569F">
        <w:rPr>
          <w:color w:val="auto"/>
          <w:highlight w:val="yellow"/>
        </w:rPr>
        <w:t>figura 14</w:t>
      </w:r>
      <w:r w:rsidRPr="008F569F">
        <w:rPr>
          <w:color w:val="auto"/>
        </w:rPr>
        <w:t>).</w:t>
      </w:r>
    </w:p>
    <w:p w14:paraId="59EE3FF1" w14:textId="7D47755E" w:rsidR="007156CD" w:rsidRPr="007156CD" w:rsidRDefault="003F7B63" w:rsidP="000E6573">
      <w:pPr>
        <w:jc w:val="both"/>
      </w:pPr>
      <w:r w:rsidRPr="00613221">
        <w:rPr>
          <w:color w:val="auto"/>
        </w:rPr>
        <w:t>«</w:t>
      </w:r>
      <w:r w:rsidR="007156CD">
        <w:t xml:space="preserve">In considerazione della progressiva riduzione della circolazione virale </w:t>
      </w:r>
      <w:r w:rsidR="00E97954">
        <w:t>da dicembre 2022</w:t>
      </w:r>
      <w:r w:rsidR="007156CD">
        <w:t xml:space="preserve">, dell’impatto sempre minore su ospedalizzazioni e decessi, del sostanziale immobilismo della campagna vaccinale sui richiami e dell’assenza di nuove varianti di preoccupazione – conclude Cartabellotta - la Fondazione GIMBE dopo 3 anni sospende il report settimanale relativo al monitoraggio indipendente della pandemia COVID-19 e della campagna vaccinale. Confidando di avere reso un servizio utile al Paese, continueremo ad aggiornare i dati della pandemia e della campagna vaccinale sul nostro </w:t>
      </w:r>
      <w:hyperlink r:id="rId10" w:history="1">
        <w:r w:rsidR="007156CD" w:rsidRPr="009244E4">
          <w:rPr>
            <w:rStyle w:val="Collegamentoipertestuale"/>
          </w:rPr>
          <w:t>sito web</w:t>
        </w:r>
      </w:hyperlink>
      <w:r w:rsidRPr="00613221">
        <w:rPr>
          <w:color w:val="auto"/>
        </w:rPr>
        <w:t>»</w:t>
      </w:r>
      <w:r>
        <w:rPr>
          <w:color w:val="auto"/>
        </w:rPr>
        <w:t>.</w:t>
      </w:r>
      <w:r w:rsidR="007156CD">
        <w:t xml:space="preserve"> </w:t>
      </w:r>
    </w:p>
    <w:p w14:paraId="1B23C5D9" w14:textId="08CC28E4" w:rsidR="008030A9" w:rsidRPr="003F7B63" w:rsidRDefault="008030A9" w:rsidP="008030A9">
      <w:pPr>
        <w:spacing w:after="120" w:line="276" w:lineRule="auto"/>
        <w:rPr>
          <w:i/>
          <w:iCs/>
          <w:color w:val="auto"/>
          <w:u w:val="single"/>
        </w:rPr>
      </w:pPr>
      <w:r w:rsidRPr="008F569F">
        <w:rPr>
          <w:i/>
          <w:iCs/>
          <w:color w:val="auto"/>
        </w:rPr>
        <w:lastRenderedPageBreak/>
        <w:t>Il monitoraggio GIMBE dell</w:t>
      </w:r>
      <w:r w:rsidR="00DD6B88" w:rsidRPr="008F569F">
        <w:rPr>
          <w:i/>
          <w:iCs/>
          <w:color w:val="auto"/>
        </w:rPr>
        <w:t xml:space="preserve">a pandemia </w:t>
      </w:r>
      <w:r w:rsidRPr="008F569F">
        <w:rPr>
          <w:i/>
          <w:iCs/>
          <w:color w:val="auto"/>
        </w:rPr>
        <w:t>COVID-19 è disponibile a:</w:t>
      </w:r>
      <w:r w:rsidRPr="008F569F">
        <w:rPr>
          <w:color w:val="auto"/>
        </w:rPr>
        <w:t xml:space="preserve"> </w:t>
      </w:r>
      <w:hyperlink r:id="rId11" w:history="1">
        <w:r w:rsidRPr="008F569F">
          <w:rPr>
            <w:rStyle w:val="Collegamentoipertestuale"/>
            <w:i/>
            <w:iCs/>
            <w:color w:val="auto"/>
          </w:rPr>
          <w:t>https://coronavirus.gimbe.org</w:t>
        </w:r>
      </w:hyperlink>
      <w:r w:rsidR="007156CD">
        <w:rPr>
          <w:rStyle w:val="Collegamentoipertestuale"/>
          <w:i/>
          <w:iCs/>
          <w:color w:val="auto"/>
        </w:rPr>
        <w:t xml:space="preserve">. </w:t>
      </w:r>
      <w:r w:rsidR="00E76FB4">
        <w:rPr>
          <w:rStyle w:val="Collegamentoipertestuale"/>
          <w:i/>
          <w:iCs/>
          <w:color w:val="auto"/>
        </w:rPr>
        <w:br/>
      </w:r>
      <w:r w:rsidR="007156CD" w:rsidRPr="00E76FB4">
        <w:rPr>
          <w:rStyle w:val="Collegamentoipertestuale"/>
          <w:i/>
          <w:iCs/>
          <w:color w:val="auto"/>
        </w:rPr>
        <w:t xml:space="preserve">La Fondazione GIMBE rimane disponibile a fornire approfondimenti </w:t>
      </w:r>
      <w:r w:rsidR="007156CD" w:rsidRPr="00A37B69">
        <w:rPr>
          <w:rStyle w:val="Collegamentoipertestuale"/>
          <w:i/>
          <w:iCs/>
          <w:color w:val="auto"/>
        </w:rPr>
        <w:t xml:space="preserve">puntali </w:t>
      </w:r>
      <w:r w:rsidR="007156CD" w:rsidRPr="00E76FB4">
        <w:rPr>
          <w:rStyle w:val="Collegamentoipertestuale"/>
          <w:i/>
          <w:iCs/>
          <w:color w:val="auto"/>
        </w:rPr>
        <w:t xml:space="preserve">su richiesta </w:t>
      </w:r>
      <w:r w:rsidR="00E76FB4" w:rsidRPr="00E76FB4">
        <w:rPr>
          <w:rStyle w:val="Collegamentoipertestuale"/>
          <w:i/>
          <w:iCs/>
          <w:color w:val="auto"/>
        </w:rPr>
        <w:t>de</w:t>
      </w:r>
      <w:r w:rsidR="007156CD" w:rsidRPr="00E76FB4">
        <w:rPr>
          <w:rStyle w:val="Collegamentoipertestuale"/>
          <w:i/>
          <w:iCs/>
          <w:color w:val="auto"/>
        </w:rPr>
        <w:t>i giornalisti</w:t>
      </w:r>
      <w:r w:rsidR="007156CD" w:rsidRPr="003F7B63">
        <w:rPr>
          <w:i/>
          <w:iCs/>
          <w:color w:val="auto"/>
          <w:u w:val="single"/>
        </w:rPr>
        <w:t>.</w:t>
      </w:r>
    </w:p>
    <w:p w14:paraId="4669DB97" w14:textId="77777777" w:rsidR="00DE4D5A" w:rsidRPr="006729F0" w:rsidRDefault="00DE4D5A" w:rsidP="00C46A82">
      <w:pPr>
        <w:spacing w:after="120"/>
        <w:rPr>
          <w:b/>
          <w:bCs/>
          <w:color w:val="auto"/>
          <w:sz w:val="16"/>
        </w:rPr>
      </w:pPr>
    </w:p>
    <w:p w14:paraId="661A0DD0" w14:textId="77777777" w:rsidR="00923333" w:rsidRPr="006B328D" w:rsidRDefault="00CE577D" w:rsidP="00C46A82">
      <w:pPr>
        <w:spacing w:after="120"/>
        <w:rPr>
          <w:rStyle w:val="Hyperlink1"/>
          <w:color w:val="auto"/>
        </w:rPr>
      </w:pPr>
      <w:r w:rsidRPr="006B328D">
        <w:rPr>
          <w:b/>
          <w:bCs/>
          <w:color w:val="auto"/>
        </w:rPr>
        <w:t>CONTATTI</w:t>
      </w:r>
      <w:r w:rsidRPr="006B328D">
        <w:rPr>
          <w:i/>
          <w:iCs/>
          <w:color w:val="auto"/>
        </w:rPr>
        <w:br/>
      </w:r>
      <w:r w:rsidRPr="006B328D">
        <w:rPr>
          <w:b/>
          <w:bCs/>
          <w:color w:val="auto"/>
        </w:rPr>
        <w:t>Fondazione GIMBE</w:t>
      </w:r>
      <w:r w:rsidRPr="006B328D">
        <w:rPr>
          <w:i/>
          <w:iCs/>
          <w:color w:val="auto"/>
          <w:u w:val="single" w:color="0563C1"/>
        </w:rPr>
        <w:br/>
      </w:r>
      <w:r w:rsidRPr="006B328D">
        <w:rPr>
          <w:color w:val="auto"/>
          <w:sz w:val="20"/>
          <w:szCs w:val="20"/>
        </w:rPr>
        <w:t>Via Amendola 2 - 40121 Bologn</w:t>
      </w:r>
      <w:r w:rsidR="00B443E3" w:rsidRPr="006B328D">
        <w:rPr>
          <w:color w:val="auto"/>
          <w:sz w:val="20"/>
          <w:szCs w:val="20"/>
        </w:rPr>
        <w:t>a</w:t>
      </w:r>
      <w:r w:rsidRPr="006B328D">
        <w:rPr>
          <w:color w:val="auto"/>
          <w:sz w:val="20"/>
          <w:szCs w:val="20"/>
        </w:rPr>
        <w:br/>
        <w:t>Tel. 051 5883920 - Fax 051 4075774</w:t>
      </w:r>
      <w:r w:rsidRPr="006B328D">
        <w:rPr>
          <w:color w:val="auto"/>
          <w:sz w:val="20"/>
          <w:szCs w:val="20"/>
        </w:rPr>
        <w:br/>
        <w:t xml:space="preserve">E-mail: </w:t>
      </w:r>
      <w:hyperlink r:id="rId12" w:history="1">
        <w:r w:rsidR="006D1242" w:rsidRPr="006B328D">
          <w:rPr>
            <w:rStyle w:val="Collegamentoipertestuale"/>
            <w:rFonts w:eastAsia="Calibri" w:cs="Calibri"/>
            <w:color w:val="auto"/>
            <w:sz w:val="20"/>
            <w:szCs w:val="20"/>
            <w:u w:color="0563C1"/>
          </w:rPr>
          <w:t>ufficio.stampa@gimbe.org</w:t>
        </w:r>
      </w:hyperlink>
    </w:p>
    <w:p w14:paraId="1090DC3A" w14:textId="77777777" w:rsidR="00530C1A" w:rsidRDefault="00530C1A">
      <w:pPr>
        <w:spacing w:after="0" w:line="240" w:lineRule="auto"/>
        <w:rPr>
          <w:b/>
          <w:bCs/>
          <w:color w:val="05457D"/>
          <w:sz w:val="24"/>
          <w:szCs w:val="24"/>
          <w:u w:color="00457D"/>
        </w:rPr>
      </w:pPr>
      <w:r>
        <w:rPr>
          <w:b/>
          <w:bCs/>
          <w:color w:val="05457D"/>
          <w:sz w:val="24"/>
          <w:szCs w:val="24"/>
          <w:u w:color="00457D"/>
        </w:rPr>
        <w:br w:type="page"/>
      </w:r>
    </w:p>
    <w:p w14:paraId="205D539F" w14:textId="77777777" w:rsidR="00053240" w:rsidRPr="00EB76DA" w:rsidRDefault="00053240" w:rsidP="00053240">
      <w:pPr>
        <w:spacing w:after="0" w:line="240" w:lineRule="auto"/>
        <w:jc w:val="center"/>
        <w:rPr>
          <w:b/>
          <w:bCs/>
          <w:color w:val="05457D"/>
          <w:sz w:val="24"/>
          <w:szCs w:val="24"/>
          <w:u w:color="00457D"/>
        </w:rPr>
      </w:pPr>
      <w:r w:rsidRPr="00EB76DA">
        <w:rPr>
          <w:b/>
          <w:bCs/>
          <w:color w:val="05457D"/>
          <w:sz w:val="24"/>
          <w:szCs w:val="24"/>
          <w:u w:color="00457D"/>
        </w:rPr>
        <w:lastRenderedPageBreak/>
        <w:t>Figura 1</w:t>
      </w:r>
    </w:p>
    <w:p w14:paraId="6217A8CB" w14:textId="65FEF2CE" w:rsidR="006C03EE" w:rsidRPr="00CF5B4E" w:rsidRDefault="00E21846" w:rsidP="00053240">
      <w:pPr>
        <w:jc w:val="center"/>
        <w:rPr>
          <w:b/>
          <w:bCs/>
          <w:color w:val="FF0000"/>
          <w:sz w:val="24"/>
          <w:szCs w:val="24"/>
          <w:u w:color="00457D"/>
        </w:rPr>
      </w:pPr>
      <w:r>
        <w:rPr>
          <w:b/>
          <w:bCs/>
          <w:noProof/>
          <w:color w:val="FF0000"/>
          <w:sz w:val="24"/>
          <w:szCs w:val="24"/>
          <w:u w:color="00457D"/>
        </w:rPr>
        <w:pict w14:anchorId="131E3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68.5pt">
            <v:imagedata r:id="rId13" o:title="Figura_01_20230320"/>
          </v:shape>
        </w:pict>
      </w:r>
    </w:p>
    <w:p w14:paraId="214B1C51" w14:textId="77777777" w:rsidR="00053240" w:rsidRDefault="00053240" w:rsidP="00053240">
      <w:pPr>
        <w:spacing w:after="0"/>
        <w:jc w:val="center"/>
        <w:rPr>
          <w:b/>
          <w:bCs/>
          <w:color w:val="05457D"/>
          <w:sz w:val="24"/>
          <w:szCs w:val="24"/>
          <w:u w:color="00457D"/>
        </w:rPr>
      </w:pPr>
      <w:r w:rsidRPr="00EB76DA">
        <w:rPr>
          <w:b/>
          <w:bCs/>
          <w:color w:val="05457D"/>
          <w:sz w:val="24"/>
          <w:szCs w:val="24"/>
          <w:u w:color="00457D"/>
        </w:rPr>
        <w:t>Figura 2</w:t>
      </w:r>
    </w:p>
    <w:p w14:paraId="704B9D10" w14:textId="54ECF2B9" w:rsidR="006C03EE" w:rsidRPr="00CF5B4E" w:rsidRDefault="00E21846" w:rsidP="009377F9">
      <w:pPr>
        <w:spacing w:after="0" w:line="360" w:lineRule="auto"/>
        <w:jc w:val="center"/>
        <w:rPr>
          <w:color w:val="FF0000"/>
        </w:rPr>
        <w:sectPr w:rsidR="006C03EE" w:rsidRPr="00CF5B4E" w:rsidSect="0030477C">
          <w:headerReference w:type="default" r:id="rId14"/>
          <w:pgSz w:w="11900" w:h="16840"/>
          <w:pgMar w:top="1134" w:right="1134" w:bottom="1134" w:left="1134" w:header="709" w:footer="709" w:gutter="0"/>
          <w:cols w:space="720"/>
          <w:docGrid w:linePitch="299"/>
        </w:sectPr>
      </w:pPr>
      <w:r>
        <w:rPr>
          <w:noProof/>
          <w:color w:val="FF0000"/>
        </w:rPr>
        <w:pict w14:anchorId="4ABC5AFA">
          <v:shape id="_x0000_i1026" type="#_x0000_t75" style="width:481.5pt;height:267.75pt">
            <v:imagedata r:id="rId15" o:title="Figura_02_20230320"/>
          </v:shape>
        </w:pict>
      </w:r>
    </w:p>
    <w:p w14:paraId="3E6F0DC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3</w:t>
      </w:r>
    </w:p>
    <w:p w14:paraId="1F1243CD" w14:textId="38BE9771" w:rsidR="006C03EE" w:rsidRPr="00CF5B4E" w:rsidRDefault="00E21846" w:rsidP="00053240">
      <w:pPr>
        <w:spacing w:after="0"/>
        <w:jc w:val="center"/>
        <w:rPr>
          <w:color w:val="FF0000"/>
        </w:rPr>
      </w:pPr>
      <w:r>
        <w:rPr>
          <w:noProof/>
          <w:color w:val="FF0000"/>
        </w:rPr>
        <w:pict w14:anchorId="75FA8345">
          <v:shape id="_x0000_i1027" type="#_x0000_t75" style="width:480.75pt;height:234.75pt">
            <v:imagedata r:id="rId16" o:title="Figura_03_20230320"/>
          </v:shape>
        </w:pict>
      </w:r>
    </w:p>
    <w:p w14:paraId="04F5AEBE" w14:textId="77777777" w:rsidR="00053240" w:rsidRPr="00CF5B4E" w:rsidRDefault="00053240" w:rsidP="00053240">
      <w:pPr>
        <w:spacing w:after="0"/>
        <w:jc w:val="center"/>
        <w:rPr>
          <w:color w:val="FF0000"/>
        </w:rPr>
      </w:pPr>
    </w:p>
    <w:p w14:paraId="603D5A2E" w14:textId="77777777" w:rsidR="00053240" w:rsidRPr="00CF5B4E" w:rsidRDefault="00053240" w:rsidP="00053240">
      <w:pPr>
        <w:spacing w:after="0"/>
        <w:jc w:val="center"/>
        <w:rPr>
          <w:b/>
          <w:bCs/>
          <w:color w:val="FF0000"/>
          <w:sz w:val="24"/>
          <w:szCs w:val="24"/>
          <w:u w:color="00457D"/>
        </w:rPr>
      </w:pPr>
    </w:p>
    <w:p w14:paraId="2CB9888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t xml:space="preserve">Figura </w:t>
      </w:r>
      <w:r w:rsidR="0086698F" w:rsidRPr="00EB76DA">
        <w:rPr>
          <w:b/>
          <w:bCs/>
          <w:color w:val="05457D"/>
          <w:sz w:val="24"/>
          <w:szCs w:val="24"/>
          <w:u w:color="00457D"/>
        </w:rPr>
        <w:t>4</w:t>
      </w:r>
    </w:p>
    <w:p w14:paraId="38DE0BF4" w14:textId="39336477" w:rsidR="006C03EE" w:rsidRPr="00CF5B4E" w:rsidRDefault="00E21846" w:rsidP="00053240">
      <w:pPr>
        <w:spacing w:after="0" w:line="276" w:lineRule="auto"/>
        <w:jc w:val="center"/>
        <w:rPr>
          <w:noProof/>
          <w:color w:val="FF0000"/>
        </w:rPr>
      </w:pPr>
      <w:r>
        <w:rPr>
          <w:noProof/>
          <w:color w:val="FF0000"/>
        </w:rPr>
        <w:pict w14:anchorId="45CC77EE">
          <v:shape id="_x0000_i1028" type="#_x0000_t75" style="width:481.5pt;height:269.25pt">
            <v:imagedata r:id="rId17" o:title="Figura_04_20230320"/>
          </v:shape>
        </w:pict>
      </w:r>
    </w:p>
    <w:p w14:paraId="6DBD6197" w14:textId="77777777" w:rsidR="00053240" w:rsidRPr="00CF5B4E" w:rsidRDefault="00053240" w:rsidP="00053240">
      <w:pPr>
        <w:spacing w:after="0" w:line="276" w:lineRule="auto"/>
        <w:jc w:val="center"/>
        <w:rPr>
          <w:color w:val="FF0000"/>
        </w:rPr>
      </w:pPr>
    </w:p>
    <w:p w14:paraId="1555D73E" w14:textId="77777777" w:rsidR="00053240" w:rsidRPr="00CF5B4E" w:rsidRDefault="00053240" w:rsidP="00053240">
      <w:pPr>
        <w:spacing w:after="0"/>
        <w:jc w:val="center"/>
        <w:rPr>
          <w:b/>
          <w:bCs/>
          <w:color w:val="FF0000"/>
          <w:sz w:val="24"/>
          <w:szCs w:val="24"/>
          <w:u w:color="00457D"/>
        </w:rPr>
      </w:pPr>
    </w:p>
    <w:p w14:paraId="192F22E4"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405A559A"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5</w:t>
      </w:r>
    </w:p>
    <w:p w14:paraId="7F0A3C4B" w14:textId="5FB6475A" w:rsidR="006C03EE" w:rsidRPr="00CF5B4E" w:rsidRDefault="00E21846" w:rsidP="00053240">
      <w:pPr>
        <w:spacing w:after="0"/>
        <w:jc w:val="center"/>
        <w:rPr>
          <w:b/>
          <w:bCs/>
          <w:color w:val="FF0000"/>
          <w:sz w:val="24"/>
          <w:szCs w:val="24"/>
          <w:u w:color="00457D"/>
        </w:rPr>
      </w:pPr>
      <w:r>
        <w:rPr>
          <w:b/>
          <w:bCs/>
          <w:noProof/>
          <w:color w:val="FF0000"/>
          <w:sz w:val="24"/>
          <w:szCs w:val="24"/>
          <w:u w:color="00457D"/>
        </w:rPr>
        <w:pict w14:anchorId="06EE3F8F">
          <v:shape id="_x0000_i1029" type="#_x0000_t75" style="width:480.75pt;height:252.75pt">
            <v:imagedata r:id="rId18" o:title="Figura_05_20230320"/>
          </v:shape>
        </w:pict>
      </w:r>
    </w:p>
    <w:p w14:paraId="6DFA135D" w14:textId="77777777" w:rsidR="00053240" w:rsidRPr="00CF5B4E" w:rsidRDefault="00053240" w:rsidP="00053240">
      <w:pPr>
        <w:spacing w:after="0" w:line="240" w:lineRule="auto"/>
        <w:jc w:val="center"/>
        <w:rPr>
          <w:b/>
          <w:bCs/>
          <w:color w:val="FF0000"/>
          <w:sz w:val="8"/>
          <w:szCs w:val="14"/>
          <w:u w:color="00457D"/>
        </w:rPr>
      </w:pPr>
    </w:p>
    <w:p w14:paraId="2DC5C468" w14:textId="77777777" w:rsidR="00053240" w:rsidRPr="00CF5B4E" w:rsidRDefault="00053240" w:rsidP="00053240">
      <w:pPr>
        <w:spacing w:after="0" w:line="240" w:lineRule="auto"/>
        <w:rPr>
          <w:b/>
          <w:bCs/>
          <w:color w:val="FF0000"/>
          <w:sz w:val="24"/>
          <w:szCs w:val="24"/>
          <w:u w:color="00457D"/>
        </w:rPr>
      </w:pPr>
    </w:p>
    <w:p w14:paraId="170C99BC" w14:textId="77777777" w:rsidR="00053240" w:rsidRPr="00CF5B4E" w:rsidRDefault="00053240" w:rsidP="00053240">
      <w:pPr>
        <w:spacing w:after="0"/>
        <w:jc w:val="center"/>
        <w:rPr>
          <w:b/>
          <w:bCs/>
          <w:color w:val="FF0000"/>
          <w:sz w:val="24"/>
          <w:szCs w:val="24"/>
          <w:u w:color="00457D"/>
        </w:rPr>
      </w:pPr>
    </w:p>
    <w:p w14:paraId="59726D81"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6</w:t>
      </w:r>
    </w:p>
    <w:p w14:paraId="4E2442F0" w14:textId="1E7E5074" w:rsidR="006C03EE" w:rsidRPr="00CF5B4E" w:rsidRDefault="00E21846" w:rsidP="00053240">
      <w:pPr>
        <w:spacing w:after="0"/>
        <w:jc w:val="center"/>
        <w:rPr>
          <w:b/>
          <w:bCs/>
          <w:color w:val="FF0000"/>
          <w:sz w:val="24"/>
          <w:szCs w:val="24"/>
          <w:u w:color="00457D"/>
        </w:rPr>
      </w:pPr>
      <w:r>
        <w:rPr>
          <w:b/>
          <w:bCs/>
          <w:noProof/>
          <w:color w:val="FF0000"/>
          <w:sz w:val="24"/>
          <w:szCs w:val="24"/>
          <w:u w:color="00457D"/>
        </w:rPr>
        <w:pict w14:anchorId="44F67275">
          <v:shape id="_x0000_i1030" type="#_x0000_t75" style="width:480.75pt;height:240.75pt">
            <v:imagedata r:id="rId19" o:title="Figura_06_20230320"/>
          </v:shape>
        </w:pict>
      </w:r>
    </w:p>
    <w:p w14:paraId="47EBCFCC"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3C8FB38E" w14:textId="77777777" w:rsidR="007526C9" w:rsidRPr="003352D2" w:rsidRDefault="007526C9" w:rsidP="007526C9">
      <w:pPr>
        <w:spacing w:after="0"/>
        <w:jc w:val="center"/>
        <w:rPr>
          <w:b/>
          <w:bCs/>
          <w:color w:val="00457D"/>
          <w:sz w:val="24"/>
          <w:szCs w:val="24"/>
          <w:u w:color="00457D"/>
        </w:rPr>
      </w:pPr>
      <w:r w:rsidRPr="003352D2">
        <w:rPr>
          <w:b/>
          <w:bCs/>
          <w:color w:val="00457D"/>
          <w:sz w:val="24"/>
          <w:szCs w:val="24"/>
          <w:u w:color="00457D"/>
        </w:rPr>
        <w:lastRenderedPageBreak/>
        <w:t xml:space="preserve">Figura </w:t>
      </w:r>
      <w:r w:rsidR="0086698F" w:rsidRPr="003352D2">
        <w:rPr>
          <w:b/>
          <w:bCs/>
          <w:color w:val="00457D"/>
          <w:sz w:val="24"/>
          <w:szCs w:val="24"/>
          <w:u w:color="00457D"/>
        </w:rPr>
        <w:t>7</w:t>
      </w:r>
    </w:p>
    <w:p w14:paraId="59C2831D" w14:textId="534699DD" w:rsidR="00012FB8" w:rsidRPr="00CF5B4E" w:rsidRDefault="00E21846" w:rsidP="00053240">
      <w:pPr>
        <w:spacing w:after="0"/>
        <w:jc w:val="center"/>
        <w:rPr>
          <w:b/>
          <w:bCs/>
          <w:color w:val="FF0000"/>
          <w:sz w:val="24"/>
          <w:szCs w:val="24"/>
          <w:u w:color="00457D"/>
        </w:rPr>
      </w:pPr>
      <w:r>
        <w:rPr>
          <w:b/>
          <w:bCs/>
          <w:noProof/>
          <w:color w:val="FF0000"/>
          <w:sz w:val="24"/>
          <w:szCs w:val="24"/>
          <w:u w:color="00457D"/>
        </w:rPr>
        <w:pict w14:anchorId="55A0E060">
          <v:shape id="_x0000_i1031" type="#_x0000_t75" style="width:441pt;height:410.25pt">
            <v:imagedata r:id="rId20" o:title="Figura_07_20230320"/>
          </v:shape>
        </w:pict>
      </w:r>
    </w:p>
    <w:p w14:paraId="36E2809A" w14:textId="77777777" w:rsidR="007526C9" w:rsidRPr="00CF5B4E" w:rsidRDefault="007526C9" w:rsidP="00053240">
      <w:pPr>
        <w:spacing w:after="0"/>
        <w:jc w:val="center"/>
        <w:rPr>
          <w:b/>
          <w:bCs/>
          <w:color w:val="FF0000"/>
          <w:sz w:val="24"/>
          <w:szCs w:val="24"/>
          <w:u w:color="00457D"/>
        </w:rPr>
      </w:pPr>
    </w:p>
    <w:p w14:paraId="2A6C561C"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8</w:t>
      </w:r>
    </w:p>
    <w:p w14:paraId="300196D5" w14:textId="4A306081" w:rsidR="006C03EE" w:rsidRDefault="00E21846" w:rsidP="00053240">
      <w:pPr>
        <w:spacing w:after="0"/>
        <w:jc w:val="center"/>
        <w:rPr>
          <w:b/>
          <w:bCs/>
          <w:noProof/>
          <w:color w:val="FF0000"/>
          <w:sz w:val="24"/>
          <w:szCs w:val="24"/>
          <w:u w:color="00457D"/>
        </w:rPr>
      </w:pPr>
      <w:r>
        <w:rPr>
          <w:b/>
          <w:bCs/>
          <w:noProof/>
          <w:color w:val="FF0000"/>
          <w:sz w:val="24"/>
          <w:szCs w:val="24"/>
          <w:u w:color="00457D"/>
        </w:rPr>
        <w:pict w14:anchorId="52921A95">
          <v:shape id="_x0000_i1032" type="#_x0000_t75" style="width:481.5pt;height:234pt">
            <v:imagedata r:id="rId21" o:title="Figura_08_20230320"/>
          </v:shape>
        </w:pict>
      </w:r>
    </w:p>
    <w:p w14:paraId="07A0BAF1" w14:textId="77777777" w:rsidR="00F46525" w:rsidRDefault="00F46525" w:rsidP="00053240">
      <w:pPr>
        <w:spacing w:after="0" w:line="240" w:lineRule="auto"/>
        <w:jc w:val="center"/>
        <w:rPr>
          <w:b/>
          <w:bCs/>
          <w:color w:val="00457D"/>
          <w:sz w:val="24"/>
          <w:szCs w:val="24"/>
          <w:u w:color="00457D"/>
        </w:rPr>
      </w:pPr>
    </w:p>
    <w:p w14:paraId="36886874" w14:textId="2F09020F" w:rsidR="00053240" w:rsidRPr="00EF2F16" w:rsidRDefault="00053240" w:rsidP="00053240">
      <w:pPr>
        <w:spacing w:after="0" w:line="240" w:lineRule="auto"/>
        <w:jc w:val="center"/>
        <w:rPr>
          <w:b/>
          <w:bCs/>
          <w:color w:val="00457D"/>
          <w:sz w:val="24"/>
          <w:szCs w:val="24"/>
          <w:u w:color="00457D"/>
        </w:rPr>
      </w:pPr>
      <w:r w:rsidRPr="00766982">
        <w:rPr>
          <w:b/>
          <w:bCs/>
          <w:color w:val="00457D"/>
          <w:sz w:val="24"/>
          <w:szCs w:val="24"/>
          <w:u w:color="00457D"/>
        </w:rPr>
        <w:lastRenderedPageBreak/>
        <w:t xml:space="preserve">Figura </w:t>
      </w:r>
      <w:r w:rsidR="0086698F" w:rsidRPr="00766982">
        <w:rPr>
          <w:b/>
          <w:bCs/>
          <w:color w:val="00457D"/>
          <w:sz w:val="24"/>
          <w:szCs w:val="24"/>
          <w:u w:color="00457D"/>
        </w:rPr>
        <w:t>9</w:t>
      </w:r>
    </w:p>
    <w:p w14:paraId="76C9901D" w14:textId="23B22931" w:rsidR="008F569F" w:rsidRPr="00CF5B4E" w:rsidRDefault="00E21846" w:rsidP="00053240">
      <w:pPr>
        <w:spacing w:after="0" w:line="240" w:lineRule="auto"/>
        <w:jc w:val="center"/>
        <w:rPr>
          <w:b/>
          <w:bCs/>
          <w:color w:val="FF0000"/>
          <w:sz w:val="12"/>
          <w:szCs w:val="12"/>
          <w:u w:color="00457D"/>
        </w:rPr>
      </w:pPr>
      <w:r>
        <w:rPr>
          <w:b/>
          <w:bCs/>
          <w:noProof/>
          <w:color w:val="FF0000"/>
          <w:sz w:val="12"/>
          <w:szCs w:val="12"/>
          <w:u w:color="00457D"/>
        </w:rPr>
        <w:pict w14:anchorId="466DCB9B">
          <v:shape id="_x0000_i1033" type="#_x0000_t75" style="width:429pt;height:321.75pt">
            <v:imagedata r:id="rId22" o:title="Figura_09_20230320"/>
          </v:shape>
        </w:pict>
      </w:r>
    </w:p>
    <w:p w14:paraId="0DC09DA8" w14:textId="623F011B" w:rsidR="00053240" w:rsidRPr="00CF5B4E" w:rsidRDefault="00053240" w:rsidP="00053240">
      <w:pPr>
        <w:spacing w:after="0" w:line="240" w:lineRule="auto"/>
        <w:rPr>
          <w:b/>
          <w:bCs/>
          <w:color w:val="FF0000"/>
          <w:sz w:val="24"/>
          <w:szCs w:val="24"/>
          <w:u w:color="00457D"/>
        </w:rPr>
      </w:pPr>
    </w:p>
    <w:p w14:paraId="32B87DA7" w14:textId="421F753D" w:rsidR="00D73024" w:rsidRPr="00CF5B4E" w:rsidRDefault="00053240" w:rsidP="00053240">
      <w:pPr>
        <w:spacing w:after="0" w:line="240" w:lineRule="auto"/>
        <w:jc w:val="center"/>
        <w:rPr>
          <w:b/>
          <w:bCs/>
          <w:color w:val="FF0000"/>
          <w:sz w:val="24"/>
          <w:szCs w:val="24"/>
          <w:u w:color="00457D"/>
        </w:rPr>
      </w:pPr>
      <w:r w:rsidRPr="007A75F7">
        <w:rPr>
          <w:b/>
          <w:bCs/>
          <w:color w:val="00457D"/>
          <w:sz w:val="24"/>
          <w:szCs w:val="24"/>
          <w:u w:color="00457D"/>
        </w:rPr>
        <w:t>Figura 1</w:t>
      </w:r>
      <w:r w:rsidR="00A33C4B">
        <w:rPr>
          <w:b/>
          <w:bCs/>
          <w:color w:val="00457D"/>
          <w:sz w:val="24"/>
          <w:szCs w:val="24"/>
          <w:u w:color="00457D"/>
        </w:rPr>
        <w:t>0</w:t>
      </w:r>
    </w:p>
    <w:p w14:paraId="2EC26081" w14:textId="5232589B" w:rsidR="004E5576" w:rsidRPr="00CF5B4E" w:rsidRDefault="00E21846" w:rsidP="00053240">
      <w:pPr>
        <w:spacing w:after="0" w:line="240" w:lineRule="auto"/>
        <w:jc w:val="center"/>
        <w:rPr>
          <w:b/>
          <w:bCs/>
          <w:color w:val="FF0000"/>
          <w:sz w:val="24"/>
          <w:szCs w:val="24"/>
          <w:u w:color="00457D"/>
        </w:rPr>
      </w:pPr>
      <w:r>
        <w:rPr>
          <w:b/>
          <w:bCs/>
          <w:noProof/>
          <w:color w:val="FF0000"/>
          <w:sz w:val="24"/>
          <w:szCs w:val="24"/>
          <w:u w:color="00457D"/>
        </w:rPr>
        <w:pict w14:anchorId="64BCD94C">
          <v:shape id="_x0000_i1034" type="#_x0000_t75" style="width:449.25pt;height:338.25pt">
            <v:imagedata r:id="rId23" o:title="Figura_10_20230320"/>
          </v:shape>
        </w:pict>
      </w:r>
    </w:p>
    <w:p w14:paraId="56A30BA3" w14:textId="77777777" w:rsidR="00A8716F" w:rsidRDefault="00A8716F" w:rsidP="00053240">
      <w:pPr>
        <w:spacing w:after="0" w:line="240" w:lineRule="auto"/>
        <w:jc w:val="center"/>
        <w:rPr>
          <w:b/>
          <w:bCs/>
          <w:color w:val="00457D"/>
          <w:sz w:val="24"/>
          <w:szCs w:val="24"/>
          <w:u w:color="00457D"/>
        </w:rPr>
      </w:pPr>
    </w:p>
    <w:p w14:paraId="5251E197" w14:textId="0B01944D" w:rsidR="00273F2E" w:rsidRPr="009422CF" w:rsidRDefault="00053240" w:rsidP="00053240">
      <w:pPr>
        <w:spacing w:after="0" w:line="240" w:lineRule="auto"/>
        <w:jc w:val="center"/>
        <w:rPr>
          <w:b/>
          <w:bCs/>
          <w:color w:val="00457D"/>
          <w:sz w:val="24"/>
          <w:szCs w:val="24"/>
          <w:u w:color="00457D"/>
        </w:rPr>
      </w:pPr>
      <w:r w:rsidRPr="009422CF">
        <w:rPr>
          <w:b/>
          <w:bCs/>
          <w:color w:val="00457D"/>
          <w:sz w:val="24"/>
          <w:szCs w:val="24"/>
          <w:u w:color="00457D"/>
        </w:rPr>
        <w:t>Figura 1</w:t>
      </w:r>
      <w:r w:rsidR="00A33C4B" w:rsidRPr="009422CF">
        <w:rPr>
          <w:b/>
          <w:bCs/>
          <w:color w:val="00457D"/>
          <w:sz w:val="24"/>
          <w:szCs w:val="24"/>
          <w:u w:color="00457D"/>
        </w:rPr>
        <w:t>1</w:t>
      </w:r>
    </w:p>
    <w:p w14:paraId="4AF106AC" w14:textId="5C6E25E7" w:rsidR="004E5576" w:rsidRPr="00CF5B4E" w:rsidRDefault="00E21846" w:rsidP="00053240">
      <w:pPr>
        <w:spacing w:after="0" w:line="240" w:lineRule="auto"/>
        <w:jc w:val="center"/>
        <w:rPr>
          <w:b/>
          <w:bCs/>
          <w:color w:val="FF0000"/>
          <w:sz w:val="24"/>
          <w:szCs w:val="24"/>
          <w:u w:color="00457D"/>
        </w:rPr>
      </w:pPr>
      <w:r>
        <w:rPr>
          <w:b/>
          <w:bCs/>
          <w:noProof/>
          <w:color w:val="FF0000"/>
          <w:sz w:val="24"/>
          <w:szCs w:val="24"/>
          <w:u w:color="00457D"/>
        </w:rPr>
        <w:pict w14:anchorId="2FD29C1B">
          <v:shape id="_x0000_i1035" type="#_x0000_t75" style="width:481.5pt;height:281.25pt">
            <v:imagedata r:id="rId24" o:title="Figura_11_20230320"/>
          </v:shape>
        </w:pict>
      </w:r>
    </w:p>
    <w:p w14:paraId="30B2AC25" w14:textId="1FB5D432" w:rsidR="00255CC7" w:rsidRPr="00CF5B4E" w:rsidRDefault="00255CC7">
      <w:pPr>
        <w:spacing w:after="0" w:line="240" w:lineRule="auto"/>
        <w:rPr>
          <w:b/>
          <w:bCs/>
          <w:color w:val="FF0000"/>
          <w:sz w:val="24"/>
          <w:szCs w:val="24"/>
          <w:u w:color="00457D"/>
        </w:rPr>
      </w:pPr>
    </w:p>
    <w:p w14:paraId="5182E27B" w14:textId="77777777" w:rsidR="00273F2E" w:rsidRDefault="00053240" w:rsidP="00053240">
      <w:pPr>
        <w:spacing w:after="0" w:line="240" w:lineRule="auto"/>
        <w:jc w:val="center"/>
        <w:rPr>
          <w:b/>
          <w:bCs/>
          <w:noProof/>
          <w:color w:val="FF0000"/>
          <w:sz w:val="24"/>
          <w:szCs w:val="24"/>
          <w:u w:color="00457D"/>
        </w:rPr>
      </w:pPr>
      <w:r w:rsidRPr="007A75F7">
        <w:rPr>
          <w:b/>
          <w:bCs/>
          <w:color w:val="00457D"/>
          <w:sz w:val="24"/>
          <w:szCs w:val="24"/>
          <w:u w:color="00457D"/>
        </w:rPr>
        <w:t>Figura 1</w:t>
      </w:r>
      <w:r w:rsidR="00A33C4B">
        <w:rPr>
          <w:b/>
          <w:bCs/>
          <w:color w:val="00457D"/>
          <w:sz w:val="24"/>
          <w:szCs w:val="24"/>
          <w:u w:color="00457D"/>
        </w:rPr>
        <w:t>2</w:t>
      </w:r>
    </w:p>
    <w:p w14:paraId="011AE7E6" w14:textId="1B613CAE" w:rsidR="004E5576" w:rsidRDefault="00E21846" w:rsidP="00255CC7">
      <w:pPr>
        <w:spacing w:after="0" w:line="240" w:lineRule="auto"/>
        <w:jc w:val="center"/>
        <w:rPr>
          <w:b/>
          <w:bCs/>
          <w:color w:val="FF0000"/>
          <w:sz w:val="24"/>
          <w:szCs w:val="24"/>
          <w:u w:color="00457D"/>
        </w:rPr>
      </w:pPr>
      <w:r>
        <w:rPr>
          <w:b/>
          <w:bCs/>
          <w:noProof/>
          <w:color w:val="FF0000"/>
          <w:sz w:val="24"/>
          <w:szCs w:val="24"/>
          <w:u w:color="00457D"/>
        </w:rPr>
        <w:pict w14:anchorId="555332F7">
          <v:shape id="_x0000_i1036" type="#_x0000_t75" style="width:481.5pt;height:363pt">
            <v:imagedata r:id="rId25" o:title="Figura_12_20230320"/>
          </v:shape>
        </w:pict>
      </w:r>
    </w:p>
    <w:p w14:paraId="570834A8" w14:textId="77777777" w:rsidR="00004388" w:rsidRDefault="00004388" w:rsidP="00255CC7">
      <w:pPr>
        <w:spacing w:after="0" w:line="240" w:lineRule="auto"/>
        <w:jc w:val="center"/>
        <w:rPr>
          <w:b/>
          <w:bCs/>
          <w:color w:val="FF0000"/>
          <w:sz w:val="24"/>
          <w:szCs w:val="24"/>
          <w:u w:color="00457D"/>
        </w:rPr>
      </w:pPr>
    </w:p>
    <w:p w14:paraId="70D8E53F" w14:textId="77777777" w:rsidR="00004388" w:rsidRPr="00004388" w:rsidRDefault="00004388" w:rsidP="00004388">
      <w:pPr>
        <w:spacing w:after="0" w:line="240" w:lineRule="auto"/>
        <w:jc w:val="center"/>
        <w:rPr>
          <w:b/>
          <w:bCs/>
          <w:color w:val="00457D"/>
          <w:sz w:val="24"/>
          <w:szCs w:val="24"/>
          <w:u w:color="00457D"/>
        </w:rPr>
      </w:pPr>
      <w:r w:rsidRPr="007A75F7">
        <w:rPr>
          <w:b/>
          <w:bCs/>
          <w:color w:val="00457D"/>
          <w:sz w:val="24"/>
          <w:szCs w:val="24"/>
          <w:u w:color="00457D"/>
        </w:rPr>
        <w:t>Figura 1</w:t>
      </w:r>
      <w:r w:rsidR="00FC2A81">
        <w:rPr>
          <w:b/>
          <w:bCs/>
          <w:color w:val="00457D"/>
          <w:sz w:val="24"/>
          <w:szCs w:val="24"/>
          <w:u w:color="00457D"/>
        </w:rPr>
        <w:t>3</w:t>
      </w:r>
    </w:p>
    <w:p w14:paraId="1A8495C7" w14:textId="4CBE14AC" w:rsidR="004E5576" w:rsidRDefault="00E21846" w:rsidP="00255CC7">
      <w:pPr>
        <w:spacing w:after="0" w:line="240" w:lineRule="auto"/>
        <w:jc w:val="center"/>
        <w:rPr>
          <w:b/>
          <w:bCs/>
          <w:color w:val="FF0000"/>
          <w:sz w:val="24"/>
          <w:szCs w:val="24"/>
          <w:u w:color="00457D"/>
        </w:rPr>
      </w:pPr>
      <w:r>
        <w:rPr>
          <w:b/>
          <w:bCs/>
          <w:noProof/>
          <w:color w:val="FF0000"/>
          <w:sz w:val="24"/>
          <w:szCs w:val="24"/>
          <w:u w:color="00457D"/>
        </w:rPr>
        <w:pict w14:anchorId="3B47E942">
          <v:shape id="_x0000_i1037" type="#_x0000_t75" style="width:481.5pt;height:281.25pt">
            <v:imagedata r:id="rId26" o:title="Figura_13_20230320"/>
          </v:shape>
        </w:pict>
      </w:r>
    </w:p>
    <w:p w14:paraId="145C6A9F" w14:textId="4971D9A8" w:rsidR="00004388" w:rsidRDefault="00004388">
      <w:pPr>
        <w:spacing w:after="0" w:line="240" w:lineRule="auto"/>
        <w:rPr>
          <w:b/>
          <w:bCs/>
          <w:color w:val="00457D"/>
          <w:sz w:val="24"/>
          <w:szCs w:val="24"/>
          <w:u w:color="00457D"/>
        </w:rPr>
      </w:pPr>
    </w:p>
    <w:p w14:paraId="387318F9" w14:textId="77777777" w:rsidR="00004388" w:rsidRDefault="00004388" w:rsidP="00004388">
      <w:pPr>
        <w:spacing w:after="0" w:line="240" w:lineRule="auto"/>
        <w:jc w:val="center"/>
        <w:rPr>
          <w:b/>
          <w:bCs/>
          <w:noProof/>
          <w:color w:val="FF0000"/>
          <w:sz w:val="24"/>
          <w:szCs w:val="24"/>
          <w:u w:color="00457D"/>
        </w:rPr>
      </w:pPr>
      <w:r w:rsidRPr="007A75F7">
        <w:rPr>
          <w:b/>
          <w:bCs/>
          <w:color w:val="00457D"/>
          <w:sz w:val="24"/>
          <w:szCs w:val="24"/>
          <w:u w:color="00457D"/>
        </w:rPr>
        <w:t>Figura 1</w:t>
      </w:r>
      <w:r w:rsidR="00FC2A81">
        <w:rPr>
          <w:b/>
          <w:bCs/>
          <w:color w:val="00457D"/>
          <w:sz w:val="24"/>
          <w:szCs w:val="24"/>
          <w:u w:color="00457D"/>
        </w:rPr>
        <w:t>4</w:t>
      </w:r>
    </w:p>
    <w:p w14:paraId="3291DFAD" w14:textId="5AEEB2CF" w:rsidR="004B677F" w:rsidRPr="00CF5B4E" w:rsidRDefault="00E21846" w:rsidP="00255CC7">
      <w:pPr>
        <w:spacing w:after="0" w:line="240" w:lineRule="auto"/>
        <w:jc w:val="center"/>
        <w:rPr>
          <w:b/>
          <w:bCs/>
          <w:color w:val="FF0000"/>
          <w:sz w:val="24"/>
          <w:szCs w:val="24"/>
          <w:u w:color="00457D"/>
        </w:rPr>
      </w:pPr>
      <w:r>
        <w:rPr>
          <w:b/>
          <w:bCs/>
          <w:noProof/>
          <w:color w:val="FF0000"/>
          <w:sz w:val="24"/>
          <w:szCs w:val="24"/>
          <w:u w:color="00457D"/>
        </w:rPr>
        <w:pict w14:anchorId="2F3F4964">
          <v:shape id="_x0000_i1038" type="#_x0000_t75" style="width:480.75pt;height:362.25pt">
            <v:imagedata r:id="rId27" o:title="Figura_14_20230320"/>
          </v:shape>
        </w:pict>
      </w:r>
      <w:r w:rsidR="00053240" w:rsidRPr="00CF5B4E">
        <w:rPr>
          <w:b/>
          <w:bCs/>
          <w:color w:val="FF0000"/>
          <w:sz w:val="24"/>
          <w:szCs w:val="24"/>
          <w:u w:color="00457D"/>
        </w:rPr>
        <w:br w:type="page"/>
      </w:r>
    </w:p>
    <w:p w14:paraId="213EB3CF" w14:textId="77777777" w:rsidR="00053240" w:rsidRPr="00CF5B4E" w:rsidRDefault="00053240" w:rsidP="00053240">
      <w:pPr>
        <w:spacing w:after="0" w:line="240" w:lineRule="auto"/>
        <w:jc w:val="center"/>
        <w:rPr>
          <w:b/>
          <w:bCs/>
          <w:color w:val="FF0000"/>
          <w:sz w:val="24"/>
          <w:szCs w:val="24"/>
          <w:u w:color="00457D"/>
        </w:rPr>
        <w:sectPr w:rsidR="00053240" w:rsidRPr="00CF5B4E" w:rsidSect="005B4AE1">
          <w:pgSz w:w="11900" w:h="16840"/>
          <w:pgMar w:top="1134" w:right="1134" w:bottom="1418" w:left="1134" w:header="709" w:footer="709" w:gutter="0"/>
          <w:cols w:space="720"/>
        </w:sectPr>
      </w:pPr>
    </w:p>
    <w:p w14:paraId="50D77EE5" w14:textId="0CB237A8" w:rsidR="00481DB1" w:rsidRDefault="00EF2F16" w:rsidP="00A50135">
      <w:pPr>
        <w:spacing w:after="60" w:line="276" w:lineRule="auto"/>
        <w:jc w:val="center"/>
        <w:rPr>
          <w:b/>
          <w:bCs/>
          <w:color w:val="05457D"/>
          <w:sz w:val="24"/>
          <w:szCs w:val="24"/>
          <w:u w:color="00457D"/>
        </w:rPr>
      </w:pPr>
      <w:r w:rsidRPr="008525BF">
        <w:rPr>
          <w:b/>
          <w:bCs/>
          <w:color w:val="05457D"/>
          <w:sz w:val="24"/>
          <w:szCs w:val="24"/>
          <w:u w:color="00457D"/>
        </w:rPr>
        <w:lastRenderedPageBreak/>
        <w:t xml:space="preserve">Tabella 1. </w:t>
      </w:r>
      <w:r w:rsidR="0015076A">
        <w:rPr>
          <w:b/>
          <w:bCs/>
          <w:color w:val="05457D"/>
          <w:sz w:val="24"/>
          <w:szCs w:val="24"/>
          <w:u w:color="00457D"/>
        </w:rPr>
        <w:t>Indicatori regionali: settimana</w:t>
      </w:r>
      <w:r w:rsidR="000E73F0" w:rsidRPr="005D5D86">
        <w:rPr>
          <w:b/>
          <w:bCs/>
          <w:color w:val="05457D"/>
          <w:sz w:val="24"/>
          <w:szCs w:val="24"/>
          <w:u w:color="00457D"/>
        </w:rPr>
        <w:t xml:space="preserve"> </w:t>
      </w:r>
      <w:r w:rsidR="00481DB1">
        <w:rPr>
          <w:b/>
          <w:bCs/>
          <w:color w:val="05457D"/>
          <w:sz w:val="24"/>
          <w:szCs w:val="24"/>
          <w:u w:color="00457D"/>
        </w:rPr>
        <w:t>10</w:t>
      </w:r>
      <w:r w:rsidR="00730DC9" w:rsidRPr="005D5D86">
        <w:rPr>
          <w:b/>
          <w:bCs/>
          <w:color w:val="05457D"/>
          <w:sz w:val="24"/>
          <w:szCs w:val="24"/>
          <w:u w:color="00457D"/>
        </w:rPr>
        <w:t xml:space="preserve"> </w:t>
      </w:r>
      <w:r w:rsidR="0015076A" w:rsidRPr="005D5D86">
        <w:rPr>
          <w:b/>
          <w:bCs/>
          <w:color w:val="05457D"/>
          <w:sz w:val="24"/>
          <w:szCs w:val="24"/>
          <w:u w:color="00457D"/>
        </w:rPr>
        <w:t>–</w:t>
      </w:r>
      <w:r w:rsidR="00DE5EA0">
        <w:rPr>
          <w:b/>
          <w:bCs/>
          <w:color w:val="05457D"/>
          <w:sz w:val="24"/>
          <w:szCs w:val="24"/>
          <w:u w:color="00457D"/>
        </w:rPr>
        <w:t xml:space="preserve"> </w:t>
      </w:r>
      <w:r w:rsidR="00481DB1">
        <w:rPr>
          <w:b/>
          <w:bCs/>
          <w:color w:val="05457D"/>
          <w:sz w:val="24"/>
          <w:szCs w:val="24"/>
          <w:u w:color="00457D"/>
        </w:rPr>
        <w:t>16</w:t>
      </w:r>
      <w:r w:rsidR="0015076A">
        <w:rPr>
          <w:b/>
          <w:bCs/>
          <w:color w:val="05457D"/>
          <w:sz w:val="24"/>
          <w:szCs w:val="24"/>
          <w:u w:color="00457D"/>
        </w:rPr>
        <w:t xml:space="preserve"> marzo </w:t>
      </w:r>
      <w:r w:rsidR="00730DC9">
        <w:rPr>
          <w:b/>
          <w:bCs/>
          <w:color w:val="05457D"/>
          <w:sz w:val="24"/>
          <w:szCs w:val="24"/>
          <w:u w:color="00457D"/>
        </w:rPr>
        <w:t>2023</w:t>
      </w:r>
    </w:p>
    <w:tbl>
      <w:tblPr>
        <w:tblW w:w="0" w:type="auto"/>
        <w:tblInd w:w="-5" w:type="dxa"/>
        <w:tblCellMar>
          <w:left w:w="70" w:type="dxa"/>
          <w:right w:w="70" w:type="dxa"/>
        </w:tblCellMar>
        <w:tblLook w:val="04A0" w:firstRow="1" w:lastRow="0" w:firstColumn="1" w:lastColumn="0" w:noHBand="0" w:noVBand="1"/>
      </w:tblPr>
      <w:tblGrid>
        <w:gridCol w:w="1985"/>
        <w:gridCol w:w="1843"/>
        <w:gridCol w:w="1417"/>
        <w:gridCol w:w="2126"/>
        <w:gridCol w:w="2256"/>
      </w:tblGrid>
      <w:tr w:rsidR="008A7115" w:rsidRPr="00481DB1" w14:paraId="607D9058" w14:textId="77777777" w:rsidTr="008A7115">
        <w:trPr>
          <w:trHeight w:val="907"/>
        </w:trPr>
        <w:tc>
          <w:tcPr>
            <w:tcW w:w="1985" w:type="dxa"/>
            <w:tcBorders>
              <w:top w:val="single" w:sz="4" w:space="0" w:color="00457D"/>
              <w:left w:val="single" w:sz="4" w:space="0" w:color="00457D"/>
              <w:bottom w:val="single" w:sz="4" w:space="0" w:color="00457D"/>
              <w:right w:val="single" w:sz="4" w:space="0" w:color="FFFFFF"/>
            </w:tcBorders>
            <w:shd w:val="clear" w:color="000000" w:fill="00457D"/>
            <w:vAlign w:val="center"/>
            <w:hideMark/>
          </w:tcPr>
          <w:p w14:paraId="762BF346" w14:textId="77777777" w:rsidR="00481DB1" w:rsidRPr="00481DB1" w:rsidRDefault="00481DB1" w:rsidP="00481D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481DB1">
              <w:rPr>
                <w:rFonts w:eastAsia="Times New Roman" w:cs="Calibri"/>
                <w:b/>
                <w:bCs/>
                <w:color w:val="FFFFFF"/>
                <w:bdr w:val="none" w:sz="0" w:space="0" w:color="auto"/>
              </w:rPr>
              <w:t>Regione</w:t>
            </w:r>
          </w:p>
        </w:tc>
        <w:tc>
          <w:tcPr>
            <w:tcW w:w="1843" w:type="dxa"/>
            <w:tcBorders>
              <w:top w:val="single" w:sz="4" w:space="0" w:color="00457D"/>
              <w:left w:val="nil"/>
              <w:bottom w:val="single" w:sz="4" w:space="0" w:color="00457D"/>
              <w:right w:val="single" w:sz="4" w:space="0" w:color="FFFFFF"/>
            </w:tcBorders>
            <w:shd w:val="clear" w:color="000000" w:fill="00457D"/>
            <w:vAlign w:val="center"/>
            <w:hideMark/>
          </w:tcPr>
          <w:p w14:paraId="0F20CDB4" w14:textId="77777777" w:rsidR="00481DB1" w:rsidRPr="00481DB1" w:rsidRDefault="00481DB1" w:rsidP="00481D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sz w:val="21"/>
                <w:szCs w:val="21"/>
                <w:bdr w:val="none" w:sz="0" w:space="0" w:color="auto"/>
              </w:rPr>
            </w:pPr>
            <w:r w:rsidRPr="00481DB1">
              <w:rPr>
                <w:rFonts w:eastAsia="Times New Roman" w:cs="Calibri"/>
                <w:b/>
                <w:bCs/>
                <w:color w:val="FFFFFF"/>
                <w:sz w:val="21"/>
                <w:szCs w:val="21"/>
                <w:bdr w:val="none" w:sz="0" w:space="0" w:color="auto"/>
              </w:rPr>
              <w:t>Incidenza per 100.000 abitanti</w:t>
            </w:r>
          </w:p>
        </w:tc>
        <w:tc>
          <w:tcPr>
            <w:tcW w:w="1417" w:type="dxa"/>
            <w:tcBorders>
              <w:top w:val="single" w:sz="4" w:space="0" w:color="00457D"/>
              <w:left w:val="nil"/>
              <w:bottom w:val="single" w:sz="4" w:space="0" w:color="00457D"/>
              <w:right w:val="single" w:sz="4" w:space="0" w:color="FFFFFF"/>
            </w:tcBorders>
            <w:shd w:val="clear" w:color="000000" w:fill="00457D"/>
            <w:vAlign w:val="center"/>
            <w:hideMark/>
          </w:tcPr>
          <w:p w14:paraId="78801CDF" w14:textId="77777777" w:rsidR="00481DB1" w:rsidRPr="00481DB1" w:rsidRDefault="00481DB1" w:rsidP="00481D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481DB1">
              <w:rPr>
                <w:rFonts w:eastAsia="Times New Roman" w:cs="Calibri"/>
                <w:b/>
                <w:bCs/>
                <w:color w:val="FFFFFF"/>
                <w:bdr w:val="none" w:sz="0" w:space="0" w:color="auto"/>
              </w:rPr>
              <w:t xml:space="preserve">Variazione </w:t>
            </w:r>
            <w:r w:rsidRPr="00481DB1">
              <w:rPr>
                <w:rFonts w:eastAsia="Times New Roman" w:cs="Calibri"/>
                <w:b/>
                <w:bCs/>
                <w:color w:val="FFFFFF"/>
                <w:bdr w:val="none" w:sz="0" w:space="0" w:color="auto"/>
              </w:rPr>
              <w:br/>
              <w:t>% nuovi casi</w:t>
            </w:r>
          </w:p>
        </w:tc>
        <w:tc>
          <w:tcPr>
            <w:tcW w:w="2126" w:type="dxa"/>
            <w:tcBorders>
              <w:top w:val="single" w:sz="4" w:space="0" w:color="00457D"/>
              <w:left w:val="nil"/>
              <w:bottom w:val="single" w:sz="4" w:space="0" w:color="00457D"/>
              <w:right w:val="single" w:sz="4" w:space="0" w:color="FFFFFF"/>
            </w:tcBorders>
            <w:shd w:val="clear" w:color="000000" w:fill="00457D"/>
            <w:vAlign w:val="center"/>
            <w:hideMark/>
          </w:tcPr>
          <w:p w14:paraId="65E096D6" w14:textId="77777777" w:rsidR="00481DB1" w:rsidRPr="00481DB1" w:rsidRDefault="00481DB1" w:rsidP="00481D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481DB1">
              <w:rPr>
                <w:rFonts w:eastAsia="Times New Roman" w:cs="Calibri"/>
                <w:b/>
                <w:bCs/>
                <w:color w:val="FFFFFF"/>
                <w:bdr w:val="none" w:sz="0" w:space="0" w:color="auto"/>
              </w:rPr>
              <w:t>Posti letto in area medica occupati da pazienti COVID−19</w:t>
            </w:r>
          </w:p>
        </w:tc>
        <w:tc>
          <w:tcPr>
            <w:tcW w:w="2256" w:type="dxa"/>
            <w:tcBorders>
              <w:top w:val="single" w:sz="4" w:space="0" w:color="00457D"/>
              <w:left w:val="nil"/>
              <w:bottom w:val="single" w:sz="4" w:space="0" w:color="00457D"/>
              <w:right w:val="single" w:sz="4" w:space="0" w:color="00457D"/>
            </w:tcBorders>
            <w:shd w:val="clear" w:color="000000" w:fill="00457D"/>
            <w:vAlign w:val="center"/>
            <w:hideMark/>
          </w:tcPr>
          <w:p w14:paraId="74078B72" w14:textId="77777777" w:rsidR="00481DB1" w:rsidRPr="00481DB1" w:rsidRDefault="00481DB1" w:rsidP="00481D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481DB1">
              <w:rPr>
                <w:rFonts w:eastAsia="Times New Roman" w:cs="Calibri"/>
                <w:b/>
                <w:bCs/>
                <w:color w:val="FFFFFF"/>
                <w:bdr w:val="none" w:sz="0" w:space="0" w:color="auto"/>
              </w:rPr>
              <w:t xml:space="preserve">Posti letto in terapia intensiva occupati da </w:t>
            </w:r>
            <w:r w:rsidRPr="00481DB1">
              <w:rPr>
                <w:rFonts w:eastAsia="Times New Roman" w:cs="Calibri"/>
                <w:b/>
                <w:bCs/>
                <w:color w:val="FFFFFF"/>
                <w:bdr w:val="none" w:sz="0" w:space="0" w:color="auto"/>
              </w:rPr>
              <w:br/>
              <w:t>pazienti COVID−19</w:t>
            </w:r>
          </w:p>
        </w:tc>
      </w:tr>
      <w:tr w:rsidR="008A7115" w:rsidRPr="00481DB1" w14:paraId="681AA8AF"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4C176A97"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Abruzzo</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9610EE7"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42</w:t>
            </w:r>
          </w:p>
        </w:tc>
        <w:tc>
          <w:tcPr>
            <w:tcW w:w="1417" w:type="dxa"/>
            <w:tcBorders>
              <w:top w:val="single" w:sz="4" w:space="0" w:color="00457D"/>
              <w:left w:val="single" w:sz="4" w:space="0" w:color="00457D"/>
              <w:bottom w:val="single" w:sz="4" w:space="0" w:color="00457D"/>
              <w:right w:val="single" w:sz="4" w:space="0" w:color="00457D"/>
            </w:tcBorders>
            <w:shd w:val="clear" w:color="auto" w:fill="FFC7CE"/>
            <w:noWrap/>
            <w:vAlign w:val="center"/>
            <w:hideMark/>
          </w:tcPr>
          <w:p w14:paraId="5B858AE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11,5%</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D2EE210"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4,3%</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AA35C5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1,7%</w:t>
            </w:r>
          </w:p>
        </w:tc>
      </w:tr>
      <w:tr w:rsidR="008A7115" w:rsidRPr="00481DB1" w14:paraId="0381E827"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61C6203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Basilicata</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8CE7AE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18</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44DCE1A"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33,8%</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7E8A1A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1,8%</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28E2DDA"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0,0%</w:t>
            </w:r>
          </w:p>
        </w:tc>
      </w:tr>
      <w:tr w:rsidR="008A7115" w:rsidRPr="00481DB1" w14:paraId="64CDC5DD"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29B3DF7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Calabria</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4915E2D"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24</w:t>
            </w:r>
          </w:p>
        </w:tc>
        <w:tc>
          <w:tcPr>
            <w:tcW w:w="1417" w:type="dxa"/>
            <w:tcBorders>
              <w:top w:val="single" w:sz="4" w:space="0" w:color="00457D"/>
              <w:left w:val="single" w:sz="4" w:space="0" w:color="00457D"/>
              <w:bottom w:val="single" w:sz="4" w:space="0" w:color="00457D"/>
              <w:right w:val="single" w:sz="4" w:space="0" w:color="00457D"/>
            </w:tcBorders>
            <w:shd w:val="clear" w:color="auto" w:fill="C6EFCE"/>
            <w:noWrap/>
            <w:vAlign w:val="center"/>
            <w:hideMark/>
          </w:tcPr>
          <w:p w14:paraId="07D6E527"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-11,7%</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A21C5EF"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7,4%</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CB34793"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1,6%</w:t>
            </w:r>
          </w:p>
        </w:tc>
      </w:tr>
      <w:tr w:rsidR="008A7115" w:rsidRPr="00481DB1" w14:paraId="71C9EF1F"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452CABF7"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Campania</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DCE062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34</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3CF2E2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1,9%</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E2A978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5,2%</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303546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1,1%</w:t>
            </w:r>
          </w:p>
        </w:tc>
      </w:tr>
      <w:tr w:rsidR="008A7115" w:rsidRPr="00481DB1" w14:paraId="5BC8F872"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6AE77431"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Emilia Romagna</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C61666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39</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FA3295B"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-5,1%</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176660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4,9%</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6349F1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2,8%</w:t>
            </w:r>
          </w:p>
        </w:tc>
      </w:tr>
      <w:tr w:rsidR="008A7115" w:rsidRPr="00481DB1" w14:paraId="1B03C4F5"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47F0103F"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Friuli Venezia Giulia</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FAC0AC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50</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625DEC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14,0%</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5E0C033"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6,7%</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A3A560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1,7%</w:t>
            </w:r>
          </w:p>
        </w:tc>
      </w:tr>
      <w:tr w:rsidR="008A7115" w:rsidRPr="00481DB1" w14:paraId="2E4FD7D2"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7AA7A020"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Lazio</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0BB6E38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60</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242E40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-8,1%</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B335076"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6,5%</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AA2B03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1,4%</w:t>
            </w:r>
          </w:p>
        </w:tc>
      </w:tr>
      <w:tr w:rsidR="008A7115" w:rsidRPr="00481DB1" w14:paraId="79031886"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48176DF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Liguria</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5E1FB3D"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29</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9702596"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2,4%</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E5E977A"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6,3%</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DE5EEB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0,4%</w:t>
            </w:r>
          </w:p>
        </w:tc>
      </w:tr>
      <w:tr w:rsidR="008A7115" w:rsidRPr="00481DB1" w14:paraId="04A634C3"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06D0C23F"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Lombardia</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1B89E37"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46</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29A67B6"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11,6%</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889B91D"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1,8%</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68F5B16"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0,2%</w:t>
            </w:r>
          </w:p>
        </w:tc>
      </w:tr>
      <w:tr w:rsidR="008A7115" w:rsidRPr="00481DB1" w14:paraId="5E8F80E4"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7742C12D"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Marche</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6F9DF3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28</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AF55B8F"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3,8%</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1C64C3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2,9%</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F67074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0,0%</w:t>
            </w:r>
          </w:p>
        </w:tc>
      </w:tr>
      <w:tr w:rsidR="008A7115" w:rsidRPr="00481DB1" w14:paraId="5C1137F8"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425090F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Molise</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7D5D096"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14</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0AFCC3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7,7%</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339CC33"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2,3%</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B5B63D1"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2,6%</w:t>
            </w:r>
          </w:p>
        </w:tc>
      </w:tr>
      <w:tr w:rsidR="008A7115" w:rsidRPr="00481DB1" w14:paraId="14B22929"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1B9D1D4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Piemonte</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579141E"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28</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105AF3F"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-4,0%</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220D08B"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2,6%</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FED110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0,3%</w:t>
            </w:r>
          </w:p>
        </w:tc>
      </w:tr>
      <w:tr w:rsidR="008A7115" w:rsidRPr="00481DB1" w14:paraId="6B9A09ED"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11E1BC8D"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Prov. Aut. Bolzano</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1C0B189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62</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0BBD2AA"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-8,7%</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08DB43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5,8%</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747E147"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0,0%</w:t>
            </w:r>
          </w:p>
        </w:tc>
      </w:tr>
      <w:tr w:rsidR="008A7115" w:rsidRPr="00481DB1" w14:paraId="09035D8B"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0F7BBE97"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Prov. Aut. Trento</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94B532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54</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9C14CF6"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9,4%</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7B2851D"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7,0%</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6A953DE"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2,2%</w:t>
            </w:r>
          </w:p>
        </w:tc>
      </w:tr>
      <w:tr w:rsidR="008A7115" w:rsidRPr="00481DB1" w14:paraId="40905309"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61285491"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Puglia</w:t>
            </w:r>
          </w:p>
        </w:tc>
        <w:tc>
          <w:tcPr>
            <w:tcW w:w="1843" w:type="dxa"/>
            <w:tcBorders>
              <w:top w:val="single" w:sz="4" w:space="0" w:color="00457D"/>
              <w:left w:val="single" w:sz="4" w:space="0" w:color="00457D"/>
              <w:bottom w:val="single" w:sz="4" w:space="0" w:color="00457D"/>
              <w:right w:val="single" w:sz="4" w:space="0" w:color="00457D"/>
            </w:tcBorders>
            <w:shd w:val="clear" w:color="auto" w:fill="FFEB9C"/>
            <w:noWrap/>
            <w:vAlign w:val="center"/>
            <w:hideMark/>
          </w:tcPr>
          <w:p w14:paraId="63412BEB"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6500"/>
                <w:bdr w:val="none" w:sz="0" w:space="0" w:color="auto"/>
              </w:rPr>
            </w:pPr>
            <w:r w:rsidRPr="00481DB1">
              <w:rPr>
                <w:rFonts w:eastAsia="Times New Roman" w:cs="Calibri"/>
                <w:color w:val="9C6500"/>
                <w:bdr w:val="none" w:sz="0" w:space="0" w:color="auto"/>
              </w:rPr>
              <w:t>25</w:t>
            </w:r>
          </w:p>
        </w:tc>
        <w:tc>
          <w:tcPr>
            <w:tcW w:w="1417" w:type="dxa"/>
            <w:tcBorders>
              <w:top w:val="nil"/>
              <w:left w:val="nil"/>
              <w:bottom w:val="single" w:sz="4" w:space="0" w:color="00457D"/>
              <w:right w:val="single" w:sz="4" w:space="0" w:color="00457D"/>
            </w:tcBorders>
            <w:shd w:val="clear" w:color="auto" w:fill="FFEB9C"/>
            <w:noWrap/>
            <w:vAlign w:val="center"/>
            <w:hideMark/>
          </w:tcPr>
          <w:p w14:paraId="563ED021"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dr w:val="none" w:sz="0" w:space="0" w:color="auto"/>
              </w:rPr>
            </w:pPr>
            <w:r w:rsidRPr="00481DB1">
              <w:rPr>
                <w:rFonts w:eastAsia="Times New Roman" w:cs="Calibri"/>
                <w:color w:val="9C6500"/>
                <w:bdr w:val="none" w:sz="0" w:space="0" w:color="auto"/>
              </w:rPr>
              <w:t>0,0%</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2C3623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2,9%</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C9AFAB1"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0,6%</w:t>
            </w:r>
          </w:p>
        </w:tc>
      </w:tr>
      <w:tr w:rsidR="008A7115" w:rsidRPr="00481DB1" w14:paraId="6FF47162"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7BCE47F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Sardegna</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33AC152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25</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BB3DF51"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-15,5%</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E8B0D13"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6,6%</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7818C6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0,5%</w:t>
            </w:r>
          </w:p>
        </w:tc>
      </w:tr>
      <w:tr w:rsidR="008A7115" w:rsidRPr="00481DB1" w14:paraId="73D6975B"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0FAEA34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Sicilia</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39B9C8C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21</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75793A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-11,3%</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5C7DA4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6,2%</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F0D147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1,5%</w:t>
            </w:r>
          </w:p>
        </w:tc>
      </w:tr>
      <w:tr w:rsidR="008A7115" w:rsidRPr="00481DB1" w14:paraId="30440A6A"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0A79698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Toscana</w:t>
            </w:r>
          </w:p>
        </w:tc>
        <w:tc>
          <w:tcPr>
            <w:tcW w:w="1843"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ED165FB"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38</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2425281"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1,2%</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56416A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2,8%</w:t>
            </w:r>
          </w:p>
        </w:tc>
        <w:tc>
          <w:tcPr>
            <w:tcW w:w="225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BC6AF6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1,2%</w:t>
            </w:r>
          </w:p>
        </w:tc>
      </w:tr>
      <w:tr w:rsidR="008A7115" w:rsidRPr="00481DB1" w14:paraId="35A189D6"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3D5051F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Umbria</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D660358"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60</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D9B15CB"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-9,6%</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19FE9E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10,1%</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EDC547A"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0,8%</w:t>
            </w:r>
          </w:p>
        </w:tc>
      </w:tr>
      <w:tr w:rsidR="008A7115" w:rsidRPr="00481DB1" w14:paraId="0246D7DE"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1131B57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Valle D'Aosta</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3B0AED6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19</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D4215C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-25,8%</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B4973B0"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3,0%</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BE81A54"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0,0%</w:t>
            </w:r>
          </w:p>
        </w:tc>
      </w:tr>
      <w:tr w:rsidR="008A7115" w:rsidRPr="00481DB1" w14:paraId="3F1B2BC2"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auto" w:fill="auto"/>
            <w:noWrap/>
            <w:vAlign w:val="center"/>
            <w:hideMark/>
          </w:tcPr>
          <w:p w14:paraId="72D420D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481DB1">
              <w:rPr>
                <w:rFonts w:eastAsia="Times New Roman" w:cs="Calibri"/>
                <w:bdr w:val="none" w:sz="0" w:space="0" w:color="auto"/>
              </w:rPr>
              <w:t>Veneto</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EFC8CA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71</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9ABF9FE"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-5,1%</w:t>
            </w:r>
          </w:p>
        </w:tc>
        <w:tc>
          <w:tcPr>
            <w:tcW w:w="2126"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5A268A0"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481DB1">
              <w:rPr>
                <w:rFonts w:eastAsia="Times New Roman" w:cs="Calibri"/>
                <w:color w:val="9C0006"/>
                <w:bdr w:val="none" w:sz="0" w:space="0" w:color="auto"/>
              </w:rPr>
              <w:t>4,9%</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294BCC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0,9%</w:t>
            </w:r>
          </w:p>
        </w:tc>
      </w:tr>
      <w:tr w:rsidR="008A7115" w:rsidRPr="00481DB1" w14:paraId="03940DFE" w14:textId="77777777" w:rsidTr="008A7115">
        <w:trPr>
          <w:trHeight w:val="340"/>
        </w:trPr>
        <w:tc>
          <w:tcPr>
            <w:tcW w:w="1985" w:type="dxa"/>
            <w:tcBorders>
              <w:top w:val="nil"/>
              <w:left w:val="single" w:sz="4" w:space="0" w:color="00457D"/>
              <w:bottom w:val="single" w:sz="4" w:space="0" w:color="00457D"/>
              <w:right w:val="single" w:sz="4" w:space="0" w:color="00457D"/>
            </w:tcBorders>
            <w:shd w:val="clear" w:color="000000" w:fill="00457D"/>
            <w:noWrap/>
            <w:vAlign w:val="center"/>
            <w:hideMark/>
          </w:tcPr>
          <w:p w14:paraId="106A88E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481DB1">
              <w:rPr>
                <w:rFonts w:eastAsia="Times New Roman" w:cs="Calibri"/>
                <w:b/>
                <w:bCs/>
                <w:color w:val="FFFFFF"/>
                <w:bdr w:val="none" w:sz="0" w:space="0" w:color="auto"/>
              </w:rPr>
              <w:t>ITALIA</w:t>
            </w:r>
          </w:p>
        </w:tc>
        <w:tc>
          <w:tcPr>
            <w:tcW w:w="1843"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6213783C"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481DB1">
              <w:rPr>
                <w:rFonts w:eastAsia="Times New Roman" w:cs="Calibri"/>
                <w:color w:val="006100"/>
                <w:bdr w:val="none" w:sz="0" w:space="0" w:color="auto"/>
              </w:rPr>
              <w:t>40</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FF87FF9"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481DB1">
              <w:rPr>
                <w:rFonts w:eastAsia="Times New Roman" w:cs="Calibri"/>
                <w:b/>
                <w:bCs/>
                <w:color w:val="006100"/>
                <w:bdr w:val="none" w:sz="0" w:space="0" w:color="auto"/>
              </w:rPr>
              <w:t>-1,1%</w:t>
            </w:r>
          </w:p>
        </w:tc>
        <w:tc>
          <w:tcPr>
            <w:tcW w:w="212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1B5235B2"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481DB1">
              <w:rPr>
                <w:rFonts w:eastAsia="Times New Roman" w:cs="Calibri"/>
                <w:b/>
                <w:bCs/>
                <w:color w:val="006100"/>
                <w:bdr w:val="none" w:sz="0" w:space="0" w:color="auto"/>
              </w:rPr>
              <w:t>4,3%</w:t>
            </w:r>
          </w:p>
        </w:tc>
        <w:tc>
          <w:tcPr>
            <w:tcW w:w="2256"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BE2B705" w14:textId="77777777" w:rsidR="00481DB1" w:rsidRPr="00481DB1" w:rsidRDefault="00481DB1" w:rsidP="008A71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481DB1">
              <w:rPr>
                <w:rFonts w:eastAsia="Times New Roman" w:cs="Calibri"/>
                <w:b/>
                <w:bCs/>
                <w:color w:val="006100"/>
                <w:bdr w:val="none" w:sz="0" w:space="0" w:color="auto"/>
              </w:rPr>
              <w:t>1,0%</w:t>
            </w:r>
          </w:p>
        </w:tc>
      </w:tr>
      <w:tr w:rsidR="00481DB1" w:rsidRPr="00481DB1" w14:paraId="5335FC83" w14:textId="77777777" w:rsidTr="008A7115">
        <w:trPr>
          <w:trHeight w:val="340"/>
        </w:trPr>
        <w:tc>
          <w:tcPr>
            <w:tcW w:w="0" w:type="auto"/>
            <w:gridSpan w:val="5"/>
            <w:tcBorders>
              <w:top w:val="single" w:sz="4" w:space="0" w:color="00457D"/>
              <w:left w:val="single" w:sz="4" w:space="0" w:color="00457D"/>
              <w:bottom w:val="single" w:sz="4" w:space="0" w:color="00457D"/>
              <w:right w:val="single" w:sz="4" w:space="0" w:color="00457D"/>
            </w:tcBorders>
            <w:shd w:val="clear" w:color="auto" w:fill="auto"/>
            <w:vAlign w:val="center"/>
            <w:hideMark/>
          </w:tcPr>
          <w:p w14:paraId="409BCAA7" w14:textId="28C36DDB" w:rsidR="008A7115" w:rsidRDefault="008A7115" w:rsidP="00481D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Pr>
                <w:rFonts w:eastAsia="Times New Roman" w:cs="Calibri"/>
                <w:color w:val="auto"/>
                <w:sz w:val="20"/>
                <w:szCs w:val="20"/>
                <w:bdr w:val="none" w:sz="0" w:space="0" w:color="auto"/>
              </w:rPr>
              <w:t xml:space="preserve">Nota Regione Valle d’Aosta: in data 16 marzo </w:t>
            </w:r>
            <w:r w:rsidRPr="008A7115">
              <w:rPr>
                <w:rFonts w:eastAsia="Times New Roman" w:cs="Calibri"/>
                <w:color w:val="auto"/>
                <w:sz w:val="20"/>
                <w:szCs w:val="20"/>
                <w:bdr w:val="none" w:sz="0" w:space="0" w:color="auto"/>
              </w:rPr>
              <w:t>è stato effettuato un intervento informatico di bonifica del pregresso, che ha generato un anomalo incremento dei guariti e del totale dei casi</w:t>
            </w:r>
            <w:r>
              <w:rPr>
                <w:rFonts w:eastAsia="Times New Roman" w:cs="Calibri"/>
                <w:color w:val="auto"/>
                <w:sz w:val="20"/>
                <w:szCs w:val="20"/>
                <w:bdr w:val="none" w:sz="0" w:space="0" w:color="auto"/>
              </w:rPr>
              <w:t>; per calcolare la variazione dei nuovi casi si sono utilizzati i nuovi positivi dichiarat</w:t>
            </w:r>
            <w:r w:rsidR="00D4131E">
              <w:rPr>
                <w:rFonts w:eastAsia="Times New Roman" w:cs="Calibri"/>
                <w:color w:val="auto"/>
                <w:sz w:val="20"/>
                <w:szCs w:val="20"/>
                <w:bdr w:val="none" w:sz="0" w:space="0" w:color="auto"/>
              </w:rPr>
              <w:t>i</w:t>
            </w:r>
            <w:r>
              <w:rPr>
                <w:rFonts w:eastAsia="Times New Roman" w:cs="Calibri"/>
                <w:color w:val="auto"/>
                <w:sz w:val="20"/>
                <w:szCs w:val="20"/>
                <w:bdr w:val="none" w:sz="0" w:space="0" w:color="auto"/>
              </w:rPr>
              <w:t xml:space="preserve"> dalla Regione</w:t>
            </w:r>
            <w:r w:rsidRPr="008A7115">
              <w:rPr>
                <w:rFonts w:eastAsia="Times New Roman" w:cs="Calibri"/>
                <w:color w:val="auto"/>
                <w:sz w:val="20"/>
                <w:szCs w:val="20"/>
                <w:bdr w:val="none" w:sz="0" w:space="0" w:color="auto"/>
              </w:rPr>
              <w:t>.</w:t>
            </w:r>
          </w:p>
          <w:p w14:paraId="61E96E36" w14:textId="26B9CA8A" w:rsidR="00481DB1" w:rsidRPr="00481DB1" w:rsidRDefault="00481DB1" w:rsidP="00481D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sidRPr="00481DB1">
              <w:rPr>
                <w:rFonts w:eastAsia="Times New Roman" w:cs="Calibri"/>
                <w:color w:val="auto"/>
                <w:sz w:val="20"/>
                <w:szCs w:val="20"/>
                <w:bdr w:val="none" w:sz="0" w:space="0" w:color="auto"/>
              </w:rPr>
              <w:t>Nota: nella prima colonna i colori rosso, verde e giallo indicano rispettivamente una performance regionale in peggioramento, in miglioramento o stabile, rispetto alla settimana precedente.</w:t>
            </w:r>
            <w:r w:rsidRPr="00481DB1">
              <w:rPr>
                <w:rFonts w:eastAsia="Times New Roman" w:cs="Calibri"/>
                <w:color w:val="auto"/>
                <w:sz w:val="20"/>
                <w:szCs w:val="20"/>
                <w:bdr w:val="none" w:sz="0" w:space="0" w:color="auto"/>
              </w:rPr>
              <w:br/>
              <w:t>Nella seconda colonna i colori rosso e verde indicano rispettivamente un aumento o una diminuzione percentuale dei nuovi casi rispetto alla settimana precedente.</w:t>
            </w:r>
            <w:r w:rsidRPr="00481DB1">
              <w:rPr>
                <w:rFonts w:eastAsia="Times New Roman" w:cs="Calibri"/>
                <w:color w:val="auto"/>
                <w:sz w:val="20"/>
                <w:szCs w:val="20"/>
                <w:bdr w:val="none" w:sz="0" w:space="0" w:color="auto"/>
              </w:rPr>
              <w:br/>
              <w:t xml:space="preserve">Nelle ultime 2 colonne i colori rosso e verde indicano rispettivamente un valore superiore o inferiore rispetto alla media nazionale (dati Cabina di Regia ai sensi del DM Salute 30 aprile 2020. Ministero della Salute, ISS). </w:t>
            </w:r>
          </w:p>
        </w:tc>
      </w:tr>
    </w:tbl>
    <w:p w14:paraId="7D8B05A0" w14:textId="7B56ED38" w:rsidR="005806BC" w:rsidRDefault="005806BC">
      <w:pPr>
        <w:spacing w:after="0" w:line="240" w:lineRule="auto"/>
        <w:rPr>
          <w:b/>
          <w:bCs/>
          <w:color w:val="05457D"/>
          <w:sz w:val="24"/>
          <w:szCs w:val="24"/>
          <w:u w:color="00457D"/>
        </w:rPr>
      </w:pPr>
    </w:p>
    <w:p w14:paraId="207C295B" w14:textId="77777777" w:rsidR="00A50135" w:rsidRDefault="00A50135" w:rsidP="0062593A">
      <w:pPr>
        <w:spacing w:after="80" w:line="240" w:lineRule="auto"/>
        <w:jc w:val="center"/>
        <w:rPr>
          <w:b/>
          <w:bCs/>
          <w:color w:val="05457D"/>
          <w:sz w:val="24"/>
          <w:szCs w:val="24"/>
          <w:u w:color="00457D"/>
        </w:rPr>
      </w:pPr>
    </w:p>
    <w:p w14:paraId="2439CEC4" w14:textId="77777777" w:rsidR="00A50135" w:rsidRDefault="00A50135" w:rsidP="0062593A">
      <w:pPr>
        <w:spacing w:after="80" w:line="240" w:lineRule="auto"/>
        <w:jc w:val="center"/>
        <w:rPr>
          <w:b/>
          <w:bCs/>
          <w:color w:val="05457D"/>
          <w:sz w:val="24"/>
          <w:szCs w:val="24"/>
          <w:u w:color="00457D"/>
        </w:rPr>
      </w:pPr>
    </w:p>
    <w:p w14:paraId="090727B7" w14:textId="77777777" w:rsidR="00A50135" w:rsidRDefault="00A50135" w:rsidP="0062593A">
      <w:pPr>
        <w:spacing w:after="80" w:line="240" w:lineRule="auto"/>
        <w:jc w:val="center"/>
        <w:rPr>
          <w:b/>
          <w:bCs/>
          <w:color w:val="05457D"/>
          <w:sz w:val="24"/>
          <w:szCs w:val="24"/>
          <w:u w:color="00457D"/>
        </w:rPr>
      </w:pPr>
    </w:p>
    <w:p w14:paraId="63013F1B" w14:textId="77777777" w:rsidR="00A50135" w:rsidRDefault="00A50135" w:rsidP="0062593A">
      <w:pPr>
        <w:spacing w:after="80" w:line="240" w:lineRule="auto"/>
        <w:jc w:val="center"/>
        <w:rPr>
          <w:b/>
          <w:bCs/>
          <w:color w:val="05457D"/>
          <w:sz w:val="24"/>
          <w:szCs w:val="24"/>
          <w:u w:color="00457D"/>
        </w:rPr>
      </w:pPr>
    </w:p>
    <w:p w14:paraId="204A9A5A" w14:textId="77777777" w:rsidR="00A50135" w:rsidRDefault="00A50135" w:rsidP="0062593A">
      <w:pPr>
        <w:spacing w:after="80" w:line="240" w:lineRule="auto"/>
        <w:jc w:val="center"/>
        <w:rPr>
          <w:b/>
          <w:bCs/>
          <w:color w:val="05457D"/>
          <w:sz w:val="24"/>
          <w:szCs w:val="24"/>
          <w:u w:color="00457D"/>
        </w:rPr>
      </w:pPr>
    </w:p>
    <w:p w14:paraId="2BC4FA9B" w14:textId="2C0DF07D" w:rsidR="00A50135" w:rsidRDefault="00A50135" w:rsidP="0062593A">
      <w:pPr>
        <w:spacing w:after="80" w:line="240" w:lineRule="auto"/>
        <w:jc w:val="center"/>
        <w:rPr>
          <w:b/>
          <w:bCs/>
          <w:color w:val="05457D"/>
          <w:sz w:val="24"/>
          <w:szCs w:val="24"/>
          <w:u w:color="00457D"/>
        </w:rPr>
      </w:pPr>
    </w:p>
    <w:p w14:paraId="2DCFB7B0" w14:textId="77777777" w:rsidR="00A50135" w:rsidRDefault="00A50135" w:rsidP="0062593A">
      <w:pPr>
        <w:spacing w:after="80" w:line="240" w:lineRule="auto"/>
        <w:jc w:val="center"/>
        <w:rPr>
          <w:b/>
          <w:bCs/>
          <w:color w:val="05457D"/>
          <w:sz w:val="24"/>
          <w:szCs w:val="24"/>
          <w:u w:color="00457D"/>
        </w:rPr>
      </w:pPr>
    </w:p>
    <w:p w14:paraId="1F5234A8" w14:textId="77777777" w:rsidR="00A50135" w:rsidRDefault="00A50135" w:rsidP="0062593A">
      <w:pPr>
        <w:spacing w:after="80" w:line="240" w:lineRule="auto"/>
        <w:jc w:val="center"/>
        <w:rPr>
          <w:b/>
          <w:bCs/>
          <w:color w:val="05457D"/>
          <w:sz w:val="24"/>
          <w:szCs w:val="24"/>
          <w:u w:color="00457D"/>
        </w:rPr>
      </w:pPr>
    </w:p>
    <w:p w14:paraId="0038B853" w14:textId="3ECED1C4" w:rsidR="0062593A" w:rsidRPr="008525BF" w:rsidRDefault="0062593A" w:rsidP="0062593A">
      <w:pPr>
        <w:spacing w:after="80" w:line="240" w:lineRule="auto"/>
        <w:jc w:val="center"/>
        <w:rPr>
          <w:b/>
          <w:bCs/>
          <w:color w:val="05457D"/>
          <w:sz w:val="24"/>
          <w:szCs w:val="24"/>
          <w:u w:color="00457D"/>
        </w:rPr>
      </w:pPr>
      <w:r w:rsidRPr="008525BF">
        <w:rPr>
          <w:b/>
          <w:bCs/>
          <w:color w:val="05457D"/>
          <w:sz w:val="24"/>
          <w:szCs w:val="24"/>
          <w:u w:color="00457D"/>
        </w:rPr>
        <w:lastRenderedPageBreak/>
        <w:t xml:space="preserve">Tabella 2. Nuovi casi nell’ultima </w:t>
      </w:r>
      <w:r w:rsidRPr="00B52252">
        <w:rPr>
          <w:b/>
          <w:bCs/>
          <w:color w:val="05457D"/>
          <w:sz w:val="24"/>
          <w:szCs w:val="24"/>
          <w:u w:color="00457D"/>
        </w:rPr>
        <w:t xml:space="preserve">settimana suddivisi per </w:t>
      </w:r>
      <w:r w:rsidRPr="008525BF">
        <w:rPr>
          <w:b/>
          <w:bCs/>
          <w:color w:val="05457D"/>
          <w:sz w:val="24"/>
          <w:szCs w:val="24"/>
          <w:u w:color="00457D"/>
        </w:rPr>
        <w:t>provincia</w:t>
      </w:r>
    </w:p>
    <w:tbl>
      <w:tblPr>
        <w:tblStyle w:val="TableNormal1"/>
        <w:tblW w:w="80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985"/>
        <w:gridCol w:w="2260"/>
        <w:gridCol w:w="2129"/>
        <w:gridCol w:w="1715"/>
      </w:tblGrid>
      <w:tr w:rsidR="00CF5B4E" w:rsidRPr="00CF5B4E" w14:paraId="186A50DC" w14:textId="77777777" w:rsidTr="009E2B37">
        <w:trPr>
          <w:trHeight w:val="481"/>
          <w:tblHeader/>
          <w:jc w:val="center"/>
        </w:trPr>
        <w:tc>
          <w:tcPr>
            <w:tcW w:w="1985" w:type="dxa"/>
            <w:tcBorders>
              <w:top w:val="single" w:sz="4" w:space="0" w:color="00457D"/>
              <w:left w:val="single" w:sz="4" w:space="0" w:color="00457D"/>
              <w:bottom w:val="single" w:sz="4" w:space="0" w:color="00457D"/>
              <w:right w:val="single" w:sz="4" w:space="0" w:color="FFFFFF"/>
            </w:tcBorders>
            <w:shd w:val="clear" w:color="auto" w:fill="00457D"/>
            <w:tcMar>
              <w:top w:w="80" w:type="dxa"/>
              <w:left w:w="80" w:type="dxa"/>
              <w:bottom w:w="80" w:type="dxa"/>
              <w:right w:w="80" w:type="dxa"/>
            </w:tcMar>
            <w:vAlign w:val="center"/>
          </w:tcPr>
          <w:p w14:paraId="1B03FF3A"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Regione</w:t>
            </w:r>
          </w:p>
        </w:tc>
        <w:tc>
          <w:tcPr>
            <w:tcW w:w="2260" w:type="dxa"/>
            <w:tcBorders>
              <w:top w:val="single" w:sz="4" w:space="0" w:color="00457D"/>
              <w:left w:val="single" w:sz="4" w:space="0" w:color="FFFFFF"/>
              <w:bottom w:val="single" w:sz="4" w:space="0" w:color="00457D"/>
              <w:right w:val="single" w:sz="4" w:space="0" w:color="FFFFFF"/>
            </w:tcBorders>
            <w:shd w:val="clear" w:color="auto" w:fill="00457D"/>
            <w:tcMar>
              <w:top w:w="80" w:type="dxa"/>
              <w:left w:w="80" w:type="dxa"/>
              <w:bottom w:w="80" w:type="dxa"/>
              <w:right w:w="80" w:type="dxa"/>
            </w:tcMar>
            <w:vAlign w:val="center"/>
          </w:tcPr>
          <w:p w14:paraId="03631AF5"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Provincia</w:t>
            </w:r>
          </w:p>
        </w:tc>
        <w:tc>
          <w:tcPr>
            <w:tcW w:w="2129" w:type="dxa"/>
            <w:tcBorders>
              <w:top w:val="single" w:sz="4" w:space="0" w:color="00457D"/>
              <w:left w:val="single" w:sz="4" w:space="0" w:color="FFFFFF"/>
              <w:bottom w:val="single" w:sz="4" w:space="0" w:color="00457D"/>
              <w:right w:val="single" w:sz="4" w:space="0" w:color="FFFFFF" w:themeColor="background1"/>
            </w:tcBorders>
            <w:shd w:val="clear" w:color="auto" w:fill="00457D"/>
            <w:tcMar>
              <w:top w:w="80" w:type="dxa"/>
              <w:left w:w="80" w:type="dxa"/>
              <w:bottom w:w="80" w:type="dxa"/>
              <w:right w:w="80" w:type="dxa"/>
            </w:tcMar>
            <w:vAlign w:val="center"/>
          </w:tcPr>
          <w:p w14:paraId="0C0DE46D" w14:textId="0C558BF1" w:rsidR="0062593A" w:rsidRPr="003548C2" w:rsidRDefault="0062593A" w:rsidP="008A7115">
            <w:pPr>
              <w:spacing w:after="0" w:line="240" w:lineRule="auto"/>
              <w:jc w:val="center"/>
              <w:rPr>
                <w:rFonts w:cs="Calibri"/>
                <w:b/>
                <w:bCs/>
                <w:color w:val="auto"/>
                <w:szCs w:val="21"/>
                <w:u w:color="FFFFFF"/>
              </w:rPr>
            </w:pPr>
            <w:r w:rsidRPr="00EF2F16">
              <w:rPr>
                <w:rFonts w:cs="Calibri"/>
                <w:b/>
                <w:bCs/>
                <w:color w:val="auto"/>
                <w:szCs w:val="21"/>
                <w:u w:color="FFFFFF"/>
              </w:rPr>
              <w:t xml:space="preserve">Nuovi casi per </w:t>
            </w:r>
            <w:r w:rsidRPr="00EF2F16">
              <w:rPr>
                <w:rFonts w:cs="Calibri"/>
                <w:b/>
                <w:bCs/>
                <w:color w:val="auto"/>
                <w:szCs w:val="21"/>
                <w:u w:color="FFFFFF"/>
              </w:rPr>
              <w:br/>
              <w:t xml:space="preserve">100.000 abitanti </w:t>
            </w:r>
            <w:r w:rsidRPr="00EF2F16">
              <w:rPr>
                <w:rFonts w:cs="Calibri"/>
                <w:b/>
                <w:bCs/>
                <w:color w:val="auto"/>
                <w:szCs w:val="21"/>
                <w:u w:color="FFFFFF"/>
              </w:rPr>
              <w:br/>
            </w:r>
            <w:r w:rsidR="008A7115">
              <w:rPr>
                <w:rFonts w:cs="Calibri"/>
                <w:b/>
                <w:bCs/>
                <w:color w:val="auto"/>
                <w:szCs w:val="21"/>
                <w:u w:color="FFFFFF"/>
              </w:rPr>
              <w:t>10</w:t>
            </w:r>
            <w:r w:rsidR="00730DC9">
              <w:rPr>
                <w:rFonts w:cs="Calibri"/>
                <w:b/>
                <w:bCs/>
                <w:color w:val="auto"/>
                <w:szCs w:val="21"/>
                <w:u w:color="FFFFFF"/>
              </w:rPr>
              <w:t xml:space="preserve"> </w:t>
            </w:r>
            <w:r w:rsidR="0015076A">
              <w:rPr>
                <w:rFonts w:cs="Calibri"/>
                <w:b/>
                <w:bCs/>
                <w:color w:val="auto"/>
                <w:szCs w:val="21"/>
                <w:u w:color="FFFFFF"/>
              </w:rPr>
              <w:t xml:space="preserve">– </w:t>
            </w:r>
            <w:r w:rsidR="008A7115">
              <w:rPr>
                <w:rFonts w:cs="Calibri"/>
                <w:b/>
                <w:bCs/>
                <w:color w:val="auto"/>
                <w:szCs w:val="21"/>
                <w:u w:color="FFFFFF"/>
              </w:rPr>
              <w:t>16</w:t>
            </w:r>
            <w:r w:rsidR="0015076A">
              <w:rPr>
                <w:rFonts w:cs="Calibri"/>
                <w:b/>
                <w:bCs/>
                <w:color w:val="auto"/>
                <w:szCs w:val="21"/>
                <w:u w:color="FFFFFF"/>
              </w:rPr>
              <w:t xml:space="preserve"> marzo </w:t>
            </w:r>
            <w:r w:rsidR="00730DC9">
              <w:rPr>
                <w:rFonts w:cs="Calibri"/>
                <w:b/>
                <w:bCs/>
                <w:color w:val="auto"/>
                <w:szCs w:val="21"/>
                <w:u w:color="FFFFFF"/>
              </w:rPr>
              <w:t>2023</w:t>
            </w:r>
          </w:p>
        </w:tc>
        <w:tc>
          <w:tcPr>
            <w:tcW w:w="1715" w:type="dxa"/>
            <w:tcBorders>
              <w:top w:val="single" w:sz="4" w:space="0" w:color="00457D"/>
              <w:left w:val="single" w:sz="4" w:space="0" w:color="FFFFFF" w:themeColor="background1"/>
              <w:bottom w:val="single" w:sz="4" w:space="0" w:color="00457D"/>
              <w:right w:val="single" w:sz="4" w:space="0" w:color="00457D"/>
            </w:tcBorders>
            <w:shd w:val="clear" w:color="auto" w:fill="00457D"/>
            <w:vAlign w:val="center"/>
          </w:tcPr>
          <w:p w14:paraId="0C00DEA6" w14:textId="77777777" w:rsidR="0062593A" w:rsidRPr="00EF2F16" w:rsidRDefault="0062593A" w:rsidP="003548C2">
            <w:pPr>
              <w:spacing w:after="0" w:line="240" w:lineRule="auto"/>
              <w:jc w:val="center"/>
              <w:rPr>
                <w:rFonts w:cs="Calibri"/>
                <w:b/>
                <w:bCs/>
                <w:color w:val="FFFFFF" w:themeColor="background1"/>
                <w:szCs w:val="21"/>
                <w:u w:color="FFFFFF"/>
              </w:rPr>
            </w:pPr>
            <w:r w:rsidRPr="00EF2F16">
              <w:rPr>
                <w:rFonts w:cs="Calibri"/>
                <w:b/>
                <w:bCs/>
                <w:color w:val="FFFFFF" w:themeColor="background1"/>
                <w:szCs w:val="21"/>
                <w:u w:color="FFFFFF"/>
              </w:rPr>
              <w:t>Variazione % nuovi casi</w:t>
            </w:r>
          </w:p>
        </w:tc>
      </w:tr>
      <w:tr w:rsidR="008A7115" w:rsidRPr="00CF5B4E" w14:paraId="231AD259"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ACD77F" w14:textId="5109F044" w:rsidR="008A7115" w:rsidRDefault="008A7115" w:rsidP="008A7115">
            <w:pPr>
              <w:spacing w:after="0" w:line="240" w:lineRule="auto"/>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D3F93B" w14:textId="66724739" w:rsidR="008A7115" w:rsidRDefault="008A7115" w:rsidP="008A7115">
            <w:pPr>
              <w:spacing w:after="0"/>
              <w:rPr>
                <w:rFonts w:cs="Calibri"/>
              </w:rPr>
            </w:pPr>
            <w:r>
              <w:rPr>
                <w:rFonts w:cs="Calibri"/>
              </w:rPr>
              <w:t>Teramo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0D1AF5" w14:textId="6B2802E0" w:rsidR="008A7115" w:rsidRDefault="008A7115" w:rsidP="008A7115">
            <w:pPr>
              <w:spacing w:after="0"/>
              <w:jc w:val="center"/>
              <w:rPr>
                <w:rFonts w:cs="Calibri"/>
              </w:rPr>
            </w:pPr>
            <w:r>
              <w:rPr>
                <w:rFonts w:cs="Calibri"/>
              </w:rPr>
              <w:t xml:space="preserve">              55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2D010A2" w14:textId="0C357896" w:rsidR="008A7115" w:rsidRPr="008A7115" w:rsidRDefault="008A7115" w:rsidP="008A7115">
            <w:pPr>
              <w:spacing w:after="0"/>
              <w:jc w:val="center"/>
              <w:rPr>
                <w:rFonts w:cs="Calibri"/>
                <w:color w:val="9C0006"/>
              </w:rPr>
            </w:pPr>
            <w:r w:rsidRPr="008A7115">
              <w:rPr>
                <w:rFonts w:cs="Calibri"/>
                <w:color w:val="9C0006"/>
              </w:rPr>
              <w:t>59,0%</w:t>
            </w:r>
          </w:p>
        </w:tc>
      </w:tr>
      <w:tr w:rsidR="008A7115" w:rsidRPr="00CF5B4E" w14:paraId="2594EBC3"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45C59" w14:textId="46EA1063" w:rsidR="008A7115" w:rsidRDefault="008A7115" w:rsidP="008A7115">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57AF20" w14:textId="7BCAD381" w:rsidR="008A7115" w:rsidRDefault="008A7115" w:rsidP="008A7115">
            <w:pPr>
              <w:spacing w:after="0"/>
              <w:rPr>
                <w:rFonts w:cs="Calibri"/>
              </w:rPr>
            </w:pPr>
            <w:r>
              <w:rPr>
                <w:rFonts w:cs="Calibri"/>
              </w:rPr>
              <w:t>L'Aquila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E654F1" w14:textId="1F61AAB3" w:rsidR="008A7115" w:rsidRDefault="008A7115" w:rsidP="008A7115">
            <w:pPr>
              <w:spacing w:after="0"/>
              <w:jc w:val="center"/>
              <w:rPr>
                <w:rFonts w:cs="Calibri"/>
              </w:rPr>
            </w:pPr>
            <w:r>
              <w:rPr>
                <w:rFonts w:cs="Calibri"/>
              </w:rPr>
              <w:t xml:space="preserve">              53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A554DC3" w14:textId="6F3EF89B" w:rsidR="008A7115" w:rsidRPr="008A7115" w:rsidRDefault="008A7115" w:rsidP="008A7115">
            <w:pPr>
              <w:spacing w:after="0"/>
              <w:jc w:val="center"/>
              <w:rPr>
                <w:rFonts w:cs="Calibri"/>
                <w:color w:val="9C0006"/>
              </w:rPr>
            </w:pPr>
            <w:r w:rsidRPr="008A7115">
              <w:rPr>
                <w:rFonts w:cs="Calibri"/>
                <w:color w:val="9C0006"/>
              </w:rPr>
              <w:t>0,6%</w:t>
            </w:r>
          </w:p>
        </w:tc>
      </w:tr>
      <w:tr w:rsidR="008A7115" w:rsidRPr="00CF5B4E" w14:paraId="4109F6B0"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55AF9" w14:textId="30CB1E37" w:rsidR="008A7115" w:rsidRDefault="008A7115" w:rsidP="008A7115">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FF911" w14:textId="36007F94" w:rsidR="008A7115" w:rsidRDefault="008A7115" w:rsidP="008A7115">
            <w:pPr>
              <w:spacing w:after="0"/>
              <w:rPr>
                <w:rFonts w:cs="Calibri"/>
              </w:rPr>
            </w:pPr>
            <w:r>
              <w:rPr>
                <w:rFonts w:cs="Calibri"/>
              </w:rPr>
              <w:t>Pescara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A2EF9F" w14:textId="2F590A9F" w:rsidR="008A7115" w:rsidRDefault="008A7115" w:rsidP="008A7115">
            <w:pPr>
              <w:spacing w:after="0"/>
              <w:jc w:val="center"/>
              <w:rPr>
                <w:rFonts w:cs="Calibri"/>
              </w:rPr>
            </w:pPr>
            <w:r>
              <w:rPr>
                <w:rFonts w:cs="Calibri"/>
              </w:rPr>
              <w:t xml:space="preserve">              40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BCF76B5" w14:textId="43CF4DE6" w:rsidR="008A7115" w:rsidRPr="008A7115" w:rsidRDefault="008A7115" w:rsidP="008A7115">
            <w:pPr>
              <w:spacing w:after="0"/>
              <w:jc w:val="center"/>
              <w:rPr>
                <w:rFonts w:cs="Calibri"/>
                <w:color w:val="9C0006"/>
              </w:rPr>
            </w:pPr>
            <w:r w:rsidRPr="008A7115">
              <w:rPr>
                <w:rFonts w:cs="Calibri"/>
                <w:color w:val="9C0006"/>
              </w:rPr>
              <w:t>17,8%</w:t>
            </w:r>
          </w:p>
        </w:tc>
      </w:tr>
      <w:tr w:rsidR="008A7115" w:rsidRPr="00CF5B4E" w14:paraId="4CE2A30C"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99E39" w14:textId="3F590612" w:rsidR="008A7115" w:rsidRDefault="008A7115" w:rsidP="008A7115">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47B3D8" w14:textId="2BB82820" w:rsidR="008A7115" w:rsidRDefault="008A7115" w:rsidP="008A7115">
            <w:pPr>
              <w:spacing w:after="0"/>
              <w:rPr>
                <w:rFonts w:cs="Calibri"/>
              </w:rPr>
            </w:pPr>
            <w:r>
              <w:rPr>
                <w:rFonts w:cs="Calibri"/>
              </w:rPr>
              <w:t>Chieti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CB35B7" w14:textId="2F2AEB28" w:rsidR="008A7115" w:rsidRDefault="008A7115" w:rsidP="008A7115">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CD89BEC" w14:textId="4660D549" w:rsidR="008A7115" w:rsidRPr="00CF076F" w:rsidRDefault="008A7115" w:rsidP="008A7115">
            <w:pPr>
              <w:spacing w:after="0"/>
              <w:jc w:val="center"/>
              <w:rPr>
                <w:rFonts w:cs="Calibri"/>
                <w:color w:val="006100"/>
              </w:rPr>
            </w:pPr>
            <w:r>
              <w:rPr>
                <w:rFonts w:cs="Calibri"/>
                <w:color w:val="006100"/>
              </w:rPr>
              <w:t>-19,8%</w:t>
            </w:r>
          </w:p>
        </w:tc>
      </w:tr>
      <w:tr w:rsidR="008A7115" w:rsidRPr="00CF5B4E" w14:paraId="2F3CA6EA"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D95D602" w14:textId="22D2B350" w:rsidR="008A7115" w:rsidRDefault="008A7115" w:rsidP="008A7115">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3FCB9D" w14:textId="152FDCDC" w:rsidR="008A7115" w:rsidRDefault="008A7115" w:rsidP="008A7115">
            <w:pPr>
              <w:spacing w:after="0"/>
              <w:rPr>
                <w:rFonts w:cs="Calibri"/>
              </w:rPr>
            </w:pPr>
            <w:r>
              <w:rPr>
                <w:rFonts w:cs="Calibri"/>
              </w:rPr>
              <w:t>Potenza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732B69" w14:textId="6125B26B" w:rsidR="008A7115" w:rsidRDefault="008A7115" w:rsidP="008A7115">
            <w:pPr>
              <w:spacing w:after="0"/>
              <w:jc w:val="center"/>
              <w:rPr>
                <w:rFonts w:cs="Calibri"/>
              </w:rPr>
            </w:pPr>
            <w:r>
              <w:rPr>
                <w:rFonts w:cs="Calibri"/>
              </w:rPr>
              <w:t xml:space="preserve">              21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7555221" w14:textId="2B0367F3" w:rsidR="008A7115" w:rsidRPr="008A7115" w:rsidRDefault="008A7115" w:rsidP="008A7115">
            <w:pPr>
              <w:spacing w:after="0"/>
              <w:jc w:val="center"/>
              <w:rPr>
                <w:rFonts w:cs="Calibri"/>
                <w:color w:val="9C0006"/>
              </w:rPr>
            </w:pPr>
            <w:r w:rsidRPr="008A7115">
              <w:rPr>
                <w:rFonts w:cs="Calibri"/>
                <w:color w:val="9C0006"/>
              </w:rPr>
              <w:t>37,0%</w:t>
            </w:r>
          </w:p>
        </w:tc>
      </w:tr>
      <w:tr w:rsidR="008A7115" w:rsidRPr="00CF5B4E" w14:paraId="3BA5F104"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C1A34" w14:textId="6B533FC3" w:rsidR="008A7115" w:rsidRDefault="008A7115" w:rsidP="008A7115">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E60366" w14:textId="7550CB0E" w:rsidR="008A7115" w:rsidRDefault="008A7115" w:rsidP="008A7115">
            <w:pPr>
              <w:spacing w:after="0"/>
              <w:rPr>
                <w:rFonts w:cs="Calibri"/>
              </w:rPr>
            </w:pPr>
            <w:r>
              <w:rPr>
                <w:rFonts w:cs="Calibri"/>
              </w:rPr>
              <w:t>Matera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1D36F8" w14:textId="639B6C02" w:rsidR="008A7115" w:rsidRDefault="008A7115" w:rsidP="008A7115">
            <w:pPr>
              <w:spacing w:after="0"/>
              <w:jc w:val="center"/>
              <w:rPr>
                <w:rFonts w:cs="Calibri"/>
              </w:rPr>
            </w:pPr>
            <w:r>
              <w:rPr>
                <w:rFonts w:cs="Calibri"/>
              </w:rPr>
              <w:t xml:space="preserve">              12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CD2BCE7" w14:textId="6DE61D17" w:rsidR="008A7115" w:rsidRPr="008A7115" w:rsidRDefault="008A7115" w:rsidP="008A7115">
            <w:pPr>
              <w:spacing w:after="0"/>
              <w:jc w:val="center"/>
              <w:rPr>
                <w:rFonts w:cs="Calibri"/>
                <w:color w:val="9C0006"/>
              </w:rPr>
            </w:pPr>
            <w:r w:rsidRPr="008A7115">
              <w:rPr>
                <w:rFonts w:cs="Calibri"/>
                <w:color w:val="9C0006"/>
              </w:rPr>
              <w:t>26,3%</w:t>
            </w:r>
          </w:p>
        </w:tc>
      </w:tr>
      <w:tr w:rsidR="008A7115" w:rsidRPr="00CF5B4E" w14:paraId="79575A76"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1BED1C" w14:textId="2F82611E" w:rsidR="008A7115" w:rsidRDefault="008A7115" w:rsidP="008A7115">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643007" w14:textId="6DC41065" w:rsidR="008A7115" w:rsidRDefault="008A7115" w:rsidP="008A7115">
            <w:pPr>
              <w:spacing w:after="0"/>
              <w:rPr>
                <w:rFonts w:cs="Calibri"/>
              </w:rPr>
            </w:pPr>
            <w:r>
              <w:rPr>
                <w:rFonts w:cs="Calibri"/>
              </w:rPr>
              <w:t>Catanzaro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9342C1" w14:textId="7ED27CC4" w:rsidR="008A7115" w:rsidRDefault="008A7115" w:rsidP="008A7115">
            <w:pPr>
              <w:spacing w:after="0"/>
              <w:jc w:val="center"/>
              <w:rPr>
                <w:rFonts w:cs="Calibri"/>
              </w:rPr>
            </w:pPr>
            <w:r>
              <w:rPr>
                <w:rFonts w:cs="Calibri"/>
              </w:rPr>
              <w:t xml:space="preserve">              35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474A128" w14:textId="41925948" w:rsidR="008A7115" w:rsidRPr="008A7115" w:rsidRDefault="008A7115" w:rsidP="008A7115">
            <w:pPr>
              <w:spacing w:after="0"/>
              <w:jc w:val="center"/>
              <w:rPr>
                <w:rFonts w:cs="Calibri"/>
                <w:color w:val="9C0006"/>
              </w:rPr>
            </w:pPr>
            <w:r w:rsidRPr="008A7115">
              <w:rPr>
                <w:rFonts w:cs="Calibri"/>
                <w:color w:val="9C0006"/>
              </w:rPr>
              <w:t>2,6%</w:t>
            </w:r>
          </w:p>
        </w:tc>
      </w:tr>
      <w:tr w:rsidR="008A7115" w:rsidRPr="00CF5B4E" w14:paraId="3D41E7BD"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366664" w14:textId="65418D2B" w:rsidR="008A7115" w:rsidRDefault="008A7115" w:rsidP="008A7115">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02D82D" w14:textId="6757AE97" w:rsidR="008A7115" w:rsidRDefault="008A7115" w:rsidP="008A7115">
            <w:pPr>
              <w:spacing w:after="0"/>
              <w:rPr>
                <w:rFonts w:cs="Calibri"/>
              </w:rPr>
            </w:pPr>
            <w:r>
              <w:rPr>
                <w:rFonts w:cs="Calibri"/>
              </w:rPr>
              <w:t>Vibo Valentia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2C2BFD" w14:textId="6CB96B3B" w:rsidR="008A7115" w:rsidRDefault="008A7115" w:rsidP="008A7115">
            <w:pPr>
              <w:spacing w:after="0"/>
              <w:jc w:val="center"/>
              <w:rPr>
                <w:rFonts w:cs="Calibri"/>
              </w:rPr>
            </w:pPr>
            <w:r>
              <w:rPr>
                <w:rFonts w:cs="Calibri"/>
              </w:rPr>
              <w:t xml:space="preserve">              33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6A04348" w14:textId="432E4405" w:rsidR="008A7115" w:rsidRPr="008A7115" w:rsidRDefault="008A7115" w:rsidP="008A7115">
            <w:pPr>
              <w:spacing w:after="0"/>
              <w:jc w:val="center"/>
              <w:rPr>
                <w:rFonts w:cs="Calibri"/>
                <w:color w:val="9C0006"/>
              </w:rPr>
            </w:pPr>
            <w:r w:rsidRPr="008A7115">
              <w:rPr>
                <w:rFonts w:cs="Calibri"/>
                <w:color w:val="9C0006"/>
              </w:rPr>
              <w:t>56,3%</w:t>
            </w:r>
          </w:p>
        </w:tc>
      </w:tr>
      <w:tr w:rsidR="008A7115" w:rsidRPr="00CF5B4E" w14:paraId="316D6C20"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641B8C" w14:textId="1517F171" w:rsidR="008A7115" w:rsidRDefault="008A7115" w:rsidP="008A7115">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819431" w14:textId="68C3A787" w:rsidR="008A7115" w:rsidRDefault="008A7115" w:rsidP="008A7115">
            <w:pPr>
              <w:spacing w:after="0"/>
              <w:rPr>
                <w:rFonts w:cs="Calibri"/>
              </w:rPr>
            </w:pPr>
            <w:r>
              <w:rPr>
                <w:rFonts w:cs="Calibri"/>
              </w:rPr>
              <w:t>Cosenza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1ED679" w14:textId="31413728" w:rsidR="008A7115" w:rsidRDefault="008A7115" w:rsidP="008A7115">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F169C0D" w14:textId="14C1F87E" w:rsidR="008A7115" w:rsidRPr="008A7115" w:rsidRDefault="008A7115" w:rsidP="008A7115">
            <w:pPr>
              <w:spacing w:after="0"/>
              <w:jc w:val="center"/>
              <w:rPr>
                <w:rFonts w:cs="Calibri"/>
                <w:color w:val="006100"/>
              </w:rPr>
            </w:pPr>
            <w:r w:rsidRPr="008A7115">
              <w:rPr>
                <w:rFonts w:cs="Calibri"/>
                <w:color w:val="006100"/>
              </w:rPr>
              <w:t>-7,4%</w:t>
            </w:r>
          </w:p>
        </w:tc>
      </w:tr>
      <w:tr w:rsidR="008A7115" w:rsidRPr="00CF5B4E" w14:paraId="13CEEFDA"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DD9D374" w14:textId="2FE00D1A" w:rsidR="008A7115" w:rsidRDefault="008A7115" w:rsidP="008A7115">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91DC16" w14:textId="1E49EE5E" w:rsidR="008A7115" w:rsidRDefault="008A7115" w:rsidP="008A7115">
            <w:pPr>
              <w:spacing w:after="0"/>
              <w:rPr>
                <w:rFonts w:cs="Calibri"/>
              </w:rPr>
            </w:pPr>
            <w:r>
              <w:rPr>
                <w:rFonts w:cs="Calibri"/>
              </w:rPr>
              <w:t>Crotone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B514C1" w14:textId="60C1BD65" w:rsidR="008A7115" w:rsidRDefault="008A7115" w:rsidP="008A7115">
            <w:pPr>
              <w:spacing w:after="0"/>
              <w:jc w:val="center"/>
              <w:rPr>
                <w:rFonts w:cs="Calibri"/>
              </w:rPr>
            </w:pPr>
            <w:r>
              <w:rPr>
                <w:rFonts w:cs="Calibri"/>
              </w:rPr>
              <w:t xml:space="preserve">              18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3EA0503" w14:textId="1F15272F" w:rsidR="008A7115" w:rsidRPr="008A7115" w:rsidRDefault="008A7115" w:rsidP="008A7115">
            <w:pPr>
              <w:spacing w:after="0"/>
              <w:jc w:val="center"/>
              <w:rPr>
                <w:rFonts w:cs="Calibri"/>
                <w:color w:val="006100"/>
              </w:rPr>
            </w:pPr>
            <w:r w:rsidRPr="008A7115">
              <w:rPr>
                <w:rFonts w:cs="Calibri"/>
                <w:color w:val="006100"/>
              </w:rPr>
              <w:t>-35,6%</w:t>
            </w:r>
          </w:p>
        </w:tc>
      </w:tr>
      <w:tr w:rsidR="008A7115" w:rsidRPr="00CF5B4E" w14:paraId="262EB6E2"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D434AC" w14:textId="012A3265" w:rsidR="008A7115" w:rsidRDefault="008A7115" w:rsidP="008A7115">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F55FFB" w14:textId="740DCE28" w:rsidR="008A7115" w:rsidRDefault="008A7115" w:rsidP="008A7115">
            <w:pPr>
              <w:spacing w:after="0"/>
              <w:rPr>
                <w:rFonts w:cs="Calibri"/>
              </w:rPr>
            </w:pPr>
            <w:r>
              <w:rPr>
                <w:rFonts w:cs="Calibri"/>
              </w:rPr>
              <w:t>Reggio di Calabria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70148B" w14:textId="40B94FC5" w:rsidR="008A7115" w:rsidRDefault="008A7115" w:rsidP="008A7115">
            <w:pPr>
              <w:spacing w:after="0"/>
              <w:jc w:val="center"/>
              <w:rPr>
                <w:rFonts w:cs="Calibri"/>
              </w:rPr>
            </w:pPr>
            <w:r>
              <w:rPr>
                <w:rFonts w:cs="Calibri"/>
              </w:rPr>
              <w:t xml:space="preserve">              13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9D11C12" w14:textId="56FC7F7A" w:rsidR="008A7115" w:rsidRPr="008A7115" w:rsidRDefault="008A7115" w:rsidP="008A7115">
            <w:pPr>
              <w:spacing w:after="0"/>
              <w:jc w:val="center"/>
              <w:rPr>
                <w:rFonts w:cs="Calibri"/>
                <w:color w:val="006100"/>
              </w:rPr>
            </w:pPr>
            <w:r w:rsidRPr="008A7115">
              <w:rPr>
                <w:rFonts w:cs="Calibri"/>
                <w:color w:val="006100"/>
              </w:rPr>
              <w:t>-43,2%</w:t>
            </w:r>
          </w:p>
        </w:tc>
      </w:tr>
      <w:tr w:rsidR="008A7115" w:rsidRPr="00CF5B4E" w14:paraId="50F4A8AD"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2AB57F" w14:textId="0BC463D2" w:rsidR="008A7115" w:rsidRDefault="008A7115" w:rsidP="008A7115">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81A839" w14:textId="1F25B349" w:rsidR="008A7115" w:rsidRDefault="008A7115" w:rsidP="008A7115">
            <w:pPr>
              <w:spacing w:after="0"/>
              <w:rPr>
                <w:rFonts w:cs="Calibri"/>
              </w:rPr>
            </w:pPr>
            <w:r>
              <w:rPr>
                <w:rFonts w:cs="Calibri"/>
              </w:rPr>
              <w:t>Benevento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1F5970" w14:textId="4B90AC40" w:rsidR="008A7115" w:rsidRDefault="008A7115" w:rsidP="008A7115">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8B70982" w14:textId="3C43178A" w:rsidR="008A7115" w:rsidRPr="008A7115" w:rsidRDefault="008A7115" w:rsidP="008A7115">
            <w:pPr>
              <w:spacing w:after="0"/>
              <w:jc w:val="center"/>
              <w:rPr>
                <w:rFonts w:cs="Calibri"/>
                <w:color w:val="9C0006"/>
              </w:rPr>
            </w:pPr>
            <w:r w:rsidRPr="008A7115">
              <w:rPr>
                <w:rFonts w:cs="Calibri"/>
                <w:color w:val="9C0006"/>
              </w:rPr>
              <w:t>5,8%</w:t>
            </w:r>
          </w:p>
        </w:tc>
      </w:tr>
      <w:tr w:rsidR="008A7115" w:rsidRPr="00CF5B4E" w14:paraId="1F660980"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F7D6A1" w14:textId="72209B7B" w:rsidR="008A7115" w:rsidRDefault="008A7115" w:rsidP="008A7115">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F1B9E7" w14:textId="6FD1A36C" w:rsidR="008A7115" w:rsidRDefault="008A7115" w:rsidP="008A7115">
            <w:pPr>
              <w:spacing w:after="0"/>
              <w:rPr>
                <w:rFonts w:cs="Calibri"/>
              </w:rPr>
            </w:pPr>
            <w:r>
              <w:rPr>
                <w:rFonts w:cs="Calibri"/>
              </w:rPr>
              <w:t>Avellino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759D79" w14:textId="734EFA4C" w:rsidR="008A7115" w:rsidRDefault="008A7115" w:rsidP="008A7115">
            <w:pPr>
              <w:spacing w:after="0"/>
              <w:jc w:val="center"/>
              <w:rPr>
                <w:rFonts w:cs="Calibri"/>
              </w:rPr>
            </w:pPr>
            <w:r>
              <w:rPr>
                <w:rFonts w:cs="Calibri"/>
              </w:rPr>
              <w:t xml:space="preserve">              46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126FA89" w14:textId="6DA1F1A7" w:rsidR="008A7115" w:rsidRPr="008A7115" w:rsidRDefault="008A7115" w:rsidP="008A7115">
            <w:pPr>
              <w:spacing w:after="0"/>
              <w:jc w:val="center"/>
              <w:rPr>
                <w:rFonts w:cs="Calibri"/>
                <w:color w:val="9C0006"/>
              </w:rPr>
            </w:pPr>
            <w:r w:rsidRPr="008A7115">
              <w:rPr>
                <w:rFonts w:cs="Calibri"/>
                <w:color w:val="9C0006"/>
              </w:rPr>
              <w:t>27,4%</w:t>
            </w:r>
          </w:p>
        </w:tc>
      </w:tr>
      <w:tr w:rsidR="008A7115" w:rsidRPr="00CF5B4E" w14:paraId="3C696B02"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74207" w14:textId="0B43EE63" w:rsidR="008A7115" w:rsidRDefault="008A7115" w:rsidP="008A7115">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FCC7CE" w14:textId="19BFF7E6" w:rsidR="008A7115" w:rsidRDefault="008A7115" w:rsidP="008A7115">
            <w:pPr>
              <w:spacing w:after="0"/>
              <w:rPr>
                <w:rFonts w:cs="Calibri"/>
              </w:rPr>
            </w:pPr>
            <w:r>
              <w:rPr>
                <w:rFonts w:cs="Calibri"/>
              </w:rPr>
              <w:t>Salerno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A0BB1" w14:textId="39F0A12D" w:rsidR="008A7115" w:rsidRDefault="008A7115" w:rsidP="008A7115">
            <w:pPr>
              <w:spacing w:after="0"/>
              <w:jc w:val="center"/>
              <w:rPr>
                <w:rFonts w:cs="Calibri"/>
              </w:rPr>
            </w:pPr>
            <w:r>
              <w:rPr>
                <w:rFonts w:cs="Calibri"/>
              </w:rPr>
              <w:t xml:space="preserve">              40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5EF67AF" w14:textId="1D48A737" w:rsidR="008A7115" w:rsidRPr="008A7115" w:rsidRDefault="008A7115" w:rsidP="008A7115">
            <w:pPr>
              <w:spacing w:after="0"/>
              <w:jc w:val="center"/>
              <w:rPr>
                <w:rFonts w:cs="Calibri"/>
                <w:color w:val="9C0006"/>
              </w:rPr>
            </w:pPr>
            <w:r w:rsidRPr="008A7115">
              <w:rPr>
                <w:rFonts w:cs="Calibri"/>
                <w:color w:val="9C0006"/>
              </w:rPr>
              <w:t>3,6%</w:t>
            </w:r>
          </w:p>
        </w:tc>
      </w:tr>
      <w:tr w:rsidR="008A7115" w:rsidRPr="00CF5B4E" w14:paraId="5A75043D"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3AFBAD" w14:textId="4B17A0AC" w:rsidR="008A7115" w:rsidRDefault="008A7115" w:rsidP="008A7115">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D5EE6A" w14:textId="799C8CAF" w:rsidR="008A7115" w:rsidRDefault="008A7115" w:rsidP="008A7115">
            <w:pPr>
              <w:spacing w:after="0"/>
              <w:rPr>
                <w:rFonts w:cs="Calibri"/>
              </w:rPr>
            </w:pPr>
            <w:r>
              <w:rPr>
                <w:rFonts w:cs="Calibri"/>
              </w:rPr>
              <w:t>Caserta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285F27" w14:textId="4E378443" w:rsidR="008A7115" w:rsidRDefault="008A7115" w:rsidP="008A7115">
            <w:pPr>
              <w:spacing w:after="0"/>
              <w:jc w:val="center"/>
              <w:rPr>
                <w:rFonts w:cs="Calibri"/>
              </w:rPr>
            </w:pPr>
            <w:r>
              <w:rPr>
                <w:rFonts w:cs="Calibri"/>
              </w:rPr>
              <w:t xml:space="preserve">              36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1D744BE" w14:textId="3D4C6B98" w:rsidR="008A7115" w:rsidRPr="008A7115" w:rsidRDefault="008A7115" w:rsidP="008A7115">
            <w:pPr>
              <w:spacing w:after="0"/>
              <w:jc w:val="center"/>
              <w:rPr>
                <w:rFonts w:cs="Calibri"/>
                <w:color w:val="9C0006"/>
              </w:rPr>
            </w:pPr>
            <w:r w:rsidRPr="008A7115">
              <w:rPr>
                <w:rFonts w:cs="Calibri"/>
                <w:color w:val="9C0006"/>
              </w:rPr>
              <w:t>23,8%</w:t>
            </w:r>
          </w:p>
        </w:tc>
      </w:tr>
      <w:tr w:rsidR="008A7115" w:rsidRPr="00CF5B4E" w14:paraId="6DF875E0"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827B" w14:textId="226CAB0B" w:rsidR="008A7115" w:rsidRDefault="008A7115" w:rsidP="008A7115">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0A9F39" w14:textId="6C832D6C" w:rsidR="008A7115" w:rsidRDefault="008A7115" w:rsidP="008A7115">
            <w:pPr>
              <w:spacing w:after="0"/>
              <w:rPr>
                <w:rFonts w:cs="Calibri"/>
              </w:rPr>
            </w:pPr>
            <w:r>
              <w:rPr>
                <w:rFonts w:cs="Calibri"/>
              </w:rPr>
              <w:t>Napoli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8B0ED3" w14:textId="63FDCFA4" w:rsidR="008A7115" w:rsidRDefault="008A7115" w:rsidP="008A7115">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C46236" w14:textId="5FD7C2AC" w:rsidR="008A7115" w:rsidRPr="00CF076F" w:rsidRDefault="008A7115" w:rsidP="008A7115">
            <w:pPr>
              <w:spacing w:after="0"/>
              <w:jc w:val="center"/>
              <w:rPr>
                <w:rFonts w:cs="Calibri"/>
                <w:color w:val="006100"/>
              </w:rPr>
            </w:pPr>
            <w:r w:rsidRPr="008A7115">
              <w:rPr>
                <w:rFonts w:cs="Calibri"/>
                <w:color w:val="006100"/>
              </w:rPr>
              <w:t>-9,4%</w:t>
            </w:r>
          </w:p>
        </w:tc>
      </w:tr>
      <w:tr w:rsidR="008A7115" w:rsidRPr="00CF5B4E" w14:paraId="333BA16F"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CEFE6B" w14:textId="7FDB4D48"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034C60" w14:textId="38A0F3B9" w:rsidR="008A7115" w:rsidRDefault="008A7115" w:rsidP="008A7115">
            <w:pPr>
              <w:spacing w:after="0"/>
              <w:rPr>
                <w:rFonts w:cs="Calibri"/>
              </w:rPr>
            </w:pPr>
            <w:r>
              <w:rPr>
                <w:rFonts w:cs="Calibri"/>
              </w:rPr>
              <w:t>Ravenna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95E24E" w14:textId="124793DC" w:rsidR="008A7115" w:rsidRDefault="008A7115" w:rsidP="008A7115">
            <w:pPr>
              <w:spacing w:after="0"/>
              <w:jc w:val="center"/>
              <w:rPr>
                <w:rFonts w:cs="Calibri"/>
              </w:rPr>
            </w:pPr>
            <w:r>
              <w:rPr>
                <w:rFonts w:cs="Calibri"/>
              </w:rPr>
              <w:t xml:space="preserve">              49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117A5AC" w14:textId="1F5615AC" w:rsidR="008A7115" w:rsidRPr="008A7115" w:rsidRDefault="008A7115" w:rsidP="008A7115">
            <w:pPr>
              <w:spacing w:after="0"/>
              <w:jc w:val="center"/>
              <w:rPr>
                <w:rFonts w:cs="Calibri"/>
                <w:color w:val="9C0006"/>
              </w:rPr>
            </w:pPr>
            <w:r w:rsidRPr="008A7115">
              <w:rPr>
                <w:rFonts w:cs="Calibri"/>
                <w:color w:val="9C0006"/>
              </w:rPr>
              <w:t>51,2%</w:t>
            </w:r>
          </w:p>
        </w:tc>
      </w:tr>
      <w:tr w:rsidR="008A7115" w:rsidRPr="00CF5B4E" w14:paraId="3EC85278"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ACF32C" w14:textId="01923D09"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F99C47" w14:textId="38EFA8B1" w:rsidR="008A7115" w:rsidRDefault="008A7115" w:rsidP="008A7115">
            <w:pPr>
              <w:spacing w:after="0"/>
              <w:rPr>
                <w:rFonts w:cs="Calibri"/>
              </w:rPr>
            </w:pPr>
            <w:r>
              <w:rPr>
                <w:rFonts w:cs="Calibri"/>
              </w:rPr>
              <w:t>Forlì-Cesena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ED1999" w14:textId="4C51790F" w:rsidR="008A7115" w:rsidRDefault="008A7115" w:rsidP="008A7115">
            <w:pPr>
              <w:spacing w:after="0"/>
              <w:jc w:val="center"/>
              <w:rPr>
                <w:rFonts w:cs="Calibri"/>
              </w:rPr>
            </w:pPr>
            <w:r>
              <w:rPr>
                <w:rFonts w:cs="Calibri"/>
              </w:rPr>
              <w:t xml:space="preserve">              43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EFBD934" w14:textId="08182D3B" w:rsidR="008A7115" w:rsidRPr="008A7115" w:rsidRDefault="008A7115" w:rsidP="008A7115">
            <w:pPr>
              <w:spacing w:after="0"/>
              <w:jc w:val="center"/>
              <w:rPr>
                <w:rFonts w:cs="Calibri"/>
                <w:color w:val="9C0006"/>
              </w:rPr>
            </w:pPr>
            <w:r w:rsidRPr="008A7115">
              <w:rPr>
                <w:rFonts w:cs="Calibri"/>
                <w:color w:val="9C0006"/>
              </w:rPr>
              <w:t>0,6%</w:t>
            </w:r>
          </w:p>
        </w:tc>
      </w:tr>
      <w:tr w:rsidR="008A7115" w:rsidRPr="00CF5B4E" w14:paraId="3D230827"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109060" w14:textId="695D4E37"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7F70FD" w14:textId="64008CF9" w:rsidR="008A7115" w:rsidRDefault="008A7115" w:rsidP="008A7115">
            <w:pPr>
              <w:spacing w:after="0"/>
              <w:rPr>
                <w:rFonts w:cs="Calibri"/>
              </w:rPr>
            </w:pPr>
            <w:r>
              <w:rPr>
                <w:rFonts w:cs="Calibri"/>
              </w:rPr>
              <w:t>Ferrara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1E8A02" w14:textId="5284B32C" w:rsidR="008A7115" w:rsidRDefault="008A7115" w:rsidP="008A7115">
            <w:pPr>
              <w:spacing w:after="0"/>
              <w:jc w:val="center"/>
              <w:rPr>
                <w:rFonts w:cs="Calibri"/>
              </w:rPr>
            </w:pPr>
            <w:r>
              <w:rPr>
                <w:rFonts w:cs="Calibri"/>
              </w:rPr>
              <w:t xml:space="preserve">              43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6A11804" w14:textId="23824684" w:rsidR="008A7115" w:rsidRPr="008A7115" w:rsidRDefault="008A7115" w:rsidP="008A7115">
            <w:pPr>
              <w:spacing w:after="0"/>
              <w:jc w:val="center"/>
              <w:rPr>
                <w:rFonts w:cs="Calibri"/>
                <w:color w:val="006100"/>
              </w:rPr>
            </w:pPr>
            <w:r w:rsidRPr="008A7115">
              <w:rPr>
                <w:rFonts w:cs="Calibri"/>
                <w:color w:val="006100"/>
              </w:rPr>
              <w:t>-18,3%</w:t>
            </w:r>
          </w:p>
        </w:tc>
      </w:tr>
      <w:tr w:rsidR="008A7115" w:rsidRPr="00CF5B4E" w14:paraId="1F578A52"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C8A93" w14:textId="13EBD290"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5CEB0B" w14:textId="7B5A6D08" w:rsidR="008A7115" w:rsidRDefault="008A7115" w:rsidP="008A7115">
            <w:pPr>
              <w:spacing w:after="0"/>
              <w:rPr>
                <w:rFonts w:cs="Calibri"/>
              </w:rPr>
            </w:pPr>
            <w:r>
              <w:rPr>
                <w:rFonts w:cs="Calibri"/>
              </w:rPr>
              <w:t>Bologna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B1BCF8" w14:textId="7980A8B6" w:rsidR="008A7115" w:rsidRDefault="008A7115" w:rsidP="008A7115">
            <w:pPr>
              <w:spacing w:after="0"/>
              <w:jc w:val="center"/>
              <w:rPr>
                <w:rFonts w:cs="Calibri"/>
              </w:rPr>
            </w:pPr>
            <w:r>
              <w:rPr>
                <w:rFonts w:cs="Calibri"/>
              </w:rPr>
              <w:t xml:space="preserve">              43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AB43DF" w14:textId="2A253467" w:rsidR="008A7115" w:rsidRPr="008A7115" w:rsidRDefault="008A7115" w:rsidP="008A7115">
            <w:pPr>
              <w:spacing w:after="0"/>
              <w:jc w:val="center"/>
              <w:rPr>
                <w:rFonts w:cs="Calibri"/>
                <w:color w:val="006100"/>
              </w:rPr>
            </w:pPr>
            <w:r w:rsidRPr="008A7115">
              <w:rPr>
                <w:rFonts w:cs="Calibri"/>
                <w:color w:val="006100"/>
              </w:rPr>
              <w:t>-18,0%</w:t>
            </w:r>
          </w:p>
        </w:tc>
      </w:tr>
      <w:tr w:rsidR="008A7115" w:rsidRPr="00CF5B4E" w14:paraId="40E4979C"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622A20" w14:textId="7D7A606F"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F7129F" w14:textId="5AE5EFC5" w:rsidR="008A7115" w:rsidRDefault="008A7115" w:rsidP="008A7115">
            <w:pPr>
              <w:spacing w:after="0"/>
              <w:rPr>
                <w:rFonts w:cs="Calibri"/>
              </w:rPr>
            </w:pPr>
            <w:r>
              <w:rPr>
                <w:rFonts w:cs="Calibri"/>
              </w:rPr>
              <w:t>Piacenza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92477D" w14:textId="34DE6E39" w:rsidR="008A7115" w:rsidRDefault="008A7115" w:rsidP="008A7115">
            <w:pPr>
              <w:spacing w:after="0"/>
              <w:jc w:val="center"/>
              <w:rPr>
                <w:rFonts w:cs="Calibri"/>
              </w:rPr>
            </w:pPr>
            <w:r>
              <w:rPr>
                <w:rFonts w:cs="Calibri"/>
              </w:rPr>
              <w:t xml:space="preserve">              38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FCD4533" w14:textId="66974CB3" w:rsidR="008A7115" w:rsidRPr="008A7115" w:rsidRDefault="008A7115" w:rsidP="008A7115">
            <w:pPr>
              <w:spacing w:after="0"/>
              <w:jc w:val="center"/>
              <w:rPr>
                <w:rFonts w:cs="Calibri"/>
                <w:color w:val="9C0006"/>
              </w:rPr>
            </w:pPr>
            <w:r w:rsidRPr="008A7115">
              <w:rPr>
                <w:rFonts w:cs="Calibri"/>
                <w:color w:val="9C0006"/>
              </w:rPr>
              <w:t>1,9%</w:t>
            </w:r>
          </w:p>
        </w:tc>
      </w:tr>
      <w:tr w:rsidR="008A7115" w:rsidRPr="00CF5B4E" w14:paraId="361276BD"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990C99" w14:textId="51F787F2"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8503A7" w14:textId="1BA64B04" w:rsidR="008A7115" w:rsidRDefault="008A7115" w:rsidP="008A7115">
            <w:pPr>
              <w:spacing w:after="0"/>
              <w:rPr>
                <w:rFonts w:cs="Calibri"/>
              </w:rPr>
            </w:pPr>
            <w:r>
              <w:rPr>
                <w:rFonts w:cs="Calibri"/>
              </w:rPr>
              <w:t>Rimini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E9EEBE" w14:textId="5C8FA957" w:rsidR="008A7115" w:rsidRDefault="008A7115" w:rsidP="008A7115">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478B707" w14:textId="22688551" w:rsidR="008A7115" w:rsidRPr="008A7115" w:rsidRDefault="008A7115" w:rsidP="008A7115">
            <w:pPr>
              <w:spacing w:after="0"/>
              <w:jc w:val="center"/>
              <w:rPr>
                <w:rFonts w:cs="Calibri"/>
                <w:color w:val="9C0006"/>
              </w:rPr>
            </w:pPr>
            <w:r w:rsidRPr="008A7115">
              <w:rPr>
                <w:rFonts w:cs="Calibri"/>
                <w:color w:val="9C0006"/>
              </w:rPr>
              <w:t>13,5%</w:t>
            </w:r>
          </w:p>
        </w:tc>
      </w:tr>
      <w:tr w:rsidR="008A7115" w:rsidRPr="00CF5B4E" w14:paraId="74E564D8"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61F969" w14:textId="0DE6E753"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AA3FA9" w14:textId="6A352952" w:rsidR="008A7115" w:rsidRDefault="008A7115" w:rsidP="008A7115">
            <w:pPr>
              <w:spacing w:after="0"/>
              <w:rPr>
                <w:rFonts w:cs="Calibri"/>
              </w:rPr>
            </w:pPr>
            <w:r>
              <w:rPr>
                <w:rFonts w:cs="Calibri"/>
              </w:rPr>
              <w:t>Parma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58FC74" w14:textId="6DFB5ACA" w:rsidR="008A7115" w:rsidRDefault="008A7115" w:rsidP="008A7115">
            <w:pPr>
              <w:spacing w:after="0"/>
              <w:jc w:val="center"/>
              <w:rPr>
                <w:rFonts w:cs="Calibri"/>
              </w:rPr>
            </w:pPr>
            <w:r>
              <w:rPr>
                <w:rFonts w:cs="Calibri"/>
              </w:rPr>
              <w:t xml:space="preserve">              34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8D9C19D" w14:textId="742AB22C" w:rsidR="008A7115" w:rsidRPr="009E2B37" w:rsidRDefault="008A7115" w:rsidP="008A7115">
            <w:pPr>
              <w:spacing w:after="0"/>
              <w:jc w:val="center"/>
              <w:rPr>
                <w:rFonts w:cs="Calibri"/>
                <w:color w:val="006100"/>
              </w:rPr>
            </w:pPr>
            <w:r w:rsidRPr="008A7115">
              <w:rPr>
                <w:rFonts w:cs="Calibri"/>
                <w:color w:val="006100"/>
              </w:rPr>
              <w:t>-22,2%</w:t>
            </w:r>
          </w:p>
        </w:tc>
      </w:tr>
      <w:tr w:rsidR="008A7115" w:rsidRPr="00CF5B4E" w14:paraId="171C725F"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5AB73E" w14:textId="61BDA840"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349A44" w14:textId="64B43915" w:rsidR="008A7115" w:rsidRDefault="008A7115" w:rsidP="008A7115">
            <w:pPr>
              <w:spacing w:after="0"/>
              <w:rPr>
                <w:rFonts w:cs="Calibri"/>
              </w:rPr>
            </w:pPr>
            <w:r>
              <w:rPr>
                <w:rFonts w:cs="Calibri"/>
              </w:rPr>
              <w:t>Reggio nell'Emilia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0F0D40" w14:textId="78FBF321" w:rsidR="008A7115" w:rsidRDefault="008A7115" w:rsidP="008A7115">
            <w:pPr>
              <w:spacing w:after="0"/>
              <w:jc w:val="center"/>
              <w:rPr>
                <w:rFonts w:cs="Calibri"/>
              </w:rPr>
            </w:pPr>
            <w:r>
              <w:rPr>
                <w:rFonts w:cs="Calibri"/>
              </w:rPr>
              <w:t xml:space="preserve">              30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B7C357A" w14:textId="67846122" w:rsidR="008A7115" w:rsidRPr="008A7115" w:rsidRDefault="008A7115" w:rsidP="008A7115">
            <w:pPr>
              <w:spacing w:after="0"/>
              <w:jc w:val="center"/>
              <w:rPr>
                <w:rFonts w:cs="Calibri"/>
                <w:color w:val="9C0006"/>
              </w:rPr>
            </w:pPr>
            <w:r w:rsidRPr="008A7115">
              <w:rPr>
                <w:rFonts w:cs="Calibri"/>
                <w:color w:val="9C0006"/>
              </w:rPr>
              <w:t>17,8%</w:t>
            </w:r>
          </w:p>
        </w:tc>
      </w:tr>
      <w:tr w:rsidR="008A7115" w:rsidRPr="00CF5B4E" w14:paraId="60AC9AB5"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5C7377" w14:textId="7DE9A742" w:rsidR="008A7115" w:rsidRDefault="008A7115" w:rsidP="008A7115">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C6649D" w14:textId="501DD0E3" w:rsidR="008A7115" w:rsidRDefault="008A7115" w:rsidP="008A7115">
            <w:pPr>
              <w:spacing w:after="0"/>
              <w:rPr>
                <w:rFonts w:cs="Calibri"/>
              </w:rPr>
            </w:pPr>
            <w:r>
              <w:rPr>
                <w:rFonts w:cs="Calibri"/>
              </w:rPr>
              <w:t>Modena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0EA059" w14:textId="08A9E7EB" w:rsidR="008A7115" w:rsidRDefault="008A7115" w:rsidP="008A7115">
            <w:pPr>
              <w:spacing w:after="0"/>
              <w:jc w:val="center"/>
              <w:rPr>
                <w:rFonts w:cs="Calibri"/>
              </w:rPr>
            </w:pPr>
            <w:r>
              <w:rPr>
                <w:rFonts w:cs="Calibri"/>
              </w:rPr>
              <w:t xml:space="preserve">              29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42A2A7C" w14:textId="2F6ACA2F" w:rsidR="008A7115" w:rsidRPr="008A7115" w:rsidRDefault="008A7115" w:rsidP="008A7115">
            <w:pPr>
              <w:spacing w:after="0"/>
              <w:jc w:val="center"/>
              <w:rPr>
                <w:rFonts w:cs="Calibri"/>
                <w:color w:val="9C0006"/>
              </w:rPr>
            </w:pPr>
            <w:r w:rsidRPr="008A7115">
              <w:rPr>
                <w:rFonts w:cs="Calibri"/>
                <w:color w:val="9C0006"/>
              </w:rPr>
              <w:t>6,2%</w:t>
            </w:r>
          </w:p>
        </w:tc>
      </w:tr>
      <w:tr w:rsidR="008A7115" w:rsidRPr="00CF5B4E" w14:paraId="562F0ED9"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B7EC6A" w14:textId="2CCF1598" w:rsidR="008A7115" w:rsidRDefault="008A7115" w:rsidP="008A7115">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F59678" w14:textId="7D668676" w:rsidR="008A7115" w:rsidRDefault="008A7115" w:rsidP="008A7115">
            <w:pPr>
              <w:spacing w:after="0"/>
              <w:rPr>
                <w:rFonts w:cs="Calibri"/>
              </w:rPr>
            </w:pPr>
            <w:r>
              <w:rPr>
                <w:rFonts w:cs="Calibri"/>
              </w:rPr>
              <w:t>Trieste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9A4C04" w14:textId="244E8545" w:rsidR="008A7115" w:rsidRDefault="008A7115" w:rsidP="008A7115">
            <w:pPr>
              <w:spacing w:after="0"/>
              <w:jc w:val="center"/>
              <w:rPr>
                <w:rFonts w:cs="Calibri"/>
              </w:rPr>
            </w:pPr>
            <w:r>
              <w:rPr>
                <w:rFonts w:cs="Calibri"/>
              </w:rPr>
              <w:t xml:space="preserve">              62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46307CD" w14:textId="15C1F36B" w:rsidR="008A7115" w:rsidRPr="008A7115" w:rsidRDefault="008A7115" w:rsidP="008A7115">
            <w:pPr>
              <w:spacing w:after="0"/>
              <w:jc w:val="center"/>
              <w:rPr>
                <w:rFonts w:cs="Calibri"/>
                <w:color w:val="9C0006"/>
              </w:rPr>
            </w:pPr>
            <w:r w:rsidRPr="008A7115">
              <w:rPr>
                <w:rFonts w:cs="Calibri"/>
                <w:color w:val="9C0006"/>
              </w:rPr>
              <w:t>28,6%</w:t>
            </w:r>
          </w:p>
        </w:tc>
      </w:tr>
      <w:tr w:rsidR="008A7115" w:rsidRPr="00CF5B4E" w14:paraId="67C8671F"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990B1" w14:textId="4ADC421B" w:rsidR="008A7115" w:rsidRDefault="008A7115" w:rsidP="008A7115">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510CBCB" w14:textId="17324F7A" w:rsidR="008A7115" w:rsidRDefault="008A7115" w:rsidP="008A7115">
            <w:pPr>
              <w:spacing w:after="0"/>
              <w:rPr>
                <w:rFonts w:cs="Calibri"/>
              </w:rPr>
            </w:pPr>
            <w:r>
              <w:rPr>
                <w:rFonts w:cs="Calibri"/>
              </w:rPr>
              <w:t>Udine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66D707" w14:textId="599024A5" w:rsidR="008A7115" w:rsidRDefault="008A7115" w:rsidP="008A7115">
            <w:pPr>
              <w:spacing w:after="0"/>
              <w:jc w:val="center"/>
              <w:rPr>
                <w:rFonts w:cs="Calibri"/>
              </w:rPr>
            </w:pPr>
            <w:r>
              <w:rPr>
                <w:rFonts w:cs="Calibri"/>
              </w:rPr>
              <w:t xml:space="preserve">              49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4540ECB" w14:textId="2474C2F1" w:rsidR="008A7115" w:rsidRPr="008A7115" w:rsidRDefault="008A7115" w:rsidP="008A7115">
            <w:pPr>
              <w:spacing w:after="0"/>
              <w:jc w:val="center"/>
              <w:rPr>
                <w:rFonts w:cs="Calibri"/>
                <w:color w:val="9C0006"/>
              </w:rPr>
            </w:pPr>
            <w:r w:rsidRPr="008A7115">
              <w:rPr>
                <w:rFonts w:cs="Calibri"/>
                <w:color w:val="9C0006"/>
              </w:rPr>
              <w:t>6,3%</w:t>
            </w:r>
          </w:p>
        </w:tc>
      </w:tr>
      <w:tr w:rsidR="008A7115" w:rsidRPr="00CF5B4E" w14:paraId="78932676"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290740" w14:textId="4CF80EBB" w:rsidR="008A7115" w:rsidRDefault="008A7115" w:rsidP="008A7115">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7E6CF" w14:textId="0CF74173" w:rsidR="008A7115" w:rsidRDefault="008A7115" w:rsidP="008A7115">
            <w:pPr>
              <w:spacing w:after="0"/>
              <w:rPr>
                <w:rFonts w:cs="Calibri"/>
              </w:rPr>
            </w:pPr>
            <w:r>
              <w:rPr>
                <w:rFonts w:cs="Calibri"/>
              </w:rPr>
              <w:t>Gorizia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2E74C1" w14:textId="2094D402" w:rsidR="008A7115" w:rsidRDefault="008A7115" w:rsidP="008A7115">
            <w:pPr>
              <w:spacing w:after="0"/>
              <w:jc w:val="center"/>
              <w:rPr>
                <w:rFonts w:cs="Calibri"/>
              </w:rPr>
            </w:pPr>
            <w:r>
              <w:rPr>
                <w:rFonts w:cs="Calibri"/>
              </w:rPr>
              <w:t xml:space="preserve">              45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241FCFC" w14:textId="01EC255F" w:rsidR="008A7115" w:rsidRPr="008A7115" w:rsidRDefault="008A7115" w:rsidP="008A7115">
            <w:pPr>
              <w:spacing w:after="0"/>
              <w:jc w:val="center"/>
              <w:rPr>
                <w:rFonts w:cs="Calibri"/>
                <w:color w:val="9C0006"/>
              </w:rPr>
            </w:pPr>
            <w:r w:rsidRPr="008A7115">
              <w:rPr>
                <w:rFonts w:cs="Calibri"/>
                <w:color w:val="9C0006"/>
              </w:rPr>
              <w:t>17,0%</w:t>
            </w:r>
          </w:p>
        </w:tc>
      </w:tr>
      <w:tr w:rsidR="008A7115" w:rsidRPr="00CF5B4E" w14:paraId="50001882"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3771AE" w14:textId="68D09457" w:rsidR="008A7115" w:rsidRDefault="008A7115" w:rsidP="008A7115">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1100F2" w14:textId="0389CC33" w:rsidR="008A7115" w:rsidRDefault="008A7115" w:rsidP="008A7115">
            <w:pPr>
              <w:spacing w:after="0"/>
              <w:rPr>
                <w:rFonts w:cs="Calibri"/>
              </w:rPr>
            </w:pPr>
            <w:r>
              <w:rPr>
                <w:rFonts w:cs="Calibri"/>
              </w:rPr>
              <w:t>Pordenone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5E0A7F" w14:textId="2A825C3D" w:rsidR="008A7115" w:rsidRDefault="008A7115" w:rsidP="008A7115">
            <w:pPr>
              <w:spacing w:after="0"/>
              <w:jc w:val="center"/>
              <w:rPr>
                <w:rFonts w:cs="Calibri"/>
              </w:rPr>
            </w:pPr>
            <w:r>
              <w:rPr>
                <w:rFonts w:cs="Calibri"/>
              </w:rPr>
              <w:t xml:space="preserve">              42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7C58805" w14:textId="76804521" w:rsidR="008A7115" w:rsidRPr="008A7115" w:rsidRDefault="008A7115" w:rsidP="008A7115">
            <w:pPr>
              <w:spacing w:after="0"/>
              <w:jc w:val="center"/>
              <w:rPr>
                <w:rFonts w:cs="Calibri"/>
                <w:color w:val="9C0006"/>
              </w:rPr>
            </w:pPr>
            <w:r w:rsidRPr="008A7115">
              <w:rPr>
                <w:rFonts w:cs="Calibri"/>
                <w:color w:val="9C0006"/>
              </w:rPr>
              <w:t>14,9%</w:t>
            </w:r>
          </w:p>
        </w:tc>
      </w:tr>
      <w:tr w:rsidR="008A7115" w:rsidRPr="00CF5B4E" w14:paraId="789A93FF"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B91443" w14:textId="503E0260" w:rsidR="008A7115" w:rsidRDefault="008A7115" w:rsidP="008A7115">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4B0A70" w14:textId="475AA26B" w:rsidR="008A7115" w:rsidRDefault="008A7115" w:rsidP="008A7115">
            <w:pPr>
              <w:spacing w:after="0"/>
              <w:rPr>
                <w:rFonts w:cs="Calibri"/>
              </w:rPr>
            </w:pPr>
            <w:r>
              <w:rPr>
                <w:rFonts w:cs="Calibri"/>
              </w:rPr>
              <w:t>Roma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DC11BA" w14:textId="09BC3D66" w:rsidR="008A7115" w:rsidRDefault="008A7115" w:rsidP="008A7115">
            <w:pPr>
              <w:spacing w:after="0"/>
              <w:jc w:val="center"/>
              <w:rPr>
                <w:rFonts w:cs="Calibri"/>
              </w:rPr>
            </w:pPr>
            <w:r>
              <w:rPr>
                <w:rFonts w:cs="Calibri"/>
              </w:rPr>
              <w:t xml:space="preserve">              65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FA0D866" w14:textId="3E041302" w:rsidR="008A7115" w:rsidRPr="009E2B37" w:rsidRDefault="008A7115" w:rsidP="008A7115">
            <w:pPr>
              <w:spacing w:after="0"/>
              <w:jc w:val="center"/>
              <w:rPr>
                <w:rFonts w:cs="Calibri"/>
                <w:color w:val="006100"/>
              </w:rPr>
            </w:pPr>
            <w:r w:rsidRPr="008A7115">
              <w:rPr>
                <w:rFonts w:cs="Calibri"/>
                <w:color w:val="006100"/>
              </w:rPr>
              <w:t>-11,1%</w:t>
            </w:r>
          </w:p>
        </w:tc>
      </w:tr>
      <w:tr w:rsidR="008A7115" w:rsidRPr="00CF5B4E" w14:paraId="7CBC1C05"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CA0C3" w14:textId="41AD9206" w:rsidR="008A7115" w:rsidRDefault="008A7115" w:rsidP="008A7115">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202DE3" w14:textId="1AD51390" w:rsidR="008A7115" w:rsidRDefault="008A7115" w:rsidP="008A7115">
            <w:pPr>
              <w:spacing w:after="0"/>
              <w:rPr>
                <w:rFonts w:cs="Calibri"/>
              </w:rPr>
            </w:pPr>
            <w:r>
              <w:rPr>
                <w:rFonts w:cs="Calibri"/>
              </w:rPr>
              <w:t>Rieti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8D1729" w14:textId="1E19636A" w:rsidR="008A7115" w:rsidRDefault="008A7115" w:rsidP="008A7115">
            <w:pPr>
              <w:spacing w:after="0"/>
              <w:jc w:val="center"/>
              <w:rPr>
                <w:rFonts w:cs="Calibri"/>
              </w:rPr>
            </w:pPr>
            <w:r>
              <w:rPr>
                <w:rFonts w:cs="Calibri"/>
              </w:rPr>
              <w:t xml:space="preserve">              63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CBE547E" w14:textId="7202D6D5" w:rsidR="008A7115" w:rsidRPr="008A7115" w:rsidRDefault="008A7115" w:rsidP="008A7115">
            <w:pPr>
              <w:spacing w:after="0"/>
              <w:jc w:val="center"/>
              <w:rPr>
                <w:rFonts w:cs="Calibri"/>
                <w:color w:val="9C0006"/>
              </w:rPr>
            </w:pPr>
            <w:r w:rsidRPr="008A7115">
              <w:rPr>
                <w:rFonts w:cs="Calibri"/>
                <w:color w:val="9C0006"/>
              </w:rPr>
              <w:t>13,1%</w:t>
            </w:r>
          </w:p>
        </w:tc>
      </w:tr>
      <w:tr w:rsidR="008A7115" w:rsidRPr="00CF5B4E" w14:paraId="5D9E50FF"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8BD923" w14:textId="6BFBC5F5" w:rsidR="008A7115" w:rsidRDefault="008A7115" w:rsidP="008A7115">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15EE28" w14:textId="01F1250E" w:rsidR="008A7115" w:rsidRDefault="008A7115" w:rsidP="008A7115">
            <w:pPr>
              <w:spacing w:after="0"/>
              <w:rPr>
                <w:rFonts w:cs="Calibri"/>
              </w:rPr>
            </w:pPr>
            <w:r>
              <w:rPr>
                <w:rFonts w:cs="Calibri"/>
              </w:rPr>
              <w:t>Frosinone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5E313A" w14:textId="4CC1DFDB" w:rsidR="008A7115" w:rsidRDefault="008A7115" w:rsidP="008A7115">
            <w:pPr>
              <w:spacing w:after="0"/>
              <w:jc w:val="center"/>
              <w:rPr>
                <w:rFonts w:cs="Calibri"/>
              </w:rPr>
            </w:pPr>
            <w:r>
              <w:rPr>
                <w:rFonts w:cs="Calibri"/>
              </w:rPr>
              <w:t xml:space="preserve">              54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93367E" w14:textId="090D0F70" w:rsidR="008A7115" w:rsidRPr="008A7115" w:rsidRDefault="008A7115" w:rsidP="008A7115">
            <w:pPr>
              <w:spacing w:after="0"/>
              <w:jc w:val="center"/>
              <w:rPr>
                <w:rFonts w:cs="Calibri"/>
                <w:color w:val="9C0006"/>
              </w:rPr>
            </w:pPr>
            <w:r w:rsidRPr="008A7115">
              <w:rPr>
                <w:rFonts w:cs="Calibri"/>
                <w:color w:val="9C0006"/>
              </w:rPr>
              <w:t>2,8%</w:t>
            </w:r>
          </w:p>
        </w:tc>
      </w:tr>
      <w:tr w:rsidR="008A7115" w:rsidRPr="00CF5B4E" w14:paraId="128A291D"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961C95" w14:textId="4506759F" w:rsidR="008A7115" w:rsidRDefault="008A7115" w:rsidP="008A7115">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D340B8" w14:textId="28F3EE80" w:rsidR="008A7115" w:rsidRDefault="008A7115" w:rsidP="008A7115">
            <w:pPr>
              <w:spacing w:after="0"/>
              <w:rPr>
                <w:rFonts w:cs="Calibri"/>
              </w:rPr>
            </w:pPr>
            <w:r>
              <w:rPr>
                <w:rFonts w:cs="Calibri"/>
              </w:rPr>
              <w:t>Latina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669C5A" w14:textId="0545B702" w:rsidR="008A7115" w:rsidRDefault="008A7115" w:rsidP="008A7115">
            <w:pPr>
              <w:spacing w:after="0"/>
              <w:jc w:val="center"/>
              <w:rPr>
                <w:rFonts w:cs="Calibri"/>
              </w:rPr>
            </w:pPr>
            <w:r>
              <w:rPr>
                <w:rFonts w:cs="Calibri"/>
              </w:rPr>
              <w:t xml:space="preserve">              46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488E371" w14:textId="01D9093D" w:rsidR="008A7115" w:rsidRPr="008A7115" w:rsidRDefault="008A7115" w:rsidP="008A7115">
            <w:pPr>
              <w:spacing w:after="0"/>
              <w:jc w:val="center"/>
              <w:rPr>
                <w:rFonts w:cs="Calibri"/>
                <w:color w:val="9C0006"/>
              </w:rPr>
            </w:pPr>
            <w:r w:rsidRPr="008A7115">
              <w:rPr>
                <w:rFonts w:cs="Calibri"/>
                <w:color w:val="9C0006"/>
              </w:rPr>
              <w:t>5,2%</w:t>
            </w:r>
          </w:p>
        </w:tc>
      </w:tr>
      <w:tr w:rsidR="008A7115" w:rsidRPr="00CF5B4E" w14:paraId="65CD1786"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5806D0" w14:textId="165BE745" w:rsidR="008A7115" w:rsidRDefault="008A7115" w:rsidP="008A7115">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0A4C21" w14:textId="220840A2" w:rsidR="008A7115" w:rsidRDefault="008A7115" w:rsidP="008A7115">
            <w:pPr>
              <w:spacing w:after="0"/>
              <w:rPr>
                <w:rFonts w:cs="Calibri"/>
              </w:rPr>
            </w:pPr>
            <w:r>
              <w:rPr>
                <w:rFonts w:cs="Calibri"/>
              </w:rPr>
              <w:t>Viterbo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175D6A" w14:textId="043BFBBE" w:rsidR="008A7115" w:rsidRDefault="008A7115" w:rsidP="008A7115">
            <w:pPr>
              <w:spacing w:after="0"/>
              <w:jc w:val="center"/>
              <w:rPr>
                <w:rFonts w:cs="Calibri"/>
              </w:rPr>
            </w:pPr>
            <w:r>
              <w:rPr>
                <w:rFonts w:cs="Calibri"/>
              </w:rPr>
              <w:t xml:space="preserve">              29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26773AA" w14:textId="779C3CCE" w:rsidR="008A7115" w:rsidRPr="008A7115" w:rsidRDefault="008A7115" w:rsidP="008A7115">
            <w:pPr>
              <w:spacing w:after="0"/>
              <w:jc w:val="center"/>
              <w:rPr>
                <w:rFonts w:cs="Calibri"/>
                <w:color w:val="9C0006"/>
              </w:rPr>
            </w:pPr>
            <w:r w:rsidRPr="008A7115">
              <w:rPr>
                <w:rFonts w:cs="Calibri"/>
                <w:color w:val="9C0006"/>
              </w:rPr>
              <w:t>5,9%</w:t>
            </w:r>
          </w:p>
        </w:tc>
      </w:tr>
      <w:tr w:rsidR="008A7115" w:rsidRPr="00CF5B4E" w14:paraId="1063397D"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0C568F" w14:textId="018881F9" w:rsidR="008A7115" w:rsidRDefault="008A7115" w:rsidP="008A7115">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616E7C" w14:textId="21F3311D" w:rsidR="008A7115" w:rsidRDefault="008A7115" w:rsidP="008A7115">
            <w:pPr>
              <w:spacing w:after="0"/>
              <w:rPr>
                <w:rFonts w:cs="Calibri"/>
              </w:rPr>
            </w:pPr>
            <w:r>
              <w:rPr>
                <w:rFonts w:cs="Calibri"/>
              </w:rPr>
              <w:t>Genova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D87047" w14:textId="3C9D7D4F" w:rsidR="008A7115" w:rsidRDefault="008A7115" w:rsidP="008A7115">
            <w:pPr>
              <w:spacing w:after="0"/>
              <w:jc w:val="center"/>
              <w:rPr>
                <w:rFonts w:cs="Calibri"/>
              </w:rPr>
            </w:pPr>
            <w:r>
              <w:rPr>
                <w:rFonts w:cs="Calibri"/>
              </w:rPr>
              <w:t xml:space="preserve">              36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A58167B" w14:textId="3F34BD45" w:rsidR="008A7115" w:rsidRPr="008A7115" w:rsidRDefault="008A7115" w:rsidP="008A7115">
            <w:pPr>
              <w:spacing w:after="0"/>
              <w:jc w:val="center"/>
              <w:rPr>
                <w:rFonts w:cs="Calibri"/>
                <w:color w:val="9C0006"/>
              </w:rPr>
            </w:pPr>
            <w:r w:rsidRPr="008A7115">
              <w:rPr>
                <w:rFonts w:cs="Calibri"/>
                <w:color w:val="9C0006"/>
              </w:rPr>
              <w:t>1,4%</w:t>
            </w:r>
          </w:p>
        </w:tc>
      </w:tr>
      <w:tr w:rsidR="008A7115" w:rsidRPr="00CF5B4E" w14:paraId="30A12D57"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A12ADB" w14:textId="73719BA9" w:rsidR="008A7115" w:rsidRDefault="008A7115" w:rsidP="008A7115">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F5E11C" w14:textId="4F62CC28" w:rsidR="008A7115" w:rsidRDefault="008A7115" w:rsidP="008A7115">
            <w:pPr>
              <w:spacing w:after="0"/>
              <w:rPr>
                <w:rFonts w:cs="Calibri"/>
              </w:rPr>
            </w:pPr>
            <w:r>
              <w:rPr>
                <w:rFonts w:cs="Calibri"/>
              </w:rPr>
              <w:t>La Spezia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C9C8EF" w14:textId="35C756F8" w:rsidR="008A7115" w:rsidRDefault="008A7115" w:rsidP="008A7115">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52E69E5" w14:textId="7697A1F3" w:rsidR="008A7115" w:rsidRPr="008A7115" w:rsidRDefault="008A7115" w:rsidP="008A7115">
            <w:pPr>
              <w:spacing w:after="0"/>
              <w:jc w:val="center"/>
              <w:rPr>
                <w:rFonts w:cs="Calibri"/>
                <w:color w:val="9C0006"/>
              </w:rPr>
            </w:pPr>
            <w:r w:rsidRPr="008A7115">
              <w:rPr>
                <w:rFonts w:cs="Calibri"/>
                <w:color w:val="9C0006"/>
              </w:rPr>
              <w:t>56,8%</w:t>
            </w:r>
          </w:p>
        </w:tc>
      </w:tr>
      <w:tr w:rsidR="008A7115" w:rsidRPr="00CF5B4E" w14:paraId="55F5EABA"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553075" w14:textId="7FE44990" w:rsidR="008A7115" w:rsidRDefault="008A7115" w:rsidP="008A7115">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930C7C8" w14:textId="024C5FFB" w:rsidR="008A7115" w:rsidRDefault="008A7115" w:rsidP="008A7115">
            <w:pPr>
              <w:spacing w:after="0"/>
              <w:rPr>
                <w:rFonts w:cs="Calibri"/>
              </w:rPr>
            </w:pPr>
            <w:r>
              <w:rPr>
                <w:rFonts w:cs="Calibri"/>
              </w:rPr>
              <w:t>Savona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6CFDE0" w14:textId="0355E3DE" w:rsidR="008A7115" w:rsidRDefault="008A7115" w:rsidP="008A7115">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3545963" w14:textId="33A338E4" w:rsidR="008A7115" w:rsidRPr="008A7115" w:rsidRDefault="008A7115" w:rsidP="008A7115">
            <w:pPr>
              <w:spacing w:after="0"/>
              <w:jc w:val="center"/>
              <w:rPr>
                <w:rFonts w:cs="Calibri"/>
                <w:color w:val="9C0006"/>
              </w:rPr>
            </w:pPr>
            <w:r w:rsidRPr="008A7115">
              <w:rPr>
                <w:rFonts w:cs="Calibri"/>
                <w:color w:val="9C0006"/>
              </w:rPr>
              <w:t>4,8%</w:t>
            </w:r>
          </w:p>
        </w:tc>
      </w:tr>
      <w:tr w:rsidR="008A7115" w:rsidRPr="00CF5B4E" w14:paraId="392AEA86"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AD184" w14:textId="46B41BED" w:rsidR="008A7115" w:rsidRDefault="008A7115" w:rsidP="008A7115">
            <w:pPr>
              <w:spacing w:after="0"/>
              <w:rPr>
                <w:rFonts w:cs="Calibri"/>
              </w:rPr>
            </w:pPr>
            <w:r>
              <w:rPr>
                <w:rFonts w:cs="Calibri"/>
              </w:rPr>
              <w:lastRenderedPageBreak/>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848DAB" w14:textId="4A02A3B2" w:rsidR="008A7115" w:rsidRDefault="008A7115" w:rsidP="008A7115">
            <w:pPr>
              <w:spacing w:after="0"/>
              <w:rPr>
                <w:rFonts w:cs="Calibri"/>
              </w:rPr>
            </w:pPr>
            <w:r>
              <w:rPr>
                <w:rFonts w:cs="Calibri"/>
              </w:rPr>
              <w:t>Imperia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3BB55B" w14:textId="01E86E1E" w:rsidR="008A7115" w:rsidRDefault="008A7115" w:rsidP="008A7115">
            <w:pPr>
              <w:spacing w:after="0"/>
              <w:jc w:val="center"/>
              <w:rPr>
                <w:rFonts w:cs="Calibri"/>
              </w:rPr>
            </w:pPr>
            <w:r>
              <w:rPr>
                <w:rFonts w:cs="Calibri"/>
              </w:rPr>
              <w:t xml:space="preserve">              16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A954E6" w14:textId="275E295B" w:rsidR="008A7115" w:rsidRPr="00CF076F" w:rsidRDefault="008A7115" w:rsidP="008A7115">
            <w:pPr>
              <w:spacing w:after="0"/>
              <w:jc w:val="center"/>
              <w:rPr>
                <w:rFonts w:cs="Calibri"/>
                <w:color w:val="006100"/>
              </w:rPr>
            </w:pPr>
            <w:r w:rsidRPr="008A7115">
              <w:rPr>
                <w:rFonts w:cs="Calibri"/>
                <w:color w:val="006100"/>
              </w:rPr>
              <w:t>-31,3%</w:t>
            </w:r>
          </w:p>
        </w:tc>
      </w:tr>
      <w:tr w:rsidR="008A7115" w:rsidRPr="00CF5B4E" w14:paraId="2F056EA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73F0E5" w14:textId="61F179B2"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ED4F59" w14:textId="4E912464" w:rsidR="008A7115" w:rsidRDefault="008A7115" w:rsidP="008A7115">
            <w:pPr>
              <w:spacing w:after="0"/>
              <w:rPr>
                <w:rFonts w:cs="Calibri"/>
              </w:rPr>
            </w:pPr>
            <w:r>
              <w:rPr>
                <w:rFonts w:cs="Calibri"/>
              </w:rPr>
              <w:t>Lodi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09A7C1" w14:textId="4A747A2C" w:rsidR="008A7115" w:rsidRDefault="008A7115" w:rsidP="008A7115">
            <w:pPr>
              <w:spacing w:after="0"/>
              <w:jc w:val="center"/>
              <w:rPr>
                <w:rFonts w:cs="Calibri"/>
              </w:rPr>
            </w:pPr>
            <w:r>
              <w:rPr>
                <w:rFonts w:cs="Calibri"/>
              </w:rPr>
              <w:t xml:space="preserve">              84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C756737" w14:textId="4C1857E1" w:rsidR="008A7115" w:rsidRPr="008A7115" w:rsidRDefault="008A7115" w:rsidP="008A7115">
            <w:pPr>
              <w:spacing w:after="0"/>
              <w:jc w:val="center"/>
              <w:rPr>
                <w:rFonts w:cs="Calibri"/>
                <w:color w:val="9C0006"/>
              </w:rPr>
            </w:pPr>
            <w:r w:rsidRPr="008A7115">
              <w:rPr>
                <w:rFonts w:cs="Calibri"/>
                <w:color w:val="9C0006"/>
              </w:rPr>
              <w:t>76,9%</w:t>
            </w:r>
          </w:p>
        </w:tc>
      </w:tr>
      <w:tr w:rsidR="008A7115" w:rsidRPr="00CF5B4E" w14:paraId="2DC2EEF4"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71D6D0" w14:textId="036F8C83"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4AD438" w14:textId="44545FBA" w:rsidR="008A7115" w:rsidRDefault="008A7115" w:rsidP="008A7115">
            <w:pPr>
              <w:spacing w:after="0"/>
              <w:rPr>
                <w:rFonts w:cs="Calibri"/>
              </w:rPr>
            </w:pPr>
            <w:r>
              <w:rPr>
                <w:rFonts w:cs="Calibri"/>
              </w:rPr>
              <w:t>Lecco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BC6B19" w14:textId="544F6A5F" w:rsidR="008A7115" w:rsidRDefault="008A7115" w:rsidP="008A7115">
            <w:pPr>
              <w:spacing w:after="0"/>
              <w:jc w:val="center"/>
              <w:rPr>
                <w:rFonts w:cs="Calibri"/>
              </w:rPr>
            </w:pPr>
            <w:r>
              <w:rPr>
                <w:rFonts w:cs="Calibri"/>
              </w:rPr>
              <w:t xml:space="preserve">              53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4655036" w14:textId="61561770" w:rsidR="008A7115" w:rsidRPr="008A7115" w:rsidRDefault="008A7115" w:rsidP="008A7115">
            <w:pPr>
              <w:spacing w:after="0"/>
              <w:jc w:val="center"/>
              <w:rPr>
                <w:rFonts w:cs="Calibri"/>
                <w:color w:val="9C0006"/>
              </w:rPr>
            </w:pPr>
            <w:r w:rsidRPr="008A7115">
              <w:rPr>
                <w:rFonts w:cs="Calibri"/>
                <w:color w:val="9C0006"/>
              </w:rPr>
              <w:t>26,6%</w:t>
            </w:r>
          </w:p>
        </w:tc>
      </w:tr>
      <w:tr w:rsidR="008A7115" w:rsidRPr="00CF5B4E" w14:paraId="3AB3F2B6"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55CE20" w14:textId="007B2A99"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D1600B" w14:textId="642C98AD" w:rsidR="008A7115" w:rsidRDefault="008A7115" w:rsidP="008A7115">
            <w:pPr>
              <w:spacing w:after="0"/>
              <w:rPr>
                <w:rFonts w:cs="Calibri"/>
              </w:rPr>
            </w:pPr>
            <w:r>
              <w:rPr>
                <w:rFonts w:cs="Calibri"/>
              </w:rPr>
              <w:t>Pavia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5E453C" w14:textId="35148520" w:rsidR="008A7115" w:rsidRDefault="008A7115" w:rsidP="008A7115">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292F453" w14:textId="1D3C05F0" w:rsidR="008A7115" w:rsidRPr="008A7115" w:rsidRDefault="008A7115" w:rsidP="008A7115">
            <w:pPr>
              <w:spacing w:after="0"/>
              <w:jc w:val="center"/>
              <w:rPr>
                <w:rFonts w:cs="Calibri"/>
                <w:color w:val="9C0006"/>
              </w:rPr>
            </w:pPr>
            <w:r w:rsidRPr="008A7115">
              <w:rPr>
                <w:rFonts w:cs="Calibri"/>
                <w:color w:val="9C0006"/>
              </w:rPr>
              <w:t>53,6%</w:t>
            </w:r>
          </w:p>
        </w:tc>
      </w:tr>
      <w:tr w:rsidR="008A7115" w:rsidRPr="00CF5B4E" w14:paraId="6A87283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7312CD" w14:textId="38C6420B"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A4FE6A" w14:textId="478F0E54" w:rsidR="008A7115" w:rsidRDefault="008A7115" w:rsidP="008A7115">
            <w:pPr>
              <w:spacing w:after="0"/>
              <w:rPr>
                <w:rFonts w:cs="Calibri"/>
              </w:rPr>
            </w:pPr>
            <w:r>
              <w:rPr>
                <w:rFonts w:cs="Calibri"/>
              </w:rPr>
              <w:t>Monza e della Brianza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10E55" w14:textId="76613C98" w:rsidR="008A7115" w:rsidRDefault="008A7115" w:rsidP="008A7115">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24FCD64" w14:textId="43424AE6" w:rsidR="008A7115" w:rsidRPr="008A7115" w:rsidRDefault="008A7115" w:rsidP="008A7115">
            <w:pPr>
              <w:spacing w:after="0"/>
              <w:jc w:val="center"/>
              <w:rPr>
                <w:rFonts w:cs="Calibri"/>
                <w:color w:val="9C0006"/>
              </w:rPr>
            </w:pPr>
            <w:r w:rsidRPr="008A7115">
              <w:rPr>
                <w:rFonts w:cs="Calibri"/>
                <w:color w:val="9C0006"/>
              </w:rPr>
              <w:t>7,2%</w:t>
            </w:r>
          </w:p>
        </w:tc>
      </w:tr>
      <w:tr w:rsidR="008A7115" w:rsidRPr="00CF5B4E" w14:paraId="0545EC78"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1E398A" w14:textId="78004FDA"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925D7E" w14:textId="225C06C5" w:rsidR="008A7115" w:rsidRDefault="008A7115" w:rsidP="008A7115">
            <w:pPr>
              <w:spacing w:after="0"/>
              <w:rPr>
                <w:rFonts w:cs="Calibri"/>
              </w:rPr>
            </w:pPr>
            <w:r>
              <w:rPr>
                <w:rFonts w:cs="Calibri"/>
              </w:rPr>
              <w:t>Milano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197601" w14:textId="2749CBF7" w:rsidR="008A7115" w:rsidRDefault="008A7115" w:rsidP="008A7115">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5D0C5EE" w14:textId="29455C96" w:rsidR="008A7115" w:rsidRPr="008A7115" w:rsidRDefault="008A7115" w:rsidP="008A7115">
            <w:pPr>
              <w:spacing w:after="0"/>
              <w:jc w:val="center"/>
              <w:rPr>
                <w:rFonts w:cs="Calibri"/>
                <w:color w:val="9C0006"/>
              </w:rPr>
            </w:pPr>
            <w:r w:rsidRPr="008A7115">
              <w:rPr>
                <w:rFonts w:cs="Calibri"/>
                <w:color w:val="9C0006"/>
              </w:rPr>
              <w:t>11,2%</w:t>
            </w:r>
          </w:p>
        </w:tc>
      </w:tr>
      <w:tr w:rsidR="008A7115" w:rsidRPr="00CF5B4E" w14:paraId="1C83C948"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8D6320" w14:textId="74A5FB9C"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20B0EB" w14:textId="4257C0C8" w:rsidR="008A7115" w:rsidRDefault="008A7115" w:rsidP="008A7115">
            <w:pPr>
              <w:spacing w:after="0"/>
              <w:rPr>
                <w:rFonts w:cs="Calibri"/>
              </w:rPr>
            </w:pPr>
            <w:r>
              <w:rPr>
                <w:rFonts w:cs="Calibri"/>
              </w:rPr>
              <w:t>Cremona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0F98" w14:textId="73F30A25" w:rsidR="008A7115" w:rsidRDefault="008A7115" w:rsidP="008A7115">
            <w:pPr>
              <w:spacing w:after="0"/>
              <w:jc w:val="center"/>
              <w:rPr>
                <w:rFonts w:cs="Calibri"/>
              </w:rPr>
            </w:pPr>
            <w:r>
              <w:rPr>
                <w:rFonts w:cs="Calibri"/>
              </w:rPr>
              <w:t xml:space="preserve">              47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D32D76" w14:textId="1B6BF626" w:rsidR="008A7115" w:rsidRPr="008A7115" w:rsidRDefault="008A7115" w:rsidP="008A7115">
            <w:pPr>
              <w:spacing w:after="0"/>
              <w:jc w:val="center"/>
              <w:rPr>
                <w:rFonts w:cs="Calibri"/>
                <w:color w:val="006100"/>
              </w:rPr>
            </w:pPr>
            <w:r w:rsidRPr="008A7115">
              <w:rPr>
                <w:rFonts w:cs="Calibri"/>
                <w:color w:val="006100"/>
              </w:rPr>
              <w:t>-12,7%</w:t>
            </w:r>
          </w:p>
        </w:tc>
      </w:tr>
      <w:tr w:rsidR="008A7115" w:rsidRPr="00CF5B4E" w14:paraId="4901A212"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CD9897" w14:textId="72E70A29"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638CA2" w14:textId="07184998" w:rsidR="008A7115" w:rsidRDefault="008A7115" w:rsidP="008A7115">
            <w:pPr>
              <w:spacing w:after="0"/>
              <w:rPr>
                <w:rFonts w:cs="Calibri"/>
              </w:rPr>
            </w:pPr>
            <w:r>
              <w:rPr>
                <w:rFonts w:cs="Calibri"/>
              </w:rPr>
              <w:t>Brescia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16EA09" w14:textId="34E32165" w:rsidR="008A7115" w:rsidRDefault="008A7115" w:rsidP="008A7115">
            <w:pPr>
              <w:spacing w:after="0"/>
              <w:jc w:val="center"/>
              <w:rPr>
                <w:rFonts w:cs="Calibri"/>
              </w:rPr>
            </w:pPr>
            <w:r>
              <w:rPr>
                <w:rFonts w:cs="Calibri"/>
              </w:rPr>
              <w:t xml:space="preserve">              42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01D242E" w14:textId="6D43AC28" w:rsidR="008A7115" w:rsidRPr="008A7115" w:rsidRDefault="008A7115" w:rsidP="008A7115">
            <w:pPr>
              <w:spacing w:after="0"/>
              <w:jc w:val="center"/>
              <w:rPr>
                <w:rFonts w:cs="Calibri"/>
                <w:color w:val="006100"/>
              </w:rPr>
            </w:pPr>
            <w:r w:rsidRPr="008A7115">
              <w:rPr>
                <w:rFonts w:cs="Calibri"/>
                <w:color w:val="006100"/>
              </w:rPr>
              <w:t>-0,6%</w:t>
            </w:r>
          </w:p>
        </w:tc>
      </w:tr>
      <w:tr w:rsidR="008A7115" w:rsidRPr="00CF5B4E" w14:paraId="390E5513"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B37091" w14:textId="56A4F2D5"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F25753" w14:textId="7F40C0CB" w:rsidR="008A7115" w:rsidRDefault="008A7115" w:rsidP="008A7115">
            <w:pPr>
              <w:spacing w:after="0"/>
              <w:rPr>
                <w:rFonts w:cs="Calibri"/>
              </w:rPr>
            </w:pPr>
            <w:r>
              <w:rPr>
                <w:rFonts w:cs="Calibri"/>
              </w:rPr>
              <w:t>Varese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0CCD2B" w14:textId="6105D6C1" w:rsidR="008A7115" w:rsidRDefault="008A7115" w:rsidP="008A7115">
            <w:pPr>
              <w:spacing w:after="0"/>
              <w:jc w:val="center"/>
              <w:rPr>
                <w:rFonts w:cs="Calibri"/>
              </w:rPr>
            </w:pPr>
            <w:r>
              <w:rPr>
                <w:rFonts w:cs="Calibri"/>
              </w:rPr>
              <w:t xml:space="preserve">              40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6279F13" w14:textId="53AD739F" w:rsidR="008A7115" w:rsidRPr="008A7115" w:rsidRDefault="008A7115" w:rsidP="008A7115">
            <w:pPr>
              <w:spacing w:after="0"/>
              <w:jc w:val="center"/>
              <w:rPr>
                <w:rFonts w:cs="Calibri"/>
                <w:color w:val="9C0006"/>
              </w:rPr>
            </w:pPr>
            <w:r w:rsidRPr="008A7115">
              <w:rPr>
                <w:rFonts w:cs="Calibri"/>
                <w:color w:val="9C0006"/>
              </w:rPr>
              <w:t>36,5%</w:t>
            </w:r>
          </w:p>
        </w:tc>
      </w:tr>
      <w:tr w:rsidR="008A7115" w:rsidRPr="00CF5B4E" w14:paraId="78EB9D6C"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E291BC" w14:textId="78BC3849"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FDCD24" w14:textId="0744CDDB" w:rsidR="008A7115" w:rsidRDefault="008A7115" w:rsidP="008A7115">
            <w:pPr>
              <w:spacing w:after="0"/>
              <w:rPr>
                <w:rFonts w:cs="Calibri"/>
              </w:rPr>
            </w:pPr>
            <w:r>
              <w:rPr>
                <w:rFonts w:cs="Calibri"/>
              </w:rPr>
              <w:t>Como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B38AAA" w14:textId="32A76EEE" w:rsidR="008A7115" w:rsidRDefault="008A7115" w:rsidP="008A7115">
            <w:pPr>
              <w:spacing w:after="0"/>
              <w:jc w:val="center"/>
              <w:rPr>
                <w:rFonts w:cs="Calibri"/>
              </w:rPr>
            </w:pPr>
            <w:r>
              <w:rPr>
                <w:rFonts w:cs="Calibri"/>
              </w:rPr>
              <w:t xml:space="preserve">              38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0DB5229" w14:textId="217A7EFA" w:rsidR="008A7115" w:rsidRPr="008A7115" w:rsidRDefault="008A7115" w:rsidP="008A7115">
            <w:pPr>
              <w:spacing w:after="0"/>
              <w:jc w:val="center"/>
              <w:rPr>
                <w:rFonts w:cs="Calibri"/>
                <w:color w:val="9C0006"/>
              </w:rPr>
            </w:pPr>
            <w:r w:rsidRPr="008A7115">
              <w:rPr>
                <w:rFonts w:cs="Calibri"/>
                <w:color w:val="9C0006"/>
              </w:rPr>
              <w:t>15,7%</w:t>
            </w:r>
          </w:p>
        </w:tc>
      </w:tr>
      <w:tr w:rsidR="008A7115" w:rsidRPr="00CF5B4E" w14:paraId="2B4E82A7"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0330B9" w14:textId="2AF3CBEF"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F70EB38" w14:textId="5FFD7491" w:rsidR="008A7115" w:rsidRDefault="008A7115" w:rsidP="008A7115">
            <w:pPr>
              <w:spacing w:after="0"/>
              <w:rPr>
                <w:rFonts w:cs="Calibri"/>
              </w:rPr>
            </w:pPr>
            <w:r>
              <w:rPr>
                <w:rFonts w:cs="Calibri"/>
              </w:rPr>
              <w:t>Mantova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C9E29" w14:textId="23BF156F" w:rsidR="008A7115" w:rsidRDefault="008A7115" w:rsidP="008A7115">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B4C5B12" w14:textId="21414262" w:rsidR="008A7115" w:rsidRPr="00CF076F" w:rsidRDefault="008A7115" w:rsidP="008A7115">
            <w:pPr>
              <w:spacing w:after="0"/>
              <w:jc w:val="center"/>
              <w:rPr>
                <w:rFonts w:cs="Calibri"/>
                <w:color w:val="006100"/>
              </w:rPr>
            </w:pPr>
            <w:r w:rsidRPr="008A7115">
              <w:rPr>
                <w:rFonts w:cs="Calibri"/>
                <w:color w:val="006100"/>
              </w:rPr>
              <w:t>-10,2%</w:t>
            </w:r>
          </w:p>
        </w:tc>
      </w:tr>
      <w:tr w:rsidR="008A7115" w:rsidRPr="00CF5B4E" w14:paraId="069F34B9"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F71496" w14:textId="1043708E"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DDA91E" w14:textId="23D2EDE1" w:rsidR="008A7115" w:rsidRDefault="008A7115" w:rsidP="008A7115">
            <w:pPr>
              <w:spacing w:after="0"/>
              <w:rPr>
                <w:rFonts w:cs="Calibri"/>
              </w:rPr>
            </w:pPr>
            <w:r>
              <w:rPr>
                <w:rFonts w:cs="Calibri"/>
              </w:rPr>
              <w:t>Bergamo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4ADA9A7" w14:textId="0CE47296" w:rsidR="008A7115" w:rsidRDefault="008A7115" w:rsidP="008A7115">
            <w:pPr>
              <w:spacing w:after="0"/>
              <w:jc w:val="center"/>
              <w:rPr>
                <w:rFonts w:cs="Calibri"/>
              </w:rPr>
            </w:pPr>
            <w:r>
              <w:rPr>
                <w:rFonts w:cs="Calibri"/>
              </w:rPr>
              <w:t xml:space="preserve">              36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5526FFE" w14:textId="041AE32F" w:rsidR="008A7115" w:rsidRPr="009E2B37" w:rsidRDefault="008A7115" w:rsidP="008A7115">
            <w:pPr>
              <w:spacing w:after="0"/>
              <w:jc w:val="center"/>
              <w:rPr>
                <w:rFonts w:cs="Calibri"/>
                <w:color w:val="006100"/>
              </w:rPr>
            </w:pPr>
            <w:r w:rsidRPr="008A7115">
              <w:rPr>
                <w:rFonts w:cs="Calibri"/>
                <w:color w:val="9C0006"/>
              </w:rPr>
              <w:t>4,2%</w:t>
            </w:r>
          </w:p>
        </w:tc>
      </w:tr>
      <w:tr w:rsidR="008A7115" w:rsidRPr="00CF5B4E" w14:paraId="29A18F55"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B661B2" w14:textId="50EFDFFA" w:rsidR="008A7115" w:rsidRDefault="008A7115" w:rsidP="008A7115">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CE9DE5" w14:textId="7BD5AE94" w:rsidR="008A7115" w:rsidRDefault="008A7115" w:rsidP="008A7115">
            <w:pPr>
              <w:spacing w:after="0"/>
              <w:rPr>
                <w:rFonts w:cs="Calibri"/>
              </w:rPr>
            </w:pPr>
            <w:r>
              <w:rPr>
                <w:rFonts w:cs="Calibri"/>
              </w:rPr>
              <w:t>Sondrio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BFE75" w14:textId="7AFD5434" w:rsidR="008A7115" w:rsidRDefault="008A7115" w:rsidP="008A7115">
            <w:pPr>
              <w:spacing w:after="0"/>
              <w:jc w:val="center"/>
              <w:rPr>
                <w:rFonts w:cs="Calibri"/>
              </w:rPr>
            </w:pPr>
            <w:r>
              <w:rPr>
                <w:rFonts w:cs="Calibri"/>
              </w:rPr>
              <w:t xml:space="preserve">              21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DADA50C" w14:textId="4B018505" w:rsidR="008A7115" w:rsidRPr="008A7115" w:rsidRDefault="008A7115" w:rsidP="008A7115">
            <w:pPr>
              <w:spacing w:after="0"/>
              <w:jc w:val="center"/>
              <w:rPr>
                <w:rFonts w:cs="Calibri"/>
                <w:color w:val="006100"/>
              </w:rPr>
            </w:pPr>
            <w:r w:rsidRPr="008A7115">
              <w:rPr>
                <w:rFonts w:cs="Calibri"/>
                <w:color w:val="006100"/>
              </w:rPr>
              <w:t>-28,3%</w:t>
            </w:r>
          </w:p>
        </w:tc>
      </w:tr>
      <w:tr w:rsidR="008A7115" w:rsidRPr="00CF5B4E" w14:paraId="18B6F20C"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047EC8" w14:textId="340F0B1B" w:rsidR="008A7115" w:rsidRDefault="008A7115" w:rsidP="008A7115">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807C65" w14:textId="227D62BF" w:rsidR="008A7115" w:rsidRDefault="008A7115" w:rsidP="008A7115">
            <w:pPr>
              <w:spacing w:after="0"/>
              <w:rPr>
                <w:rFonts w:cs="Calibri"/>
              </w:rPr>
            </w:pPr>
            <w:r>
              <w:rPr>
                <w:rFonts w:cs="Calibri"/>
              </w:rPr>
              <w:t>Ancona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31224F" w14:textId="60E637E9" w:rsidR="008A7115" w:rsidRDefault="008A7115" w:rsidP="008A7115">
            <w:pPr>
              <w:spacing w:after="0"/>
              <w:jc w:val="center"/>
              <w:rPr>
                <w:rFonts w:cs="Calibri"/>
              </w:rPr>
            </w:pPr>
            <w:r>
              <w:rPr>
                <w:rFonts w:cs="Calibri"/>
              </w:rPr>
              <w:t xml:space="preserve">              31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FDEE97" w14:textId="28DF1359" w:rsidR="008A7115" w:rsidRPr="008A7115" w:rsidRDefault="008A7115" w:rsidP="008A7115">
            <w:pPr>
              <w:spacing w:after="0"/>
              <w:jc w:val="center"/>
              <w:rPr>
                <w:rFonts w:cs="Calibri"/>
                <w:color w:val="006100"/>
              </w:rPr>
            </w:pPr>
            <w:r w:rsidRPr="008A7115">
              <w:rPr>
                <w:rFonts w:cs="Calibri"/>
                <w:color w:val="006100"/>
              </w:rPr>
              <w:t>-2,7%</w:t>
            </w:r>
          </w:p>
        </w:tc>
      </w:tr>
      <w:tr w:rsidR="008A7115" w:rsidRPr="00CF5B4E" w14:paraId="79A8361B"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06C02" w14:textId="4879EBF9" w:rsidR="008A7115" w:rsidRDefault="008A7115" w:rsidP="008A7115">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EC64AB" w14:textId="2BBAD1D2" w:rsidR="008A7115" w:rsidRDefault="008A7115" w:rsidP="008A7115">
            <w:pPr>
              <w:spacing w:after="0"/>
              <w:rPr>
                <w:rFonts w:cs="Calibri"/>
              </w:rPr>
            </w:pPr>
            <w:r>
              <w:rPr>
                <w:rFonts w:cs="Calibri"/>
              </w:rPr>
              <w:t>Fermo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DEA2BA" w14:textId="3CAC452E" w:rsidR="008A7115" w:rsidRDefault="008A7115" w:rsidP="008A7115">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FFEB9C"/>
            <w:vAlign w:val="bottom"/>
          </w:tcPr>
          <w:p w14:paraId="7F1592A8" w14:textId="2EA94F65" w:rsidR="008A7115" w:rsidRPr="00CF076F" w:rsidRDefault="008A7115" w:rsidP="008A7115">
            <w:pPr>
              <w:spacing w:after="0"/>
              <w:jc w:val="center"/>
              <w:rPr>
                <w:rFonts w:cs="Calibri"/>
                <w:color w:val="006100"/>
              </w:rPr>
            </w:pPr>
            <w:r w:rsidRPr="008A7115">
              <w:rPr>
                <w:rFonts w:cs="Calibri"/>
                <w:color w:val="9C6500"/>
              </w:rPr>
              <w:t>0,0%</w:t>
            </w:r>
          </w:p>
        </w:tc>
      </w:tr>
      <w:tr w:rsidR="008A7115" w:rsidRPr="00CF5B4E" w14:paraId="12C34BE7"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30AC69" w14:textId="2AEAF4A3" w:rsidR="008A7115" w:rsidRDefault="008A7115" w:rsidP="008A7115">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5302B2" w14:textId="32CD2043" w:rsidR="008A7115" w:rsidRDefault="008A7115" w:rsidP="008A7115">
            <w:pPr>
              <w:spacing w:after="0"/>
              <w:rPr>
                <w:rFonts w:cs="Calibri"/>
              </w:rPr>
            </w:pPr>
            <w:r>
              <w:rPr>
                <w:rFonts w:cs="Calibri"/>
              </w:rPr>
              <w:t>Ascoli Piceno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9B5C9A" w14:textId="0A133F99" w:rsidR="008A7115" w:rsidRDefault="008A7115" w:rsidP="008A7115">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13C5630" w14:textId="5E41763D" w:rsidR="008A7115" w:rsidRPr="008A7115" w:rsidRDefault="008A7115" w:rsidP="008A7115">
            <w:pPr>
              <w:spacing w:after="0"/>
              <w:jc w:val="center"/>
              <w:rPr>
                <w:rFonts w:cs="Calibri"/>
                <w:color w:val="9C0006"/>
              </w:rPr>
            </w:pPr>
            <w:r w:rsidRPr="008A7115">
              <w:rPr>
                <w:rFonts w:cs="Calibri"/>
                <w:color w:val="9C0006"/>
              </w:rPr>
              <w:t>12,2%</w:t>
            </w:r>
          </w:p>
        </w:tc>
      </w:tr>
      <w:tr w:rsidR="008A7115" w:rsidRPr="00CF5B4E" w14:paraId="6134159C"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4395F0" w14:textId="1590CA28" w:rsidR="008A7115" w:rsidRDefault="008A7115" w:rsidP="008A7115">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DBFACB" w14:textId="41CC5A1F" w:rsidR="008A7115" w:rsidRDefault="008A7115" w:rsidP="008A7115">
            <w:pPr>
              <w:spacing w:after="0"/>
              <w:rPr>
                <w:rFonts w:cs="Calibri"/>
              </w:rPr>
            </w:pPr>
            <w:r>
              <w:rPr>
                <w:rFonts w:cs="Calibri"/>
              </w:rPr>
              <w:t>Pesaro e Urbino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311915" w14:textId="37D6FC5C" w:rsidR="008A7115" w:rsidRDefault="008A7115" w:rsidP="008A7115">
            <w:pPr>
              <w:spacing w:after="0"/>
              <w:jc w:val="center"/>
              <w:rPr>
                <w:rFonts w:cs="Calibri"/>
              </w:rPr>
            </w:pPr>
            <w:r>
              <w:rPr>
                <w:rFonts w:cs="Calibri"/>
              </w:rPr>
              <w:t xml:space="preserve">              23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09C2493" w14:textId="792D4D45" w:rsidR="008A7115" w:rsidRPr="008A7115" w:rsidRDefault="008A7115" w:rsidP="008A7115">
            <w:pPr>
              <w:spacing w:after="0"/>
              <w:jc w:val="center"/>
              <w:rPr>
                <w:rFonts w:cs="Calibri"/>
                <w:color w:val="9C0006"/>
              </w:rPr>
            </w:pPr>
            <w:r w:rsidRPr="008A7115">
              <w:rPr>
                <w:rFonts w:cs="Calibri"/>
                <w:color w:val="9C0006"/>
              </w:rPr>
              <w:t>14,3%</w:t>
            </w:r>
          </w:p>
        </w:tc>
      </w:tr>
      <w:tr w:rsidR="008A7115" w:rsidRPr="00CF5B4E" w14:paraId="1D446F10"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2DE554" w14:textId="739E3089" w:rsidR="008A7115" w:rsidRDefault="008A7115" w:rsidP="008A7115">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C39152" w14:textId="4D002BF7" w:rsidR="008A7115" w:rsidRDefault="008A7115" w:rsidP="008A7115">
            <w:pPr>
              <w:spacing w:after="0"/>
              <w:rPr>
                <w:rFonts w:cs="Calibri"/>
              </w:rPr>
            </w:pPr>
            <w:r>
              <w:rPr>
                <w:rFonts w:cs="Calibri"/>
              </w:rPr>
              <w:t>Macerata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AACD67" w14:textId="0DAF560D" w:rsidR="008A7115" w:rsidRDefault="008A7115" w:rsidP="008A7115">
            <w:pPr>
              <w:spacing w:after="0"/>
              <w:jc w:val="center"/>
              <w:rPr>
                <w:rFonts w:cs="Calibri"/>
              </w:rPr>
            </w:pPr>
            <w:r>
              <w:rPr>
                <w:rFonts w:cs="Calibri"/>
              </w:rPr>
              <w:t xml:space="preserve">              20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96E7B9" w14:textId="75FFB809" w:rsidR="008A7115" w:rsidRPr="00B52252" w:rsidRDefault="008A7115" w:rsidP="008A7115">
            <w:pPr>
              <w:spacing w:after="0"/>
              <w:jc w:val="center"/>
              <w:rPr>
                <w:rFonts w:cs="Calibri"/>
                <w:color w:val="006100"/>
              </w:rPr>
            </w:pPr>
            <w:r w:rsidRPr="008A7115">
              <w:rPr>
                <w:rFonts w:cs="Calibri"/>
                <w:color w:val="006100"/>
              </w:rPr>
              <w:t>-7,7%</w:t>
            </w:r>
          </w:p>
        </w:tc>
      </w:tr>
      <w:tr w:rsidR="008A7115" w:rsidRPr="00CF5B4E" w14:paraId="6A993C4A"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657DE5" w14:textId="4631030D" w:rsidR="008A7115" w:rsidRDefault="008A7115" w:rsidP="008A7115">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9BA62B" w14:textId="297468E2" w:rsidR="008A7115" w:rsidRDefault="008A7115" w:rsidP="008A7115">
            <w:pPr>
              <w:spacing w:after="0"/>
              <w:rPr>
                <w:rFonts w:cs="Calibri"/>
              </w:rPr>
            </w:pPr>
            <w:r>
              <w:rPr>
                <w:rFonts w:cs="Calibri"/>
              </w:rPr>
              <w:t>Isernia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426948" w14:textId="7EC35AC1" w:rsidR="008A7115" w:rsidRDefault="008A7115" w:rsidP="008A7115">
            <w:pPr>
              <w:spacing w:after="0"/>
              <w:jc w:val="center"/>
              <w:rPr>
                <w:rFonts w:cs="Calibri"/>
              </w:rPr>
            </w:pPr>
            <w:r>
              <w:rPr>
                <w:rFonts w:cs="Calibri"/>
              </w:rPr>
              <w:t xml:space="preserve">              15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DCDC8B2" w14:textId="19A25601" w:rsidR="008A7115" w:rsidRPr="008A7115" w:rsidRDefault="008A7115" w:rsidP="008A7115">
            <w:pPr>
              <w:spacing w:after="0"/>
              <w:jc w:val="center"/>
              <w:rPr>
                <w:rFonts w:cs="Calibri"/>
                <w:color w:val="9C0006"/>
              </w:rPr>
            </w:pPr>
            <w:r w:rsidRPr="008A7115">
              <w:rPr>
                <w:rFonts w:cs="Calibri"/>
                <w:color w:val="9C0006"/>
              </w:rPr>
              <w:t>9,1%</w:t>
            </w:r>
          </w:p>
        </w:tc>
      </w:tr>
      <w:tr w:rsidR="008A7115" w:rsidRPr="00CF5B4E" w14:paraId="7180D536"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AAC4BE" w14:textId="7A468D2E" w:rsidR="008A7115" w:rsidRDefault="008A7115" w:rsidP="008A7115">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4A690B" w14:textId="2F944D9F" w:rsidR="008A7115" w:rsidRDefault="008A7115" w:rsidP="008A7115">
            <w:pPr>
              <w:spacing w:after="0"/>
              <w:rPr>
                <w:rFonts w:cs="Calibri"/>
              </w:rPr>
            </w:pPr>
            <w:r>
              <w:rPr>
                <w:rFonts w:cs="Calibri"/>
              </w:rPr>
              <w:t>Campobasso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AC916D" w14:textId="3223CE00" w:rsidR="008A7115" w:rsidRDefault="008A7115" w:rsidP="008A7115">
            <w:pPr>
              <w:spacing w:after="0"/>
              <w:jc w:val="center"/>
              <w:rPr>
                <w:rFonts w:cs="Calibri"/>
              </w:rPr>
            </w:pPr>
            <w:r>
              <w:rPr>
                <w:rFonts w:cs="Calibri"/>
              </w:rPr>
              <w:t xml:space="preserve">              14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553F8E9" w14:textId="55B0E33E" w:rsidR="008A7115" w:rsidRPr="008A7115" w:rsidRDefault="008A7115" w:rsidP="008A7115">
            <w:pPr>
              <w:spacing w:after="0"/>
              <w:jc w:val="center"/>
              <w:rPr>
                <w:rFonts w:cs="Calibri"/>
                <w:color w:val="9C0006"/>
              </w:rPr>
            </w:pPr>
            <w:r w:rsidRPr="008A7115">
              <w:rPr>
                <w:rFonts w:cs="Calibri"/>
                <w:color w:val="9C0006"/>
              </w:rPr>
              <w:t>7,1%</w:t>
            </w:r>
          </w:p>
        </w:tc>
      </w:tr>
      <w:tr w:rsidR="008A7115" w:rsidRPr="00CF5B4E" w14:paraId="6EAE83F8"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807F43" w14:textId="7A07F8A8" w:rsidR="008A7115" w:rsidRDefault="008A7115" w:rsidP="008A7115">
            <w:pPr>
              <w:spacing w:after="0"/>
              <w:rPr>
                <w:rFonts w:cs="Calibri"/>
              </w:rPr>
            </w:pPr>
            <w:r>
              <w:rPr>
                <w:rFonts w:cs="Calibri"/>
              </w:rPr>
              <w:t>P.A. Bolzano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9F16EA" w14:textId="5E49518A" w:rsidR="008A7115" w:rsidRDefault="008A7115" w:rsidP="008A7115">
            <w:pPr>
              <w:spacing w:after="0"/>
              <w:rPr>
                <w:rFonts w:cs="Calibri"/>
              </w:rPr>
            </w:pPr>
            <w:r>
              <w:rPr>
                <w:rFonts w:cs="Calibri"/>
              </w:rPr>
              <w:t>Bolzano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3EE64E" w14:textId="0BDB3730" w:rsidR="008A7115" w:rsidRDefault="008A7115" w:rsidP="008A7115">
            <w:pPr>
              <w:spacing w:after="0"/>
              <w:jc w:val="center"/>
              <w:rPr>
                <w:rFonts w:cs="Calibri"/>
              </w:rPr>
            </w:pPr>
            <w:r>
              <w:rPr>
                <w:rFonts w:cs="Calibri"/>
              </w:rPr>
              <w:t xml:space="preserve">              57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C15E2E6" w14:textId="14F24612" w:rsidR="008A7115" w:rsidRPr="00CF076F" w:rsidRDefault="008A7115" w:rsidP="008A7115">
            <w:pPr>
              <w:spacing w:after="0"/>
              <w:jc w:val="center"/>
              <w:rPr>
                <w:rFonts w:cs="Calibri"/>
                <w:color w:val="006100"/>
              </w:rPr>
            </w:pPr>
            <w:r w:rsidRPr="008A7115">
              <w:rPr>
                <w:rFonts w:cs="Calibri"/>
                <w:color w:val="006100"/>
              </w:rPr>
              <w:t>-11,3%</w:t>
            </w:r>
          </w:p>
        </w:tc>
      </w:tr>
      <w:tr w:rsidR="008A7115" w:rsidRPr="00CF5B4E" w14:paraId="5C4C6E6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09A905" w14:textId="447C5A6F" w:rsidR="008A7115" w:rsidRDefault="008A7115" w:rsidP="008A7115">
            <w:pPr>
              <w:spacing w:after="0"/>
              <w:rPr>
                <w:rFonts w:cs="Calibri"/>
              </w:rPr>
            </w:pPr>
            <w:r>
              <w:rPr>
                <w:rFonts w:cs="Calibri"/>
              </w:rPr>
              <w:t>P.A. Trento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A5FC41" w14:textId="0E20A020" w:rsidR="008A7115" w:rsidRDefault="008A7115" w:rsidP="008A7115">
            <w:pPr>
              <w:spacing w:after="0"/>
              <w:rPr>
                <w:rFonts w:cs="Calibri"/>
              </w:rPr>
            </w:pPr>
            <w:r>
              <w:rPr>
                <w:rFonts w:cs="Calibri"/>
              </w:rPr>
              <w:t>Trento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CB48D8" w14:textId="16B2FDBE" w:rsidR="008A7115" w:rsidRDefault="008A7115" w:rsidP="008A7115">
            <w:pPr>
              <w:spacing w:after="0"/>
              <w:jc w:val="center"/>
              <w:rPr>
                <w:rFonts w:cs="Calibri"/>
              </w:rPr>
            </w:pPr>
            <w:r>
              <w:rPr>
                <w:rFonts w:cs="Calibri"/>
              </w:rPr>
              <w:t xml:space="preserve">              54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0B64A48" w14:textId="4FE8E16E" w:rsidR="008A7115" w:rsidRPr="00CF076F" w:rsidRDefault="008A7115" w:rsidP="008A7115">
            <w:pPr>
              <w:spacing w:after="0"/>
              <w:jc w:val="center"/>
              <w:rPr>
                <w:rFonts w:cs="Calibri"/>
                <w:color w:val="9C0006"/>
              </w:rPr>
            </w:pPr>
            <w:r w:rsidRPr="008A7115">
              <w:rPr>
                <w:rFonts w:cs="Calibri"/>
                <w:color w:val="9C0006"/>
              </w:rPr>
              <w:t>9,4%</w:t>
            </w:r>
          </w:p>
        </w:tc>
      </w:tr>
      <w:tr w:rsidR="008A7115" w:rsidRPr="00CF5B4E" w14:paraId="1BA5C655"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B33E20B" w14:textId="5B9206B1"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073B988" w14:textId="036656B2" w:rsidR="008A7115" w:rsidRDefault="008A7115" w:rsidP="008A7115">
            <w:pPr>
              <w:spacing w:after="0"/>
              <w:rPr>
                <w:rFonts w:cs="Calibri"/>
              </w:rPr>
            </w:pPr>
            <w:r>
              <w:rPr>
                <w:rFonts w:cs="Calibri"/>
              </w:rPr>
              <w:t>Alessandria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A161DC" w14:textId="33F61710" w:rsidR="008A7115" w:rsidRDefault="008A7115" w:rsidP="008A7115">
            <w:pPr>
              <w:spacing w:after="0"/>
              <w:jc w:val="center"/>
              <w:rPr>
                <w:rFonts w:cs="Calibri"/>
              </w:rPr>
            </w:pPr>
            <w:r>
              <w:rPr>
                <w:rFonts w:cs="Calibri"/>
              </w:rPr>
              <w:t xml:space="preserve">              41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4340B64" w14:textId="52FE3B39" w:rsidR="008A7115" w:rsidRPr="00CF076F" w:rsidRDefault="008A7115" w:rsidP="008A7115">
            <w:pPr>
              <w:spacing w:after="0"/>
              <w:jc w:val="center"/>
              <w:rPr>
                <w:rFonts w:cs="Calibri"/>
                <w:color w:val="9C0006"/>
              </w:rPr>
            </w:pPr>
            <w:r w:rsidRPr="008A7115">
              <w:rPr>
                <w:rFonts w:cs="Calibri"/>
                <w:color w:val="006100"/>
              </w:rPr>
              <w:t>-13,5%</w:t>
            </w:r>
          </w:p>
        </w:tc>
      </w:tr>
      <w:tr w:rsidR="008A7115" w:rsidRPr="00CF5B4E" w14:paraId="0D902257"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B67DE6" w14:textId="02546339"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08C44A" w14:textId="17E7D749" w:rsidR="008A7115" w:rsidRDefault="008A7115" w:rsidP="008A7115">
            <w:pPr>
              <w:spacing w:after="0"/>
              <w:rPr>
                <w:rFonts w:cs="Calibri"/>
              </w:rPr>
            </w:pPr>
            <w:r>
              <w:rPr>
                <w:rFonts w:cs="Calibri"/>
              </w:rPr>
              <w:t>Verbano-Cusio-Ossola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5EF54C" w14:textId="4DFFFFD3" w:rsidR="008A7115" w:rsidRDefault="008A7115" w:rsidP="008A7115">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DF510BF" w14:textId="121A454B" w:rsidR="008A7115" w:rsidRPr="008A7115" w:rsidRDefault="008A7115" w:rsidP="008A7115">
            <w:pPr>
              <w:spacing w:after="0"/>
              <w:jc w:val="center"/>
              <w:rPr>
                <w:rFonts w:cs="Calibri"/>
                <w:color w:val="9C0006"/>
              </w:rPr>
            </w:pPr>
            <w:r w:rsidRPr="008A7115">
              <w:rPr>
                <w:rFonts w:cs="Calibri"/>
                <w:color w:val="9C0006"/>
              </w:rPr>
              <w:t>1,8%</w:t>
            </w:r>
          </w:p>
        </w:tc>
      </w:tr>
      <w:tr w:rsidR="008A7115" w:rsidRPr="00CF5B4E" w14:paraId="765D8709"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822ADC" w14:textId="1911509A"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B33029" w14:textId="710E30B5" w:rsidR="008A7115" w:rsidRDefault="008A7115" w:rsidP="008A7115">
            <w:pPr>
              <w:spacing w:after="0"/>
              <w:rPr>
                <w:rFonts w:cs="Calibri"/>
              </w:rPr>
            </w:pPr>
            <w:r>
              <w:rPr>
                <w:rFonts w:cs="Calibri"/>
              </w:rPr>
              <w:t>Biella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B60A6" w14:textId="7B937481" w:rsidR="008A7115" w:rsidRDefault="008A7115" w:rsidP="008A7115">
            <w:pPr>
              <w:spacing w:after="0"/>
              <w:jc w:val="center"/>
              <w:rPr>
                <w:rFonts w:cs="Calibri"/>
              </w:rPr>
            </w:pPr>
            <w:r>
              <w:rPr>
                <w:rFonts w:cs="Calibri"/>
              </w:rPr>
              <w:t xml:space="preserve">              36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4C78C49" w14:textId="32B968C8" w:rsidR="008A7115" w:rsidRPr="008A7115" w:rsidRDefault="008A7115" w:rsidP="008A7115">
            <w:pPr>
              <w:spacing w:after="0"/>
              <w:jc w:val="center"/>
              <w:rPr>
                <w:rFonts w:cs="Calibri"/>
                <w:color w:val="9C0006"/>
              </w:rPr>
            </w:pPr>
            <w:r w:rsidRPr="008A7115">
              <w:rPr>
                <w:rFonts w:cs="Calibri"/>
                <w:color w:val="9C0006"/>
              </w:rPr>
              <w:t>7,0%</w:t>
            </w:r>
          </w:p>
        </w:tc>
      </w:tr>
      <w:tr w:rsidR="008A7115" w:rsidRPr="00CF5B4E" w14:paraId="5E0FB32C"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25F26" w14:textId="216E74BC"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930D0" w14:textId="63C7DA16" w:rsidR="008A7115" w:rsidRDefault="008A7115" w:rsidP="008A7115">
            <w:pPr>
              <w:spacing w:after="0"/>
              <w:rPr>
                <w:rFonts w:cs="Calibri"/>
              </w:rPr>
            </w:pPr>
            <w:r>
              <w:rPr>
                <w:rFonts w:cs="Calibri"/>
              </w:rPr>
              <w:t>Asti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3266B7" w14:textId="64F33808" w:rsidR="008A7115" w:rsidRDefault="008A7115" w:rsidP="008A7115">
            <w:pPr>
              <w:spacing w:after="0"/>
              <w:jc w:val="center"/>
              <w:rPr>
                <w:rFonts w:cs="Calibri"/>
              </w:rPr>
            </w:pPr>
            <w:r>
              <w:rPr>
                <w:rFonts w:cs="Calibri"/>
              </w:rPr>
              <w:t xml:space="preserve">              32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79B5B70" w14:textId="25096F22" w:rsidR="008A7115" w:rsidRPr="008A7115" w:rsidRDefault="008A7115" w:rsidP="008A7115">
            <w:pPr>
              <w:spacing w:after="0"/>
              <w:jc w:val="center"/>
              <w:rPr>
                <w:rFonts w:cs="Calibri"/>
                <w:color w:val="9C0006"/>
              </w:rPr>
            </w:pPr>
            <w:r w:rsidRPr="008A7115">
              <w:rPr>
                <w:rFonts w:cs="Calibri"/>
                <w:color w:val="9C0006"/>
              </w:rPr>
              <w:t>28,3%</w:t>
            </w:r>
          </w:p>
        </w:tc>
      </w:tr>
      <w:tr w:rsidR="008A7115" w:rsidRPr="00CF5B4E" w14:paraId="21CE32EE"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5996DF" w14:textId="723D0FE2"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FDB477" w14:textId="636259C2" w:rsidR="008A7115" w:rsidRDefault="008A7115" w:rsidP="008A7115">
            <w:pPr>
              <w:spacing w:after="0"/>
              <w:rPr>
                <w:rFonts w:cs="Calibri"/>
              </w:rPr>
            </w:pPr>
            <w:r>
              <w:rPr>
                <w:rFonts w:cs="Calibri"/>
              </w:rPr>
              <w:t>Vercelli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010FB2" w14:textId="40D7C91A" w:rsidR="008A7115" w:rsidRDefault="008A7115" w:rsidP="008A7115">
            <w:pPr>
              <w:spacing w:after="0"/>
              <w:jc w:val="center"/>
              <w:rPr>
                <w:rFonts w:cs="Calibri"/>
              </w:rPr>
            </w:pPr>
            <w:r>
              <w:rPr>
                <w:rFonts w:cs="Calibri"/>
              </w:rPr>
              <w:t xml:space="preserve">              32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C41107" w14:textId="1BFA1A76" w:rsidR="008A7115" w:rsidRPr="008A7115" w:rsidRDefault="008A7115" w:rsidP="008A7115">
            <w:pPr>
              <w:spacing w:after="0"/>
              <w:jc w:val="center"/>
              <w:rPr>
                <w:rFonts w:cs="Calibri"/>
                <w:color w:val="006100"/>
              </w:rPr>
            </w:pPr>
            <w:r w:rsidRPr="008A7115">
              <w:rPr>
                <w:rFonts w:cs="Calibri"/>
                <w:color w:val="006100"/>
              </w:rPr>
              <w:t>-11,5%</w:t>
            </w:r>
          </w:p>
        </w:tc>
      </w:tr>
      <w:tr w:rsidR="008A7115" w:rsidRPr="00CF5B4E" w14:paraId="7AB4BA45"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8491D3" w14:textId="7D50C255"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DB42CA" w14:textId="0528A8D4" w:rsidR="008A7115" w:rsidRDefault="008A7115" w:rsidP="008A7115">
            <w:pPr>
              <w:spacing w:after="0"/>
              <w:rPr>
                <w:rFonts w:cs="Calibri"/>
              </w:rPr>
            </w:pPr>
            <w:r>
              <w:rPr>
                <w:rFonts w:cs="Calibri"/>
              </w:rPr>
              <w:t>Novara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9E1206" w14:textId="7CAC57B6" w:rsidR="008A7115" w:rsidRDefault="008A7115" w:rsidP="008A7115">
            <w:pPr>
              <w:spacing w:after="0"/>
              <w:jc w:val="center"/>
              <w:rPr>
                <w:rFonts w:cs="Calibri"/>
              </w:rPr>
            </w:pPr>
            <w:r>
              <w:rPr>
                <w:rFonts w:cs="Calibri"/>
              </w:rPr>
              <w:t xml:space="preserve">              30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7267DCB" w14:textId="78FAD75E" w:rsidR="008A7115" w:rsidRPr="008A7115" w:rsidRDefault="008A7115" w:rsidP="008A7115">
            <w:pPr>
              <w:spacing w:after="0"/>
              <w:jc w:val="center"/>
              <w:rPr>
                <w:rFonts w:cs="Calibri"/>
                <w:color w:val="006100"/>
              </w:rPr>
            </w:pPr>
            <w:r w:rsidRPr="008A7115">
              <w:rPr>
                <w:rFonts w:cs="Calibri"/>
                <w:color w:val="006100"/>
              </w:rPr>
              <w:t>-12,1%</w:t>
            </w:r>
          </w:p>
        </w:tc>
      </w:tr>
      <w:tr w:rsidR="008A7115" w:rsidRPr="00CF5B4E" w14:paraId="0F2A7BDA"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5AEDFE" w14:textId="0DF4B1B1"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68E5BD" w14:textId="73A4095F" w:rsidR="008A7115" w:rsidRDefault="008A7115" w:rsidP="008A7115">
            <w:pPr>
              <w:spacing w:after="0"/>
              <w:rPr>
                <w:rFonts w:cs="Calibri"/>
              </w:rPr>
            </w:pPr>
            <w:r>
              <w:rPr>
                <w:rFonts w:cs="Calibri"/>
              </w:rPr>
              <w:t>Torino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4273E7" w14:textId="192380BC" w:rsidR="008A7115" w:rsidRDefault="008A7115" w:rsidP="008A7115">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4655996" w14:textId="7E5A2B21" w:rsidR="008A7115" w:rsidRPr="00CF076F" w:rsidRDefault="008A7115" w:rsidP="008A7115">
            <w:pPr>
              <w:spacing w:after="0"/>
              <w:jc w:val="center"/>
              <w:rPr>
                <w:rFonts w:cs="Calibri"/>
                <w:color w:val="006100"/>
              </w:rPr>
            </w:pPr>
            <w:r w:rsidRPr="008A7115">
              <w:rPr>
                <w:rFonts w:cs="Calibri"/>
                <w:color w:val="9C0006"/>
              </w:rPr>
              <w:t>9,9%</w:t>
            </w:r>
          </w:p>
        </w:tc>
      </w:tr>
      <w:tr w:rsidR="008A7115" w:rsidRPr="00CF5B4E" w14:paraId="1B0F5445"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BDE220D" w14:textId="76F5E320" w:rsidR="008A7115" w:rsidRDefault="008A7115" w:rsidP="008A7115">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CD2DFB" w14:textId="62546636" w:rsidR="008A7115" w:rsidRDefault="008A7115" w:rsidP="008A7115">
            <w:pPr>
              <w:spacing w:after="0"/>
              <w:rPr>
                <w:rFonts w:cs="Calibri"/>
              </w:rPr>
            </w:pPr>
            <w:r>
              <w:rPr>
                <w:rFonts w:cs="Calibri"/>
              </w:rPr>
              <w:t>Cuneo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69C755" w14:textId="2CB88A2B" w:rsidR="008A7115" w:rsidRDefault="008A7115" w:rsidP="008A7115">
            <w:pPr>
              <w:spacing w:after="0"/>
              <w:jc w:val="center"/>
              <w:rPr>
                <w:rFonts w:cs="Calibri"/>
              </w:rPr>
            </w:pPr>
            <w:r>
              <w:rPr>
                <w:rFonts w:cs="Calibri"/>
              </w:rPr>
              <w:t xml:space="preserve">              15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210D6DB" w14:textId="1A6BAEB2" w:rsidR="008A7115" w:rsidRPr="00CF076F" w:rsidRDefault="008A7115" w:rsidP="008A7115">
            <w:pPr>
              <w:spacing w:after="0"/>
              <w:jc w:val="center"/>
              <w:rPr>
                <w:rFonts w:cs="Calibri"/>
                <w:color w:val="006100"/>
              </w:rPr>
            </w:pPr>
            <w:r w:rsidRPr="008A7115">
              <w:rPr>
                <w:rFonts w:cs="Calibri"/>
                <w:color w:val="006100"/>
              </w:rPr>
              <w:t>-22,0%</w:t>
            </w:r>
          </w:p>
        </w:tc>
      </w:tr>
      <w:tr w:rsidR="008A7115" w:rsidRPr="00CF5B4E" w14:paraId="04B5BCE6"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20A433" w14:textId="616DCB91" w:rsidR="008A7115" w:rsidRDefault="008A7115" w:rsidP="008A7115">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47F6CC" w14:textId="1DCF88B4" w:rsidR="008A7115" w:rsidRDefault="008A7115" w:rsidP="008A7115">
            <w:pPr>
              <w:spacing w:after="0"/>
              <w:rPr>
                <w:rFonts w:cs="Calibri"/>
              </w:rPr>
            </w:pPr>
            <w:r>
              <w:rPr>
                <w:rFonts w:cs="Calibri"/>
              </w:rPr>
              <w:t>Bari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D3A169" w14:textId="7422F2B0" w:rsidR="008A7115" w:rsidRDefault="008A7115" w:rsidP="008A7115">
            <w:pPr>
              <w:spacing w:after="0"/>
              <w:jc w:val="center"/>
              <w:rPr>
                <w:rFonts w:cs="Calibri"/>
              </w:rPr>
            </w:pPr>
            <w:r>
              <w:rPr>
                <w:rFonts w:cs="Calibri"/>
              </w:rPr>
              <w:t xml:space="preserve">              31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DE426EB" w14:textId="58B78FE6" w:rsidR="008A7115" w:rsidRPr="008A7115" w:rsidRDefault="008A7115" w:rsidP="008A7115">
            <w:pPr>
              <w:spacing w:after="0"/>
              <w:jc w:val="center"/>
              <w:rPr>
                <w:rFonts w:cs="Calibri"/>
                <w:color w:val="9C0006"/>
              </w:rPr>
            </w:pPr>
            <w:r w:rsidRPr="008A7115">
              <w:rPr>
                <w:rFonts w:cs="Calibri"/>
                <w:color w:val="9C0006"/>
              </w:rPr>
              <w:t>3,3%</w:t>
            </w:r>
          </w:p>
        </w:tc>
      </w:tr>
      <w:tr w:rsidR="008A7115" w:rsidRPr="00CF5B4E" w14:paraId="2F678ED9"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1C6785" w14:textId="604699E1" w:rsidR="008A7115" w:rsidRDefault="008A7115" w:rsidP="008A7115">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BC3A5A" w14:textId="41B79048" w:rsidR="008A7115" w:rsidRDefault="008A7115" w:rsidP="008A7115">
            <w:pPr>
              <w:spacing w:after="0"/>
              <w:rPr>
                <w:rFonts w:cs="Calibri"/>
              </w:rPr>
            </w:pPr>
            <w:r>
              <w:rPr>
                <w:rFonts w:cs="Calibri"/>
              </w:rPr>
              <w:t>Brindisi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174ACA" w14:textId="0570B809" w:rsidR="008A7115" w:rsidRDefault="008A7115" w:rsidP="008A7115">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B9CF4C8" w14:textId="48649C14" w:rsidR="008A7115" w:rsidRPr="008A7115" w:rsidRDefault="008A7115" w:rsidP="008A7115">
            <w:pPr>
              <w:spacing w:after="0"/>
              <w:jc w:val="center"/>
              <w:rPr>
                <w:rFonts w:cs="Calibri"/>
                <w:color w:val="9C0006"/>
              </w:rPr>
            </w:pPr>
            <w:r w:rsidRPr="008A7115">
              <w:rPr>
                <w:rFonts w:cs="Calibri"/>
                <w:color w:val="9C0006"/>
              </w:rPr>
              <w:t>1,0%</w:t>
            </w:r>
          </w:p>
        </w:tc>
      </w:tr>
      <w:tr w:rsidR="008A7115" w:rsidRPr="00CF5B4E" w14:paraId="6E4EDD2B"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DFEDC7" w14:textId="4CD4273D" w:rsidR="008A7115" w:rsidRDefault="008A7115" w:rsidP="008A7115">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B1C80E" w14:textId="41F3787C" w:rsidR="008A7115" w:rsidRDefault="008A7115" w:rsidP="008A7115">
            <w:pPr>
              <w:spacing w:after="0"/>
              <w:rPr>
                <w:rFonts w:cs="Calibri"/>
              </w:rPr>
            </w:pPr>
            <w:r>
              <w:rPr>
                <w:rFonts w:cs="Calibri"/>
              </w:rPr>
              <w:t>Lecce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495FA" w14:textId="2CC3BCC4" w:rsidR="008A7115" w:rsidRDefault="008A7115" w:rsidP="008A7115">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0A904E" w14:textId="27813DC0" w:rsidR="008A7115" w:rsidRPr="00CF076F" w:rsidRDefault="008A7115" w:rsidP="008A7115">
            <w:pPr>
              <w:spacing w:after="0"/>
              <w:jc w:val="center"/>
              <w:rPr>
                <w:rFonts w:cs="Calibri"/>
                <w:color w:val="006100"/>
              </w:rPr>
            </w:pPr>
            <w:r w:rsidRPr="008A7115">
              <w:rPr>
                <w:rFonts w:cs="Calibri"/>
                <w:color w:val="006100"/>
              </w:rPr>
              <w:t>-15,9%</w:t>
            </w:r>
          </w:p>
        </w:tc>
      </w:tr>
      <w:tr w:rsidR="008A7115" w:rsidRPr="00CF5B4E" w14:paraId="72BE1153"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87BCD8" w14:textId="157E3BA3" w:rsidR="008A7115" w:rsidRDefault="008A7115" w:rsidP="008A7115">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649EFC" w14:textId="13DDEAA5" w:rsidR="008A7115" w:rsidRDefault="008A7115" w:rsidP="008A7115">
            <w:pPr>
              <w:spacing w:after="0"/>
              <w:rPr>
                <w:rFonts w:cs="Calibri"/>
              </w:rPr>
            </w:pPr>
            <w:r>
              <w:rPr>
                <w:rFonts w:cs="Calibri"/>
              </w:rPr>
              <w:t>Taranto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33EE56" w14:textId="0BA5A4C1" w:rsidR="008A7115" w:rsidRDefault="008A7115" w:rsidP="008A7115">
            <w:pPr>
              <w:spacing w:after="0"/>
              <w:jc w:val="center"/>
              <w:rPr>
                <w:rFonts w:cs="Calibri"/>
              </w:rPr>
            </w:pPr>
            <w:r>
              <w:rPr>
                <w:rFonts w:cs="Calibri"/>
              </w:rPr>
              <w:t xml:space="preserve">              20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24B02FA" w14:textId="702C4E7A" w:rsidR="008A7115" w:rsidRPr="008A7115" w:rsidRDefault="008A7115" w:rsidP="008A7115">
            <w:pPr>
              <w:spacing w:after="0"/>
              <w:jc w:val="center"/>
              <w:rPr>
                <w:rFonts w:cs="Calibri"/>
                <w:color w:val="9C0006"/>
              </w:rPr>
            </w:pPr>
            <w:r w:rsidRPr="008A7115">
              <w:rPr>
                <w:rFonts w:cs="Calibri"/>
                <w:color w:val="9C0006"/>
              </w:rPr>
              <w:t>10,7%</w:t>
            </w:r>
          </w:p>
        </w:tc>
      </w:tr>
      <w:tr w:rsidR="008A7115" w:rsidRPr="00CF5B4E" w14:paraId="7F8F4E8C"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AB9B90" w14:textId="110C74C8" w:rsidR="008A7115" w:rsidRDefault="008A7115" w:rsidP="008A7115">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7B80E9" w14:textId="6DB98EB7" w:rsidR="008A7115" w:rsidRDefault="008A7115" w:rsidP="008A7115">
            <w:pPr>
              <w:spacing w:after="0"/>
              <w:rPr>
                <w:rFonts w:cs="Calibri"/>
              </w:rPr>
            </w:pPr>
            <w:r>
              <w:rPr>
                <w:rFonts w:cs="Calibri"/>
              </w:rPr>
              <w:t>Foggia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0D3AD1" w14:textId="0AA7BBE6" w:rsidR="008A7115" w:rsidRDefault="008A7115" w:rsidP="008A7115">
            <w:pPr>
              <w:spacing w:after="0"/>
              <w:jc w:val="center"/>
              <w:rPr>
                <w:rFonts w:cs="Calibri"/>
              </w:rPr>
            </w:pPr>
            <w:r>
              <w:rPr>
                <w:rFonts w:cs="Calibri"/>
              </w:rPr>
              <w:t xml:space="preserve">              16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19656DF" w14:textId="36364C56" w:rsidR="008A7115" w:rsidRPr="008A7115" w:rsidRDefault="008A7115" w:rsidP="008A7115">
            <w:pPr>
              <w:spacing w:after="0"/>
              <w:jc w:val="center"/>
              <w:rPr>
                <w:rFonts w:cs="Calibri"/>
                <w:color w:val="9C0006"/>
              </w:rPr>
            </w:pPr>
            <w:r w:rsidRPr="008A7115">
              <w:rPr>
                <w:rFonts w:cs="Calibri"/>
                <w:color w:val="9C0006"/>
              </w:rPr>
              <w:t>10,0%</w:t>
            </w:r>
          </w:p>
        </w:tc>
      </w:tr>
      <w:tr w:rsidR="008A7115" w:rsidRPr="00CF5B4E" w14:paraId="3892035B"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C55123" w14:textId="1EBF9D1E" w:rsidR="008A7115" w:rsidRDefault="008A7115" w:rsidP="008A7115">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C68FE5" w14:textId="3BDCA6A7" w:rsidR="008A7115" w:rsidRDefault="008A7115" w:rsidP="008A7115">
            <w:pPr>
              <w:spacing w:after="0"/>
              <w:rPr>
                <w:rFonts w:cs="Calibri"/>
              </w:rPr>
            </w:pPr>
            <w:r>
              <w:rPr>
                <w:rFonts w:cs="Calibri"/>
              </w:rPr>
              <w:t>Barletta-Andria-Trani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8B186A" w14:textId="5570DF9C" w:rsidR="008A7115" w:rsidRDefault="008A7115" w:rsidP="008A7115">
            <w:pPr>
              <w:spacing w:after="0"/>
              <w:jc w:val="center"/>
              <w:rPr>
                <w:rFonts w:cs="Calibri"/>
              </w:rPr>
            </w:pPr>
            <w:r>
              <w:rPr>
                <w:rFonts w:cs="Calibri"/>
              </w:rPr>
              <w:t xml:space="preserve">              14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E345446" w14:textId="22362721" w:rsidR="008A7115" w:rsidRPr="008A7115" w:rsidRDefault="008A7115" w:rsidP="008A7115">
            <w:pPr>
              <w:spacing w:after="0"/>
              <w:jc w:val="center"/>
              <w:rPr>
                <w:rFonts w:cs="Calibri"/>
                <w:color w:val="9C0006"/>
              </w:rPr>
            </w:pPr>
            <w:r w:rsidRPr="008A7115">
              <w:rPr>
                <w:rFonts w:cs="Calibri"/>
                <w:color w:val="9C0006"/>
              </w:rPr>
              <w:t>8,3%</w:t>
            </w:r>
          </w:p>
        </w:tc>
      </w:tr>
      <w:tr w:rsidR="008A7115" w:rsidRPr="00CF5B4E" w14:paraId="4248219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9792B3" w14:textId="7F66761F" w:rsidR="008A7115" w:rsidRDefault="008A7115" w:rsidP="008A7115">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5E3B24B" w14:textId="47902737" w:rsidR="008A7115" w:rsidRDefault="008A7115" w:rsidP="008A7115">
            <w:pPr>
              <w:spacing w:after="0"/>
              <w:rPr>
                <w:rFonts w:cs="Calibri"/>
              </w:rPr>
            </w:pPr>
            <w:r>
              <w:rPr>
                <w:rFonts w:cs="Calibri"/>
              </w:rPr>
              <w:t>Cagliari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3BDC36" w14:textId="4ABD5280" w:rsidR="008A7115" w:rsidRDefault="008A7115" w:rsidP="008A7115">
            <w:pPr>
              <w:spacing w:after="0"/>
              <w:jc w:val="center"/>
              <w:rPr>
                <w:rFonts w:cs="Calibri"/>
              </w:rPr>
            </w:pPr>
            <w:r>
              <w:rPr>
                <w:rFonts w:cs="Calibri"/>
              </w:rPr>
              <w:t xml:space="preserve">              29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7BCBD9" w14:textId="5BE7F376" w:rsidR="008A7115" w:rsidRPr="00CF076F" w:rsidRDefault="008A7115" w:rsidP="008A7115">
            <w:pPr>
              <w:spacing w:after="0"/>
              <w:jc w:val="center"/>
              <w:rPr>
                <w:rFonts w:cs="Calibri"/>
                <w:color w:val="006100"/>
              </w:rPr>
            </w:pPr>
            <w:r w:rsidRPr="008A7115">
              <w:rPr>
                <w:rFonts w:cs="Calibri"/>
                <w:color w:val="006100"/>
              </w:rPr>
              <w:t>-21,3%</w:t>
            </w:r>
          </w:p>
        </w:tc>
      </w:tr>
      <w:tr w:rsidR="008A7115" w:rsidRPr="00CF5B4E" w14:paraId="3B975460"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3C9A6E" w14:textId="329DBCCC" w:rsidR="008A7115" w:rsidRDefault="008A7115" w:rsidP="008A7115">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D573D" w14:textId="5F7E0DF8" w:rsidR="008A7115" w:rsidRDefault="008A7115" w:rsidP="008A7115">
            <w:pPr>
              <w:spacing w:after="0"/>
              <w:rPr>
                <w:rFonts w:cs="Calibri"/>
              </w:rPr>
            </w:pPr>
            <w:r>
              <w:rPr>
                <w:rFonts w:cs="Calibri"/>
              </w:rPr>
              <w:t>Oristano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087A81" w14:textId="25FFE741" w:rsidR="008A7115" w:rsidRDefault="008A7115" w:rsidP="008A7115">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5507B4F" w14:textId="690C46A0" w:rsidR="008A7115" w:rsidRPr="00B52252" w:rsidRDefault="008A7115" w:rsidP="008A7115">
            <w:pPr>
              <w:spacing w:after="0"/>
              <w:jc w:val="center"/>
              <w:rPr>
                <w:rFonts w:cs="Calibri"/>
                <w:color w:val="006100"/>
              </w:rPr>
            </w:pPr>
            <w:r w:rsidRPr="008A7115">
              <w:rPr>
                <w:rFonts w:cs="Calibri"/>
                <w:color w:val="9C0006"/>
              </w:rPr>
              <w:t>50,0%</w:t>
            </w:r>
          </w:p>
        </w:tc>
      </w:tr>
      <w:tr w:rsidR="008A7115" w:rsidRPr="00CF5B4E" w14:paraId="08EFCEB5"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8CB613" w14:textId="34AE0176" w:rsidR="008A7115" w:rsidRDefault="008A7115" w:rsidP="008A7115">
            <w:pPr>
              <w:spacing w:after="0"/>
              <w:rPr>
                <w:rFonts w:cs="Calibri"/>
              </w:rPr>
            </w:pPr>
            <w:r>
              <w:rPr>
                <w:rFonts w:cs="Calibri"/>
              </w:rPr>
              <w:lastRenderedPageBreak/>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31D085" w14:textId="0F4F87FD" w:rsidR="008A7115" w:rsidRDefault="008A7115" w:rsidP="008A7115">
            <w:pPr>
              <w:spacing w:after="0"/>
              <w:rPr>
                <w:rFonts w:cs="Calibri"/>
              </w:rPr>
            </w:pPr>
            <w:r>
              <w:rPr>
                <w:rFonts w:cs="Calibri"/>
              </w:rPr>
              <w:t>Sud Sardegna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193B16" w14:textId="7866A76A" w:rsidR="008A7115" w:rsidRDefault="008A7115" w:rsidP="008A7115">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8FC7A61" w14:textId="26AF2C8B" w:rsidR="008A7115" w:rsidRPr="00CF076F" w:rsidRDefault="008A7115" w:rsidP="008A7115">
            <w:pPr>
              <w:spacing w:after="0"/>
              <w:jc w:val="center"/>
              <w:rPr>
                <w:rFonts w:cs="Calibri"/>
                <w:color w:val="006100"/>
              </w:rPr>
            </w:pPr>
            <w:r w:rsidRPr="008A7115">
              <w:rPr>
                <w:rFonts w:cs="Calibri"/>
                <w:color w:val="006100"/>
              </w:rPr>
              <w:t>-15,5%</w:t>
            </w:r>
          </w:p>
        </w:tc>
      </w:tr>
      <w:tr w:rsidR="008A7115" w:rsidRPr="00CF5B4E" w14:paraId="131781E5"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9A5C8" w14:textId="78588EA6" w:rsidR="008A7115" w:rsidRDefault="008A7115" w:rsidP="008A7115">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B9D40E" w14:textId="6926B809" w:rsidR="008A7115" w:rsidRDefault="008A7115" w:rsidP="008A7115">
            <w:pPr>
              <w:spacing w:after="0"/>
              <w:rPr>
                <w:rFonts w:cs="Calibri"/>
              </w:rPr>
            </w:pPr>
            <w:r>
              <w:rPr>
                <w:rFonts w:cs="Calibri"/>
              </w:rPr>
              <w:t>Nuoro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08F43A" w14:textId="7B45DD98" w:rsidR="008A7115" w:rsidRDefault="008A7115" w:rsidP="008A7115">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88E386D" w14:textId="07F48D9F" w:rsidR="008A7115" w:rsidRPr="00CF076F" w:rsidRDefault="008A7115" w:rsidP="008A7115">
            <w:pPr>
              <w:spacing w:after="0"/>
              <w:jc w:val="center"/>
              <w:rPr>
                <w:rFonts w:cs="Calibri"/>
                <w:color w:val="006100"/>
              </w:rPr>
            </w:pPr>
            <w:r w:rsidRPr="008A7115">
              <w:rPr>
                <w:rFonts w:cs="Calibri"/>
                <w:color w:val="9C0006"/>
              </w:rPr>
              <w:t>29,7%</w:t>
            </w:r>
          </w:p>
        </w:tc>
      </w:tr>
      <w:tr w:rsidR="008A7115" w:rsidRPr="00CF5B4E" w14:paraId="622B409D"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DEEEEF" w14:textId="63AB7CDF" w:rsidR="008A7115" w:rsidRDefault="008A7115" w:rsidP="008A7115">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80F7E8" w14:textId="3ABD1BED" w:rsidR="008A7115" w:rsidRDefault="008A7115" w:rsidP="008A7115">
            <w:pPr>
              <w:spacing w:after="0"/>
              <w:rPr>
                <w:rFonts w:cs="Calibri"/>
              </w:rPr>
            </w:pPr>
            <w:r>
              <w:rPr>
                <w:rFonts w:cs="Calibri"/>
              </w:rPr>
              <w:t>Sassari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B331C9" w14:textId="097E2A6D" w:rsidR="008A7115" w:rsidRDefault="008A7115" w:rsidP="008A7115">
            <w:pPr>
              <w:spacing w:after="0"/>
              <w:jc w:val="center"/>
              <w:rPr>
                <w:rFonts w:cs="Calibri"/>
              </w:rPr>
            </w:pPr>
            <w:r>
              <w:rPr>
                <w:rFonts w:cs="Calibri"/>
              </w:rPr>
              <w:t xml:space="preserve">              21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89AFD4" w14:textId="30C12392" w:rsidR="008A7115" w:rsidRPr="00CF076F" w:rsidRDefault="008A7115" w:rsidP="008A7115">
            <w:pPr>
              <w:spacing w:after="0"/>
              <w:jc w:val="center"/>
              <w:rPr>
                <w:rFonts w:cs="Calibri"/>
                <w:color w:val="006100"/>
              </w:rPr>
            </w:pPr>
            <w:r w:rsidRPr="008A7115">
              <w:rPr>
                <w:rFonts w:cs="Calibri"/>
                <w:color w:val="006100"/>
              </w:rPr>
              <w:t>-33,3%</w:t>
            </w:r>
          </w:p>
        </w:tc>
      </w:tr>
      <w:tr w:rsidR="008A7115" w:rsidRPr="00CF5B4E" w14:paraId="2C816D52"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05AB6C1" w14:textId="17799238"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21DD49" w14:textId="30FBC146" w:rsidR="008A7115" w:rsidRDefault="008A7115" w:rsidP="008A7115">
            <w:pPr>
              <w:spacing w:after="0"/>
              <w:rPr>
                <w:rFonts w:cs="Calibri"/>
              </w:rPr>
            </w:pPr>
            <w:r>
              <w:rPr>
                <w:rFonts w:cs="Calibri"/>
              </w:rPr>
              <w:t>Palermo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3304D2" w14:textId="3764BDA0" w:rsidR="008A7115" w:rsidRDefault="008A7115" w:rsidP="008A7115">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14CDB2E" w14:textId="4D2FFC4D" w:rsidR="008A7115" w:rsidRPr="00CF076F" w:rsidRDefault="008A7115" w:rsidP="008A7115">
            <w:pPr>
              <w:spacing w:after="0"/>
              <w:jc w:val="center"/>
              <w:rPr>
                <w:rFonts w:cs="Calibri"/>
                <w:color w:val="006100"/>
              </w:rPr>
            </w:pPr>
            <w:r w:rsidRPr="008A7115">
              <w:rPr>
                <w:rFonts w:cs="Calibri"/>
                <w:color w:val="9C0006"/>
              </w:rPr>
              <w:t>3,1%</w:t>
            </w:r>
          </w:p>
        </w:tc>
      </w:tr>
      <w:tr w:rsidR="008A7115" w:rsidRPr="00CF5B4E" w14:paraId="5569A7E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4BB522" w14:textId="1F5B7A40"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0CB17" w14:textId="734FAD21" w:rsidR="008A7115" w:rsidRDefault="008A7115" w:rsidP="008A7115">
            <w:pPr>
              <w:spacing w:after="0"/>
              <w:rPr>
                <w:rFonts w:cs="Calibri"/>
              </w:rPr>
            </w:pPr>
            <w:r>
              <w:rPr>
                <w:rFonts w:cs="Calibri"/>
              </w:rPr>
              <w:t>Agrigento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2C275F" w14:textId="09F526BE" w:rsidR="008A7115" w:rsidRDefault="008A7115" w:rsidP="008A7115">
            <w:pPr>
              <w:spacing w:after="0"/>
              <w:jc w:val="center"/>
              <w:rPr>
                <w:rFonts w:cs="Calibri"/>
              </w:rPr>
            </w:pPr>
            <w:r>
              <w:rPr>
                <w:rFonts w:cs="Calibri"/>
              </w:rPr>
              <w:t xml:space="preserve">              27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EF1E49" w14:textId="3C3A484A" w:rsidR="008A7115" w:rsidRPr="00CF076F" w:rsidRDefault="008A7115" w:rsidP="008A7115">
            <w:pPr>
              <w:spacing w:after="0"/>
              <w:jc w:val="center"/>
              <w:rPr>
                <w:rFonts w:cs="Calibri"/>
                <w:color w:val="006100"/>
              </w:rPr>
            </w:pPr>
            <w:r>
              <w:rPr>
                <w:rFonts w:cs="Calibri"/>
                <w:color w:val="006100"/>
              </w:rPr>
              <w:t>-17,5%</w:t>
            </w:r>
          </w:p>
        </w:tc>
      </w:tr>
      <w:tr w:rsidR="008A7115" w:rsidRPr="00CF5B4E" w14:paraId="531C41BF"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5AB9B5" w14:textId="05B38D6E"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933377" w14:textId="07AA2C82" w:rsidR="008A7115" w:rsidRDefault="008A7115" w:rsidP="008A7115">
            <w:pPr>
              <w:spacing w:after="0"/>
              <w:rPr>
                <w:rFonts w:cs="Calibri"/>
              </w:rPr>
            </w:pPr>
            <w:r>
              <w:rPr>
                <w:rFonts w:cs="Calibri"/>
              </w:rPr>
              <w:t>Trapani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2A267C" w14:textId="36D0B80E" w:rsidR="008A7115" w:rsidRDefault="008A7115" w:rsidP="008A7115">
            <w:pPr>
              <w:spacing w:after="0"/>
              <w:jc w:val="center"/>
              <w:rPr>
                <w:rFonts w:cs="Calibri"/>
              </w:rPr>
            </w:pPr>
            <w:r>
              <w:rPr>
                <w:rFonts w:cs="Calibri"/>
              </w:rPr>
              <w:t xml:space="preserve">              26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E133D1C" w14:textId="11F20FE2" w:rsidR="008A7115" w:rsidRPr="00CF076F" w:rsidRDefault="008A7115" w:rsidP="008A7115">
            <w:pPr>
              <w:spacing w:after="0"/>
              <w:jc w:val="center"/>
              <w:rPr>
                <w:rFonts w:cs="Calibri"/>
                <w:color w:val="006100"/>
              </w:rPr>
            </w:pPr>
            <w:r>
              <w:rPr>
                <w:rFonts w:cs="Calibri"/>
                <w:color w:val="006100"/>
              </w:rPr>
              <w:t>-24,1%</w:t>
            </w:r>
          </w:p>
        </w:tc>
      </w:tr>
      <w:tr w:rsidR="008A7115" w:rsidRPr="00CF5B4E" w14:paraId="52A014C4"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132FC6" w14:textId="643584F7"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1CB4A4" w14:textId="102CA044" w:rsidR="008A7115" w:rsidRDefault="008A7115" w:rsidP="008A7115">
            <w:pPr>
              <w:spacing w:after="0"/>
              <w:rPr>
                <w:rFonts w:cs="Calibri"/>
              </w:rPr>
            </w:pPr>
            <w:r>
              <w:rPr>
                <w:rFonts w:cs="Calibri"/>
              </w:rPr>
              <w:t>Siracusa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4ADF35" w14:textId="5C6EF581" w:rsidR="008A7115" w:rsidRDefault="008A7115" w:rsidP="008A7115">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461AFC0" w14:textId="06F94F11" w:rsidR="008A7115" w:rsidRPr="008A7115" w:rsidRDefault="008A7115" w:rsidP="008A7115">
            <w:pPr>
              <w:spacing w:after="0"/>
              <w:jc w:val="center"/>
              <w:rPr>
                <w:rFonts w:cs="Calibri"/>
                <w:color w:val="006100"/>
              </w:rPr>
            </w:pPr>
            <w:r w:rsidRPr="008A7115">
              <w:rPr>
                <w:rFonts w:cs="Calibri"/>
                <w:color w:val="006100"/>
              </w:rPr>
              <w:t>-8,7%</w:t>
            </w:r>
          </w:p>
        </w:tc>
      </w:tr>
      <w:tr w:rsidR="008A7115" w:rsidRPr="00CF5B4E" w14:paraId="2B77AA09"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498FFF" w14:textId="2A6421A3"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261FF3" w14:textId="54079FCB" w:rsidR="008A7115" w:rsidRDefault="008A7115" w:rsidP="008A7115">
            <w:pPr>
              <w:spacing w:after="0"/>
              <w:rPr>
                <w:rFonts w:cs="Calibri"/>
              </w:rPr>
            </w:pPr>
            <w:r>
              <w:rPr>
                <w:rFonts w:cs="Calibri"/>
              </w:rPr>
              <w:t>Messina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A47FD9" w14:textId="2097FE41" w:rsidR="008A7115" w:rsidRDefault="008A7115" w:rsidP="008A7115">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1C9881E" w14:textId="18F626B7" w:rsidR="008A7115" w:rsidRPr="008A7115" w:rsidRDefault="008A7115" w:rsidP="008A7115">
            <w:pPr>
              <w:spacing w:after="0"/>
              <w:jc w:val="center"/>
              <w:rPr>
                <w:rFonts w:cs="Calibri"/>
                <w:color w:val="006100"/>
              </w:rPr>
            </w:pPr>
            <w:r w:rsidRPr="008A7115">
              <w:rPr>
                <w:rFonts w:cs="Calibri"/>
                <w:color w:val="006100"/>
              </w:rPr>
              <w:t>-1,4%</w:t>
            </w:r>
          </w:p>
        </w:tc>
      </w:tr>
      <w:tr w:rsidR="008A7115" w:rsidRPr="00CF5B4E" w14:paraId="4DB52D93"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C2EB86" w14:textId="1F3FC42D"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22C66" w14:textId="2D937825" w:rsidR="008A7115" w:rsidRDefault="008A7115" w:rsidP="008A7115">
            <w:pPr>
              <w:spacing w:after="0"/>
              <w:rPr>
                <w:rFonts w:cs="Calibri"/>
              </w:rPr>
            </w:pPr>
            <w:r>
              <w:rPr>
                <w:rFonts w:cs="Calibri"/>
              </w:rPr>
              <w:t>Catania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FE3227" w14:textId="587C6EFD" w:rsidR="008A7115" w:rsidRDefault="008A7115" w:rsidP="008A7115">
            <w:pPr>
              <w:spacing w:after="0"/>
              <w:jc w:val="center"/>
              <w:rPr>
                <w:rFonts w:cs="Calibri"/>
              </w:rPr>
            </w:pPr>
            <w:r>
              <w:rPr>
                <w:rFonts w:cs="Calibri"/>
              </w:rPr>
              <w:t xml:space="preserve">              12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FD6C7A0" w14:textId="6E804BE7" w:rsidR="008A7115" w:rsidRPr="008A7115" w:rsidRDefault="008A7115" w:rsidP="008A7115">
            <w:pPr>
              <w:spacing w:after="0"/>
              <w:jc w:val="center"/>
              <w:rPr>
                <w:rFonts w:cs="Calibri"/>
                <w:color w:val="006100"/>
              </w:rPr>
            </w:pPr>
            <w:r w:rsidRPr="008A7115">
              <w:rPr>
                <w:rFonts w:cs="Calibri"/>
                <w:color w:val="006100"/>
              </w:rPr>
              <w:t>-29,0%</w:t>
            </w:r>
          </w:p>
        </w:tc>
      </w:tr>
      <w:tr w:rsidR="008A7115" w:rsidRPr="00CF5B4E" w14:paraId="3990DA60"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A2422F" w14:textId="79621D3C"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D1E07C" w14:textId="13026146" w:rsidR="008A7115" w:rsidRDefault="008A7115" w:rsidP="008A7115">
            <w:pPr>
              <w:spacing w:after="0"/>
              <w:rPr>
                <w:rFonts w:cs="Calibri"/>
              </w:rPr>
            </w:pPr>
            <w:r>
              <w:rPr>
                <w:rFonts w:cs="Calibri"/>
              </w:rPr>
              <w:t>Caltanissetta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9DE5F6" w14:textId="73733537" w:rsidR="008A7115" w:rsidRDefault="008A7115" w:rsidP="008A7115">
            <w:pPr>
              <w:spacing w:after="0"/>
              <w:jc w:val="center"/>
              <w:rPr>
                <w:rFonts w:cs="Calibri"/>
              </w:rPr>
            </w:pPr>
            <w:r>
              <w:rPr>
                <w:rFonts w:cs="Calibri"/>
              </w:rPr>
              <w:t xml:space="preserve">              11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8C0460" w14:textId="5558F97B" w:rsidR="008A7115" w:rsidRPr="008A7115" w:rsidRDefault="008A7115" w:rsidP="008A7115">
            <w:pPr>
              <w:spacing w:after="0"/>
              <w:jc w:val="center"/>
              <w:rPr>
                <w:rFonts w:cs="Calibri"/>
                <w:color w:val="006100"/>
              </w:rPr>
            </w:pPr>
            <w:r w:rsidRPr="008A7115">
              <w:rPr>
                <w:rFonts w:cs="Calibri"/>
                <w:color w:val="006100"/>
              </w:rPr>
              <w:t>-10,0%</w:t>
            </w:r>
          </w:p>
        </w:tc>
      </w:tr>
      <w:tr w:rsidR="008A7115" w:rsidRPr="00CF5B4E" w14:paraId="423219C6"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166653" w14:textId="15F8172C"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76042A3" w14:textId="5F753522" w:rsidR="008A7115" w:rsidRDefault="008A7115" w:rsidP="008A7115">
            <w:pPr>
              <w:spacing w:after="0"/>
              <w:rPr>
                <w:rFonts w:cs="Calibri"/>
              </w:rPr>
            </w:pPr>
            <w:r>
              <w:rPr>
                <w:rFonts w:cs="Calibri"/>
              </w:rPr>
              <w:t>Ragusa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E941CD" w14:textId="235BB191" w:rsidR="008A7115" w:rsidRDefault="008A7115" w:rsidP="008A7115">
            <w:pPr>
              <w:spacing w:after="0"/>
              <w:jc w:val="center"/>
              <w:rPr>
                <w:rFonts w:cs="Calibri"/>
              </w:rPr>
            </w:pPr>
            <w:r>
              <w:rPr>
                <w:rFonts w:cs="Calibri"/>
              </w:rPr>
              <w:t xml:space="preserve">              10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98E4677" w14:textId="18626405" w:rsidR="008A7115" w:rsidRPr="008A7115" w:rsidRDefault="008A7115" w:rsidP="008A7115">
            <w:pPr>
              <w:spacing w:after="0"/>
              <w:jc w:val="center"/>
              <w:rPr>
                <w:rFonts w:cs="Calibri"/>
                <w:color w:val="006100"/>
              </w:rPr>
            </w:pPr>
            <w:r w:rsidRPr="008A7115">
              <w:rPr>
                <w:rFonts w:cs="Calibri"/>
                <w:color w:val="006100"/>
              </w:rPr>
              <w:t>-16,7%</w:t>
            </w:r>
          </w:p>
        </w:tc>
      </w:tr>
      <w:tr w:rsidR="008A7115" w:rsidRPr="00CF5B4E" w14:paraId="55C296C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71392E7" w14:textId="571DCC02" w:rsidR="008A7115" w:rsidRDefault="008A7115" w:rsidP="008A7115">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F776D1" w14:textId="7BB6F00B" w:rsidR="008A7115" w:rsidRDefault="008A7115" w:rsidP="008A7115">
            <w:pPr>
              <w:spacing w:after="0"/>
              <w:rPr>
                <w:rFonts w:cs="Calibri"/>
              </w:rPr>
            </w:pPr>
            <w:r>
              <w:rPr>
                <w:rFonts w:cs="Calibri"/>
              </w:rPr>
              <w:t>Enna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961409" w14:textId="5E1F515F" w:rsidR="008A7115" w:rsidRDefault="008A7115" w:rsidP="008A7115">
            <w:pPr>
              <w:spacing w:after="0"/>
              <w:jc w:val="center"/>
              <w:rPr>
                <w:rFonts w:cs="Calibri"/>
              </w:rPr>
            </w:pPr>
            <w:r>
              <w:rPr>
                <w:rFonts w:cs="Calibri"/>
              </w:rPr>
              <w:t xml:space="preserve">                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8B4429" w14:textId="72A94B0A" w:rsidR="008A7115" w:rsidRPr="008A7115" w:rsidRDefault="008A7115" w:rsidP="008A7115">
            <w:pPr>
              <w:spacing w:after="0"/>
              <w:jc w:val="center"/>
              <w:rPr>
                <w:rFonts w:cs="Calibri"/>
                <w:color w:val="006100"/>
              </w:rPr>
            </w:pPr>
            <w:r w:rsidRPr="008A7115">
              <w:rPr>
                <w:rFonts w:cs="Calibri"/>
                <w:color w:val="006100"/>
              </w:rPr>
              <w:t>-30,8%</w:t>
            </w:r>
          </w:p>
        </w:tc>
      </w:tr>
      <w:tr w:rsidR="008A7115" w:rsidRPr="00CF5B4E" w14:paraId="78A6011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1F7836" w14:textId="0BF547C1"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536544" w14:textId="1A9F403A" w:rsidR="008A7115" w:rsidRDefault="008A7115" w:rsidP="008A7115">
            <w:pPr>
              <w:spacing w:after="0"/>
              <w:rPr>
                <w:rFonts w:cs="Calibri"/>
              </w:rPr>
            </w:pPr>
            <w:r>
              <w:rPr>
                <w:rFonts w:cs="Calibri"/>
              </w:rPr>
              <w:t>Siena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60BDA3" w14:textId="58BD7862" w:rsidR="008A7115" w:rsidRDefault="008A7115" w:rsidP="008A7115">
            <w:pPr>
              <w:spacing w:after="0"/>
              <w:jc w:val="center"/>
              <w:rPr>
                <w:rFonts w:cs="Calibri"/>
              </w:rPr>
            </w:pPr>
            <w:r>
              <w:rPr>
                <w:rFonts w:cs="Calibri"/>
              </w:rPr>
              <w:t xml:space="preserve">              69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758118C" w14:textId="22148F1C" w:rsidR="008A7115" w:rsidRPr="008A7115" w:rsidRDefault="008A7115" w:rsidP="008A7115">
            <w:pPr>
              <w:spacing w:after="0"/>
              <w:jc w:val="center"/>
              <w:rPr>
                <w:rFonts w:cs="Calibri"/>
                <w:color w:val="9C0006"/>
              </w:rPr>
            </w:pPr>
            <w:r w:rsidRPr="008A7115">
              <w:rPr>
                <w:rFonts w:cs="Calibri"/>
                <w:color w:val="9C0006"/>
              </w:rPr>
              <w:t>5,2%</w:t>
            </w:r>
          </w:p>
        </w:tc>
      </w:tr>
      <w:tr w:rsidR="008A7115" w:rsidRPr="00CF5B4E" w14:paraId="5661449D"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8502BD" w14:textId="17E37198"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C6BA70" w14:textId="3707BF40" w:rsidR="008A7115" w:rsidRDefault="008A7115" w:rsidP="008A7115">
            <w:pPr>
              <w:spacing w:after="0"/>
              <w:rPr>
                <w:rFonts w:cs="Calibri"/>
              </w:rPr>
            </w:pPr>
            <w:r>
              <w:rPr>
                <w:rFonts w:cs="Calibri"/>
              </w:rPr>
              <w:t>Grosseto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EB5A38" w14:textId="32D661E5" w:rsidR="008A7115" w:rsidRDefault="008A7115" w:rsidP="008A7115">
            <w:pPr>
              <w:spacing w:after="0"/>
              <w:jc w:val="center"/>
              <w:rPr>
                <w:rFonts w:cs="Calibri"/>
              </w:rPr>
            </w:pPr>
            <w:r>
              <w:rPr>
                <w:rFonts w:cs="Calibri"/>
              </w:rPr>
              <w:t xml:space="preserve">              50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9F0CFD0" w14:textId="0779AF80" w:rsidR="008A7115" w:rsidRPr="008A7115" w:rsidRDefault="008A7115" w:rsidP="008A7115">
            <w:pPr>
              <w:spacing w:after="0"/>
              <w:jc w:val="center"/>
              <w:rPr>
                <w:rFonts w:cs="Calibri"/>
                <w:color w:val="9C0006"/>
              </w:rPr>
            </w:pPr>
            <w:r w:rsidRPr="008A7115">
              <w:rPr>
                <w:rFonts w:cs="Calibri"/>
                <w:color w:val="9C0006"/>
              </w:rPr>
              <w:t>10,0%</w:t>
            </w:r>
          </w:p>
        </w:tc>
      </w:tr>
      <w:tr w:rsidR="008A7115" w:rsidRPr="00CF5B4E" w14:paraId="50E76A1C"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922402" w14:textId="76DEED02"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C4CEC" w14:textId="21F593C0" w:rsidR="008A7115" w:rsidRDefault="008A7115" w:rsidP="008A7115">
            <w:pPr>
              <w:spacing w:after="0"/>
              <w:rPr>
                <w:rFonts w:cs="Calibri"/>
              </w:rPr>
            </w:pPr>
            <w:r>
              <w:rPr>
                <w:rFonts w:cs="Calibri"/>
              </w:rPr>
              <w:t>Arezzo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9FDEA9" w14:textId="467F36B7" w:rsidR="008A7115" w:rsidRDefault="008A7115" w:rsidP="008A7115">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42DECEF" w14:textId="01DB0F98" w:rsidR="008A7115" w:rsidRPr="008A7115" w:rsidRDefault="008A7115" w:rsidP="008A7115">
            <w:pPr>
              <w:spacing w:after="0"/>
              <w:jc w:val="center"/>
              <w:rPr>
                <w:rFonts w:cs="Calibri"/>
                <w:color w:val="9C0006"/>
              </w:rPr>
            </w:pPr>
            <w:r w:rsidRPr="008A7115">
              <w:rPr>
                <w:rFonts w:cs="Calibri"/>
                <w:color w:val="9C0006"/>
              </w:rPr>
              <w:t>41,7%</w:t>
            </w:r>
          </w:p>
        </w:tc>
      </w:tr>
      <w:tr w:rsidR="008A7115" w:rsidRPr="00CF5B4E" w14:paraId="26EC9DD4"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E937B" w14:textId="1BC57101"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CB152" w14:textId="3A5DC24F" w:rsidR="008A7115" w:rsidRDefault="008A7115" w:rsidP="008A7115">
            <w:pPr>
              <w:spacing w:after="0"/>
              <w:rPr>
                <w:rFonts w:cs="Calibri"/>
              </w:rPr>
            </w:pPr>
            <w:r>
              <w:rPr>
                <w:rFonts w:cs="Calibri"/>
              </w:rPr>
              <w:t>Lucca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BB763F" w14:textId="67F6C2EC" w:rsidR="008A7115" w:rsidRDefault="008A7115" w:rsidP="008A7115">
            <w:pPr>
              <w:spacing w:after="0"/>
              <w:jc w:val="center"/>
              <w:rPr>
                <w:rFonts w:cs="Calibri"/>
              </w:rPr>
            </w:pPr>
            <w:r>
              <w:rPr>
                <w:rFonts w:cs="Calibri"/>
              </w:rPr>
              <w:t xml:space="preserve">              39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2B4389D" w14:textId="30DA39CA" w:rsidR="008A7115" w:rsidRPr="00CF076F" w:rsidRDefault="008A7115" w:rsidP="008A7115">
            <w:pPr>
              <w:spacing w:after="0"/>
              <w:jc w:val="center"/>
              <w:rPr>
                <w:rFonts w:cs="Calibri"/>
                <w:color w:val="006100"/>
              </w:rPr>
            </w:pPr>
            <w:r w:rsidRPr="008A7115">
              <w:rPr>
                <w:rFonts w:cs="Calibri"/>
                <w:color w:val="006100"/>
              </w:rPr>
              <w:t>-7,9%</w:t>
            </w:r>
          </w:p>
        </w:tc>
      </w:tr>
      <w:tr w:rsidR="008A7115" w:rsidRPr="00CF5B4E" w14:paraId="2E562307"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6F89BB" w14:textId="5D865A3C"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03C237" w14:textId="769F105B" w:rsidR="008A7115" w:rsidRDefault="008A7115" w:rsidP="008A7115">
            <w:pPr>
              <w:spacing w:after="0"/>
              <w:rPr>
                <w:rFonts w:cs="Calibri"/>
              </w:rPr>
            </w:pPr>
            <w:r>
              <w:rPr>
                <w:rFonts w:cs="Calibri"/>
              </w:rPr>
              <w:t>Pisa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3EBEC7" w14:textId="68539266" w:rsidR="008A7115" w:rsidRDefault="008A7115" w:rsidP="008A7115">
            <w:pPr>
              <w:spacing w:after="0"/>
              <w:jc w:val="center"/>
              <w:rPr>
                <w:rFonts w:cs="Calibri"/>
              </w:rPr>
            </w:pPr>
            <w:r>
              <w:rPr>
                <w:rFonts w:cs="Calibri"/>
              </w:rPr>
              <w:t xml:space="preserve">              37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929A970" w14:textId="304A8BC8" w:rsidR="008A7115" w:rsidRPr="00CF076F" w:rsidRDefault="008A7115" w:rsidP="008A7115">
            <w:pPr>
              <w:spacing w:after="0"/>
              <w:jc w:val="center"/>
              <w:rPr>
                <w:rFonts w:cs="Calibri"/>
                <w:color w:val="006100"/>
              </w:rPr>
            </w:pPr>
            <w:r w:rsidRPr="008A7115">
              <w:rPr>
                <w:rFonts w:cs="Calibri"/>
                <w:color w:val="9C0006"/>
              </w:rPr>
              <w:t>6,8%</w:t>
            </w:r>
          </w:p>
        </w:tc>
      </w:tr>
      <w:tr w:rsidR="008A7115" w:rsidRPr="00CF5B4E" w14:paraId="1FE3FBA7"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8A8841" w14:textId="7A73C42A"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99EEBF" w14:textId="2340ED34" w:rsidR="008A7115" w:rsidRDefault="008A7115" w:rsidP="008A7115">
            <w:pPr>
              <w:spacing w:after="0"/>
              <w:rPr>
                <w:rFonts w:cs="Calibri"/>
              </w:rPr>
            </w:pPr>
            <w:r>
              <w:rPr>
                <w:rFonts w:cs="Calibri"/>
              </w:rPr>
              <w:t>Firenze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68D3A7" w14:textId="70FF2B98" w:rsidR="008A7115" w:rsidRDefault="008A7115" w:rsidP="008A7115">
            <w:pPr>
              <w:spacing w:after="0"/>
              <w:jc w:val="center"/>
              <w:rPr>
                <w:rFonts w:cs="Calibri"/>
              </w:rPr>
            </w:pPr>
            <w:r>
              <w:rPr>
                <w:rFonts w:cs="Calibri"/>
              </w:rPr>
              <w:t xml:space="preserve">              35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E8C8555" w14:textId="776D6704" w:rsidR="008A7115" w:rsidRPr="008A7115" w:rsidRDefault="008A7115" w:rsidP="008A7115">
            <w:pPr>
              <w:spacing w:after="0"/>
              <w:jc w:val="center"/>
              <w:rPr>
                <w:rFonts w:cs="Calibri"/>
                <w:color w:val="006100"/>
              </w:rPr>
            </w:pPr>
            <w:r w:rsidRPr="008A7115">
              <w:rPr>
                <w:rFonts w:cs="Calibri"/>
                <w:color w:val="006100"/>
              </w:rPr>
              <w:t>-10,9%</w:t>
            </w:r>
          </w:p>
        </w:tc>
      </w:tr>
      <w:tr w:rsidR="008A7115" w:rsidRPr="00CF5B4E" w14:paraId="3976F6FB"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39ED32" w14:textId="537EB83A"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4D3B22" w14:textId="0B1CDC11" w:rsidR="008A7115" w:rsidRDefault="008A7115" w:rsidP="008A7115">
            <w:pPr>
              <w:spacing w:after="0"/>
              <w:rPr>
                <w:rFonts w:cs="Calibri"/>
              </w:rPr>
            </w:pPr>
            <w:r>
              <w:rPr>
                <w:rFonts w:cs="Calibri"/>
              </w:rPr>
              <w:t>Livorno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AE24204" w14:textId="6029CB50" w:rsidR="008A7115" w:rsidRDefault="008A7115" w:rsidP="008A7115">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50B9C45" w14:textId="73A89096" w:rsidR="008A7115" w:rsidRPr="008A7115" w:rsidRDefault="008A7115" w:rsidP="008A7115">
            <w:pPr>
              <w:spacing w:after="0"/>
              <w:jc w:val="center"/>
              <w:rPr>
                <w:rFonts w:cs="Calibri"/>
                <w:color w:val="006100"/>
              </w:rPr>
            </w:pPr>
            <w:r w:rsidRPr="008A7115">
              <w:rPr>
                <w:rFonts w:cs="Calibri"/>
                <w:color w:val="006100"/>
              </w:rPr>
              <w:t>-10,8%</w:t>
            </w:r>
          </w:p>
        </w:tc>
      </w:tr>
      <w:tr w:rsidR="008A7115" w:rsidRPr="00CF5B4E" w14:paraId="5353CB3A"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EDD4F3" w14:textId="6CBEA12F"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0F38FA" w14:textId="2779C9C1" w:rsidR="008A7115" w:rsidRDefault="008A7115" w:rsidP="008A7115">
            <w:pPr>
              <w:spacing w:after="0"/>
              <w:rPr>
                <w:rFonts w:cs="Calibri"/>
              </w:rPr>
            </w:pPr>
            <w:r>
              <w:rPr>
                <w:rFonts w:cs="Calibri"/>
              </w:rPr>
              <w:t>Prato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09D2B2" w14:textId="06FC99BA" w:rsidR="008A7115" w:rsidRDefault="008A7115" w:rsidP="008A7115">
            <w:pPr>
              <w:spacing w:after="0"/>
              <w:jc w:val="center"/>
              <w:rPr>
                <w:rFonts w:cs="Calibri"/>
              </w:rPr>
            </w:pPr>
            <w:r>
              <w:rPr>
                <w:rFonts w:cs="Calibri"/>
              </w:rPr>
              <w:t xml:space="preserve">              28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0E4C484" w14:textId="20EF6EA0" w:rsidR="008A7115" w:rsidRPr="008A7115" w:rsidRDefault="008A7115" w:rsidP="008A7115">
            <w:pPr>
              <w:spacing w:after="0"/>
              <w:jc w:val="center"/>
              <w:rPr>
                <w:rFonts w:cs="Calibri"/>
                <w:color w:val="9C0006"/>
              </w:rPr>
            </w:pPr>
            <w:r w:rsidRPr="008A7115">
              <w:rPr>
                <w:rFonts w:cs="Calibri"/>
                <w:color w:val="9C0006"/>
              </w:rPr>
              <w:t>5,8%</w:t>
            </w:r>
          </w:p>
        </w:tc>
      </w:tr>
      <w:tr w:rsidR="008A7115" w:rsidRPr="00CF5B4E" w14:paraId="0DA11C22"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A850A7" w14:textId="1E7A188A"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2AF5AD" w14:textId="6459262E" w:rsidR="008A7115" w:rsidRDefault="008A7115" w:rsidP="008A7115">
            <w:pPr>
              <w:spacing w:after="0"/>
              <w:rPr>
                <w:rFonts w:cs="Calibri"/>
              </w:rPr>
            </w:pPr>
            <w:r>
              <w:rPr>
                <w:rFonts w:cs="Calibri"/>
              </w:rPr>
              <w:t>Pistoia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F1FD3F9" w14:textId="54AE6D79" w:rsidR="008A7115" w:rsidRDefault="008A7115" w:rsidP="008A7115">
            <w:pPr>
              <w:spacing w:after="0"/>
              <w:jc w:val="center"/>
              <w:rPr>
                <w:rFonts w:cs="Calibri"/>
              </w:rPr>
            </w:pPr>
            <w:r>
              <w:rPr>
                <w:rFonts w:cs="Calibri"/>
              </w:rPr>
              <w:t xml:space="preserve">              24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313E766" w14:textId="23FE9496" w:rsidR="008A7115" w:rsidRPr="008A7115" w:rsidRDefault="008A7115" w:rsidP="008A7115">
            <w:pPr>
              <w:spacing w:after="0"/>
              <w:jc w:val="center"/>
              <w:rPr>
                <w:rFonts w:cs="Calibri"/>
                <w:color w:val="9C0006"/>
              </w:rPr>
            </w:pPr>
            <w:r w:rsidRPr="008A7115">
              <w:rPr>
                <w:rFonts w:cs="Calibri"/>
                <w:color w:val="9C0006"/>
              </w:rPr>
              <w:t>40,8%</w:t>
            </w:r>
          </w:p>
        </w:tc>
      </w:tr>
      <w:tr w:rsidR="008A7115" w:rsidRPr="00CF5B4E" w14:paraId="027C102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C1034A" w14:textId="55627F82" w:rsidR="008A7115" w:rsidRDefault="008A7115" w:rsidP="008A7115">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A81DE7" w14:textId="49AC85FF" w:rsidR="008A7115" w:rsidRDefault="008A7115" w:rsidP="008A7115">
            <w:pPr>
              <w:spacing w:after="0"/>
              <w:rPr>
                <w:rFonts w:cs="Calibri"/>
              </w:rPr>
            </w:pPr>
            <w:r>
              <w:rPr>
                <w:rFonts w:cs="Calibri"/>
              </w:rPr>
              <w:t>Massa Carrara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8FEFAD" w14:textId="0415C6F6" w:rsidR="008A7115" w:rsidRDefault="008A7115" w:rsidP="008A7115">
            <w:pPr>
              <w:spacing w:after="0"/>
              <w:jc w:val="center"/>
              <w:rPr>
                <w:rFonts w:cs="Calibri"/>
              </w:rPr>
            </w:pPr>
            <w:r>
              <w:rPr>
                <w:rFonts w:cs="Calibri"/>
              </w:rPr>
              <w:t xml:space="preserve">              17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FEA81A3" w14:textId="57F20BDE" w:rsidR="008A7115" w:rsidRPr="008A7115" w:rsidRDefault="008A7115" w:rsidP="008A7115">
            <w:pPr>
              <w:spacing w:after="0"/>
              <w:jc w:val="center"/>
              <w:rPr>
                <w:rFonts w:cs="Calibri"/>
                <w:color w:val="006100"/>
              </w:rPr>
            </w:pPr>
            <w:r w:rsidRPr="008A7115">
              <w:rPr>
                <w:rFonts w:cs="Calibri"/>
                <w:color w:val="006100"/>
              </w:rPr>
              <w:t>-29,8%</w:t>
            </w:r>
          </w:p>
        </w:tc>
      </w:tr>
      <w:tr w:rsidR="008A7115" w:rsidRPr="00CF5B4E" w14:paraId="6877154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836128" w14:textId="47B1D3C1" w:rsidR="008A7115" w:rsidRDefault="008A7115" w:rsidP="008A7115">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332AF5" w14:textId="2D521AB1" w:rsidR="008A7115" w:rsidRDefault="008A7115" w:rsidP="008A7115">
            <w:pPr>
              <w:spacing w:after="0"/>
              <w:rPr>
                <w:rFonts w:cs="Calibri"/>
              </w:rPr>
            </w:pPr>
            <w:r>
              <w:rPr>
                <w:rFonts w:cs="Calibri"/>
              </w:rPr>
              <w:t>Perugia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03A0F1" w14:textId="692BC20B" w:rsidR="008A7115" w:rsidRDefault="008A7115" w:rsidP="008A7115">
            <w:pPr>
              <w:spacing w:after="0"/>
              <w:jc w:val="center"/>
              <w:rPr>
                <w:rFonts w:cs="Calibri"/>
              </w:rPr>
            </w:pPr>
            <w:r>
              <w:rPr>
                <w:rFonts w:cs="Calibri"/>
              </w:rPr>
              <w:t xml:space="preserve">              58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3421046" w14:textId="363C5447" w:rsidR="008A7115" w:rsidRPr="008A7115" w:rsidRDefault="008A7115" w:rsidP="008A7115">
            <w:pPr>
              <w:spacing w:after="0"/>
              <w:jc w:val="center"/>
              <w:rPr>
                <w:rFonts w:cs="Calibri"/>
                <w:color w:val="006100"/>
              </w:rPr>
            </w:pPr>
            <w:r w:rsidRPr="008A7115">
              <w:rPr>
                <w:rFonts w:cs="Calibri"/>
                <w:color w:val="006100"/>
              </w:rPr>
              <w:t>-10,8%</w:t>
            </w:r>
          </w:p>
        </w:tc>
      </w:tr>
      <w:tr w:rsidR="008A7115" w:rsidRPr="00CF5B4E" w14:paraId="6A894269"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7872C7" w14:textId="38085345" w:rsidR="008A7115" w:rsidRDefault="008A7115" w:rsidP="008A7115">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D80D4B" w14:textId="72CBC520" w:rsidR="008A7115" w:rsidRDefault="008A7115" w:rsidP="008A7115">
            <w:pPr>
              <w:spacing w:after="0"/>
              <w:rPr>
                <w:rFonts w:cs="Calibri"/>
              </w:rPr>
            </w:pPr>
            <w:r>
              <w:rPr>
                <w:rFonts w:cs="Calibri"/>
              </w:rPr>
              <w:t>Terni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82B748" w14:textId="20BE5394" w:rsidR="008A7115" w:rsidRDefault="008A7115" w:rsidP="008A7115">
            <w:pPr>
              <w:spacing w:after="0"/>
              <w:jc w:val="center"/>
              <w:rPr>
                <w:rFonts w:cs="Calibri"/>
              </w:rPr>
            </w:pPr>
            <w:r>
              <w:rPr>
                <w:rFonts w:cs="Calibri"/>
              </w:rPr>
              <w:t xml:space="preserve">              54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6BE3879" w14:textId="4AA45B45" w:rsidR="008A7115" w:rsidRPr="008A7115" w:rsidRDefault="008A7115" w:rsidP="008A7115">
            <w:pPr>
              <w:spacing w:after="0"/>
              <w:jc w:val="center"/>
              <w:rPr>
                <w:rFonts w:cs="Calibri"/>
                <w:color w:val="006100"/>
              </w:rPr>
            </w:pPr>
            <w:r w:rsidRPr="008A7115">
              <w:rPr>
                <w:rFonts w:cs="Calibri"/>
                <w:color w:val="006100"/>
              </w:rPr>
              <w:t>-7,1%</w:t>
            </w:r>
          </w:p>
        </w:tc>
      </w:tr>
      <w:tr w:rsidR="008A7115" w:rsidRPr="00CF5B4E" w14:paraId="7C03B691"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C5A8C9" w14:textId="3E4672CD" w:rsidR="008A7115" w:rsidRDefault="008A7115" w:rsidP="008A7115">
            <w:pPr>
              <w:spacing w:after="0"/>
              <w:rPr>
                <w:rFonts w:cs="Calibri"/>
              </w:rPr>
            </w:pPr>
            <w:r>
              <w:rPr>
                <w:rFonts w:cs="Calibri"/>
              </w:rPr>
              <w:t>Valle d'Aosta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E8FD69" w14:textId="68CA26F2" w:rsidR="008A7115" w:rsidRDefault="008A7115" w:rsidP="008A7115">
            <w:pPr>
              <w:spacing w:after="0"/>
              <w:rPr>
                <w:rFonts w:cs="Calibri"/>
              </w:rPr>
            </w:pPr>
            <w:r>
              <w:rPr>
                <w:rFonts w:cs="Calibri"/>
              </w:rPr>
              <w:t>Aosta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4E8F8B" w14:textId="28429830" w:rsidR="008A7115" w:rsidRDefault="008A7115" w:rsidP="008A7115">
            <w:pPr>
              <w:spacing w:after="0"/>
              <w:jc w:val="center"/>
              <w:rPr>
                <w:rFonts w:cs="Calibri"/>
              </w:rPr>
            </w:pPr>
            <w:r>
              <w:rPr>
                <w:rFonts w:cs="Calibri"/>
              </w:rPr>
              <w:t xml:space="preserve">              16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8E59EA3" w14:textId="172447C1" w:rsidR="008A7115" w:rsidRPr="008A7115" w:rsidRDefault="008A7115" w:rsidP="008A7115">
            <w:pPr>
              <w:spacing w:after="0"/>
              <w:jc w:val="center"/>
              <w:rPr>
                <w:rFonts w:cs="Calibri"/>
                <w:color w:val="006100"/>
              </w:rPr>
            </w:pPr>
            <w:r w:rsidRPr="008A7115">
              <w:rPr>
                <w:rFonts w:cs="Calibri"/>
                <w:color w:val="006100"/>
              </w:rPr>
              <w:t>-31,0%</w:t>
            </w:r>
          </w:p>
        </w:tc>
      </w:tr>
      <w:tr w:rsidR="008A7115" w:rsidRPr="00CF5B4E" w14:paraId="7B64F448"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7FD356" w14:textId="1785E935" w:rsidR="008A7115" w:rsidRDefault="008A7115" w:rsidP="008A7115">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DB4B0F" w14:textId="2E2C3C7A" w:rsidR="008A7115" w:rsidRDefault="008A7115" w:rsidP="008A7115">
            <w:pPr>
              <w:spacing w:after="0"/>
              <w:rPr>
                <w:rFonts w:cs="Calibri"/>
              </w:rPr>
            </w:pPr>
            <w:r>
              <w:rPr>
                <w:rFonts w:cs="Calibri"/>
              </w:rPr>
              <w:t>Treviso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DB3680" w14:textId="40C61475" w:rsidR="008A7115" w:rsidRDefault="008A7115" w:rsidP="008A7115">
            <w:pPr>
              <w:spacing w:after="0"/>
              <w:jc w:val="center"/>
              <w:rPr>
                <w:rFonts w:cs="Calibri"/>
              </w:rPr>
            </w:pPr>
            <w:r>
              <w:rPr>
                <w:rFonts w:cs="Calibri"/>
              </w:rPr>
              <w:t xml:space="preserve">              84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AC67AE2" w14:textId="7958ADE6" w:rsidR="008A7115" w:rsidRPr="00CF076F" w:rsidRDefault="008A7115" w:rsidP="008A7115">
            <w:pPr>
              <w:spacing w:after="0"/>
              <w:jc w:val="center"/>
              <w:rPr>
                <w:rFonts w:cs="Calibri"/>
                <w:color w:val="9C0006"/>
              </w:rPr>
            </w:pPr>
            <w:r w:rsidRPr="008A7115">
              <w:rPr>
                <w:rFonts w:cs="Calibri"/>
                <w:color w:val="9C0006"/>
              </w:rPr>
              <w:t>0,1%</w:t>
            </w:r>
          </w:p>
        </w:tc>
      </w:tr>
      <w:tr w:rsidR="008A7115" w:rsidRPr="00CF5B4E" w14:paraId="76253731"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FC7998" w14:textId="5922EBF2" w:rsidR="008A7115" w:rsidRDefault="008A7115" w:rsidP="008A7115">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1BDC4" w14:textId="60EAD641" w:rsidR="008A7115" w:rsidRDefault="008A7115" w:rsidP="008A7115">
            <w:pPr>
              <w:spacing w:after="0"/>
              <w:rPr>
                <w:rFonts w:cs="Calibri"/>
              </w:rPr>
            </w:pPr>
            <w:r>
              <w:rPr>
                <w:rFonts w:cs="Calibri"/>
              </w:rPr>
              <w:t>Venezia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6A0AA7" w14:textId="7386C1FC" w:rsidR="008A7115" w:rsidRDefault="008A7115" w:rsidP="008A7115">
            <w:pPr>
              <w:spacing w:after="0"/>
              <w:jc w:val="center"/>
              <w:rPr>
                <w:rFonts w:cs="Calibri"/>
              </w:rPr>
            </w:pPr>
            <w:r>
              <w:rPr>
                <w:rFonts w:cs="Calibri"/>
              </w:rPr>
              <w:t xml:space="preserve">              81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278BA6" w14:textId="3486A6B4" w:rsidR="008A7115" w:rsidRPr="008A7115" w:rsidRDefault="008A7115" w:rsidP="008A7115">
            <w:pPr>
              <w:spacing w:after="0"/>
              <w:jc w:val="center"/>
              <w:rPr>
                <w:rFonts w:cs="Calibri"/>
                <w:color w:val="006100"/>
              </w:rPr>
            </w:pPr>
            <w:r w:rsidRPr="008A7115">
              <w:rPr>
                <w:rFonts w:cs="Calibri"/>
                <w:color w:val="006100"/>
              </w:rPr>
              <w:t>-5,8%</w:t>
            </w:r>
          </w:p>
        </w:tc>
      </w:tr>
      <w:tr w:rsidR="008A7115" w:rsidRPr="00CF5B4E" w14:paraId="758C3CB0"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C3557B" w14:textId="61AFCB68" w:rsidR="008A7115" w:rsidRDefault="008A7115" w:rsidP="008A7115">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CB2FAC5" w14:textId="201A2171" w:rsidR="008A7115" w:rsidRDefault="008A7115" w:rsidP="008A7115">
            <w:pPr>
              <w:spacing w:after="0"/>
              <w:rPr>
                <w:rFonts w:cs="Calibri"/>
              </w:rPr>
            </w:pPr>
            <w:r>
              <w:rPr>
                <w:rFonts w:cs="Calibri"/>
              </w:rPr>
              <w:t>Padova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4B1C0D" w14:textId="7B195575" w:rsidR="008A7115" w:rsidRDefault="008A7115" w:rsidP="008A7115">
            <w:pPr>
              <w:spacing w:after="0"/>
              <w:jc w:val="center"/>
              <w:rPr>
                <w:rFonts w:cs="Calibri"/>
              </w:rPr>
            </w:pPr>
            <w:r>
              <w:rPr>
                <w:rFonts w:cs="Calibri"/>
              </w:rPr>
              <w:t xml:space="preserve">              78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17FF950" w14:textId="441F6A66" w:rsidR="008A7115" w:rsidRPr="008A7115" w:rsidRDefault="008A7115" w:rsidP="008A7115">
            <w:pPr>
              <w:spacing w:after="0"/>
              <w:jc w:val="center"/>
              <w:rPr>
                <w:rFonts w:cs="Calibri"/>
                <w:color w:val="006100"/>
              </w:rPr>
            </w:pPr>
            <w:r w:rsidRPr="008A7115">
              <w:rPr>
                <w:rFonts w:cs="Calibri"/>
                <w:color w:val="006100"/>
              </w:rPr>
              <w:t>-14,3%</w:t>
            </w:r>
          </w:p>
        </w:tc>
      </w:tr>
      <w:tr w:rsidR="008A7115" w:rsidRPr="00CF5B4E" w14:paraId="10332010" w14:textId="77777777" w:rsidTr="00CF076F">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0128D8" w14:textId="655CD6FE" w:rsidR="008A7115" w:rsidRDefault="008A7115" w:rsidP="008A7115">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8B883" w14:textId="55BB0BDE" w:rsidR="008A7115" w:rsidRDefault="008A7115" w:rsidP="008A7115">
            <w:pPr>
              <w:spacing w:after="0"/>
              <w:rPr>
                <w:rFonts w:cs="Calibri"/>
              </w:rPr>
            </w:pPr>
            <w:r>
              <w:rPr>
                <w:rFonts w:cs="Calibri"/>
              </w:rPr>
              <w:t>Belluno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1B75D3" w14:textId="73798619" w:rsidR="008A7115" w:rsidRDefault="008A7115" w:rsidP="008A7115">
            <w:pPr>
              <w:spacing w:after="0"/>
              <w:jc w:val="center"/>
              <w:rPr>
                <w:rFonts w:cs="Calibri"/>
              </w:rPr>
            </w:pPr>
            <w:r>
              <w:rPr>
                <w:rFonts w:cs="Calibri"/>
              </w:rPr>
              <w:t xml:space="preserve">              72 </w:t>
            </w:r>
          </w:p>
        </w:tc>
        <w:tc>
          <w:tcPr>
            <w:tcW w:w="1715"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83D946" w14:textId="49A5B245" w:rsidR="008A7115" w:rsidRPr="00CF076F" w:rsidRDefault="008A7115" w:rsidP="008A7115">
            <w:pPr>
              <w:spacing w:after="0"/>
              <w:jc w:val="center"/>
              <w:rPr>
                <w:rFonts w:cs="Calibri"/>
                <w:color w:val="9C0006"/>
              </w:rPr>
            </w:pPr>
            <w:r w:rsidRPr="008A7115">
              <w:rPr>
                <w:rFonts w:cs="Calibri"/>
                <w:color w:val="9C0006"/>
              </w:rPr>
              <w:t>16,1%</w:t>
            </w:r>
          </w:p>
        </w:tc>
      </w:tr>
      <w:tr w:rsidR="008A7115" w:rsidRPr="00CF5B4E" w14:paraId="66EA606B"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61B0D3" w14:textId="56CF0404" w:rsidR="008A7115" w:rsidRDefault="008A7115" w:rsidP="008A7115">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C94C2C" w14:textId="6A45A600" w:rsidR="008A7115" w:rsidRDefault="008A7115" w:rsidP="008A7115">
            <w:pPr>
              <w:spacing w:after="0"/>
              <w:rPr>
                <w:rFonts w:cs="Calibri"/>
              </w:rPr>
            </w:pPr>
            <w:r>
              <w:rPr>
                <w:rFonts w:cs="Calibri"/>
              </w:rPr>
              <w:t>Vicenza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BEC54" w14:textId="0FDA974B" w:rsidR="008A7115" w:rsidRDefault="008A7115" w:rsidP="008A7115">
            <w:pPr>
              <w:spacing w:after="0"/>
              <w:jc w:val="center"/>
              <w:rPr>
                <w:rFonts w:cs="Calibri"/>
              </w:rPr>
            </w:pPr>
            <w:r>
              <w:rPr>
                <w:rFonts w:cs="Calibri"/>
              </w:rPr>
              <w:t xml:space="preserve">              65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0264322" w14:textId="00706909" w:rsidR="008A7115" w:rsidRPr="008A7115" w:rsidRDefault="008A7115" w:rsidP="008A7115">
            <w:pPr>
              <w:spacing w:after="0"/>
              <w:jc w:val="center"/>
              <w:rPr>
                <w:rFonts w:cs="Calibri"/>
                <w:color w:val="006100"/>
              </w:rPr>
            </w:pPr>
            <w:r w:rsidRPr="008A7115">
              <w:rPr>
                <w:rFonts w:cs="Calibri"/>
                <w:color w:val="006100"/>
              </w:rPr>
              <w:t>-9,0%</w:t>
            </w:r>
          </w:p>
        </w:tc>
      </w:tr>
      <w:tr w:rsidR="008A7115" w:rsidRPr="00CF5B4E" w14:paraId="0E24B871" w14:textId="77777777" w:rsidTr="009E2B37">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81C662" w14:textId="301E51B8" w:rsidR="008A7115" w:rsidRDefault="008A7115" w:rsidP="008A7115">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A46B74" w14:textId="0F457999" w:rsidR="008A7115" w:rsidRDefault="008A7115" w:rsidP="008A7115">
            <w:pPr>
              <w:spacing w:after="0"/>
              <w:rPr>
                <w:rFonts w:cs="Calibri"/>
              </w:rPr>
            </w:pPr>
            <w:r>
              <w:rPr>
                <w:rFonts w:cs="Calibri"/>
              </w:rPr>
              <w:t>Rovigo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BB1069" w14:textId="5006CC46" w:rsidR="008A7115" w:rsidRDefault="008A7115" w:rsidP="008A7115">
            <w:pPr>
              <w:spacing w:after="0"/>
              <w:jc w:val="center"/>
              <w:rPr>
                <w:rFonts w:cs="Calibri"/>
              </w:rPr>
            </w:pPr>
            <w:r>
              <w:rPr>
                <w:rFonts w:cs="Calibri"/>
              </w:rPr>
              <w:t xml:space="preserve">              51 </w:t>
            </w:r>
          </w:p>
        </w:tc>
        <w:tc>
          <w:tcPr>
            <w:tcW w:w="1715"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719317" w14:textId="7B05C65A" w:rsidR="008A7115" w:rsidRPr="008A7115" w:rsidRDefault="008A7115" w:rsidP="008A7115">
            <w:pPr>
              <w:spacing w:after="0"/>
              <w:jc w:val="center"/>
              <w:rPr>
                <w:rFonts w:cs="Calibri"/>
                <w:color w:val="006100"/>
              </w:rPr>
            </w:pPr>
            <w:r w:rsidRPr="008A7115">
              <w:rPr>
                <w:rFonts w:cs="Calibri"/>
                <w:color w:val="006100"/>
              </w:rPr>
              <w:t>-0,8%</w:t>
            </w:r>
          </w:p>
        </w:tc>
      </w:tr>
      <w:tr w:rsidR="008A7115" w:rsidRPr="00CF5B4E" w14:paraId="32E0DDBF" w14:textId="77777777" w:rsidTr="008A7115">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C48DC9" w14:textId="74B3A4E8" w:rsidR="008A7115" w:rsidRDefault="008A7115" w:rsidP="008A7115">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801D7A" w14:textId="2C7863D6" w:rsidR="008A7115" w:rsidRDefault="008A7115" w:rsidP="008A7115">
            <w:pPr>
              <w:spacing w:after="0"/>
              <w:rPr>
                <w:rFonts w:cs="Calibri"/>
              </w:rPr>
            </w:pPr>
            <w:r>
              <w:rPr>
                <w:rFonts w:cs="Calibri"/>
              </w:rPr>
              <w:t>Verona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7B9C5" w14:textId="4CE7EBD4" w:rsidR="008A7115" w:rsidRDefault="008A7115" w:rsidP="008A7115">
            <w:pPr>
              <w:spacing w:after="0"/>
              <w:jc w:val="center"/>
              <w:rPr>
                <w:rFonts w:cs="Calibri"/>
              </w:rPr>
            </w:pPr>
            <w:r>
              <w:rPr>
                <w:rFonts w:cs="Calibri"/>
              </w:rPr>
              <w:t xml:space="preserve">              48 </w:t>
            </w:r>
          </w:p>
        </w:tc>
        <w:tc>
          <w:tcPr>
            <w:tcW w:w="1715" w:type="dxa"/>
            <w:tcBorders>
              <w:top w:val="single" w:sz="4" w:space="0" w:color="00457D"/>
              <w:left w:val="single" w:sz="4" w:space="0" w:color="00457D"/>
              <w:bottom w:val="single" w:sz="4" w:space="0" w:color="00457D"/>
              <w:right w:val="single" w:sz="4" w:space="0" w:color="00457D"/>
            </w:tcBorders>
            <w:shd w:val="clear" w:color="auto" w:fill="FFEB9C"/>
            <w:vAlign w:val="bottom"/>
          </w:tcPr>
          <w:p w14:paraId="6F9E9C58" w14:textId="094DEDA8" w:rsidR="008A7115" w:rsidRPr="009E2B37" w:rsidRDefault="008A7115" w:rsidP="008A7115">
            <w:pPr>
              <w:spacing w:after="0"/>
              <w:jc w:val="center"/>
              <w:rPr>
                <w:rFonts w:cs="Calibri"/>
                <w:color w:val="006100"/>
              </w:rPr>
            </w:pPr>
            <w:r w:rsidRPr="008A7115">
              <w:rPr>
                <w:rFonts w:cs="Calibri"/>
                <w:color w:val="9C6500"/>
              </w:rPr>
              <w:t>0,0%</w:t>
            </w:r>
          </w:p>
        </w:tc>
      </w:tr>
      <w:tr w:rsidR="0062593A" w:rsidRPr="00CF5B4E" w14:paraId="7788971F" w14:textId="77777777" w:rsidTr="006729F0">
        <w:tblPrEx>
          <w:shd w:val="clear" w:color="auto" w:fill="CDD4E9"/>
        </w:tblPrEx>
        <w:trPr>
          <w:trHeight w:val="567"/>
          <w:jc w:val="center"/>
        </w:trPr>
        <w:tc>
          <w:tcPr>
            <w:tcW w:w="8089" w:type="dxa"/>
            <w:gridSpan w:val="4"/>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center"/>
          </w:tcPr>
          <w:p w14:paraId="6B480CF8" w14:textId="27CE87EF" w:rsidR="008A7115" w:rsidRDefault="008A7115" w:rsidP="00425442">
            <w:pPr>
              <w:spacing w:after="0" w:line="240" w:lineRule="auto"/>
              <w:contextualSpacing/>
              <w:rPr>
                <w:rFonts w:eastAsia="Times New Roman" w:cs="Calibri"/>
                <w:color w:val="auto"/>
                <w:sz w:val="20"/>
                <w:szCs w:val="20"/>
                <w:bdr w:val="none" w:sz="0" w:space="0" w:color="auto"/>
              </w:rPr>
            </w:pPr>
            <w:r>
              <w:rPr>
                <w:rFonts w:eastAsia="Times New Roman" w:cs="Calibri"/>
                <w:color w:val="auto"/>
                <w:sz w:val="20"/>
                <w:szCs w:val="20"/>
                <w:bdr w:val="none" w:sz="0" w:space="0" w:color="auto"/>
              </w:rPr>
              <w:t xml:space="preserve">Nota Regione Valle d’Aosta: in data 16 marzo </w:t>
            </w:r>
            <w:r w:rsidRPr="008A7115">
              <w:rPr>
                <w:rFonts w:eastAsia="Times New Roman" w:cs="Calibri"/>
                <w:color w:val="auto"/>
                <w:sz w:val="20"/>
                <w:szCs w:val="20"/>
                <w:bdr w:val="none" w:sz="0" w:space="0" w:color="auto"/>
              </w:rPr>
              <w:t>è stato effettuato un intervento informatico di bonifica del pregresso, che ha generato un anomalo incremento dei guariti e del totale dei casi</w:t>
            </w:r>
            <w:r>
              <w:rPr>
                <w:rFonts w:eastAsia="Times New Roman" w:cs="Calibri"/>
                <w:color w:val="auto"/>
                <w:sz w:val="20"/>
                <w:szCs w:val="20"/>
                <w:bdr w:val="none" w:sz="0" w:space="0" w:color="auto"/>
              </w:rPr>
              <w:t>; per calcolare la variazione dei nuovi casi si sono utilizzati i nuovi positivi dichiarat</w:t>
            </w:r>
            <w:r w:rsidR="00D4131E">
              <w:rPr>
                <w:rFonts w:eastAsia="Times New Roman" w:cs="Calibri"/>
                <w:color w:val="auto"/>
                <w:sz w:val="20"/>
                <w:szCs w:val="20"/>
                <w:bdr w:val="none" w:sz="0" w:space="0" w:color="auto"/>
              </w:rPr>
              <w:t>i</w:t>
            </w:r>
            <w:r>
              <w:rPr>
                <w:rFonts w:eastAsia="Times New Roman" w:cs="Calibri"/>
                <w:color w:val="auto"/>
                <w:sz w:val="20"/>
                <w:szCs w:val="20"/>
                <w:bdr w:val="none" w:sz="0" w:space="0" w:color="auto"/>
              </w:rPr>
              <w:t xml:space="preserve"> dalla Regione</w:t>
            </w:r>
            <w:r w:rsidRPr="008A7115">
              <w:rPr>
                <w:rFonts w:eastAsia="Times New Roman" w:cs="Calibri"/>
                <w:color w:val="auto"/>
                <w:sz w:val="20"/>
                <w:szCs w:val="20"/>
                <w:bdr w:val="none" w:sz="0" w:space="0" w:color="auto"/>
              </w:rPr>
              <w:t>.</w:t>
            </w:r>
          </w:p>
          <w:p w14:paraId="77A7B2F0" w14:textId="393CC46B" w:rsidR="0062593A" w:rsidRPr="00EF2F16" w:rsidRDefault="0062593A" w:rsidP="00425442">
            <w:pPr>
              <w:spacing w:after="0" w:line="240" w:lineRule="auto"/>
              <w:contextualSpacing/>
              <w:rPr>
                <w:rFonts w:cs="Calibri"/>
                <w:color w:val="auto"/>
                <w:sz w:val="20"/>
                <w:szCs w:val="21"/>
              </w:rPr>
            </w:pPr>
            <w:r w:rsidRPr="00EF2F16">
              <w:rPr>
                <w:rFonts w:eastAsia="Times New Roman" w:cs="Calibri"/>
                <w:color w:val="auto"/>
                <w:sz w:val="20"/>
                <w:szCs w:val="21"/>
                <w:bdr w:val="none" w:sz="0" w:space="0" w:color="auto"/>
              </w:rPr>
              <w:t>Nella quarta colonna i colori rosso e verde indicano rispettivamente un aumento o una diminuzione percentuale dei nuovi casi rispetto alla settimana precedente. Il colore giallo indica l’assenza di variazione percentuale dei nuovi casi rispetto alla settimana precedente.</w:t>
            </w:r>
          </w:p>
        </w:tc>
      </w:tr>
    </w:tbl>
    <w:p w14:paraId="4E1A7CDE" w14:textId="77777777" w:rsidR="00053240" w:rsidRPr="00CF5B4E" w:rsidRDefault="00053240" w:rsidP="00053240">
      <w:pPr>
        <w:spacing w:after="0" w:line="240" w:lineRule="auto"/>
        <w:rPr>
          <w:b/>
          <w:bCs/>
          <w:color w:val="FF0000"/>
          <w:sz w:val="24"/>
          <w:szCs w:val="24"/>
          <w:u w:color="00457D"/>
        </w:rPr>
      </w:pPr>
    </w:p>
    <w:sectPr w:rsidR="00053240" w:rsidRPr="00CF5B4E" w:rsidSect="00053240">
      <w:pgSz w:w="11900" w:h="16840"/>
      <w:pgMar w:top="1171"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9BD4D" w14:textId="77777777" w:rsidR="00412386" w:rsidRDefault="00412386">
      <w:pPr>
        <w:spacing w:after="0" w:line="240" w:lineRule="auto"/>
      </w:pPr>
      <w:r>
        <w:separator/>
      </w:r>
    </w:p>
  </w:endnote>
  <w:endnote w:type="continuationSeparator" w:id="0">
    <w:p w14:paraId="5ECD3519" w14:textId="77777777" w:rsidR="00412386" w:rsidRDefault="0041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68B8" w14:textId="77777777" w:rsidR="00412386" w:rsidRDefault="00412386">
      <w:pPr>
        <w:spacing w:after="0" w:line="240" w:lineRule="auto"/>
      </w:pPr>
      <w:r>
        <w:separator/>
      </w:r>
    </w:p>
  </w:footnote>
  <w:footnote w:type="continuationSeparator" w:id="0">
    <w:p w14:paraId="25C3BF6E" w14:textId="77777777" w:rsidR="00412386" w:rsidRDefault="00412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BF65" w14:textId="5506A011" w:rsidR="00634978" w:rsidRPr="00634978" w:rsidRDefault="00634978" w:rsidP="00634978">
    <w:pPr>
      <w:pStyle w:val="Intestazione"/>
      <w:jc w:val="center"/>
      <w:rPr>
        <w:b/>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5DB"/>
    <w:multiLevelType w:val="hybridMultilevel"/>
    <w:tmpl w:val="5C6CF8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2004E8"/>
    <w:multiLevelType w:val="hybridMultilevel"/>
    <w:tmpl w:val="D040A854"/>
    <w:styleLink w:val="Stileimportato2"/>
    <w:lvl w:ilvl="0" w:tplc="1DBC22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74C6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DE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94C8A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812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5A4D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4A17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C8E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E0B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A843EA"/>
    <w:multiLevelType w:val="hybridMultilevel"/>
    <w:tmpl w:val="3F8C4CC8"/>
    <w:styleLink w:val="Stileimportato1"/>
    <w:lvl w:ilvl="0" w:tplc="1130B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64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A41F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65A9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6D5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B8BE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CC800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CEC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C6E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A60586"/>
    <w:multiLevelType w:val="hybridMultilevel"/>
    <w:tmpl w:val="9FD06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F87F41"/>
    <w:multiLevelType w:val="hybridMultilevel"/>
    <w:tmpl w:val="8CAAD6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FFC156C"/>
    <w:multiLevelType w:val="hybridMultilevel"/>
    <w:tmpl w:val="EFAAE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387395"/>
    <w:multiLevelType w:val="hybridMultilevel"/>
    <w:tmpl w:val="9EEC40D8"/>
    <w:lvl w:ilvl="0" w:tplc="2DE0794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2643A23"/>
    <w:multiLevelType w:val="hybridMultilevel"/>
    <w:tmpl w:val="B194FC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2B"/>
    <w:rsid w:val="00000FEF"/>
    <w:rsid w:val="00001EE2"/>
    <w:rsid w:val="000022A7"/>
    <w:rsid w:val="00002300"/>
    <w:rsid w:val="0000244C"/>
    <w:rsid w:val="000027F8"/>
    <w:rsid w:val="00002C6F"/>
    <w:rsid w:val="00002EAC"/>
    <w:rsid w:val="000035D6"/>
    <w:rsid w:val="00004388"/>
    <w:rsid w:val="000043C6"/>
    <w:rsid w:val="000044AB"/>
    <w:rsid w:val="0000466F"/>
    <w:rsid w:val="00004BE3"/>
    <w:rsid w:val="00004BF7"/>
    <w:rsid w:val="00004CA3"/>
    <w:rsid w:val="00004D92"/>
    <w:rsid w:val="00005129"/>
    <w:rsid w:val="00005172"/>
    <w:rsid w:val="000056DE"/>
    <w:rsid w:val="000066F6"/>
    <w:rsid w:val="00006E6F"/>
    <w:rsid w:val="0000714A"/>
    <w:rsid w:val="000078FA"/>
    <w:rsid w:val="00007BF9"/>
    <w:rsid w:val="00007D52"/>
    <w:rsid w:val="00010548"/>
    <w:rsid w:val="00010DD5"/>
    <w:rsid w:val="00010F65"/>
    <w:rsid w:val="0001119D"/>
    <w:rsid w:val="0001122C"/>
    <w:rsid w:val="00011791"/>
    <w:rsid w:val="00011E61"/>
    <w:rsid w:val="00011F4F"/>
    <w:rsid w:val="00012113"/>
    <w:rsid w:val="0001299A"/>
    <w:rsid w:val="00012B67"/>
    <w:rsid w:val="00012FB8"/>
    <w:rsid w:val="0001337E"/>
    <w:rsid w:val="00013655"/>
    <w:rsid w:val="00014385"/>
    <w:rsid w:val="000146E0"/>
    <w:rsid w:val="00014C7B"/>
    <w:rsid w:val="00015574"/>
    <w:rsid w:val="00015BAE"/>
    <w:rsid w:val="0001653F"/>
    <w:rsid w:val="000165C3"/>
    <w:rsid w:val="00016690"/>
    <w:rsid w:val="00016F1A"/>
    <w:rsid w:val="000173CA"/>
    <w:rsid w:val="00017890"/>
    <w:rsid w:val="0002043C"/>
    <w:rsid w:val="000206F4"/>
    <w:rsid w:val="0002125E"/>
    <w:rsid w:val="00021C19"/>
    <w:rsid w:val="00021D57"/>
    <w:rsid w:val="000222A5"/>
    <w:rsid w:val="00023784"/>
    <w:rsid w:val="00023CE6"/>
    <w:rsid w:val="0002401A"/>
    <w:rsid w:val="00024C2D"/>
    <w:rsid w:val="00024FD2"/>
    <w:rsid w:val="0002522B"/>
    <w:rsid w:val="00026518"/>
    <w:rsid w:val="00026849"/>
    <w:rsid w:val="00026D65"/>
    <w:rsid w:val="00027033"/>
    <w:rsid w:val="000270FC"/>
    <w:rsid w:val="000276DE"/>
    <w:rsid w:val="0003003F"/>
    <w:rsid w:val="000300C2"/>
    <w:rsid w:val="00030535"/>
    <w:rsid w:val="0003144B"/>
    <w:rsid w:val="00031CD6"/>
    <w:rsid w:val="00032112"/>
    <w:rsid w:val="0003262E"/>
    <w:rsid w:val="00032658"/>
    <w:rsid w:val="00033800"/>
    <w:rsid w:val="00033A78"/>
    <w:rsid w:val="00033B15"/>
    <w:rsid w:val="00033CE4"/>
    <w:rsid w:val="000341D8"/>
    <w:rsid w:val="0003499E"/>
    <w:rsid w:val="00034A98"/>
    <w:rsid w:val="0003516A"/>
    <w:rsid w:val="000352B4"/>
    <w:rsid w:val="000354CC"/>
    <w:rsid w:val="000356DF"/>
    <w:rsid w:val="00036428"/>
    <w:rsid w:val="000365C2"/>
    <w:rsid w:val="00036D4B"/>
    <w:rsid w:val="00036D6B"/>
    <w:rsid w:val="000373F1"/>
    <w:rsid w:val="00037451"/>
    <w:rsid w:val="00037A0A"/>
    <w:rsid w:val="00037F01"/>
    <w:rsid w:val="00040108"/>
    <w:rsid w:val="000403D3"/>
    <w:rsid w:val="00040742"/>
    <w:rsid w:val="00040D5E"/>
    <w:rsid w:val="000410EA"/>
    <w:rsid w:val="000415C2"/>
    <w:rsid w:val="00041695"/>
    <w:rsid w:val="00041719"/>
    <w:rsid w:val="00041D6E"/>
    <w:rsid w:val="000421A9"/>
    <w:rsid w:val="0004228D"/>
    <w:rsid w:val="00042A2C"/>
    <w:rsid w:val="00042E7E"/>
    <w:rsid w:val="000430E9"/>
    <w:rsid w:val="00043C39"/>
    <w:rsid w:val="00044665"/>
    <w:rsid w:val="00044ABB"/>
    <w:rsid w:val="00044AE1"/>
    <w:rsid w:val="00044C9B"/>
    <w:rsid w:val="00044EB9"/>
    <w:rsid w:val="00045076"/>
    <w:rsid w:val="000453E7"/>
    <w:rsid w:val="0004577B"/>
    <w:rsid w:val="00045A6A"/>
    <w:rsid w:val="000460D4"/>
    <w:rsid w:val="000469C2"/>
    <w:rsid w:val="00046ABA"/>
    <w:rsid w:val="00046B65"/>
    <w:rsid w:val="0004747C"/>
    <w:rsid w:val="000474FB"/>
    <w:rsid w:val="0004762F"/>
    <w:rsid w:val="0004768A"/>
    <w:rsid w:val="00047BCE"/>
    <w:rsid w:val="0005001A"/>
    <w:rsid w:val="00051038"/>
    <w:rsid w:val="00051744"/>
    <w:rsid w:val="0005206B"/>
    <w:rsid w:val="000523C5"/>
    <w:rsid w:val="000523DF"/>
    <w:rsid w:val="00052578"/>
    <w:rsid w:val="000531D1"/>
    <w:rsid w:val="00053240"/>
    <w:rsid w:val="000542D3"/>
    <w:rsid w:val="0005433B"/>
    <w:rsid w:val="00054A26"/>
    <w:rsid w:val="00054D1D"/>
    <w:rsid w:val="000552E2"/>
    <w:rsid w:val="00055B91"/>
    <w:rsid w:val="0005613E"/>
    <w:rsid w:val="0005670B"/>
    <w:rsid w:val="00056AE2"/>
    <w:rsid w:val="00056C03"/>
    <w:rsid w:val="000572F4"/>
    <w:rsid w:val="00057324"/>
    <w:rsid w:val="0005772C"/>
    <w:rsid w:val="00057A50"/>
    <w:rsid w:val="00057C36"/>
    <w:rsid w:val="00057E5F"/>
    <w:rsid w:val="00057F3D"/>
    <w:rsid w:val="00060277"/>
    <w:rsid w:val="0006040F"/>
    <w:rsid w:val="0006050E"/>
    <w:rsid w:val="00060B0B"/>
    <w:rsid w:val="00060FAC"/>
    <w:rsid w:val="00061647"/>
    <w:rsid w:val="00061AF7"/>
    <w:rsid w:val="00061D4E"/>
    <w:rsid w:val="00062223"/>
    <w:rsid w:val="000625F5"/>
    <w:rsid w:val="00062A6E"/>
    <w:rsid w:val="00063061"/>
    <w:rsid w:val="00063092"/>
    <w:rsid w:val="000636C7"/>
    <w:rsid w:val="00063723"/>
    <w:rsid w:val="00063DA8"/>
    <w:rsid w:val="0006525F"/>
    <w:rsid w:val="000653E7"/>
    <w:rsid w:val="0006599B"/>
    <w:rsid w:val="00065C95"/>
    <w:rsid w:val="00065D70"/>
    <w:rsid w:val="00066602"/>
    <w:rsid w:val="0006669C"/>
    <w:rsid w:val="000668DA"/>
    <w:rsid w:val="00066A75"/>
    <w:rsid w:val="00067039"/>
    <w:rsid w:val="000673B6"/>
    <w:rsid w:val="00067438"/>
    <w:rsid w:val="00067699"/>
    <w:rsid w:val="00067A2E"/>
    <w:rsid w:val="00067B8B"/>
    <w:rsid w:val="0007009C"/>
    <w:rsid w:val="000709E9"/>
    <w:rsid w:val="00070D71"/>
    <w:rsid w:val="0007138B"/>
    <w:rsid w:val="00071568"/>
    <w:rsid w:val="00071626"/>
    <w:rsid w:val="00071A13"/>
    <w:rsid w:val="00071C3B"/>
    <w:rsid w:val="0007243C"/>
    <w:rsid w:val="00072AFD"/>
    <w:rsid w:val="00072C04"/>
    <w:rsid w:val="00072F7C"/>
    <w:rsid w:val="00073524"/>
    <w:rsid w:val="00073532"/>
    <w:rsid w:val="00073A8A"/>
    <w:rsid w:val="00073DFF"/>
    <w:rsid w:val="000743B7"/>
    <w:rsid w:val="000747A9"/>
    <w:rsid w:val="00074E5F"/>
    <w:rsid w:val="00074FDD"/>
    <w:rsid w:val="000753BA"/>
    <w:rsid w:val="0007555B"/>
    <w:rsid w:val="00075694"/>
    <w:rsid w:val="00075EF2"/>
    <w:rsid w:val="0007615C"/>
    <w:rsid w:val="00076216"/>
    <w:rsid w:val="000762C3"/>
    <w:rsid w:val="00077B4C"/>
    <w:rsid w:val="00077B7F"/>
    <w:rsid w:val="00077DC5"/>
    <w:rsid w:val="00080225"/>
    <w:rsid w:val="000803DA"/>
    <w:rsid w:val="0008040C"/>
    <w:rsid w:val="00080BE8"/>
    <w:rsid w:val="00080F14"/>
    <w:rsid w:val="00081240"/>
    <w:rsid w:val="0008128A"/>
    <w:rsid w:val="000814C4"/>
    <w:rsid w:val="000814F9"/>
    <w:rsid w:val="00081550"/>
    <w:rsid w:val="00081B96"/>
    <w:rsid w:val="0008254A"/>
    <w:rsid w:val="0008271E"/>
    <w:rsid w:val="0008362E"/>
    <w:rsid w:val="00083804"/>
    <w:rsid w:val="00083DE2"/>
    <w:rsid w:val="0008457A"/>
    <w:rsid w:val="00084764"/>
    <w:rsid w:val="0008493E"/>
    <w:rsid w:val="00084E0B"/>
    <w:rsid w:val="00085386"/>
    <w:rsid w:val="00085756"/>
    <w:rsid w:val="00085776"/>
    <w:rsid w:val="00085AF6"/>
    <w:rsid w:val="00085D13"/>
    <w:rsid w:val="000867DD"/>
    <w:rsid w:val="000871FB"/>
    <w:rsid w:val="00087236"/>
    <w:rsid w:val="00087529"/>
    <w:rsid w:val="0008778C"/>
    <w:rsid w:val="00087B77"/>
    <w:rsid w:val="00087ED7"/>
    <w:rsid w:val="00091A87"/>
    <w:rsid w:val="00091AEA"/>
    <w:rsid w:val="00091D56"/>
    <w:rsid w:val="00092022"/>
    <w:rsid w:val="0009249D"/>
    <w:rsid w:val="00093487"/>
    <w:rsid w:val="00093AE7"/>
    <w:rsid w:val="0009411D"/>
    <w:rsid w:val="00094B7F"/>
    <w:rsid w:val="00095584"/>
    <w:rsid w:val="00095588"/>
    <w:rsid w:val="00095667"/>
    <w:rsid w:val="00095DC5"/>
    <w:rsid w:val="00096350"/>
    <w:rsid w:val="00096577"/>
    <w:rsid w:val="00096BD0"/>
    <w:rsid w:val="000A00BA"/>
    <w:rsid w:val="000A0218"/>
    <w:rsid w:val="000A0380"/>
    <w:rsid w:val="000A04CD"/>
    <w:rsid w:val="000A08BA"/>
    <w:rsid w:val="000A0920"/>
    <w:rsid w:val="000A0EDA"/>
    <w:rsid w:val="000A1093"/>
    <w:rsid w:val="000A1424"/>
    <w:rsid w:val="000A1DAA"/>
    <w:rsid w:val="000A3264"/>
    <w:rsid w:val="000A3655"/>
    <w:rsid w:val="000A38ED"/>
    <w:rsid w:val="000A39B8"/>
    <w:rsid w:val="000A3AC9"/>
    <w:rsid w:val="000A403F"/>
    <w:rsid w:val="000A422E"/>
    <w:rsid w:val="000A471A"/>
    <w:rsid w:val="000A4BEE"/>
    <w:rsid w:val="000A53F4"/>
    <w:rsid w:val="000A57A1"/>
    <w:rsid w:val="000A6296"/>
    <w:rsid w:val="000A63DD"/>
    <w:rsid w:val="000A6581"/>
    <w:rsid w:val="000A6DB2"/>
    <w:rsid w:val="000A72BA"/>
    <w:rsid w:val="000A7D97"/>
    <w:rsid w:val="000A7DDA"/>
    <w:rsid w:val="000A7E95"/>
    <w:rsid w:val="000A7EA7"/>
    <w:rsid w:val="000B0339"/>
    <w:rsid w:val="000B0548"/>
    <w:rsid w:val="000B0AC0"/>
    <w:rsid w:val="000B119C"/>
    <w:rsid w:val="000B13AC"/>
    <w:rsid w:val="000B1995"/>
    <w:rsid w:val="000B1B66"/>
    <w:rsid w:val="000B1D1D"/>
    <w:rsid w:val="000B211A"/>
    <w:rsid w:val="000B21CF"/>
    <w:rsid w:val="000B242E"/>
    <w:rsid w:val="000B2449"/>
    <w:rsid w:val="000B25F9"/>
    <w:rsid w:val="000B3CDF"/>
    <w:rsid w:val="000B4554"/>
    <w:rsid w:val="000B47B9"/>
    <w:rsid w:val="000B4A82"/>
    <w:rsid w:val="000B53A4"/>
    <w:rsid w:val="000B54C3"/>
    <w:rsid w:val="000B5AC9"/>
    <w:rsid w:val="000B6238"/>
    <w:rsid w:val="000B68AC"/>
    <w:rsid w:val="000B6BAC"/>
    <w:rsid w:val="000C07AC"/>
    <w:rsid w:val="000C0A45"/>
    <w:rsid w:val="000C0B9A"/>
    <w:rsid w:val="000C0DA8"/>
    <w:rsid w:val="000C1217"/>
    <w:rsid w:val="000C15A5"/>
    <w:rsid w:val="000C1CFE"/>
    <w:rsid w:val="000C1E98"/>
    <w:rsid w:val="000C22FE"/>
    <w:rsid w:val="000C2A6C"/>
    <w:rsid w:val="000C2BD2"/>
    <w:rsid w:val="000C2E80"/>
    <w:rsid w:val="000C3174"/>
    <w:rsid w:val="000C3C3C"/>
    <w:rsid w:val="000C3DE4"/>
    <w:rsid w:val="000C4285"/>
    <w:rsid w:val="000C46E0"/>
    <w:rsid w:val="000C5DA1"/>
    <w:rsid w:val="000C635A"/>
    <w:rsid w:val="000C63F8"/>
    <w:rsid w:val="000C645E"/>
    <w:rsid w:val="000C6B69"/>
    <w:rsid w:val="000C6FC7"/>
    <w:rsid w:val="000C7105"/>
    <w:rsid w:val="000C789B"/>
    <w:rsid w:val="000C7906"/>
    <w:rsid w:val="000C7935"/>
    <w:rsid w:val="000C7A89"/>
    <w:rsid w:val="000C7C8F"/>
    <w:rsid w:val="000D0625"/>
    <w:rsid w:val="000D08C8"/>
    <w:rsid w:val="000D0980"/>
    <w:rsid w:val="000D1250"/>
    <w:rsid w:val="000D1503"/>
    <w:rsid w:val="000D1799"/>
    <w:rsid w:val="000D1F5C"/>
    <w:rsid w:val="000D24D7"/>
    <w:rsid w:val="000D2A90"/>
    <w:rsid w:val="000D2CAA"/>
    <w:rsid w:val="000D2CB4"/>
    <w:rsid w:val="000D3B36"/>
    <w:rsid w:val="000D40CB"/>
    <w:rsid w:val="000D4255"/>
    <w:rsid w:val="000D4370"/>
    <w:rsid w:val="000D4D0A"/>
    <w:rsid w:val="000D4F6F"/>
    <w:rsid w:val="000D57B4"/>
    <w:rsid w:val="000D5878"/>
    <w:rsid w:val="000D5B61"/>
    <w:rsid w:val="000D5BD3"/>
    <w:rsid w:val="000D5C61"/>
    <w:rsid w:val="000D64E2"/>
    <w:rsid w:val="000D67CD"/>
    <w:rsid w:val="000D7077"/>
    <w:rsid w:val="000D75CD"/>
    <w:rsid w:val="000D7645"/>
    <w:rsid w:val="000D7A69"/>
    <w:rsid w:val="000D7DCE"/>
    <w:rsid w:val="000D7E45"/>
    <w:rsid w:val="000D7EE3"/>
    <w:rsid w:val="000E07A2"/>
    <w:rsid w:val="000E0B5A"/>
    <w:rsid w:val="000E0BCB"/>
    <w:rsid w:val="000E0C48"/>
    <w:rsid w:val="000E1A5A"/>
    <w:rsid w:val="000E1ABF"/>
    <w:rsid w:val="000E1B09"/>
    <w:rsid w:val="000E1C12"/>
    <w:rsid w:val="000E238A"/>
    <w:rsid w:val="000E2D17"/>
    <w:rsid w:val="000E3472"/>
    <w:rsid w:val="000E476D"/>
    <w:rsid w:val="000E485E"/>
    <w:rsid w:val="000E4901"/>
    <w:rsid w:val="000E4A1A"/>
    <w:rsid w:val="000E506B"/>
    <w:rsid w:val="000E509B"/>
    <w:rsid w:val="000E5717"/>
    <w:rsid w:val="000E5ABA"/>
    <w:rsid w:val="000E60E1"/>
    <w:rsid w:val="000E60EB"/>
    <w:rsid w:val="000E64DA"/>
    <w:rsid w:val="000E6573"/>
    <w:rsid w:val="000E6F3B"/>
    <w:rsid w:val="000E73F0"/>
    <w:rsid w:val="000E770E"/>
    <w:rsid w:val="000E781A"/>
    <w:rsid w:val="000E7A53"/>
    <w:rsid w:val="000F0385"/>
    <w:rsid w:val="000F0578"/>
    <w:rsid w:val="000F09AA"/>
    <w:rsid w:val="000F159D"/>
    <w:rsid w:val="000F1839"/>
    <w:rsid w:val="000F1EC4"/>
    <w:rsid w:val="000F2082"/>
    <w:rsid w:val="000F2389"/>
    <w:rsid w:val="000F387B"/>
    <w:rsid w:val="000F3AC7"/>
    <w:rsid w:val="000F4209"/>
    <w:rsid w:val="000F4917"/>
    <w:rsid w:val="000F5019"/>
    <w:rsid w:val="000F50A4"/>
    <w:rsid w:val="000F51DF"/>
    <w:rsid w:val="000F63CB"/>
    <w:rsid w:val="000F6D38"/>
    <w:rsid w:val="000F6EBD"/>
    <w:rsid w:val="000F6FE7"/>
    <w:rsid w:val="000F704A"/>
    <w:rsid w:val="000F73C6"/>
    <w:rsid w:val="000F7752"/>
    <w:rsid w:val="00100D0A"/>
    <w:rsid w:val="00101309"/>
    <w:rsid w:val="001014E8"/>
    <w:rsid w:val="00101803"/>
    <w:rsid w:val="00101D87"/>
    <w:rsid w:val="00101EE1"/>
    <w:rsid w:val="00102089"/>
    <w:rsid w:val="00102103"/>
    <w:rsid w:val="001022BC"/>
    <w:rsid w:val="00102EF5"/>
    <w:rsid w:val="00103B2C"/>
    <w:rsid w:val="001043A8"/>
    <w:rsid w:val="001043C7"/>
    <w:rsid w:val="0010442F"/>
    <w:rsid w:val="001047B6"/>
    <w:rsid w:val="00104974"/>
    <w:rsid w:val="00104B88"/>
    <w:rsid w:val="00104DDA"/>
    <w:rsid w:val="00104E7E"/>
    <w:rsid w:val="0010568D"/>
    <w:rsid w:val="00106296"/>
    <w:rsid w:val="00106801"/>
    <w:rsid w:val="00106888"/>
    <w:rsid w:val="00106B84"/>
    <w:rsid w:val="00106E73"/>
    <w:rsid w:val="00110316"/>
    <w:rsid w:val="001104E4"/>
    <w:rsid w:val="00111ED5"/>
    <w:rsid w:val="00111EF8"/>
    <w:rsid w:val="00111F9A"/>
    <w:rsid w:val="00112328"/>
    <w:rsid w:val="00112E06"/>
    <w:rsid w:val="00112EE0"/>
    <w:rsid w:val="001130FB"/>
    <w:rsid w:val="00113933"/>
    <w:rsid w:val="00113C22"/>
    <w:rsid w:val="00113C83"/>
    <w:rsid w:val="00113F04"/>
    <w:rsid w:val="00113F85"/>
    <w:rsid w:val="00114088"/>
    <w:rsid w:val="00114459"/>
    <w:rsid w:val="001146BA"/>
    <w:rsid w:val="00114A78"/>
    <w:rsid w:val="00115B80"/>
    <w:rsid w:val="00115C48"/>
    <w:rsid w:val="00116006"/>
    <w:rsid w:val="00116B12"/>
    <w:rsid w:val="00116C56"/>
    <w:rsid w:val="00116C93"/>
    <w:rsid w:val="001171F8"/>
    <w:rsid w:val="0011748C"/>
    <w:rsid w:val="00117C6A"/>
    <w:rsid w:val="00117E10"/>
    <w:rsid w:val="0012022B"/>
    <w:rsid w:val="001203E4"/>
    <w:rsid w:val="00120890"/>
    <w:rsid w:val="0012099D"/>
    <w:rsid w:val="00120DCD"/>
    <w:rsid w:val="00120F46"/>
    <w:rsid w:val="00121597"/>
    <w:rsid w:val="00121EB7"/>
    <w:rsid w:val="00122302"/>
    <w:rsid w:val="0012327E"/>
    <w:rsid w:val="0012383F"/>
    <w:rsid w:val="00123878"/>
    <w:rsid w:val="00123883"/>
    <w:rsid w:val="00123934"/>
    <w:rsid w:val="0012399B"/>
    <w:rsid w:val="00123A0D"/>
    <w:rsid w:val="00123B8F"/>
    <w:rsid w:val="0012436D"/>
    <w:rsid w:val="00124831"/>
    <w:rsid w:val="00124890"/>
    <w:rsid w:val="00124C08"/>
    <w:rsid w:val="00124EFF"/>
    <w:rsid w:val="0012540D"/>
    <w:rsid w:val="00126291"/>
    <w:rsid w:val="00126938"/>
    <w:rsid w:val="00126C0E"/>
    <w:rsid w:val="00127096"/>
    <w:rsid w:val="00127307"/>
    <w:rsid w:val="00127892"/>
    <w:rsid w:val="00127AA8"/>
    <w:rsid w:val="00130464"/>
    <w:rsid w:val="001304B0"/>
    <w:rsid w:val="0013062E"/>
    <w:rsid w:val="0013077F"/>
    <w:rsid w:val="00130B71"/>
    <w:rsid w:val="00130F3A"/>
    <w:rsid w:val="00131B77"/>
    <w:rsid w:val="00131B83"/>
    <w:rsid w:val="00131BD2"/>
    <w:rsid w:val="00131ECD"/>
    <w:rsid w:val="001324D5"/>
    <w:rsid w:val="00132966"/>
    <w:rsid w:val="00132BF8"/>
    <w:rsid w:val="0013305B"/>
    <w:rsid w:val="001343AE"/>
    <w:rsid w:val="00134C04"/>
    <w:rsid w:val="00134D05"/>
    <w:rsid w:val="00135006"/>
    <w:rsid w:val="00135D77"/>
    <w:rsid w:val="00135DBC"/>
    <w:rsid w:val="00136112"/>
    <w:rsid w:val="00136196"/>
    <w:rsid w:val="0013649F"/>
    <w:rsid w:val="00136581"/>
    <w:rsid w:val="001367B8"/>
    <w:rsid w:val="00136FF5"/>
    <w:rsid w:val="001378AD"/>
    <w:rsid w:val="0014031D"/>
    <w:rsid w:val="001410D3"/>
    <w:rsid w:val="00141267"/>
    <w:rsid w:val="0014184C"/>
    <w:rsid w:val="001418E1"/>
    <w:rsid w:val="00141D1E"/>
    <w:rsid w:val="00141E72"/>
    <w:rsid w:val="00141F0A"/>
    <w:rsid w:val="00141F2B"/>
    <w:rsid w:val="00141F2F"/>
    <w:rsid w:val="00141F5C"/>
    <w:rsid w:val="00142677"/>
    <w:rsid w:val="001429C0"/>
    <w:rsid w:val="00142E56"/>
    <w:rsid w:val="001434A9"/>
    <w:rsid w:val="00143D58"/>
    <w:rsid w:val="001440A0"/>
    <w:rsid w:val="0014443D"/>
    <w:rsid w:val="00144669"/>
    <w:rsid w:val="00144E5A"/>
    <w:rsid w:val="00144EC3"/>
    <w:rsid w:val="0014500F"/>
    <w:rsid w:val="00145BFE"/>
    <w:rsid w:val="00145D4E"/>
    <w:rsid w:val="00146286"/>
    <w:rsid w:val="00146BF4"/>
    <w:rsid w:val="00146CE5"/>
    <w:rsid w:val="001470F6"/>
    <w:rsid w:val="00147243"/>
    <w:rsid w:val="001473B8"/>
    <w:rsid w:val="0014788C"/>
    <w:rsid w:val="00147D1B"/>
    <w:rsid w:val="00150022"/>
    <w:rsid w:val="0015076A"/>
    <w:rsid w:val="00150920"/>
    <w:rsid w:val="00150E81"/>
    <w:rsid w:val="00150F3B"/>
    <w:rsid w:val="001513A9"/>
    <w:rsid w:val="001518FD"/>
    <w:rsid w:val="001520F7"/>
    <w:rsid w:val="00152127"/>
    <w:rsid w:val="001524DF"/>
    <w:rsid w:val="001527E3"/>
    <w:rsid w:val="00152D1F"/>
    <w:rsid w:val="001532BC"/>
    <w:rsid w:val="001533C7"/>
    <w:rsid w:val="001533DC"/>
    <w:rsid w:val="00153627"/>
    <w:rsid w:val="001536E7"/>
    <w:rsid w:val="00153B22"/>
    <w:rsid w:val="001546C9"/>
    <w:rsid w:val="00154EE5"/>
    <w:rsid w:val="00156214"/>
    <w:rsid w:val="00157BAD"/>
    <w:rsid w:val="00157CBE"/>
    <w:rsid w:val="00157E6E"/>
    <w:rsid w:val="00157F8B"/>
    <w:rsid w:val="00160B7B"/>
    <w:rsid w:val="00160F64"/>
    <w:rsid w:val="00161281"/>
    <w:rsid w:val="00161433"/>
    <w:rsid w:val="00161AEE"/>
    <w:rsid w:val="001626C3"/>
    <w:rsid w:val="00162B3C"/>
    <w:rsid w:val="00162BE4"/>
    <w:rsid w:val="00162D8C"/>
    <w:rsid w:val="0016301A"/>
    <w:rsid w:val="0016350E"/>
    <w:rsid w:val="00163CCF"/>
    <w:rsid w:val="00164036"/>
    <w:rsid w:val="001647A3"/>
    <w:rsid w:val="001649D7"/>
    <w:rsid w:val="00164A5D"/>
    <w:rsid w:val="00164F73"/>
    <w:rsid w:val="00165554"/>
    <w:rsid w:val="00165CBC"/>
    <w:rsid w:val="00165DE9"/>
    <w:rsid w:val="0016606E"/>
    <w:rsid w:val="001667ED"/>
    <w:rsid w:val="00166F65"/>
    <w:rsid w:val="0016753E"/>
    <w:rsid w:val="0016781B"/>
    <w:rsid w:val="00167912"/>
    <w:rsid w:val="00167984"/>
    <w:rsid w:val="00167C65"/>
    <w:rsid w:val="00170F6D"/>
    <w:rsid w:val="00171468"/>
    <w:rsid w:val="001715BB"/>
    <w:rsid w:val="00171FB8"/>
    <w:rsid w:val="0017205A"/>
    <w:rsid w:val="0017383E"/>
    <w:rsid w:val="00173D07"/>
    <w:rsid w:val="00173E38"/>
    <w:rsid w:val="001749DD"/>
    <w:rsid w:val="001753F4"/>
    <w:rsid w:val="00175571"/>
    <w:rsid w:val="00175709"/>
    <w:rsid w:val="0017618E"/>
    <w:rsid w:val="00176234"/>
    <w:rsid w:val="00176590"/>
    <w:rsid w:val="00176B1E"/>
    <w:rsid w:val="001773CB"/>
    <w:rsid w:val="00177874"/>
    <w:rsid w:val="00180318"/>
    <w:rsid w:val="001803BE"/>
    <w:rsid w:val="0018079D"/>
    <w:rsid w:val="00181755"/>
    <w:rsid w:val="00181994"/>
    <w:rsid w:val="00181F5C"/>
    <w:rsid w:val="0018231F"/>
    <w:rsid w:val="00182713"/>
    <w:rsid w:val="0018288F"/>
    <w:rsid w:val="001832C2"/>
    <w:rsid w:val="00183B21"/>
    <w:rsid w:val="00183FA3"/>
    <w:rsid w:val="00184068"/>
    <w:rsid w:val="00184E2C"/>
    <w:rsid w:val="001857E7"/>
    <w:rsid w:val="00185D5F"/>
    <w:rsid w:val="00186142"/>
    <w:rsid w:val="00186681"/>
    <w:rsid w:val="00186853"/>
    <w:rsid w:val="00186E2D"/>
    <w:rsid w:val="00186FBE"/>
    <w:rsid w:val="00187664"/>
    <w:rsid w:val="001876F5"/>
    <w:rsid w:val="00187DC9"/>
    <w:rsid w:val="00187E43"/>
    <w:rsid w:val="00187EBF"/>
    <w:rsid w:val="00190841"/>
    <w:rsid w:val="0019090A"/>
    <w:rsid w:val="00190ADC"/>
    <w:rsid w:val="00190DB2"/>
    <w:rsid w:val="00191D6B"/>
    <w:rsid w:val="00191EB1"/>
    <w:rsid w:val="00192428"/>
    <w:rsid w:val="00192A72"/>
    <w:rsid w:val="0019345D"/>
    <w:rsid w:val="00194070"/>
    <w:rsid w:val="001940FA"/>
    <w:rsid w:val="00194F60"/>
    <w:rsid w:val="001956DC"/>
    <w:rsid w:val="001956DE"/>
    <w:rsid w:val="00195DFE"/>
    <w:rsid w:val="0019613B"/>
    <w:rsid w:val="00196E72"/>
    <w:rsid w:val="00197134"/>
    <w:rsid w:val="00197435"/>
    <w:rsid w:val="001A0090"/>
    <w:rsid w:val="001A09E4"/>
    <w:rsid w:val="001A0E76"/>
    <w:rsid w:val="001A1015"/>
    <w:rsid w:val="001A156C"/>
    <w:rsid w:val="001A1A34"/>
    <w:rsid w:val="001A1D07"/>
    <w:rsid w:val="001A1D6C"/>
    <w:rsid w:val="001A229B"/>
    <w:rsid w:val="001A25C7"/>
    <w:rsid w:val="001A2A7F"/>
    <w:rsid w:val="001A2CC0"/>
    <w:rsid w:val="001A2F1B"/>
    <w:rsid w:val="001A2F4F"/>
    <w:rsid w:val="001A3091"/>
    <w:rsid w:val="001A3572"/>
    <w:rsid w:val="001A37AC"/>
    <w:rsid w:val="001A3E0F"/>
    <w:rsid w:val="001A3E43"/>
    <w:rsid w:val="001A49EA"/>
    <w:rsid w:val="001A4ADB"/>
    <w:rsid w:val="001A503E"/>
    <w:rsid w:val="001A50D6"/>
    <w:rsid w:val="001A5556"/>
    <w:rsid w:val="001A5713"/>
    <w:rsid w:val="001A59C9"/>
    <w:rsid w:val="001A5A00"/>
    <w:rsid w:val="001A5F48"/>
    <w:rsid w:val="001A633C"/>
    <w:rsid w:val="001A65C5"/>
    <w:rsid w:val="001A6AD7"/>
    <w:rsid w:val="001A6B1D"/>
    <w:rsid w:val="001A7237"/>
    <w:rsid w:val="001A780A"/>
    <w:rsid w:val="001A78A9"/>
    <w:rsid w:val="001A791A"/>
    <w:rsid w:val="001A7CDE"/>
    <w:rsid w:val="001B0254"/>
    <w:rsid w:val="001B0691"/>
    <w:rsid w:val="001B0764"/>
    <w:rsid w:val="001B1084"/>
    <w:rsid w:val="001B1836"/>
    <w:rsid w:val="001B18C2"/>
    <w:rsid w:val="001B1992"/>
    <w:rsid w:val="001B28CF"/>
    <w:rsid w:val="001B2CE3"/>
    <w:rsid w:val="001B2EDF"/>
    <w:rsid w:val="001B3047"/>
    <w:rsid w:val="001B3764"/>
    <w:rsid w:val="001B3D34"/>
    <w:rsid w:val="001B3DE6"/>
    <w:rsid w:val="001B405E"/>
    <w:rsid w:val="001B4527"/>
    <w:rsid w:val="001B4571"/>
    <w:rsid w:val="001B4670"/>
    <w:rsid w:val="001B4693"/>
    <w:rsid w:val="001B4998"/>
    <w:rsid w:val="001B4F73"/>
    <w:rsid w:val="001B51CC"/>
    <w:rsid w:val="001B5BA0"/>
    <w:rsid w:val="001B71EA"/>
    <w:rsid w:val="001B723C"/>
    <w:rsid w:val="001B75D8"/>
    <w:rsid w:val="001B763F"/>
    <w:rsid w:val="001B7C9B"/>
    <w:rsid w:val="001C0240"/>
    <w:rsid w:val="001C0EBF"/>
    <w:rsid w:val="001C167C"/>
    <w:rsid w:val="001C20F5"/>
    <w:rsid w:val="001C2EFF"/>
    <w:rsid w:val="001C3537"/>
    <w:rsid w:val="001C37E7"/>
    <w:rsid w:val="001C3A33"/>
    <w:rsid w:val="001C3B3C"/>
    <w:rsid w:val="001C3D01"/>
    <w:rsid w:val="001C3E66"/>
    <w:rsid w:val="001C4316"/>
    <w:rsid w:val="001C4680"/>
    <w:rsid w:val="001C5612"/>
    <w:rsid w:val="001C5B0D"/>
    <w:rsid w:val="001C5BD4"/>
    <w:rsid w:val="001C5BEA"/>
    <w:rsid w:val="001C6990"/>
    <w:rsid w:val="001C6ED6"/>
    <w:rsid w:val="001C70B3"/>
    <w:rsid w:val="001C7926"/>
    <w:rsid w:val="001C7E16"/>
    <w:rsid w:val="001D0234"/>
    <w:rsid w:val="001D082E"/>
    <w:rsid w:val="001D0883"/>
    <w:rsid w:val="001D0943"/>
    <w:rsid w:val="001D0E98"/>
    <w:rsid w:val="001D1070"/>
    <w:rsid w:val="001D12A5"/>
    <w:rsid w:val="001D13C8"/>
    <w:rsid w:val="001D1905"/>
    <w:rsid w:val="001D1D16"/>
    <w:rsid w:val="001D213D"/>
    <w:rsid w:val="001D224C"/>
    <w:rsid w:val="001D22BD"/>
    <w:rsid w:val="001D26AD"/>
    <w:rsid w:val="001D26EF"/>
    <w:rsid w:val="001D28BD"/>
    <w:rsid w:val="001D28D1"/>
    <w:rsid w:val="001D33A7"/>
    <w:rsid w:val="001D4639"/>
    <w:rsid w:val="001D48DB"/>
    <w:rsid w:val="001D4C72"/>
    <w:rsid w:val="001D4DDE"/>
    <w:rsid w:val="001D5639"/>
    <w:rsid w:val="001D5B10"/>
    <w:rsid w:val="001D5E5A"/>
    <w:rsid w:val="001D6F38"/>
    <w:rsid w:val="001D750A"/>
    <w:rsid w:val="001D7E62"/>
    <w:rsid w:val="001D7FE5"/>
    <w:rsid w:val="001E0808"/>
    <w:rsid w:val="001E1327"/>
    <w:rsid w:val="001E1950"/>
    <w:rsid w:val="001E1F74"/>
    <w:rsid w:val="001E1FB2"/>
    <w:rsid w:val="001E2196"/>
    <w:rsid w:val="001E2453"/>
    <w:rsid w:val="001E297F"/>
    <w:rsid w:val="001E2FE1"/>
    <w:rsid w:val="001E35E7"/>
    <w:rsid w:val="001E3B61"/>
    <w:rsid w:val="001E4088"/>
    <w:rsid w:val="001E4641"/>
    <w:rsid w:val="001E4724"/>
    <w:rsid w:val="001E481E"/>
    <w:rsid w:val="001E49E6"/>
    <w:rsid w:val="001E4ABD"/>
    <w:rsid w:val="001E509A"/>
    <w:rsid w:val="001E5259"/>
    <w:rsid w:val="001E5653"/>
    <w:rsid w:val="001E5951"/>
    <w:rsid w:val="001E5977"/>
    <w:rsid w:val="001E6262"/>
    <w:rsid w:val="001E65B8"/>
    <w:rsid w:val="001E7AB9"/>
    <w:rsid w:val="001E7D8F"/>
    <w:rsid w:val="001F00E4"/>
    <w:rsid w:val="001F0400"/>
    <w:rsid w:val="001F058A"/>
    <w:rsid w:val="001F0985"/>
    <w:rsid w:val="001F1661"/>
    <w:rsid w:val="001F1DD8"/>
    <w:rsid w:val="001F1DEB"/>
    <w:rsid w:val="001F1E82"/>
    <w:rsid w:val="001F2A2D"/>
    <w:rsid w:val="001F2BEC"/>
    <w:rsid w:val="001F2C8A"/>
    <w:rsid w:val="001F2C8F"/>
    <w:rsid w:val="001F2E94"/>
    <w:rsid w:val="001F30E7"/>
    <w:rsid w:val="001F3785"/>
    <w:rsid w:val="001F37EB"/>
    <w:rsid w:val="001F4334"/>
    <w:rsid w:val="001F4740"/>
    <w:rsid w:val="001F48D1"/>
    <w:rsid w:val="001F4A7E"/>
    <w:rsid w:val="001F4AD2"/>
    <w:rsid w:val="001F50EF"/>
    <w:rsid w:val="001F63AA"/>
    <w:rsid w:val="001F64EF"/>
    <w:rsid w:val="001F668D"/>
    <w:rsid w:val="001F67CE"/>
    <w:rsid w:val="001F6835"/>
    <w:rsid w:val="001F7135"/>
    <w:rsid w:val="001F7366"/>
    <w:rsid w:val="001F7612"/>
    <w:rsid w:val="00200155"/>
    <w:rsid w:val="0020026D"/>
    <w:rsid w:val="00200400"/>
    <w:rsid w:val="002006FB"/>
    <w:rsid w:val="002008E2"/>
    <w:rsid w:val="00200B0A"/>
    <w:rsid w:val="00200DB8"/>
    <w:rsid w:val="00201768"/>
    <w:rsid w:val="00201A2D"/>
    <w:rsid w:val="00201D62"/>
    <w:rsid w:val="0020223B"/>
    <w:rsid w:val="0020277B"/>
    <w:rsid w:val="00202793"/>
    <w:rsid w:val="00202D0A"/>
    <w:rsid w:val="00204993"/>
    <w:rsid w:val="00204BD9"/>
    <w:rsid w:val="00204D79"/>
    <w:rsid w:val="002054E6"/>
    <w:rsid w:val="002059AE"/>
    <w:rsid w:val="00205B01"/>
    <w:rsid w:val="0020699D"/>
    <w:rsid w:val="002069C7"/>
    <w:rsid w:val="002075B3"/>
    <w:rsid w:val="00207C45"/>
    <w:rsid w:val="00207D85"/>
    <w:rsid w:val="00207EFE"/>
    <w:rsid w:val="00210040"/>
    <w:rsid w:val="002101D9"/>
    <w:rsid w:val="00210AF9"/>
    <w:rsid w:val="002110E3"/>
    <w:rsid w:val="00211453"/>
    <w:rsid w:val="00211923"/>
    <w:rsid w:val="00211CA6"/>
    <w:rsid w:val="002122FF"/>
    <w:rsid w:val="002127CE"/>
    <w:rsid w:val="002127D1"/>
    <w:rsid w:val="00212F66"/>
    <w:rsid w:val="00213464"/>
    <w:rsid w:val="00213768"/>
    <w:rsid w:val="00213DE0"/>
    <w:rsid w:val="00213F85"/>
    <w:rsid w:val="00213F93"/>
    <w:rsid w:val="00214B7C"/>
    <w:rsid w:val="0021525D"/>
    <w:rsid w:val="002158E7"/>
    <w:rsid w:val="002163FF"/>
    <w:rsid w:val="00216973"/>
    <w:rsid w:val="00216F85"/>
    <w:rsid w:val="00217016"/>
    <w:rsid w:val="002171F6"/>
    <w:rsid w:val="00217A58"/>
    <w:rsid w:val="00217C57"/>
    <w:rsid w:val="002200E0"/>
    <w:rsid w:val="002202C1"/>
    <w:rsid w:val="00220BCF"/>
    <w:rsid w:val="002218CF"/>
    <w:rsid w:val="00221BE2"/>
    <w:rsid w:val="002222F6"/>
    <w:rsid w:val="00222E8B"/>
    <w:rsid w:val="0022308F"/>
    <w:rsid w:val="00223DBB"/>
    <w:rsid w:val="00223F5C"/>
    <w:rsid w:val="00224675"/>
    <w:rsid w:val="0022481D"/>
    <w:rsid w:val="00224BA2"/>
    <w:rsid w:val="00225293"/>
    <w:rsid w:val="00225384"/>
    <w:rsid w:val="0022544D"/>
    <w:rsid w:val="00225701"/>
    <w:rsid w:val="00225CF0"/>
    <w:rsid w:val="00226698"/>
    <w:rsid w:val="00226C11"/>
    <w:rsid w:val="00226EB0"/>
    <w:rsid w:val="002273FA"/>
    <w:rsid w:val="00227577"/>
    <w:rsid w:val="002317EA"/>
    <w:rsid w:val="00231857"/>
    <w:rsid w:val="00231A20"/>
    <w:rsid w:val="00231B4B"/>
    <w:rsid w:val="002330ED"/>
    <w:rsid w:val="002330F2"/>
    <w:rsid w:val="00234360"/>
    <w:rsid w:val="00234498"/>
    <w:rsid w:val="002344C4"/>
    <w:rsid w:val="002348D4"/>
    <w:rsid w:val="002348FC"/>
    <w:rsid w:val="002349E6"/>
    <w:rsid w:val="00234AD6"/>
    <w:rsid w:val="00234B97"/>
    <w:rsid w:val="00234E8A"/>
    <w:rsid w:val="002351A0"/>
    <w:rsid w:val="00235468"/>
    <w:rsid w:val="00235552"/>
    <w:rsid w:val="00235E4D"/>
    <w:rsid w:val="00236626"/>
    <w:rsid w:val="0023670C"/>
    <w:rsid w:val="002369FF"/>
    <w:rsid w:val="00236FB0"/>
    <w:rsid w:val="0023721D"/>
    <w:rsid w:val="00237F69"/>
    <w:rsid w:val="00240195"/>
    <w:rsid w:val="002408C1"/>
    <w:rsid w:val="00240E19"/>
    <w:rsid w:val="00240E86"/>
    <w:rsid w:val="00241542"/>
    <w:rsid w:val="0024188A"/>
    <w:rsid w:val="00241E23"/>
    <w:rsid w:val="002427A3"/>
    <w:rsid w:val="0024292A"/>
    <w:rsid w:val="00242AB2"/>
    <w:rsid w:val="00242C77"/>
    <w:rsid w:val="00242F2C"/>
    <w:rsid w:val="00243535"/>
    <w:rsid w:val="00243949"/>
    <w:rsid w:val="0024483B"/>
    <w:rsid w:val="00244900"/>
    <w:rsid w:val="00244983"/>
    <w:rsid w:val="00244BD1"/>
    <w:rsid w:val="00244CFB"/>
    <w:rsid w:val="00245030"/>
    <w:rsid w:val="00245DC3"/>
    <w:rsid w:val="00246244"/>
    <w:rsid w:val="002462E0"/>
    <w:rsid w:val="00246954"/>
    <w:rsid w:val="0024739E"/>
    <w:rsid w:val="00247670"/>
    <w:rsid w:val="00247B4B"/>
    <w:rsid w:val="00247BA3"/>
    <w:rsid w:val="00247F6D"/>
    <w:rsid w:val="00250437"/>
    <w:rsid w:val="002515D1"/>
    <w:rsid w:val="002517CA"/>
    <w:rsid w:val="00251947"/>
    <w:rsid w:val="002519DD"/>
    <w:rsid w:val="00251A96"/>
    <w:rsid w:val="002521BC"/>
    <w:rsid w:val="00252425"/>
    <w:rsid w:val="00252D32"/>
    <w:rsid w:val="002531FE"/>
    <w:rsid w:val="0025323D"/>
    <w:rsid w:val="00253DD5"/>
    <w:rsid w:val="00253F40"/>
    <w:rsid w:val="002540D8"/>
    <w:rsid w:val="00254613"/>
    <w:rsid w:val="00254684"/>
    <w:rsid w:val="00254744"/>
    <w:rsid w:val="002549B0"/>
    <w:rsid w:val="00254CC7"/>
    <w:rsid w:val="00254DBE"/>
    <w:rsid w:val="00255240"/>
    <w:rsid w:val="002557F4"/>
    <w:rsid w:val="00255AE7"/>
    <w:rsid w:val="00255CC7"/>
    <w:rsid w:val="002560A9"/>
    <w:rsid w:val="002569A9"/>
    <w:rsid w:val="00257103"/>
    <w:rsid w:val="002572A2"/>
    <w:rsid w:val="002573BE"/>
    <w:rsid w:val="00257704"/>
    <w:rsid w:val="00260115"/>
    <w:rsid w:val="002611A3"/>
    <w:rsid w:val="00261A98"/>
    <w:rsid w:val="0026223C"/>
    <w:rsid w:val="00262272"/>
    <w:rsid w:val="00262672"/>
    <w:rsid w:val="00262781"/>
    <w:rsid w:val="00262F80"/>
    <w:rsid w:val="002634F1"/>
    <w:rsid w:val="00263869"/>
    <w:rsid w:val="00263A36"/>
    <w:rsid w:val="00263BCF"/>
    <w:rsid w:val="00263DA4"/>
    <w:rsid w:val="00263E9F"/>
    <w:rsid w:val="002642CF"/>
    <w:rsid w:val="0026464D"/>
    <w:rsid w:val="00264850"/>
    <w:rsid w:val="0026526E"/>
    <w:rsid w:val="00265C72"/>
    <w:rsid w:val="00265ECF"/>
    <w:rsid w:val="00266042"/>
    <w:rsid w:val="00266358"/>
    <w:rsid w:val="00266588"/>
    <w:rsid w:val="002667D7"/>
    <w:rsid w:val="002669FF"/>
    <w:rsid w:val="00266ABF"/>
    <w:rsid w:val="00266BBA"/>
    <w:rsid w:val="00266BEA"/>
    <w:rsid w:val="00266D51"/>
    <w:rsid w:val="00266FB9"/>
    <w:rsid w:val="00266FBA"/>
    <w:rsid w:val="0026717A"/>
    <w:rsid w:val="0026724E"/>
    <w:rsid w:val="0026757D"/>
    <w:rsid w:val="002676BD"/>
    <w:rsid w:val="0026792F"/>
    <w:rsid w:val="00267F98"/>
    <w:rsid w:val="00267FC6"/>
    <w:rsid w:val="0027092B"/>
    <w:rsid w:val="00272094"/>
    <w:rsid w:val="002723FF"/>
    <w:rsid w:val="002739E8"/>
    <w:rsid w:val="002739EC"/>
    <w:rsid w:val="00273C22"/>
    <w:rsid w:val="00273F2E"/>
    <w:rsid w:val="00274658"/>
    <w:rsid w:val="00275060"/>
    <w:rsid w:val="002750DA"/>
    <w:rsid w:val="00275641"/>
    <w:rsid w:val="00275B6C"/>
    <w:rsid w:val="00275C72"/>
    <w:rsid w:val="00275FFE"/>
    <w:rsid w:val="002763EA"/>
    <w:rsid w:val="00276F49"/>
    <w:rsid w:val="00276FFD"/>
    <w:rsid w:val="0027781E"/>
    <w:rsid w:val="00277B40"/>
    <w:rsid w:val="00281537"/>
    <w:rsid w:val="00282D8E"/>
    <w:rsid w:val="0028306E"/>
    <w:rsid w:val="002831C5"/>
    <w:rsid w:val="00283756"/>
    <w:rsid w:val="0028387B"/>
    <w:rsid w:val="00283CCD"/>
    <w:rsid w:val="002846B6"/>
    <w:rsid w:val="0028485A"/>
    <w:rsid w:val="00284E3A"/>
    <w:rsid w:val="002851AE"/>
    <w:rsid w:val="00285319"/>
    <w:rsid w:val="00286961"/>
    <w:rsid w:val="00286E9C"/>
    <w:rsid w:val="00286F0E"/>
    <w:rsid w:val="002870DE"/>
    <w:rsid w:val="0028739D"/>
    <w:rsid w:val="002876A6"/>
    <w:rsid w:val="002879EE"/>
    <w:rsid w:val="0029023D"/>
    <w:rsid w:val="00290AD4"/>
    <w:rsid w:val="00290C3B"/>
    <w:rsid w:val="00290DF8"/>
    <w:rsid w:val="00290E33"/>
    <w:rsid w:val="00290E59"/>
    <w:rsid w:val="00291C61"/>
    <w:rsid w:val="00291E7C"/>
    <w:rsid w:val="00291ECD"/>
    <w:rsid w:val="0029275F"/>
    <w:rsid w:val="0029364F"/>
    <w:rsid w:val="002941EF"/>
    <w:rsid w:val="0029423D"/>
    <w:rsid w:val="00294E1A"/>
    <w:rsid w:val="0029562D"/>
    <w:rsid w:val="00295927"/>
    <w:rsid w:val="00296666"/>
    <w:rsid w:val="00296AF1"/>
    <w:rsid w:val="00296BA2"/>
    <w:rsid w:val="00296E5F"/>
    <w:rsid w:val="002970AF"/>
    <w:rsid w:val="00297573"/>
    <w:rsid w:val="00297667"/>
    <w:rsid w:val="00297DEB"/>
    <w:rsid w:val="002A0FB9"/>
    <w:rsid w:val="002A1091"/>
    <w:rsid w:val="002A1AA7"/>
    <w:rsid w:val="002A1EB7"/>
    <w:rsid w:val="002A225E"/>
    <w:rsid w:val="002A22E3"/>
    <w:rsid w:val="002A22FA"/>
    <w:rsid w:val="002A2549"/>
    <w:rsid w:val="002A264E"/>
    <w:rsid w:val="002A275D"/>
    <w:rsid w:val="002A2883"/>
    <w:rsid w:val="002A2AF4"/>
    <w:rsid w:val="002A2C5B"/>
    <w:rsid w:val="002A2CA7"/>
    <w:rsid w:val="002A300B"/>
    <w:rsid w:val="002A35BD"/>
    <w:rsid w:val="002A3E82"/>
    <w:rsid w:val="002A3EF6"/>
    <w:rsid w:val="002A407A"/>
    <w:rsid w:val="002A4098"/>
    <w:rsid w:val="002A4509"/>
    <w:rsid w:val="002A4857"/>
    <w:rsid w:val="002A50E7"/>
    <w:rsid w:val="002A53C2"/>
    <w:rsid w:val="002A547B"/>
    <w:rsid w:val="002A5A1F"/>
    <w:rsid w:val="002A62EC"/>
    <w:rsid w:val="002A6E01"/>
    <w:rsid w:val="002A6F90"/>
    <w:rsid w:val="002A7979"/>
    <w:rsid w:val="002A7BEE"/>
    <w:rsid w:val="002B0222"/>
    <w:rsid w:val="002B03E1"/>
    <w:rsid w:val="002B0423"/>
    <w:rsid w:val="002B0A30"/>
    <w:rsid w:val="002B0ADF"/>
    <w:rsid w:val="002B20E2"/>
    <w:rsid w:val="002B2371"/>
    <w:rsid w:val="002B2992"/>
    <w:rsid w:val="002B2CCB"/>
    <w:rsid w:val="002B2D65"/>
    <w:rsid w:val="002B3E49"/>
    <w:rsid w:val="002B3EF3"/>
    <w:rsid w:val="002B47C0"/>
    <w:rsid w:val="002B4B14"/>
    <w:rsid w:val="002B4F83"/>
    <w:rsid w:val="002B50CC"/>
    <w:rsid w:val="002B538C"/>
    <w:rsid w:val="002B53AA"/>
    <w:rsid w:val="002B59E2"/>
    <w:rsid w:val="002B5AE9"/>
    <w:rsid w:val="002B5E81"/>
    <w:rsid w:val="002B66F4"/>
    <w:rsid w:val="002B6708"/>
    <w:rsid w:val="002B6B31"/>
    <w:rsid w:val="002B6D9F"/>
    <w:rsid w:val="002B713E"/>
    <w:rsid w:val="002B7A43"/>
    <w:rsid w:val="002B7BCF"/>
    <w:rsid w:val="002B7BFA"/>
    <w:rsid w:val="002B7F50"/>
    <w:rsid w:val="002C0EEE"/>
    <w:rsid w:val="002C1359"/>
    <w:rsid w:val="002C162D"/>
    <w:rsid w:val="002C16AA"/>
    <w:rsid w:val="002C1743"/>
    <w:rsid w:val="002C181E"/>
    <w:rsid w:val="002C19C1"/>
    <w:rsid w:val="002C1ADB"/>
    <w:rsid w:val="002C1E12"/>
    <w:rsid w:val="002C1EC3"/>
    <w:rsid w:val="002C23F8"/>
    <w:rsid w:val="002C29AD"/>
    <w:rsid w:val="002C2AF9"/>
    <w:rsid w:val="002C2DB1"/>
    <w:rsid w:val="002C311C"/>
    <w:rsid w:val="002C35FB"/>
    <w:rsid w:val="002C3E8F"/>
    <w:rsid w:val="002C43D7"/>
    <w:rsid w:val="002C449C"/>
    <w:rsid w:val="002C4B09"/>
    <w:rsid w:val="002C4CF0"/>
    <w:rsid w:val="002C5910"/>
    <w:rsid w:val="002C5E04"/>
    <w:rsid w:val="002C672C"/>
    <w:rsid w:val="002C6B93"/>
    <w:rsid w:val="002C7BFD"/>
    <w:rsid w:val="002C7D11"/>
    <w:rsid w:val="002D0F1A"/>
    <w:rsid w:val="002D10DE"/>
    <w:rsid w:val="002D13D6"/>
    <w:rsid w:val="002D15EC"/>
    <w:rsid w:val="002D19DA"/>
    <w:rsid w:val="002D1ACC"/>
    <w:rsid w:val="002D270C"/>
    <w:rsid w:val="002D287E"/>
    <w:rsid w:val="002D288E"/>
    <w:rsid w:val="002D2BBD"/>
    <w:rsid w:val="002D30A6"/>
    <w:rsid w:val="002D37CB"/>
    <w:rsid w:val="002D3B15"/>
    <w:rsid w:val="002D3DC4"/>
    <w:rsid w:val="002D3E70"/>
    <w:rsid w:val="002D4262"/>
    <w:rsid w:val="002D4591"/>
    <w:rsid w:val="002D49A9"/>
    <w:rsid w:val="002D4D52"/>
    <w:rsid w:val="002D4F74"/>
    <w:rsid w:val="002D5544"/>
    <w:rsid w:val="002D5592"/>
    <w:rsid w:val="002D61FA"/>
    <w:rsid w:val="002D66EF"/>
    <w:rsid w:val="002D6B47"/>
    <w:rsid w:val="002D6D0C"/>
    <w:rsid w:val="002D7021"/>
    <w:rsid w:val="002D7B0F"/>
    <w:rsid w:val="002E0B40"/>
    <w:rsid w:val="002E0CF7"/>
    <w:rsid w:val="002E1056"/>
    <w:rsid w:val="002E11E1"/>
    <w:rsid w:val="002E1532"/>
    <w:rsid w:val="002E1669"/>
    <w:rsid w:val="002E1C4C"/>
    <w:rsid w:val="002E2285"/>
    <w:rsid w:val="002E23AD"/>
    <w:rsid w:val="002E246A"/>
    <w:rsid w:val="002E3070"/>
    <w:rsid w:val="002E30C9"/>
    <w:rsid w:val="002E37EA"/>
    <w:rsid w:val="002E3A5D"/>
    <w:rsid w:val="002E42FC"/>
    <w:rsid w:val="002E452A"/>
    <w:rsid w:val="002E4A74"/>
    <w:rsid w:val="002E5283"/>
    <w:rsid w:val="002E6239"/>
    <w:rsid w:val="002E63F1"/>
    <w:rsid w:val="002E732B"/>
    <w:rsid w:val="002E76BD"/>
    <w:rsid w:val="002E7A19"/>
    <w:rsid w:val="002E7BAF"/>
    <w:rsid w:val="002E7C81"/>
    <w:rsid w:val="002E7DDE"/>
    <w:rsid w:val="002E7ECE"/>
    <w:rsid w:val="002F074D"/>
    <w:rsid w:val="002F0760"/>
    <w:rsid w:val="002F0B13"/>
    <w:rsid w:val="002F1A2D"/>
    <w:rsid w:val="002F1D1A"/>
    <w:rsid w:val="002F1D9A"/>
    <w:rsid w:val="002F262E"/>
    <w:rsid w:val="002F2E6E"/>
    <w:rsid w:val="002F33CD"/>
    <w:rsid w:val="002F3559"/>
    <w:rsid w:val="002F3B46"/>
    <w:rsid w:val="002F4065"/>
    <w:rsid w:val="002F4AE2"/>
    <w:rsid w:val="002F5606"/>
    <w:rsid w:val="002F58DD"/>
    <w:rsid w:val="002F6010"/>
    <w:rsid w:val="002F60B6"/>
    <w:rsid w:val="002F6277"/>
    <w:rsid w:val="002F6530"/>
    <w:rsid w:val="002F6B9C"/>
    <w:rsid w:val="002F6D59"/>
    <w:rsid w:val="002F6DDF"/>
    <w:rsid w:val="002F76B6"/>
    <w:rsid w:val="002F7E69"/>
    <w:rsid w:val="002F7EF9"/>
    <w:rsid w:val="003000D5"/>
    <w:rsid w:val="00300770"/>
    <w:rsid w:val="00301185"/>
    <w:rsid w:val="00301555"/>
    <w:rsid w:val="0030169F"/>
    <w:rsid w:val="003019E4"/>
    <w:rsid w:val="00301A05"/>
    <w:rsid w:val="00301F67"/>
    <w:rsid w:val="00302173"/>
    <w:rsid w:val="00302774"/>
    <w:rsid w:val="00302A3A"/>
    <w:rsid w:val="00302DFF"/>
    <w:rsid w:val="003033A7"/>
    <w:rsid w:val="00303588"/>
    <w:rsid w:val="00303A73"/>
    <w:rsid w:val="00303AA0"/>
    <w:rsid w:val="00304225"/>
    <w:rsid w:val="0030477C"/>
    <w:rsid w:val="00304954"/>
    <w:rsid w:val="00304975"/>
    <w:rsid w:val="003049F6"/>
    <w:rsid w:val="00305989"/>
    <w:rsid w:val="00305C43"/>
    <w:rsid w:val="00305D40"/>
    <w:rsid w:val="00305FD6"/>
    <w:rsid w:val="00306191"/>
    <w:rsid w:val="00306478"/>
    <w:rsid w:val="00306641"/>
    <w:rsid w:val="003068D2"/>
    <w:rsid w:val="00306EC3"/>
    <w:rsid w:val="00307483"/>
    <w:rsid w:val="003076C1"/>
    <w:rsid w:val="0031018A"/>
    <w:rsid w:val="00310448"/>
    <w:rsid w:val="00310449"/>
    <w:rsid w:val="003106B8"/>
    <w:rsid w:val="00310997"/>
    <w:rsid w:val="003113FC"/>
    <w:rsid w:val="003120AF"/>
    <w:rsid w:val="00312170"/>
    <w:rsid w:val="0031239E"/>
    <w:rsid w:val="00312A53"/>
    <w:rsid w:val="00312D49"/>
    <w:rsid w:val="00312E2D"/>
    <w:rsid w:val="00312EB1"/>
    <w:rsid w:val="00312EEA"/>
    <w:rsid w:val="0031336F"/>
    <w:rsid w:val="003148FC"/>
    <w:rsid w:val="00314B03"/>
    <w:rsid w:val="003151A6"/>
    <w:rsid w:val="003159C9"/>
    <w:rsid w:val="00315A37"/>
    <w:rsid w:val="00315CB0"/>
    <w:rsid w:val="003163EB"/>
    <w:rsid w:val="003166AD"/>
    <w:rsid w:val="00317002"/>
    <w:rsid w:val="00317292"/>
    <w:rsid w:val="0031750E"/>
    <w:rsid w:val="003178F9"/>
    <w:rsid w:val="00317A4C"/>
    <w:rsid w:val="00317E3D"/>
    <w:rsid w:val="003201CB"/>
    <w:rsid w:val="00320817"/>
    <w:rsid w:val="00320D4F"/>
    <w:rsid w:val="00320D92"/>
    <w:rsid w:val="00321016"/>
    <w:rsid w:val="00321347"/>
    <w:rsid w:val="00321C2D"/>
    <w:rsid w:val="00321CCA"/>
    <w:rsid w:val="00321D29"/>
    <w:rsid w:val="00322491"/>
    <w:rsid w:val="00322631"/>
    <w:rsid w:val="00322C39"/>
    <w:rsid w:val="00322F21"/>
    <w:rsid w:val="0032323D"/>
    <w:rsid w:val="0032415F"/>
    <w:rsid w:val="003245C8"/>
    <w:rsid w:val="00324695"/>
    <w:rsid w:val="0032483C"/>
    <w:rsid w:val="00325786"/>
    <w:rsid w:val="00325B76"/>
    <w:rsid w:val="00325C89"/>
    <w:rsid w:val="00325D76"/>
    <w:rsid w:val="00326426"/>
    <w:rsid w:val="0032674E"/>
    <w:rsid w:val="003267E9"/>
    <w:rsid w:val="00326AB4"/>
    <w:rsid w:val="003274E5"/>
    <w:rsid w:val="0032773F"/>
    <w:rsid w:val="00330F1C"/>
    <w:rsid w:val="00330F23"/>
    <w:rsid w:val="0033197D"/>
    <w:rsid w:val="00331A02"/>
    <w:rsid w:val="003322C4"/>
    <w:rsid w:val="003326E7"/>
    <w:rsid w:val="00332BC9"/>
    <w:rsid w:val="00332E22"/>
    <w:rsid w:val="00332FBA"/>
    <w:rsid w:val="003332F1"/>
    <w:rsid w:val="00333BB6"/>
    <w:rsid w:val="00333C20"/>
    <w:rsid w:val="00333D4F"/>
    <w:rsid w:val="00333EDF"/>
    <w:rsid w:val="0033410A"/>
    <w:rsid w:val="00334710"/>
    <w:rsid w:val="003350E5"/>
    <w:rsid w:val="0033511B"/>
    <w:rsid w:val="003352D2"/>
    <w:rsid w:val="0033609D"/>
    <w:rsid w:val="00337022"/>
    <w:rsid w:val="00337427"/>
    <w:rsid w:val="003375DC"/>
    <w:rsid w:val="00337B53"/>
    <w:rsid w:val="003400D2"/>
    <w:rsid w:val="00340152"/>
    <w:rsid w:val="0034018D"/>
    <w:rsid w:val="00340216"/>
    <w:rsid w:val="003408FB"/>
    <w:rsid w:val="00340B2D"/>
    <w:rsid w:val="0034119B"/>
    <w:rsid w:val="00341691"/>
    <w:rsid w:val="003416F0"/>
    <w:rsid w:val="00341B6E"/>
    <w:rsid w:val="00342065"/>
    <w:rsid w:val="0034228C"/>
    <w:rsid w:val="003422C4"/>
    <w:rsid w:val="00342417"/>
    <w:rsid w:val="00342468"/>
    <w:rsid w:val="003425B7"/>
    <w:rsid w:val="00342969"/>
    <w:rsid w:val="00342A3A"/>
    <w:rsid w:val="0034324C"/>
    <w:rsid w:val="003441F6"/>
    <w:rsid w:val="0034437A"/>
    <w:rsid w:val="00344B54"/>
    <w:rsid w:val="00344D84"/>
    <w:rsid w:val="00345444"/>
    <w:rsid w:val="00345585"/>
    <w:rsid w:val="0034565E"/>
    <w:rsid w:val="003456B2"/>
    <w:rsid w:val="003457D9"/>
    <w:rsid w:val="00346171"/>
    <w:rsid w:val="003461BD"/>
    <w:rsid w:val="00347032"/>
    <w:rsid w:val="003477C3"/>
    <w:rsid w:val="00347F09"/>
    <w:rsid w:val="00347F76"/>
    <w:rsid w:val="00350108"/>
    <w:rsid w:val="0035087A"/>
    <w:rsid w:val="0035163C"/>
    <w:rsid w:val="00351746"/>
    <w:rsid w:val="003519B6"/>
    <w:rsid w:val="00351F33"/>
    <w:rsid w:val="00352843"/>
    <w:rsid w:val="0035332A"/>
    <w:rsid w:val="003534DD"/>
    <w:rsid w:val="00353CBD"/>
    <w:rsid w:val="003541B6"/>
    <w:rsid w:val="003548C2"/>
    <w:rsid w:val="00354B9D"/>
    <w:rsid w:val="0035543D"/>
    <w:rsid w:val="00355C24"/>
    <w:rsid w:val="00355C99"/>
    <w:rsid w:val="00356213"/>
    <w:rsid w:val="003562C6"/>
    <w:rsid w:val="003565D0"/>
    <w:rsid w:val="003565F0"/>
    <w:rsid w:val="00357327"/>
    <w:rsid w:val="00357363"/>
    <w:rsid w:val="00357B80"/>
    <w:rsid w:val="00360D63"/>
    <w:rsid w:val="00360F67"/>
    <w:rsid w:val="00361268"/>
    <w:rsid w:val="003612F6"/>
    <w:rsid w:val="003613D7"/>
    <w:rsid w:val="003614B8"/>
    <w:rsid w:val="0036171D"/>
    <w:rsid w:val="00361905"/>
    <w:rsid w:val="00361F36"/>
    <w:rsid w:val="00361FB1"/>
    <w:rsid w:val="003621FC"/>
    <w:rsid w:val="003628BF"/>
    <w:rsid w:val="00362BBB"/>
    <w:rsid w:val="00362CAB"/>
    <w:rsid w:val="00362D82"/>
    <w:rsid w:val="00362FDB"/>
    <w:rsid w:val="00363039"/>
    <w:rsid w:val="003631E5"/>
    <w:rsid w:val="0036469A"/>
    <w:rsid w:val="003649A1"/>
    <w:rsid w:val="00364ED4"/>
    <w:rsid w:val="00364FC4"/>
    <w:rsid w:val="0036518B"/>
    <w:rsid w:val="00365280"/>
    <w:rsid w:val="0036535A"/>
    <w:rsid w:val="0036634C"/>
    <w:rsid w:val="00366CCB"/>
    <w:rsid w:val="00367020"/>
    <w:rsid w:val="0036706D"/>
    <w:rsid w:val="003677C4"/>
    <w:rsid w:val="00367AEB"/>
    <w:rsid w:val="00367BA7"/>
    <w:rsid w:val="0037023A"/>
    <w:rsid w:val="0037026E"/>
    <w:rsid w:val="003709B0"/>
    <w:rsid w:val="00370E12"/>
    <w:rsid w:val="00370F56"/>
    <w:rsid w:val="003719ED"/>
    <w:rsid w:val="00371C1D"/>
    <w:rsid w:val="003726E1"/>
    <w:rsid w:val="003727A7"/>
    <w:rsid w:val="00372AFA"/>
    <w:rsid w:val="00372B2C"/>
    <w:rsid w:val="0037304B"/>
    <w:rsid w:val="00373C60"/>
    <w:rsid w:val="00373CA2"/>
    <w:rsid w:val="00373DE4"/>
    <w:rsid w:val="00374139"/>
    <w:rsid w:val="0037430E"/>
    <w:rsid w:val="003744DF"/>
    <w:rsid w:val="0037469D"/>
    <w:rsid w:val="003747F1"/>
    <w:rsid w:val="00374CF3"/>
    <w:rsid w:val="0037564C"/>
    <w:rsid w:val="003763C5"/>
    <w:rsid w:val="00376A63"/>
    <w:rsid w:val="00376B57"/>
    <w:rsid w:val="00376B91"/>
    <w:rsid w:val="00376BC9"/>
    <w:rsid w:val="00376E88"/>
    <w:rsid w:val="0037738D"/>
    <w:rsid w:val="003778CE"/>
    <w:rsid w:val="00380127"/>
    <w:rsid w:val="00380531"/>
    <w:rsid w:val="00380AA0"/>
    <w:rsid w:val="003810E3"/>
    <w:rsid w:val="00381AB9"/>
    <w:rsid w:val="00381C87"/>
    <w:rsid w:val="00382074"/>
    <w:rsid w:val="00382557"/>
    <w:rsid w:val="003836BB"/>
    <w:rsid w:val="00383728"/>
    <w:rsid w:val="0038374F"/>
    <w:rsid w:val="00383868"/>
    <w:rsid w:val="00383A18"/>
    <w:rsid w:val="00383A7C"/>
    <w:rsid w:val="00383FBD"/>
    <w:rsid w:val="00384423"/>
    <w:rsid w:val="00384CAF"/>
    <w:rsid w:val="00385025"/>
    <w:rsid w:val="00385142"/>
    <w:rsid w:val="003853B3"/>
    <w:rsid w:val="0038565D"/>
    <w:rsid w:val="00385AE9"/>
    <w:rsid w:val="00385C48"/>
    <w:rsid w:val="00386356"/>
    <w:rsid w:val="0038657C"/>
    <w:rsid w:val="00386D12"/>
    <w:rsid w:val="003874BF"/>
    <w:rsid w:val="003874D0"/>
    <w:rsid w:val="003879A8"/>
    <w:rsid w:val="00387C86"/>
    <w:rsid w:val="00387D4E"/>
    <w:rsid w:val="00387EA5"/>
    <w:rsid w:val="00387ED6"/>
    <w:rsid w:val="003906D7"/>
    <w:rsid w:val="003908B8"/>
    <w:rsid w:val="003908DD"/>
    <w:rsid w:val="00390A09"/>
    <w:rsid w:val="00390F8F"/>
    <w:rsid w:val="00391515"/>
    <w:rsid w:val="00391856"/>
    <w:rsid w:val="00391BD8"/>
    <w:rsid w:val="00391D3F"/>
    <w:rsid w:val="00392041"/>
    <w:rsid w:val="003920FB"/>
    <w:rsid w:val="0039217B"/>
    <w:rsid w:val="0039246E"/>
    <w:rsid w:val="003924CD"/>
    <w:rsid w:val="003932D6"/>
    <w:rsid w:val="0039345B"/>
    <w:rsid w:val="00393652"/>
    <w:rsid w:val="00393F02"/>
    <w:rsid w:val="00393F63"/>
    <w:rsid w:val="00394375"/>
    <w:rsid w:val="00394447"/>
    <w:rsid w:val="00394992"/>
    <w:rsid w:val="00394FF8"/>
    <w:rsid w:val="0039505A"/>
    <w:rsid w:val="003950EC"/>
    <w:rsid w:val="00395E21"/>
    <w:rsid w:val="00396346"/>
    <w:rsid w:val="003965BE"/>
    <w:rsid w:val="00396D1B"/>
    <w:rsid w:val="00397CA5"/>
    <w:rsid w:val="003A051C"/>
    <w:rsid w:val="003A0661"/>
    <w:rsid w:val="003A0B96"/>
    <w:rsid w:val="003A0BC9"/>
    <w:rsid w:val="003A0D49"/>
    <w:rsid w:val="003A149B"/>
    <w:rsid w:val="003A16E4"/>
    <w:rsid w:val="003A1AA3"/>
    <w:rsid w:val="003A1AD0"/>
    <w:rsid w:val="003A1C93"/>
    <w:rsid w:val="003A2395"/>
    <w:rsid w:val="003A27B9"/>
    <w:rsid w:val="003A3751"/>
    <w:rsid w:val="003A3BE0"/>
    <w:rsid w:val="003A422A"/>
    <w:rsid w:val="003A4755"/>
    <w:rsid w:val="003A4F6A"/>
    <w:rsid w:val="003A5301"/>
    <w:rsid w:val="003A5C42"/>
    <w:rsid w:val="003A5F87"/>
    <w:rsid w:val="003A60C1"/>
    <w:rsid w:val="003A6257"/>
    <w:rsid w:val="003A62BF"/>
    <w:rsid w:val="003A67DD"/>
    <w:rsid w:val="003A72B8"/>
    <w:rsid w:val="003A742F"/>
    <w:rsid w:val="003A7981"/>
    <w:rsid w:val="003B0176"/>
    <w:rsid w:val="003B0299"/>
    <w:rsid w:val="003B02F3"/>
    <w:rsid w:val="003B0352"/>
    <w:rsid w:val="003B037E"/>
    <w:rsid w:val="003B0622"/>
    <w:rsid w:val="003B0A0E"/>
    <w:rsid w:val="003B0F67"/>
    <w:rsid w:val="003B19AE"/>
    <w:rsid w:val="003B1EF7"/>
    <w:rsid w:val="003B28FB"/>
    <w:rsid w:val="003B29E6"/>
    <w:rsid w:val="003B2DE3"/>
    <w:rsid w:val="003B3D1D"/>
    <w:rsid w:val="003B3D8B"/>
    <w:rsid w:val="003B4640"/>
    <w:rsid w:val="003B4853"/>
    <w:rsid w:val="003B4A61"/>
    <w:rsid w:val="003B4F88"/>
    <w:rsid w:val="003B531F"/>
    <w:rsid w:val="003B53A4"/>
    <w:rsid w:val="003B5F29"/>
    <w:rsid w:val="003B632B"/>
    <w:rsid w:val="003B6513"/>
    <w:rsid w:val="003B6B24"/>
    <w:rsid w:val="003B6F85"/>
    <w:rsid w:val="003B720F"/>
    <w:rsid w:val="003B7E9B"/>
    <w:rsid w:val="003C0321"/>
    <w:rsid w:val="003C0756"/>
    <w:rsid w:val="003C09B5"/>
    <w:rsid w:val="003C0BF8"/>
    <w:rsid w:val="003C0C5D"/>
    <w:rsid w:val="003C113B"/>
    <w:rsid w:val="003C1341"/>
    <w:rsid w:val="003C17AF"/>
    <w:rsid w:val="003C186F"/>
    <w:rsid w:val="003C1BE8"/>
    <w:rsid w:val="003C1C73"/>
    <w:rsid w:val="003C1DF7"/>
    <w:rsid w:val="003C2801"/>
    <w:rsid w:val="003C29FE"/>
    <w:rsid w:val="003C2DBB"/>
    <w:rsid w:val="003C39C4"/>
    <w:rsid w:val="003C3E71"/>
    <w:rsid w:val="003C3FE2"/>
    <w:rsid w:val="003C47EA"/>
    <w:rsid w:val="003C4AF9"/>
    <w:rsid w:val="003C4E72"/>
    <w:rsid w:val="003C595D"/>
    <w:rsid w:val="003C5AEF"/>
    <w:rsid w:val="003C5BC9"/>
    <w:rsid w:val="003C620D"/>
    <w:rsid w:val="003C69BE"/>
    <w:rsid w:val="003C6C3F"/>
    <w:rsid w:val="003C724A"/>
    <w:rsid w:val="003C7263"/>
    <w:rsid w:val="003C7588"/>
    <w:rsid w:val="003C7892"/>
    <w:rsid w:val="003D049D"/>
    <w:rsid w:val="003D05A8"/>
    <w:rsid w:val="003D1170"/>
    <w:rsid w:val="003D18B2"/>
    <w:rsid w:val="003D201A"/>
    <w:rsid w:val="003D2641"/>
    <w:rsid w:val="003D28CD"/>
    <w:rsid w:val="003D29ED"/>
    <w:rsid w:val="003D2A0B"/>
    <w:rsid w:val="003D3137"/>
    <w:rsid w:val="003D353F"/>
    <w:rsid w:val="003D3799"/>
    <w:rsid w:val="003D3E69"/>
    <w:rsid w:val="003D3EE4"/>
    <w:rsid w:val="003D4011"/>
    <w:rsid w:val="003D4106"/>
    <w:rsid w:val="003D430C"/>
    <w:rsid w:val="003D4657"/>
    <w:rsid w:val="003D4BA4"/>
    <w:rsid w:val="003D4BF6"/>
    <w:rsid w:val="003D4D75"/>
    <w:rsid w:val="003D514B"/>
    <w:rsid w:val="003D5252"/>
    <w:rsid w:val="003D5397"/>
    <w:rsid w:val="003D5649"/>
    <w:rsid w:val="003D65D6"/>
    <w:rsid w:val="003D66C3"/>
    <w:rsid w:val="003D6F40"/>
    <w:rsid w:val="003D7565"/>
    <w:rsid w:val="003D75C5"/>
    <w:rsid w:val="003D7D3B"/>
    <w:rsid w:val="003E083A"/>
    <w:rsid w:val="003E0E1F"/>
    <w:rsid w:val="003E10F4"/>
    <w:rsid w:val="003E1BA0"/>
    <w:rsid w:val="003E1DB5"/>
    <w:rsid w:val="003E200D"/>
    <w:rsid w:val="003E230A"/>
    <w:rsid w:val="003E25C2"/>
    <w:rsid w:val="003E2622"/>
    <w:rsid w:val="003E293F"/>
    <w:rsid w:val="003E2B08"/>
    <w:rsid w:val="003E33FF"/>
    <w:rsid w:val="003E3422"/>
    <w:rsid w:val="003E35A0"/>
    <w:rsid w:val="003E3679"/>
    <w:rsid w:val="003E3C44"/>
    <w:rsid w:val="003E3EB4"/>
    <w:rsid w:val="003E3FDD"/>
    <w:rsid w:val="003E42E2"/>
    <w:rsid w:val="003E4477"/>
    <w:rsid w:val="003E4620"/>
    <w:rsid w:val="003E49D4"/>
    <w:rsid w:val="003E4B31"/>
    <w:rsid w:val="003E512B"/>
    <w:rsid w:val="003E5392"/>
    <w:rsid w:val="003E5430"/>
    <w:rsid w:val="003E5A8B"/>
    <w:rsid w:val="003E5AB8"/>
    <w:rsid w:val="003E5D4D"/>
    <w:rsid w:val="003E5E24"/>
    <w:rsid w:val="003E609A"/>
    <w:rsid w:val="003E6288"/>
    <w:rsid w:val="003E6CDA"/>
    <w:rsid w:val="003E6CFB"/>
    <w:rsid w:val="003E6E27"/>
    <w:rsid w:val="003E6F3B"/>
    <w:rsid w:val="003E742D"/>
    <w:rsid w:val="003E77B8"/>
    <w:rsid w:val="003F042E"/>
    <w:rsid w:val="003F07EE"/>
    <w:rsid w:val="003F08D1"/>
    <w:rsid w:val="003F0B7E"/>
    <w:rsid w:val="003F0E49"/>
    <w:rsid w:val="003F0EDE"/>
    <w:rsid w:val="003F1259"/>
    <w:rsid w:val="003F1D57"/>
    <w:rsid w:val="003F1E58"/>
    <w:rsid w:val="003F2282"/>
    <w:rsid w:val="003F23CF"/>
    <w:rsid w:val="003F26A1"/>
    <w:rsid w:val="003F28D2"/>
    <w:rsid w:val="003F2987"/>
    <w:rsid w:val="003F2A02"/>
    <w:rsid w:val="003F2CF1"/>
    <w:rsid w:val="003F3257"/>
    <w:rsid w:val="003F3D44"/>
    <w:rsid w:val="003F434E"/>
    <w:rsid w:val="003F49EE"/>
    <w:rsid w:val="003F4BBB"/>
    <w:rsid w:val="003F5167"/>
    <w:rsid w:val="003F534E"/>
    <w:rsid w:val="003F5612"/>
    <w:rsid w:val="003F5B60"/>
    <w:rsid w:val="003F5FD1"/>
    <w:rsid w:val="003F6849"/>
    <w:rsid w:val="003F68CF"/>
    <w:rsid w:val="003F6A5F"/>
    <w:rsid w:val="003F6A89"/>
    <w:rsid w:val="003F6C05"/>
    <w:rsid w:val="003F7223"/>
    <w:rsid w:val="003F7469"/>
    <w:rsid w:val="003F7493"/>
    <w:rsid w:val="003F7555"/>
    <w:rsid w:val="003F77B9"/>
    <w:rsid w:val="003F7B63"/>
    <w:rsid w:val="003F7EB1"/>
    <w:rsid w:val="00400A44"/>
    <w:rsid w:val="00400FA8"/>
    <w:rsid w:val="00401646"/>
    <w:rsid w:val="0040190A"/>
    <w:rsid w:val="00401A10"/>
    <w:rsid w:val="00401C4B"/>
    <w:rsid w:val="0040228B"/>
    <w:rsid w:val="004024E8"/>
    <w:rsid w:val="00402E63"/>
    <w:rsid w:val="00403151"/>
    <w:rsid w:val="00403284"/>
    <w:rsid w:val="00403312"/>
    <w:rsid w:val="0040351E"/>
    <w:rsid w:val="00403A5D"/>
    <w:rsid w:val="00403BEB"/>
    <w:rsid w:val="00403D87"/>
    <w:rsid w:val="00403F26"/>
    <w:rsid w:val="004041F5"/>
    <w:rsid w:val="004044E5"/>
    <w:rsid w:val="00405588"/>
    <w:rsid w:val="004055EE"/>
    <w:rsid w:val="00405E36"/>
    <w:rsid w:val="00406554"/>
    <w:rsid w:val="004066D0"/>
    <w:rsid w:val="004071AC"/>
    <w:rsid w:val="00407426"/>
    <w:rsid w:val="004074D6"/>
    <w:rsid w:val="0040785A"/>
    <w:rsid w:val="00407F58"/>
    <w:rsid w:val="0041023E"/>
    <w:rsid w:val="00410408"/>
    <w:rsid w:val="00410DFB"/>
    <w:rsid w:val="00410FBD"/>
    <w:rsid w:val="00412386"/>
    <w:rsid w:val="004127E6"/>
    <w:rsid w:val="004129D3"/>
    <w:rsid w:val="00412F07"/>
    <w:rsid w:val="0041325C"/>
    <w:rsid w:val="0041381B"/>
    <w:rsid w:val="00413881"/>
    <w:rsid w:val="00413AEA"/>
    <w:rsid w:val="00414033"/>
    <w:rsid w:val="00414839"/>
    <w:rsid w:val="0041483C"/>
    <w:rsid w:val="00414912"/>
    <w:rsid w:val="004149C0"/>
    <w:rsid w:val="00414E88"/>
    <w:rsid w:val="004150D5"/>
    <w:rsid w:val="004155C3"/>
    <w:rsid w:val="00415695"/>
    <w:rsid w:val="004156CA"/>
    <w:rsid w:val="00415795"/>
    <w:rsid w:val="004159AC"/>
    <w:rsid w:val="00415E66"/>
    <w:rsid w:val="004167BB"/>
    <w:rsid w:val="00417326"/>
    <w:rsid w:val="004177D9"/>
    <w:rsid w:val="00417C5E"/>
    <w:rsid w:val="00417D75"/>
    <w:rsid w:val="00417F28"/>
    <w:rsid w:val="00420736"/>
    <w:rsid w:val="00421389"/>
    <w:rsid w:val="00421D4B"/>
    <w:rsid w:val="004222A8"/>
    <w:rsid w:val="0042267C"/>
    <w:rsid w:val="00422E3F"/>
    <w:rsid w:val="004230E7"/>
    <w:rsid w:val="0042340E"/>
    <w:rsid w:val="004235BB"/>
    <w:rsid w:val="004238EE"/>
    <w:rsid w:val="00423AFE"/>
    <w:rsid w:val="00423EC1"/>
    <w:rsid w:val="00424065"/>
    <w:rsid w:val="00424111"/>
    <w:rsid w:val="004243B2"/>
    <w:rsid w:val="00424CCD"/>
    <w:rsid w:val="0042539D"/>
    <w:rsid w:val="00425442"/>
    <w:rsid w:val="004254C7"/>
    <w:rsid w:val="0042568F"/>
    <w:rsid w:val="00426290"/>
    <w:rsid w:val="004262FC"/>
    <w:rsid w:val="004310D7"/>
    <w:rsid w:val="00431177"/>
    <w:rsid w:val="00431179"/>
    <w:rsid w:val="004315A5"/>
    <w:rsid w:val="004317DC"/>
    <w:rsid w:val="004318F8"/>
    <w:rsid w:val="00431BFD"/>
    <w:rsid w:val="004320EA"/>
    <w:rsid w:val="0043242C"/>
    <w:rsid w:val="00432503"/>
    <w:rsid w:val="00432864"/>
    <w:rsid w:val="0043299D"/>
    <w:rsid w:val="00432A50"/>
    <w:rsid w:val="00432C1D"/>
    <w:rsid w:val="00433412"/>
    <w:rsid w:val="00434350"/>
    <w:rsid w:val="004345F5"/>
    <w:rsid w:val="00434788"/>
    <w:rsid w:val="00434FB1"/>
    <w:rsid w:val="00435333"/>
    <w:rsid w:val="004358B8"/>
    <w:rsid w:val="00435DD8"/>
    <w:rsid w:val="004363B6"/>
    <w:rsid w:val="00436475"/>
    <w:rsid w:val="0043665F"/>
    <w:rsid w:val="00436B6D"/>
    <w:rsid w:val="00436FD3"/>
    <w:rsid w:val="00437754"/>
    <w:rsid w:val="0043788D"/>
    <w:rsid w:val="00437B7B"/>
    <w:rsid w:val="00440059"/>
    <w:rsid w:val="0044051F"/>
    <w:rsid w:val="004405AB"/>
    <w:rsid w:val="00440642"/>
    <w:rsid w:val="00440DA1"/>
    <w:rsid w:val="00440DF1"/>
    <w:rsid w:val="004410BB"/>
    <w:rsid w:val="004417EA"/>
    <w:rsid w:val="00441E41"/>
    <w:rsid w:val="0044250C"/>
    <w:rsid w:val="0044264D"/>
    <w:rsid w:val="004428D2"/>
    <w:rsid w:val="00442D2F"/>
    <w:rsid w:val="00442D9F"/>
    <w:rsid w:val="004431E1"/>
    <w:rsid w:val="00443A0B"/>
    <w:rsid w:val="00443AF2"/>
    <w:rsid w:val="00443EDD"/>
    <w:rsid w:val="00443F5B"/>
    <w:rsid w:val="004445AB"/>
    <w:rsid w:val="00444814"/>
    <w:rsid w:val="00444CD7"/>
    <w:rsid w:val="00444DCE"/>
    <w:rsid w:val="0044576F"/>
    <w:rsid w:val="00445855"/>
    <w:rsid w:val="00445978"/>
    <w:rsid w:val="00445D32"/>
    <w:rsid w:val="00445E8D"/>
    <w:rsid w:val="0044610C"/>
    <w:rsid w:val="00446432"/>
    <w:rsid w:val="00446894"/>
    <w:rsid w:val="00446B62"/>
    <w:rsid w:val="00446BB6"/>
    <w:rsid w:val="0044767D"/>
    <w:rsid w:val="00447C34"/>
    <w:rsid w:val="00447CB6"/>
    <w:rsid w:val="00450520"/>
    <w:rsid w:val="00450606"/>
    <w:rsid w:val="00450FC6"/>
    <w:rsid w:val="0045113F"/>
    <w:rsid w:val="00451468"/>
    <w:rsid w:val="004516C9"/>
    <w:rsid w:val="00451CF0"/>
    <w:rsid w:val="00451EEA"/>
    <w:rsid w:val="004525A4"/>
    <w:rsid w:val="004531C0"/>
    <w:rsid w:val="00453366"/>
    <w:rsid w:val="00453495"/>
    <w:rsid w:val="004535DC"/>
    <w:rsid w:val="004539C5"/>
    <w:rsid w:val="00453C39"/>
    <w:rsid w:val="0045421C"/>
    <w:rsid w:val="00454452"/>
    <w:rsid w:val="004546F9"/>
    <w:rsid w:val="00454CA9"/>
    <w:rsid w:val="004550B5"/>
    <w:rsid w:val="004556A7"/>
    <w:rsid w:val="00455764"/>
    <w:rsid w:val="0045576F"/>
    <w:rsid w:val="00455AE7"/>
    <w:rsid w:val="00455C5F"/>
    <w:rsid w:val="00455EA4"/>
    <w:rsid w:val="00455FD5"/>
    <w:rsid w:val="00456315"/>
    <w:rsid w:val="00456BBB"/>
    <w:rsid w:val="00456E52"/>
    <w:rsid w:val="00457225"/>
    <w:rsid w:val="004572B2"/>
    <w:rsid w:val="00457621"/>
    <w:rsid w:val="00457942"/>
    <w:rsid w:val="00460941"/>
    <w:rsid w:val="00460B6D"/>
    <w:rsid w:val="00460D0D"/>
    <w:rsid w:val="00460F8A"/>
    <w:rsid w:val="0046121C"/>
    <w:rsid w:val="00461433"/>
    <w:rsid w:val="00461489"/>
    <w:rsid w:val="004619B5"/>
    <w:rsid w:val="00461CEA"/>
    <w:rsid w:val="00462A52"/>
    <w:rsid w:val="00463709"/>
    <w:rsid w:val="00463915"/>
    <w:rsid w:val="004642E7"/>
    <w:rsid w:val="004649D9"/>
    <w:rsid w:val="00464AB0"/>
    <w:rsid w:val="00464CCF"/>
    <w:rsid w:val="00464EDD"/>
    <w:rsid w:val="00465051"/>
    <w:rsid w:val="00465094"/>
    <w:rsid w:val="00465213"/>
    <w:rsid w:val="00465C37"/>
    <w:rsid w:val="00465DF9"/>
    <w:rsid w:val="004668E6"/>
    <w:rsid w:val="00466C2D"/>
    <w:rsid w:val="00467781"/>
    <w:rsid w:val="00467C34"/>
    <w:rsid w:val="004709FB"/>
    <w:rsid w:val="00470C75"/>
    <w:rsid w:val="00470CE3"/>
    <w:rsid w:val="00471002"/>
    <w:rsid w:val="004712F1"/>
    <w:rsid w:val="0047216B"/>
    <w:rsid w:val="00472289"/>
    <w:rsid w:val="00472A13"/>
    <w:rsid w:val="00472A43"/>
    <w:rsid w:val="00472A5B"/>
    <w:rsid w:val="00472EB8"/>
    <w:rsid w:val="00472EFF"/>
    <w:rsid w:val="00473630"/>
    <w:rsid w:val="004738E2"/>
    <w:rsid w:val="00474D7E"/>
    <w:rsid w:val="00475624"/>
    <w:rsid w:val="004759A5"/>
    <w:rsid w:val="00475F33"/>
    <w:rsid w:val="00476376"/>
    <w:rsid w:val="0047647F"/>
    <w:rsid w:val="004765D7"/>
    <w:rsid w:val="004768F4"/>
    <w:rsid w:val="00476C32"/>
    <w:rsid w:val="00476C5F"/>
    <w:rsid w:val="00476F59"/>
    <w:rsid w:val="004770F1"/>
    <w:rsid w:val="0047724F"/>
    <w:rsid w:val="00477725"/>
    <w:rsid w:val="0047778D"/>
    <w:rsid w:val="004777C6"/>
    <w:rsid w:val="00477B40"/>
    <w:rsid w:val="00477B91"/>
    <w:rsid w:val="00477E2C"/>
    <w:rsid w:val="00477F83"/>
    <w:rsid w:val="0048071C"/>
    <w:rsid w:val="00480E53"/>
    <w:rsid w:val="004813DC"/>
    <w:rsid w:val="0048182D"/>
    <w:rsid w:val="00481B8E"/>
    <w:rsid w:val="00481C78"/>
    <w:rsid w:val="00481DB1"/>
    <w:rsid w:val="00481FF9"/>
    <w:rsid w:val="004821B7"/>
    <w:rsid w:val="004824A1"/>
    <w:rsid w:val="004824DB"/>
    <w:rsid w:val="0048254D"/>
    <w:rsid w:val="0048276B"/>
    <w:rsid w:val="00482785"/>
    <w:rsid w:val="00482E79"/>
    <w:rsid w:val="00482EB4"/>
    <w:rsid w:val="0048371B"/>
    <w:rsid w:val="00483722"/>
    <w:rsid w:val="00483C7A"/>
    <w:rsid w:val="00483FB7"/>
    <w:rsid w:val="0048430C"/>
    <w:rsid w:val="00484921"/>
    <w:rsid w:val="0048493A"/>
    <w:rsid w:val="00484A42"/>
    <w:rsid w:val="00485372"/>
    <w:rsid w:val="00485811"/>
    <w:rsid w:val="004858C1"/>
    <w:rsid w:val="004865A6"/>
    <w:rsid w:val="00486623"/>
    <w:rsid w:val="004867DF"/>
    <w:rsid w:val="00486A0F"/>
    <w:rsid w:val="00486DBE"/>
    <w:rsid w:val="0048730A"/>
    <w:rsid w:val="0048747E"/>
    <w:rsid w:val="004875F7"/>
    <w:rsid w:val="00487710"/>
    <w:rsid w:val="0048771D"/>
    <w:rsid w:val="00487CF1"/>
    <w:rsid w:val="00490739"/>
    <w:rsid w:val="004909F9"/>
    <w:rsid w:val="00490CAB"/>
    <w:rsid w:val="0049135C"/>
    <w:rsid w:val="00491484"/>
    <w:rsid w:val="004919DD"/>
    <w:rsid w:val="00491C1A"/>
    <w:rsid w:val="004920AE"/>
    <w:rsid w:val="0049213B"/>
    <w:rsid w:val="0049218A"/>
    <w:rsid w:val="004921A6"/>
    <w:rsid w:val="0049267B"/>
    <w:rsid w:val="004929EF"/>
    <w:rsid w:val="00492A5B"/>
    <w:rsid w:val="00492C7A"/>
    <w:rsid w:val="00493216"/>
    <w:rsid w:val="00493451"/>
    <w:rsid w:val="004936D6"/>
    <w:rsid w:val="004939F2"/>
    <w:rsid w:val="00494847"/>
    <w:rsid w:val="00494E98"/>
    <w:rsid w:val="00495029"/>
    <w:rsid w:val="004953B1"/>
    <w:rsid w:val="0049544D"/>
    <w:rsid w:val="0049549E"/>
    <w:rsid w:val="00495A9F"/>
    <w:rsid w:val="004960A6"/>
    <w:rsid w:val="00496B48"/>
    <w:rsid w:val="00497B80"/>
    <w:rsid w:val="00497D65"/>
    <w:rsid w:val="00497E19"/>
    <w:rsid w:val="004A07F8"/>
    <w:rsid w:val="004A0F1A"/>
    <w:rsid w:val="004A178B"/>
    <w:rsid w:val="004A19D1"/>
    <w:rsid w:val="004A1BE0"/>
    <w:rsid w:val="004A28D7"/>
    <w:rsid w:val="004A3027"/>
    <w:rsid w:val="004A309A"/>
    <w:rsid w:val="004A3673"/>
    <w:rsid w:val="004A3B4B"/>
    <w:rsid w:val="004A447F"/>
    <w:rsid w:val="004A5007"/>
    <w:rsid w:val="004A51BE"/>
    <w:rsid w:val="004A5CAE"/>
    <w:rsid w:val="004A5D10"/>
    <w:rsid w:val="004A5D67"/>
    <w:rsid w:val="004A671F"/>
    <w:rsid w:val="004A702F"/>
    <w:rsid w:val="004A7619"/>
    <w:rsid w:val="004A7793"/>
    <w:rsid w:val="004A7B51"/>
    <w:rsid w:val="004A7CFD"/>
    <w:rsid w:val="004A7D7C"/>
    <w:rsid w:val="004B0168"/>
    <w:rsid w:val="004B0317"/>
    <w:rsid w:val="004B07AC"/>
    <w:rsid w:val="004B0AA5"/>
    <w:rsid w:val="004B102C"/>
    <w:rsid w:val="004B10E8"/>
    <w:rsid w:val="004B1639"/>
    <w:rsid w:val="004B1E0F"/>
    <w:rsid w:val="004B248A"/>
    <w:rsid w:val="004B316D"/>
    <w:rsid w:val="004B3E0A"/>
    <w:rsid w:val="004B3EBB"/>
    <w:rsid w:val="004B4E20"/>
    <w:rsid w:val="004B4ECE"/>
    <w:rsid w:val="004B50C4"/>
    <w:rsid w:val="004B512D"/>
    <w:rsid w:val="004B5C6E"/>
    <w:rsid w:val="004B5CB6"/>
    <w:rsid w:val="004B6407"/>
    <w:rsid w:val="004B6438"/>
    <w:rsid w:val="004B677F"/>
    <w:rsid w:val="004B6A39"/>
    <w:rsid w:val="004B6B3C"/>
    <w:rsid w:val="004B6CE0"/>
    <w:rsid w:val="004B6DC2"/>
    <w:rsid w:val="004B7A79"/>
    <w:rsid w:val="004C00B7"/>
    <w:rsid w:val="004C0E6D"/>
    <w:rsid w:val="004C1380"/>
    <w:rsid w:val="004C18D7"/>
    <w:rsid w:val="004C284A"/>
    <w:rsid w:val="004C3357"/>
    <w:rsid w:val="004C373C"/>
    <w:rsid w:val="004C3F74"/>
    <w:rsid w:val="004C4242"/>
    <w:rsid w:val="004C465D"/>
    <w:rsid w:val="004C49FA"/>
    <w:rsid w:val="004C59D8"/>
    <w:rsid w:val="004C62E3"/>
    <w:rsid w:val="004C68B9"/>
    <w:rsid w:val="004C6AAC"/>
    <w:rsid w:val="004C70BD"/>
    <w:rsid w:val="004C7110"/>
    <w:rsid w:val="004C731C"/>
    <w:rsid w:val="004C75FC"/>
    <w:rsid w:val="004C774D"/>
    <w:rsid w:val="004C7EE1"/>
    <w:rsid w:val="004D0234"/>
    <w:rsid w:val="004D0247"/>
    <w:rsid w:val="004D0641"/>
    <w:rsid w:val="004D0801"/>
    <w:rsid w:val="004D090A"/>
    <w:rsid w:val="004D0D54"/>
    <w:rsid w:val="004D0E27"/>
    <w:rsid w:val="004D0E65"/>
    <w:rsid w:val="004D0E8A"/>
    <w:rsid w:val="004D0F04"/>
    <w:rsid w:val="004D0F5A"/>
    <w:rsid w:val="004D1056"/>
    <w:rsid w:val="004D16FF"/>
    <w:rsid w:val="004D1763"/>
    <w:rsid w:val="004D1B4B"/>
    <w:rsid w:val="004D1C78"/>
    <w:rsid w:val="004D1FF6"/>
    <w:rsid w:val="004D242C"/>
    <w:rsid w:val="004D25FE"/>
    <w:rsid w:val="004D26F0"/>
    <w:rsid w:val="004D291A"/>
    <w:rsid w:val="004D2A97"/>
    <w:rsid w:val="004D2B28"/>
    <w:rsid w:val="004D2B35"/>
    <w:rsid w:val="004D2E6B"/>
    <w:rsid w:val="004D3112"/>
    <w:rsid w:val="004D39E9"/>
    <w:rsid w:val="004D3AEE"/>
    <w:rsid w:val="004D3C41"/>
    <w:rsid w:val="004D3CD7"/>
    <w:rsid w:val="004D3DFD"/>
    <w:rsid w:val="004D415A"/>
    <w:rsid w:val="004D49EC"/>
    <w:rsid w:val="004D4C65"/>
    <w:rsid w:val="004D517B"/>
    <w:rsid w:val="004D52D6"/>
    <w:rsid w:val="004D5525"/>
    <w:rsid w:val="004D562D"/>
    <w:rsid w:val="004D5881"/>
    <w:rsid w:val="004D5CB3"/>
    <w:rsid w:val="004D5CBF"/>
    <w:rsid w:val="004D60C7"/>
    <w:rsid w:val="004D6EF4"/>
    <w:rsid w:val="004D7ABD"/>
    <w:rsid w:val="004D7C29"/>
    <w:rsid w:val="004D7E87"/>
    <w:rsid w:val="004E0063"/>
    <w:rsid w:val="004E0DD7"/>
    <w:rsid w:val="004E102A"/>
    <w:rsid w:val="004E10EB"/>
    <w:rsid w:val="004E117D"/>
    <w:rsid w:val="004E18F8"/>
    <w:rsid w:val="004E1B35"/>
    <w:rsid w:val="004E220C"/>
    <w:rsid w:val="004E289D"/>
    <w:rsid w:val="004E28C6"/>
    <w:rsid w:val="004E31E4"/>
    <w:rsid w:val="004E3F56"/>
    <w:rsid w:val="004E3F72"/>
    <w:rsid w:val="004E4163"/>
    <w:rsid w:val="004E439D"/>
    <w:rsid w:val="004E43E7"/>
    <w:rsid w:val="004E49F5"/>
    <w:rsid w:val="004E4ABF"/>
    <w:rsid w:val="004E506C"/>
    <w:rsid w:val="004E555F"/>
    <w:rsid w:val="004E556B"/>
    <w:rsid w:val="004E5576"/>
    <w:rsid w:val="004E6084"/>
    <w:rsid w:val="004E61A3"/>
    <w:rsid w:val="004E6816"/>
    <w:rsid w:val="004E6C61"/>
    <w:rsid w:val="004E792C"/>
    <w:rsid w:val="004E7F6E"/>
    <w:rsid w:val="004F00F6"/>
    <w:rsid w:val="004F0669"/>
    <w:rsid w:val="004F07A7"/>
    <w:rsid w:val="004F0A96"/>
    <w:rsid w:val="004F0F06"/>
    <w:rsid w:val="004F1605"/>
    <w:rsid w:val="004F17AF"/>
    <w:rsid w:val="004F2030"/>
    <w:rsid w:val="004F2DBC"/>
    <w:rsid w:val="004F2DDA"/>
    <w:rsid w:val="004F2E6B"/>
    <w:rsid w:val="004F368B"/>
    <w:rsid w:val="004F372D"/>
    <w:rsid w:val="004F39CD"/>
    <w:rsid w:val="004F4849"/>
    <w:rsid w:val="004F5848"/>
    <w:rsid w:val="004F58B7"/>
    <w:rsid w:val="004F5DA1"/>
    <w:rsid w:val="004F5F7E"/>
    <w:rsid w:val="004F6556"/>
    <w:rsid w:val="004F6B16"/>
    <w:rsid w:val="004F6E84"/>
    <w:rsid w:val="004F70C6"/>
    <w:rsid w:val="004F798A"/>
    <w:rsid w:val="0050002C"/>
    <w:rsid w:val="00500148"/>
    <w:rsid w:val="00500374"/>
    <w:rsid w:val="00500C6B"/>
    <w:rsid w:val="00500CDB"/>
    <w:rsid w:val="00501B5F"/>
    <w:rsid w:val="00501BC2"/>
    <w:rsid w:val="00502615"/>
    <w:rsid w:val="00502D2D"/>
    <w:rsid w:val="00502D2F"/>
    <w:rsid w:val="00502EE7"/>
    <w:rsid w:val="00503C5E"/>
    <w:rsid w:val="00504001"/>
    <w:rsid w:val="00504F29"/>
    <w:rsid w:val="00505266"/>
    <w:rsid w:val="00505750"/>
    <w:rsid w:val="00505A98"/>
    <w:rsid w:val="00505C8D"/>
    <w:rsid w:val="00505EB9"/>
    <w:rsid w:val="0050673A"/>
    <w:rsid w:val="00506825"/>
    <w:rsid w:val="0050695E"/>
    <w:rsid w:val="00506BF3"/>
    <w:rsid w:val="00507254"/>
    <w:rsid w:val="00507572"/>
    <w:rsid w:val="005076FF"/>
    <w:rsid w:val="00510F4E"/>
    <w:rsid w:val="005110E4"/>
    <w:rsid w:val="005115EE"/>
    <w:rsid w:val="00511981"/>
    <w:rsid w:val="00511BFE"/>
    <w:rsid w:val="00512377"/>
    <w:rsid w:val="00513024"/>
    <w:rsid w:val="00513780"/>
    <w:rsid w:val="005143A1"/>
    <w:rsid w:val="00514446"/>
    <w:rsid w:val="005145F6"/>
    <w:rsid w:val="00514887"/>
    <w:rsid w:val="00514D59"/>
    <w:rsid w:val="00514EE9"/>
    <w:rsid w:val="00514F57"/>
    <w:rsid w:val="00515051"/>
    <w:rsid w:val="00515A0B"/>
    <w:rsid w:val="00516482"/>
    <w:rsid w:val="00516521"/>
    <w:rsid w:val="00516F1E"/>
    <w:rsid w:val="00517884"/>
    <w:rsid w:val="005200F6"/>
    <w:rsid w:val="005200FB"/>
    <w:rsid w:val="005206D7"/>
    <w:rsid w:val="005207B1"/>
    <w:rsid w:val="00520CC0"/>
    <w:rsid w:val="005211AB"/>
    <w:rsid w:val="00521427"/>
    <w:rsid w:val="00521485"/>
    <w:rsid w:val="005216C3"/>
    <w:rsid w:val="005220BB"/>
    <w:rsid w:val="005223FE"/>
    <w:rsid w:val="005236EA"/>
    <w:rsid w:val="005239E5"/>
    <w:rsid w:val="00524CDB"/>
    <w:rsid w:val="00525431"/>
    <w:rsid w:val="005255DC"/>
    <w:rsid w:val="005256B0"/>
    <w:rsid w:val="005257AD"/>
    <w:rsid w:val="005258F7"/>
    <w:rsid w:val="005265EC"/>
    <w:rsid w:val="005268E4"/>
    <w:rsid w:val="00526970"/>
    <w:rsid w:val="00526D10"/>
    <w:rsid w:val="00526D94"/>
    <w:rsid w:val="00526DCB"/>
    <w:rsid w:val="00526E14"/>
    <w:rsid w:val="00526FCF"/>
    <w:rsid w:val="00527260"/>
    <w:rsid w:val="005278CA"/>
    <w:rsid w:val="00527AB3"/>
    <w:rsid w:val="005302FF"/>
    <w:rsid w:val="0053071C"/>
    <w:rsid w:val="00530B88"/>
    <w:rsid w:val="00530C1A"/>
    <w:rsid w:val="00530C91"/>
    <w:rsid w:val="00530CC1"/>
    <w:rsid w:val="00531712"/>
    <w:rsid w:val="00531EFE"/>
    <w:rsid w:val="005322FE"/>
    <w:rsid w:val="005329DE"/>
    <w:rsid w:val="00532DB6"/>
    <w:rsid w:val="0053386F"/>
    <w:rsid w:val="005338CD"/>
    <w:rsid w:val="00533987"/>
    <w:rsid w:val="00533B1C"/>
    <w:rsid w:val="00533BE8"/>
    <w:rsid w:val="00533FCB"/>
    <w:rsid w:val="00534C34"/>
    <w:rsid w:val="005354A9"/>
    <w:rsid w:val="00535520"/>
    <w:rsid w:val="0053578B"/>
    <w:rsid w:val="00535B9E"/>
    <w:rsid w:val="00535C86"/>
    <w:rsid w:val="00536034"/>
    <w:rsid w:val="00536342"/>
    <w:rsid w:val="0053669F"/>
    <w:rsid w:val="0053670D"/>
    <w:rsid w:val="00536726"/>
    <w:rsid w:val="00536BF2"/>
    <w:rsid w:val="00536DC0"/>
    <w:rsid w:val="00537521"/>
    <w:rsid w:val="005378B1"/>
    <w:rsid w:val="005402F8"/>
    <w:rsid w:val="00540EB3"/>
    <w:rsid w:val="005416FD"/>
    <w:rsid w:val="00542349"/>
    <w:rsid w:val="0054238C"/>
    <w:rsid w:val="00542585"/>
    <w:rsid w:val="0054316E"/>
    <w:rsid w:val="005433E2"/>
    <w:rsid w:val="00544321"/>
    <w:rsid w:val="00544794"/>
    <w:rsid w:val="00544A7D"/>
    <w:rsid w:val="00545404"/>
    <w:rsid w:val="005455CA"/>
    <w:rsid w:val="0054617C"/>
    <w:rsid w:val="00546FCB"/>
    <w:rsid w:val="00547203"/>
    <w:rsid w:val="00547B69"/>
    <w:rsid w:val="00547F28"/>
    <w:rsid w:val="00550D02"/>
    <w:rsid w:val="00550E9F"/>
    <w:rsid w:val="00551035"/>
    <w:rsid w:val="00551283"/>
    <w:rsid w:val="00551C90"/>
    <w:rsid w:val="00551D92"/>
    <w:rsid w:val="005521C0"/>
    <w:rsid w:val="00552753"/>
    <w:rsid w:val="005529BC"/>
    <w:rsid w:val="00552BDA"/>
    <w:rsid w:val="00552FE0"/>
    <w:rsid w:val="00553106"/>
    <w:rsid w:val="00553542"/>
    <w:rsid w:val="00553823"/>
    <w:rsid w:val="00553D22"/>
    <w:rsid w:val="00553FF4"/>
    <w:rsid w:val="005549FE"/>
    <w:rsid w:val="00554C0B"/>
    <w:rsid w:val="00554DEA"/>
    <w:rsid w:val="00554F5B"/>
    <w:rsid w:val="00555BDA"/>
    <w:rsid w:val="00555D82"/>
    <w:rsid w:val="005568AB"/>
    <w:rsid w:val="00556EDF"/>
    <w:rsid w:val="00556F81"/>
    <w:rsid w:val="00557000"/>
    <w:rsid w:val="005574C5"/>
    <w:rsid w:val="0055798A"/>
    <w:rsid w:val="00557ACD"/>
    <w:rsid w:val="00557B7E"/>
    <w:rsid w:val="00557FA5"/>
    <w:rsid w:val="0056003D"/>
    <w:rsid w:val="00560305"/>
    <w:rsid w:val="00560DC0"/>
    <w:rsid w:val="00561D9B"/>
    <w:rsid w:val="00562977"/>
    <w:rsid w:val="0056300B"/>
    <w:rsid w:val="00563184"/>
    <w:rsid w:val="00563C2C"/>
    <w:rsid w:val="00563D57"/>
    <w:rsid w:val="005644D5"/>
    <w:rsid w:val="00565708"/>
    <w:rsid w:val="00565C39"/>
    <w:rsid w:val="00566BD9"/>
    <w:rsid w:val="005672CD"/>
    <w:rsid w:val="005674D3"/>
    <w:rsid w:val="005675F6"/>
    <w:rsid w:val="00567C14"/>
    <w:rsid w:val="00567F60"/>
    <w:rsid w:val="005703E3"/>
    <w:rsid w:val="00570647"/>
    <w:rsid w:val="00570A0E"/>
    <w:rsid w:val="005713EB"/>
    <w:rsid w:val="00571451"/>
    <w:rsid w:val="00571B0C"/>
    <w:rsid w:val="005724C2"/>
    <w:rsid w:val="00572677"/>
    <w:rsid w:val="00572E55"/>
    <w:rsid w:val="0057319F"/>
    <w:rsid w:val="00573388"/>
    <w:rsid w:val="0057352F"/>
    <w:rsid w:val="005736A8"/>
    <w:rsid w:val="00573A36"/>
    <w:rsid w:val="00573CC2"/>
    <w:rsid w:val="00574247"/>
    <w:rsid w:val="00574496"/>
    <w:rsid w:val="00574EAE"/>
    <w:rsid w:val="00575515"/>
    <w:rsid w:val="0057592B"/>
    <w:rsid w:val="00575C7D"/>
    <w:rsid w:val="00576241"/>
    <w:rsid w:val="00576364"/>
    <w:rsid w:val="00576516"/>
    <w:rsid w:val="0057742F"/>
    <w:rsid w:val="005776BB"/>
    <w:rsid w:val="0058020A"/>
    <w:rsid w:val="00580465"/>
    <w:rsid w:val="005806BC"/>
    <w:rsid w:val="00580D28"/>
    <w:rsid w:val="00581005"/>
    <w:rsid w:val="005818E6"/>
    <w:rsid w:val="00582285"/>
    <w:rsid w:val="005826A3"/>
    <w:rsid w:val="005829B3"/>
    <w:rsid w:val="00582A9A"/>
    <w:rsid w:val="00582BAE"/>
    <w:rsid w:val="00583951"/>
    <w:rsid w:val="005842C5"/>
    <w:rsid w:val="00584564"/>
    <w:rsid w:val="005848E5"/>
    <w:rsid w:val="00584F59"/>
    <w:rsid w:val="0058541C"/>
    <w:rsid w:val="0058585F"/>
    <w:rsid w:val="005859AB"/>
    <w:rsid w:val="00585ADD"/>
    <w:rsid w:val="00585B70"/>
    <w:rsid w:val="005862A2"/>
    <w:rsid w:val="0058640B"/>
    <w:rsid w:val="00586B93"/>
    <w:rsid w:val="00586DA3"/>
    <w:rsid w:val="00586DA6"/>
    <w:rsid w:val="00586E57"/>
    <w:rsid w:val="005870B9"/>
    <w:rsid w:val="0058746E"/>
    <w:rsid w:val="00587698"/>
    <w:rsid w:val="0058785D"/>
    <w:rsid w:val="005879A3"/>
    <w:rsid w:val="00590266"/>
    <w:rsid w:val="005906F8"/>
    <w:rsid w:val="005912B5"/>
    <w:rsid w:val="005913E3"/>
    <w:rsid w:val="00591406"/>
    <w:rsid w:val="00592B6E"/>
    <w:rsid w:val="00592E13"/>
    <w:rsid w:val="0059338C"/>
    <w:rsid w:val="00593AE5"/>
    <w:rsid w:val="00594286"/>
    <w:rsid w:val="005943D6"/>
    <w:rsid w:val="00594AEA"/>
    <w:rsid w:val="00594D45"/>
    <w:rsid w:val="00594D89"/>
    <w:rsid w:val="00594FA3"/>
    <w:rsid w:val="0059524A"/>
    <w:rsid w:val="005956D4"/>
    <w:rsid w:val="00595E1C"/>
    <w:rsid w:val="00595E53"/>
    <w:rsid w:val="00595F72"/>
    <w:rsid w:val="00596109"/>
    <w:rsid w:val="00596736"/>
    <w:rsid w:val="00596E5A"/>
    <w:rsid w:val="005970F9"/>
    <w:rsid w:val="005979AF"/>
    <w:rsid w:val="005979B2"/>
    <w:rsid w:val="005979DD"/>
    <w:rsid w:val="005A05A2"/>
    <w:rsid w:val="005A0E50"/>
    <w:rsid w:val="005A102B"/>
    <w:rsid w:val="005A115D"/>
    <w:rsid w:val="005A1383"/>
    <w:rsid w:val="005A138A"/>
    <w:rsid w:val="005A14F7"/>
    <w:rsid w:val="005A162B"/>
    <w:rsid w:val="005A1874"/>
    <w:rsid w:val="005A24AA"/>
    <w:rsid w:val="005A25A0"/>
    <w:rsid w:val="005A2F3C"/>
    <w:rsid w:val="005A2F89"/>
    <w:rsid w:val="005A3332"/>
    <w:rsid w:val="005A3333"/>
    <w:rsid w:val="005A3721"/>
    <w:rsid w:val="005A384A"/>
    <w:rsid w:val="005A3C0A"/>
    <w:rsid w:val="005A4287"/>
    <w:rsid w:val="005A42AD"/>
    <w:rsid w:val="005A434C"/>
    <w:rsid w:val="005A4746"/>
    <w:rsid w:val="005A4857"/>
    <w:rsid w:val="005A52DD"/>
    <w:rsid w:val="005A5433"/>
    <w:rsid w:val="005A57C5"/>
    <w:rsid w:val="005A6770"/>
    <w:rsid w:val="005A6DBB"/>
    <w:rsid w:val="005A7316"/>
    <w:rsid w:val="005A735E"/>
    <w:rsid w:val="005A755B"/>
    <w:rsid w:val="005A7880"/>
    <w:rsid w:val="005B011D"/>
    <w:rsid w:val="005B083D"/>
    <w:rsid w:val="005B103D"/>
    <w:rsid w:val="005B129C"/>
    <w:rsid w:val="005B13D3"/>
    <w:rsid w:val="005B1AF1"/>
    <w:rsid w:val="005B3275"/>
    <w:rsid w:val="005B3D56"/>
    <w:rsid w:val="005B44BB"/>
    <w:rsid w:val="005B44F2"/>
    <w:rsid w:val="005B469D"/>
    <w:rsid w:val="005B4786"/>
    <w:rsid w:val="005B48EF"/>
    <w:rsid w:val="005B49E8"/>
    <w:rsid w:val="005B4AE1"/>
    <w:rsid w:val="005B4F2F"/>
    <w:rsid w:val="005B4F47"/>
    <w:rsid w:val="005B5096"/>
    <w:rsid w:val="005B58F8"/>
    <w:rsid w:val="005B5A1D"/>
    <w:rsid w:val="005B5BD7"/>
    <w:rsid w:val="005B5F58"/>
    <w:rsid w:val="005B6229"/>
    <w:rsid w:val="005B6490"/>
    <w:rsid w:val="005B6ACD"/>
    <w:rsid w:val="005B7EE7"/>
    <w:rsid w:val="005C09B4"/>
    <w:rsid w:val="005C1BAF"/>
    <w:rsid w:val="005C1E30"/>
    <w:rsid w:val="005C1E56"/>
    <w:rsid w:val="005C2379"/>
    <w:rsid w:val="005C27CE"/>
    <w:rsid w:val="005C2C9D"/>
    <w:rsid w:val="005C2D0A"/>
    <w:rsid w:val="005C335F"/>
    <w:rsid w:val="005C385F"/>
    <w:rsid w:val="005C3917"/>
    <w:rsid w:val="005C392C"/>
    <w:rsid w:val="005C40D9"/>
    <w:rsid w:val="005C4419"/>
    <w:rsid w:val="005C4488"/>
    <w:rsid w:val="005C459F"/>
    <w:rsid w:val="005C52AD"/>
    <w:rsid w:val="005C5884"/>
    <w:rsid w:val="005C59B7"/>
    <w:rsid w:val="005C61A2"/>
    <w:rsid w:val="005C6FBE"/>
    <w:rsid w:val="005C70EE"/>
    <w:rsid w:val="005C7C17"/>
    <w:rsid w:val="005C7E1F"/>
    <w:rsid w:val="005D08F1"/>
    <w:rsid w:val="005D0ED7"/>
    <w:rsid w:val="005D1496"/>
    <w:rsid w:val="005D1676"/>
    <w:rsid w:val="005D18C9"/>
    <w:rsid w:val="005D1A29"/>
    <w:rsid w:val="005D1D1E"/>
    <w:rsid w:val="005D1E21"/>
    <w:rsid w:val="005D214D"/>
    <w:rsid w:val="005D31A8"/>
    <w:rsid w:val="005D3686"/>
    <w:rsid w:val="005D485D"/>
    <w:rsid w:val="005D5B02"/>
    <w:rsid w:val="005D5B0A"/>
    <w:rsid w:val="005D5D21"/>
    <w:rsid w:val="005D5D86"/>
    <w:rsid w:val="005D5E08"/>
    <w:rsid w:val="005D5E18"/>
    <w:rsid w:val="005D63FA"/>
    <w:rsid w:val="005D672E"/>
    <w:rsid w:val="005D6FAA"/>
    <w:rsid w:val="005D750D"/>
    <w:rsid w:val="005E050E"/>
    <w:rsid w:val="005E0753"/>
    <w:rsid w:val="005E0815"/>
    <w:rsid w:val="005E0EA1"/>
    <w:rsid w:val="005E19B1"/>
    <w:rsid w:val="005E19F0"/>
    <w:rsid w:val="005E1B40"/>
    <w:rsid w:val="005E1FCD"/>
    <w:rsid w:val="005E20FC"/>
    <w:rsid w:val="005E236E"/>
    <w:rsid w:val="005E23F3"/>
    <w:rsid w:val="005E26E5"/>
    <w:rsid w:val="005E3077"/>
    <w:rsid w:val="005E31E3"/>
    <w:rsid w:val="005E375E"/>
    <w:rsid w:val="005E3824"/>
    <w:rsid w:val="005E38B7"/>
    <w:rsid w:val="005E3BF0"/>
    <w:rsid w:val="005E3CC5"/>
    <w:rsid w:val="005E411F"/>
    <w:rsid w:val="005E4188"/>
    <w:rsid w:val="005E4738"/>
    <w:rsid w:val="005E593D"/>
    <w:rsid w:val="005E5FFA"/>
    <w:rsid w:val="005E7D0A"/>
    <w:rsid w:val="005E7ECA"/>
    <w:rsid w:val="005E7EE5"/>
    <w:rsid w:val="005F08A7"/>
    <w:rsid w:val="005F0934"/>
    <w:rsid w:val="005F14E1"/>
    <w:rsid w:val="005F1527"/>
    <w:rsid w:val="005F1683"/>
    <w:rsid w:val="005F172A"/>
    <w:rsid w:val="005F1AA6"/>
    <w:rsid w:val="005F1BEA"/>
    <w:rsid w:val="005F1C90"/>
    <w:rsid w:val="005F25FD"/>
    <w:rsid w:val="005F2C47"/>
    <w:rsid w:val="005F3757"/>
    <w:rsid w:val="005F41F7"/>
    <w:rsid w:val="005F423E"/>
    <w:rsid w:val="005F43B2"/>
    <w:rsid w:val="005F47B7"/>
    <w:rsid w:val="005F493D"/>
    <w:rsid w:val="005F4AAD"/>
    <w:rsid w:val="005F5079"/>
    <w:rsid w:val="005F5521"/>
    <w:rsid w:val="005F57E7"/>
    <w:rsid w:val="005F5920"/>
    <w:rsid w:val="005F59C3"/>
    <w:rsid w:val="005F5E37"/>
    <w:rsid w:val="005F69C0"/>
    <w:rsid w:val="005F766B"/>
    <w:rsid w:val="005F7E95"/>
    <w:rsid w:val="00600184"/>
    <w:rsid w:val="006001FA"/>
    <w:rsid w:val="00601177"/>
    <w:rsid w:val="006013F1"/>
    <w:rsid w:val="006014F6"/>
    <w:rsid w:val="00601546"/>
    <w:rsid w:val="00601ECC"/>
    <w:rsid w:val="006026F8"/>
    <w:rsid w:val="00602E7A"/>
    <w:rsid w:val="006031AD"/>
    <w:rsid w:val="006037AE"/>
    <w:rsid w:val="00603956"/>
    <w:rsid w:val="006042E7"/>
    <w:rsid w:val="006049EE"/>
    <w:rsid w:val="00605B30"/>
    <w:rsid w:val="00605F09"/>
    <w:rsid w:val="0060662B"/>
    <w:rsid w:val="0060713D"/>
    <w:rsid w:val="00607BE6"/>
    <w:rsid w:val="00607C48"/>
    <w:rsid w:val="00610E6C"/>
    <w:rsid w:val="0061152F"/>
    <w:rsid w:val="00611AD3"/>
    <w:rsid w:val="00612146"/>
    <w:rsid w:val="0061216F"/>
    <w:rsid w:val="006121D4"/>
    <w:rsid w:val="00612689"/>
    <w:rsid w:val="006126F6"/>
    <w:rsid w:val="00613221"/>
    <w:rsid w:val="00613611"/>
    <w:rsid w:val="0061375F"/>
    <w:rsid w:val="00613848"/>
    <w:rsid w:val="006140B8"/>
    <w:rsid w:val="00614210"/>
    <w:rsid w:val="006147A5"/>
    <w:rsid w:val="00614835"/>
    <w:rsid w:val="00614FDF"/>
    <w:rsid w:val="00615130"/>
    <w:rsid w:val="0061538A"/>
    <w:rsid w:val="0061581B"/>
    <w:rsid w:val="0061588C"/>
    <w:rsid w:val="00615BC9"/>
    <w:rsid w:val="00615C81"/>
    <w:rsid w:val="00615DC1"/>
    <w:rsid w:val="00616316"/>
    <w:rsid w:val="006163E5"/>
    <w:rsid w:val="0061675A"/>
    <w:rsid w:val="006173A3"/>
    <w:rsid w:val="00617672"/>
    <w:rsid w:val="006176B8"/>
    <w:rsid w:val="006179CD"/>
    <w:rsid w:val="00617ADC"/>
    <w:rsid w:val="00617D14"/>
    <w:rsid w:val="006200DC"/>
    <w:rsid w:val="0062012B"/>
    <w:rsid w:val="006203EA"/>
    <w:rsid w:val="006204CC"/>
    <w:rsid w:val="00620FD1"/>
    <w:rsid w:val="00621273"/>
    <w:rsid w:val="006216EE"/>
    <w:rsid w:val="00621BD2"/>
    <w:rsid w:val="006222EF"/>
    <w:rsid w:val="00622506"/>
    <w:rsid w:val="00622835"/>
    <w:rsid w:val="00622991"/>
    <w:rsid w:val="00623175"/>
    <w:rsid w:val="00623327"/>
    <w:rsid w:val="0062349A"/>
    <w:rsid w:val="006236A4"/>
    <w:rsid w:val="0062378B"/>
    <w:rsid w:val="006237F8"/>
    <w:rsid w:val="00623C8E"/>
    <w:rsid w:val="006245F7"/>
    <w:rsid w:val="00624679"/>
    <w:rsid w:val="00624898"/>
    <w:rsid w:val="006248CB"/>
    <w:rsid w:val="00624DFE"/>
    <w:rsid w:val="0062593A"/>
    <w:rsid w:val="00626103"/>
    <w:rsid w:val="0062682F"/>
    <w:rsid w:val="00626A1E"/>
    <w:rsid w:val="006270DF"/>
    <w:rsid w:val="00627460"/>
    <w:rsid w:val="00627F3B"/>
    <w:rsid w:val="00627F5D"/>
    <w:rsid w:val="00630C5C"/>
    <w:rsid w:val="00630FF7"/>
    <w:rsid w:val="00631459"/>
    <w:rsid w:val="0063151F"/>
    <w:rsid w:val="00631870"/>
    <w:rsid w:val="00631DF0"/>
    <w:rsid w:val="00632644"/>
    <w:rsid w:val="006326CC"/>
    <w:rsid w:val="00632798"/>
    <w:rsid w:val="00632B7B"/>
    <w:rsid w:val="00632CB0"/>
    <w:rsid w:val="00632D66"/>
    <w:rsid w:val="00633235"/>
    <w:rsid w:val="006334BF"/>
    <w:rsid w:val="00633A4B"/>
    <w:rsid w:val="00633B10"/>
    <w:rsid w:val="00634030"/>
    <w:rsid w:val="00634433"/>
    <w:rsid w:val="00634936"/>
    <w:rsid w:val="00634978"/>
    <w:rsid w:val="00634E23"/>
    <w:rsid w:val="006352F9"/>
    <w:rsid w:val="00635705"/>
    <w:rsid w:val="006362D6"/>
    <w:rsid w:val="0063692A"/>
    <w:rsid w:val="006369E2"/>
    <w:rsid w:val="00636A1A"/>
    <w:rsid w:val="00636A4A"/>
    <w:rsid w:val="00636D6F"/>
    <w:rsid w:val="006370BE"/>
    <w:rsid w:val="006372AB"/>
    <w:rsid w:val="00637C16"/>
    <w:rsid w:val="00637E61"/>
    <w:rsid w:val="00637ECB"/>
    <w:rsid w:val="00637F15"/>
    <w:rsid w:val="00640005"/>
    <w:rsid w:val="006404C4"/>
    <w:rsid w:val="006404C6"/>
    <w:rsid w:val="00640F0C"/>
    <w:rsid w:val="00640F5E"/>
    <w:rsid w:val="00641180"/>
    <w:rsid w:val="00641764"/>
    <w:rsid w:val="00641859"/>
    <w:rsid w:val="00641BE8"/>
    <w:rsid w:val="00641C3F"/>
    <w:rsid w:val="00641EC1"/>
    <w:rsid w:val="0064366A"/>
    <w:rsid w:val="00643731"/>
    <w:rsid w:val="00643937"/>
    <w:rsid w:val="00643C9B"/>
    <w:rsid w:val="00643D02"/>
    <w:rsid w:val="00643DAD"/>
    <w:rsid w:val="0064474F"/>
    <w:rsid w:val="00645982"/>
    <w:rsid w:val="00645CFD"/>
    <w:rsid w:val="0064624A"/>
    <w:rsid w:val="00646262"/>
    <w:rsid w:val="0064650F"/>
    <w:rsid w:val="00646CE4"/>
    <w:rsid w:val="006473B3"/>
    <w:rsid w:val="006479B3"/>
    <w:rsid w:val="00647D99"/>
    <w:rsid w:val="00647FC0"/>
    <w:rsid w:val="006501A2"/>
    <w:rsid w:val="00650970"/>
    <w:rsid w:val="00650E66"/>
    <w:rsid w:val="00650ED3"/>
    <w:rsid w:val="00651045"/>
    <w:rsid w:val="00651334"/>
    <w:rsid w:val="00651524"/>
    <w:rsid w:val="00652231"/>
    <w:rsid w:val="00652242"/>
    <w:rsid w:val="006525C2"/>
    <w:rsid w:val="00652815"/>
    <w:rsid w:val="00652B36"/>
    <w:rsid w:val="00652B9B"/>
    <w:rsid w:val="0065334C"/>
    <w:rsid w:val="006533D4"/>
    <w:rsid w:val="00653636"/>
    <w:rsid w:val="0065366C"/>
    <w:rsid w:val="006537D6"/>
    <w:rsid w:val="0065388F"/>
    <w:rsid w:val="00653A32"/>
    <w:rsid w:val="0065477E"/>
    <w:rsid w:val="00654AD4"/>
    <w:rsid w:val="00654ECB"/>
    <w:rsid w:val="006557A4"/>
    <w:rsid w:val="00655803"/>
    <w:rsid w:val="00655A1E"/>
    <w:rsid w:val="00656118"/>
    <w:rsid w:val="00656F03"/>
    <w:rsid w:val="00657CF1"/>
    <w:rsid w:val="00657DDC"/>
    <w:rsid w:val="006603AC"/>
    <w:rsid w:val="00660463"/>
    <w:rsid w:val="006608D4"/>
    <w:rsid w:val="00660954"/>
    <w:rsid w:val="00660C13"/>
    <w:rsid w:val="0066101A"/>
    <w:rsid w:val="00662466"/>
    <w:rsid w:val="006625AC"/>
    <w:rsid w:val="0066298A"/>
    <w:rsid w:val="00662C1D"/>
    <w:rsid w:val="00662C85"/>
    <w:rsid w:val="00662EB9"/>
    <w:rsid w:val="006632AC"/>
    <w:rsid w:val="00663407"/>
    <w:rsid w:val="00663B72"/>
    <w:rsid w:val="00663DCF"/>
    <w:rsid w:val="0066407C"/>
    <w:rsid w:val="006642BB"/>
    <w:rsid w:val="006642F5"/>
    <w:rsid w:val="00664489"/>
    <w:rsid w:val="00664A58"/>
    <w:rsid w:val="00664F82"/>
    <w:rsid w:val="00665647"/>
    <w:rsid w:val="00665951"/>
    <w:rsid w:val="006660F1"/>
    <w:rsid w:val="0066613E"/>
    <w:rsid w:val="006662C5"/>
    <w:rsid w:val="006666A9"/>
    <w:rsid w:val="00666867"/>
    <w:rsid w:val="00666904"/>
    <w:rsid w:val="00666A47"/>
    <w:rsid w:val="006674DF"/>
    <w:rsid w:val="0067046D"/>
    <w:rsid w:val="00670CB5"/>
    <w:rsid w:val="00670CBD"/>
    <w:rsid w:val="00670CE4"/>
    <w:rsid w:val="0067173B"/>
    <w:rsid w:val="00671935"/>
    <w:rsid w:val="006728CC"/>
    <w:rsid w:val="006729F0"/>
    <w:rsid w:val="00672BE3"/>
    <w:rsid w:val="00672C34"/>
    <w:rsid w:val="00672F5A"/>
    <w:rsid w:val="0067334A"/>
    <w:rsid w:val="0067368F"/>
    <w:rsid w:val="00673E96"/>
    <w:rsid w:val="006743B7"/>
    <w:rsid w:val="00674701"/>
    <w:rsid w:val="0067511C"/>
    <w:rsid w:val="0067561F"/>
    <w:rsid w:val="00675C87"/>
    <w:rsid w:val="00675E62"/>
    <w:rsid w:val="006761A1"/>
    <w:rsid w:val="00676314"/>
    <w:rsid w:val="00676B7B"/>
    <w:rsid w:val="006771CE"/>
    <w:rsid w:val="00677ADA"/>
    <w:rsid w:val="00677B01"/>
    <w:rsid w:val="00677F1E"/>
    <w:rsid w:val="00677F3D"/>
    <w:rsid w:val="0068026F"/>
    <w:rsid w:val="0068123A"/>
    <w:rsid w:val="0068195B"/>
    <w:rsid w:val="006823AD"/>
    <w:rsid w:val="0068281C"/>
    <w:rsid w:val="00684004"/>
    <w:rsid w:val="0068405E"/>
    <w:rsid w:val="0068472A"/>
    <w:rsid w:val="006847E4"/>
    <w:rsid w:val="006850DD"/>
    <w:rsid w:val="0068557B"/>
    <w:rsid w:val="006860D7"/>
    <w:rsid w:val="00686155"/>
    <w:rsid w:val="00686C1B"/>
    <w:rsid w:val="006875D7"/>
    <w:rsid w:val="006878E8"/>
    <w:rsid w:val="006906DE"/>
    <w:rsid w:val="006908CD"/>
    <w:rsid w:val="00690B90"/>
    <w:rsid w:val="00691000"/>
    <w:rsid w:val="00691A52"/>
    <w:rsid w:val="00691E7E"/>
    <w:rsid w:val="006927A5"/>
    <w:rsid w:val="00692A2C"/>
    <w:rsid w:val="00692CF0"/>
    <w:rsid w:val="00692DB1"/>
    <w:rsid w:val="006933AC"/>
    <w:rsid w:val="006934A7"/>
    <w:rsid w:val="00693BF3"/>
    <w:rsid w:val="00693F03"/>
    <w:rsid w:val="00694315"/>
    <w:rsid w:val="00694509"/>
    <w:rsid w:val="00694ABC"/>
    <w:rsid w:val="00694C16"/>
    <w:rsid w:val="00694C54"/>
    <w:rsid w:val="00694C8E"/>
    <w:rsid w:val="00694E91"/>
    <w:rsid w:val="00695005"/>
    <w:rsid w:val="00696029"/>
    <w:rsid w:val="0069612A"/>
    <w:rsid w:val="00696746"/>
    <w:rsid w:val="006967B1"/>
    <w:rsid w:val="00696979"/>
    <w:rsid w:val="006971DF"/>
    <w:rsid w:val="00697D9E"/>
    <w:rsid w:val="00697E35"/>
    <w:rsid w:val="006A02B7"/>
    <w:rsid w:val="006A03AB"/>
    <w:rsid w:val="006A070E"/>
    <w:rsid w:val="006A145D"/>
    <w:rsid w:val="006A164A"/>
    <w:rsid w:val="006A2040"/>
    <w:rsid w:val="006A204B"/>
    <w:rsid w:val="006A22DD"/>
    <w:rsid w:val="006A2366"/>
    <w:rsid w:val="006A2AEF"/>
    <w:rsid w:val="006A2CD0"/>
    <w:rsid w:val="006A2F4C"/>
    <w:rsid w:val="006A305E"/>
    <w:rsid w:val="006A3236"/>
    <w:rsid w:val="006A3502"/>
    <w:rsid w:val="006A37A7"/>
    <w:rsid w:val="006A3AEF"/>
    <w:rsid w:val="006A3C94"/>
    <w:rsid w:val="006A3F3C"/>
    <w:rsid w:val="006A4C22"/>
    <w:rsid w:val="006A5D49"/>
    <w:rsid w:val="006A6A5C"/>
    <w:rsid w:val="006A6CAC"/>
    <w:rsid w:val="006A7099"/>
    <w:rsid w:val="006A7F61"/>
    <w:rsid w:val="006B059A"/>
    <w:rsid w:val="006B0B88"/>
    <w:rsid w:val="006B0D74"/>
    <w:rsid w:val="006B1CCB"/>
    <w:rsid w:val="006B1D96"/>
    <w:rsid w:val="006B2137"/>
    <w:rsid w:val="006B2A7B"/>
    <w:rsid w:val="006B328D"/>
    <w:rsid w:val="006B344A"/>
    <w:rsid w:val="006B3522"/>
    <w:rsid w:val="006B365C"/>
    <w:rsid w:val="006B3B3A"/>
    <w:rsid w:val="006B3B7F"/>
    <w:rsid w:val="006B4376"/>
    <w:rsid w:val="006B5BED"/>
    <w:rsid w:val="006B61DB"/>
    <w:rsid w:val="006B627D"/>
    <w:rsid w:val="006B64AD"/>
    <w:rsid w:val="006B6E29"/>
    <w:rsid w:val="006B7129"/>
    <w:rsid w:val="006B7597"/>
    <w:rsid w:val="006B75AC"/>
    <w:rsid w:val="006B77FA"/>
    <w:rsid w:val="006C03EE"/>
    <w:rsid w:val="006C08D3"/>
    <w:rsid w:val="006C142C"/>
    <w:rsid w:val="006C147D"/>
    <w:rsid w:val="006C178A"/>
    <w:rsid w:val="006C1898"/>
    <w:rsid w:val="006C1992"/>
    <w:rsid w:val="006C1AB3"/>
    <w:rsid w:val="006C1B58"/>
    <w:rsid w:val="006C20A6"/>
    <w:rsid w:val="006C20D3"/>
    <w:rsid w:val="006C2126"/>
    <w:rsid w:val="006C2782"/>
    <w:rsid w:val="006C2933"/>
    <w:rsid w:val="006C2AD5"/>
    <w:rsid w:val="006C2BF6"/>
    <w:rsid w:val="006C2C82"/>
    <w:rsid w:val="006C2E35"/>
    <w:rsid w:val="006C2FDF"/>
    <w:rsid w:val="006C322E"/>
    <w:rsid w:val="006C324F"/>
    <w:rsid w:val="006C32BF"/>
    <w:rsid w:val="006C34BA"/>
    <w:rsid w:val="006C3678"/>
    <w:rsid w:val="006C3703"/>
    <w:rsid w:val="006C3AEE"/>
    <w:rsid w:val="006C3F83"/>
    <w:rsid w:val="006C45F4"/>
    <w:rsid w:val="006C4603"/>
    <w:rsid w:val="006C4B1A"/>
    <w:rsid w:val="006C515D"/>
    <w:rsid w:val="006C5FDC"/>
    <w:rsid w:val="006C6333"/>
    <w:rsid w:val="006C6F0C"/>
    <w:rsid w:val="006C7761"/>
    <w:rsid w:val="006C78E5"/>
    <w:rsid w:val="006C79D4"/>
    <w:rsid w:val="006D0DB7"/>
    <w:rsid w:val="006D1242"/>
    <w:rsid w:val="006D1931"/>
    <w:rsid w:val="006D1D6C"/>
    <w:rsid w:val="006D20F2"/>
    <w:rsid w:val="006D24FA"/>
    <w:rsid w:val="006D26E1"/>
    <w:rsid w:val="006D2706"/>
    <w:rsid w:val="006D2CEA"/>
    <w:rsid w:val="006D2D8B"/>
    <w:rsid w:val="006D2E9D"/>
    <w:rsid w:val="006D32F4"/>
    <w:rsid w:val="006D3C23"/>
    <w:rsid w:val="006D4401"/>
    <w:rsid w:val="006D4E18"/>
    <w:rsid w:val="006D4FE3"/>
    <w:rsid w:val="006D5432"/>
    <w:rsid w:val="006D5BD9"/>
    <w:rsid w:val="006D60A3"/>
    <w:rsid w:val="006D67CC"/>
    <w:rsid w:val="006D6A4B"/>
    <w:rsid w:val="006D749A"/>
    <w:rsid w:val="006D7865"/>
    <w:rsid w:val="006D7CA8"/>
    <w:rsid w:val="006E0007"/>
    <w:rsid w:val="006E14AA"/>
    <w:rsid w:val="006E178A"/>
    <w:rsid w:val="006E1DA9"/>
    <w:rsid w:val="006E1DF1"/>
    <w:rsid w:val="006E201D"/>
    <w:rsid w:val="006E2AC2"/>
    <w:rsid w:val="006E2BA6"/>
    <w:rsid w:val="006E2BC3"/>
    <w:rsid w:val="006E2D9D"/>
    <w:rsid w:val="006E2DDC"/>
    <w:rsid w:val="006E2E12"/>
    <w:rsid w:val="006E34DC"/>
    <w:rsid w:val="006E3DA9"/>
    <w:rsid w:val="006E4065"/>
    <w:rsid w:val="006E4555"/>
    <w:rsid w:val="006E4773"/>
    <w:rsid w:val="006E4B58"/>
    <w:rsid w:val="006E4E9A"/>
    <w:rsid w:val="006E4EC3"/>
    <w:rsid w:val="006E55DD"/>
    <w:rsid w:val="006E5F58"/>
    <w:rsid w:val="006E6438"/>
    <w:rsid w:val="006E6AFE"/>
    <w:rsid w:val="006E6EF5"/>
    <w:rsid w:val="006E6F2A"/>
    <w:rsid w:val="006E6F88"/>
    <w:rsid w:val="006E759D"/>
    <w:rsid w:val="006E75AD"/>
    <w:rsid w:val="006F0419"/>
    <w:rsid w:val="006F05AA"/>
    <w:rsid w:val="006F0750"/>
    <w:rsid w:val="006F1B45"/>
    <w:rsid w:val="006F1E1A"/>
    <w:rsid w:val="006F2768"/>
    <w:rsid w:val="006F2F78"/>
    <w:rsid w:val="006F3DD6"/>
    <w:rsid w:val="006F4447"/>
    <w:rsid w:val="006F46F1"/>
    <w:rsid w:val="006F4B6A"/>
    <w:rsid w:val="006F5548"/>
    <w:rsid w:val="006F581B"/>
    <w:rsid w:val="006F58B0"/>
    <w:rsid w:val="006F5A3D"/>
    <w:rsid w:val="006F601F"/>
    <w:rsid w:val="006F626D"/>
    <w:rsid w:val="006F6446"/>
    <w:rsid w:val="006F6B3E"/>
    <w:rsid w:val="006F6F16"/>
    <w:rsid w:val="006F7494"/>
    <w:rsid w:val="006F76CB"/>
    <w:rsid w:val="006F7DB6"/>
    <w:rsid w:val="00700DD0"/>
    <w:rsid w:val="00701098"/>
    <w:rsid w:val="0070117D"/>
    <w:rsid w:val="007013E8"/>
    <w:rsid w:val="00701FEB"/>
    <w:rsid w:val="007022B0"/>
    <w:rsid w:val="00702A63"/>
    <w:rsid w:val="00702CF9"/>
    <w:rsid w:val="00702D43"/>
    <w:rsid w:val="00703113"/>
    <w:rsid w:val="007044C6"/>
    <w:rsid w:val="00705146"/>
    <w:rsid w:val="00705A25"/>
    <w:rsid w:val="00705BEA"/>
    <w:rsid w:val="00706165"/>
    <w:rsid w:val="00707485"/>
    <w:rsid w:val="00707895"/>
    <w:rsid w:val="007078DA"/>
    <w:rsid w:val="00707C7F"/>
    <w:rsid w:val="007101B3"/>
    <w:rsid w:val="00710276"/>
    <w:rsid w:val="00710506"/>
    <w:rsid w:val="00710899"/>
    <w:rsid w:val="00710B07"/>
    <w:rsid w:val="00710CF6"/>
    <w:rsid w:val="007111CC"/>
    <w:rsid w:val="00711B02"/>
    <w:rsid w:val="0071234A"/>
    <w:rsid w:val="0071252F"/>
    <w:rsid w:val="007126C0"/>
    <w:rsid w:val="0071308F"/>
    <w:rsid w:val="0071337F"/>
    <w:rsid w:val="007135C5"/>
    <w:rsid w:val="00713E29"/>
    <w:rsid w:val="00713F55"/>
    <w:rsid w:val="007145F8"/>
    <w:rsid w:val="00714C4E"/>
    <w:rsid w:val="007156CD"/>
    <w:rsid w:val="00715C90"/>
    <w:rsid w:val="00715CA2"/>
    <w:rsid w:val="00715F55"/>
    <w:rsid w:val="00716000"/>
    <w:rsid w:val="007162CC"/>
    <w:rsid w:val="00716422"/>
    <w:rsid w:val="00716676"/>
    <w:rsid w:val="007167B5"/>
    <w:rsid w:val="00716FA6"/>
    <w:rsid w:val="00717415"/>
    <w:rsid w:val="007176F0"/>
    <w:rsid w:val="0072059E"/>
    <w:rsid w:val="00720639"/>
    <w:rsid w:val="00720758"/>
    <w:rsid w:val="00720EB2"/>
    <w:rsid w:val="0072103C"/>
    <w:rsid w:val="00721048"/>
    <w:rsid w:val="00721D49"/>
    <w:rsid w:val="00722960"/>
    <w:rsid w:val="007230A4"/>
    <w:rsid w:val="007232FF"/>
    <w:rsid w:val="007237EA"/>
    <w:rsid w:val="007243DC"/>
    <w:rsid w:val="007249EF"/>
    <w:rsid w:val="00724FE4"/>
    <w:rsid w:val="00725181"/>
    <w:rsid w:val="00725ACF"/>
    <w:rsid w:val="00725AE5"/>
    <w:rsid w:val="007267B6"/>
    <w:rsid w:val="00726D38"/>
    <w:rsid w:val="00726EC3"/>
    <w:rsid w:val="00726EE0"/>
    <w:rsid w:val="00726F0D"/>
    <w:rsid w:val="00727126"/>
    <w:rsid w:val="007273EF"/>
    <w:rsid w:val="007275D3"/>
    <w:rsid w:val="007277B1"/>
    <w:rsid w:val="00727AAF"/>
    <w:rsid w:val="00727B91"/>
    <w:rsid w:val="00730711"/>
    <w:rsid w:val="007308B2"/>
    <w:rsid w:val="00730DC9"/>
    <w:rsid w:val="00731284"/>
    <w:rsid w:val="0073141E"/>
    <w:rsid w:val="00731555"/>
    <w:rsid w:val="00731562"/>
    <w:rsid w:val="00731A0F"/>
    <w:rsid w:val="0073276E"/>
    <w:rsid w:val="007328D1"/>
    <w:rsid w:val="00732D46"/>
    <w:rsid w:val="00732E1A"/>
    <w:rsid w:val="0073314B"/>
    <w:rsid w:val="00733177"/>
    <w:rsid w:val="007334AB"/>
    <w:rsid w:val="00733812"/>
    <w:rsid w:val="00733C9C"/>
    <w:rsid w:val="00733D7C"/>
    <w:rsid w:val="00733EC8"/>
    <w:rsid w:val="00733EDF"/>
    <w:rsid w:val="00734685"/>
    <w:rsid w:val="00734C40"/>
    <w:rsid w:val="007355A6"/>
    <w:rsid w:val="0073582A"/>
    <w:rsid w:val="00735B0D"/>
    <w:rsid w:val="00736022"/>
    <w:rsid w:val="00736664"/>
    <w:rsid w:val="00736793"/>
    <w:rsid w:val="00736B4B"/>
    <w:rsid w:val="00736C14"/>
    <w:rsid w:val="00737649"/>
    <w:rsid w:val="00737DCD"/>
    <w:rsid w:val="007403B2"/>
    <w:rsid w:val="007413E6"/>
    <w:rsid w:val="00741566"/>
    <w:rsid w:val="00741649"/>
    <w:rsid w:val="00741703"/>
    <w:rsid w:val="00741B18"/>
    <w:rsid w:val="00741B46"/>
    <w:rsid w:val="00742773"/>
    <w:rsid w:val="0074278C"/>
    <w:rsid w:val="007433AC"/>
    <w:rsid w:val="00743F51"/>
    <w:rsid w:val="00744140"/>
    <w:rsid w:val="00744BCD"/>
    <w:rsid w:val="00745607"/>
    <w:rsid w:val="007459B0"/>
    <w:rsid w:val="00745BD1"/>
    <w:rsid w:val="00745D53"/>
    <w:rsid w:val="00746998"/>
    <w:rsid w:val="00746D21"/>
    <w:rsid w:val="0074714C"/>
    <w:rsid w:val="00747697"/>
    <w:rsid w:val="00747B61"/>
    <w:rsid w:val="00750B6D"/>
    <w:rsid w:val="00750DA1"/>
    <w:rsid w:val="0075139D"/>
    <w:rsid w:val="0075163A"/>
    <w:rsid w:val="00751A64"/>
    <w:rsid w:val="00751CC5"/>
    <w:rsid w:val="00751D3E"/>
    <w:rsid w:val="007526C9"/>
    <w:rsid w:val="00752906"/>
    <w:rsid w:val="00752DD8"/>
    <w:rsid w:val="00753203"/>
    <w:rsid w:val="00753285"/>
    <w:rsid w:val="00753317"/>
    <w:rsid w:val="00753DEA"/>
    <w:rsid w:val="00753E57"/>
    <w:rsid w:val="00754FB8"/>
    <w:rsid w:val="007553D7"/>
    <w:rsid w:val="00755427"/>
    <w:rsid w:val="00755580"/>
    <w:rsid w:val="00756515"/>
    <w:rsid w:val="007567B7"/>
    <w:rsid w:val="00756894"/>
    <w:rsid w:val="00756F25"/>
    <w:rsid w:val="007575B8"/>
    <w:rsid w:val="00757965"/>
    <w:rsid w:val="00757CE0"/>
    <w:rsid w:val="00760751"/>
    <w:rsid w:val="00760CD8"/>
    <w:rsid w:val="00760FA9"/>
    <w:rsid w:val="0076144A"/>
    <w:rsid w:val="00761498"/>
    <w:rsid w:val="007618E2"/>
    <w:rsid w:val="007625BD"/>
    <w:rsid w:val="007627B7"/>
    <w:rsid w:val="00763128"/>
    <w:rsid w:val="007631BC"/>
    <w:rsid w:val="007633D4"/>
    <w:rsid w:val="007634C0"/>
    <w:rsid w:val="007636F9"/>
    <w:rsid w:val="00763956"/>
    <w:rsid w:val="00763B97"/>
    <w:rsid w:val="00764162"/>
    <w:rsid w:val="0076453A"/>
    <w:rsid w:val="0076460C"/>
    <w:rsid w:val="00764772"/>
    <w:rsid w:val="007649D3"/>
    <w:rsid w:val="00765343"/>
    <w:rsid w:val="007654A2"/>
    <w:rsid w:val="007654DA"/>
    <w:rsid w:val="00765822"/>
    <w:rsid w:val="00765C16"/>
    <w:rsid w:val="00766299"/>
    <w:rsid w:val="007663B3"/>
    <w:rsid w:val="00766982"/>
    <w:rsid w:val="00766C89"/>
    <w:rsid w:val="00767214"/>
    <w:rsid w:val="007672F4"/>
    <w:rsid w:val="007700E8"/>
    <w:rsid w:val="007702E4"/>
    <w:rsid w:val="00770441"/>
    <w:rsid w:val="00770468"/>
    <w:rsid w:val="00770A3F"/>
    <w:rsid w:val="00770A60"/>
    <w:rsid w:val="007713D9"/>
    <w:rsid w:val="00772548"/>
    <w:rsid w:val="007726C7"/>
    <w:rsid w:val="00774250"/>
    <w:rsid w:val="00774A36"/>
    <w:rsid w:val="00775180"/>
    <w:rsid w:val="00775550"/>
    <w:rsid w:val="007756ED"/>
    <w:rsid w:val="00775DC3"/>
    <w:rsid w:val="00775ED7"/>
    <w:rsid w:val="00776CF4"/>
    <w:rsid w:val="00776FE3"/>
    <w:rsid w:val="00777916"/>
    <w:rsid w:val="00777B99"/>
    <w:rsid w:val="00777C82"/>
    <w:rsid w:val="0078021F"/>
    <w:rsid w:val="00781526"/>
    <w:rsid w:val="007825E9"/>
    <w:rsid w:val="00782610"/>
    <w:rsid w:val="00782A95"/>
    <w:rsid w:val="00782F7C"/>
    <w:rsid w:val="007831C1"/>
    <w:rsid w:val="00783670"/>
    <w:rsid w:val="00783A99"/>
    <w:rsid w:val="00784341"/>
    <w:rsid w:val="00784AC9"/>
    <w:rsid w:val="00784E4D"/>
    <w:rsid w:val="007860EE"/>
    <w:rsid w:val="007869FF"/>
    <w:rsid w:val="00786FCF"/>
    <w:rsid w:val="0078704D"/>
    <w:rsid w:val="00787D95"/>
    <w:rsid w:val="00787EED"/>
    <w:rsid w:val="007901B2"/>
    <w:rsid w:val="00790569"/>
    <w:rsid w:val="00790AC7"/>
    <w:rsid w:val="00790EA2"/>
    <w:rsid w:val="0079118B"/>
    <w:rsid w:val="0079133E"/>
    <w:rsid w:val="007915AC"/>
    <w:rsid w:val="007917C5"/>
    <w:rsid w:val="00791C99"/>
    <w:rsid w:val="00791E54"/>
    <w:rsid w:val="0079245C"/>
    <w:rsid w:val="00792A25"/>
    <w:rsid w:val="0079301A"/>
    <w:rsid w:val="00793687"/>
    <w:rsid w:val="007936A8"/>
    <w:rsid w:val="00793A6D"/>
    <w:rsid w:val="00793BD4"/>
    <w:rsid w:val="00793D2F"/>
    <w:rsid w:val="00793FA3"/>
    <w:rsid w:val="00794484"/>
    <w:rsid w:val="007945DD"/>
    <w:rsid w:val="007946AF"/>
    <w:rsid w:val="00794F6E"/>
    <w:rsid w:val="00795D4B"/>
    <w:rsid w:val="00796271"/>
    <w:rsid w:val="00796514"/>
    <w:rsid w:val="00796744"/>
    <w:rsid w:val="00796F41"/>
    <w:rsid w:val="00797493"/>
    <w:rsid w:val="00797AB7"/>
    <w:rsid w:val="007A01BF"/>
    <w:rsid w:val="007A03E9"/>
    <w:rsid w:val="007A0D05"/>
    <w:rsid w:val="007A1207"/>
    <w:rsid w:val="007A2309"/>
    <w:rsid w:val="007A2B0B"/>
    <w:rsid w:val="007A2D20"/>
    <w:rsid w:val="007A2D4F"/>
    <w:rsid w:val="007A3184"/>
    <w:rsid w:val="007A3A16"/>
    <w:rsid w:val="007A3E8B"/>
    <w:rsid w:val="007A3F1B"/>
    <w:rsid w:val="007A4321"/>
    <w:rsid w:val="007A45A3"/>
    <w:rsid w:val="007A4810"/>
    <w:rsid w:val="007A4C12"/>
    <w:rsid w:val="007A4E68"/>
    <w:rsid w:val="007A5044"/>
    <w:rsid w:val="007A5E5B"/>
    <w:rsid w:val="007A5EDD"/>
    <w:rsid w:val="007A602C"/>
    <w:rsid w:val="007A6076"/>
    <w:rsid w:val="007A6242"/>
    <w:rsid w:val="007A62FB"/>
    <w:rsid w:val="007A69F8"/>
    <w:rsid w:val="007A6C37"/>
    <w:rsid w:val="007A6E24"/>
    <w:rsid w:val="007A75F7"/>
    <w:rsid w:val="007A7FFB"/>
    <w:rsid w:val="007B0611"/>
    <w:rsid w:val="007B06BC"/>
    <w:rsid w:val="007B07C6"/>
    <w:rsid w:val="007B0A1A"/>
    <w:rsid w:val="007B0BD2"/>
    <w:rsid w:val="007B1735"/>
    <w:rsid w:val="007B1C55"/>
    <w:rsid w:val="007B2AD3"/>
    <w:rsid w:val="007B2B6D"/>
    <w:rsid w:val="007B2C2A"/>
    <w:rsid w:val="007B2CD4"/>
    <w:rsid w:val="007B33B7"/>
    <w:rsid w:val="007B36FD"/>
    <w:rsid w:val="007B398D"/>
    <w:rsid w:val="007B3A23"/>
    <w:rsid w:val="007B43CC"/>
    <w:rsid w:val="007B4655"/>
    <w:rsid w:val="007B4B60"/>
    <w:rsid w:val="007B5BBD"/>
    <w:rsid w:val="007B682B"/>
    <w:rsid w:val="007B6BF5"/>
    <w:rsid w:val="007B6CD8"/>
    <w:rsid w:val="007B6DAF"/>
    <w:rsid w:val="007C0872"/>
    <w:rsid w:val="007C10A6"/>
    <w:rsid w:val="007C1124"/>
    <w:rsid w:val="007C11CB"/>
    <w:rsid w:val="007C148E"/>
    <w:rsid w:val="007C16E7"/>
    <w:rsid w:val="007C1D27"/>
    <w:rsid w:val="007C22C2"/>
    <w:rsid w:val="007C27F4"/>
    <w:rsid w:val="007C40EE"/>
    <w:rsid w:val="007C4150"/>
    <w:rsid w:val="007C4320"/>
    <w:rsid w:val="007C4457"/>
    <w:rsid w:val="007C48EA"/>
    <w:rsid w:val="007C4C94"/>
    <w:rsid w:val="007C4ED4"/>
    <w:rsid w:val="007C52BF"/>
    <w:rsid w:val="007C5375"/>
    <w:rsid w:val="007C5961"/>
    <w:rsid w:val="007C59CB"/>
    <w:rsid w:val="007C5E45"/>
    <w:rsid w:val="007C6181"/>
    <w:rsid w:val="007C6E4D"/>
    <w:rsid w:val="007C7630"/>
    <w:rsid w:val="007C7C66"/>
    <w:rsid w:val="007C7E75"/>
    <w:rsid w:val="007D03C2"/>
    <w:rsid w:val="007D04B4"/>
    <w:rsid w:val="007D093A"/>
    <w:rsid w:val="007D0AAB"/>
    <w:rsid w:val="007D0B01"/>
    <w:rsid w:val="007D101B"/>
    <w:rsid w:val="007D10E0"/>
    <w:rsid w:val="007D1231"/>
    <w:rsid w:val="007D1633"/>
    <w:rsid w:val="007D1A69"/>
    <w:rsid w:val="007D2352"/>
    <w:rsid w:val="007D2680"/>
    <w:rsid w:val="007D29FD"/>
    <w:rsid w:val="007D2BB8"/>
    <w:rsid w:val="007D2BED"/>
    <w:rsid w:val="007D2CB1"/>
    <w:rsid w:val="007D2D9C"/>
    <w:rsid w:val="007D2FBF"/>
    <w:rsid w:val="007D3167"/>
    <w:rsid w:val="007D3363"/>
    <w:rsid w:val="007D35EE"/>
    <w:rsid w:val="007D3BDB"/>
    <w:rsid w:val="007D47A3"/>
    <w:rsid w:val="007D50FA"/>
    <w:rsid w:val="007D5A05"/>
    <w:rsid w:val="007D5B87"/>
    <w:rsid w:val="007D5BB8"/>
    <w:rsid w:val="007D5F8C"/>
    <w:rsid w:val="007D6C09"/>
    <w:rsid w:val="007D70D0"/>
    <w:rsid w:val="007D79B3"/>
    <w:rsid w:val="007E07AE"/>
    <w:rsid w:val="007E098F"/>
    <w:rsid w:val="007E0A27"/>
    <w:rsid w:val="007E1912"/>
    <w:rsid w:val="007E1AAC"/>
    <w:rsid w:val="007E1E21"/>
    <w:rsid w:val="007E1F3B"/>
    <w:rsid w:val="007E2283"/>
    <w:rsid w:val="007E2586"/>
    <w:rsid w:val="007E2785"/>
    <w:rsid w:val="007E2D98"/>
    <w:rsid w:val="007E2E6E"/>
    <w:rsid w:val="007E30D5"/>
    <w:rsid w:val="007E34D2"/>
    <w:rsid w:val="007E354A"/>
    <w:rsid w:val="007E3BE5"/>
    <w:rsid w:val="007E3D23"/>
    <w:rsid w:val="007E445B"/>
    <w:rsid w:val="007E4710"/>
    <w:rsid w:val="007E4775"/>
    <w:rsid w:val="007E5441"/>
    <w:rsid w:val="007E5D35"/>
    <w:rsid w:val="007E61A7"/>
    <w:rsid w:val="007E6274"/>
    <w:rsid w:val="007E629F"/>
    <w:rsid w:val="007E6506"/>
    <w:rsid w:val="007E6E8F"/>
    <w:rsid w:val="007E73DE"/>
    <w:rsid w:val="007E75F4"/>
    <w:rsid w:val="007E79D7"/>
    <w:rsid w:val="007F0FDA"/>
    <w:rsid w:val="007F1012"/>
    <w:rsid w:val="007F139F"/>
    <w:rsid w:val="007F1BAD"/>
    <w:rsid w:val="007F1FA7"/>
    <w:rsid w:val="007F2079"/>
    <w:rsid w:val="007F22DF"/>
    <w:rsid w:val="007F3431"/>
    <w:rsid w:val="007F368C"/>
    <w:rsid w:val="007F391B"/>
    <w:rsid w:val="007F3C98"/>
    <w:rsid w:val="007F4973"/>
    <w:rsid w:val="007F4A99"/>
    <w:rsid w:val="007F4BE5"/>
    <w:rsid w:val="007F4CB5"/>
    <w:rsid w:val="007F4E31"/>
    <w:rsid w:val="007F4EC6"/>
    <w:rsid w:val="007F5982"/>
    <w:rsid w:val="007F5B75"/>
    <w:rsid w:val="007F5EB4"/>
    <w:rsid w:val="007F6B7E"/>
    <w:rsid w:val="007F6C2C"/>
    <w:rsid w:val="007F6D39"/>
    <w:rsid w:val="007F7897"/>
    <w:rsid w:val="007F79CD"/>
    <w:rsid w:val="007F79F1"/>
    <w:rsid w:val="007F7AC7"/>
    <w:rsid w:val="0080004F"/>
    <w:rsid w:val="008002F6"/>
    <w:rsid w:val="008005C0"/>
    <w:rsid w:val="00801062"/>
    <w:rsid w:val="00801454"/>
    <w:rsid w:val="008016DF"/>
    <w:rsid w:val="00801B23"/>
    <w:rsid w:val="00801F3C"/>
    <w:rsid w:val="008020E7"/>
    <w:rsid w:val="008021FA"/>
    <w:rsid w:val="00802898"/>
    <w:rsid w:val="00802B83"/>
    <w:rsid w:val="008030A9"/>
    <w:rsid w:val="00803E96"/>
    <w:rsid w:val="0080409E"/>
    <w:rsid w:val="0080443D"/>
    <w:rsid w:val="008048C9"/>
    <w:rsid w:val="008049CF"/>
    <w:rsid w:val="00804F16"/>
    <w:rsid w:val="0080523E"/>
    <w:rsid w:val="00805B06"/>
    <w:rsid w:val="008061EC"/>
    <w:rsid w:val="00806579"/>
    <w:rsid w:val="00806876"/>
    <w:rsid w:val="00807A3F"/>
    <w:rsid w:val="00810AA6"/>
    <w:rsid w:val="00811174"/>
    <w:rsid w:val="00811762"/>
    <w:rsid w:val="008119C5"/>
    <w:rsid w:val="00811B49"/>
    <w:rsid w:val="00811CBC"/>
    <w:rsid w:val="00811E23"/>
    <w:rsid w:val="00812023"/>
    <w:rsid w:val="00812121"/>
    <w:rsid w:val="0081273D"/>
    <w:rsid w:val="008127B8"/>
    <w:rsid w:val="00812F04"/>
    <w:rsid w:val="008134AE"/>
    <w:rsid w:val="00813661"/>
    <w:rsid w:val="008139B1"/>
    <w:rsid w:val="00813DD6"/>
    <w:rsid w:val="00813F9F"/>
    <w:rsid w:val="00814786"/>
    <w:rsid w:val="00814DCC"/>
    <w:rsid w:val="0081511D"/>
    <w:rsid w:val="00815D0F"/>
    <w:rsid w:val="00815D17"/>
    <w:rsid w:val="00815E48"/>
    <w:rsid w:val="00815F20"/>
    <w:rsid w:val="008160C8"/>
    <w:rsid w:val="0081624D"/>
    <w:rsid w:val="008163F2"/>
    <w:rsid w:val="00816802"/>
    <w:rsid w:val="00816811"/>
    <w:rsid w:val="008178D9"/>
    <w:rsid w:val="00820300"/>
    <w:rsid w:val="008204D8"/>
    <w:rsid w:val="00821434"/>
    <w:rsid w:val="00821C5E"/>
    <w:rsid w:val="00822041"/>
    <w:rsid w:val="00822759"/>
    <w:rsid w:val="008227A5"/>
    <w:rsid w:val="00822E56"/>
    <w:rsid w:val="0082308F"/>
    <w:rsid w:val="008240ED"/>
    <w:rsid w:val="0082448E"/>
    <w:rsid w:val="00824DF6"/>
    <w:rsid w:val="0082558A"/>
    <w:rsid w:val="00825B12"/>
    <w:rsid w:val="00825C99"/>
    <w:rsid w:val="00826C47"/>
    <w:rsid w:val="00826D21"/>
    <w:rsid w:val="00826F29"/>
    <w:rsid w:val="00827407"/>
    <w:rsid w:val="00827B8E"/>
    <w:rsid w:val="00830F30"/>
    <w:rsid w:val="0083203D"/>
    <w:rsid w:val="008327BE"/>
    <w:rsid w:val="008328B2"/>
    <w:rsid w:val="00833396"/>
    <w:rsid w:val="0083354D"/>
    <w:rsid w:val="00833A0A"/>
    <w:rsid w:val="00833D33"/>
    <w:rsid w:val="008363A4"/>
    <w:rsid w:val="00836403"/>
    <w:rsid w:val="00836563"/>
    <w:rsid w:val="0083661E"/>
    <w:rsid w:val="00836759"/>
    <w:rsid w:val="0083732C"/>
    <w:rsid w:val="008376AB"/>
    <w:rsid w:val="00837D1B"/>
    <w:rsid w:val="00837F1E"/>
    <w:rsid w:val="00840EBB"/>
    <w:rsid w:val="00841052"/>
    <w:rsid w:val="008416D6"/>
    <w:rsid w:val="00841840"/>
    <w:rsid w:val="00842244"/>
    <w:rsid w:val="0084280A"/>
    <w:rsid w:val="0084299B"/>
    <w:rsid w:val="00842C8F"/>
    <w:rsid w:val="00842D49"/>
    <w:rsid w:val="008431AE"/>
    <w:rsid w:val="008434F4"/>
    <w:rsid w:val="008435DB"/>
    <w:rsid w:val="008436F7"/>
    <w:rsid w:val="00843B66"/>
    <w:rsid w:val="00843C5C"/>
    <w:rsid w:val="008444B0"/>
    <w:rsid w:val="00844619"/>
    <w:rsid w:val="0084461E"/>
    <w:rsid w:val="00844B03"/>
    <w:rsid w:val="0084504B"/>
    <w:rsid w:val="008456D9"/>
    <w:rsid w:val="0084571A"/>
    <w:rsid w:val="00845A3F"/>
    <w:rsid w:val="00845D3F"/>
    <w:rsid w:val="00845FAF"/>
    <w:rsid w:val="00846200"/>
    <w:rsid w:val="008463FF"/>
    <w:rsid w:val="0084641B"/>
    <w:rsid w:val="0084665B"/>
    <w:rsid w:val="00846966"/>
    <w:rsid w:val="0085003A"/>
    <w:rsid w:val="008502AF"/>
    <w:rsid w:val="00850638"/>
    <w:rsid w:val="00851CCD"/>
    <w:rsid w:val="00851F17"/>
    <w:rsid w:val="008525BF"/>
    <w:rsid w:val="0085291E"/>
    <w:rsid w:val="00852C4B"/>
    <w:rsid w:val="0085391C"/>
    <w:rsid w:val="00853E22"/>
    <w:rsid w:val="00853E5F"/>
    <w:rsid w:val="00854714"/>
    <w:rsid w:val="00854918"/>
    <w:rsid w:val="0085491E"/>
    <w:rsid w:val="008551BE"/>
    <w:rsid w:val="008552D6"/>
    <w:rsid w:val="008555B3"/>
    <w:rsid w:val="00855694"/>
    <w:rsid w:val="00855BD1"/>
    <w:rsid w:val="0085631C"/>
    <w:rsid w:val="0085654E"/>
    <w:rsid w:val="0085655A"/>
    <w:rsid w:val="0085656F"/>
    <w:rsid w:val="008568BE"/>
    <w:rsid w:val="008573A3"/>
    <w:rsid w:val="008574A0"/>
    <w:rsid w:val="00857851"/>
    <w:rsid w:val="00857AB0"/>
    <w:rsid w:val="008602F0"/>
    <w:rsid w:val="00860D87"/>
    <w:rsid w:val="00860EFA"/>
    <w:rsid w:val="008610FE"/>
    <w:rsid w:val="008617F3"/>
    <w:rsid w:val="00861A3B"/>
    <w:rsid w:val="00861DB0"/>
    <w:rsid w:val="00862034"/>
    <w:rsid w:val="00862A31"/>
    <w:rsid w:val="00863261"/>
    <w:rsid w:val="00864639"/>
    <w:rsid w:val="008649A8"/>
    <w:rsid w:val="00864A05"/>
    <w:rsid w:val="00865743"/>
    <w:rsid w:val="008660ED"/>
    <w:rsid w:val="008663EB"/>
    <w:rsid w:val="0086656A"/>
    <w:rsid w:val="008665CF"/>
    <w:rsid w:val="00866738"/>
    <w:rsid w:val="0086698F"/>
    <w:rsid w:val="00866C02"/>
    <w:rsid w:val="00867307"/>
    <w:rsid w:val="008673F0"/>
    <w:rsid w:val="00867620"/>
    <w:rsid w:val="00867BB5"/>
    <w:rsid w:val="00867F5D"/>
    <w:rsid w:val="008703FF"/>
    <w:rsid w:val="00870474"/>
    <w:rsid w:val="00870763"/>
    <w:rsid w:val="0087078A"/>
    <w:rsid w:val="00870881"/>
    <w:rsid w:val="00870B15"/>
    <w:rsid w:val="0087125A"/>
    <w:rsid w:val="00871650"/>
    <w:rsid w:val="008717BA"/>
    <w:rsid w:val="00871A15"/>
    <w:rsid w:val="00872355"/>
    <w:rsid w:val="0087236F"/>
    <w:rsid w:val="00872CB5"/>
    <w:rsid w:val="00872D1C"/>
    <w:rsid w:val="008731C5"/>
    <w:rsid w:val="00873628"/>
    <w:rsid w:val="008738A0"/>
    <w:rsid w:val="00874044"/>
    <w:rsid w:val="008740CE"/>
    <w:rsid w:val="00874AEA"/>
    <w:rsid w:val="00874C62"/>
    <w:rsid w:val="00874C6D"/>
    <w:rsid w:val="008751B7"/>
    <w:rsid w:val="008752D5"/>
    <w:rsid w:val="0087532D"/>
    <w:rsid w:val="00875B0E"/>
    <w:rsid w:val="00875CFB"/>
    <w:rsid w:val="00875EAF"/>
    <w:rsid w:val="00875ED5"/>
    <w:rsid w:val="00876217"/>
    <w:rsid w:val="008762B7"/>
    <w:rsid w:val="00876CA0"/>
    <w:rsid w:val="00876E0A"/>
    <w:rsid w:val="00877372"/>
    <w:rsid w:val="008777DB"/>
    <w:rsid w:val="00877870"/>
    <w:rsid w:val="00877BE6"/>
    <w:rsid w:val="008807AE"/>
    <w:rsid w:val="0088094C"/>
    <w:rsid w:val="00880B59"/>
    <w:rsid w:val="00880B5D"/>
    <w:rsid w:val="00880BAA"/>
    <w:rsid w:val="00880C14"/>
    <w:rsid w:val="00880CFC"/>
    <w:rsid w:val="0088142A"/>
    <w:rsid w:val="00881788"/>
    <w:rsid w:val="00881A83"/>
    <w:rsid w:val="008820F4"/>
    <w:rsid w:val="008823A3"/>
    <w:rsid w:val="0088256B"/>
    <w:rsid w:val="00882603"/>
    <w:rsid w:val="008828C6"/>
    <w:rsid w:val="008828FB"/>
    <w:rsid w:val="0088305F"/>
    <w:rsid w:val="00883080"/>
    <w:rsid w:val="00883786"/>
    <w:rsid w:val="00883915"/>
    <w:rsid w:val="00883E2B"/>
    <w:rsid w:val="00883FD1"/>
    <w:rsid w:val="00884B82"/>
    <w:rsid w:val="00884F48"/>
    <w:rsid w:val="00885CF3"/>
    <w:rsid w:val="00885D48"/>
    <w:rsid w:val="00885FFC"/>
    <w:rsid w:val="008864FB"/>
    <w:rsid w:val="008866A2"/>
    <w:rsid w:val="008867EF"/>
    <w:rsid w:val="0088732A"/>
    <w:rsid w:val="00887401"/>
    <w:rsid w:val="008904B8"/>
    <w:rsid w:val="0089060C"/>
    <w:rsid w:val="00890638"/>
    <w:rsid w:val="00890898"/>
    <w:rsid w:val="00890A42"/>
    <w:rsid w:val="00890E7D"/>
    <w:rsid w:val="008910DD"/>
    <w:rsid w:val="00891337"/>
    <w:rsid w:val="00891DCD"/>
    <w:rsid w:val="008924AD"/>
    <w:rsid w:val="008927DE"/>
    <w:rsid w:val="00892EBC"/>
    <w:rsid w:val="0089305C"/>
    <w:rsid w:val="008943CE"/>
    <w:rsid w:val="008947F5"/>
    <w:rsid w:val="008948AD"/>
    <w:rsid w:val="00894BA6"/>
    <w:rsid w:val="00894C91"/>
    <w:rsid w:val="008955B7"/>
    <w:rsid w:val="00896078"/>
    <w:rsid w:val="008966F1"/>
    <w:rsid w:val="00896A21"/>
    <w:rsid w:val="0089751D"/>
    <w:rsid w:val="008A00D7"/>
    <w:rsid w:val="008A0975"/>
    <w:rsid w:val="008A1064"/>
    <w:rsid w:val="008A108D"/>
    <w:rsid w:val="008A1771"/>
    <w:rsid w:val="008A19F3"/>
    <w:rsid w:val="008A1ACA"/>
    <w:rsid w:val="008A1F7C"/>
    <w:rsid w:val="008A2274"/>
    <w:rsid w:val="008A228F"/>
    <w:rsid w:val="008A2301"/>
    <w:rsid w:val="008A297F"/>
    <w:rsid w:val="008A299E"/>
    <w:rsid w:val="008A2D98"/>
    <w:rsid w:val="008A3887"/>
    <w:rsid w:val="008A3B8C"/>
    <w:rsid w:val="008A44E1"/>
    <w:rsid w:val="008A5F85"/>
    <w:rsid w:val="008A6515"/>
    <w:rsid w:val="008A658E"/>
    <w:rsid w:val="008A68D1"/>
    <w:rsid w:val="008A6C7F"/>
    <w:rsid w:val="008A6E52"/>
    <w:rsid w:val="008A6FA8"/>
    <w:rsid w:val="008A7115"/>
    <w:rsid w:val="008A735F"/>
    <w:rsid w:val="008A7927"/>
    <w:rsid w:val="008A7B7E"/>
    <w:rsid w:val="008B0CE2"/>
    <w:rsid w:val="008B1464"/>
    <w:rsid w:val="008B15D8"/>
    <w:rsid w:val="008B192E"/>
    <w:rsid w:val="008B1D8F"/>
    <w:rsid w:val="008B22E8"/>
    <w:rsid w:val="008B2AAF"/>
    <w:rsid w:val="008B33A7"/>
    <w:rsid w:val="008B3468"/>
    <w:rsid w:val="008B3B5E"/>
    <w:rsid w:val="008B3D30"/>
    <w:rsid w:val="008B3E08"/>
    <w:rsid w:val="008B3F6E"/>
    <w:rsid w:val="008B4CFE"/>
    <w:rsid w:val="008B5868"/>
    <w:rsid w:val="008B58B8"/>
    <w:rsid w:val="008B58F8"/>
    <w:rsid w:val="008B5E4E"/>
    <w:rsid w:val="008B5F68"/>
    <w:rsid w:val="008B625F"/>
    <w:rsid w:val="008B68E4"/>
    <w:rsid w:val="008B6CDC"/>
    <w:rsid w:val="008B7528"/>
    <w:rsid w:val="008B7B4B"/>
    <w:rsid w:val="008C0406"/>
    <w:rsid w:val="008C05C3"/>
    <w:rsid w:val="008C0877"/>
    <w:rsid w:val="008C0F27"/>
    <w:rsid w:val="008C1196"/>
    <w:rsid w:val="008C1577"/>
    <w:rsid w:val="008C1A88"/>
    <w:rsid w:val="008C1B1B"/>
    <w:rsid w:val="008C1B5D"/>
    <w:rsid w:val="008C1F7C"/>
    <w:rsid w:val="008C20AE"/>
    <w:rsid w:val="008C27CE"/>
    <w:rsid w:val="008C30DD"/>
    <w:rsid w:val="008C3364"/>
    <w:rsid w:val="008C3373"/>
    <w:rsid w:val="008C369D"/>
    <w:rsid w:val="008C4763"/>
    <w:rsid w:val="008C4B91"/>
    <w:rsid w:val="008C5BE0"/>
    <w:rsid w:val="008C5CB5"/>
    <w:rsid w:val="008C5E4E"/>
    <w:rsid w:val="008C626F"/>
    <w:rsid w:val="008C6321"/>
    <w:rsid w:val="008C677D"/>
    <w:rsid w:val="008C684A"/>
    <w:rsid w:val="008C6E0A"/>
    <w:rsid w:val="008C7A58"/>
    <w:rsid w:val="008D00D2"/>
    <w:rsid w:val="008D030B"/>
    <w:rsid w:val="008D1AB3"/>
    <w:rsid w:val="008D21DE"/>
    <w:rsid w:val="008D22CA"/>
    <w:rsid w:val="008D2843"/>
    <w:rsid w:val="008D2E90"/>
    <w:rsid w:val="008D351A"/>
    <w:rsid w:val="008D395A"/>
    <w:rsid w:val="008D3A27"/>
    <w:rsid w:val="008D3BD7"/>
    <w:rsid w:val="008D3CA5"/>
    <w:rsid w:val="008D416C"/>
    <w:rsid w:val="008D4D59"/>
    <w:rsid w:val="008D5B8B"/>
    <w:rsid w:val="008D5E84"/>
    <w:rsid w:val="008D5FB8"/>
    <w:rsid w:val="008D5FF3"/>
    <w:rsid w:val="008D6312"/>
    <w:rsid w:val="008D6B31"/>
    <w:rsid w:val="008D7030"/>
    <w:rsid w:val="008D74A2"/>
    <w:rsid w:val="008D799E"/>
    <w:rsid w:val="008D7A1D"/>
    <w:rsid w:val="008D7A28"/>
    <w:rsid w:val="008D7B00"/>
    <w:rsid w:val="008E0517"/>
    <w:rsid w:val="008E0F18"/>
    <w:rsid w:val="008E1A1B"/>
    <w:rsid w:val="008E1CD0"/>
    <w:rsid w:val="008E2689"/>
    <w:rsid w:val="008E304D"/>
    <w:rsid w:val="008E33A1"/>
    <w:rsid w:val="008E370A"/>
    <w:rsid w:val="008E3E46"/>
    <w:rsid w:val="008E4092"/>
    <w:rsid w:val="008E4B12"/>
    <w:rsid w:val="008E4F8F"/>
    <w:rsid w:val="008E50A0"/>
    <w:rsid w:val="008E68B1"/>
    <w:rsid w:val="008E6A8F"/>
    <w:rsid w:val="008E7049"/>
    <w:rsid w:val="008E70C3"/>
    <w:rsid w:val="008E7C06"/>
    <w:rsid w:val="008F01DF"/>
    <w:rsid w:val="008F022F"/>
    <w:rsid w:val="008F02F9"/>
    <w:rsid w:val="008F039D"/>
    <w:rsid w:val="008F04B0"/>
    <w:rsid w:val="008F0934"/>
    <w:rsid w:val="008F0A73"/>
    <w:rsid w:val="008F11C8"/>
    <w:rsid w:val="008F1232"/>
    <w:rsid w:val="008F1521"/>
    <w:rsid w:val="008F2195"/>
    <w:rsid w:val="008F284F"/>
    <w:rsid w:val="008F29A1"/>
    <w:rsid w:val="008F2AB2"/>
    <w:rsid w:val="008F30BE"/>
    <w:rsid w:val="008F3730"/>
    <w:rsid w:val="008F3DF3"/>
    <w:rsid w:val="008F4153"/>
    <w:rsid w:val="008F41E1"/>
    <w:rsid w:val="008F4656"/>
    <w:rsid w:val="008F4EDC"/>
    <w:rsid w:val="008F54DA"/>
    <w:rsid w:val="008F569F"/>
    <w:rsid w:val="008F66E7"/>
    <w:rsid w:val="008F68A8"/>
    <w:rsid w:val="008F76A3"/>
    <w:rsid w:val="00900394"/>
    <w:rsid w:val="00900B1E"/>
    <w:rsid w:val="00900C2C"/>
    <w:rsid w:val="00900FCD"/>
    <w:rsid w:val="00901A64"/>
    <w:rsid w:val="00902C3F"/>
    <w:rsid w:val="0090300F"/>
    <w:rsid w:val="00903588"/>
    <w:rsid w:val="009039F1"/>
    <w:rsid w:val="00903B7D"/>
    <w:rsid w:val="00903DE5"/>
    <w:rsid w:val="009041E2"/>
    <w:rsid w:val="00904498"/>
    <w:rsid w:val="00904C80"/>
    <w:rsid w:val="00905176"/>
    <w:rsid w:val="009057D9"/>
    <w:rsid w:val="009057E2"/>
    <w:rsid w:val="00905F33"/>
    <w:rsid w:val="00905FCC"/>
    <w:rsid w:val="009061FE"/>
    <w:rsid w:val="009062E9"/>
    <w:rsid w:val="00906BDB"/>
    <w:rsid w:val="00906FB7"/>
    <w:rsid w:val="00907107"/>
    <w:rsid w:val="00907463"/>
    <w:rsid w:val="0090773E"/>
    <w:rsid w:val="00907D11"/>
    <w:rsid w:val="0091082C"/>
    <w:rsid w:val="0091097D"/>
    <w:rsid w:val="00910EAA"/>
    <w:rsid w:val="00910F5F"/>
    <w:rsid w:val="009115A3"/>
    <w:rsid w:val="0091168C"/>
    <w:rsid w:val="009117ED"/>
    <w:rsid w:val="00911864"/>
    <w:rsid w:val="00911933"/>
    <w:rsid w:val="00912454"/>
    <w:rsid w:val="009125F6"/>
    <w:rsid w:val="00912637"/>
    <w:rsid w:val="009129F1"/>
    <w:rsid w:val="00913182"/>
    <w:rsid w:val="00913ACC"/>
    <w:rsid w:val="00913BEB"/>
    <w:rsid w:val="00913E30"/>
    <w:rsid w:val="00914317"/>
    <w:rsid w:val="00914EEE"/>
    <w:rsid w:val="009152C6"/>
    <w:rsid w:val="00915E90"/>
    <w:rsid w:val="00916DF2"/>
    <w:rsid w:val="00916F3D"/>
    <w:rsid w:val="00917010"/>
    <w:rsid w:val="00917B70"/>
    <w:rsid w:val="0092027C"/>
    <w:rsid w:val="00920965"/>
    <w:rsid w:val="00920F25"/>
    <w:rsid w:val="00921171"/>
    <w:rsid w:val="009216B6"/>
    <w:rsid w:val="00922A53"/>
    <w:rsid w:val="00922E39"/>
    <w:rsid w:val="0092307C"/>
    <w:rsid w:val="009231D3"/>
    <w:rsid w:val="00923333"/>
    <w:rsid w:val="0092344C"/>
    <w:rsid w:val="00923885"/>
    <w:rsid w:val="00923E84"/>
    <w:rsid w:val="009240AB"/>
    <w:rsid w:val="00924945"/>
    <w:rsid w:val="00924D28"/>
    <w:rsid w:val="00924D62"/>
    <w:rsid w:val="0092555D"/>
    <w:rsid w:val="00925643"/>
    <w:rsid w:val="0092593F"/>
    <w:rsid w:val="009260B9"/>
    <w:rsid w:val="009267AB"/>
    <w:rsid w:val="009269C8"/>
    <w:rsid w:val="00927315"/>
    <w:rsid w:val="00927630"/>
    <w:rsid w:val="00927D5F"/>
    <w:rsid w:val="00930098"/>
    <w:rsid w:val="00930C08"/>
    <w:rsid w:val="00930D8E"/>
    <w:rsid w:val="0093102A"/>
    <w:rsid w:val="00931764"/>
    <w:rsid w:val="00931814"/>
    <w:rsid w:val="00931C11"/>
    <w:rsid w:val="0093219B"/>
    <w:rsid w:val="009322D3"/>
    <w:rsid w:val="009326A6"/>
    <w:rsid w:val="009329CD"/>
    <w:rsid w:val="00932D7B"/>
    <w:rsid w:val="00932E57"/>
    <w:rsid w:val="009332D3"/>
    <w:rsid w:val="0093388F"/>
    <w:rsid w:val="00933AAF"/>
    <w:rsid w:val="00933FD7"/>
    <w:rsid w:val="009341DB"/>
    <w:rsid w:val="0093429F"/>
    <w:rsid w:val="009346D0"/>
    <w:rsid w:val="00934A7C"/>
    <w:rsid w:val="00935100"/>
    <w:rsid w:val="00935328"/>
    <w:rsid w:val="00935401"/>
    <w:rsid w:val="009358D0"/>
    <w:rsid w:val="00935AA3"/>
    <w:rsid w:val="009362CC"/>
    <w:rsid w:val="0093662D"/>
    <w:rsid w:val="00936B4D"/>
    <w:rsid w:val="00936BBD"/>
    <w:rsid w:val="00936C2E"/>
    <w:rsid w:val="00936D85"/>
    <w:rsid w:val="00937240"/>
    <w:rsid w:val="009377F9"/>
    <w:rsid w:val="00937D72"/>
    <w:rsid w:val="009403CB"/>
    <w:rsid w:val="00940E5B"/>
    <w:rsid w:val="00941445"/>
    <w:rsid w:val="00941A30"/>
    <w:rsid w:val="009422CF"/>
    <w:rsid w:val="009427FE"/>
    <w:rsid w:val="00942B70"/>
    <w:rsid w:val="00942F02"/>
    <w:rsid w:val="009437EC"/>
    <w:rsid w:val="00943F90"/>
    <w:rsid w:val="00944092"/>
    <w:rsid w:val="009450D2"/>
    <w:rsid w:val="009454D3"/>
    <w:rsid w:val="009458C8"/>
    <w:rsid w:val="00945A99"/>
    <w:rsid w:val="00945FC3"/>
    <w:rsid w:val="00945FDF"/>
    <w:rsid w:val="00946299"/>
    <w:rsid w:val="0094638F"/>
    <w:rsid w:val="009466A4"/>
    <w:rsid w:val="00946F06"/>
    <w:rsid w:val="00946F37"/>
    <w:rsid w:val="00947096"/>
    <w:rsid w:val="00947330"/>
    <w:rsid w:val="00947865"/>
    <w:rsid w:val="00947B4E"/>
    <w:rsid w:val="009503DA"/>
    <w:rsid w:val="00950BAE"/>
    <w:rsid w:val="009511EF"/>
    <w:rsid w:val="009516EB"/>
    <w:rsid w:val="0095177B"/>
    <w:rsid w:val="00951CAA"/>
    <w:rsid w:val="00951F69"/>
    <w:rsid w:val="009522A1"/>
    <w:rsid w:val="00952462"/>
    <w:rsid w:val="0095311B"/>
    <w:rsid w:val="00953951"/>
    <w:rsid w:val="00953D24"/>
    <w:rsid w:val="00954497"/>
    <w:rsid w:val="00955021"/>
    <w:rsid w:val="0095508A"/>
    <w:rsid w:val="00955123"/>
    <w:rsid w:val="00955124"/>
    <w:rsid w:val="00955B70"/>
    <w:rsid w:val="00955C34"/>
    <w:rsid w:val="009562A0"/>
    <w:rsid w:val="0095662D"/>
    <w:rsid w:val="00956F70"/>
    <w:rsid w:val="00957702"/>
    <w:rsid w:val="00957769"/>
    <w:rsid w:val="00957E32"/>
    <w:rsid w:val="00957FD4"/>
    <w:rsid w:val="0096026D"/>
    <w:rsid w:val="0096086B"/>
    <w:rsid w:val="00960BCD"/>
    <w:rsid w:val="00960D54"/>
    <w:rsid w:val="00960F07"/>
    <w:rsid w:val="00960FEE"/>
    <w:rsid w:val="00961084"/>
    <w:rsid w:val="009615E5"/>
    <w:rsid w:val="009615E6"/>
    <w:rsid w:val="0096190C"/>
    <w:rsid w:val="009619D7"/>
    <w:rsid w:val="00961C02"/>
    <w:rsid w:val="00961D34"/>
    <w:rsid w:val="00962117"/>
    <w:rsid w:val="009624DD"/>
    <w:rsid w:val="00962F4F"/>
    <w:rsid w:val="009630F6"/>
    <w:rsid w:val="009643C6"/>
    <w:rsid w:val="00964BAA"/>
    <w:rsid w:val="0096539F"/>
    <w:rsid w:val="0096573D"/>
    <w:rsid w:val="00966416"/>
    <w:rsid w:val="0096654A"/>
    <w:rsid w:val="009670AB"/>
    <w:rsid w:val="00967927"/>
    <w:rsid w:val="00970EC3"/>
    <w:rsid w:val="00971726"/>
    <w:rsid w:val="00971802"/>
    <w:rsid w:val="00971D6F"/>
    <w:rsid w:val="00972412"/>
    <w:rsid w:val="009726A7"/>
    <w:rsid w:val="00972DD8"/>
    <w:rsid w:val="00972F01"/>
    <w:rsid w:val="00973B91"/>
    <w:rsid w:val="00973BE7"/>
    <w:rsid w:val="00973EE1"/>
    <w:rsid w:val="009744EE"/>
    <w:rsid w:val="00974518"/>
    <w:rsid w:val="0097494A"/>
    <w:rsid w:val="00974C66"/>
    <w:rsid w:val="0097500A"/>
    <w:rsid w:val="00975A2D"/>
    <w:rsid w:val="00975FC3"/>
    <w:rsid w:val="009762C3"/>
    <w:rsid w:val="00977496"/>
    <w:rsid w:val="009775C7"/>
    <w:rsid w:val="009775E6"/>
    <w:rsid w:val="0097785F"/>
    <w:rsid w:val="00977923"/>
    <w:rsid w:val="00977E03"/>
    <w:rsid w:val="009809FC"/>
    <w:rsid w:val="00980BB4"/>
    <w:rsid w:val="00981668"/>
    <w:rsid w:val="00981B80"/>
    <w:rsid w:val="00981E1A"/>
    <w:rsid w:val="0098244A"/>
    <w:rsid w:val="00982691"/>
    <w:rsid w:val="0098299E"/>
    <w:rsid w:val="00982AA4"/>
    <w:rsid w:val="00982C0A"/>
    <w:rsid w:val="00982C68"/>
    <w:rsid w:val="00982E58"/>
    <w:rsid w:val="00982FBA"/>
    <w:rsid w:val="00983518"/>
    <w:rsid w:val="00983763"/>
    <w:rsid w:val="00984496"/>
    <w:rsid w:val="0098460C"/>
    <w:rsid w:val="0098487C"/>
    <w:rsid w:val="00984930"/>
    <w:rsid w:val="00984C2B"/>
    <w:rsid w:val="00984E02"/>
    <w:rsid w:val="00984FFB"/>
    <w:rsid w:val="009850EA"/>
    <w:rsid w:val="009851D2"/>
    <w:rsid w:val="009857B3"/>
    <w:rsid w:val="00985E6B"/>
    <w:rsid w:val="00985F02"/>
    <w:rsid w:val="00986267"/>
    <w:rsid w:val="00986C25"/>
    <w:rsid w:val="00986E45"/>
    <w:rsid w:val="0098713B"/>
    <w:rsid w:val="00987198"/>
    <w:rsid w:val="0098799E"/>
    <w:rsid w:val="0099024A"/>
    <w:rsid w:val="00990312"/>
    <w:rsid w:val="009905F1"/>
    <w:rsid w:val="00990A83"/>
    <w:rsid w:val="00991024"/>
    <w:rsid w:val="009918AA"/>
    <w:rsid w:val="00991CB2"/>
    <w:rsid w:val="00991D73"/>
    <w:rsid w:val="00991EFB"/>
    <w:rsid w:val="0099249B"/>
    <w:rsid w:val="00992766"/>
    <w:rsid w:val="00992960"/>
    <w:rsid w:val="00992CAE"/>
    <w:rsid w:val="00992CF1"/>
    <w:rsid w:val="00993209"/>
    <w:rsid w:val="00993472"/>
    <w:rsid w:val="00993DFA"/>
    <w:rsid w:val="00993E22"/>
    <w:rsid w:val="00994E84"/>
    <w:rsid w:val="00995EA6"/>
    <w:rsid w:val="0099603C"/>
    <w:rsid w:val="00996B6E"/>
    <w:rsid w:val="009972A4"/>
    <w:rsid w:val="00997759"/>
    <w:rsid w:val="00997C03"/>
    <w:rsid w:val="00997E0C"/>
    <w:rsid w:val="00997E70"/>
    <w:rsid w:val="009A174E"/>
    <w:rsid w:val="009A1AD6"/>
    <w:rsid w:val="009A1C72"/>
    <w:rsid w:val="009A1DFB"/>
    <w:rsid w:val="009A1E61"/>
    <w:rsid w:val="009A2286"/>
    <w:rsid w:val="009A25F3"/>
    <w:rsid w:val="009A260C"/>
    <w:rsid w:val="009A3154"/>
    <w:rsid w:val="009A341F"/>
    <w:rsid w:val="009A34E5"/>
    <w:rsid w:val="009A389D"/>
    <w:rsid w:val="009A3BFF"/>
    <w:rsid w:val="009A3C74"/>
    <w:rsid w:val="009A4229"/>
    <w:rsid w:val="009A4F94"/>
    <w:rsid w:val="009A505C"/>
    <w:rsid w:val="009A5F9F"/>
    <w:rsid w:val="009A614F"/>
    <w:rsid w:val="009A647E"/>
    <w:rsid w:val="009A6621"/>
    <w:rsid w:val="009A6947"/>
    <w:rsid w:val="009A72B7"/>
    <w:rsid w:val="009A79D2"/>
    <w:rsid w:val="009A7BFF"/>
    <w:rsid w:val="009A7FF4"/>
    <w:rsid w:val="009B067C"/>
    <w:rsid w:val="009B084D"/>
    <w:rsid w:val="009B13A0"/>
    <w:rsid w:val="009B26E3"/>
    <w:rsid w:val="009B286F"/>
    <w:rsid w:val="009B2C8D"/>
    <w:rsid w:val="009B2F08"/>
    <w:rsid w:val="009B3379"/>
    <w:rsid w:val="009B356B"/>
    <w:rsid w:val="009B371B"/>
    <w:rsid w:val="009B392C"/>
    <w:rsid w:val="009B4B46"/>
    <w:rsid w:val="009B563A"/>
    <w:rsid w:val="009B582D"/>
    <w:rsid w:val="009B5DA0"/>
    <w:rsid w:val="009B6252"/>
    <w:rsid w:val="009B71E8"/>
    <w:rsid w:val="009B7C08"/>
    <w:rsid w:val="009B7CBC"/>
    <w:rsid w:val="009B7DFF"/>
    <w:rsid w:val="009C0E68"/>
    <w:rsid w:val="009C0F77"/>
    <w:rsid w:val="009C1A64"/>
    <w:rsid w:val="009C1CD8"/>
    <w:rsid w:val="009C213D"/>
    <w:rsid w:val="009C2257"/>
    <w:rsid w:val="009C2A60"/>
    <w:rsid w:val="009C2E47"/>
    <w:rsid w:val="009C32CB"/>
    <w:rsid w:val="009C36F3"/>
    <w:rsid w:val="009C37A0"/>
    <w:rsid w:val="009C41D8"/>
    <w:rsid w:val="009C44C5"/>
    <w:rsid w:val="009C468E"/>
    <w:rsid w:val="009C46A5"/>
    <w:rsid w:val="009C4704"/>
    <w:rsid w:val="009C48C9"/>
    <w:rsid w:val="009C4904"/>
    <w:rsid w:val="009C4D56"/>
    <w:rsid w:val="009C7A93"/>
    <w:rsid w:val="009D052A"/>
    <w:rsid w:val="009D0980"/>
    <w:rsid w:val="009D09F0"/>
    <w:rsid w:val="009D0C36"/>
    <w:rsid w:val="009D1699"/>
    <w:rsid w:val="009D28F9"/>
    <w:rsid w:val="009D2A6C"/>
    <w:rsid w:val="009D348E"/>
    <w:rsid w:val="009D4010"/>
    <w:rsid w:val="009D4A03"/>
    <w:rsid w:val="009D4FEE"/>
    <w:rsid w:val="009D5082"/>
    <w:rsid w:val="009D50D1"/>
    <w:rsid w:val="009D560A"/>
    <w:rsid w:val="009D5C3E"/>
    <w:rsid w:val="009D5C70"/>
    <w:rsid w:val="009D6CD6"/>
    <w:rsid w:val="009D710A"/>
    <w:rsid w:val="009D726A"/>
    <w:rsid w:val="009D74BC"/>
    <w:rsid w:val="009D753A"/>
    <w:rsid w:val="009D776A"/>
    <w:rsid w:val="009D7904"/>
    <w:rsid w:val="009E0CAE"/>
    <w:rsid w:val="009E269C"/>
    <w:rsid w:val="009E2750"/>
    <w:rsid w:val="009E27B4"/>
    <w:rsid w:val="009E2B37"/>
    <w:rsid w:val="009E36BA"/>
    <w:rsid w:val="009E40E3"/>
    <w:rsid w:val="009E41F3"/>
    <w:rsid w:val="009E42F7"/>
    <w:rsid w:val="009E4CC9"/>
    <w:rsid w:val="009E53C6"/>
    <w:rsid w:val="009E6107"/>
    <w:rsid w:val="009E6B01"/>
    <w:rsid w:val="009E6CF1"/>
    <w:rsid w:val="009E6E5C"/>
    <w:rsid w:val="009E72FB"/>
    <w:rsid w:val="009E7E3F"/>
    <w:rsid w:val="009F0FD6"/>
    <w:rsid w:val="009F12CA"/>
    <w:rsid w:val="009F1734"/>
    <w:rsid w:val="009F18AC"/>
    <w:rsid w:val="009F2420"/>
    <w:rsid w:val="009F3002"/>
    <w:rsid w:val="009F31F4"/>
    <w:rsid w:val="009F33ED"/>
    <w:rsid w:val="009F36A8"/>
    <w:rsid w:val="009F4D03"/>
    <w:rsid w:val="009F5279"/>
    <w:rsid w:val="009F592F"/>
    <w:rsid w:val="009F5E07"/>
    <w:rsid w:val="009F5E5D"/>
    <w:rsid w:val="009F5E8D"/>
    <w:rsid w:val="009F6044"/>
    <w:rsid w:val="009F62FA"/>
    <w:rsid w:val="009F6A3E"/>
    <w:rsid w:val="009F73FD"/>
    <w:rsid w:val="009F764A"/>
    <w:rsid w:val="009F7725"/>
    <w:rsid w:val="009F77A2"/>
    <w:rsid w:val="009F7D31"/>
    <w:rsid w:val="009F7F37"/>
    <w:rsid w:val="00A00F54"/>
    <w:rsid w:val="00A014E1"/>
    <w:rsid w:val="00A01528"/>
    <w:rsid w:val="00A0155A"/>
    <w:rsid w:val="00A018E7"/>
    <w:rsid w:val="00A01E6F"/>
    <w:rsid w:val="00A02710"/>
    <w:rsid w:val="00A02B6E"/>
    <w:rsid w:val="00A02FE6"/>
    <w:rsid w:val="00A0358E"/>
    <w:rsid w:val="00A03998"/>
    <w:rsid w:val="00A03AAC"/>
    <w:rsid w:val="00A03BAF"/>
    <w:rsid w:val="00A03F9C"/>
    <w:rsid w:val="00A0466D"/>
    <w:rsid w:val="00A047C6"/>
    <w:rsid w:val="00A0578F"/>
    <w:rsid w:val="00A058D9"/>
    <w:rsid w:val="00A05C76"/>
    <w:rsid w:val="00A06A84"/>
    <w:rsid w:val="00A06C04"/>
    <w:rsid w:val="00A06C7A"/>
    <w:rsid w:val="00A06D49"/>
    <w:rsid w:val="00A07987"/>
    <w:rsid w:val="00A10167"/>
    <w:rsid w:val="00A108BA"/>
    <w:rsid w:val="00A10CAD"/>
    <w:rsid w:val="00A10F2D"/>
    <w:rsid w:val="00A110EF"/>
    <w:rsid w:val="00A119AD"/>
    <w:rsid w:val="00A1200D"/>
    <w:rsid w:val="00A122CF"/>
    <w:rsid w:val="00A1291F"/>
    <w:rsid w:val="00A12C1B"/>
    <w:rsid w:val="00A12ECD"/>
    <w:rsid w:val="00A13012"/>
    <w:rsid w:val="00A13133"/>
    <w:rsid w:val="00A13153"/>
    <w:rsid w:val="00A133AA"/>
    <w:rsid w:val="00A1387C"/>
    <w:rsid w:val="00A13A12"/>
    <w:rsid w:val="00A13AE3"/>
    <w:rsid w:val="00A13E57"/>
    <w:rsid w:val="00A13EAB"/>
    <w:rsid w:val="00A13F38"/>
    <w:rsid w:val="00A14B22"/>
    <w:rsid w:val="00A14CE0"/>
    <w:rsid w:val="00A15056"/>
    <w:rsid w:val="00A15098"/>
    <w:rsid w:val="00A150BB"/>
    <w:rsid w:val="00A15244"/>
    <w:rsid w:val="00A153C5"/>
    <w:rsid w:val="00A15BB4"/>
    <w:rsid w:val="00A160F0"/>
    <w:rsid w:val="00A16713"/>
    <w:rsid w:val="00A168AD"/>
    <w:rsid w:val="00A16BE4"/>
    <w:rsid w:val="00A16ECC"/>
    <w:rsid w:val="00A16EF0"/>
    <w:rsid w:val="00A1731E"/>
    <w:rsid w:val="00A17AAF"/>
    <w:rsid w:val="00A200F8"/>
    <w:rsid w:val="00A20EFA"/>
    <w:rsid w:val="00A220DC"/>
    <w:rsid w:val="00A226C5"/>
    <w:rsid w:val="00A22979"/>
    <w:rsid w:val="00A22CB8"/>
    <w:rsid w:val="00A22D49"/>
    <w:rsid w:val="00A230BC"/>
    <w:rsid w:val="00A23A35"/>
    <w:rsid w:val="00A23E61"/>
    <w:rsid w:val="00A24D7C"/>
    <w:rsid w:val="00A25280"/>
    <w:rsid w:val="00A25828"/>
    <w:rsid w:val="00A25891"/>
    <w:rsid w:val="00A25D04"/>
    <w:rsid w:val="00A26307"/>
    <w:rsid w:val="00A263C6"/>
    <w:rsid w:val="00A2657B"/>
    <w:rsid w:val="00A26998"/>
    <w:rsid w:val="00A269CF"/>
    <w:rsid w:val="00A26D24"/>
    <w:rsid w:val="00A27021"/>
    <w:rsid w:val="00A2742D"/>
    <w:rsid w:val="00A278C0"/>
    <w:rsid w:val="00A27BA7"/>
    <w:rsid w:val="00A27C6A"/>
    <w:rsid w:val="00A30316"/>
    <w:rsid w:val="00A303CB"/>
    <w:rsid w:val="00A303F6"/>
    <w:rsid w:val="00A30596"/>
    <w:rsid w:val="00A3065C"/>
    <w:rsid w:val="00A306BD"/>
    <w:rsid w:val="00A309A5"/>
    <w:rsid w:val="00A309C8"/>
    <w:rsid w:val="00A314DD"/>
    <w:rsid w:val="00A31B1F"/>
    <w:rsid w:val="00A321C6"/>
    <w:rsid w:val="00A32AD4"/>
    <w:rsid w:val="00A3302D"/>
    <w:rsid w:val="00A33529"/>
    <w:rsid w:val="00A33BE7"/>
    <w:rsid w:val="00A33C4B"/>
    <w:rsid w:val="00A33F59"/>
    <w:rsid w:val="00A3467B"/>
    <w:rsid w:val="00A346DD"/>
    <w:rsid w:val="00A34912"/>
    <w:rsid w:val="00A34FF9"/>
    <w:rsid w:val="00A3560E"/>
    <w:rsid w:val="00A3576D"/>
    <w:rsid w:val="00A359A1"/>
    <w:rsid w:val="00A36317"/>
    <w:rsid w:val="00A36909"/>
    <w:rsid w:val="00A36B95"/>
    <w:rsid w:val="00A3777A"/>
    <w:rsid w:val="00A37905"/>
    <w:rsid w:val="00A37B69"/>
    <w:rsid w:val="00A37F61"/>
    <w:rsid w:val="00A40861"/>
    <w:rsid w:val="00A40A07"/>
    <w:rsid w:val="00A40F01"/>
    <w:rsid w:val="00A42390"/>
    <w:rsid w:val="00A4253C"/>
    <w:rsid w:val="00A42754"/>
    <w:rsid w:val="00A4282C"/>
    <w:rsid w:val="00A42F56"/>
    <w:rsid w:val="00A438B3"/>
    <w:rsid w:val="00A43AD7"/>
    <w:rsid w:val="00A43FB6"/>
    <w:rsid w:val="00A442BE"/>
    <w:rsid w:val="00A44550"/>
    <w:rsid w:val="00A44B67"/>
    <w:rsid w:val="00A44EAA"/>
    <w:rsid w:val="00A44EAC"/>
    <w:rsid w:val="00A44EE1"/>
    <w:rsid w:val="00A455C9"/>
    <w:rsid w:val="00A45C23"/>
    <w:rsid w:val="00A46150"/>
    <w:rsid w:val="00A462EE"/>
    <w:rsid w:val="00A46611"/>
    <w:rsid w:val="00A46946"/>
    <w:rsid w:val="00A46CEC"/>
    <w:rsid w:val="00A46DB8"/>
    <w:rsid w:val="00A46E1B"/>
    <w:rsid w:val="00A46F1D"/>
    <w:rsid w:val="00A47155"/>
    <w:rsid w:val="00A47310"/>
    <w:rsid w:val="00A474BF"/>
    <w:rsid w:val="00A47542"/>
    <w:rsid w:val="00A475A4"/>
    <w:rsid w:val="00A47A28"/>
    <w:rsid w:val="00A47A38"/>
    <w:rsid w:val="00A47F6F"/>
    <w:rsid w:val="00A50135"/>
    <w:rsid w:val="00A50579"/>
    <w:rsid w:val="00A5060E"/>
    <w:rsid w:val="00A5083C"/>
    <w:rsid w:val="00A50CC8"/>
    <w:rsid w:val="00A50F88"/>
    <w:rsid w:val="00A51744"/>
    <w:rsid w:val="00A51B01"/>
    <w:rsid w:val="00A51CC9"/>
    <w:rsid w:val="00A51DC5"/>
    <w:rsid w:val="00A525F7"/>
    <w:rsid w:val="00A52B8F"/>
    <w:rsid w:val="00A52BDE"/>
    <w:rsid w:val="00A52D83"/>
    <w:rsid w:val="00A5313A"/>
    <w:rsid w:val="00A53412"/>
    <w:rsid w:val="00A537F4"/>
    <w:rsid w:val="00A53C37"/>
    <w:rsid w:val="00A5410B"/>
    <w:rsid w:val="00A54479"/>
    <w:rsid w:val="00A553F8"/>
    <w:rsid w:val="00A554EF"/>
    <w:rsid w:val="00A5557A"/>
    <w:rsid w:val="00A5573C"/>
    <w:rsid w:val="00A5586E"/>
    <w:rsid w:val="00A564F2"/>
    <w:rsid w:val="00A56ABF"/>
    <w:rsid w:val="00A56D3A"/>
    <w:rsid w:val="00A57606"/>
    <w:rsid w:val="00A576FD"/>
    <w:rsid w:val="00A5775A"/>
    <w:rsid w:val="00A57927"/>
    <w:rsid w:val="00A5799D"/>
    <w:rsid w:val="00A57B1C"/>
    <w:rsid w:val="00A57B6F"/>
    <w:rsid w:val="00A6001D"/>
    <w:rsid w:val="00A605F7"/>
    <w:rsid w:val="00A606A9"/>
    <w:rsid w:val="00A60A03"/>
    <w:rsid w:val="00A60B78"/>
    <w:rsid w:val="00A60D85"/>
    <w:rsid w:val="00A61C84"/>
    <w:rsid w:val="00A61D31"/>
    <w:rsid w:val="00A62994"/>
    <w:rsid w:val="00A637CB"/>
    <w:rsid w:val="00A63DE4"/>
    <w:rsid w:val="00A63F18"/>
    <w:rsid w:val="00A64725"/>
    <w:rsid w:val="00A64E1C"/>
    <w:rsid w:val="00A64FB3"/>
    <w:rsid w:val="00A65035"/>
    <w:rsid w:val="00A65245"/>
    <w:rsid w:val="00A65462"/>
    <w:rsid w:val="00A65888"/>
    <w:rsid w:val="00A65C98"/>
    <w:rsid w:val="00A65DC3"/>
    <w:rsid w:val="00A66463"/>
    <w:rsid w:val="00A664EE"/>
    <w:rsid w:val="00A66BCF"/>
    <w:rsid w:val="00A6754C"/>
    <w:rsid w:val="00A700EF"/>
    <w:rsid w:val="00A701A5"/>
    <w:rsid w:val="00A70227"/>
    <w:rsid w:val="00A702A7"/>
    <w:rsid w:val="00A703AA"/>
    <w:rsid w:val="00A703E5"/>
    <w:rsid w:val="00A7130A"/>
    <w:rsid w:val="00A72492"/>
    <w:rsid w:val="00A73136"/>
    <w:rsid w:val="00A73635"/>
    <w:rsid w:val="00A73C5F"/>
    <w:rsid w:val="00A73E4D"/>
    <w:rsid w:val="00A7416B"/>
    <w:rsid w:val="00A741DF"/>
    <w:rsid w:val="00A74C39"/>
    <w:rsid w:val="00A75312"/>
    <w:rsid w:val="00A75868"/>
    <w:rsid w:val="00A75A30"/>
    <w:rsid w:val="00A75E66"/>
    <w:rsid w:val="00A76391"/>
    <w:rsid w:val="00A76666"/>
    <w:rsid w:val="00A76E11"/>
    <w:rsid w:val="00A77605"/>
    <w:rsid w:val="00A7772E"/>
    <w:rsid w:val="00A77BBF"/>
    <w:rsid w:val="00A77EC1"/>
    <w:rsid w:val="00A77F9A"/>
    <w:rsid w:val="00A80B27"/>
    <w:rsid w:val="00A80FB6"/>
    <w:rsid w:val="00A818EE"/>
    <w:rsid w:val="00A81E2A"/>
    <w:rsid w:val="00A8223F"/>
    <w:rsid w:val="00A82694"/>
    <w:rsid w:val="00A8339F"/>
    <w:rsid w:val="00A83A50"/>
    <w:rsid w:val="00A83A80"/>
    <w:rsid w:val="00A84014"/>
    <w:rsid w:val="00A8444F"/>
    <w:rsid w:val="00A844BE"/>
    <w:rsid w:val="00A846D6"/>
    <w:rsid w:val="00A85051"/>
    <w:rsid w:val="00A85428"/>
    <w:rsid w:val="00A860A9"/>
    <w:rsid w:val="00A864F4"/>
    <w:rsid w:val="00A86B88"/>
    <w:rsid w:val="00A86CE3"/>
    <w:rsid w:val="00A8700B"/>
    <w:rsid w:val="00A8716F"/>
    <w:rsid w:val="00A875A4"/>
    <w:rsid w:val="00A876BA"/>
    <w:rsid w:val="00A879D6"/>
    <w:rsid w:val="00A87AF2"/>
    <w:rsid w:val="00A90702"/>
    <w:rsid w:val="00A90A08"/>
    <w:rsid w:val="00A914AC"/>
    <w:rsid w:val="00A91602"/>
    <w:rsid w:val="00A91D76"/>
    <w:rsid w:val="00A93443"/>
    <w:rsid w:val="00A94175"/>
    <w:rsid w:val="00A941CA"/>
    <w:rsid w:val="00A94F9E"/>
    <w:rsid w:val="00A951A4"/>
    <w:rsid w:val="00A95538"/>
    <w:rsid w:val="00A9563B"/>
    <w:rsid w:val="00A95AB8"/>
    <w:rsid w:val="00A96032"/>
    <w:rsid w:val="00AA006A"/>
    <w:rsid w:val="00AA00FA"/>
    <w:rsid w:val="00AA014E"/>
    <w:rsid w:val="00AA044F"/>
    <w:rsid w:val="00AA0600"/>
    <w:rsid w:val="00AA118D"/>
    <w:rsid w:val="00AA149F"/>
    <w:rsid w:val="00AA1561"/>
    <w:rsid w:val="00AA1CAC"/>
    <w:rsid w:val="00AA1E07"/>
    <w:rsid w:val="00AA2065"/>
    <w:rsid w:val="00AA20B8"/>
    <w:rsid w:val="00AA212C"/>
    <w:rsid w:val="00AA33DA"/>
    <w:rsid w:val="00AA3622"/>
    <w:rsid w:val="00AA367C"/>
    <w:rsid w:val="00AA3B0A"/>
    <w:rsid w:val="00AA3F44"/>
    <w:rsid w:val="00AA4374"/>
    <w:rsid w:val="00AA58B0"/>
    <w:rsid w:val="00AA6053"/>
    <w:rsid w:val="00AA6389"/>
    <w:rsid w:val="00AA64E5"/>
    <w:rsid w:val="00AA686E"/>
    <w:rsid w:val="00AA6C06"/>
    <w:rsid w:val="00AA70A1"/>
    <w:rsid w:val="00AA762E"/>
    <w:rsid w:val="00AA7725"/>
    <w:rsid w:val="00AA7784"/>
    <w:rsid w:val="00AA77BD"/>
    <w:rsid w:val="00AA7D8D"/>
    <w:rsid w:val="00AB009D"/>
    <w:rsid w:val="00AB099B"/>
    <w:rsid w:val="00AB0C65"/>
    <w:rsid w:val="00AB1094"/>
    <w:rsid w:val="00AB1454"/>
    <w:rsid w:val="00AB1727"/>
    <w:rsid w:val="00AB1BD7"/>
    <w:rsid w:val="00AB1F2B"/>
    <w:rsid w:val="00AB2290"/>
    <w:rsid w:val="00AB2BE7"/>
    <w:rsid w:val="00AB2D59"/>
    <w:rsid w:val="00AB3133"/>
    <w:rsid w:val="00AB4E9F"/>
    <w:rsid w:val="00AB5205"/>
    <w:rsid w:val="00AB6121"/>
    <w:rsid w:val="00AB62F8"/>
    <w:rsid w:val="00AB70E8"/>
    <w:rsid w:val="00AC009C"/>
    <w:rsid w:val="00AC04E9"/>
    <w:rsid w:val="00AC08CB"/>
    <w:rsid w:val="00AC0C0A"/>
    <w:rsid w:val="00AC1587"/>
    <w:rsid w:val="00AC1851"/>
    <w:rsid w:val="00AC1A43"/>
    <w:rsid w:val="00AC1B85"/>
    <w:rsid w:val="00AC1B99"/>
    <w:rsid w:val="00AC1C9A"/>
    <w:rsid w:val="00AC22AB"/>
    <w:rsid w:val="00AC2737"/>
    <w:rsid w:val="00AC2A01"/>
    <w:rsid w:val="00AC2B7E"/>
    <w:rsid w:val="00AC2D32"/>
    <w:rsid w:val="00AC2F43"/>
    <w:rsid w:val="00AC32E6"/>
    <w:rsid w:val="00AC32F3"/>
    <w:rsid w:val="00AC337B"/>
    <w:rsid w:val="00AC37CB"/>
    <w:rsid w:val="00AC3DFF"/>
    <w:rsid w:val="00AC43DF"/>
    <w:rsid w:val="00AC451C"/>
    <w:rsid w:val="00AC516D"/>
    <w:rsid w:val="00AC5AEE"/>
    <w:rsid w:val="00AC5C5B"/>
    <w:rsid w:val="00AC5F05"/>
    <w:rsid w:val="00AC62A8"/>
    <w:rsid w:val="00AC68EF"/>
    <w:rsid w:val="00AC6CE2"/>
    <w:rsid w:val="00AC7250"/>
    <w:rsid w:val="00AC7409"/>
    <w:rsid w:val="00AC7AE1"/>
    <w:rsid w:val="00AD04AB"/>
    <w:rsid w:val="00AD04E8"/>
    <w:rsid w:val="00AD0D1E"/>
    <w:rsid w:val="00AD0D2B"/>
    <w:rsid w:val="00AD1316"/>
    <w:rsid w:val="00AD1A67"/>
    <w:rsid w:val="00AD1DD0"/>
    <w:rsid w:val="00AD1E09"/>
    <w:rsid w:val="00AD1E10"/>
    <w:rsid w:val="00AD2111"/>
    <w:rsid w:val="00AD2CBB"/>
    <w:rsid w:val="00AD2CE2"/>
    <w:rsid w:val="00AD2EF1"/>
    <w:rsid w:val="00AD383A"/>
    <w:rsid w:val="00AD3978"/>
    <w:rsid w:val="00AD3E3C"/>
    <w:rsid w:val="00AD46ED"/>
    <w:rsid w:val="00AD4768"/>
    <w:rsid w:val="00AD4BCC"/>
    <w:rsid w:val="00AD4F13"/>
    <w:rsid w:val="00AD55CB"/>
    <w:rsid w:val="00AD55D2"/>
    <w:rsid w:val="00AD5756"/>
    <w:rsid w:val="00AD5A55"/>
    <w:rsid w:val="00AD5A92"/>
    <w:rsid w:val="00AD5B7E"/>
    <w:rsid w:val="00AD5CBB"/>
    <w:rsid w:val="00AD5E21"/>
    <w:rsid w:val="00AD68DD"/>
    <w:rsid w:val="00AD691D"/>
    <w:rsid w:val="00AD6EBB"/>
    <w:rsid w:val="00AD7144"/>
    <w:rsid w:val="00AD7329"/>
    <w:rsid w:val="00AD7568"/>
    <w:rsid w:val="00AD757E"/>
    <w:rsid w:val="00AE02A2"/>
    <w:rsid w:val="00AE03CF"/>
    <w:rsid w:val="00AE0B11"/>
    <w:rsid w:val="00AE152F"/>
    <w:rsid w:val="00AE1959"/>
    <w:rsid w:val="00AE1BD7"/>
    <w:rsid w:val="00AE2266"/>
    <w:rsid w:val="00AE2767"/>
    <w:rsid w:val="00AE3036"/>
    <w:rsid w:val="00AE3042"/>
    <w:rsid w:val="00AE340B"/>
    <w:rsid w:val="00AE3B6B"/>
    <w:rsid w:val="00AE3BDB"/>
    <w:rsid w:val="00AE3C3E"/>
    <w:rsid w:val="00AE3E22"/>
    <w:rsid w:val="00AE3E7F"/>
    <w:rsid w:val="00AE3EC3"/>
    <w:rsid w:val="00AE41A0"/>
    <w:rsid w:val="00AE47EE"/>
    <w:rsid w:val="00AE4D1D"/>
    <w:rsid w:val="00AE4F91"/>
    <w:rsid w:val="00AE54C6"/>
    <w:rsid w:val="00AE5586"/>
    <w:rsid w:val="00AE5B4A"/>
    <w:rsid w:val="00AE5F52"/>
    <w:rsid w:val="00AE61EF"/>
    <w:rsid w:val="00AE6245"/>
    <w:rsid w:val="00AE6A72"/>
    <w:rsid w:val="00AE7B93"/>
    <w:rsid w:val="00AE7D92"/>
    <w:rsid w:val="00AE7E12"/>
    <w:rsid w:val="00AF00A2"/>
    <w:rsid w:val="00AF0139"/>
    <w:rsid w:val="00AF0411"/>
    <w:rsid w:val="00AF08E9"/>
    <w:rsid w:val="00AF0A66"/>
    <w:rsid w:val="00AF0F8E"/>
    <w:rsid w:val="00AF1020"/>
    <w:rsid w:val="00AF1238"/>
    <w:rsid w:val="00AF12C3"/>
    <w:rsid w:val="00AF16A2"/>
    <w:rsid w:val="00AF1AC2"/>
    <w:rsid w:val="00AF1BF0"/>
    <w:rsid w:val="00AF20A2"/>
    <w:rsid w:val="00AF2607"/>
    <w:rsid w:val="00AF2C65"/>
    <w:rsid w:val="00AF30DA"/>
    <w:rsid w:val="00AF32CC"/>
    <w:rsid w:val="00AF32E5"/>
    <w:rsid w:val="00AF398B"/>
    <w:rsid w:val="00AF3E34"/>
    <w:rsid w:val="00AF3F59"/>
    <w:rsid w:val="00AF3F93"/>
    <w:rsid w:val="00AF40DE"/>
    <w:rsid w:val="00AF4503"/>
    <w:rsid w:val="00AF47DF"/>
    <w:rsid w:val="00AF5D96"/>
    <w:rsid w:val="00AF5F63"/>
    <w:rsid w:val="00AF6134"/>
    <w:rsid w:val="00AF6256"/>
    <w:rsid w:val="00AF658F"/>
    <w:rsid w:val="00AF6AB2"/>
    <w:rsid w:val="00AF6DA9"/>
    <w:rsid w:val="00AF6DD7"/>
    <w:rsid w:val="00AF7343"/>
    <w:rsid w:val="00AF7B6E"/>
    <w:rsid w:val="00B00C4C"/>
    <w:rsid w:val="00B00E7E"/>
    <w:rsid w:val="00B00E96"/>
    <w:rsid w:val="00B00F13"/>
    <w:rsid w:val="00B00FE9"/>
    <w:rsid w:val="00B018B9"/>
    <w:rsid w:val="00B01FE0"/>
    <w:rsid w:val="00B02115"/>
    <w:rsid w:val="00B023BD"/>
    <w:rsid w:val="00B02538"/>
    <w:rsid w:val="00B02692"/>
    <w:rsid w:val="00B02719"/>
    <w:rsid w:val="00B02B17"/>
    <w:rsid w:val="00B031B5"/>
    <w:rsid w:val="00B03E87"/>
    <w:rsid w:val="00B03FFD"/>
    <w:rsid w:val="00B04235"/>
    <w:rsid w:val="00B043C1"/>
    <w:rsid w:val="00B0473F"/>
    <w:rsid w:val="00B04959"/>
    <w:rsid w:val="00B05121"/>
    <w:rsid w:val="00B054AB"/>
    <w:rsid w:val="00B0577B"/>
    <w:rsid w:val="00B05F8A"/>
    <w:rsid w:val="00B0605D"/>
    <w:rsid w:val="00B063E2"/>
    <w:rsid w:val="00B06841"/>
    <w:rsid w:val="00B06EDB"/>
    <w:rsid w:val="00B06F10"/>
    <w:rsid w:val="00B070C5"/>
    <w:rsid w:val="00B07331"/>
    <w:rsid w:val="00B07EF4"/>
    <w:rsid w:val="00B1023B"/>
    <w:rsid w:val="00B10419"/>
    <w:rsid w:val="00B10EED"/>
    <w:rsid w:val="00B11517"/>
    <w:rsid w:val="00B11F0A"/>
    <w:rsid w:val="00B12111"/>
    <w:rsid w:val="00B127CC"/>
    <w:rsid w:val="00B128AE"/>
    <w:rsid w:val="00B12B0E"/>
    <w:rsid w:val="00B12B5D"/>
    <w:rsid w:val="00B12C8F"/>
    <w:rsid w:val="00B132E7"/>
    <w:rsid w:val="00B1353C"/>
    <w:rsid w:val="00B137B8"/>
    <w:rsid w:val="00B13E97"/>
    <w:rsid w:val="00B13FB6"/>
    <w:rsid w:val="00B140FC"/>
    <w:rsid w:val="00B14D76"/>
    <w:rsid w:val="00B14DCD"/>
    <w:rsid w:val="00B14F8D"/>
    <w:rsid w:val="00B14FE6"/>
    <w:rsid w:val="00B153B3"/>
    <w:rsid w:val="00B1544D"/>
    <w:rsid w:val="00B157BD"/>
    <w:rsid w:val="00B15F44"/>
    <w:rsid w:val="00B16012"/>
    <w:rsid w:val="00B16997"/>
    <w:rsid w:val="00B16FB1"/>
    <w:rsid w:val="00B17440"/>
    <w:rsid w:val="00B17820"/>
    <w:rsid w:val="00B178A8"/>
    <w:rsid w:val="00B17958"/>
    <w:rsid w:val="00B17F0A"/>
    <w:rsid w:val="00B17FEF"/>
    <w:rsid w:val="00B2019D"/>
    <w:rsid w:val="00B21D7D"/>
    <w:rsid w:val="00B243A0"/>
    <w:rsid w:val="00B24DAE"/>
    <w:rsid w:val="00B25129"/>
    <w:rsid w:val="00B254AD"/>
    <w:rsid w:val="00B25A89"/>
    <w:rsid w:val="00B261CF"/>
    <w:rsid w:val="00B26205"/>
    <w:rsid w:val="00B26565"/>
    <w:rsid w:val="00B26784"/>
    <w:rsid w:val="00B274D2"/>
    <w:rsid w:val="00B278E3"/>
    <w:rsid w:val="00B27D7D"/>
    <w:rsid w:val="00B30028"/>
    <w:rsid w:val="00B305F0"/>
    <w:rsid w:val="00B30632"/>
    <w:rsid w:val="00B307DE"/>
    <w:rsid w:val="00B30901"/>
    <w:rsid w:val="00B30C5E"/>
    <w:rsid w:val="00B31176"/>
    <w:rsid w:val="00B31940"/>
    <w:rsid w:val="00B31DC3"/>
    <w:rsid w:val="00B32455"/>
    <w:rsid w:val="00B324DC"/>
    <w:rsid w:val="00B325DD"/>
    <w:rsid w:val="00B32937"/>
    <w:rsid w:val="00B32A3E"/>
    <w:rsid w:val="00B32BE6"/>
    <w:rsid w:val="00B339C4"/>
    <w:rsid w:val="00B33C4C"/>
    <w:rsid w:val="00B33EDF"/>
    <w:rsid w:val="00B34124"/>
    <w:rsid w:val="00B34469"/>
    <w:rsid w:val="00B34B5A"/>
    <w:rsid w:val="00B34C35"/>
    <w:rsid w:val="00B34E04"/>
    <w:rsid w:val="00B34E2B"/>
    <w:rsid w:val="00B34EC0"/>
    <w:rsid w:val="00B3571C"/>
    <w:rsid w:val="00B35AE0"/>
    <w:rsid w:val="00B35D05"/>
    <w:rsid w:val="00B35D27"/>
    <w:rsid w:val="00B35FD1"/>
    <w:rsid w:val="00B35FF2"/>
    <w:rsid w:val="00B3612D"/>
    <w:rsid w:val="00B36516"/>
    <w:rsid w:val="00B36A58"/>
    <w:rsid w:val="00B37354"/>
    <w:rsid w:val="00B40E79"/>
    <w:rsid w:val="00B4181F"/>
    <w:rsid w:val="00B41A4F"/>
    <w:rsid w:val="00B41C7F"/>
    <w:rsid w:val="00B41F6B"/>
    <w:rsid w:val="00B4215E"/>
    <w:rsid w:val="00B4242D"/>
    <w:rsid w:val="00B425C3"/>
    <w:rsid w:val="00B428BA"/>
    <w:rsid w:val="00B42CCD"/>
    <w:rsid w:val="00B42E1B"/>
    <w:rsid w:val="00B42E4C"/>
    <w:rsid w:val="00B4367F"/>
    <w:rsid w:val="00B43A83"/>
    <w:rsid w:val="00B43AF3"/>
    <w:rsid w:val="00B443E3"/>
    <w:rsid w:val="00B4521A"/>
    <w:rsid w:val="00B46108"/>
    <w:rsid w:val="00B4610A"/>
    <w:rsid w:val="00B4655D"/>
    <w:rsid w:val="00B465E9"/>
    <w:rsid w:val="00B46AEB"/>
    <w:rsid w:val="00B46C56"/>
    <w:rsid w:val="00B46C85"/>
    <w:rsid w:val="00B46E4C"/>
    <w:rsid w:val="00B46F5D"/>
    <w:rsid w:val="00B46F7D"/>
    <w:rsid w:val="00B47135"/>
    <w:rsid w:val="00B47552"/>
    <w:rsid w:val="00B47865"/>
    <w:rsid w:val="00B5003D"/>
    <w:rsid w:val="00B50183"/>
    <w:rsid w:val="00B51419"/>
    <w:rsid w:val="00B514EF"/>
    <w:rsid w:val="00B51B74"/>
    <w:rsid w:val="00B51D71"/>
    <w:rsid w:val="00B520C2"/>
    <w:rsid w:val="00B52247"/>
    <w:rsid w:val="00B52252"/>
    <w:rsid w:val="00B52AF9"/>
    <w:rsid w:val="00B52FDE"/>
    <w:rsid w:val="00B53355"/>
    <w:rsid w:val="00B537A1"/>
    <w:rsid w:val="00B53C72"/>
    <w:rsid w:val="00B53CEF"/>
    <w:rsid w:val="00B54301"/>
    <w:rsid w:val="00B5440F"/>
    <w:rsid w:val="00B544B1"/>
    <w:rsid w:val="00B54779"/>
    <w:rsid w:val="00B54DEE"/>
    <w:rsid w:val="00B54FC9"/>
    <w:rsid w:val="00B555ED"/>
    <w:rsid w:val="00B5580C"/>
    <w:rsid w:val="00B55DE0"/>
    <w:rsid w:val="00B561D7"/>
    <w:rsid w:val="00B56876"/>
    <w:rsid w:val="00B56CF1"/>
    <w:rsid w:val="00B570A6"/>
    <w:rsid w:val="00B60BF7"/>
    <w:rsid w:val="00B619C2"/>
    <w:rsid w:val="00B61E79"/>
    <w:rsid w:val="00B61F26"/>
    <w:rsid w:val="00B6203D"/>
    <w:rsid w:val="00B620E7"/>
    <w:rsid w:val="00B62A7C"/>
    <w:rsid w:val="00B62DBF"/>
    <w:rsid w:val="00B6335A"/>
    <w:rsid w:val="00B635A4"/>
    <w:rsid w:val="00B63EA1"/>
    <w:rsid w:val="00B64004"/>
    <w:rsid w:val="00B649F9"/>
    <w:rsid w:val="00B655B5"/>
    <w:rsid w:val="00B6608C"/>
    <w:rsid w:val="00B660BF"/>
    <w:rsid w:val="00B66203"/>
    <w:rsid w:val="00B667E8"/>
    <w:rsid w:val="00B668A8"/>
    <w:rsid w:val="00B66996"/>
    <w:rsid w:val="00B672EA"/>
    <w:rsid w:val="00B673FC"/>
    <w:rsid w:val="00B67538"/>
    <w:rsid w:val="00B6753D"/>
    <w:rsid w:val="00B67F5D"/>
    <w:rsid w:val="00B70699"/>
    <w:rsid w:val="00B70759"/>
    <w:rsid w:val="00B70844"/>
    <w:rsid w:val="00B71507"/>
    <w:rsid w:val="00B7174B"/>
    <w:rsid w:val="00B7198E"/>
    <w:rsid w:val="00B71C79"/>
    <w:rsid w:val="00B71E31"/>
    <w:rsid w:val="00B7201F"/>
    <w:rsid w:val="00B7225F"/>
    <w:rsid w:val="00B72563"/>
    <w:rsid w:val="00B72828"/>
    <w:rsid w:val="00B728C4"/>
    <w:rsid w:val="00B7290D"/>
    <w:rsid w:val="00B7322A"/>
    <w:rsid w:val="00B735D1"/>
    <w:rsid w:val="00B736F5"/>
    <w:rsid w:val="00B73A28"/>
    <w:rsid w:val="00B73D27"/>
    <w:rsid w:val="00B73E81"/>
    <w:rsid w:val="00B740D8"/>
    <w:rsid w:val="00B7494F"/>
    <w:rsid w:val="00B74A01"/>
    <w:rsid w:val="00B74CE2"/>
    <w:rsid w:val="00B74EC4"/>
    <w:rsid w:val="00B74FCA"/>
    <w:rsid w:val="00B75208"/>
    <w:rsid w:val="00B75A29"/>
    <w:rsid w:val="00B75A9C"/>
    <w:rsid w:val="00B76193"/>
    <w:rsid w:val="00B7657B"/>
    <w:rsid w:val="00B77E16"/>
    <w:rsid w:val="00B802E1"/>
    <w:rsid w:val="00B806DD"/>
    <w:rsid w:val="00B8087D"/>
    <w:rsid w:val="00B80C2A"/>
    <w:rsid w:val="00B80CBD"/>
    <w:rsid w:val="00B80EAA"/>
    <w:rsid w:val="00B81071"/>
    <w:rsid w:val="00B813D5"/>
    <w:rsid w:val="00B8174F"/>
    <w:rsid w:val="00B81B08"/>
    <w:rsid w:val="00B81BD0"/>
    <w:rsid w:val="00B81F4F"/>
    <w:rsid w:val="00B824A3"/>
    <w:rsid w:val="00B82687"/>
    <w:rsid w:val="00B82920"/>
    <w:rsid w:val="00B83207"/>
    <w:rsid w:val="00B8321C"/>
    <w:rsid w:val="00B8370F"/>
    <w:rsid w:val="00B83727"/>
    <w:rsid w:val="00B84259"/>
    <w:rsid w:val="00B842A4"/>
    <w:rsid w:val="00B85368"/>
    <w:rsid w:val="00B85577"/>
    <w:rsid w:val="00B85EBA"/>
    <w:rsid w:val="00B85EE3"/>
    <w:rsid w:val="00B86161"/>
    <w:rsid w:val="00B86338"/>
    <w:rsid w:val="00B869A2"/>
    <w:rsid w:val="00B86D74"/>
    <w:rsid w:val="00B86D95"/>
    <w:rsid w:val="00B86DE1"/>
    <w:rsid w:val="00B87B46"/>
    <w:rsid w:val="00B87C59"/>
    <w:rsid w:val="00B87F5E"/>
    <w:rsid w:val="00B90481"/>
    <w:rsid w:val="00B90BF4"/>
    <w:rsid w:val="00B90D08"/>
    <w:rsid w:val="00B91091"/>
    <w:rsid w:val="00B91A74"/>
    <w:rsid w:val="00B91B82"/>
    <w:rsid w:val="00B91F2F"/>
    <w:rsid w:val="00B91F34"/>
    <w:rsid w:val="00B9213A"/>
    <w:rsid w:val="00B922F0"/>
    <w:rsid w:val="00B92354"/>
    <w:rsid w:val="00B92566"/>
    <w:rsid w:val="00B92843"/>
    <w:rsid w:val="00B928B4"/>
    <w:rsid w:val="00B92911"/>
    <w:rsid w:val="00B92CB4"/>
    <w:rsid w:val="00B92EA7"/>
    <w:rsid w:val="00B933EC"/>
    <w:rsid w:val="00B935C1"/>
    <w:rsid w:val="00B94024"/>
    <w:rsid w:val="00B94292"/>
    <w:rsid w:val="00B94762"/>
    <w:rsid w:val="00B9485B"/>
    <w:rsid w:val="00B9490A"/>
    <w:rsid w:val="00B9495B"/>
    <w:rsid w:val="00B950D8"/>
    <w:rsid w:val="00B951CE"/>
    <w:rsid w:val="00B951EB"/>
    <w:rsid w:val="00B952E3"/>
    <w:rsid w:val="00B955A1"/>
    <w:rsid w:val="00B95D69"/>
    <w:rsid w:val="00B967EC"/>
    <w:rsid w:val="00B9715F"/>
    <w:rsid w:val="00B97239"/>
    <w:rsid w:val="00B9753C"/>
    <w:rsid w:val="00BA0010"/>
    <w:rsid w:val="00BA058F"/>
    <w:rsid w:val="00BA061F"/>
    <w:rsid w:val="00BA097A"/>
    <w:rsid w:val="00BA0BFE"/>
    <w:rsid w:val="00BA0E9E"/>
    <w:rsid w:val="00BA17A3"/>
    <w:rsid w:val="00BA17CB"/>
    <w:rsid w:val="00BA184B"/>
    <w:rsid w:val="00BA1894"/>
    <w:rsid w:val="00BA19EE"/>
    <w:rsid w:val="00BA1B1D"/>
    <w:rsid w:val="00BA213A"/>
    <w:rsid w:val="00BA21DB"/>
    <w:rsid w:val="00BA2557"/>
    <w:rsid w:val="00BA25F4"/>
    <w:rsid w:val="00BA26D5"/>
    <w:rsid w:val="00BA2A77"/>
    <w:rsid w:val="00BA34FE"/>
    <w:rsid w:val="00BA37C0"/>
    <w:rsid w:val="00BA3B3D"/>
    <w:rsid w:val="00BA43D6"/>
    <w:rsid w:val="00BA4618"/>
    <w:rsid w:val="00BA51F3"/>
    <w:rsid w:val="00BA58BF"/>
    <w:rsid w:val="00BA64F7"/>
    <w:rsid w:val="00BA66B2"/>
    <w:rsid w:val="00BA7C18"/>
    <w:rsid w:val="00BA7D47"/>
    <w:rsid w:val="00BA7ED4"/>
    <w:rsid w:val="00BB04A6"/>
    <w:rsid w:val="00BB07D7"/>
    <w:rsid w:val="00BB07E0"/>
    <w:rsid w:val="00BB08B0"/>
    <w:rsid w:val="00BB0B64"/>
    <w:rsid w:val="00BB0DCF"/>
    <w:rsid w:val="00BB0F9F"/>
    <w:rsid w:val="00BB16C6"/>
    <w:rsid w:val="00BB1851"/>
    <w:rsid w:val="00BB2581"/>
    <w:rsid w:val="00BB25AC"/>
    <w:rsid w:val="00BB291E"/>
    <w:rsid w:val="00BB2AE2"/>
    <w:rsid w:val="00BB2DA8"/>
    <w:rsid w:val="00BB36DE"/>
    <w:rsid w:val="00BB383A"/>
    <w:rsid w:val="00BB3BA4"/>
    <w:rsid w:val="00BB4613"/>
    <w:rsid w:val="00BB49C3"/>
    <w:rsid w:val="00BB4E1A"/>
    <w:rsid w:val="00BB4EDB"/>
    <w:rsid w:val="00BB5F01"/>
    <w:rsid w:val="00BB60A5"/>
    <w:rsid w:val="00BB793E"/>
    <w:rsid w:val="00BC02B9"/>
    <w:rsid w:val="00BC0336"/>
    <w:rsid w:val="00BC0433"/>
    <w:rsid w:val="00BC0D4D"/>
    <w:rsid w:val="00BC1EA5"/>
    <w:rsid w:val="00BC1FCA"/>
    <w:rsid w:val="00BC2289"/>
    <w:rsid w:val="00BC2423"/>
    <w:rsid w:val="00BC2E90"/>
    <w:rsid w:val="00BC307C"/>
    <w:rsid w:val="00BC338E"/>
    <w:rsid w:val="00BC33D8"/>
    <w:rsid w:val="00BC3557"/>
    <w:rsid w:val="00BC3716"/>
    <w:rsid w:val="00BC432F"/>
    <w:rsid w:val="00BC4CC8"/>
    <w:rsid w:val="00BC4D3E"/>
    <w:rsid w:val="00BC50FD"/>
    <w:rsid w:val="00BC5338"/>
    <w:rsid w:val="00BC5B3E"/>
    <w:rsid w:val="00BC660B"/>
    <w:rsid w:val="00BC716A"/>
    <w:rsid w:val="00BC71E8"/>
    <w:rsid w:val="00BC73B6"/>
    <w:rsid w:val="00BC759D"/>
    <w:rsid w:val="00BC7745"/>
    <w:rsid w:val="00BC78FF"/>
    <w:rsid w:val="00BC7AB6"/>
    <w:rsid w:val="00BC7EC5"/>
    <w:rsid w:val="00BD0408"/>
    <w:rsid w:val="00BD0770"/>
    <w:rsid w:val="00BD0977"/>
    <w:rsid w:val="00BD0D3E"/>
    <w:rsid w:val="00BD0FD5"/>
    <w:rsid w:val="00BD112F"/>
    <w:rsid w:val="00BD1202"/>
    <w:rsid w:val="00BD17DF"/>
    <w:rsid w:val="00BD1F43"/>
    <w:rsid w:val="00BD2319"/>
    <w:rsid w:val="00BD2355"/>
    <w:rsid w:val="00BD2487"/>
    <w:rsid w:val="00BD27F8"/>
    <w:rsid w:val="00BD2CFE"/>
    <w:rsid w:val="00BD3048"/>
    <w:rsid w:val="00BD30B2"/>
    <w:rsid w:val="00BD36AF"/>
    <w:rsid w:val="00BD3A63"/>
    <w:rsid w:val="00BD3F2E"/>
    <w:rsid w:val="00BD3FEB"/>
    <w:rsid w:val="00BD4074"/>
    <w:rsid w:val="00BD4719"/>
    <w:rsid w:val="00BD4B09"/>
    <w:rsid w:val="00BD4CEC"/>
    <w:rsid w:val="00BD4F61"/>
    <w:rsid w:val="00BD5050"/>
    <w:rsid w:val="00BD50D0"/>
    <w:rsid w:val="00BD54ED"/>
    <w:rsid w:val="00BD58A3"/>
    <w:rsid w:val="00BD5A30"/>
    <w:rsid w:val="00BD5B00"/>
    <w:rsid w:val="00BD6745"/>
    <w:rsid w:val="00BD67DE"/>
    <w:rsid w:val="00BD684B"/>
    <w:rsid w:val="00BD6AC0"/>
    <w:rsid w:val="00BD7112"/>
    <w:rsid w:val="00BD777C"/>
    <w:rsid w:val="00BD7869"/>
    <w:rsid w:val="00BD7ADC"/>
    <w:rsid w:val="00BD7DAB"/>
    <w:rsid w:val="00BE0225"/>
    <w:rsid w:val="00BE063D"/>
    <w:rsid w:val="00BE0D73"/>
    <w:rsid w:val="00BE0E22"/>
    <w:rsid w:val="00BE11EC"/>
    <w:rsid w:val="00BE1761"/>
    <w:rsid w:val="00BE21B7"/>
    <w:rsid w:val="00BE26B2"/>
    <w:rsid w:val="00BE2A2C"/>
    <w:rsid w:val="00BE32A5"/>
    <w:rsid w:val="00BE3414"/>
    <w:rsid w:val="00BE3893"/>
    <w:rsid w:val="00BE3A2F"/>
    <w:rsid w:val="00BE3E45"/>
    <w:rsid w:val="00BE3F28"/>
    <w:rsid w:val="00BE3F2B"/>
    <w:rsid w:val="00BE4240"/>
    <w:rsid w:val="00BE48B0"/>
    <w:rsid w:val="00BE4C36"/>
    <w:rsid w:val="00BE5078"/>
    <w:rsid w:val="00BE5150"/>
    <w:rsid w:val="00BE5310"/>
    <w:rsid w:val="00BE533A"/>
    <w:rsid w:val="00BE54A4"/>
    <w:rsid w:val="00BE5A42"/>
    <w:rsid w:val="00BE5EEC"/>
    <w:rsid w:val="00BE6589"/>
    <w:rsid w:val="00BE6B62"/>
    <w:rsid w:val="00BE6C5B"/>
    <w:rsid w:val="00BE6EF9"/>
    <w:rsid w:val="00BE6FC7"/>
    <w:rsid w:val="00BE73DF"/>
    <w:rsid w:val="00BE75C3"/>
    <w:rsid w:val="00BE774D"/>
    <w:rsid w:val="00BF05A8"/>
    <w:rsid w:val="00BF12A8"/>
    <w:rsid w:val="00BF1551"/>
    <w:rsid w:val="00BF16D0"/>
    <w:rsid w:val="00BF186E"/>
    <w:rsid w:val="00BF264E"/>
    <w:rsid w:val="00BF270D"/>
    <w:rsid w:val="00BF2A6C"/>
    <w:rsid w:val="00BF35E2"/>
    <w:rsid w:val="00BF36B3"/>
    <w:rsid w:val="00BF3A91"/>
    <w:rsid w:val="00BF3BDA"/>
    <w:rsid w:val="00BF3EA8"/>
    <w:rsid w:val="00BF468F"/>
    <w:rsid w:val="00BF469C"/>
    <w:rsid w:val="00BF4F56"/>
    <w:rsid w:val="00BF55B6"/>
    <w:rsid w:val="00BF5C23"/>
    <w:rsid w:val="00BF670A"/>
    <w:rsid w:val="00BF6782"/>
    <w:rsid w:val="00BF7620"/>
    <w:rsid w:val="00BF7794"/>
    <w:rsid w:val="00BF792F"/>
    <w:rsid w:val="00BF7A2F"/>
    <w:rsid w:val="00C001EF"/>
    <w:rsid w:val="00C001FD"/>
    <w:rsid w:val="00C0038E"/>
    <w:rsid w:val="00C0045A"/>
    <w:rsid w:val="00C00927"/>
    <w:rsid w:val="00C00CFE"/>
    <w:rsid w:val="00C0168D"/>
    <w:rsid w:val="00C01D45"/>
    <w:rsid w:val="00C02CEF"/>
    <w:rsid w:val="00C02E02"/>
    <w:rsid w:val="00C0305D"/>
    <w:rsid w:val="00C035AF"/>
    <w:rsid w:val="00C03625"/>
    <w:rsid w:val="00C0383E"/>
    <w:rsid w:val="00C03989"/>
    <w:rsid w:val="00C03B27"/>
    <w:rsid w:val="00C0446E"/>
    <w:rsid w:val="00C045B2"/>
    <w:rsid w:val="00C04958"/>
    <w:rsid w:val="00C049FB"/>
    <w:rsid w:val="00C04A14"/>
    <w:rsid w:val="00C05749"/>
    <w:rsid w:val="00C06727"/>
    <w:rsid w:val="00C07B82"/>
    <w:rsid w:val="00C07E20"/>
    <w:rsid w:val="00C10293"/>
    <w:rsid w:val="00C10469"/>
    <w:rsid w:val="00C10583"/>
    <w:rsid w:val="00C10693"/>
    <w:rsid w:val="00C10D93"/>
    <w:rsid w:val="00C11059"/>
    <w:rsid w:val="00C1127F"/>
    <w:rsid w:val="00C1167F"/>
    <w:rsid w:val="00C1172E"/>
    <w:rsid w:val="00C117F0"/>
    <w:rsid w:val="00C1245A"/>
    <w:rsid w:val="00C129EF"/>
    <w:rsid w:val="00C12AB9"/>
    <w:rsid w:val="00C12EF1"/>
    <w:rsid w:val="00C13A5D"/>
    <w:rsid w:val="00C13A66"/>
    <w:rsid w:val="00C13AFF"/>
    <w:rsid w:val="00C14248"/>
    <w:rsid w:val="00C148D7"/>
    <w:rsid w:val="00C14970"/>
    <w:rsid w:val="00C15A11"/>
    <w:rsid w:val="00C15A30"/>
    <w:rsid w:val="00C15EAF"/>
    <w:rsid w:val="00C15EB5"/>
    <w:rsid w:val="00C15F87"/>
    <w:rsid w:val="00C16112"/>
    <w:rsid w:val="00C1619D"/>
    <w:rsid w:val="00C16498"/>
    <w:rsid w:val="00C16995"/>
    <w:rsid w:val="00C174AA"/>
    <w:rsid w:val="00C17A73"/>
    <w:rsid w:val="00C20AFC"/>
    <w:rsid w:val="00C20D17"/>
    <w:rsid w:val="00C20D68"/>
    <w:rsid w:val="00C2119E"/>
    <w:rsid w:val="00C2160C"/>
    <w:rsid w:val="00C21A63"/>
    <w:rsid w:val="00C22224"/>
    <w:rsid w:val="00C22255"/>
    <w:rsid w:val="00C222DE"/>
    <w:rsid w:val="00C22774"/>
    <w:rsid w:val="00C22D98"/>
    <w:rsid w:val="00C22DEC"/>
    <w:rsid w:val="00C23202"/>
    <w:rsid w:val="00C23477"/>
    <w:rsid w:val="00C235D7"/>
    <w:rsid w:val="00C2456C"/>
    <w:rsid w:val="00C24A58"/>
    <w:rsid w:val="00C24D43"/>
    <w:rsid w:val="00C24DC9"/>
    <w:rsid w:val="00C252AC"/>
    <w:rsid w:val="00C2588C"/>
    <w:rsid w:val="00C25CCC"/>
    <w:rsid w:val="00C2644B"/>
    <w:rsid w:val="00C2652A"/>
    <w:rsid w:val="00C265DE"/>
    <w:rsid w:val="00C268DD"/>
    <w:rsid w:val="00C269F1"/>
    <w:rsid w:val="00C269F4"/>
    <w:rsid w:val="00C26E1B"/>
    <w:rsid w:val="00C26E40"/>
    <w:rsid w:val="00C26FE5"/>
    <w:rsid w:val="00C27708"/>
    <w:rsid w:val="00C27C15"/>
    <w:rsid w:val="00C27E98"/>
    <w:rsid w:val="00C27FC5"/>
    <w:rsid w:val="00C30159"/>
    <w:rsid w:val="00C305B1"/>
    <w:rsid w:val="00C30958"/>
    <w:rsid w:val="00C30D3B"/>
    <w:rsid w:val="00C31543"/>
    <w:rsid w:val="00C31A2B"/>
    <w:rsid w:val="00C31A5D"/>
    <w:rsid w:val="00C31F31"/>
    <w:rsid w:val="00C320D6"/>
    <w:rsid w:val="00C32134"/>
    <w:rsid w:val="00C325CC"/>
    <w:rsid w:val="00C33493"/>
    <w:rsid w:val="00C33661"/>
    <w:rsid w:val="00C33DF4"/>
    <w:rsid w:val="00C34439"/>
    <w:rsid w:val="00C34550"/>
    <w:rsid w:val="00C34741"/>
    <w:rsid w:val="00C34B5F"/>
    <w:rsid w:val="00C35270"/>
    <w:rsid w:val="00C3539E"/>
    <w:rsid w:val="00C356F9"/>
    <w:rsid w:val="00C359C9"/>
    <w:rsid w:val="00C3612A"/>
    <w:rsid w:val="00C36726"/>
    <w:rsid w:val="00C3740F"/>
    <w:rsid w:val="00C3782F"/>
    <w:rsid w:val="00C37A02"/>
    <w:rsid w:val="00C40581"/>
    <w:rsid w:val="00C40A92"/>
    <w:rsid w:val="00C40AE4"/>
    <w:rsid w:val="00C40B0B"/>
    <w:rsid w:val="00C41089"/>
    <w:rsid w:val="00C4182B"/>
    <w:rsid w:val="00C41B42"/>
    <w:rsid w:val="00C42751"/>
    <w:rsid w:val="00C42A06"/>
    <w:rsid w:val="00C4313A"/>
    <w:rsid w:val="00C4374D"/>
    <w:rsid w:val="00C43985"/>
    <w:rsid w:val="00C43BFF"/>
    <w:rsid w:val="00C43E99"/>
    <w:rsid w:val="00C44288"/>
    <w:rsid w:val="00C44312"/>
    <w:rsid w:val="00C4440A"/>
    <w:rsid w:val="00C44A70"/>
    <w:rsid w:val="00C44F88"/>
    <w:rsid w:val="00C4525A"/>
    <w:rsid w:val="00C45A66"/>
    <w:rsid w:val="00C45B48"/>
    <w:rsid w:val="00C45FA1"/>
    <w:rsid w:val="00C464DA"/>
    <w:rsid w:val="00C46585"/>
    <w:rsid w:val="00C465BC"/>
    <w:rsid w:val="00C467E0"/>
    <w:rsid w:val="00C46A82"/>
    <w:rsid w:val="00C46FF1"/>
    <w:rsid w:val="00C47174"/>
    <w:rsid w:val="00C476D0"/>
    <w:rsid w:val="00C47A07"/>
    <w:rsid w:val="00C47B09"/>
    <w:rsid w:val="00C50B1C"/>
    <w:rsid w:val="00C50BD9"/>
    <w:rsid w:val="00C510AB"/>
    <w:rsid w:val="00C51990"/>
    <w:rsid w:val="00C52085"/>
    <w:rsid w:val="00C5216E"/>
    <w:rsid w:val="00C523BD"/>
    <w:rsid w:val="00C526A6"/>
    <w:rsid w:val="00C5279E"/>
    <w:rsid w:val="00C531A3"/>
    <w:rsid w:val="00C534E1"/>
    <w:rsid w:val="00C53812"/>
    <w:rsid w:val="00C54017"/>
    <w:rsid w:val="00C544E5"/>
    <w:rsid w:val="00C5474A"/>
    <w:rsid w:val="00C54E12"/>
    <w:rsid w:val="00C54FAD"/>
    <w:rsid w:val="00C54FF5"/>
    <w:rsid w:val="00C550FD"/>
    <w:rsid w:val="00C55341"/>
    <w:rsid w:val="00C559EC"/>
    <w:rsid w:val="00C55EE6"/>
    <w:rsid w:val="00C5672F"/>
    <w:rsid w:val="00C569D7"/>
    <w:rsid w:val="00C56CEA"/>
    <w:rsid w:val="00C5723E"/>
    <w:rsid w:val="00C57BD2"/>
    <w:rsid w:val="00C57E6A"/>
    <w:rsid w:val="00C60299"/>
    <w:rsid w:val="00C604D7"/>
    <w:rsid w:val="00C60722"/>
    <w:rsid w:val="00C60962"/>
    <w:rsid w:val="00C6096C"/>
    <w:rsid w:val="00C61628"/>
    <w:rsid w:val="00C61A51"/>
    <w:rsid w:val="00C61C68"/>
    <w:rsid w:val="00C61D81"/>
    <w:rsid w:val="00C6227B"/>
    <w:rsid w:val="00C6239E"/>
    <w:rsid w:val="00C62BE4"/>
    <w:rsid w:val="00C62C39"/>
    <w:rsid w:val="00C62C92"/>
    <w:rsid w:val="00C63099"/>
    <w:rsid w:val="00C6367C"/>
    <w:rsid w:val="00C63886"/>
    <w:rsid w:val="00C64286"/>
    <w:rsid w:val="00C64456"/>
    <w:rsid w:val="00C644BF"/>
    <w:rsid w:val="00C646B7"/>
    <w:rsid w:val="00C64A91"/>
    <w:rsid w:val="00C65468"/>
    <w:rsid w:val="00C6598C"/>
    <w:rsid w:val="00C65BB3"/>
    <w:rsid w:val="00C6603F"/>
    <w:rsid w:val="00C6624D"/>
    <w:rsid w:val="00C66BFE"/>
    <w:rsid w:val="00C66C47"/>
    <w:rsid w:val="00C66DFD"/>
    <w:rsid w:val="00C66FE3"/>
    <w:rsid w:val="00C6715B"/>
    <w:rsid w:val="00C678EB"/>
    <w:rsid w:val="00C67DF9"/>
    <w:rsid w:val="00C70151"/>
    <w:rsid w:val="00C70295"/>
    <w:rsid w:val="00C702F9"/>
    <w:rsid w:val="00C706E5"/>
    <w:rsid w:val="00C70783"/>
    <w:rsid w:val="00C71231"/>
    <w:rsid w:val="00C717E5"/>
    <w:rsid w:val="00C718CD"/>
    <w:rsid w:val="00C71BE9"/>
    <w:rsid w:val="00C7209E"/>
    <w:rsid w:val="00C721C9"/>
    <w:rsid w:val="00C72B26"/>
    <w:rsid w:val="00C73150"/>
    <w:rsid w:val="00C74120"/>
    <w:rsid w:val="00C744C9"/>
    <w:rsid w:val="00C74C64"/>
    <w:rsid w:val="00C75102"/>
    <w:rsid w:val="00C754E0"/>
    <w:rsid w:val="00C7585B"/>
    <w:rsid w:val="00C75EC4"/>
    <w:rsid w:val="00C760F3"/>
    <w:rsid w:val="00C761A9"/>
    <w:rsid w:val="00C769AA"/>
    <w:rsid w:val="00C76A43"/>
    <w:rsid w:val="00C76E03"/>
    <w:rsid w:val="00C76FBE"/>
    <w:rsid w:val="00C80863"/>
    <w:rsid w:val="00C808C1"/>
    <w:rsid w:val="00C80B72"/>
    <w:rsid w:val="00C8158C"/>
    <w:rsid w:val="00C817D6"/>
    <w:rsid w:val="00C81A82"/>
    <w:rsid w:val="00C8230F"/>
    <w:rsid w:val="00C82D0C"/>
    <w:rsid w:val="00C82E1B"/>
    <w:rsid w:val="00C83164"/>
    <w:rsid w:val="00C837E1"/>
    <w:rsid w:val="00C837F0"/>
    <w:rsid w:val="00C839B2"/>
    <w:rsid w:val="00C83D13"/>
    <w:rsid w:val="00C84407"/>
    <w:rsid w:val="00C847B4"/>
    <w:rsid w:val="00C84B6B"/>
    <w:rsid w:val="00C84C0B"/>
    <w:rsid w:val="00C85275"/>
    <w:rsid w:val="00C85367"/>
    <w:rsid w:val="00C853CC"/>
    <w:rsid w:val="00C855C0"/>
    <w:rsid w:val="00C85A8F"/>
    <w:rsid w:val="00C8606C"/>
    <w:rsid w:val="00C86339"/>
    <w:rsid w:val="00C86A59"/>
    <w:rsid w:val="00C86D05"/>
    <w:rsid w:val="00C87080"/>
    <w:rsid w:val="00C87417"/>
    <w:rsid w:val="00C87919"/>
    <w:rsid w:val="00C879F1"/>
    <w:rsid w:val="00C87A9B"/>
    <w:rsid w:val="00C87C75"/>
    <w:rsid w:val="00C902F7"/>
    <w:rsid w:val="00C90441"/>
    <w:rsid w:val="00C904CF"/>
    <w:rsid w:val="00C90548"/>
    <w:rsid w:val="00C90A20"/>
    <w:rsid w:val="00C90B3B"/>
    <w:rsid w:val="00C90B7F"/>
    <w:rsid w:val="00C90F39"/>
    <w:rsid w:val="00C91686"/>
    <w:rsid w:val="00C91DE7"/>
    <w:rsid w:val="00C91F33"/>
    <w:rsid w:val="00C92095"/>
    <w:rsid w:val="00C92230"/>
    <w:rsid w:val="00C92515"/>
    <w:rsid w:val="00C92FCC"/>
    <w:rsid w:val="00C93266"/>
    <w:rsid w:val="00C94E2D"/>
    <w:rsid w:val="00C954A4"/>
    <w:rsid w:val="00C95AC9"/>
    <w:rsid w:val="00C95BCB"/>
    <w:rsid w:val="00C95BFF"/>
    <w:rsid w:val="00C971AD"/>
    <w:rsid w:val="00C9732C"/>
    <w:rsid w:val="00C97388"/>
    <w:rsid w:val="00C974D4"/>
    <w:rsid w:val="00C976DA"/>
    <w:rsid w:val="00C97ADA"/>
    <w:rsid w:val="00C97E39"/>
    <w:rsid w:val="00CA0901"/>
    <w:rsid w:val="00CA1A31"/>
    <w:rsid w:val="00CA225A"/>
    <w:rsid w:val="00CA324C"/>
    <w:rsid w:val="00CA3559"/>
    <w:rsid w:val="00CA44B3"/>
    <w:rsid w:val="00CA4A08"/>
    <w:rsid w:val="00CA4B9C"/>
    <w:rsid w:val="00CA5502"/>
    <w:rsid w:val="00CA5C35"/>
    <w:rsid w:val="00CA6ACC"/>
    <w:rsid w:val="00CA73D7"/>
    <w:rsid w:val="00CA7733"/>
    <w:rsid w:val="00CA7ACB"/>
    <w:rsid w:val="00CB0D25"/>
    <w:rsid w:val="00CB0E1E"/>
    <w:rsid w:val="00CB100E"/>
    <w:rsid w:val="00CB10D7"/>
    <w:rsid w:val="00CB1863"/>
    <w:rsid w:val="00CB1ED3"/>
    <w:rsid w:val="00CB20B0"/>
    <w:rsid w:val="00CB22C5"/>
    <w:rsid w:val="00CB2555"/>
    <w:rsid w:val="00CB2673"/>
    <w:rsid w:val="00CB27A3"/>
    <w:rsid w:val="00CB2C68"/>
    <w:rsid w:val="00CB369B"/>
    <w:rsid w:val="00CB3727"/>
    <w:rsid w:val="00CB3BD4"/>
    <w:rsid w:val="00CB49DD"/>
    <w:rsid w:val="00CB4EB8"/>
    <w:rsid w:val="00CB5568"/>
    <w:rsid w:val="00CB5AF4"/>
    <w:rsid w:val="00CB5C32"/>
    <w:rsid w:val="00CB5CD3"/>
    <w:rsid w:val="00CB5E57"/>
    <w:rsid w:val="00CB6568"/>
    <w:rsid w:val="00CB68D9"/>
    <w:rsid w:val="00CB6BE6"/>
    <w:rsid w:val="00CB6D19"/>
    <w:rsid w:val="00CB6D2A"/>
    <w:rsid w:val="00CB7464"/>
    <w:rsid w:val="00CB7A6F"/>
    <w:rsid w:val="00CB7AA3"/>
    <w:rsid w:val="00CB7FD9"/>
    <w:rsid w:val="00CC0AB4"/>
    <w:rsid w:val="00CC0DB4"/>
    <w:rsid w:val="00CC2211"/>
    <w:rsid w:val="00CC253D"/>
    <w:rsid w:val="00CC2652"/>
    <w:rsid w:val="00CC2FB5"/>
    <w:rsid w:val="00CC3450"/>
    <w:rsid w:val="00CC4C84"/>
    <w:rsid w:val="00CC4CA6"/>
    <w:rsid w:val="00CC5144"/>
    <w:rsid w:val="00CC5691"/>
    <w:rsid w:val="00CC5999"/>
    <w:rsid w:val="00CC620E"/>
    <w:rsid w:val="00CC6B80"/>
    <w:rsid w:val="00CC6E57"/>
    <w:rsid w:val="00CC6E95"/>
    <w:rsid w:val="00CC723C"/>
    <w:rsid w:val="00CC75F9"/>
    <w:rsid w:val="00CC7750"/>
    <w:rsid w:val="00CC7802"/>
    <w:rsid w:val="00CC7A39"/>
    <w:rsid w:val="00CD03D4"/>
    <w:rsid w:val="00CD0474"/>
    <w:rsid w:val="00CD0695"/>
    <w:rsid w:val="00CD06DE"/>
    <w:rsid w:val="00CD0867"/>
    <w:rsid w:val="00CD09A4"/>
    <w:rsid w:val="00CD0E65"/>
    <w:rsid w:val="00CD10F7"/>
    <w:rsid w:val="00CD1D53"/>
    <w:rsid w:val="00CD2020"/>
    <w:rsid w:val="00CD2389"/>
    <w:rsid w:val="00CD29D5"/>
    <w:rsid w:val="00CD2BF7"/>
    <w:rsid w:val="00CD3191"/>
    <w:rsid w:val="00CD3234"/>
    <w:rsid w:val="00CD3658"/>
    <w:rsid w:val="00CD4019"/>
    <w:rsid w:val="00CD409D"/>
    <w:rsid w:val="00CD4775"/>
    <w:rsid w:val="00CD4AE6"/>
    <w:rsid w:val="00CD4B38"/>
    <w:rsid w:val="00CD4C52"/>
    <w:rsid w:val="00CD534A"/>
    <w:rsid w:val="00CD53ED"/>
    <w:rsid w:val="00CD5819"/>
    <w:rsid w:val="00CD582C"/>
    <w:rsid w:val="00CD5A84"/>
    <w:rsid w:val="00CD68DE"/>
    <w:rsid w:val="00CD74C7"/>
    <w:rsid w:val="00CD7610"/>
    <w:rsid w:val="00CD774A"/>
    <w:rsid w:val="00CD7845"/>
    <w:rsid w:val="00CE06E9"/>
    <w:rsid w:val="00CE09E6"/>
    <w:rsid w:val="00CE0F85"/>
    <w:rsid w:val="00CE119C"/>
    <w:rsid w:val="00CE1C95"/>
    <w:rsid w:val="00CE26B3"/>
    <w:rsid w:val="00CE344F"/>
    <w:rsid w:val="00CE3EAA"/>
    <w:rsid w:val="00CE4B95"/>
    <w:rsid w:val="00CE4FA2"/>
    <w:rsid w:val="00CE52BD"/>
    <w:rsid w:val="00CE547E"/>
    <w:rsid w:val="00CE577D"/>
    <w:rsid w:val="00CE58E8"/>
    <w:rsid w:val="00CE5B08"/>
    <w:rsid w:val="00CE5F5B"/>
    <w:rsid w:val="00CE61C0"/>
    <w:rsid w:val="00CE642A"/>
    <w:rsid w:val="00CE670D"/>
    <w:rsid w:val="00CE70ED"/>
    <w:rsid w:val="00CE71A8"/>
    <w:rsid w:val="00CE72C7"/>
    <w:rsid w:val="00CE7984"/>
    <w:rsid w:val="00CF02D1"/>
    <w:rsid w:val="00CF0486"/>
    <w:rsid w:val="00CF062A"/>
    <w:rsid w:val="00CF076F"/>
    <w:rsid w:val="00CF11B3"/>
    <w:rsid w:val="00CF1579"/>
    <w:rsid w:val="00CF2295"/>
    <w:rsid w:val="00CF2577"/>
    <w:rsid w:val="00CF2721"/>
    <w:rsid w:val="00CF2C69"/>
    <w:rsid w:val="00CF3AB6"/>
    <w:rsid w:val="00CF456C"/>
    <w:rsid w:val="00CF49A5"/>
    <w:rsid w:val="00CF5475"/>
    <w:rsid w:val="00CF55FA"/>
    <w:rsid w:val="00CF5823"/>
    <w:rsid w:val="00CF5B4E"/>
    <w:rsid w:val="00CF5DEA"/>
    <w:rsid w:val="00CF5DEB"/>
    <w:rsid w:val="00CF6793"/>
    <w:rsid w:val="00CF68DE"/>
    <w:rsid w:val="00CF698D"/>
    <w:rsid w:val="00CF6A71"/>
    <w:rsid w:val="00CF6F3B"/>
    <w:rsid w:val="00CF6FB6"/>
    <w:rsid w:val="00CF7129"/>
    <w:rsid w:val="00CF72E9"/>
    <w:rsid w:val="00CF74E2"/>
    <w:rsid w:val="00CF7531"/>
    <w:rsid w:val="00D001BF"/>
    <w:rsid w:val="00D00D7E"/>
    <w:rsid w:val="00D00E9B"/>
    <w:rsid w:val="00D0129C"/>
    <w:rsid w:val="00D013D0"/>
    <w:rsid w:val="00D01A49"/>
    <w:rsid w:val="00D01B87"/>
    <w:rsid w:val="00D022C4"/>
    <w:rsid w:val="00D025A2"/>
    <w:rsid w:val="00D02798"/>
    <w:rsid w:val="00D0282D"/>
    <w:rsid w:val="00D02D5E"/>
    <w:rsid w:val="00D02FFA"/>
    <w:rsid w:val="00D03026"/>
    <w:rsid w:val="00D0315E"/>
    <w:rsid w:val="00D0330D"/>
    <w:rsid w:val="00D0379C"/>
    <w:rsid w:val="00D03965"/>
    <w:rsid w:val="00D03C0F"/>
    <w:rsid w:val="00D0485D"/>
    <w:rsid w:val="00D04B85"/>
    <w:rsid w:val="00D04E11"/>
    <w:rsid w:val="00D05AA8"/>
    <w:rsid w:val="00D067F0"/>
    <w:rsid w:val="00D06ADA"/>
    <w:rsid w:val="00D06F8F"/>
    <w:rsid w:val="00D076D7"/>
    <w:rsid w:val="00D078B4"/>
    <w:rsid w:val="00D07DCA"/>
    <w:rsid w:val="00D07F4C"/>
    <w:rsid w:val="00D1010A"/>
    <w:rsid w:val="00D104B3"/>
    <w:rsid w:val="00D11146"/>
    <w:rsid w:val="00D126A3"/>
    <w:rsid w:val="00D12939"/>
    <w:rsid w:val="00D12B80"/>
    <w:rsid w:val="00D131E9"/>
    <w:rsid w:val="00D1391B"/>
    <w:rsid w:val="00D139E9"/>
    <w:rsid w:val="00D13AD1"/>
    <w:rsid w:val="00D14AB1"/>
    <w:rsid w:val="00D14F46"/>
    <w:rsid w:val="00D1563D"/>
    <w:rsid w:val="00D15B52"/>
    <w:rsid w:val="00D1612B"/>
    <w:rsid w:val="00D1624F"/>
    <w:rsid w:val="00D162C6"/>
    <w:rsid w:val="00D16975"/>
    <w:rsid w:val="00D16AD8"/>
    <w:rsid w:val="00D16E7A"/>
    <w:rsid w:val="00D16FE4"/>
    <w:rsid w:val="00D171D3"/>
    <w:rsid w:val="00D17415"/>
    <w:rsid w:val="00D174F8"/>
    <w:rsid w:val="00D175C4"/>
    <w:rsid w:val="00D200BE"/>
    <w:rsid w:val="00D2029E"/>
    <w:rsid w:val="00D203E1"/>
    <w:rsid w:val="00D205CA"/>
    <w:rsid w:val="00D20A66"/>
    <w:rsid w:val="00D21777"/>
    <w:rsid w:val="00D21CBA"/>
    <w:rsid w:val="00D21CDD"/>
    <w:rsid w:val="00D21D64"/>
    <w:rsid w:val="00D225B0"/>
    <w:rsid w:val="00D22854"/>
    <w:rsid w:val="00D22D28"/>
    <w:rsid w:val="00D23836"/>
    <w:rsid w:val="00D241E2"/>
    <w:rsid w:val="00D2445C"/>
    <w:rsid w:val="00D24941"/>
    <w:rsid w:val="00D24EBB"/>
    <w:rsid w:val="00D25531"/>
    <w:rsid w:val="00D257A4"/>
    <w:rsid w:val="00D25F6D"/>
    <w:rsid w:val="00D2625C"/>
    <w:rsid w:val="00D26546"/>
    <w:rsid w:val="00D26A8F"/>
    <w:rsid w:val="00D27153"/>
    <w:rsid w:val="00D278B3"/>
    <w:rsid w:val="00D300A3"/>
    <w:rsid w:val="00D30329"/>
    <w:rsid w:val="00D304E2"/>
    <w:rsid w:val="00D3059A"/>
    <w:rsid w:val="00D30930"/>
    <w:rsid w:val="00D30A5E"/>
    <w:rsid w:val="00D30B78"/>
    <w:rsid w:val="00D30E1F"/>
    <w:rsid w:val="00D3124D"/>
    <w:rsid w:val="00D31365"/>
    <w:rsid w:val="00D316FA"/>
    <w:rsid w:val="00D31787"/>
    <w:rsid w:val="00D31922"/>
    <w:rsid w:val="00D31B2C"/>
    <w:rsid w:val="00D31DA5"/>
    <w:rsid w:val="00D325D0"/>
    <w:rsid w:val="00D329BA"/>
    <w:rsid w:val="00D32E66"/>
    <w:rsid w:val="00D33606"/>
    <w:rsid w:val="00D33696"/>
    <w:rsid w:val="00D33951"/>
    <w:rsid w:val="00D33A53"/>
    <w:rsid w:val="00D33B2A"/>
    <w:rsid w:val="00D33B93"/>
    <w:rsid w:val="00D34004"/>
    <w:rsid w:val="00D34302"/>
    <w:rsid w:val="00D3433F"/>
    <w:rsid w:val="00D3447A"/>
    <w:rsid w:val="00D34C6A"/>
    <w:rsid w:val="00D34DF9"/>
    <w:rsid w:val="00D3512D"/>
    <w:rsid w:val="00D353C6"/>
    <w:rsid w:val="00D35DA8"/>
    <w:rsid w:val="00D36466"/>
    <w:rsid w:val="00D36B44"/>
    <w:rsid w:val="00D379DD"/>
    <w:rsid w:val="00D37DB1"/>
    <w:rsid w:val="00D37FA9"/>
    <w:rsid w:val="00D405F9"/>
    <w:rsid w:val="00D405FC"/>
    <w:rsid w:val="00D40A35"/>
    <w:rsid w:val="00D4131E"/>
    <w:rsid w:val="00D4139A"/>
    <w:rsid w:val="00D41738"/>
    <w:rsid w:val="00D41BA2"/>
    <w:rsid w:val="00D42384"/>
    <w:rsid w:val="00D42465"/>
    <w:rsid w:val="00D42768"/>
    <w:rsid w:val="00D42875"/>
    <w:rsid w:val="00D42AAE"/>
    <w:rsid w:val="00D43896"/>
    <w:rsid w:val="00D439F8"/>
    <w:rsid w:val="00D44AA7"/>
    <w:rsid w:val="00D44FB8"/>
    <w:rsid w:val="00D45C5F"/>
    <w:rsid w:val="00D4626F"/>
    <w:rsid w:val="00D462EF"/>
    <w:rsid w:val="00D46786"/>
    <w:rsid w:val="00D46A80"/>
    <w:rsid w:val="00D46AF3"/>
    <w:rsid w:val="00D46B30"/>
    <w:rsid w:val="00D46D4D"/>
    <w:rsid w:val="00D47306"/>
    <w:rsid w:val="00D476FE"/>
    <w:rsid w:val="00D47DF0"/>
    <w:rsid w:val="00D5002E"/>
    <w:rsid w:val="00D501BF"/>
    <w:rsid w:val="00D50338"/>
    <w:rsid w:val="00D5044C"/>
    <w:rsid w:val="00D50EF0"/>
    <w:rsid w:val="00D50EF2"/>
    <w:rsid w:val="00D50FC1"/>
    <w:rsid w:val="00D511EF"/>
    <w:rsid w:val="00D513E3"/>
    <w:rsid w:val="00D517BC"/>
    <w:rsid w:val="00D51D9F"/>
    <w:rsid w:val="00D51E8A"/>
    <w:rsid w:val="00D5251A"/>
    <w:rsid w:val="00D52640"/>
    <w:rsid w:val="00D53036"/>
    <w:rsid w:val="00D538B5"/>
    <w:rsid w:val="00D540E6"/>
    <w:rsid w:val="00D5452F"/>
    <w:rsid w:val="00D54B4A"/>
    <w:rsid w:val="00D54DDF"/>
    <w:rsid w:val="00D55046"/>
    <w:rsid w:val="00D553C3"/>
    <w:rsid w:val="00D55535"/>
    <w:rsid w:val="00D557BC"/>
    <w:rsid w:val="00D557FA"/>
    <w:rsid w:val="00D55A25"/>
    <w:rsid w:val="00D55C02"/>
    <w:rsid w:val="00D563B4"/>
    <w:rsid w:val="00D56BB9"/>
    <w:rsid w:val="00D56F39"/>
    <w:rsid w:val="00D5785E"/>
    <w:rsid w:val="00D578CA"/>
    <w:rsid w:val="00D57A60"/>
    <w:rsid w:val="00D57CA2"/>
    <w:rsid w:val="00D57ED4"/>
    <w:rsid w:val="00D57F08"/>
    <w:rsid w:val="00D6037C"/>
    <w:rsid w:val="00D60F5B"/>
    <w:rsid w:val="00D614C6"/>
    <w:rsid w:val="00D614D3"/>
    <w:rsid w:val="00D61941"/>
    <w:rsid w:val="00D61C25"/>
    <w:rsid w:val="00D61EEA"/>
    <w:rsid w:val="00D62680"/>
    <w:rsid w:val="00D62A37"/>
    <w:rsid w:val="00D62CC9"/>
    <w:rsid w:val="00D62D11"/>
    <w:rsid w:val="00D6336F"/>
    <w:rsid w:val="00D635C0"/>
    <w:rsid w:val="00D63707"/>
    <w:rsid w:val="00D63D7A"/>
    <w:rsid w:val="00D645E9"/>
    <w:rsid w:val="00D648B7"/>
    <w:rsid w:val="00D64DEC"/>
    <w:rsid w:val="00D6523B"/>
    <w:rsid w:val="00D65692"/>
    <w:rsid w:val="00D65B96"/>
    <w:rsid w:val="00D6645A"/>
    <w:rsid w:val="00D66484"/>
    <w:rsid w:val="00D66677"/>
    <w:rsid w:val="00D6718E"/>
    <w:rsid w:val="00D67E77"/>
    <w:rsid w:val="00D707B3"/>
    <w:rsid w:val="00D71401"/>
    <w:rsid w:val="00D718F5"/>
    <w:rsid w:val="00D71F7F"/>
    <w:rsid w:val="00D7203C"/>
    <w:rsid w:val="00D72067"/>
    <w:rsid w:val="00D722CE"/>
    <w:rsid w:val="00D72919"/>
    <w:rsid w:val="00D729A6"/>
    <w:rsid w:val="00D729B1"/>
    <w:rsid w:val="00D72D69"/>
    <w:rsid w:val="00D73024"/>
    <w:rsid w:val="00D73279"/>
    <w:rsid w:val="00D744AC"/>
    <w:rsid w:val="00D745A8"/>
    <w:rsid w:val="00D74646"/>
    <w:rsid w:val="00D74F90"/>
    <w:rsid w:val="00D75179"/>
    <w:rsid w:val="00D75206"/>
    <w:rsid w:val="00D7558B"/>
    <w:rsid w:val="00D757EC"/>
    <w:rsid w:val="00D758FA"/>
    <w:rsid w:val="00D76356"/>
    <w:rsid w:val="00D76765"/>
    <w:rsid w:val="00D7724D"/>
    <w:rsid w:val="00D77446"/>
    <w:rsid w:val="00D7796E"/>
    <w:rsid w:val="00D77BFB"/>
    <w:rsid w:val="00D77D4F"/>
    <w:rsid w:val="00D77EAE"/>
    <w:rsid w:val="00D80DD9"/>
    <w:rsid w:val="00D810FA"/>
    <w:rsid w:val="00D8144D"/>
    <w:rsid w:val="00D81615"/>
    <w:rsid w:val="00D82264"/>
    <w:rsid w:val="00D8235E"/>
    <w:rsid w:val="00D8240D"/>
    <w:rsid w:val="00D82842"/>
    <w:rsid w:val="00D828A0"/>
    <w:rsid w:val="00D82A51"/>
    <w:rsid w:val="00D82F01"/>
    <w:rsid w:val="00D82FAF"/>
    <w:rsid w:val="00D830BA"/>
    <w:rsid w:val="00D83353"/>
    <w:rsid w:val="00D833B7"/>
    <w:rsid w:val="00D83C97"/>
    <w:rsid w:val="00D8437D"/>
    <w:rsid w:val="00D84781"/>
    <w:rsid w:val="00D84790"/>
    <w:rsid w:val="00D8485D"/>
    <w:rsid w:val="00D84E6A"/>
    <w:rsid w:val="00D85162"/>
    <w:rsid w:val="00D8565C"/>
    <w:rsid w:val="00D856F6"/>
    <w:rsid w:val="00D85BD3"/>
    <w:rsid w:val="00D85C5A"/>
    <w:rsid w:val="00D86017"/>
    <w:rsid w:val="00D861D0"/>
    <w:rsid w:val="00D87040"/>
    <w:rsid w:val="00D8741C"/>
    <w:rsid w:val="00D874A4"/>
    <w:rsid w:val="00D8764F"/>
    <w:rsid w:val="00D87BFE"/>
    <w:rsid w:val="00D90579"/>
    <w:rsid w:val="00D90827"/>
    <w:rsid w:val="00D90AA9"/>
    <w:rsid w:val="00D90C49"/>
    <w:rsid w:val="00D90CBC"/>
    <w:rsid w:val="00D90E75"/>
    <w:rsid w:val="00D91289"/>
    <w:rsid w:val="00D91B29"/>
    <w:rsid w:val="00D9230D"/>
    <w:rsid w:val="00D9300D"/>
    <w:rsid w:val="00D930B4"/>
    <w:rsid w:val="00D936AC"/>
    <w:rsid w:val="00D93F71"/>
    <w:rsid w:val="00D93FAE"/>
    <w:rsid w:val="00D943DC"/>
    <w:rsid w:val="00D94910"/>
    <w:rsid w:val="00D94CB7"/>
    <w:rsid w:val="00D94FF1"/>
    <w:rsid w:val="00D9517B"/>
    <w:rsid w:val="00D952E7"/>
    <w:rsid w:val="00D954A7"/>
    <w:rsid w:val="00D956D2"/>
    <w:rsid w:val="00D95AF5"/>
    <w:rsid w:val="00D96C6A"/>
    <w:rsid w:val="00D96EF3"/>
    <w:rsid w:val="00D97515"/>
    <w:rsid w:val="00D97820"/>
    <w:rsid w:val="00D97E38"/>
    <w:rsid w:val="00DA02A0"/>
    <w:rsid w:val="00DA091B"/>
    <w:rsid w:val="00DA0EE7"/>
    <w:rsid w:val="00DA1178"/>
    <w:rsid w:val="00DA133A"/>
    <w:rsid w:val="00DA1711"/>
    <w:rsid w:val="00DA1853"/>
    <w:rsid w:val="00DA1A9D"/>
    <w:rsid w:val="00DA2B04"/>
    <w:rsid w:val="00DA2B4C"/>
    <w:rsid w:val="00DA2BA0"/>
    <w:rsid w:val="00DA33DB"/>
    <w:rsid w:val="00DA35A0"/>
    <w:rsid w:val="00DA3756"/>
    <w:rsid w:val="00DA39C5"/>
    <w:rsid w:val="00DA3D5D"/>
    <w:rsid w:val="00DA4BC9"/>
    <w:rsid w:val="00DA532C"/>
    <w:rsid w:val="00DA54C8"/>
    <w:rsid w:val="00DA5AD4"/>
    <w:rsid w:val="00DA5F07"/>
    <w:rsid w:val="00DA602A"/>
    <w:rsid w:val="00DA672A"/>
    <w:rsid w:val="00DA708A"/>
    <w:rsid w:val="00DA7117"/>
    <w:rsid w:val="00DA7C4B"/>
    <w:rsid w:val="00DA7CCE"/>
    <w:rsid w:val="00DB1167"/>
    <w:rsid w:val="00DB1360"/>
    <w:rsid w:val="00DB1459"/>
    <w:rsid w:val="00DB19B0"/>
    <w:rsid w:val="00DB21EC"/>
    <w:rsid w:val="00DB2332"/>
    <w:rsid w:val="00DB26FB"/>
    <w:rsid w:val="00DB2CEA"/>
    <w:rsid w:val="00DB2DC0"/>
    <w:rsid w:val="00DB3A64"/>
    <w:rsid w:val="00DB436B"/>
    <w:rsid w:val="00DB51B3"/>
    <w:rsid w:val="00DB5E0F"/>
    <w:rsid w:val="00DB6214"/>
    <w:rsid w:val="00DB673B"/>
    <w:rsid w:val="00DB6A15"/>
    <w:rsid w:val="00DB6C6C"/>
    <w:rsid w:val="00DB709A"/>
    <w:rsid w:val="00DB70BE"/>
    <w:rsid w:val="00DB76D2"/>
    <w:rsid w:val="00DB7EB6"/>
    <w:rsid w:val="00DB7F67"/>
    <w:rsid w:val="00DC0FBB"/>
    <w:rsid w:val="00DC12BC"/>
    <w:rsid w:val="00DC12E1"/>
    <w:rsid w:val="00DC15CF"/>
    <w:rsid w:val="00DC15ED"/>
    <w:rsid w:val="00DC1780"/>
    <w:rsid w:val="00DC1791"/>
    <w:rsid w:val="00DC2084"/>
    <w:rsid w:val="00DC2299"/>
    <w:rsid w:val="00DC23FC"/>
    <w:rsid w:val="00DC25D6"/>
    <w:rsid w:val="00DC2764"/>
    <w:rsid w:val="00DC27B0"/>
    <w:rsid w:val="00DC2B0B"/>
    <w:rsid w:val="00DC2E6E"/>
    <w:rsid w:val="00DC2EB9"/>
    <w:rsid w:val="00DC2FD8"/>
    <w:rsid w:val="00DC31F1"/>
    <w:rsid w:val="00DC3419"/>
    <w:rsid w:val="00DC34CB"/>
    <w:rsid w:val="00DC362B"/>
    <w:rsid w:val="00DC3704"/>
    <w:rsid w:val="00DC39E5"/>
    <w:rsid w:val="00DC3CB4"/>
    <w:rsid w:val="00DC3EDD"/>
    <w:rsid w:val="00DC4350"/>
    <w:rsid w:val="00DC45EF"/>
    <w:rsid w:val="00DC4862"/>
    <w:rsid w:val="00DC513A"/>
    <w:rsid w:val="00DC5AAB"/>
    <w:rsid w:val="00DC6175"/>
    <w:rsid w:val="00DC637B"/>
    <w:rsid w:val="00DC6EA0"/>
    <w:rsid w:val="00DC770C"/>
    <w:rsid w:val="00DC790E"/>
    <w:rsid w:val="00DC7971"/>
    <w:rsid w:val="00DC7AAF"/>
    <w:rsid w:val="00DD00A2"/>
    <w:rsid w:val="00DD0F99"/>
    <w:rsid w:val="00DD1090"/>
    <w:rsid w:val="00DD132F"/>
    <w:rsid w:val="00DD1CC5"/>
    <w:rsid w:val="00DD2ADA"/>
    <w:rsid w:val="00DD2C79"/>
    <w:rsid w:val="00DD30B2"/>
    <w:rsid w:val="00DD32EC"/>
    <w:rsid w:val="00DD3438"/>
    <w:rsid w:val="00DD3D7F"/>
    <w:rsid w:val="00DD4A88"/>
    <w:rsid w:val="00DD5234"/>
    <w:rsid w:val="00DD59AA"/>
    <w:rsid w:val="00DD5C2C"/>
    <w:rsid w:val="00DD62D9"/>
    <w:rsid w:val="00DD6B88"/>
    <w:rsid w:val="00DD6C04"/>
    <w:rsid w:val="00DD6DE7"/>
    <w:rsid w:val="00DD6E0E"/>
    <w:rsid w:val="00DD6F52"/>
    <w:rsid w:val="00DD73D5"/>
    <w:rsid w:val="00DD78C8"/>
    <w:rsid w:val="00DD7A8F"/>
    <w:rsid w:val="00DE0043"/>
    <w:rsid w:val="00DE0343"/>
    <w:rsid w:val="00DE0545"/>
    <w:rsid w:val="00DE0652"/>
    <w:rsid w:val="00DE0A4B"/>
    <w:rsid w:val="00DE0ED8"/>
    <w:rsid w:val="00DE15D2"/>
    <w:rsid w:val="00DE17EB"/>
    <w:rsid w:val="00DE1919"/>
    <w:rsid w:val="00DE1E6A"/>
    <w:rsid w:val="00DE279D"/>
    <w:rsid w:val="00DE2DDF"/>
    <w:rsid w:val="00DE3995"/>
    <w:rsid w:val="00DE4D5A"/>
    <w:rsid w:val="00DE4D7E"/>
    <w:rsid w:val="00DE4D9C"/>
    <w:rsid w:val="00DE5EA0"/>
    <w:rsid w:val="00DE5F4A"/>
    <w:rsid w:val="00DE6192"/>
    <w:rsid w:val="00DE6727"/>
    <w:rsid w:val="00DE68D8"/>
    <w:rsid w:val="00DE6AA0"/>
    <w:rsid w:val="00DE6EE2"/>
    <w:rsid w:val="00DE7474"/>
    <w:rsid w:val="00DE7A2B"/>
    <w:rsid w:val="00DE7E8F"/>
    <w:rsid w:val="00DF0BC0"/>
    <w:rsid w:val="00DF0EB0"/>
    <w:rsid w:val="00DF15F7"/>
    <w:rsid w:val="00DF2577"/>
    <w:rsid w:val="00DF2815"/>
    <w:rsid w:val="00DF2939"/>
    <w:rsid w:val="00DF2A02"/>
    <w:rsid w:val="00DF2D87"/>
    <w:rsid w:val="00DF2E1C"/>
    <w:rsid w:val="00DF2E7F"/>
    <w:rsid w:val="00DF2EAF"/>
    <w:rsid w:val="00DF30EE"/>
    <w:rsid w:val="00DF3FAB"/>
    <w:rsid w:val="00DF4681"/>
    <w:rsid w:val="00DF4F27"/>
    <w:rsid w:val="00DF56AC"/>
    <w:rsid w:val="00DF5735"/>
    <w:rsid w:val="00DF5ABC"/>
    <w:rsid w:val="00DF629E"/>
    <w:rsid w:val="00DF6520"/>
    <w:rsid w:val="00DF691E"/>
    <w:rsid w:val="00DF6AE7"/>
    <w:rsid w:val="00DF6FFD"/>
    <w:rsid w:val="00DF760E"/>
    <w:rsid w:val="00DF7F37"/>
    <w:rsid w:val="00E00F2C"/>
    <w:rsid w:val="00E01B72"/>
    <w:rsid w:val="00E02403"/>
    <w:rsid w:val="00E027E8"/>
    <w:rsid w:val="00E03BC7"/>
    <w:rsid w:val="00E03DD2"/>
    <w:rsid w:val="00E0496B"/>
    <w:rsid w:val="00E04EAF"/>
    <w:rsid w:val="00E04F3B"/>
    <w:rsid w:val="00E05220"/>
    <w:rsid w:val="00E0525E"/>
    <w:rsid w:val="00E05438"/>
    <w:rsid w:val="00E05B8E"/>
    <w:rsid w:val="00E05E3E"/>
    <w:rsid w:val="00E05F83"/>
    <w:rsid w:val="00E060C7"/>
    <w:rsid w:val="00E061F8"/>
    <w:rsid w:val="00E06511"/>
    <w:rsid w:val="00E06871"/>
    <w:rsid w:val="00E06B09"/>
    <w:rsid w:val="00E06FE5"/>
    <w:rsid w:val="00E07201"/>
    <w:rsid w:val="00E0746B"/>
    <w:rsid w:val="00E075CE"/>
    <w:rsid w:val="00E0776D"/>
    <w:rsid w:val="00E079E0"/>
    <w:rsid w:val="00E1041B"/>
    <w:rsid w:val="00E10CD6"/>
    <w:rsid w:val="00E10DC3"/>
    <w:rsid w:val="00E10FFC"/>
    <w:rsid w:val="00E11711"/>
    <w:rsid w:val="00E1175A"/>
    <w:rsid w:val="00E11D9E"/>
    <w:rsid w:val="00E11E92"/>
    <w:rsid w:val="00E11E9D"/>
    <w:rsid w:val="00E11F5D"/>
    <w:rsid w:val="00E1203B"/>
    <w:rsid w:val="00E129D4"/>
    <w:rsid w:val="00E12A5F"/>
    <w:rsid w:val="00E12AE0"/>
    <w:rsid w:val="00E131AB"/>
    <w:rsid w:val="00E13512"/>
    <w:rsid w:val="00E146CB"/>
    <w:rsid w:val="00E154C3"/>
    <w:rsid w:val="00E16035"/>
    <w:rsid w:val="00E1616F"/>
    <w:rsid w:val="00E168E8"/>
    <w:rsid w:val="00E171A2"/>
    <w:rsid w:val="00E17C28"/>
    <w:rsid w:val="00E20002"/>
    <w:rsid w:val="00E2010C"/>
    <w:rsid w:val="00E2042C"/>
    <w:rsid w:val="00E2044B"/>
    <w:rsid w:val="00E20806"/>
    <w:rsid w:val="00E21846"/>
    <w:rsid w:val="00E2195C"/>
    <w:rsid w:val="00E21BD0"/>
    <w:rsid w:val="00E21C6A"/>
    <w:rsid w:val="00E21E4A"/>
    <w:rsid w:val="00E2256F"/>
    <w:rsid w:val="00E22BC2"/>
    <w:rsid w:val="00E22C11"/>
    <w:rsid w:val="00E22DFE"/>
    <w:rsid w:val="00E23CF9"/>
    <w:rsid w:val="00E23DC3"/>
    <w:rsid w:val="00E24263"/>
    <w:rsid w:val="00E24DCD"/>
    <w:rsid w:val="00E2532F"/>
    <w:rsid w:val="00E25A51"/>
    <w:rsid w:val="00E26273"/>
    <w:rsid w:val="00E263B1"/>
    <w:rsid w:val="00E26609"/>
    <w:rsid w:val="00E26D7A"/>
    <w:rsid w:val="00E27C46"/>
    <w:rsid w:val="00E300F1"/>
    <w:rsid w:val="00E3038F"/>
    <w:rsid w:val="00E30B7A"/>
    <w:rsid w:val="00E30C23"/>
    <w:rsid w:val="00E31DD1"/>
    <w:rsid w:val="00E32526"/>
    <w:rsid w:val="00E32D9C"/>
    <w:rsid w:val="00E33122"/>
    <w:rsid w:val="00E33744"/>
    <w:rsid w:val="00E33CA9"/>
    <w:rsid w:val="00E34458"/>
    <w:rsid w:val="00E34D2E"/>
    <w:rsid w:val="00E34FD7"/>
    <w:rsid w:val="00E355FA"/>
    <w:rsid w:val="00E35A73"/>
    <w:rsid w:val="00E36ACB"/>
    <w:rsid w:val="00E3714A"/>
    <w:rsid w:val="00E37174"/>
    <w:rsid w:val="00E3785F"/>
    <w:rsid w:val="00E37C1C"/>
    <w:rsid w:val="00E37C1F"/>
    <w:rsid w:val="00E404D6"/>
    <w:rsid w:val="00E40793"/>
    <w:rsid w:val="00E40B90"/>
    <w:rsid w:val="00E41153"/>
    <w:rsid w:val="00E41162"/>
    <w:rsid w:val="00E411D7"/>
    <w:rsid w:val="00E412E8"/>
    <w:rsid w:val="00E41394"/>
    <w:rsid w:val="00E413A6"/>
    <w:rsid w:val="00E41677"/>
    <w:rsid w:val="00E41FA0"/>
    <w:rsid w:val="00E41FA3"/>
    <w:rsid w:val="00E420D8"/>
    <w:rsid w:val="00E423A8"/>
    <w:rsid w:val="00E42527"/>
    <w:rsid w:val="00E430A3"/>
    <w:rsid w:val="00E43198"/>
    <w:rsid w:val="00E43550"/>
    <w:rsid w:val="00E438D5"/>
    <w:rsid w:val="00E44399"/>
    <w:rsid w:val="00E4461A"/>
    <w:rsid w:val="00E44D02"/>
    <w:rsid w:val="00E45377"/>
    <w:rsid w:val="00E455E0"/>
    <w:rsid w:val="00E458E3"/>
    <w:rsid w:val="00E45CFC"/>
    <w:rsid w:val="00E45DCE"/>
    <w:rsid w:val="00E46480"/>
    <w:rsid w:val="00E46496"/>
    <w:rsid w:val="00E466E5"/>
    <w:rsid w:val="00E467E8"/>
    <w:rsid w:val="00E47A88"/>
    <w:rsid w:val="00E47D74"/>
    <w:rsid w:val="00E50207"/>
    <w:rsid w:val="00E5035B"/>
    <w:rsid w:val="00E50485"/>
    <w:rsid w:val="00E5058C"/>
    <w:rsid w:val="00E50967"/>
    <w:rsid w:val="00E50DB3"/>
    <w:rsid w:val="00E51794"/>
    <w:rsid w:val="00E519E0"/>
    <w:rsid w:val="00E52C1A"/>
    <w:rsid w:val="00E538CF"/>
    <w:rsid w:val="00E53C87"/>
    <w:rsid w:val="00E53D97"/>
    <w:rsid w:val="00E53DB8"/>
    <w:rsid w:val="00E54306"/>
    <w:rsid w:val="00E543DB"/>
    <w:rsid w:val="00E54491"/>
    <w:rsid w:val="00E546AD"/>
    <w:rsid w:val="00E558D4"/>
    <w:rsid w:val="00E558E4"/>
    <w:rsid w:val="00E55A2B"/>
    <w:rsid w:val="00E569DA"/>
    <w:rsid w:val="00E56B15"/>
    <w:rsid w:val="00E56B56"/>
    <w:rsid w:val="00E56BE1"/>
    <w:rsid w:val="00E56BE2"/>
    <w:rsid w:val="00E5730C"/>
    <w:rsid w:val="00E57811"/>
    <w:rsid w:val="00E600E6"/>
    <w:rsid w:val="00E605BC"/>
    <w:rsid w:val="00E60808"/>
    <w:rsid w:val="00E6094F"/>
    <w:rsid w:val="00E610F4"/>
    <w:rsid w:val="00E61326"/>
    <w:rsid w:val="00E61434"/>
    <w:rsid w:val="00E614AA"/>
    <w:rsid w:val="00E61535"/>
    <w:rsid w:val="00E61877"/>
    <w:rsid w:val="00E618D5"/>
    <w:rsid w:val="00E61A10"/>
    <w:rsid w:val="00E61B2D"/>
    <w:rsid w:val="00E62318"/>
    <w:rsid w:val="00E627D8"/>
    <w:rsid w:val="00E6298B"/>
    <w:rsid w:val="00E62D33"/>
    <w:rsid w:val="00E62D7E"/>
    <w:rsid w:val="00E630AC"/>
    <w:rsid w:val="00E6329F"/>
    <w:rsid w:val="00E635AF"/>
    <w:rsid w:val="00E64086"/>
    <w:rsid w:val="00E640D2"/>
    <w:rsid w:val="00E6449F"/>
    <w:rsid w:val="00E64B1F"/>
    <w:rsid w:val="00E64C44"/>
    <w:rsid w:val="00E64D25"/>
    <w:rsid w:val="00E65FFE"/>
    <w:rsid w:val="00E667AD"/>
    <w:rsid w:val="00E66A25"/>
    <w:rsid w:val="00E66BE3"/>
    <w:rsid w:val="00E6700B"/>
    <w:rsid w:val="00E679F1"/>
    <w:rsid w:val="00E67F80"/>
    <w:rsid w:val="00E70AB7"/>
    <w:rsid w:val="00E70FA4"/>
    <w:rsid w:val="00E7159E"/>
    <w:rsid w:val="00E715EB"/>
    <w:rsid w:val="00E71798"/>
    <w:rsid w:val="00E7186A"/>
    <w:rsid w:val="00E71B51"/>
    <w:rsid w:val="00E71BC7"/>
    <w:rsid w:val="00E71FFF"/>
    <w:rsid w:val="00E72DAC"/>
    <w:rsid w:val="00E73ECC"/>
    <w:rsid w:val="00E74240"/>
    <w:rsid w:val="00E7471F"/>
    <w:rsid w:val="00E7480F"/>
    <w:rsid w:val="00E749D4"/>
    <w:rsid w:val="00E74DC4"/>
    <w:rsid w:val="00E74E91"/>
    <w:rsid w:val="00E74FB2"/>
    <w:rsid w:val="00E758A1"/>
    <w:rsid w:val="00E765CD"/>
    <w:rsid w:val="00E7681E"/>
    <w:rsid w:val="00E7681F"/>
    <w:rsid w:val="00E76C33"/>
    <w:rsid w:val="00E76D8A"/>
    <w:rsid w:val="00E76EAD"/>
    <w:rsid w:val="00E76FB4"/>
    <w:rsid w:val="00E771DB"/>
    <w:rsid w:val="00E7721C"/>
    <w:rsid w:val="00E77426"/>
    <w:rsid w:val="00E77B0B"/>
    <w:rsid w:val="00E800DE"/>
    <w:rsid w:val="00E802A1"/>
    <w:rsid w:val="00E8061A"/>
    <w:rsid w:val="00E80699"/>
    <w:rsid w:val="00E80725"/>
    <w:rsid w:val="00E8198E"/>
    <w:rsid w:val="00E81990"/>
    <w:rsid w:val="00E81FD3"/>
    <w:rsid w:val="00E8203F"/>
    <w:rsid w:val="00E82446"/>
    <w:rsid w:val="00E82708"/>
    <w:rsid w:val="00E8279C"/>
    <w:rsid w:val="00E82977"/>
    <w:rsid w:val="00E82B93"/>
    <w:rsid w:val="00E82C39"/>
    <w:rsid w:val="00E83335"/>
    <w:rsid w:val="00E83634"/>
    <w:rsid w:val="00E83882"/>
    <w:rsid w:val="00E838BE"/>
    <w:rsid w:val="00E84324"/>
    <w:rsid w:val="00E84645"/>
    <w:rsid w:val="00E8478D"/>
    <w:rsid w:val="00E85820"/>
    <w:rsid w:val="00E858E0"/>
    <w:rsid w:val="00E85B74"/>
    <w:rsid w:val="00E8692F"/>
    <w:rsid w:val="00E86BBB"/>
    <w:rsid w:val="00E8769D"/>
    <w:rsid w:val="00E87F44"/>
    <w:rsid w:val="00E91248"/>
    <w:rsid w:val="00E912AE"/>
    <w:rsid w:val="00E91466"/>
    <w:rsid w:val="00E914EB"/>
    <w:rsid w:val="00E91607"/>
    <w:rsid w:val="00E9195F"/>
    <w:rsid w:val="00E91DC0"/>
    <w:rsid w:val="00E926BB"/>
    <w:rsid w:val="00E92D25"/>
    <w:rsid w:val="00E9315C"/>
    <w:rsid w:val="00E93873"/>
    <w:rsid w:val="00E93B9A"/>
    <w:rsid w:val="00E93D78"/>
    <w:rsid w:val="00E93DFD"/>
    <w:rsid w:val="00E94BC6"/>
    <w:rsid w:val="00E95158"/>
    <w:rsid w:val="00E953D1"/>
    <w:rsid w:val="00E9541D"/>
    <w:rsid w:val="00E96D96"/>
    <w:rsid w:val="00E97418"/>
    <w:rsid w:val="00E97680"/>
    <w:rsid w:val="00E97954"/>
    <w:rsid w:val="00E97CA3"/>
    <w:rsid w:val="00EA03F3"/>
    <w:rsid w:val="00EA05C9"/>
    <w:rsid w:val="00EA0787"/>
    <w:rsid w:val="00EA0841"/>
    <w:rsid w:val="00EA10DD"/>
    <w:rsid w:val="00EA11BD"/>
    <w:rsid w:val="00EA1361"/>
    <w:rsid w:val="00EA1471"/>
    <w:rsid w:val="00EA179A"/>
    <w:rsid w:val="00EA1EFE"/>
    <w:rsid w:val="00EA2429"/>
    <w:rsid w:val="00EA24C3"/>
    <w:rsid w:val="00EA300B"/>
    <w:rsid w:val="00EA3B7C"/>
    <w:rsid w:val="00EA3E2C"/>
    <w:rsid w:val="00EA4155"/>
    <w:rsid w:val="00EA429E"/>
    <w:rsid w:val="00EA484E"/>
    <w:rsid w:val="00EA491E"/>
    <w:rsid w:val="00EA4C24"/>
    <w:rsid w:val="00EA50E2"/>
    <w:rsid w:val="00EA5BB5"/>
    <w:rsid w:val="00EA6AE2"/>
    <w:rsid w:val="00EA6EEF"/>
    <w:rsid w:val="00EA78AE"/>
    <w:rsid w:val="00EB0149"/>
    <w:rsid w:val="00EB0206"/>
    <w:rsid w:val="00EB034D"/>
    <w:rsid w:val="00EB03C0"/>
    <w:rsid w:val="00EB040E"/>
    <w:rsid w:val="00EB1389"/>
    <w:rsid w:val="00EB16CF"/>
    <w:rsid w:val="00EB21C9"/>
    <w:rsid w:val="00EB2782"/>
    <w:rsid w:val="00EB28D3"/>
    <w:rsid w:val="00EB2EE9"/>
    <w:rsid w:val="00EB3216"/>
    <w:rsid w:val="00EB3383"/>
    <w:rsid w:val="00EB3A2B"/>
    <w:rsid w:val="00EB3BCB"/>
    <w:rsid w:val="00EB493D"/>
    <w:rsid w:val="00EB4A40"/>
    <w:rsid w:val="00EB50A0"/>
    <w:rsid w:val="00EB5BE2"/>
    <w:rsid w:val="00EB63CA"/>
    <w:rsid w:val="00EB6539"/>
    <w:rsid w:val="00EB6697"/>
    <w:rsid w:val="00EB679B"/>
    <w:rsid w:val="00EB76DA"/>
    <w:rsid w:val="00EB7C30"/>
    <w:rsid w:val="00EB7E3F"/>
    <w:rsid w:val="00EB7E66"/>
    <w:rsid w:val="00EC00D8"/>
    <w:rsid w:val="00EC02BE"/>
    <w:rsid w:val="00EC0339"/>
    <w:rsid w:val="00EC03A5"/>
    <w:rsid w:val="00EC05B7"/>
    <w:rsid w:val="00EC06E2"/>
    <w:rsid w:val="00EC0703"/>
    <w:rsid w:val="00EC0F2E"/>
    <w:rsid w:val="00EC1653"/>
    <w:rsid w:val="00EC1864"/>
    <w:rsid w:val="00EC1AE5"/>
    <w:rsid w:val="00EC2B72"/>
    <w:rsid w:val="00EC3BF8"/>
    <w:rsid w:val="00EC401B"/>
    <w:rsid w:val="00EC49A0"/>
    <w:rsid w:val="00EC4CC2"/>
    <w:rsid w:val="00EC4E64"/>
    <w:rsid w:val="00EC56C4"/>
    <w:rsid w:val="00EC5819"/>
    <w:rsid w:val="00EC5B15"/>
    <w:rsid w:val="00EC5F03"/>
    <w:rsid w:val="00EC6BB3"/>
    <w:rsid w:val="00EC7422"/>
    <w:rsid w:val="00EC7DE6"/>
    <w:rsid w:val="00ED14DB"/>
    <w:rsid w:val="00ED17DB"/>
    <w:rsid w:val="00ED1CC6"/>
    <w:rsid w:val="00ED24DE"/>
    <w:rsid w:val="00ED316F"/>
    <w:rsid w:val="00ED402E"/>
    <w:rsid w:val="00ED414F"/>
    <w:rsid w:val="00ED4412"/>
    <w:rsid w:val="00ED4606"/>
    <w:rsid w:val="00ED47EC"/>
    <w:rsid w:val="00ED48D3"/>
    <w:rsid w:val="00ED52C8"/>
    <w:rsid w:val="00ED5318"/>
    <w:rsid w:val="00ED5D63"/>
    <w:rsid w:val="00ED6992"/>
    <w:rsid w:val="00ED69DE"/>
    <w:rsid w:val="00ED6B96"/>
    <w:rsid w:val="00ED709C"/>
    <w:rsid w:val="00ED7456"/>
    <w:rsid w:val="00ED74BA"/>
    <w:rsid w:val="00ED76AD"/>
    <w:rsid w:val="00ED786F"/>
    <w:rsid w:val="00ED79EE"/>
    <w:rsid w:val="00ED7B5B"/>
    <w:rsid w:val="00ED7F42"/>
    <w:rsid w:val="00EE02EB"/>
    <w:rsid w:val="00EE0C19"/>
    <w:rsid w:val="00EE1262"/>
    <w:rsid w:val="00EE1385"/>
    <w:rsid w:val="00EE265E"/>
    <w:rsid w:val="00EE280D"/>
    <w:rsid w:val="00EE2EC9"/>
    <w:rsid w:val="00EE3046"/>
    <w:rsid w:val="00EE3173"/>
    <w:rsid w:val="00EE385A"/>
    <w:rsid w:val="00EE3A39"/>
    <w:rsid w:val="00EE3CB3"/>
    <w:rsid w:val="00EE3E16"/>
    <w:rsid w:val="00EE417D"/>
    <w:rsid w:val="00EE460E"/>
    <w:rsid w:val="00EE489D"/>
    <w:rsid w:val="00EE4A98"/>
    <w:rsid w:val="00EE5241"/>
    <w:rsid w:val="00EE53A4"/>
    <w:rsid w:val="00EE55C6"/>
    <w:rsid w:val="00EE5687"/>
    <w:rsid w:val="00EE5A3D"/>
    <w:rsid w:val="00EE5E14"/>
    <w:rsid w:val="00EE618B"/>
    <w:rsid w:val="00EE6330"/>
    <w:rsid w:val="00EE651A"/>
    <w:rsid w:val="00EE6829"/>
    <w:rsid w:val="00EE6872"/>
    <w:rsid w:val="00EE6AFC"/>
    <w:rsid w:val="00EE6E27"/>
    <w:rsid w:val="00EE6E7C"/>
    <w:rsid w:val="00EE7314"/>
    <w:rsid w:val="00EE7578"/>
    <w:rsid w:val="00EE782D"/>
    <w:rsid w:val="00EE7BA6"/>
    <w:rsid w:val="00EF0408"/>
    <w:rsid w:val="00EF05E9"/>
    <w:rsid w:val="00EF0A5F"/>
    <w:rsid w:val="00EF0A73"/>
    <w:rsid w:val="00EF0C71"/>
    <w:rsid w:val="00EF109A"/>
    <w:rsid w:val="00EF166A"/>
    <w:rsid w:val="00EF1D0E"/>
    <w:rsid w:val="00EF2175"/>
    <w:rsid w:val="00EF26E2"/>
    <w:rsid w:val="00EF28EE"/>
    <w:rsid w:val="00EF2E75"/>
    <w:rsid w:val="00EF2F16"/>
    <w:rsid w:val="00EF2F72"/>
    <w:rsid w:val="00EF2FDC"/>
    <w:rsid w:val="00EF398A"/>
    <w:rsid w:val="00EF4A8B"/>
    <w:rsid w:val="00EF4BB7"/>
    <w:rsid w:val="00EF4EFE"/>
    <w:rsid w:val="00EF55EA"/>
    <w:rsid w:val="00EF581F"/>
    <w:rsid w:val="00EF5DC1"/>
    <w:rsid w:val="00EF64BE"/>
    <w:rsid w:val="00EF6C6E"/>
    <w:rsid w:val="00EF6CF6"/>
    <w:rsid w:val="00EF6D1F"/>
    <w:rsid w:val="00EF6DC3"/>
    <w:rsid w:val="00EF6E89"/>
    <w:rsid w:val="00EF73AC"/>
    <w:rsid w:val="00EF7B51"/>
    <w:rsid w:val="00F00978"/>
    <w:rsid w:val="00F00B13"/>
    <w:rsid w:val="00F01E45"/>
    <w:rsid w:val="00F02206"/>
    <w:rsid w:val="00F02A69"/>
    <w:rsid w:val="00F02B02"/>
    <w:rsid w:val="00F02C10"/>
    <w:rsid w:val="00F02FE6"/>
    <w:rsid w:val="00F03DC7"/>
    <w:rsid w:val="00F04192"/>
    <w:rsid w:val="00F04383"/>
    <w:rsid w:val="00F047AA"/>
    <w:rsid w:val="00F0509D"/>
    <w:rsid w:val="00F0538C"/>
    <w:rsid w:val="00F0551D"/>
    <w:rsid w:val="00F05E94"/>
    <w:rsid w:val="00F063D1"/>
    <w:rsid w:val="00F065A4"/>
    <w:rsid w:val="00F071C3"/>
    <w:rsid w:val="00F072BC"/>
    <w:rsid w:val="00F0730C"/>
    <w:rsid w:val="00F07317"/>
    <w:rsid w:val="00F073D2"/>
    <w:rsid w:val="00F0768C"/>
    <w:rsid w:val="00F07D28"/>
    <w:rsid w:val="00F101DD"/>
    <w:rsid w:val="00F106B7"/>
    <w:rsid w:val="00F10F26"/>
    <w:rsid w:val="00F10F65"/>
    <w:rsid w:val="00F112A8"/>
    <w:rsid w:val="00F115BA"/>
    <w:rsid w:val="00F117F4"/>
    <w:rsid w:val="00F119C3"/>
    <w:rsid w:val="00F11D93"/>
    <w:rsid w:val="00F12077"/>
    <w:rsid w:val="00F12260"/>
    <w:rsid w:val="00F122C0"/>
    <w:rsid w:val="00F123D5"/>
    <w:rsid w:val="00F1254B"/>
    <w:rsid w:val="00F12951"/>
    <w:rsid w:val="00F1321C"/>
    <w:rsid w:val="00F134C8"/>
    <w:rsid w:val="00F134D7"/>
    <w:rsid w:val="00F13603"/>
    <w:rsid w:val="00F13AD1"/>
    <w:rsid w:val="00F13BC9"/>
    <w:rsid w:val="00F13FE8"/>
    <w:rsid w:val="00F14A72"/>
    <w:rsid w:val="00F15458"/>
    <w:rsid w:val="00F155BA"/>
    <w:rsid w:val="00F1592D"/>
    <w:rsid w:val="00F15ACF"/>
    <w:rsid w:val="00F15C76"/>
    <w:rsid w:val="00F15CCF"/>
    <w:rsid w:val="00F15D70"/>
    <w:rsid w:val="00F169D2"/>
    <w:rsid w:val="00F16A4B"/>
    <w:rsid w:val="00F16AC3"/>
    <w:rsid w:val="00F16EA6"/>
    <w:rsid w:val="00F1758E"/>
    <w:rsid w:val="00F17918"/>
    <w:rsid w:val="00F17D4C"/>
    <w:rsid w:val="00F20059"/>
    <w:rsid w:val="00F20147"/>
    <w:rsid w:val="00F20699"/>
    <w:rsid w:val="00F20F9C"/>
    <w:rsid w:val="00F2127F"/>
    <w:rsid w:val="00F21976"/>
    <w:rsid w:val="00F21D9B"/>
    <w:rsid w:val="00F228E3"/>
    <w:rsid w:val="00F22EF9"/>
    <w:rsid w:val="00F2356D"/>
    <w:rsid w:val="00F23616"/>
    <w:rsid w:val="00F23653"/>
    <w:rsid w:val="00F23D8B"/>
    <w:rsid w:val="00F23E06"/>
    <w:rsid w:val="00F2482D"/>
    <w:rsid w:val="00F250B2"/>
    <w:rsid w:val="00F26897"/>
    <w:rsid w:val="00F26C68"/>
    <w:rsid w:val="00F26DA1"/>
    <w:rsid w:val="00F2750E"/>
    <w:rsid w:val="00F27836"/>
    <w:rsid w:val="00F27B62"/>
    <w:rsid w:val="00F27F03"/>
    <w:rsid w:val="00F27FC0"/>
    <w:rsid w:val="00F30049"/>
    <w:rsid w:val="00F304F2"/>
    <w:rsid w:val="00F305D9"/>
    <w:rsid w:val="00F3089F"/>
    <w:rsid w:val="00F30E9B"/>
    <w:rsid w:val="00F312A7"/>
    <w:rsid w:val="00F317C1"/>
    <w:rsid w:val="00F31B40"/>
    <w:rsid w:val="00F3221C"/>
    <w:rsid w:val="00F32DA0"/>
    <w:rsid w:val="00F32FC8"/>
    <w:rsid w:val="00F330BC"/>
    <w:rsid w:val="00F3347A"/>
    <w:rsid w:val="00F337C1"/>
    <w:rsid w:val="00F33BF0"/>
    <w:rsid w:val="00F33CE4"/>
    <w:rsid w:val="00F34894"/>
    <w:rsid w:val="00F36356"/>
    <w:rsid w:val="00F36D90"/>
    <w:rsid w:val="00F375A7"/>
    <w:rsid w:val="00F4004D"/>
    <w:rsid w:val="00F407F6"/>
    <w:rsid w:val="00F40E22"/>
    <w:rsid w:val="00F40FCE"/>
    <w:rsid w:val="00F416BF"/>
    <w:rsid w:val="00F41D5F"/>
    <w:rsid w:val="00F41F65"/>
    <w:rsid w:val="00F420D4"/>
    <w:rsid w:val="00F42FD7"/>
    <w:rsid w:val="00F43424"/>
    <w:rsid w:val="00F43DFC"/>
    <w:rsid w:val="00F43FE9"/>
    <w:rsid w:val="00F441F1"/>
    <w:rsid w:val="00F44541"/>
    <w:rsid w:val="00F446D3"/>
    <w:rsid w:val="00F44AE4"/>
    <w:rsid w:val="00F451A3"/>
    <w:rsid w:val="00F454DA"/>
    <w:rsid w:val="00F45600"/>
    <w:rsid w:val="00F458BE"/>
    <w:rsid w:val="00F459BA"/>
    <w:rsid w:val="00F45A03"/>
    <w:rsid w:val="00F463B8"/>
    <w:rsid w:val="00F46508"/>
    <w:rsid w:val="00F46525"/>
    <w:rsid w:val="00F46D77"/>
    <w:rsid w:val="00F470D4"/>
    <w:rsid w:val="00F47218"/>
    <w:rsid w:val="00F4754E"/>
    <w:rsid w:val="00F4792C"/>
    <w:rsid w:val="00F5064E"/>
    <w:rsid w:val="00F5070F"/>
    <w:rsid w:val="00F510E2"/>
    <w:rsid w:val="00F51467"/>
    <w:rsid w:val="00F519BE"/>
    <w:rsid w:val="00F51F39"/>
    <w:rsid w:val="00F52330"/>
    <w:rsid w:val="00F529F2"/>
    <w:rsid w:val="00F52DDA"/>
    <w:rsid w:val="00F530BF"/>
    <w:rsid w:val="00F532B5"/>
    <w:rsid w:val="00F53962"/>
    <w:rsid w:val="00F53979"/>
    <w:rsid w:val="00F54086"/>
    <w:rsid w:val="00F541BA"/>
    <w:rsid w:val="00F54427"/>
    <w:rsid w:val="00F54572"/>
    <w:rsid w:val="00F546D2"/>
    <w:rsid w:val="00F54D19"/>
    <w:rsid w:val="00F54E5C"/>
    <w:rsid w:val="00F54F57"/>
    <w:rsid w:val="00F551FA"/>
    <w:rsid w:val="00F55396"/>
    <w:rsid w:val="00F553EF"/>
    <w:rsid w:val="00F555F0"/>
    <w:rsid w:val="00F55A8C"/>
    <w:rsid w:val="00F55CE8"/>
    <w:rsid w:val="00F5674C"/>
    <w:rsid w:val="00F5685E"/>
    <w:rsid w:val="00F56B8D"/>
    <w:rsid w:val="00F56C0A"/>
    <w:rsid w:val="00F5709F"/>
    <w:rsid w:val="00F575A4"/>
    <w:rsid w:val="00F577C1"/>
    <w:rsid w:val="00F57FCB"/>
    <w:rsid w:val="00F604BA"/>
    <w:rsid w:val="00F606BE"/>
    <w:rsid w:val="00F608C1"/>
    <w:rsid w:val="00F60CFB"/>
    <w:rsid w:val="00F610D9"/>
    <w:rsid w:val="00F612F2"/>
    <w:rsid w:val="00F6142B"/>
    <w:rsid w:val="00F614A1"/>
    <w:rsid w:val="00F61968"/>
    <w:rsid w:val="00F627CD"/>
    <w:rsid w:val="00F62E1B"/>
    <w:rsid w:val="00F63151"/>
    <w:rsid w:val="00F63B24"/>
    <w:rsid w:val="00F645D0"/>
    <w:rsid w:val="00F64834"/>
    <w:rsid w:val="00F64A4A"/>
    <w:rsid w:val="00F64E93"/>
    <w:rsid w:val="00F65203"/>
    <w:rsid w:val="00F65592"/>
    <w:rsid w:val="00F663F8"/>
    <w:rsid w:val="00F66726"/>
    <w:rsid w:val="00F66775"/>
    <w:rsid w:val="00F66909"/>
    <w:rsid w:val="00F66AF0"/>
    <w:rsid w:val="00F66EB5"/>
    <w:rsid w:val="00F66FC8"/>
    <w:rsid w:val="00F67183"/>
    <w:rsid w:val="00F678B6"/>
    <w:rsid w:val="00F70140"/>
    <w:rsid w:val="00F703D3"/>
    <w:rsid w:val="00F706DD"/>
    <w:rsid w:val="00F7077A"/>
    <w:rsid w:val="00F70CB7"/>
    <w:rsid w:val="00F720D8"/>
    <w:rsid w:val="00F72194"/>
    <w:rsid w:val="00F72734"/>
    <w:rsid w:val="00F72B0C"/>
    <w:rsid w:val="00F72C6B"/>
    <w:rsid w:val="00F72F2D"/>
    <w:rsid w:val="00F72FD4"/>
    <w:rsid w:val="00F7332F"/>
    <w:rsid w:val="00F7357D"/>
    <w:rsid w:val="00F73BB8"/>
    <w:rsid w:val="00F7419D"/>
    <w:rsid w:val="00F746B2"/>
    <w:rsid w:val="00F748E7"/>
    <w:rsid w:val="00F74D3A"/>
    <w:rsid w:val="00F74E2C"/>
    <w:rsid w:val="00F7555E"/>
    <w:rsid w:val="00F75859"/>
    <w:rsid w:val="00F75938"/>
    <w:rsid w:val="00F75BEE"/>
    <w:rsid w:val="00F75D8A"/>
    <w:rsid w:val="00F75FCC"/>
    <w:rsid w:val="00F75FDB"/>
    <w:rsid w:val="00F760AC"/>
    <w:rsid w:val="00F7649F"/>
    <w:rsid w:val="00F769CD"/>
    <w:rsid w:val="00F76A6A"/>
    <w:rsid w:val="00F76E16"/>
    <w:rsid w:val="00F7703E"/>
    <w:rsid w:val="00F772F5"/>
    <w:rsid w:val="00F773A6"/>
    <w:rsid w:val="00F77483"/>
    <w:rsid w:val="00F778EE"/>
    <w:rsid w:val="00F77D1F"/>
    <w:rsid w:val="00F77DC0"/>
    <w:rsid w:val="00F802E7"/>
    <w:rsid w:val="00F8043C"/>
    <w:rsid w:val="00F809CD"/>
    <w:rsid w:val="00F8104B"/>
    <w:rsid w:val="00F815BA"/>
    <w:rsid w:val="00F81F82"/>
    <w:rsid w:val="00F8233A"/>
    <w:rsid w:val="00F825E1"/>
    <w:rsid w:val="00F8276A"/>
    <w:rsid w:val="00F82848"/>
    <w:rsid w:val="00F8294C"/>
    <w:rsid w:val="00F83402"/>
    <w:rsid w:val="00F8392B"/>
    <w:rsid w:val="00F83B09"/>
    <w:rsid w:val="00F83ED3"/>
    <w:rsid w:val="00F83FA5"/>
    <w:rsid w:val="00F85464"/>
    <w:rsid w:val="00F855A5"/>
    <w:rsid w:val="00F86251"/>
    <w:rsid w:val="00F86BDB"/>
    <w:rsid w:val="00F875F8"/>
    <w:rsid w:val="00F9180B"/>
    <w:rsid w:val="00F91968"/>
    <w:rsid w:val="00F92CFC"/>
    <w:rsid w:val="00F930A7"/>
    <w:rsid w:val="00F93181"/>
    <w:rsid w:val="00F93621"/>
    <w:rsid w:val="00F93BCA"/>
    <w:rsid w:val="00F93CAD"/>
    <w:rsid w:val="00F93D56"/>
    <w:rsid w:val="00F93DAF"/>
    <w:rsid w:val="00F93F15"/>
    <w:rsid w:val="00F9470A"/>
    <w:rsid w:val="00F9495E"/>
    <w:rsid w:val="00F94CF7"/>
    <w:rsid w:val="00F9519D"/>
    <w:rsid w:val="00F95688"/>
    <w:rsid w:val="00F96518"/>
    <w:rsid w:val="00F96AC8"/>
    <w:rsid w:val="00F97056"/>
    <w:rsid w:val="00F97074"/>
    <w:rsid w:val="00F970BE"/>
    <w:rsid w:val="00F9734E"/>
    <w:rsid w:val="00F97375"/>
    <w:rsid w:val="00F978B5"/>
    <w:rsid w:val="00FA001E"/>
    <w:rsid w:val="00FA0A87"/>
    <w:rsid w:val="00FA22E7"/>
    <w:rsid w:val="00FA2822"/>
    <w:rsid w:val="00FA2DE4"/>
    <w:rsid w:val="00FA2E1B"/>
    <w:rsid w:val="00FA34F5"/>
    <w:rsid w:val="00FA34FF"/>
    <w:rsid w:val="00FA35A9"/>
    <w:rsid w:val="00FA3628"/>
    <w:rsid w:val="00FA3CF5"/>
    <w:rsid w:val="00FA3F2B"/>
    <w:rsid w:val="00FA3FEB"/>
    <w:rsid w:val="00FA4212"/>
    <w:rsid w:val="00FA4320"/>
    <w:rsid w:val="00FA445A"/>
    <w:rsid w:val="00FA5053"/>
    <w:rsid w:val="00FA5297"/>
    <w:rsid w:val="00FA56CF"/>
    <w:rsid w:val="00FA59F5"/>
    <w:rsid w:val="00FA60F0"/>
    <w:rsid w:val="00FA653D"/>
    <w:rsid w:val="00FA6A2C"/>
    <w:rsid w:val="00FA709B"/>
    <w:rsid w:val="00FA791F"/>
    <w:rsid w:val="00FA79F8"/>
    <w:rsid w:val="00FA7A7E"/>
    <w:rsid w:val="00FA7C3C"/>
    <w:rsid w:val="00FB08AE"/>
    <w:rsid w:val="00FB0E8B"/>
    <w:rsid w:val="00FB15D0"/>
    <w:rsid w:val="00FB22A4"/>
    <w:rsid w:val="00FB2578"/>
    <w:rsid w:val="00FB26BC"/>
    <w:rsid w:val="00FB2853"/>
    <w:rsid w:val="00FB396D"/>
    <w:rsid w:val="00FB3D6E"/>
    <w:rsid w:val="00FB3FE9"/>
    <w:rsid w:val="00FB41BC"/>
    <w:rsid w:val="00FB4235"/>
    <w:rsid w:val="00FB4258"/>
    <w:rsid w:val="00FB4A67"/>
    <w:rsid w:val="00FB518D"/>
    <w:rsid w:val="00FB53E2"/>
    <w:rsid w:val="00FB5602"/>
    <w:rsid w:val="00FB5D63"/>
    <w:rsid w:val="00FB606D"/>
    <w:rsid w:val="00FB6128"/>
    <w:rsid w:val="00FB6287"/>
    <w:rsid w:val="00FB7802"/>
    <w:rsid w:val="00FB7CD8"/>
    <w:rsid w:val="00FC083B"/>
    <w:rsid w:val="00FC0FA2"/>
    <w:rsid w:val="00FC11B7"/>
    <w:rsid w:val="00FC1222"/>
    <w:rsid w:val="00FC1BF2"/>
    <w:rsid w:val="00FC2693"/>
    <w:rsid w:val="00FC2717"/>
    <w:rsid w:val="00FC271B"/>
    <w:rsid w:val="00FC2984"/>
    <w:rsid w:val="00FC29A4"/>
    <w:rsid w:val="00FC2A81"/>
    <w:rsid w:val="00FC37E0"/>
    <w:rsid w:val="00FC42D8"/>
    <w:rsid w:val="00FC4F8F"/>
    <w:rsid w:val="00FC519B"/>
    <w:rsid w:val="00FC5534"/>
    <w:rsid w:val="00FC5A8C"/>
    <w:rsid w:val="00FC63A1"/>
    <w:rsid w:val="00FC64DD"/>
    <w:rsid w:val="00FC6943"/>
    <w:rsid w:val="00FC6F9A"/>
    <w:rsid w:val="00FC70DF"/>
    <w:rsid w:val="00FC739F"/>
    <w:rsid w:val="00FC73ED"/>
    <w:rsid w:val="00FC7FD9"/>
    <w:rsid w:val="00FD03FA"/>
    <w:rsid w:val="00FD0462"/>
    <w:rsid w:val="00FD07CB"/>
    <w:rsid w:val="00FD0889"/>
    <w:rsid w:val="00FD0B13"/>
    <w:rsid w:val="00FD0D85"/>
    <w:rsid w:val="00FD0D93"/>
    <w:rsid w:val="00FD1441"/>
    <w:rsid w:val="00FD15C5"/>
    <w:rsid w:val="00FD1924"/>
    <w:rsid w:val="00FD261E"/>
    <w:rsid w:val="00FD2D0B"/>
    <w:rsid w:val="00FD3A41"/>
    <w:rsid w:val="00FD4012"/>
    <w:rsid w:val="00FD4218"/>
    <w:rsid w:val="00FD42BE"/>
    <w:rsid w:val="00FD53C6"/>
    <w:rsid w:val="00FD5775"/>
    <w:rsid w:val="00FD5BEE"/>
    <w:rsid w:val="00FD6AEE"/>
    <w:rsid w:val="00FD6C11"/>
    <w:rsid w:val="00FD6E2A"/>
    <w:rsid w:val="00FD6EB2"/>
    <w:rsid w:val="00FD7913"/>
    <w:rsid w:val="00FE0325"/>
    <w:rsid w:val="00FE099F"/>
    <w:rsid w:val="00FE1310"/>
    <w:rsid w:val="00FE1783"/>
    <w:rsid w:val="00FE1A1D"/>
    <w:rsid w:val="00FE1CCB"/>
    <w:rsid w:val="00FE220B"/>
    <w:rsid w:val="00FE2956"/>
    <w:rsid w:val="00FE2CC8"/>
    <w:rsid w:val="00FE2F96"/>
    <w:rsid w:val="00FE3950"/>
    <w:rsid w:val="00FE452F"/>
    <w:rsid w:val="00FE45DD"/>
    <w:rsid w:val="00FE462E"/>
    <w:rsid w:val="00FE4714"/>
    <w:rsid w:val="00FE50E9"/>
    <w:rsid w:val="00FE60CA"/>
    <w:rsid w:val="00FE61B8"/>
    <w:rsid w:val="00FE6358"/>
    <w:rsid w:val="00FE6A75"/>
    <w:rsid w:val="00FE6A95"/>
    <w:rsid w:val="00FE6DBA"/>
    <w:rsid w:val="00FE71F0"/>
    <w:rsid w:val="00FE7350"/>
    <w:rsid w:val="00FE751E"/>
    <w:rsid w:val="00FE754C"/>
    <w:rsid w:val="00FE7E64"/>
    <w:rsid w:val="00FF0A58"/>
    <w:rsid w:val="00FF0B12"/>
    <w:rsid w:val="00FF0C75"/>
    <w:rsid w:val="00FF0F83"/>
    <w:rsid w:val="00FF138C"/>
    <w:rsid w:val="00FF1F55"/>
    <w:rsid w:val="00FF200B"/>
    <w:rsid w:val="00FF2418"/>
    <w:rsid w:val="00FF2742"/>
    <w:rsid w:val="00FF2D69"/>
    <w:rsid w:val="00FF32D9"/>
    <w:rsid w:val="00FF3C27"/>
    <w:rsid w:val="00FF3D45"/>
    <w:rsid w:val="00FF4047"/>
    <w:rsid w:val="00FF42E8"/>
    <w:rsid w:val="00FF44EA"/>
    <w:rsid w:val="00FF488B"/>
    <w:rsid w:val="00FF4B84"/>
    <w:rsid w:val="00FF4D48"/>
    <w:rsid w:val="00FF504D"/>
    <w:rsid w:val="00FF5664"/>
    <w:rsid w:val="00FF5D9C"/>
    <w:rsid w:val="00FF69C6"/>
    <w:rsid w:val="00FF7D08"/>
    <w:rsid w:val="00FF7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0239"/>
  <w15:docId w15:val="{B9568C91-DD6B-44C4-BE21-A3021AAD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157BAD"/>
    <w:pPr>
      <w:spacing w:after="160" w:line="259" w:lineRule="auto"/>
    </w:pPr>
    <w:rPr>
      <w:rFonts w:ascii="Calibri" w:hAnsi="Calibri" w:cs="Arial Unicode MS"/>
      <w:color w:val="000000"/>
      <w:sz w:val="22"/>
      <w:szCs w:val="22"/>
      <w:u w:color="000000"/>
    </w:rPr>
  </w:style>
  <w:style w:type="paragraph" w:styleId="Titolo3">
    <w:name w:val="heading 3"/>
    <w:basedOn w:val="Normale"/>
    <w:link w:val="Titolo3Carattere"/>
    <w:uiPriority w:val="9"/>
    <w:qFormat/>
    <w:rsid w:val="004262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2">
    <w:name w:val="Stile importato 2"/>
    <w:pPr>
      <w:numPr>
        <w:numId w:val="2"/>
      </w:numPr>
    </w:p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libri" w:eastAsia="Calibri" w:hAnsi="Calibri" w:cs="Calibri"/>
      <w:i/>
      <w:iCs/>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olor w:val="0563C1"/>
      <w:sz w:val="20"/>
      <w:szCs w:val="20"/>
      <w:u w:val="single" w:color="0563C1"/>
      <w14:textOutline w14:w="0" w14:cap="rnd" w14:cmpd="sng" w14:algn="ctr">
        <w14:noFill/>
        <w14:prstDash w14:val="solid"/>
        <w14:bevel/>
      </w14:textOutline>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F74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494"/>
    <w:rPr>
      <w:rFonts w:ascii="Tahoma" w:hAnsi="Tahoma" w:cs="Tahoma"/>
      <w:color w:val="000000"/>
      <w:sz w:val="16"/>
      <w:szCs w:val="16"/>
      <w:u w:color="000000"/>
    </w:rPr>
  </w:style>
  <w:style w:type="paragraph" w:styleId="Soggettocommento">
    <w:name w:val="annotation subject"/>
    <w:basedOn w:val="Testocommento"/>
    <w:next w:val="Testocommento"/>
    <w:link w:val="SoggettocommentoCarattere"/>
    <w:uiPriority w:val="99"/>
    <w:semiHidden/>
    <w:unhideWhenUsed/>
    <w:rsid w:val="00CE577D"/>
    <w:rPr>
      <w:b/>
      <w:bCs/>
    </w:rPr>
  </w:style>
  <w:style w:type="character" w:customStyle="1" w:styleId="SoggettocommentoCarattere">
    <w:name w:val="Soggetto commento Carattere"/>
    <w:basedOn w:val="TestocommentoCarattere"/>
    <w:link w:val="Soggettocommento"/>
    <w:uiPriority w:val="99"/>
    <w:semiHidden/>
    <w:rsid w:val="00CE577D"/>
    <w:rPr>
      <w:rFonts w:ascii="Calibri" w:hAnsi="Calibri" w:cs="Arial Unicode MS"/>
      <w:b/>
      <w:bCs/>
      <w:color w:val="000000"/>
      <w:u w:color="000000"/>
    </w:rPr>
  </w:style>
  <w:style w:type="paragraph" w:styleId="Intestazione">
    <w:name w:val="header"/>
    <w:basedOn w:val="Normale"/>
    <w:link w:val="IntestazioneCarattere"/>
    <w:uiPriority w:val="99"/>
    <w:unhideWhenUsed/>
    <w:rsid w:val="00AF0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08E9"/>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AF0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8E9"/>
    <w:rPr>
      <w:rFonts w:ascii="Calibri" w:hAnsi="Calibri" w:cs="Arial Unicode MS"/>
      <w:color w:val="000000"/>
      <w:sz w:val="22"/>
      <w:szCs w:val="22"/>
      <w:u w:color="000000"/>
    </w:rPr>
  </w:style>
  <w:style w:type="character" w:styleId="Collegamentovisitato">
    <w:name w:val="FollowedHyperlink"/>
    <w:basedOn w:val="Carpredefinitoparagrafo"/>
    <w:uiPriority w:val="99"/>
    <w:semiHidden/>
    <w:unhideWhenUsed/>
    <w:rsid w:val="000D7E45"/>
    <w:rPr>
      <w:color w:val="FF00FF" w:themeColor="followedHyperlink"/>
      <w:u w:val="single"/>
    </w:rPr>
  </w:style>
  <w:style w:type="character" w:customStyle="1" w:styleId="Menzionenonrisolta1">
    <w:name w:val="Menzione non risolta1"/>
    <w:basedOn w:val="Carpredefinitoparagrafo"/>
    <w:uiPriority w:val="99"/>
    <w:semiHidden/>
    <w:unhideWhenUsed/>
    <w:rsid w:val="00D26A8F"/>
    <w:rPr>
      <w:color w:val="605E5C"/>
      <w:shd w:val="clear" w:color="auto" w:fill="E1DFDD"/>
    </w:rPr>
  </w:style>
  <w:style w:type="paragraph" w:styleId="Testonotaapidipagina">
    <w:name w:val="footnote text"/>
    <w:basedOn w:val="Normale"/>
    <w:link w:val="TestonotaapidipaginaCarattere"/>
    <w:uiPriority w:val="99"/>
    <w:semiHidden/>
    <w:unhideWhenUsed/>
    <w:rsid w:val="00505C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semiHidden/>
    <w:rsid w:val="00505C8D"/>
    <w:rPr>
      <w:rFonts w:asciiTheme="minorHAnsi" w:eastAsiaTheme="minorHAnsi" w:hAnsiTheme="minorHAnsi" w:cstheme="minorBidi"/>
      <w:bdr w:val="none" w:sz="0" w:space="0" w:color="auto"/>
      <w:lang w:eastAsia="en-US"/>
    </w:rPr>
  </w:style>
  <w:style w:type="character" w:styleId="Rimandonotaapidipagina">
    <w:name w:val="footnote reference"/>
    <w:basedOn w:val="Carpredefinitoparagrafo"/>
    <w:uiPriority w:val="99"/>
    <w:semiHidden/>
    <w:unhideWhenUsed/>
    <w:rsid w:val="00505C8D"/>
    <w:rPr>
      <w:vertAlign w:val="superscript"/>
    </w:rPr>
  </w:style>
  <w:style w:type="character" w:customStyle="1" w:styleId="Menzionenonrisolta2">
    <w:name w:val="Menzione non risolta2"/>
    <w:basedOn w:val="Carpredefinitoparagrafo"/>
    <w:uiPriority w:val="99"/>
    <w:semiHidden/>
    <w:unhideWhenUsed/>
    <w:rsid w:val="003F2987"/>
    <w:rPr>
      <w:color w:val="605E5C"/>
      <w:shd w:val="clear" w:color="auto" w:fill="E1DFDD"/>
    </w:rPr>
  </w:style>
  <w:style w:type="paragraph" w:styleId="Testonormale">
    <w:name w:val="Plain Text"/>
    <w:basedOn w:val="Normale"/>
    <w:link w:val="TestonormaleCarattere"/>
    <w:uiPriority w:val="99"/>
    <w:unhideWhenUsed/>
    <w:rsid w:val="00C4440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alibri"/>
      <w:color w:val="00457D"/>
      <w:bdr w:val="none" w:sz="0" w:space="0" w:color="auto"/>
    </w:rPr>
  </w:style>
  <w:style w:type="character" w:customStyle="1" w:styleId="TestonormaleCarattere">
    <w:name w:val="Testo normale Carattere"/>
    <w:basedOn w:val="Carpredefinitoparagrafo"/>
    <w:link w:val="Testonormale"/>
    <w:uiPriority w:val="99"/>
    <w:rsid w:val="00C4440A"/>
    <w:rPr>
      <w:rFonts w:ascii="Calibri" w:eastAsiaTheme="minorHAnsi" w:hAnsi="Calibri" w:cs="Calibri"/>
      <w:color w:val="00457D"/>
      <w:sz w:val="22"/>
      <w:szCs w:val="22"/>
      <w:bdr w:val="none" w:sz="0" w:space="0" w:color="auto"/>
    </w:rPr>
  </w:style>
  <w:style w:type="character" w:customStyle="1" w:styleId="Menzionenonrisolta3">
    <w:name w:val="Menzione non risolta3"/>
    <w:basedOn w:val="Carpredefinitoparagrafo"/>
    <w:uiPriority w:val="99"/>
    <w:semiHidden/>
    <w:unhideWhenUsed/>
    <w:rsid w:val="00262272"/>
    <w:rPr>
      <w:color w:val="605E5C"/>
      <w:shd w:val="clear" w:color="auto" w:fill="E1DFDD"/>
    </w:rPr>
  </w:style>
  <w:style w:type="character" w:customStyle="1" w:styleId="markedcontent">
    <w:name w:val="markedcontent"/>
    <w:basedOn w:val="Carpredefinitoparagrafo"/>
    <w:rsid w:val="00370F56"/>
  </w:style>
  <w:style w:type="character" w:customStyle="1" w:styleId="Menzionenonrisolta4">
    <w:name w:val="Menzione non risolta4"/>
    <w:basedOn w:val="Carpredefinitoparagrafo"/>
    <w:uiPriority w:val="99"/>
    <w:semiHidden/>
    <w:unhideWhenUsed/>
    <w:rsid w:val="003D5649"/>
    <w:rPr>
      <w:color w:val="605E5C"/>
      <w:shd w:val="clear" w:color="auto" w:fill="E1DFDD"/>
    </w:rPr>
  </w:style>
  <w:style w:type="character" w:styleId="Enfasigrassetto">
    <w:name w:val="Strong"/>
    <w:basedOn w:val="Carpredefinitoparagrafo"/>
    <w:uiPriority w:val="22"/>
    <w:qFormat/>
    <w:rsid w:val="00F86251"/>
    <w:rPr>
      <w:b/>
      <w:bCs/>
    </w:rPr>
  </w:style>
  <w:style w:type="paragraph" w:styleId="Revisione">
    <w:name w:val="Revision"/>
    <w:hidden/>
    <w:uiPriority w:val="99"/>
    <w:semiHidden/>
    <w:rsid w:val="004A0F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Menzionenonrisolta5">
    <w:name w:val="Menzione non risolta5"/>
    <w:basedOn w:val="Carpredefinitoparagrafo"/>
    <w:uiPriority w:val="99"/>
    <w:semiHidden/>
    <w:unhideWhenUsed/>
    <w:rsid w:val="007A6242"/>
    <w:rPr>
      <w:color w:val="605E5C"/>
      <w:shd w:val="clear" w:color="auto" w:fill="E1DFDD"/>
    </w:rPr>
  </w:style>
  <w:style w:type="table" w:styleId="Grigliatabella">
    <w:name w:val="Table Grid"/>
    <w:basedOn w:val="Tabellanormale"/>
    <w:uiPriority w:val="39"/>
    <w:rsid w:val="00EE417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6">
    <w:name w:val="Menzione non risolta6"/>
    <w:basedOn w:val="Carpredefinitoparagrafo"/>
    <w:uiPriority w:val="99"/>
    <w:semiHidden/>
    <w:unhideWhenUsed/>
    <w:rsid w:val="009346D0"/>
    <w:rPr>
      <w:color w:val="605E5C"/>
      <w:shd w:val="clear" w:color="auto" w:fill="E1DFDD"/>
    </w:rPr>
  </w:style>
  <w:style w:type="character" w:styleId="Enfasicorsivo">
    <w:name w:val="Emphasis"/>
    <w:basedOn w:val="Carpredefinitoparagrafo"/>
    <w:uiPriority w:val="20"/>
    <w:qFormat/>
    <w:rsid w:val="00B34E04"/>
    <w:rPr>
      <w:i/>
      <w:iCs/>
    </w:rPr>
  </w:style>
  <w:style w:type="paragraph" w:styleId="NormaleWeb">
    <w:name w:val="Normal (Web)"/>
    <w:basedOn w:val="Normale"/>
    <w:uiPriority w:val="99"/>
    <w:unhideWhenUsed/>
    <w:rsid w:val="00B514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Menzionenonrisolta7">
    <w:name w:val="Menzione non risolta7"/>
    <w:basedOn w:val="Carpredefinitoparagrafo"/>
    <w:uiPriority w:val="99"/>
    <w:semiHidden/>
    <w:unhideWhenUsed/>
    <w:rsid w:val="00653636"/>
    <w:rPr>
      <w:color w:val="605E5C"/>
      <w:shd w:val="clear" w:color="auto" w:fill="E1DFDD"/>
    </w:rPr>
  </w:style>
  <w:style w:type="character" w:customStyle="1" w:styleId="Menzionenonrisolta8">
    <w:name w:val="Menzione non risolta8"/>
    <w:basedOn w:val="Carpredefinitoparagrafo"/>
    <w:uiPriority w:val="99"/>
    <w:semiHidden/>
    <w:unhideWhenUsed/>
    <w:rsid w:val="00C90A20"/>
    <w:rPr>
      <w:color w:val="605E5C"/>
      <w:shd w:val="clear" w:color="auto" w:fill="E1DFDD"/>
    </w:rPr>
  </w:style>
  <w:style w:type="character" w:customStyle="1" w:styleId="Menzionenonrisolta9">
    <w:name w:val="Menzione non risolta9"/>
    <w:basedOn w:val="Carpredefinitoparagrafo"/>
    <w:uiPriority w:val="99"/>
    <w:semiHidden/>
    <w:unhideWhenUsed/>
    <w:rsid w:val="007C59CB"/>
    <w:rPr>
      <w:color w:val="605E5C"/>
      <w:shd w:val="clear" w:color="auto" w:fill="E1DFDD"/>
    </w:rPr>
  </w:style>
  <w:style w:type="character" w:customStyle="1" w:styleId="d2edcug0">
    <w:name w:val="d2edcug0"/>
    <w:basedOn w:val="Carpredefinitoparagrafo"/>
    <w:rsid w:val="00C6096C"/>
  </w:style>
  <w:style w:type="character" w:customStyle="1" w:styleId="highlight">
    <w:name w:val="highlight"/>
    <w:basedOn w:val="Carpredefinitoparagrafo"/>
    <w:rsid w:val="006B0D74"/>
  </w:style>
  <w:style w:type="character" w:customStyle="1" w:styleId="Titolo3Carattere">
    <w:name w:val="Titolo 3 Carattere"/>
    <w:basedOn w:val="Carpredefinitoparagrafo"/>
    <w:link w:val="Titolo3"/>
    <w:uiPriority w:val="9"/>
    <w:rsid w:val="00426290"/>
    <w:rPr>
      <w:rFonts w:eastAsia="Times New Roman"/>
      <w:b/>
      <w:bCs/>
      <w:sz w:val="27"/>
      <w:szCs w:val="27"/>
      <w:u w:color="000000"/>
      <w:bdr w:val="none" w:sz="0" w:space="0" w:color="auto"/>
    </w:rPr>
  </w:style>
  <w:style w:type="character" w:customStyle="1" w:styleId="Menzionenonrisolta10">
    <w:name w:val="Menzione non risolta10"/>
    <w:basedOn w:val="Carpredefinitoparagrafo"/>
    <w:uiPriority w:val="99"/>
    <w:semiHidden/>
    <w:unhideWhenUsed/>
    <w:rsid w:val="00041719"/>
    <w:rPr>
      <w:color w:val="605E5C"/>
      <w:shd w:val="clear" w:color="auto" w:fill="E1DFDD"/>
    </w:rPr>
  </w:style>
  <w:style w:type="paragraph" w:customStyle="1" w:styleId="xmsonormal">
    <w:name w:val="x_msonormal"/>
    <w:basedOn w:val="Normale"/>
    <w:rsid w:val="00945FDF"/>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pPr>
    <w:rPr>
      <w:rFonts w:eastAsiaTheme="minorHAnsi" w:cs="Calibri"/>
      <w:bdr w:val="none" w:sz="0" w:space="0" w:color="auto"/>
    </w:rPr>
  </w:style>
  <w:style w:type="character" w:customStyle="1" w:styleId="Menzionenonrisolta11">
    <w:name w:val="Menzione non risolta11"/>
    <w:basedOn w:val="Carpredefinitoparagrafo"/>
    <w:uiPriority w:val="99"/>
    <w:semiHidden/>
    <w:unhideWhenUsed/>
    <w:rsid w:val="004B1639"/>
    <w:rPr>
      <w:color w:val="605E5C"/>
      <w:shd w:val="clear" w:color="auto" w:fill="E1DFDD"/>
    </w:rPr>
  </w:style>
  <w:style w:type="character" w:customStyle="1" w:styleId="Menzionenonrisolta12">
    <w:name w:val="Menzione non risolta12"/>
    <w:basedOn w:val="Carpredefinitoparagrafo"/>
    <w:uiPriority w:val="99"/>
    <w:semiHidden/>
    <w:unhideWhenUsed/>
    <w:rsid w:val="00B9490A"/>
    <w:rPr>
      <w:color w:val="605E5C"/>
      <w:shd w:val="clear" w:color="auto" w:fill="E1DFDD"/>
    </w:rPr>
  </w:style>
  <w:style w:type="character" w:customStyle="1" w:styleId="Menzionenonrisolta13">
    <w:name w:val="Menzione non risolta13"/>
    <w:basedOn w:val="Carpredefinitoparagrafo"/>
    <w:uiPriority w:val="99"/>
    <w:semiHidden/>
    <w:unhideWhenUsed/>
    <w:rsid w:val="00EC3BF8"/>
    <w:rPr>
      <w:color w:val="605E5C"/>
      <w:shd w:val="clear" w:color="auto" w:fill="E1DFDD"/>
    </w:rPr>
  </w:style>
  <w:style w:type="character" w:customStyle="1" w:styleId="Menzionenonrisolta14">
    <w:name w:val="Menzione non risolta14"/>
    <w:basedOn w:val="Carpredefinitoparagrafo"/>
    <w:uiPriority w:val="99"/>
    <w:semiHidden/>
    <w:unhideWhenUsed/>
    <w:rsid w:val="006404C6"/>
    <w:rPr>
      <w:color w:val="605E5C"/>
      <w:shd w:val="clear" w:color="auto" w:fill="E1DFDD"/>
    </w:rPr>
  </w:style>
  <w:style w:type="character" w:customStyle="1" w:styleId="Menzionenonrisolta15">
    <w:name w:val="Menzione non risolta15"/>
    <w:basedOn w:val="Carpredefinitoparagrafo"/>
    <w:uiPriority w:val="99"/>
    <w:semiHidden/>
    <w:unhideWhenUsed/>
    <w:rsid w:val="00A018E7"/>
    <w:rPr>
      <w:color w:val="605E5C"/>
      <w:shd w:val="clear" w:color="auto" w:fill="E1DFDD"/>
    </w:rPr>
  </w:style>
  <w:style w:type="character" w:customStyle="1" w:styleId="Menzionenonrisolta16">
    <w:name w:val="Menzione non risolta16"/>
    <w:basedOn w:val="Carpredefinitoparagrafo"/>
    <w:uiPriority w:val="99"/>
    <w:semiHidden/>
    <w:unhideWhenUsed/>
    <w:rsid w:val="00D37FA9"/>
    <w:rPr>
      <w:color w:val="605E5C"/>
      <w:shd w:val="clear" w:color="auto" w:fill="E1DFDD"/>
    </w:rPr>
  </w:style>
  <w:style w:type="character" w:customStyle="1" w:styleId="Menzionenonrisolta17">
    <w:name w:val="Menzione non risolta17"/>
    <w:basedOn w:val="Carpredefinitoparagrafo"/>
    <w:uiPriority w:val="99"/>
    <w:semiHidden/>
    <w:unhideWhenUsed/>
    <w:rsid w:val="00905F33"/>
    <w:rPr>
      <w:color w:val="605E5C"/>
      <w:shd w:val="clear" w:color="auto" w:fill="E1DFDD"/>
    </w:rPr>
  </w:style>
  <w:style w:type="character" w:customStyle="1" w:styleId="Menzionenonrisolta18">
    <w:name w:val="Menzione non risolta18"/>
    <w:basedOn w:val="Carpredefinitoparagrafo"/>
    <w:uiPriority w:val="99"/>
    <w:semiHidden/>
    <w:unhideWhenUsed/>
    <w:rsid w:val="00620FD1"/>
    <w:rPr>
      <w:color w:val="605E5C"/>
      <w:shd w:val="clear" w:color="auto" w:fill="E1DFDD"/>
    </w:rPr>
  </w:style>
  <w:style w:type="character" w:customStyle="1" w:styleId="Menzionenonrisolta19">
    <w:name w:val="Menzione non risolta19"/>
    <w:basedOn w:val="Carpredefinitoparagrafo"/>
    <w:uiPriority w:val="99"/>
    <w:semiHidden/>
    <w:unhideWhenUsed/>
    <w:rsid w:val="0038565D"/>
    <w:rPr>
      <w:color w:val="605E5C"/>
      <w:shd w:val="clear" w:color="auto" w:fill="E1DFDD"/>
    </w:rPr>
  </w:style>
  <w:style w:type="character" w:customStyle="1" w:styleId="Menzionenonrisolta20">
    <w:name w:val="Menzione non risolta20"/>
    <w:basedOn w:val="Carpredefinitoparagrafo"/>
    <w:uiPriority w:val="99"/>
    <w:semiHidden/>
    <w:unhideWhenUsed/>
    <w:rsid w:val="00B56CF1"/>
    <w:rPr>
      <w:color w:val="605E5C"/>
      <w:shd w:val="clear" w:color="auto" w:fill="E1DFDD"/>
    </w:rPr>
  </w:style>
  <w:style w:type="character" w:customStyle="1" w:styleId="Menzionenonrisolta21">
    <w:name w:val="Menzione non risolta21"/>
    <w:basedOn w:val="Carpredefinitoparagrafo"/>
    <w:uiPriority w:val="99"/>
    <w:semiHidden/>
    <w:unhideWhenUsed/>
    <w:rsid w:val="002D10DE"/>
    <w:rPr>
      <w:color w:val="605E5C"/>
      <w:shd w:val="clear" w:color="auto" w:fill="E1DFDD"/>
    </w:rPr>
  </w:style>
  <w:style w:type="character" w:customStyle="1" w:styleId="Menzionenonrisolta22">
    <w:name w:val="Menzione non risolta22"/>
    <w:basedOn w:val="Carpredefinitoparagrafo"/>
    <w:uiPriority w:val="99"/>
    <w:semiHidden/>
    <w:unhideWhenUsed/>
    <w:rsid w:val="00410FBD"/>
    <w:rPr>
      <w:color w:val="605E5C"/>
      <w:shd w:val="clear" w:color="auto" w:fill="E1DFDD"/>
    </w:rPr>
  </w:style>
  <w:style w:type="paragraph" w:customStyle="1" w:styleId="Default">
    <w:name w:val="Default"/>
    <w:basedOn w:val="Normale"/>
    <w:rsid w:val="008A73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ahoma" w:eastAsiaTheme="minorHAnsi" w:hAnsi="Tahoma" w:cs="Tahoma"/>
      <w:sz w:val="24"/>
      <w:szCs w:val="24"/>
      <w:bdr w:val="none" w:sz="0" w:space="0" w:color="auto"/>
      <w:lang w:eastAsia="en-US"/>
    </w:rPr>
  </w:style>
  <w:style w:type="character" w:customStyle="1" w:styleId="Menzionenonrisolta23">
    <w:name w:val="Menzione non risolta23"/>
    <w:basedOn w:val="Carpredefinitoparagrafo"/>
    <w:uiPriority w:val="99"/>
    <w:semiHidden/>
    <w:unhideWhenUsed/>
    <w:rsid w:val="000146E0"/>
    <w:rPr>
      <w:color w:val="605E5C"/>
      <w:shd w:val="clear" w:color="auto" w:fill="E1DFDD"/>
    </w:rPr>
  </w:style>
  <w:style w:type="table" w:customStyle="1" w:styleId="TableNormal1">
    <w:name w:val="Table Normal1"/>
    <w:rsid w:val="00053240"/>
    <w:tblPr>
      <w:tblInd w:w="0" w:type="dxa"/>
      <w:tblCellMar>
        <w:top w:w="0" w:type="dxa"/>
        <w:left w:w="0" w:type="dxa"/>
        <w:bottom w:w="0" w:type="dxa"/>
        <w:right w:w="0" w:type="dxa"/>
      </w:tblCellMar>
    </w:tblPr>
  </w:style>
  <w:style w:type="character" w:customStyle="1" w:styleId="Menzionenonrisolta24">
    <w:name w:val="Menzione non risolta24"/>
    <w:basedOn w:val="Carpredefinitoparagrafo"/>
    <w:uiPriority w:val="99"/>
    <w:semiHidden/>
    <w:unhideWhenUsed/>
    <w:rsid w:val="001A5F48"/>
    <w:rPr>
      <w:color w:val="605E5C"/>
      <w:shd w:val="clear" w:color="auto" w:fill="E1DFDD"/>
    </w:rPr>
  </w:style>
  <w:style w:type="paragraph" w:styleId="PreformattatoHTML">
    <w:name w:val="HTML Preformatted"/>
    <w:basedOn w:val="Normale"/>
    <w:link w:val="PreformattatoHTMLCarattere"/>
    <w:uiPriority w:val="99"/>
    <w:unhideWhenUsed/>
    <w:rsid w:val="00021D5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021D57"/>
    <w:rPr>
      <w:rFonts w:ascii="Courier New" w:eastAsia="Times New Roman" w:hAnsi="Courier New" w:cs="Courier New"/>
      <w:bdr w:val="none" w:sz="0" w:space="0" w:color="auto"/>
    </w:rPr>
  </w:style>
  <w:style w:type="character" w:customStyle="1" w:styleId="y2iqfc">
    <w:name w:val="y2iqfc"/>
    <w:basedOn w:val="Carpredefinitoparagrafo"/>
    <w:rsid w:val="00021D57"/>
  </w:style>
  <w:style w:type="character" w:customStyle="1" w:styleId="Menzionenonrisolta25">
    <w:name w:val="Menzione non risolta25"/>
    <w:basedOn w:val="Carpredefinitoparagrafo"/>
    <w:uiPriority w:val="99"/>
    <w:semiHidden/>
    <w:unhideWhenUsed/>
    <w:rsid w:val="006E3DA9"/>
    <w:rPr>
      <w:color w:val="605E5C"/>
      <w:shd w:val="clear" w:color="auto" w:fill="E1DFDD"/>
    </w:rPr>
  </w:style>
  <w:style w:type="character" w:customStyle="1" w:styleId="ui-provider">
    <w:name w:val="ui-provider"/>
    <w:basedOn w:val="Carpredefinitoparagrafo"/>
    <w:rsid w:val="008E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8692">
      <w:bodyDiv w:val="1"/>
      <w:marLeft w:val="0"/>
      <w:marRight w:val="0"/>
      <w:marTop w:val="0"/>
      <w:marBottom w:val="0"/>
      <w:divBdr>
        <w:top w:val="none" w:sz="0" w:space="0" w:color="auto"/>
        <w:left w:val="none" w:sz="0" w:space="0" w:color="auto"/>
        <w:bottom w:val="none" w:sz="0" w:space="0" w:color="auto"/>
        <w:right w:val="none" w:sz="0" w:space="0" w:color="auto"/>
      </w:divBdr>
    </w:div>
    <w:div w:id="24255750">
      <w:bodyDiv w:val="1"/>
      <w:marLeft w:val="0"/>
      <w:marRight w:val="0"/>
      <w:marTop w:val="0"/>
      <w:marBottom w:val="0"/>
      <w:divBdr>
        <w:top w:val="none" w:sz="0" w:space="0" w:color="auto"/>
        <w:left w:val="none" w:sz="0" w:space="0" w:color="auto"/>
        <w:bottom w:val="none" w:sz="0" w:space="0" w:color="auto"/>
        <w:right w:val="none" w:sz="0" w:space="0" w:color="auto"/>
      </w:divBdr>
    </w:div>
    <w:div w:id="31730755">
      <w:bodyDiv w:val="1"/>
      <w:marLeft w:val="0"/>
      <w:marRight w:val="0"/>
      <w:marTop w:val="0"/>
      <w:marBottom w:val="0"/>
      <w:divBdr>
        <w:top w:val="none" w:sz="0" w:space="0" w:color="auto"/>
        <w:left w:val="none" w:sz="0" w:space="0" w:color="auto"/>
        <w:bottom w:val="none" w:sz="0" w:space="0" w:color="auto"/>
        <w:right w:val="none" w:sz="0" w:space="0" w:color="auto"/>
      </w:divBdr>
      <w:divsChild>
        <w:div w:id="690688647">
          <w:marLeft w:val="0"/>
          <w:marRight w:val="0"/>
          <w:marTop w:val="0"/>
          <w:marBottom w:val="0"/>
          <w:divBdr>
            <w:top w:val="none" w:sz="0" w:space="0" w:color="auto"/>
            <w:left w:val="none" w:sz="0" w:space="0" w:color="auto"/>
            <w:bottom w:val="none" w:sz="0" w:space="0" w:color="auto"/>
            <w:right w:val="none" w:sz="0" w:space="0" w:color="auto"/>
          </w:divBdr>
        </w:div>
        <w:div w:id="1637056277">
          <w:marLeft w:val="0"/>
          <w:marRight w:val="0"/>
          <w:marTop w:val="0"/>
          <w:marBottom w:val="0"/>
          <w:divBdr>
            <w:top w:val="none" w:sz="0" w:space="0" w:color="auto"/>
            <w:left w:val="none" w:sz="0" w:space="0" w:color="auto"/>
            <w:bottom w:val="none" w:sz="0" w:space="0" w:color="auto"/>
            <w:right w:val="none" w:sz="0" w:space="0" w:color="auto"/>
          </w:divBdr>
        </w:div>
      </w:divsChild>
    </w:div>
    <w:div w:id="32075979">
      <w:bodyDiv w:val="1"/>
      <w:marLeft w:val="0"/>
      <w:marRight w:val="0"/>
      <w:marTop w:val="0"/>
      <w:marBottom w:val="0"/>
      <w:divBdr>
        <w:top w:val="none" w:sz="0" w:space="0" w:color="auto"/>
        <w:left w:val="none" w:sz="0" w:space="0" w:color="auto"/>
        <w:bottom w:val="none" w:sz="0" w:space="0" w:color="auto"/>
        <w:right w:val="none" w:sz="0" w:space="0" w:color="auto"/>
      </w:divBdr>
    </w:div>
    <w:div w:id="47538122">
      <w:bodyDiv w:val="1"/>
      <w:marLeft w:val="0"/>
      <w:marRight w:val="0"/>
      <w:marTop w:val="0"/>
      <w:marBottom w:val="0"/>
      <w:divBdr>
        <w:top w:val="none" w:sz="0" w:space="0" w:color="auto"/>
        <w:left w:val="none" w:sz="0" w:space="0" w:color="auto"/>
        <w:bottom w:val="none" w:sz="0" w:space="0" w:color="auto"/>
        <w:right w:val="none" w:sz="0" w:space="0" w:color="auto"/>
      </w:divBdr>
    </w:div>
    <w:div w:id="48844745">
      <w:bodyDiv w:val="1"/>
      <w:marLeft w:val="0"/>
      <w:marRight w:val="0"/>
      <w:marTop w:val="0"/>
      <w:marBottom w:val="0"/>
      <w:divBdr>
        <w:top w:val="none" w:sz="0" w:space="0" w:color="auto"/>
        <w:left w:val="none" w:sz="0" w:space="0" w:color="auto"/>
        <w:bottom w:val="none" w:sz="0" w:space="0" w:color="auto"/>
        <w:right w:val="none" w:sz="0" w:space="0" w:color="auto"/>
      </w:divBdr>
    </w:div>
    <w:div w:id="55517408">
      <w:bodyDiv w:val="1"/>
      <w:marLeft w:val="0"/>
      <w:marRight w:val="0"/>
      <w:marTop w:val="0"/>
      <w:marBottom w:val="0"/>
      <w:divBdr>
        <w:top w:val="none" w:sz="0" w:space="0" w:color="auto"/>
        <w:left w:val="none" w:sz="0" w:space="0" w:color="auto"/>
        <w:bottom w:val="none" w:sz="0" w:space="0" w:color="auto"/>
        <w:right w:val="none" w:sz="0" w:space="0" w:color="auto"/>
      </w:divBdr>
    </w:div>
    <w:div w:id="66391531">
      <w:bodyDiv w:val="1"/>
      <w:marLeft w:val="0"/>
      <w:marRight w:val="0"/>
      <w:marTop w:val="0"/>
      <w:marBottom w:val="0"/>
      <w:divBdr>
        <w:top w:val="none" w:sz="0" w:space="0" w:color="auto"/>
        <w:left w:val="none" w:sz="0" w:space="0" w:color="auto"/>
        <w:bottom w:val="none" w:sz="0" w:space="0" w:color="auto"/>
        <w:right w:val="none" w:sz="0" w:space="0" w:color="auto"/>
      </w:divBdr>
    </w:div>
    <w:div w:id="87119953">
      <w:bodyDiv w:val="1"/>
      <w:marLeft w:val="0"/>
      <w:marRight w:val="0"/>
      <w:marTop w:val="0"/>
      <w:marBottom w:val="0"/>
      <w:divBdr>
        <w:top w:val="none" w:sz="0" w:space="0" w:color="auto"/>
        <w:left w:val="none" w:sz="0" w:space="0" w:color="auto"/>
        <w:bottom w:val="none" w:sz="0" w:space="0" w:color="auto"/>
        <w:right w:val="none" w:sz="0" w:space="0" w:color="auto"/>
      </w:divBdr>
    </w:div>
    <w:div w:id="92553283">
      <w:bodyDiv w:val="1"/>
      <w:marLeft w:val="0"/>
      <w:marRight w:val="0"/>
      <w:marTop w:val="0"/>
      <w:marBottom w:val="0"/>
      <w:divBdr>
        <w:top w:val="none" w:sz="0" w:space="0" w:color="auto"/>
        <w:left w:val="none" w:sz="0" w:space="0" w:color="auto"/>
        <w:bottom w:val="none" w:sz="0" w:space="0" w:color="auto"/>
        <w:right w:val="none" w:sz="0" w:space="0" w:color="auto"/>
      </w:divBdr>
    </w:div>
    <w:div w:id="108355569">
      <w:bodyDiv w:val="1"/>
      <w:marLeft w:val="0"/>
      <w:marRight w:val="0"/>
      <w:marTop w:val="0"/>
      <w:marBottom w:val="0"/>
      <w:divBdr>
        <w:top w:val="none" w:sz="0" w:space="0" w:color="auto"/>
        <w:left w:val="none" w:sz="0" w:space="0" w:color="auto"/>
        <w:bottom w:val="none" w:sz="0" w:space="0" w:color="auto"/>
        <w:right w:val="none" w:sz="0" w:space="0" w:color="auto"/>
      </w:divBdr>
    </w:div>
    <w:div w:id="139663801">
      <w:bodyDiv w:val="1"/>
      <w:marLeft w:val="0"/>
      <w:marRight w:val="0"/>
      <w:marTop w:val="0"/>
      <w:marBottom w:val="0"/>
      <w:divBdr>
        <w:top w:val="none" w:sz="0" w:space="0" w:color="auto"/>
        <w:left w:val="none" w:sz="0" w:space="0" w:color="auto"/>
        <w:bottom w:val="none" w:sz="0" w:space="0" w:color="auto"/>
        <w:right w:val="none" w:sz="0" w:space="0" w:color="auto"/>
      </w:divBdr>
    </w:div>
    <w:div w:id="141234577">
      <w:bodyDiv w:val="1"/>
      <w:marLeft w:val="0"/>
      <w:marRight w:val="0"/>
      <w:marTop w:val="0"/>
      <w:marBottom w:val="0"/>
      <w:divBdr>
        <w:top w:val="none" w:sz="0" w:space="0" w:color="auto"/>
        <w:left w:val="none" w:sz="0" w:space="0" w:color="auto"/>
        <w:bottom w:val="none" w:sz="0" w:space="0" w:color="auto"/>
        <w:right w:val="none" w:sz="0" w:space="0" w:color="auto"/>
      </w:divBdr>
    </w:div>
    <w:div w:id="146365525">
      <w:bodyDiv w:val="1"/>
      <w:marLeft w:val="0"/>
      <w:marRight w:val="0"/>
      <w:marTop w:val="0"/>
      <w:marBottom w:val="0"/>
      <w:divBdr>
        <w:top w:val="none" w:sz="0" w:space="0" w:color="auto"/>
        <w:left w:val="none" w:sz="0" w:space="0" w:color="auto"/>
        <w:bottom w:val="none" w:sz="0" w:space="0" w:color="auto"/>
        <w:right w:val="none" w:sz="0" w:space="0" w:color="auto"/>
      </w:divBdr>
    </w:div>
    <w:div w:id="160699739">
      <w:bodyDiv w:val="1"/>
      <w:marLeft w:val="0"/>
      <w:marRight w:val="0"/>
      <w:marTop w:val="0"/>
      <w:marBottom w:val="0"/>
      <w:divBdr>
        <w:top w:val="none" w:sz="0" w:space="0" w:color="auto"/>
        <w:left w:val="none" w:sz="0" w:space="0" w:color="auto"/>
        <w:bottom w:val="none" w:sz="0" w:space="0" w:color="auto"/>
        <w:right w:val="none" w:sz="0" w:space="0" w:color="auto"/>
      </w:divBdr>
    </w:div>
    <w:div w:id="166946941">
      <w:bodyDiv w:val="1"/>
      <w:marLeft w:val="0"/>
      <w:marRight w:val="0"/>
      <w:marTop w:val="0"/>
      <w:marBottom w:val="0"/>
      <w:divBdr>
        <w:top w:val="none" w:sz="0" w:space="0" w:color="auto"/>
        <w:left w:val="none" w:sz="0" w:space="0" w:color="auto"/>
        <w:bottom w:val="none" w:sz="0" w:space="0" w:color="auto"/>
        <w:right w:val="none" w:sz="0" w:space="0" w:color="auto"/>
      </w:divBdr>
    </w:div>
    <w:div w:id="173303822">
      <w:bodyDiv w:val="1"/>
      <w:marLeft w:val="0"/>
      <w:marRight w:val="0"/>
      <w:marTop w:val="0"/>
      <w:marBottom w:val="0"/>
      <w:divBdr>
        <w:top w:val="none" w:sz="0" w:space="0" w:color="auto"/>
        <w:left w:val="none" w:sz="0" w:space="0" w:color="auto"/>
        <w:bottom w:val="none" w:sz="0" w:space="0" w:color="auto"/>
        <w:right w:val="none" w:sz="0" w:space="0" w:color="auto"/>
      </w:divBdr>
    </w:div>
    <w:div w:id="179316464">
      <w:bodyDiv w:val="1"/>
      <w:marLeft w:val="0"/>
      <w:marRight w:val="0"/>
      <w:marTop w:val="0"/>
      <w:marBottom w:val="0"/>
      <w:divBdr>
        <w:top w:val="none" w:sz="0" w:space="0" w:color="auto"/>
        <w:left w:val="none" w:sz="0" w:space="0" w:color="auto"/>
        <w:bottom w:val="none" w:sz="0" w:space="0" w:color="auto"/>
        <w:right w:val="none" w:sz="0" w:space="0" w:color="auto"/>
      </w:divBdr>
    </w:div>
    <w:div w:id="186066858">
      <w:bodyDiv w:val="1"/>
      <w:marLeft w:val="0"/>
      <w:marRight w:val="0"/>
      <w:marTop w:val="0"/>
      <w:marBottom w:val="0"/>
      <w:divBdr>
        <w:top w:val="none" w:sz="0" w:space="0" w:color="auto"/>
        <w:left w:val="none" w:sz="0" w:space="0" w:color="auto"/>
        <w:bottom w:val="none" w:sz="0" w:space="0" w:color="auto"/>
        <w:right w:val="none" w:sz="0" w:space="0" w:color="auto"/>
      </w:divBdr>
    </w:div>
    <w:div w:id="192812847">
      <w:bodyDiv w:val="1"/>
      <w:marLeft w:val="0"/>
      <w:marRight w:val="0"/>
      <w:marTop w:val="0"/>
      <w:marBottom w:val="0"/>
      <w:divBdr>
        <w:top w:val="none" w:sz="0" w:space="0" w:color="auto"/>
        <w:left w:val="none" w:sz="0" w:space="0" w:color="auto"/>
        <w:bottom w:val="none" w:sz="0" w:space="0" w:color="auto"/>
        <w:right w:val="none" w:sz="0" w:space="0" w:color="auto"/>
      </w:divBdr>
    </w:div>
    <w:div w:id="195852068">
      <w:bodyDiv w:val="1"/>
      <w:marLeft w:val="0"/>
      <w:marRight w:val="0"/>
      <w:marTop w:val="0"/>
      <w:marBottom w:val="0"/>
      <w:divBdr>
        <w:top w:val="none" w:sz="0" w:space="0" w:color="auto"/>
        <w:left w:val="none" w:sz="0" w:space="0" w:color="auto"/>
        <w:bottom w:val="none" w:sz="0" w:space="0" w:color="auto"/>
        <w:right w:val="none" w:sz="0" w:space="0" w:color="auto"/>
      </w:divBdr>
    </w:div>
    <w:div w:id="205066426">
      <w:bodyDiv w:val="1"/>
      <w:marLeft w:val="0"/>
      <w:marRight w:val="0"/>
      <w:marTop w:val="0"/>
      <w:marBottom w:val="0"/>
      <w:divBdr>
        <w:top w:val="none" w:sz="0" w:space="0" w:color="auto"/>
        <w:left w:val="none" w:sz="0" w:space="0" w:color="auto"/>
        <w:bottom w:val="none" w:sz="0" w:space="0" w:color="auto"/>
        <w:right w:val="none" w:sz="0" w:space="0" w:color="auto"/>
      </w:divBdr>
    </w:div>
    <w:div w:id="241330554">
      <w:bodyDiv w:val="1"/>
      <w:marLeft w:val="0"/>
      <w:marRight w:val="0"/>
      <w:marTop w:val="0"/>
      <w:marBottom w:val="0"/>
      <w:divBdr>
        <w:top w:val="none" w:sz="0" w:space="0" w:color="auto"/>
        <w:left w:val="none" w:sz="0" w:space="0" w:color="auto"/>
        <w:bottom w:val="none" w:sz="0" w:space="0" w:color="auto"/>
        <w:right w:val="none" w:sz="0" w:space="0" w:color="auto"/>
      </w:divBdr>
    </w:div>
    <w:div w:id="259720207">
      <w:bodyDiv w:val="1"/>
      <w:marLeft w:val="0"/>
      <w:marRight w:val="0"/>
      <w:marTop w:val="0"/>
      <w:marBottom w:val="0"/>
      <w:divBdr>
        <w:top w:val="none" w:sz="0" w:space="0" w:color="auto"/>
        <w:left w:val="none" w:sz="0" w:space="0" w:color="auto"/>
        <w:bottom w:val="none" w:sz="0" w:space="0" w:color="auto"/>
        <w:right w:val="none" w:sz="0" w:space="0" w:color="auto"/>
      </w:divBdr>
    </w:div>
    <w:div w:id="271936248">
      <w:bodyDiv w:val="1"/>
      <w:marLeft w:val="0"/>
      <w:marRight w:val="0"/>
      <w:marTop w:val="0"/>
      <w:marBottom w:val="0"/>
      <w:divBdr>
        <w:top w:val="none" w:sz="0" w:space="0" w:color="auto"/>
        <w:left w:val="none" w:sz="0" w:space="0" w:color="auto"/>
        <w:bottom w:val="none" w:sz="0" w:space="0" w:color="auto"/>
        <w:right w:val="none" w:sz="0" w:space="0" w:color="auto"/>
      </w:divBdr>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1448860">
      <w:bodyDiv w:val="1"/>
      <w:marLeft w:val="0"/>
      <w:marRight w:val="0"/>
      <w:marTop w:val="0"/>
      <w:marBottom w:val="0"/>
      <w:divBdr>
        <w:top w:val="none" w:sz="0" w:space="0" w:color="auto"/>
        <w:left w:val="none" w:sz="0" w:space="0" w:color="auto"/>
        <w:bottom w:val="none" w:sz="0" w:space="0" w:color="auto"/>
        <w:right w:val="none" w:sz="0" w:space="0" w:color="auto"/>
      </w:divBdr>
    </w:div>
    <w:div w:id="306085428">
      <w:bodyDiv w:val="1"/>
      <w:marLeft w:val="0"/>
      <w:marRight w:val="0"/>
      <w:marTop w:val="0"/>
      <w:marBottom w:val="0"/>
      <w:divBdr>
        <w:top w:val="none" w:sz="0" w:space="0" w:color="auto"/>
        <w:left w:val="none" w:sz="0" w:space="0" w:color="auto"/>
        <w:bottom w:val="none" w:sz="0" w:space="0" w:color="auto"/>
        <w:right w:val="none" w:sz="0" w:space="0" w:color="auto"/>
      </w:divBdr>
    </w:div>
    <w:div w:id="307707090">
      <w:bodyDiv w:val="1"/>
      <w:marLeft w:val="0"/>
      <w:marRight w:val="0"/>
      <w:marTop w:val="0"/>
      <w:marBottom w:val="0"/>
      <w:divBdr>
        <w:top w:val="none" w:sz="0" w:space="0" w:color="auto"/>
        <w:left w:val="none" w:sz="0" w:space="0" w:color="auto"/>
        <w:bottom w:val="none" w:sz="0" w:space="0" w:color="auto"/>
        <w:right w:val="none" w:sz="0" w:space="0" w:color="auto"/>
      </w:divBdr>
    </w:div>
    <w:div w:id="316804640">
      <w:bodyDiv w:val="1"/>
      <w:marLeft w:val="0"/>
      <w:marRight w:val="0"/>
      <w:marTop w:val="0"/>
      <w:marBottom w:val="0"/>
      <w:divBdr>
        <w:top w:val="none" w:sz="0" w:space="0" w:color="auto"/>
        <w:left w:val="none" w:sz="0" w:space="0" w:color="auto"/>
        <w:bottom w:val="none" w:sz="0" w:space="0" w:color="auto"/>
        <w:right w:val="none" w:sz="0" w:space="0" w:color="auto"/>
      </w:divBdr>
    </w:div>
    <w:div w:id="319382061">
      <w:bodyDiv w:val="1"/>
      <w:marLeft w:val="0"/>
      <w:marRight w:val="0"/>
      <w:marTop w:val="0"/>
      <w:marBottom w:val="0"/>
      <w:divBdr>
        <w:top w:val="none" w:sz="0" w:space="0" w:color="auto"/>
        <w:left w:val="none" w:sz="0" w:space="0" w:color="auto"/>
        <w:bottom w:val="none" w:sz="0" w:space="0" w:color="auto"/>
        <w:right w:val="none" w:sz="0" w:space="0" w:color="auto"/>
      </w:divBdr>
    </w:div>
    <w:div w:id="322272917">
      <w:bodyDiv w:val="1"/>
      <w:marLeft w:val="0"/>
      <w:marRight w:val="0"/>
      <w:marTop w:val="0"/>
      <w:marBottom w:val="0"/>
      <w:divBdr>
        <w:top w:val="none" w:sz="0" w:space="0" w:color="auto"/>
        <w:left w:val="none" w:sz="0" w:space="0" w:color="auto"/>
        <w:bottom w:val="none" w:sz="0" w:space="0" w:color="auto"/>
        <w:right w:val="none" w:sz="0" w:space="0" w:color="auto"/>
      </w:divBdr>
    </w:div>
    <w:div w:id="323627700">
      <w:bodyDiv w:val="1"/>
      <w:marLeft w:val="0"/>
      <w:marRight w:val="0"/>
      <w:marTop w:val="0"/>
      <w:marBottom w:val="0"/>
      <w:divBdr>
        <w:top w:val="none" w:sz="0" w:space="0" w:color="auto"/>
        <w:left w:val="none" w:sz="0" w:space="0" w:color="auto"/>
        <w:bottom w:val="none" w:sz="0" w:space="0" w:color="auto"/>
        <w:right w:val="none" w:sz="0" w:space="0" w:color="auto"/>
      </w:divBdr>
    </w:div>
    <w:div w:id="326590472">
      <w:bodyDiv w:val="1"/>
      <w:marLeft w:val="0"/>
      <w:marRight w:val="0"/>
      <w:marTop w:val="0"/>
      <w:marBottom w:val="0"/>
      <w:divBdr>
        <w:top w:val="none" w:sz="0" w:space="0" w:color="auto"/>
        <w:left w:val="none" w:sz="0" w:space="0" w:color="auto"/>
        <w:bottom w:val="none" w:sz="0" w:space="0" w:color="auto"/>
        <w:right w:val="none" w:sz="0" w:space="0" w:color="auto"/>
      </w:divBdr>
    </w:div>
    <w:div w:id="332729530">
      <w:bodyDiv w:val="1"/>
      <w:marLeft w:val="0"/>
      <w:marRight w:val="0"/>
      <w:marTop w:val="0"/>
      <w:marBottom w:val="0"/>
      <w:divBdr>
        <w:top w:val="none" w:sz="0" w:space="0" w:color="auto"/>
        <w:left w:val="none" w:sz="0" w:space="0" w:color="auto"/>
        <w:bottom w:val="none" w:sz="0" w:space="0" w:color="auto"/>
        <w:right w:val="none" w:sz="0" w:space="0" w:color="auto"/>
      </w:divBdr>
      <w:divsChild>
        <w:div w:id="169371135">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sChild>
                <w:div w:id="99300624">
                  <w:marLeft w:val="0"/>
                  <w:marRight w:val="0"/>
                  <w:marTop w:val="0"/>
                  <w:marBottom w:val="0"/>
                  <w:divBdr>
                    <w:top w:val="none" w:sz="0" w:space="0" w:color="auto"/>
                    <w:left w:val="none" w:sz="0" w:space="0" w:color="auto"/>
                    <w:bottom w:val="none" w:sz="0" w:space="0" w:color="auto"/>
                    <w:right w:val="none" w:sz="0" w:space="0" w:color="auto"/>
                  </w:divBdr>
                  <w:divsChild>
                    <w:div w:id="706150437">
                      <w:marLeft w:val="0"/>
                      <w:marRight w:val="0"/>
                      <w:marTop w:val="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sChild>
                            <w:div w:id="1700543062">
                              <w:marLeft w:val="0"/>
                              <w:marRight w:val="0"/>
                              <w:marTop w:val="0"/>
                              <w:marBottom w:val="0"/>
                              <w:divBdr>
                                <w:top w:val="none" w:sz="0" w:space="0" w:color="auto"/>
                                <w:left w:val="none" w:sz="0" w:space="0" w:color="auto"/>
                                <w:bottom w:val="none" w:sz="0" w:space="0" w:color="auto"/>
                                <w:right w:val="none" w:sz="0" w:space="0" w:color="auto"/>
                              </w:divBdr>
                              <w:divsChild>
                                <w:div w:id="7520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133">
                  <w:marLeft w:val="0"/>
                  <w:marRight w:val="0"/>
                  <w:marTop w:val="0"/>
                  <w:marBottom w:val="0"/>
                  <w:divBdr>
                    <w:top w:val="none" w:sz="0" w:space="0" w:color="auto"/>
                    <w:left w:val="none" w:sz="0" w:space="0" w:color="auto"/>
                    <w:bottom w:val="none" w:sz="0" w:space="0" w:color="auto"/>
                    <w:right w:val="none" w:sz="0" w:space="0" w:color="auto"/>
                  </w:divBdr>
                  <w:divsChild>
                    <w:div w:id="1514799484">
                      <w:marLeft w:val="0"/>
                      <w:marRight w:val="0"/>
                      <w:marTop w:val="0"/>
                      <w:marBottom w:val="0"/>
                      <w:divBdr>
                        <w:top w:val="none" w:sz="0" w:space="0" w:color="auto"/>
                        <w:left w:val="none" w:sz="0" w:space="0" w:color="auto"/>
                        <w:bottom w:val="none" w:sz="0" w:space="0" w:color="auto"/>
                        <w:right w:val="none" w:sz="0" w:space="0" w:color="auto"/>
                      </w:divBdr>
                      <w:divsChild>
                        <w:div w:id="572397521">
                          <w:marLeft w:val="0"/>
                          <w:marRight w:val="0"/>
                          <w:marTop w:val="0"/>
                          <w:marBottom w:val="0"/>
                          <w:divBdr>
                            <w:top w:val="none" w:sz="0" w:space="0" w:color="auto"/>
                            <w:left w:val="none" w:sz="0" w:space="0" w:color="auto"/>
                            <w:bottom w:val="none" w:sz="0" w:space="0" w:color="auto"/>
                            <w:right w:val="none" w:sz="0" w:space="0" w:color="auto"/>
                          </w:divBdr>
                          <w:divsChild>
                            <w:div w:id="418867732">
                              <w:marLeft w:val="0"/>
                              <w:marRight w:val="0"/>
                              <w:marTop w:val="0"/>
                              <w:marBottom w:val="0"/>
                              <w:divBdr>
                                <w:top w:val="none" w:sz="0" w:space="0" w:color="auto"/>
                                <w:left w:val="none" w:sz="0" w:space="0" w:color="auto"/>
                                <w:bottom w:val="none" w:sz="0" w:space="0" w:color="auto"/>
                                <w:right w:val="none" w:sz="0" w:space="0" w:color="auto"/>
                              </w:divBdr>
                              <w:divsChild>
                                <w:div w:id="857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685">
                          <w:marLeft w:val="0"/>
                          <w:marRight w:val="0"/>
                          <w:marTop w:val="0"/>
                          <w:marBottom w:val="0"/>
                          <w:divBdr>
                            <w:top w:val="none" w:sz="0" w:space="0" w:color="auto"/>
                            <w:left w:val="none" w:sz="0" w:space="0" w:color="auto"/>
                            <w:bottom w:val="none" w:sz="0" w:space="0" w:color="auto"/>
                            <w:right w:val="none" w:sz="0" w:space="0" w:color="auto"/>
                          </w:divBdr>
                          <w:divsChild>
                            <w:div w:id="775711473">
                              <w:marLeft w:val="0"/>
                              <w:marRight w:val="0"/>
                              <w:marTop w:val="0"/>
                              <w:marBottom w:val="0"/>
                              <w:divBdr>
                                <w:top w:val="none" w:sz="0" w:space="0" w:color="auto"/>
                                <w:left w:val="none" w:sz="0" w:space="0" w:color="auto"/>
                                <w:bottom w:val="none" w:sz="0" w:space="0" w:color="auto"/>
                                <w:right w:val="none" w:sz="0" w:space="0" w:color="auto"/>
                              </w:divBdr>
                              <w:divsChild>
                                <w:div w:id="1867448461">
                                  <w:marLeft w:val="0"/>
                                  <w:marRight w:val="0"/>
                                  <w:marTop w:val="0"/>
                                  <w:marBottom w:val="0"/>
                                  <w:divBdr>
                                    <w:top w:val="none" w:sz="0" w:space="0" w:color="auto"/>
                                    <w:left w:val="none" w:sz="0" w:space="0" w:color="auto"/>
                                    <w:bottom w:val="none" w:sz="0" w:space="0" w:color="auto"/>
                                    <w:right w:val="none" w:sz="0" w:space="0" w:color="auto"/>
                                  </w:divBdr>
                                  <w:divsChild>
                                    <w:div w:id="768427433">
                                      <w:marLeft w:val="0"/>
                                      <w:marRight w:val="0"/>
                                      <w:marTop w:val="0"/>
                                      <w:marBottom w:val="0"/>
                                      <w:divBdr>
                                        <w:top w:val="none" w:sz="0" w:space="0" w:color="auto"/>
                                        <w:left w:val="none" w:sz="0" w:space="0" w:color="auto"/>
                                        <w:bottom w:val="none" w:sz="0" w:space="0" w:color="auto"/>
                                        <w:right w:val="none" w:sz="0" w:space="0" w:color="auto"/>
                                      </w:divBdr>
                                      <w:divsChild>
                                        <w:div w:id="650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38552">
          <w:marLeft w:val="0"/>
          <w:marRight w:val="0"/>
          <w:marTop w:val="0"/>
          <w:marBottom w:val="0"/>
          <w:divBdr>
            <w:top w:val="none" w:sz="0" w:space="0" w:color="auto"/>
            <w:left w:val="none" w:sz="0" w:space="0" w:color="auto"/>
            <w:bottom w:val="none" w:sz="0" w:space="0" w:color="auto"/>
            <w:right w:val="none" w:sz="0" w:space="0" w:color="auto"/>
          </w:divBdr>
          <w:divsChild>
            <w:div w:id="1038896224">
              <w:marLeft w:val="0"/>
              <w:marRight w:val="0"/>
              <w:marTop w:val="0"/>
              <w:marBottom w:val="0"/>
              <w:divBdr>
                <w:top w:val="none" w:sz="0" w:space="0" w:color="auto"/>
                <w:left w:val="none" w:sz="0" w:space="0" w:color="auto"/>
                <w:bottom w:val="none" w:sz="0" w:space="0" w:color="auto"/>
                <w:right w:val="none" w:sz="0" w:space="0" w:color="auto"/>
              </w:divBdr>
              <w:divsChild>
                <w:div w:id="2087652161">
                  <w:marLeft w:val="0"/>
                  <w:marRight w:val="0"/>
                  <w:marTop w:val="0"/>
                  <w:marBottom w:val="0"/>
                  <w:divBdr>
                    <w:top w:val="none" w:sz="0" w:space="0" w:color="auto"/>
                    <w:left w:val="none" w:sz="0" w:space="0" w:color="auto"/>
                    <w:bottom w:val="none" w:sz="0" w:space="0" w:color="auto"/>
                    <w:right w:val="none" w:sz="0" w:space="0" w:color="auto"/>
                  </w:divBdr>
                  <w:divsChild>
                    <w:div w:id="1305502303">
                      <w:marLeft w:val="0"/>
                      <w:marRight w:val="0"/>
                      <w:marTop w:val="0"/>
                      <w:marBottom w:val="0"/>
                      <w:divBdr>
                        <w:top w:val="none" w:sz="0" w:space="0" w:color="auto"/>
                        <w:left w:val="none" w:sz="0" w:space="0" w:color="auto"/>
                        <w:bottom w:val="none" w:sz="0" w:space="0" w:color="auto"/>
                        <w:right w:val="none" w:sz="0" w:space="0" w:color="auto"/>
                      </w:divBdr>
                      <w:divsChild>
                        <w:div w:id="128548091">
                          <w:marLeft w:val="0"/>
                          <w:marRight w:val="0"/>
                          <w:marTop w:val="0"/>
                          <w:marBottom w:val="0"/>
                          <w:divBdr>
                            <w:top w:val="none" w:sz="0" w:space="0" w:color="auto"/>
                            <w:left w:val="none" w:sz="0" w:space="0" w:color="auto"/>
                            <w:bottom w:val="none" w:sz="0" w:space="0" w:color="auto"/>
                            <w:right w:val="none" w:sz="0" w:space="0" w:color="auto"/>
                          </w:divBdr>
                          <w:divsChild>
                            <w:div w:id="406615192">
                              <w:marLeft w:val="0"/>
                              <w:marRight w:val="0"/>
                              <w:marTop w:val="0"/>
                              <w:marBottom w:val="0"/>
                              <w:divBdr>
                                <w:top w:val="none" w:sz="0" w:space="0" w:color="auto"/>
                                <w:left w:val="none" w:sz="0" w:space="0" w:color="auto"/>
                                <w:bottom w:val="none" w:sz="0" w:space="0" w:color="auto"/>
                                <w:right w:val="none" w:sz="0" w:space="0" w:color="auto"/>
                              </w:divBdr>
                              <w:divsChild>
                                <w:div w:id="1436631502">
                                  <w:marLeft w:val="0"/>
                                  <w:marRight w:val="0"/>
                                  <w:marTop w:val="0"/>
                                  <w:marBottom w:val="0"/>
                                  <w:divBdr>
                                    <w:top w:val="none" w:sz="0" w:space="0" w:color="auto"/>
                                    <w:left w:val="none" w:sz="0" w:space="0" w:color="auto"/>
                                    <w:bottom w:val="none" w:sz="0" w:space="0" w:color="auto"/>
                                    <w:right w:val="none" w:sz="0" w:space="0" w:color="auto"/>
                                  </w:divBdr>
                                  <w:divsChild>
                                    <w:div w:id="759717079">
                                      <w:marLeft w:val="0"/>
                                      <w:marRight w:val="0"/>
                                      <w:marTop w:val="0"/>
                                      <w:marBottom w:val="0"/>
                                      <w:divBdr>
                                        <w:top w:val="none" w:sz="0" w:space="0" w:color="auto"/>
                                        <w:left w:val="none" w:sz="0" w:space="0" w:color="auto"/>
                                        <w:bottom w:val="none" w:sz="0" w:space="0" w:color="auto"/>
                                        <w:right w:val="none" w:sz="0" w:space="0" w:color="auto"/>
                                      </w:divBdr>
                                      <w:divsChild>
                                        <w:div w:id="521089152">
                                          <w:marLeft w:val="0"/>
                                          <w:marRight w:val="0"/>
                                          <w:marTop w:val="0"/>
                                          <w:marBottom w:val="0"/>
                                          <w:divBdr>
                                            <w:top w:val="none" w:sz="0" w:space="0" w:color="auto"/>
                                            <w:left w:val="none" w:sz="0" w:space="0" w:color="auto"/>
                                            <w:bottom w:val="none" w:sz="0" w:space="0" w:color="auto"/>
                                            <w:right w:val="none" w:sz="0" w:space="0" w:color="auto"/>
                                          </w:divBdr>
                                          <w:divsChild>
                                            <w:div w:id="706176241">
                                              <w:marLeft w:val="0"/>
                                              <w:marRight w:val="0"/>
                                              <w:marTop w:val="0"/>
                                              <w:marBottom w:val="0"/>
                                              <w:divBdr>
                                                <w:top w:val="none" w:sz="0" w:space="0" w:color="auto"/>
                                                <w:left w:val="none" w:sz="0" w:space="0" w:color="auto"/>
                                                <w:bottom w:val="none" w:sz="0" w:space="0" w:color="auto"/>
                                                <w:right w:val="none" w:sz="0" w:space="0" w:color="auto"/>
                                              </w:divBdr>
                                              <w:divsChild>
                                                <w:div w:id="1203592144">
                                                  <w:marLeft w:val="0"/>
                                                  <w:marRight w:val="0"/>
                                                  <w:marTop w:val="0"/>
                                                  <w:marBottom w:val="0"/>
                                                  <w:divBdr>
                                                    <w:top w:val="none" w:sz="0" w:space="0" w:color="auto"/>
                                                    <w:left w:val="none" w:sz="0" w:space="0" w:color="auto"/>
                                                    <w:bottom w:val="none" w:sz="0" w:space="0" w:color="auto"/>
                                                    <w:right w:val="none" w:sz="0" w:space="0" w:color="auto"/>
                                                  </w:divBdr>
                                                  <w:divsChild>
                                                    <w:div w:id="685450548">
                                                      <w:marLeft w:val="0"/>
                                                      <w:marRight w:val="0"/>
                                                      <w:marTop w:val="0"/>
                                                      <w:marBottom w:val="0"/>
                                                      <w:divBdr>
                                                        <w:top w:val="none" w:sz="0" w:space="0" w:color="auto"/>
                                                        <w:left w:val="none" w:sz="0" w:space="0" w:color="auto"/>
                                                        <w:bottom w:val="none" w:sz="0" w:space="0" w:color="auto"/>
                                                        <w:right w:val="none" w:sz="0" w:space="0" w:color="auto"/>
                                                      </w:divBdr>
                                                      <w:divsChild>
                                                        <w:div w:id="280259346">
                                                          <w:marLeft w:val="0"/>
                                                          <w:marRight w:val="0"/>
                                                          <w:marTop w:val="0"/>
                                                          <w:marBottom w:val="0"/>
                                                          <w:divBdr>
                                                            <w:top w:val="none" w:sz="0" w:space="0" w:color="auto"/>
                                                            <w:left w:val="none" w:sz="0" w:space="0" w:color="auto"/>
                                                            <w:bottom w:val="none" w:sz="0" w:space="0" w:color="auto"/>
                                                            <w:right w:val="none" w:sz="0" w:space="0" w:color="auto"/>
                                                          </w:divBdr>
                                                        </w:div>
                                                        <w:div w:id="928343164">
                                                          <w:marLeft w:val="0"/>
                                                          <w:marRight w:val="0"/>
                                                          <w:marTop w:val="0"/>
                                                          <w:marBottom w:val="0"/>
                                                          <w:divBdr>
                                                            <w:top w:val="none" w:sz="0" w:space="0" w:color="auto"/>
                                                            <w:left w:val="none" w:sz="0" w:space="0" w:color="auto"/>
                                                            <w:bottom w:val="none" w:sz="0" w:space="0" w:color="auto"/>
                                                            <w:right w:val="none" w:sz="0" w:space="0" w:color="auto"/>
                                                          </w:divBdr>
                                                          <w:divsChild>
                                                            <w:div w:id="15621141">
                                                              <w:marLeft w:val="0"/>
                                                              <w:marRight w:val="0"/>
                                                              <w:marTop w:val="0"/>
                                                              <w:marBottom w:val="0"/>
                                                              <w:divBdr>
                                                                <w:top w:val="none" w:sz="0" w:space="0" w:color="auto"/>
                                                                <w:left w:val="none" w:sz="0" w:space="0" w:color="auto"/>
                                                                <w:bottom w:val="none" w:sz="0" w:space="0" w:color="auto"/>
                                                                <w:right w:val="none" w:sz="0" w:space="0" w:color="auto"/>
                                                              </w:divBdr>
                                                              <w:divsChild>
                                                                <w:div w:id="1854146247">
                                                                  <w:marLeft w:val="0"/>
                                                                  <w:marRight w:val="0"/>
                                                                  <w:marTop w:val="0"/>
                                                                  <w:marBottom w:val="0"/>
                                                                  <w:divBdr>
                                                                    <w:top w:val="none" w:sz="0" w:space="0" w:color="auto"/>
                                                                    <w:left w:val="none" w:sz="0" w:space="0" w:color="auto"/>
                                                                    <w:bottom w:val="none" w:sz="0" w:space="0" w:color="auto"/>
                                                                    <w:right w:val="none" w:sz="0" w:space="0" w:color="auto"/>
                                                                  </w:divBdr>
                                                                  <w:divsChild>
                                                                    <w:div w:id="1892841086">
                                                                      <w:marLeft w:val="0"/>
                                                                      <w:marRight w:val="0"/>
                                                                      <w:marTop w:val="0"/>
                                                                      <w:marBottom w:val="0"/>
                                                                      <w:divBdr>
                                                                        <w:top w:val="none" w:sz="0" w:space="0" w:color="auto"/>
                                                                        <w:left w:val="none" w:sz="0" w:space="0" w:color="auto"/>
                                                                        <w:bottom w:val="none" w:sz="0" w:space="0" w:color="auto"/>
                                                                        <w:right w:val="none" w:sz="0" w:space="0" w:color="auto"/>
                                                                      </w:divBdr>
                                                                      <w:divsChild>
                                                                        <w:div w:id="2024477834">
                                                                          <w:marLeft w:val="0"/>
                                                                          <w:marRight w:val="0"/>
                                                                          <w:marTop w:val="0"/>
                                                                          <w:marBottom w:val="0"/>
                                                                          <w:divBdr>
                                                                            <w:top w:val="none" w:sz="0" w:space="0" w:color="auto"/>
                                                                            <w:left w:val="none" w:sz="0" w:space="0" w:color="auto"/>
                                                                            <w:bottom w:val="none" w:sz="0" w:space="0" w:color="auto"/>
                                                                            <w:right w:val="none" w:sz="0" w:space="0" w:color="auto"/>
                                                                          </w:divBdr>
                                                                          <w:divsChild>
                                                                            <w:div w:id="399523390">
                                                                              <w:marLeft w:val="0"/>
                                                                              <w:marRight w:val="0"/>
                                                                              <w:marTop w:val="0"/>
                                                                              <w:marBottom w:val="0"/>
                                                                              <w:divBdr>
                                                                                <w:top w:val="none" w:sz="0" w:space="0" w:color="auto"/>
                                                                                <w:left w:val="none" w:sz="0" w:space="0" w:color="auto"/>
                                                                                <w:bottom w:val="none" w:sz="0" w:space="0" w:color="auto"/>
                                                                                <w:right w:val="none" w:sz="0" w:space="0" w:color="auto"/>
                                                                              </w:divBdr>
                                                                              <w:divsChild>
                                                                                <w:div w:id="892274389">
                                                                                  <w:marLeft w:val="0"/>
                                                                                  <w:marRight w:val="0"/>
                                                                                  <w:marTop w:val="0"/>
                                                                                  <w:marBottom w:val="0"/>
                                                                                  <w:divBdr>
                                                                                    <w:top w:val="none" w:sz="0" w:space="0" w:color="auto"/>
                                                                                    <w:left w:val="none" w:sz="0" w:space="0" w:color="auto"/>
                                                                                    <w:bottom w:val="none" w:sz="0" w:space="0" w:color="auto"/>
                                                                                    <w:right w:val="none" w:sz="0" w:space="0" w:color="auto"/>
                                                                                  </w:divBdr>
                                                                                </w:div>
                                                                              </w:divsChild>
                                                                            </w:div>
                                                                            <w:div w:id="1297490564">
                                                                              <w:marLeft w:val="0"/>
                                                                              <w:marRight w:val="0"/>
                                                                              <w:marTop w:val="0"/>
                                                                              <w:marBottom w:val="0"/>
                                                                              <w:divBdr>
                                                                                <w:top w:val="none" w:sz="0" w:space="0" w:color="auto"/>
                                                                                <w:left w:val="none" w:sz="0" w:space="0" w:color="auto"/>
                                                                                <w:bottom w:val="none" w:sz="0" w:space="0" w:color="auto"/>
                                                                                <w:right w:val="none" w:sz="0" w:space="0" w:color="auto"/>
                                                                              </w:divBdr>
                                                                              <w:divsChild>
                                                                                <w:div w:id="724178877">
                                                                                  <w:marLeft w:val="0"/>
                                                                                  <w:marRight w:val="0"/>
                                                                                  <w:marTop w:val="0"/>
                                                                                  <w:marBottom w:val="0"/>
                                                                                  <w:divBdr>
                                                                                    <w:top w:val="none" w:sz="0" w:space="0" w:color="auto"/>
                                                                                    <w:left w:val="none" w:sz="0" w:space="0" w:color="auto"/>
                                                                                    <w:bottom w:val="none" w:sz="0" w:space="0" w:color="auto"/>
                                                                                    <w:right w:val="none" w:sz="0" w:space="0" w:color="auto"/>
                                                                                  </w:divBdr>
                                                                                  <w:divsChild>
                                                                                    <w:div w:id="2139684982">
                                                                                      <w:marLeft w:val="0"/>
                                                                                      <w:marRight w:val="0"/>
                                                                                      <w:marTop w:val="0"/>
                                                                                      <w:marBottom w:val="0"/>
                                                                                      <w:divBdr>
                                                                                        <w:top w:val="none" w:sz="0" w:space="0" w:color="auto"/>
                                                                                        <w:left w:val="none" w:sz="0" w:space="0" w:color="auto"/>
                                                                                        <w:bottom w:val="none" w:sz="0" w:space="0" w:color="auto"/>
                                                                                        <w:right w:val="none" w:sz="0" w:space="0" w:color="auto"/>
                                                                                      </w:divBdr>
                                                                                      <w:divsChild>
                                                                                        <w:div w:id="414864476">
                                                                                          <w:marLeft w:val="0"/>
                                                                                          <w:marRight w:val="0"/>
                                                                                          <w:marTop w:val="0"/>
                                                                                          <w:marBottom w:val="0"/>
                                                                                          <w:divBdr>
                                                                                            <w:top w:val="none" w:sz="0" w:space="0" w:color="auto"/>
                                                                                            <w:left w:val="none" w:sz="0" w:space="0" w:color="auto"/>
                                                                                            <w:bottom w:val="none" w:sz="0" w:space="0" w:color="auto"/>
                                                                                            <w:right w:val="none" w:sz="0" w:space="0" w:color="auto"/>
                                                                                          </w:divBdr>
                                                                                          <w:divsChild>
                                                                                            <w:div w:id="266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80192">
                                                  <w:marLeft w:val="0"/>
                                                  <w:marRight w:val="0"/>
                                                  <w:marTop w:val="0"/>
                                                  <w:marBottom w:val="0"/>
                                                  <w:divBdr>
                                                    <w:top w:val="none" w:sz="0" w:space="0" w:color="auto"/>
                                                    <w:left w:val="none" w:sz="0" w:space="0" w:color="auto"/>
                                                    <w:bottom w:val="none" w:sz="0" w:space="0" w:color="auto"/>
                                                    <w:right w:val="none" w:sz="0" w:space="0" w:color="auto"/>
                                                  </w:divBdr>
                                                  <w:divsChild>
                                                    <w:div w:id="15858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701704">
          <w:marLeft w:val="0"/>
          <w:marRight w:val="0"/>
          <w:marTop w:val="0"/>
          <w:marBottom w:val="0"/>
          <w:divBdr>
            <w:top w:val="none" w:sz="0" w:space="0" w:color="auto"/>
            <w:left w:val="none" w:sz="0" w:space="0" w:color="auto"/>
            <w:bottom w:val="none" w:sz="0" w:space="0" w:color="auto"/>
            <w:right w:val="none" w:sz="0" w:space="0" w:color="auto"/>
          </w:divBdr>
          <w:divsChild>
            <w:div w:id="1267693693">
              <w:marLeft w:val="0"/>
              <w:marRight w:val="0"/>
              <w:marTop w:val="0"/>
              <w:marBottom w:val="0"/>
              <w:divBdr>
                <w:top w:val="none" w:sz="0" w:space="0" w:color="auto"/>
                <w:left w:val="none" w:sz="0" w:space="0" w:color="auto"/>
                <w:bottom w:val="none" w:sz="0" w:space="0" w:color="auto"/>
                <w:right w:val="none" w:sz="0" w:space="0" w:color="auto"/>
              </w:divBdr>
              <w:divsChild>
                <w:div w:id="305160214">
                  <w:marLeft w:val="0"/>
                  <w:marRight w:val="0"/>
                  <w:marTop w:val="0"/>
                  <w:marBottom w:val="0"/>
                  <w:divBdr>
                    <w:top w:val="none" w:sz="0" w:space="0" w:color="auto"/>
                    <w:left w:val="none" w:sz="0" w:space="0" w:color="auto"/>
                    <w:bottom w:val="none" w:sz="0" w:space="0" w:color="auto"/>
                    <w:right w:val="none" w:sz="0" w:space="0" w:color="auto"/>
                  </w:divBdr>
                  <w:divsChild>
                    <w:div w:id="1707027439">
                      <w:marLeft w:val="0"/>
                      <w:marRight w:val="0"/>
                      <w:marTop w:val="0"/>
                      <w:marBottom w:val="0"/>
                      <w:divBdr>
                        <w:top w:val="none" w:sz="0" w:space="0" w:color="auto"/>
                        <w:left w:val="none" w:sz="0" w:space="0" w:color="auto"/>
                        <w:bottom w:val="none" w:sz="0" w:space="0" w:color="auto"/>
                        <w:right w:val="none" w:sz="0" w:space="0" w:color="auto"/>
                      </w:divBdr>
                      <w:divsChild>
                        <w:div w:id="324626302">
                          <w:marLeft w:val="0"/>
                          <w:marRight w:val="0"/>
                          <w:marTop w:val="0"/>
                          <w:marBottom w:val="0"/>
                          <w:divBdr>
                            <w:top w:val="none" w:sz="0" w:space="0" w:color="auto"/>
                            <w:left w:val="none" w:sz="0" w:space="0" w:color="auto"/>
                            <w:bottom w:val="none" w:sz="0" w:space="0" w:color="auto"/>
                            <w:right w:val="none" w:sz="0" w:space="0" w:color="auto"/>
                          </w:divBdr>
                          <w:divsChild>
                            <w:div w:id="242032893">
                              <w:marLeft w:val="0"/>
                              <w:marRight w:val="0"/>
                              <w:marTop w:val="0"/>
                              <w:marBottom w:val="0"/>
                              <w:divBdr>
                                <w:top w:val="none" w:sz="0" w:space="0" w:color="auto"/>
                                <w:left w:val="none" w:sz="0" w:space="0" w:color="auto"/>
                                <w:bottom w:val="none" w:sz="0" w:space="0" w:color="auto"/>
                                <w:right w:val="none" w:sz="0" w:space="0" w:color="auto"/>
                              </w:divBdr>
                              <w:divsChild>
                                <w:div w:id="4648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90893">
                  <w:marLeft w:val="0"/>
                  <w:marRight w:val="0"/>
                  <w:marTop w:val="0"/>
                  <w:marBottom w:val="0"/>
                  <w:divBdr>
                    <w:top w:val="none" w:sz="0" w:space="0" w:color="auto"/>
                    <w:left w:val="none" w:sz="0" w:space="0" w:color="auto"/>
                    <w:bottom w:val="none" w:sz="0" w:space="0" w:color="auto"/>
                    <w:right w:val="none" w:sz="0" w:space="0" w:color="auto"/>
                  </w:divBdr>
                  <w:divsChild>
                    <w:div w:id="1418281120">
                      <w:marLeft w:val="0"/>
                      <w:marRight w:val="0"/>
                      <w:marTop w:val="0"/>
                      <w:marBottom w:val="0"/>
                      <w:divBdr>
                        <w:top w:val="none" w:sz="0" w:space="0" w:color="auto"/>
                        <w:left w:val="none" w:sz="0" w:space="0" w:color="auto"/>
                        <w:bottom w:val="none" w:sz="0" w:space="0" w:color="auto"/>
                        <w:right w:val="none" w:sz="0" w:space="0" w:color="auto"/>
                      </w:divBdr>
                      <w:divsChild>
                        <w:div w:id="949899958">
                          <w:marLeft w:val="0"/>
                          <w:marRight w:val="0"/>
                          <w:marTop w:val="0"/>
                          <w:marBottom w:val="0"/>
                          <w:divBdr>
                            <w:top w:val="none" w:sz="0" w:space="0" w:color="auto"/>
                            <w:left w:val="none" w:sz="0" w:space="0" w:color="auto"/>
                            <w:bottom w:val="none" w:sz="0" w:space="0" w:color="auto"/>
                            <w:right w:val="none" w:sz="0" w:space="0" w:color="auto"/>
                          </w:divBdr>
                          <w:divsChild>
                            <w:div w:id="542983054">
                              <w:marLeft w:val="0"/>
                              <w:marRight w:val="0"/>
                              <w:marTop w:val="0"/>
                              <w:marBottom w:val="0"/>
                              <w:divBdr>
                                <w:top w:val="none" w:sz="0" w:space="0" w:color="auto"/>
                                <w:left w:val="none" w:sz="0" w:space="0" w:color="auto"/>
                                <w:bottom w:val="none" w:sz="0" w:space="0" w:color="auto"/>
                                <w:right w:val="none" w:sz="0" w:space="0" w:color="auto"/>
                              </w:divBdr>
                              <w:divsChild>
                                <w:div w:id="464615777">
                                  <w:marLeft w:val="0"/>
                                  <w:marRight w:val="0"/>
                                  <w:marTop w:val="0"/>
                                  <w:marBottom w:val="0"/>
                                  <w:divBdr>
                                    <w:top w:val="none" w:sz="0" w:space="0" w:color="auto"/>
                                    <w:left w:val="none" w:sz="0" w:space="0" w:color="auto"/>
                                    <w:bottom w:val="none" w:sz="0" w:space="0" w:color="auto"/>
                                    <w:right w:val="none" w:sz="0" w:space="0" w:color="auto"/>
                                  </w:divBdr>
                                  <w:divsChild>
                                    <w:div w:id="185605917">
                                      <w:marLeft w:val="0"/>
                                      <w:marRight w:val="0"/>
                                      <w:marTop w:val="0"/>
                                      <w:marBottom w:val="0"/>
                                      <w:divBdr>
                                        <w:top w:val="none" w:sz="0" w:space="0" w:color="auto"/>
                                        <w:left w:val="none" w:sz="0" w:space="0" w:color="auto"/>
                                        <w:bottom w:val="none" w:sz="0" w:space="0" w:color="auto"/>
                                        <w:right w:val="none" w:sz="0" w:space="0" w:color="auto"/>
                                      </w:divBdr>
                                      <w:divsChild>
                                        <w:div w:id="1503201060">
                                          <w:marLeft w:val="0"/>
                                          <w:marRight w:val="0"/>
                                          <w:marTop w:val="0"/>
                                          <w:marBottom w:val="0"/>
                                          <w:divBdr>
                                            <w:top w:val="none" w:sz="0" w:space="0" w:color="auto"/>
                                            <w:left w:val="none" w:sz="0" w:space="0" w:color="auto"/>
                                            <w:bottom w:val="none" w:sz="0" w:space="0" w:color="auto"/>
                                            <w:right w:val="none" w:sz="0" w:space="0" w:color="auto"/>
                                          </w:divBdr>
                                          <w:divsChild>
                                            <w:div w:id="2122454944">
                                              <w:marLeft w:val="0"/>
                                              <w:marRight w:val="0"/>
                                              <w:marTop w:val="0"/>
                                              <w:marBottom w:val="0"/>
                                              <w:divBdr>
                                                <w:top w:val="none" w:sz="0" w:space="0" w:color="auto"/>
                                                <w:left w:val="none" w:sz="0" w:space="0" w:color="auto"/>
                                                <w:bottom w:val="none" w:sz="0" w:space="0" w:color="auto"/>
                                                <w:right w:val="none" w:sz="0" w:space="0" w:color="auto"/>
                                              </w:divBdr>
                                              <w:divsChild>
                                                <w:div w:id="1596792534">
                                                  <w:marLeft w:val="0"/>
                                                  <w:marRight w:val="0"/>
                                                  <w:marTop w:val="0"/>
                                                  <w:marBottom w:val="0"/>
                                                  <w:divBdr>
                                                    <w:top w:val="none" w:sz="0" w:space="0" w:color="auto"/>
                                                    <w:left w:val="none" w:sz="0" w:space="0" w:color="auto"/>
                                                    <w:bottom w:val="none" w:sz="0" w:space="0" w:color="auto"/>
                                                    <w:right w:val="none" w:sz="0" w:space="0" w:color="auto"/>
                                                  </w:divBdr>
                                                  <w:divsChild>
                                                    <w:div w:id="13682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61682">
                          <w:marLeft w:val="0"/>
                          <w:marRight w:val="0"/>
                          <w:marTop w:val="0"/>
                          <w:marBottom w:val="0"/>
                          <w:divBdr>
                            <w:top w:val="none" w:sz="0" w:space="0" w:color="auto"/>
                            <w:left w:val="none" w:sz="0" w:space="0" w:color="auto"/>
                            <w:bottom w:val="none" w:sz="0" w:space="0" w:color="auto"/>
                            <w:right w:val="none" w:sz="0" w:space="0" w:color="auto"/>
                          </w:divBdr>
                          <w:divsChild>
                            <w:div w:id="2079011779">
                              <w:marLeft w:val="0"/>
                              <w:marRight w:val="0"/>
                              <w:marTop w:val="0"/>
                              <w:marBottom w:val="0"/>
                              <w:divBdr>
                                <w:top w:val="none" w:sz="0" w:space="0" w:color="auto"/>
                                <w:left w:val="none" w:sz="0" w:space="0" w:color="auto"/>
                                <w:bottom w:val="none" w:sz="0" w:space="0" w:color="auto"/>
                                <w:right w:val="none" w:sz="0" w:space="0" w:color="auto"/>
                              </w:divBdr>
                              <w:divsChild>
                                <w:div w:id="1509632109">
                                  <w:marLeft w:val="0"/>
                                  <w:marRight w:val="0"/>
                                  <w:marTop w:val="0"/>
                                  <w:marBottom w:val="0"/>
                                  <w:divBdr>
                                    <w:top w:val="none" w:sz="0" w:space="0" w:color="auto"/>
                                    <w:left w:val="none" w:sz="0" w:space="0" w:color="auto"/>
                                    <w:bottom w:val="none" w:sz="0" w:space="0" w:color="auto"/>
                                    <w:right w:val="none" w:sz="0" w:space="0" w:color="auto"/>
                                  </w:divBdr>
                                  <w:divsChild>
                                    <w:div w:id="542403947">
                                      <w:marLeft w:val="0"/>
                                      <w:marRight w:val="0"/>
                                      <w:marTop w:val="0"/>
                                      <w:marBottom w:val="0"/>
                                      <w:divBdr>
                                        <w:top w:val="none" w:sz="0" w:space="0" w:color="auto"/>
                                        <w:left w:val="none" w:sz="0" w:space="0" w:color="auto"/>
                                        <w:bottom w:val="none" w:sz="0" w:space="0" w:color="auto"/>
                                        <w:right w:val="none" w:sz="0" w:space="0" w:color="auto"/>
                                      </w:divBdr>
                                      <w:divsChild>
                                        <w:div w:id="3579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4097">
          <w:marLeft w:val="0"/>
          <w:marRight w:val="0"/>
          <w:marTop w:val="0"/>
          <w:marBottom w:val="0"/>
          <w:divBdr>
            <w:top w:val="none" w:sz="0" w:space="0" w:color="auto"/>
            <w:left w:val="none" w:sz="0" w:space="0" w:color="auto"/>
            <w:bottom w:val="none" w:sz="0" w:space="0" w:color="auto"/>
            <w:right w:val="none" w:sz="0" w:space="0" w:color="auto"/>
          </w:divBdr>
          <w:divsChild>
            <w:div w:id="809829087">
              <w:marLeft w:val="0"/>
              <w:marRight w:val="0"/>
              <w:marTop w:val="0"/>
              <w:marBottom w:val="0"/>
              <w:divBdr>
                <w:top w:val="none" w:sz="0" w:space="0" w:color="auto"/>
                <w:left w:val="none" w:sz="0" w:space="0" w:color="auto"/>
                <w:bottom w:val="none" w:sz="0" w:space="0" w:color="auto"/>
                <w:right w:val="none" w:sz="0" w:space="0" w:color="auto"/>
              </w:divBdr>
            </w:div>
          </w:divsChild>
        </w:div>
        <w:div w:id="658078545">
          <w:marLeft w:val="0"/>
          <w:marRight w:val="0"/>
          <w:marTop w:val="0"/>
          <w:marBottom w:val="0"/>
          <w:divBdr>
            <w:top w:val="none" w:sz="0" w:space="0" w:color="auto"/>
            <w:left w:val="none" w:sz="0" w:space="0" w:color="auto"/>
            <w:bottom w:val="none" w:sz="0" w:space="0" w:color="auto"/>
            <w:right w:val="none" w:sz="0" w:space="0" w:color="auto"/>
          </w:divBdr>
          <w:divsChild>
            <w:div w:id="1350444940">
              <w:marLeft w:val="0"/>
              <w:marRight w:val="0"/>
              <w:marTop w:val="0"/>
              <w:marBottom w:val="0"/>
              <w:divBdr>
                <w:top w:val="none" w:sz="0" w:space="0" w:color="auto"/>
                <w:left w:val="none" w:sz="0" w:space="0" w:color="auto"/>
                <w:bottom w:val="none" w:sz="0" w:space="0" w:color="auto"/>
                <w:right w:val="none" w:sz="0" w:space="0" w:color="auto"/>
              </w:divBdr>
              <w:divsChild>
                <w:div w:id="683750966">
                  <w:marLeft w:val="0"/>
                  <w:marRight w:val="0"/>
                  <w:marTop w:val="0"/>
                  <w:marBottom w:val="0"/>
                  <w:divBdr>
                    <w:top w:val="none" w:sz="0" w:space="0" w:color="auto"/>
                    <w:left w:val="none" w:sz="0" w:space="0" w:color="auto"/>
                    <w:bottom w:val="none" w:sz="0" w:space="0" w:color="auto"/>
                    <w:right w:val="none" w:sz="0" w:space="0" w:color="auto"/>
                  </w:divBdr>
                  <w:divsChild>
                    <w:div w:id="1437212792">
                      <w:marLeft w:val="0"/>
                      <w:marRight w:val="0"/>
                      <w:marTop w:val="0"/>
                      <w:marBottom w:val="0"/>
                      <w:divBdr>
                        <w:top w:val="none" w:sz="0" w:space="0" w:color="auto"/>
                        <w:left w:val="none" w:sz="0" w:space="0" w:color="auto"/>
                        <w:bottom w:val="none" w:sz="0" w:space="0" w:color="auto"/>
                        <w:right w:val="none" w:sz="0" w:space="0" w:color="auto"/>
                      </w:divBdr>
                      <w:divsChild>
                        <w:div w:id="1813404570">
                          <w:marLeft w:val="0"/>
                          <w:marRight w:val="0"/>
                          <w:marTop w:val="0"/>
                          <w:marBottom w:val="0"/>
                          <w:divBdr>
                            <w:top w:val="none" w:sz="0" w:space="0" w:color="auto"/>
                            <w:left w:val="none" w:sz="0" w:space="0" w:color="auto"/>
                            <w:bottom w:val="none" w:sz="0" w:space="0" w:color="auto"/>
                            <w:right w:val="none" w:sz="0" w:space="0" w:color="auto"/>
                          </w:divBdr>
                          <w:divsChild>
                            <w:div w:id="604922973">
                              <w:marLeft w:val="0"/>
                              <w:marRight w:val="0"/>
                              <w:marTop w:val="0"/>
                              <w:marBottom w:val="0"/>
                              <w:divBdr>
                                <w:top w:val="none" w:sz="0" w:space="0" w:color="auto"/>
                                <w:left w:val="none" w:sz="0" w:space="0" w:color="auto"/>
                                <w:bottom w:val="none" w:sz="0" w:space="0" w:color="auto"/>
                                <w:right w:val="none" w:sz="0" w:space="0" w:color="auto"/>
                              </w:divBdr>
                              <w:divsChild>
                                <w:div w:id="1512065056">
                                  <w:marLeft w:val="0"/>
                                  <w:marRight w:val="0"/>
                                  <w:marTop w:val="0"/>
                                  <w:marBottom w:val="0"/>
                                  <w:divBdr>
                                    <w:top w:val="none" w:sz="0" w:space="0" w:color="auto"/>
                                    <w:left w:val="none" w:sz="0" w:space="0" w:color="auto"/>
                                    <w:bottom w:val="none" w:sz="0" w:space="0" w:color="auto"/>
                                    <w:right w:val="none" w:sz="0" w:space="0" w:color="auto"/>
                                  </w:divBdr>
                                  <w:divsChild>
                                    <w:div w:id="110979869">
                                      <w:marLeft w:val="0"/>
                                      <w:marRight w:val="0"/>
                                      <w:marTop w:val="0"/>
                                      <w:marBottom w:val="0"/>
                                      <w:divBdr>
                                        <w:top w:val="none" w:sz="0" w:space="0" w:color="auto"/>
                                        <w:left w:val="none" w:sz="0" w:space="0" w:color="auto"/>
                                        <w:bottom w:val="none" w:sz="0" w:space="0" w:color="auto"/>
                                        <w:right w:val="none" w:sz="0" w:space="0" w:color="auto"/>
                                      </w:divBdr>
                                      <w:divsChild>
                                        <w:div w:id="1911693371">
                                          <w:marLeft w:val="0"/>
                                          <w:marRight w:val="0"/>
                                          <w:marTop w:val="0"/>
                                          <w:marBottom w:val="0"/>
                                          <w:divBdr>
                                            <w:top w:val="none" w:sz="0" w:space="0" w:color="auto"/>
                                            <w:left w:val="none" w:sz="0" w:space="0" w:color="auto"/>
                                            <w:bottom w:val="none" w:sz="0" w:space="0" w:color="auto"/>
                                            <w:right w:val="none" w:sz="0" w:space="0" w:color="auto"/>
                                          </w:divBdr>
                                          <w:divsChild>
                                            <w:div w:id="1152523396">
                                              <w:marLeft w:val="0"/>
                                              <w:marRight w:val="0"/>
                                              <w:marTop w:val="0"/>
                                              <w:marBottom w:val="0"/>
                                              <w:divBdr>
                                                <w:top w:val="none" w:sz="0" w:space="0" w:color="auto"/>
                                                <w:left w:val="none" w:sz="0" w:space="0" w:color="auto"/>
                                                <w:bottom w:val="none" w:sz="0" w:space="0" w:color="auto"/>
                                                <w:right w:val="none" w:sz="0" w:space="0" w:color="auto"/>
                                              </w:divBdr>
                                              <w:divsChild>
                                                <w:div w:id="566569121">
                                                  <w:marLeft w:val="0"/>
                                                  <w:marRight w:val="0"/>
                                                  <w:marTop w:val="0"/>
                                                  <w:marBottom w:val="0"/>
                                                  <w:divBdr>
                                                    <w:top w:val="none" w:sz="0" w:space="0" w:color="auto"/>
                                                    <w:left w:val="none" w:sz="0" w:space="0" w:color="auto"/>
                                                    <w:bottom w:val="none" w:sz="0" w:space="0" w:color="auto"/>
                                                    <w:right w:val="none" w:sz="0" w:space="0" w:color="auto"/>
                                                  </w:divBdr>
                                                  <w:divsChild>
                                                    <w:div w:id="1104422191">
                                                      <w:marLeft w:val="0"/>
                                                      <w:marRight w:val="0"/>
                                                      <w:marTop w:val="0"/>
                                                      <w:marBottom w:val="0"/>
                                                      <w:divBdr>
                                                        <w:top w:val="none" w:sz="0" w:space="0" w:color="auto"/>
                                                        <w:left w:val="none" w:sz="0" w:space="0" w:color="auto"/>
                                                        <w:bottom w:val="none" w:sz="0" w:space="0" w:color="auto"/>
                                                        <w:right w:val="none" w:sz="0" w:space="0" w:color="auto"/>
                                                      </w:divBdr>
                                                    </w:div>
                                                  </w:divsChild>
                                                </w:div>
                                                <w:div w:id="2033649703">
                                                  <w:marLeft w:val="0"/>
                                                  <w:marRight w:val="0"/>
                                                  <w:marTop w:val="0"/>
                                                  <w:marBottom w:val="0"/>
                                                  <w:divBdr>
                                                    <w:top w:val="none" w:sz="0" w:space="0" w:color="auto"/>
                                                    <w:left w:val="none" w:sz="0" w:space="0" w:color="auto"/>
                                                    <w:bottom w:val="none" w:sz="0" w:space="0" w:color="auto"/>
                                                    <w:right w:val="none" w:sz="0" w:space="0" w:color="auto"/>
                                                  </w:divBdr>
                                                  <w:divsChild>
                                                    <w:div w:id="149372762">
                                                      <w:marLeft w:val="0"/>
                                                      <w:marRight w:val="0"/>
                                                      <w:marTop w:val="0"/>
                                                      <w:marBottom w:val="0"/>
                                                      <w:divBdr>
                                                        <w:top w:val="none" w:sz="0" w:space="0" w:color="auto"/>
                                                        <w:left w:val="none" w:sz="0" w:space="0" w:color="auto"/>
                                                        <w:bottom w:val="none" w:sz="0" w:space="0" w:color="auto"/>
                                                        <w:right w:val="none" w:sz="0" w:space="0" w:color="auto"/>
                                                      </w:divBdr>
                                                      <w:divsChild>
                                                        <w:div w:id="1978684525">
                                                          <w:marLeft w:val="0"/>
                                                          <w:marRight w:val="0"/>
                                                          <w:marTop w:val="0"/>
                                                          <w:marBottom w:val="0"/>
                                                          <w:divBdr>
                                                            <w:top w:val="none" w:sz="0" w:space="0" w:color="auto"/>
                                                            <w:left w:val="none" w:sz="0" w:space="0" w:color="auto"/>
                                                            <w:bottom w:val="none" w:sz="0" w:space="0" w:color="auto"/>
                                                            <w:right w:val="none" w:sz="0" w:space="0" w:color="auto"/>
                                                          </w:divBdr>
                                                        </w:div>
                                                        <w:div w:id="2002614764">
                                                          <w:marLeft w:val="0"/>
                                                          <w:marRight w:val="0"/>
                                                          <w:marTop w:val="0"/>
                                                          <w:marBottom w:val="0"/>
                                                          <w:divBdr>
                                                            <w:top w:val="none" w:sz="0" w:space="0" w:color="auto"/>
                                                            <w:left w:val="none" w:sz="0" w:space="0" w:color="auto"/>
                                                            <w:bottom w:val="none" w:sz="0" w:space="0" w:color="auto"/>
                                                            <w:right w:val="none" w:sz="0" w:space="0" w:color="auto"/>
                                                          </w:divBdr>
                                                          <w:divsChild>
                                                            <w:div w:id="1834639003">
                                                              <w:marLeft w:val="0"/>
                                                              <w:marRight w:val="0"/>
                                                              <w:marTop w:val="0"/>
                                                              <w:marBottom w:val="0"/>
                                                              <w:divBdr>
                                                                <w:top w:val="none" w:sz="0" w:space="0" w:color="auto"/>
                                                                <w:left w:val="none" w:sz="0" w:space="0" w:color="auto"/>
                                                                <w:bottom w:val="none" w:sz="0" w:space="0" w:color="auto"/>
                                                                <w:right w:val="none" w:sz="0" w:space="0" w:color="auto"/>
                                                              </w:divBdr>
                                                              <w:divsChild>
                                                                <w:div w:id="1384478451">
                                                                  <w:marLeft w:val="0"/>
                                                                  <w:marRight w:val="0"/>
                                                                  <w:marTop w:val="0"/>
                                                                  <w:marBottom w:val="0"/>
                                                                  <w:divBdr>
                                                                    <w:top w:val="none" w:sz="0" w:space="0" w:color="auto"/>
                                                                    <w:left w:val="none" w:sz="0" w:space="0" w:color="auto"/>
                                                                    <w:bottom w:val="none" w:sz="0" w:space="0" w:color="auto"/>
                                                                    <w:right w:val="none" w:sz="0" w:space="0" w:color="auto"/>
                                                                  </w:divBdr>
                                                                  <w:divsChild>
                                                                    <w:div w:id="2068455211">
                                                                      <w:marLeft w:val="0"/>
                                                                      <w:marRight w:val="0"/>
                                                                      <w:marTop w:val="0"/>
                                                                      <w:marBottom w:val="0"/>
                                                                      <w:divBdr>
                                                                        <w:top w:val="none" w:sz="0" w:space="0" w:color="auto"/>
                                                                        <w:left w:val="none" w:sz="0" w:space="0" w:color="auto"/>
                                                                        <w:bottom w:val="none" w:sz="0" w:space="0" w:color="auto"/>
                                                                        <w:right w:val="none" w:sz="0" w:space="0" w:color="auto"/>
                                                                      </w:divBdr>
                                                                      <w:divsChild>
                                                                        <w:div w:id="837963995">
                                                                          <w:marLeft w:val="0"/>
                                                                          <w:marRight w:val="0"/>
                                                                          <w:marTop w:val="0"/>
                                                                          <w:marBottom w:val="0"/>
                                                                          <w:divBdr>
                                                                            <w:top w:val="none" w:sz="0" w:space="0" w:color="auto"/>
                                                                            <w:left w:val="none" w:sz="0" w:space="0" w:color="auto"/>
                                                                            <w:bottom w:val="none" w:sz="0" w:space="0" w:color="auto"/>
                                                                            <w:right w:val="none" w:sz="0" w:space="0" w:color="auto"/>
                                                                          </w:divBdr>
                                                                          <w:divsChild>
                                                                            <w:div w:id="972832620">
                                                                              <w:marLeft w:val="0"/>
                                                                              <w:marRight w:val="0"/>
                                                                              <w:marTop w:val="0"/>
                                                                              <w:marBottom w:val="0"/>
                                                                              <w:divBdr>
                                                                                <w:top w:val="none" w:sz="0" w:space="0" w:color="auto"/>
                                                                                <w:left w:val="none" w:sz="0" w:space="0" w:color="auto"/>
                                                                                <w:bottom w:val="none" w:sz="0" w:space="0" w:color="auto"/>
                                                                                <w:right w:val="none" w:sz="0" w:space="0" w:color="auto"/>
                                                                              </w:divBdr>
                                                                              <w:divsChild>
                                                                                <w:div w:id="15213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282755">
          <w:marLeft w:val="0"/>
          <w:marRight w:val="0"/>
          <w:marTop w:val="0"/>
          <w:marBottom w:val="0"/>
          <w:divBdr>
            <w:top w:val="none" w:sz="0" w:space="0" w:color="auto"/>
            <w:left w:val="none" w:sz="0" w:space="0" w:color="auto"/>
            <w:bottom w:val="none" w:sz="0" w:space="0" w:color="auto"/>
            <w:right w:val="none" w:sz="0" w:space="0" w:color="auto"/>
          </w:divBdr>
          <w:divsChild>
            <w:div w:id="779842452">
              <w:marLeft w:val="0"/>
              <w:marRight w:val="0"/>
              <w:marTop w:val="0"/>
              <w:marBottom w:val="0"/>
              <w:divBdr>
                <w:top w:val="none" w:sz="0" w:space="0" w:color="auto"/>
                <w:left w:val="none" w:sz="0" w:space="0" w:color="auto"/>
                <w:bottom w:val="none" w:sz="0" w:space="0" w:color="auto"/>
                <w:right w:val="none" w:sz="0" w:space="0" w:color="auto"/>
              </w:divBdr>
              <w:divsChild>
                <w:div w:id="610014484">
                  <w:marLeft w:val="0"/>
                  <w:marRight w:val="0"/>
                  <w:marTop w:val="0"/>
                  <w:marBottom w:val="0"/>
                  <w:divBdr>
                    <w:top w:val="none" w:sz="0" w:space="0" w:color="auto"/>
                    <w:left w:val="none" w:sz="0" w:space="0" w:color="auto"/>
                    <w:bottom w:val="none" w:sz="0" w:space="0" w:color="auto"/>
                    <w:right w:val="none" w:sz="0" w:space="0" w:color="auto"/>
                  </w:divBdr>
                  <w:divsChild>
                    <w:div w:id="249973575">
                      <w:marLeft w:val="0"/>
                      <w:marRight w:val="0"/>
                      <w:marTop w:val="0"/>
                      <w:marBottom w:val="0"/>
                      <w:divBdr>
                        <w:top w:val="none" w:sz="0" w:space="0" w:color="auto"/>
                        <w:left w:val="none" w:sz="0" w:space="0" w:color="auto"/>
                        <w:bottom w:val="none" w:sz="0" w:space="0" w:color="auto"/>
                        <w:right w:val="none" w:sz="0" w:space="0" w:color="auto"/>
                      </w:divBdr>
                    </w:div>
                    <w:div w:id="1864392948">
                      <w:marLeft w:val="0"/>
                      <w:marRight w:val="0"/>
                      <w:marTop w:val="0"/>
                      <w:marBottom w:val="0"/>
                      <w:divBdr>
                        <w:top w:val="none" w:sz="0" w:space="0" w:color="auto"/>
                        <w:left w:val="none" w:sz="0" w:space="0" w:color="auto"/>
                        <w:bottom w:val="none" w:sz="0" w:space="0" w:color="auto"/>
                        <w:right w:val="none" w:sz="0" w:space="0" w:color="auto"/>
                      </w:divBdr>
                      <w:divsChild>
                        <w:div w:id="2018580521">
                          <w:marLeft w:val="0"/>
                          <w:marRight w:val="0"/>
                          <w:marTop w:val="0"/>
                          <w:marBottom w:val="0"/>
                          <w:divBdr>
                            <w:top w:val="none" w:sz="0" w:space="0" w:color="auto"/>
                            <w:left w:val="none" w:sz="0" w:space="0" w:color="auto"/>
                            <w:bottom w:val="none" w:sz="0" w:space="0" w:color="auto"/>
                            <w:right w:val="none" w:sz="0" w:space="0" w:color="auto"/>
                          </w:divBdr>
                          <w:divsChild>
                            <w:div w:id="1975717385">
                              <w:marLeft w:val="0"/>
                              <w:marRight w:val="0"/>
                              <w:marTop w:val="0"/>
                              <w:marBottom w:val="0"/>
                              <w:divBdr>
                                <w:top w:val="none" w:sz="0" w:space="0" w:color="auto"/>
                                <w:left w:val="none" w:sz="0" w:space="0" w:color="auto"/>
                                <w:bottom w:val="none" w:sz="0" w:space="0" w:color="auto"/>
                                <w:right w:val="none" w:sz="0" w:space="0" w:color="auto"/>
                              </w:divBdr>
                              <w:divsChild>
                                <w:div w:id="1950432133">
                                  <w:marLeft w:val="0"/>
                                  <w:marRight w:val="0"/>
                                  <w:marTop w:val="0"/>
                                  <w:marBottom w:val="0"/>
                                  <w:divBdr>
                                    <w:top w:val="none" w:sz="0" w:space="0" w:color="auto"/>
                                    <w:left w:val="none" w:sz="0" w:space="0" w:color="auto"/>
                                    <w:bottom w:val="none" w:sz="0" w:space="0" w:color="auto"/>
                                    <w:right w:val="none" w:sz="0" w:space="0" w:color="auto"/>
                                  </w:divBdr>
                                  <w:divsChild>
                                    <w:div w:id="996495115">
                                      <w:marLeft w:val="0"/>
                                      <w:marRight w:val="0"/>
                                      <w:marTop w:val="0"/>
                                      <w:marBottom w:val="0"/>
                                      <w:divBdr>
                                        <w:top w:val="none" w:sz="0" w:space="0" w:color="auto"/>
                                        <w:left w:val="none" w:sz="0" w:space="0" w:color="auto"/>
                                        <w:bottom w:val="none" w:sz="0" w:space="0" w:color="auto"/>
                                        <w:right w:val="none" w:sz="0" w:space="0" w:color="auto"/>
                                      </w:divBdr>
                                      <w:divsChild>
                                        <w:div w:id="588346154">
                                          <w:marLeft w:val="0"/>
                                          <w:marRight w:val="0"/>
                                          <w:marTop w:val="0"/>
                                          <w:marBottom w:val="0"/>
                                          <w:divBdr>
                                            <w:top w:val="none" w:sz="0" w:space="0" w:color="auto"/>
                                            <w:left w:val="none" w:sz="0" w:space="0" w:color="auto"/>
                                            <w:bottom w:val="none" w:sz="0" w:space="0" w:color="auto"/>
                                            <w:right w:val="none" w:sz="0" w:space="0" w:color="auto"/>
                                          </w:divBdr>
                                          <w:divsChild>
                                            <w:div w:id="1893299586">
                                              <w:marLeft w:val="0"/>
                                              <w:marRight w:val="0"/>
                                              <w:marTop w:val="0"/>
                                              <w:marBottom w:val="0"/>
                                              <w:divBdr>
                                                <w:top w:val="none" w:sz="0" w:space="0" w:color="auto"/>
                                                <w:left w:val="none" w:sz="0" w:space="0" w:color="auto"/>
                                                <w:bottom w:val="none" w:sz="0" w:space="0" w:color="auto"/>
                                                <w:right w:val="none" w:sz="0" w:space="0" w:color="auto"/>
                                              </w:divBdr>
                                              <w:divsChild>
                                                <w:div w:id="1728646608">
                                                  <w:marLeft w:val="0"/>
                                                  <w:marRight w:val="0"/>
                                                  <w:marTop w:val="0"/>
                                                  <w:marBottom w:val="0"/>
                                                  <w:divBdr>
                                                    <w:top w:val="none" w:sz="0" w:space="0" w:color="auto"/>
                                                    <w:left w:val="none" w:sz="0" w:space="0" w:color="auto"/>
                                                    <w:bottom w:val="none" w:sz="0" w:space="0" w:color="auto"/>
                                                    <w:right w:val="none" w:sz="0" w:space="0" w:color="auto"/>
                                                  </w:divBdr>
                                                  <w:divsChild>
                                                    <w:div w:id="1157460485">
                                                      <w:marLeft w:val="0"/>
                                                      <w:marRight w:val="0"/>
                                                      <w:marTop w:val="0"/>
                                                      <w:marBottom w:val="0"/>
                                                      <w:divBdr>
                                                        <w:top w:val="none" w:sz="0" w:space="0" w:color="auto"/>
                                                        <w:left w:val="none" w:sz="0" w:space="0" w:color="auto"/>
                                                        <w:bottom w:val="none" w:sz="0" w:space="0" w:color="auto"/>
                                                        <w:right w:val="none" w:sz="0" w:space="0" w:color="auto"/>
                                                      </w:divBdr>
                                                      <w:divsChild>
                                                        <w:div w:id="983120311">
                                                          <w:marLeft w:val="0"/>
                                                          <w:marRight w:val="0"/>
                                                          <w:marTop w:val="0"/>
                                                          <w:marBottom w:val="0"/>
                                                          <w:divBdr>
                                                            <w:top w:val="none" w:sz="0" w:space="0" w:color="auto"/>
                                                            <w:left w:val="none" w:sz="0" w:space="0" w:color="auto"/>
                                                            <w:bottom w:val="none" w:sz="0" w:space="0" w:color="auto"/>
                                                            <w:right w:val="none" w:sz="0" w:space="0" w:color="auto"/>
                                                          </w:divBdr>
                                                          <w:divsChild>
                                                            <w:div w:id="50740880">
                                                              <w:marLeft w:val="0"/>
                                                              <w:marRight w:val="0"/>
                                                              <w:marTop w:val="0"/>
                                                              <w:marBottom w:val="0"/>
                                                              <w:divBdr>
                                                                <w:top w:val="none" w:sz="0" w:space="0" w:color="auto"/>
                                                                <w:left w:val="none" w:sz="0" w:space="0" w:color="auto"/>
                                                                <w:bottom w:val="none" w:sz="0" w:space="0" w:color="auto"/>
                                                                <w:right w:val="none" w:sz="0" w:space="0" w:color="auto"/>
                                                              </w:divBdr>
                                                            </w:div>
                                                            <w:div w:id="1820878361">
                                                              <w:marLeft w:val="0"/>
                                                              <w:marRight w:val="0"/>
                                                              <w:marTop w:val="0"/>
                                                              <w:marBottom w:val="0"/>
                                                              <w:divBdr>
                                                                <w:top w:val="none" w:sz="0" w:space="0" w:color="auto"/>
                                                                <w:left w:val="none" w:sz="0" w:space="0" w:color="auto"/>
                                                                <w:bottom w:val="none" w:sz="0" w:space="0" w:color="auto"/>
                                                                <w:right w:val="none" w:sz="0" w:space="0" w:color="auto"/>
                                                              </w:divBdr>
                                                              <w:divsChild>
                                                                <w:div w:id="1799032512">
                                                                  <w:marLeft w:val="0"/>
                                                                  <w:marRight w:val="0"/>
                                                                  <w:marTop w:val="0"/>
                                                                  <w:marBottom w:val="0"/>
                                                                  <w:divBdr>
                                                                    <w:top w:val="none" w:sz="0" w:space="0" w:color="auto"/>
                                                                    <w:left w:val="none" w:sz="0" w:space="0" w:color="auto"/>
                                                                    <w:bottom w:val="none" w:sz="0" w:space="0" w:color="auto"/>
                                                                    <w:right w:val="none" w:sz="0" w:space="0" w:color="auto"/>
                                                                  </w:divBdr>
                                                                  <w:divsChild>
                                                                    <w:div w:id="1783574270">
                                                                      <w:marLeft w:val="0"/>
                                                                      <w:marRight w:val="0"/>
                                                                      <w:marTop w:val="0"/>
                                                                      <w:marBottom w:val="0"/>
                                                                      <w:divBdr>
                                                                        <w:top w:val="none" w:sz="0" w:space="0" w:color="auto"/>
                                                                        <w:left w:val="none" w:sz="0" w:space="0" w:color="auto"/>
                                                                        <w:bottom w:val="none" w:sz="0" w:space="0" w:color="auto"/>
                                                                        <w:right w:val="none" w:sz="0" w:space="0" w:color="auto"/>
                                                                      </w:divBdr>
                                                                      <w:divsChild>
                                                                        <w:div w:id="1836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1030412">
          <w:marLeft w:val="0"/>
          <w:marRight w:val="0"/>
          <w:marTop w:val="0"/>
          <w:marBottom w:val="0"/>
          <w:divBdr>
            <w:top w:val="none" w:sz="0" w:space="0" w:color="auto"/>
            <w:left w:val="none" w:sz="0" w:space="0" w:color="auto"/>
            <w:bottom w:val="none" w:sz="0" w:space="0" w:color="auto"/>
            <w:right w:val="none" w:sz="0" w:space="0" w:color="auto"/>
          </w:divBdr>
          <w:divsChild>
            <w:div w:id="349068849">
              <w:marLeft w:val="0"/>
              <w:marRight w:val="0"/>
              <w:marTop w:val="0"/>
              <w:marBottom w:val="0"/>
              <w:divBdr>
                <w:top w:val="none" w:sz="0" w:space="0" w:color="auto"/>
                <w:left w:val="none" w:sz="0" w:space="0" w:color="auto"/>
                <w:bottom w:val="none" w:sz="0" w:space="0" w:color="auto"/>
                <w:right w:val="none" w:sz="0" w:space="0" w:color="auto"/>
              </w:divBdr>
              <w:divsChild>
                <w:div w:id="1384792142">
                  <w:marLeft w:val="0"/>
                  <w:marRight w:val="0"/>
                  <w:marTop w:val="0"/>
                  <w:marBottom w:val="0"/>
                  <w:divBdr>
                    <w:top w:val="none" w:sz="0" w:space="0" w:color="auto"/>
                    <w:left w:val="none" w:sz="0" w:space="0" w:color="auto"/>
                    <w:bottom w:val="none" w:sz="0" w:space="0" w:color="auto"/>
                    <w:right w:val="none" w:sz="0" w:space="0" w:color="auto"/>
                  </w:divBdr>
                  <w:divsChild>
                    <w:div w:id="2121680613">
                      <w:marLeft w:val="0"/>
                      <w:marRight w:val="0"/>
                      <w:marTop w:val="0"/>
                      <w:marBottom w:val="0"/>
                      <w:divBdr>
                        <w:top w:val="none" w:sz="0" w:space="0" w:color="auto"/>
                        <w:left w:val="none" w:sz="0" w:space="0" w:color="auto"/>
                        <w:bottom w:val="none" w:sz="0" w:space="0" w:color="auto"/>
                        <w:right w:val="none" w:sz="0" w:space="0" w:color="auto"/>
                      </w:divBdr>
                      <w:divsChild>
                        <w:div w:id="712386189">
                          <w:marLeft w:val="0"/>
                          <w:marRight w:val="0"/>
                          <w:marTop w:val="0"/>
                          <w:marBottom w:val="0"/>
                          <w:divBdr>
                            <w:top w:val="none" w:sz="0" w:space="0" w:color="auto"/>
                            <w:left w:val="none" w:sz="0" w:space="0" w:color="auto"/>
                            <w:bottom w:val="none" w:sz="0" w:space="0" w:color="auto"/>
                            <w:right w:val="none" w:sz="0" w:space="0" w:color="auto"/>
                          </w:divBdr>
                          <w:divsChild>
                            <w:div w:id="2108965570">
                              <w:marLeft w:val="0"/>
                              <w:marRight w:val="0"/>
                              <w:marTop w:val="0"/>
                              <w:marBottom w:val="0"/>
                              <w:divBdr>
                                <w:top w:val="none" w:sz="0" w:space="0" w:color="auto"/>
                                <w:left w:val="none" w:sz="0" w:space="0" w:color="auto"/>
                                <w:bottom w:val="none" w:sz="0" w:space="0" w:color="auto"/>
                                <w:right w:val="none" w:sz="0" w:space="0" w:color="auto"/>
                              </w:divBdr>
                              <w:divsChild>
                                <w:div w:id="103698241">
                                  <w:marLeft w:val="0"/>
                                  <w:marRight w:val="0"/>
                                  <w:marTop w:val="0"/>
                                  <w:marBottom w:val="0"/>
                                  <w:divBdr>
                                    <w:top w:val="none" w:sz="0" w:space="0" w:color="auto"/>
                                    <w:left w:val="none" w:sz="0" w:space="0" w:color="auto"/>
                                    <w:bottom w:val="none" w:sz="0" w:space="0" w:color="auto"/>
                                    <w:right w:val="none" w:sz="0" w:space="0" w:color="auto"/>
                                  </w:divBdr>
                                  <w:divsChild>
                                    <w:div w:id="1498032501">
                                      <w:marLeft w:val="0"/>
                                      <w:marRight w:val="0"/>
                                      <w:marTop w:val="0"/>
                                      <w:marBottom w:val="0"/>
                                      <w:divBdr>
                                        <w:top w:val="none" w:sz="0" w:space="0" w:color="auto"/>
                                        <w:left w:val="none" w:sz="0" w:space="0" w:color="auto"/>
                                        <w:bottom w:val="none" w:sz="0" w:space="0" w:color="auto"/>
                                        <w:right w:val="none" w:sz="0" w:space="0" w:color="auto"/>
                                      </w:divBdr>
                                      <w:divsChild>
                                        <w:div w:id="174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4196">
                                  <w:marLeft w:val="0"/>
                                  <w:marRight w:val="0"/>
                                  <w:marTop w:val="0"/>
                                  <w:marBottom w:val="0"/>
                                  <w:divBdr>
                                    <w:top w:val="none" w:sz="0" w:space="0" w:color="auto"/>
                                    <w:left w:val="none" w:sz="0" w:space="0" w:color="auto"/>
                                    <w:bottom w:val="none" w:sz="0" w:space="0" w:color="auto"/>
                                    <w:right w:val="none" w:sz="0" w:space="0" w:color="auto"/>
                                  </w:divBdr>
                                  <w:divsChild>
                                    <w:div w:id="928196436">
                                      <w:marLeft w:val="0"/>
                                      <w:marRight w:val="0"/>
                                      <w:marTop w:val="0"/>
                                      <w:marBottom w:val="0"/>
                                      <w:divBdr>
                                        <w:top w:val="none" w:sz="0" w:space="0" w:color="auto"/>
                                        <w:left w:val="none" w:sz="0" w:space="0" w:color="auto"/>
                                        <w:bottom w:val="none" w:sz="0" w:space="0" w:color="auto"/>
                                        <w:right w:val="none" w:sz="0" w:space="0" w:color="auto"/>
                                      </w:divBdr>
                                      <w:divsChild>
                                        <w:div w:id="406922036">
                                          <w:marLeft w:val="0"/>
                                          <w:marRight w:val="0"/>
                                          <w:marTop w:val="0"/>
                                          <w:marBottom w:val="0"/>
                                          <w:divBdr>
                                            <w:top w:val="none" w:sz="0" w:space="0" w:color="auto"/>
                                            <w:left w:val="none" w:sz="0" w:space="0" w:color="auto"/>
                                            <w:bottom w:val="none" w:sz="0" w:space="0" w:color="auto"/>
                                            <w:right w:val="none" w:sz="0" w:space="0" w:color="auto"/>
                                          </w:divBdr>
                                        </w:div>
                                        <w:div w:id="2051370367">
                                          <w:marLeft w:val="0"/>
                                          <w:marRight w:val="0"/>
                                          <w:marTop w:val="0"/>
                                          <w:marBottom w:val="0"/>
                                          <w:divBdr>
                                            <w:top w:val="none" w:sz="0" w:space="0" w:color="auto"/>
                                            <w:left w:val="none" w:sz="0" w:space="0" w:color="auto"/>
                                            <w:bottom w:val="none" w:sz="0" w:space="0" w:color="auto"/>
                                            <w:right w:val="none" w:sz="0" w:space="0" w:color="auto"/>
                                          </w:divBdr>
                                          <w:divsChild>
                                            <w:div w:id="264848762">
                                              <w:marLeft w:val="0"/>
                                              <w:marRight w:val="0"/>
                                              <w:marTop w:val="0"/>
                                              <w:marBottom w:val="0"/>
                                              <w:divBdr>
                                                <w:top w:val="none" w:sz="0" w:space="0" w:color="auto"/>
                                                <w:left w:val="none" w:sz="0" w:space="0" w:color="auto"/>
                                                <w:bottom w:val="none" w:sz="0" w:space="0" w:color="auto"/>
                                                <w:right w:val="none" w:sz="0" w:space="0" w:color="auto"/>
                                              </w:divBdr>
                                              <w:divsChild>
                                                <w:div w:id="465901982">
                                                  <w:marLeft w:val="0"/>
                                                  <w:marRight w:val="0"/>
                                                  <w:marTop w:val="0"/>
                                                  <w:marBottom w:val="0"/>
                                                  <w:divBdr>
                                                    <w:top w:val="none" w:sz="0" w:space="0" w:color="auto"/>
                                                    <w:left w:val="none" w:sz="0" w:space="0" w:color="auto"/>
                                                    <w:bottom w:val="none" w:sz="0" w:space="0" w:color="auto"/>
                                                    <w:right w:val="none" w:sz="0" w:space="0" w:color="auto"/>
                                                  </w:divBdr>
                                                  <w:divsChild>
                                                    <w:div w:id="595359009">
                                                      <w:marLeft w:val="0"/>
                                                      <w:marRight w:val="0"/>
                                                      <w:marTop w:val="0"/>
                                                      <w:marBottom w:val="0"/>
                                                      <w:divBdr>
                                                        <w:top w:val="none" w:sz="0" w:space="0" w:color="auto"/>
                                                        <w:left w:val="none" w:sz="0" w:space="0" w:color="auto"/>
                                                        <w:bottom w:val="none" w:sz="0" w:space="0" w:color="auto"/>
                                                        <w:right w:val="none" w:sz="0" w:space="0" w:color="auto"/>
                                                      </w:divBdr>
                                                      <w:divsChild>
                                                        <w:div w:id="372925174">
                                                          <w:marLeft w:val="0"/>
                                                          <w:marRight w:val="0"/>
                                                          <w:marTop w:val="0"/>
                                                          <w:marBottom w:val="0"/>
                                                          <w:divBdr>
                                                            <w:top w:val="none" w:sz="0" w:space="0" w:color="auto"/>
                                                            <w:left w:val="none" w:sz="0" w:space="0" w:color="auto"/>
                                                            <w:bottom w:val="none" w:sz="0" w:space="0" w:color="auto"/>
                                                            <w:right w:val="none" w:sz="0" w:space="0" w:color="auto"/>
                                                          </w:divBdr>
                                                        </w:div>
                                                        <w:div w:id="1938829606">
                                                          <w:marLeft w:val="0"/>
                                                          <w:marRight w:val="0"/>
                                                          <w:marTop w:val="0"/>
                                                          <w:marBottom w:val="0"/>
                                                          <w:divBdr>
                                                            <w:top w:val="none" w:sz="0" w:space="0" w:color="auto"/>
                                                            <w:left w:val="none" w:sz="0" w:space="0" w:color="auto"/>
                                                            <w:bottom w:val="none" w:sz="0" w:space="0" w:color="auto"/>
                                                            <w:right w:val="none" w:sz="0" w:space="0" w:color="auto"/>
                                                          </w:divBdr>
                                                          <w:divsChild>
                                                            <w:div w:id="1729648285">
                                                              <w:marLeft w:val="0"/>
                                                              <w:marRight w:val="0"/>
                                                              <w:marTop w:val="0"/>
                                                              <w:marBottom w:val="0"/>
                                                              <w:divBdr>
                                                                <w:top w:val="none" w:sz="0" w:space="0" w:color="auto"/>
                                                                <w:left w:val="none" w:sz="0" w:space="0" w:color="auto"/>
                                                                <w:bottom w:val="none" w:sz="0" w:space="0" w:color="auto"/>
                                                                <w:right w:val="none" w:sz="0" w:space="0" w:color="auto"/>
                                                              </w:divBdr>
                                                              <w:divsChild>
                                                                <w:div w:id="2076391117">
                                                                  <w:marLeft w:val="0"/>
                                                                  <w:marRight w:val="0"/>
                                                                  <w:marTop w:val="0"/>
                                                                  <w:marBottom w:val="0"/>
                                                                  <w:divBdr>
                                                                    <w:top w:val="none" w:sz="0" w:space="0" w:color="auto"/>
                                                                    <w:left w:val="none" w:sz="0" w:space="0" w:color="auto"/>
                                                                    <w:bottom w:val="none" w:sz="0" w:space="0" w:color="auto"/>
                                                                    <w:right w:val="none" w:sz="0" w:space="0" w:color="auto"/>
                                                                  </w:divBdr>
                                                                  <w:divsChild>
                                                                    <w:div w:id="745230415">
                                                                      <w:marLeft w:val="0"/>
                                                                      <w:marRight w:val="0"/>
                                                                      <w:marTop w:val="0"/>
                                                                      <w:marBottom w:val="0"/>
                                                                      <w:divBdr>
                                                                        <w:top w:val="none" w:sz="0" w:space="0" w:color="auto"/>
                                                                        <w:left w:val="none" w:sz="0" w:space="0" w:color="auto"/>
                                                                        <w:bottom w:val="none" w:sz="0" w:space="0" w:color="auto"/>
                                                                        <w:right w:val="none" w:sz="0" w:space="0" w:color="auto"/>
                                                                      </w:divBdr>
                                                                      <w:divsChild>
                                                                        <w:div w:id="1925072105">
                                                                          <w:marLeft w:val="0"/>
                                                                          <w:marRight w:val="0"/>
                                                                          <w:marTop w:val="0"/>
                                                                          <w:marBottom w:val="0"/>
                                                                          <w:divBdr>
                                                                            <w:top w:val="none" w:sz="0" w:space="0" w:color="auto"/>
                                                                            <w:left w:val="none" w:sz="0" w:space="0" w:color="auto"/>
                                                                            <w:bottom w:val="none" w:sz="0" w:space="0" w:color="auto"/>
                                                                            <w:right w:val="none" w:sz="0" w:space="0" w:color="auto"/>
                                                                          </w:divBdr>
                                                                          <w:divsChild>
                                                                            <w:div w:id="122890815">
                                                                              <w:marLeft w:val="0"/>
                                                                              <w:marRight w:val="0"/>
                                                                              <w:marTop w:val="0"/>
                                                                              <w:marBottom w:val="0"/>
                                                                              <w:divBdr>
                                                                                <w:top w:val="none" w:sz="0" w:space="0" w:color="auto"/>
                                                                                <w:left w:val="none" w:sz="0" w:space="0" w:color="auto"/>
                                                                                <w:bottom w:val="none" w:sz="0" w:space="0" w:color="auto"/>
                                                                                <w:right w:val="none" w:sz="0" w:space="0" w:color="auto"/>
                                                                              </w:divBdr>
                                                                              <w:divsChild>
                                                                                <w:div w:id="368147954">
                                                                                  <w:marLeft w:val="0"/>
                                                                                  <w:marRight w:val="0"/>
                                                                                  <w:marTop w:val="0"/>
                                                                                  <w:marBottom w:val="0"/>
                                                                                  <w:divBdr>
                                                                                    <w:top w:val="none" w:sz="0" w:space="0" w:color="auto"/>
                                                                                    <w:left w:val="none" w:sz="0" w:space="0" w:color="auto"/>
                                                                                    <w:bottom w:val="none" w:sz="0" w:space="0" w:color="auto"/>
                                                                                    <w:right w:val="none" w:sz="0" w:space="0" w:color="auto"/>
                                                                                  </w:divBdr>
                                                                                  <w:divsChild>
                                                                                    <w:div w:id="930315250">
                                                                                      <w:marLeft w:val="0"/>
                                                                                      <w:marRight w:val="0"/>
                                                                                      <w:marTop w:val="0"/>
                                                                                      <w:marBottom w:val="0"/>
                                                                                      <w:divBdr>
                                                                                        <w:top w:val="none" w:sz="0" w:space="0" w:color="auto"/>
                                                                                        <w:left w:val="none" w:sz="0" w:space="0" w:color="auto"/>
                                                                                        <w:bottom w:val="none" w:sz="0" w:space="0" w:color="auto"/>
                                                                                        <w:right w:val="none" w:sz="0" w:space="0" w:color="auto"/>
                                                                                      </w:divBdr>
                                                                                      <w:divsChild>
                                                                                        <w:div w:id="2091927475">
                                                                                          <w:marLeft w:val="0"/>
                                                                                          <w:marRight w:val="0"/>
                                                                                          <w:marTop w:val="0"/>
                                                                                          <w:marBottom w:val="0"/>
                                                                                          <w:divBdr>
                                                                                            <w:top w:val="none" w:sz="0" w:space="0" w:color="auto"/>
                                                                                            <w:left w:val="none" w:sz="0" w:space="0" w:color="auto"/>
                                                                                            <w:bottom w:val="none" w:sz="0" w:space="0" w:color="auto"/>
                                                                                            <w:right w:val="none" w:sz="0" w:space="0" w:color="auto"/>
                                                                                          </w:divBdr>
                                                                                          <w:divsChild>
                                                                                            <w:div w:id="2148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6512">
                                                                                  <w:marLeft w:val="0"/>
                                                                                  <w:marRight w:val="0"/>
                                                                                  <w:marTop w:val="0"/>
                                                                                  <w:marBottom w:val="0"/>
                                                                                  <w:divBdr>
                                                                                    <w:top w:val="none" w:sz="0" w:space="0" w:color="auto"/>
                                                                                    <w:left w:val="none" w:sz="0" w:space="0" w:color="auto"/>
                                                                                    <w:bottom w:val="none" w:sz="0" w:space="0" w:color="auto"/>
                                                                                    <w:right w:val="none" w:sz="0" w:space="0" w:color="auto"/>
                                                                                  </w:divBdr>
                                                                                </w:div>
                                                                              </w:divsChild>
                                                                            </w:div>
                                                                            <w:div w:id="383144008">
                                                                              <w:marLeft w:val="0"/>
                                                                              <w:marRight w:val="0"/>
                                                                              <w:marTop w:val="0"/>
                                                                              <w:marBottom w:val="0"/>
                                                                              <w:divBdr>
                                                                                <w:top w:val="none" w:sz="0" w:space="0" w:color="auto"/>
                                                                                <w:left w:val="none" w:sz="0" w:space="0" w:color="auto"/>
                                                                                <w:bottom w:val="none" w:sz="0" w:space="0" w:color="auto"/>
                                                                                <w:right w:val="none" w:sz="0" w:space="0" w:color="auto"/>
                                                                              </w:divBdr>
                                                                              <w:divsChild>
                                                                                <w:div w:id="1405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12233">
                                                  <w:marLeft w:val="0"/>
                                                  <w:marRight w:val="0"/>
                                                  <w:marTop w:val="0"/>
                                                  <w:marBottom w:val="0"/>
                                                  <w:divBdr>
                                                    <w:top w:val="none" w:sz="0" w:space="0" w:color="auto"/>
                                                    <w:left w:val="none" w:sz="0" w:space="0" w:color="auto"/>
                                                    <w:bottom w:val="none" w:sz="0" w:space="0" w:color="auto"/>
                                                    <w:right w:val="none" w:sz="0" w:space="0" w:color="auto"/>
                                                  </w:divBdr>
                                                  <w:divsChild>
                                                    <w:div w:id="1471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77401">
          <w:marLeft w:val="0"/>
          <w:marRight w:val="0"/>
          <w:marTop w:val="0"/>
          <w:marBottom w:val="0"/>
          <w:divBdr>
            <w:top w:val="none" w:sz="0" w:space="0" w:color="auto"/>
            <w:left w:val="none" w:sz="0" w:space="0" w:color="auto"/>
            <w:bottom w:val="none" w:sz="0" w:space="0" w:color="auto"/>
            <w:right w:val="none" w:sz="0" w:space="0" w:color="auto"/>
          </w:divBdr>
          <w:divsChild>
            <w:div w:id="1771662518">
              <w:marLeft w:val="0"/>
              <w:marRight w:val="0"/>
              <w:marTop w:val="0"/>
              <w:marBottom w:val="0"/>
              <w:divBdr>
                <w:top w:val="none" w:sz="0" w:space="0" w:color="auto"/>
                <w:left w:val="none" w:sz="0" w:space="0" w:color="auto"/>
                <w:bottom w:val="none" w:sz="0" w:space="0" w:color="auto"/>
                <w:right w:val="none" w:sz="0" w:space="0" w:color="auto"/>
              </w:divBdr>
              <w:divsChild>
                <w:div w:id="1259869875">
                  <w:marLeft w:val="0"/>
                  <w:marRight w:val="0"/>
                  <w:marTop w:val="0"/>
                  <w:marBottom w:val="0"/>
                  <w:divBdr>
                    <w:top w:val="none" w:sz="0" w:space="0" w:color="auto"/>
                    <w:left w:val="none" w:sz="0" w:space="0" w:color="auto"/>
                    <w:bottom w:val="none" w:sz="0" w:space="0" w:color="auto"/>
                    <w:right w:val="none" w:sz="0" w:space="0" w:color="auto"/>
                  </w:divBdr>
                  <w:divsChild>
                    <w:div w:id="1902979644">
                      <w:marLeft w:val="0"/>
                      <w:marRight w:val="0"/>
                      <w:marTop w:val="0"/>
                      <w:marBottom w:val="0"/>
                      <w:divBdr>
                        <w:top w:val="none" w:sz="0" w:space="0" w:color="auto"/>
                        <w:left w:val="none" w:sz="0" w:space="0" w:color="auto"/>
                        <w:bottom w:val="none" w:sz="0" w:space="0" w:color="auto"/>
                        <w:right w:val="none" w:sz="0" w:space="0" w:color="auto"/>
                      </w:divBdr>
                      <w:divsChild>
                        <w:div w:id="1284262923">
                          <w:marLeft w:val="0"/>
                          <w:marRight w:val="0"/>
                          <w:marTop w:val="0"/>
                          <w:marBottom w:val="0"/>
                          <w:divBdr>
                            <w:top w:val="none" w:sz="0" w:space="0" w:color="auto"/>
                            <w:left w:val="none" w:sz="0" w:space="0" w:color="auto"/>
                            <w:bottom w:val="none" w:sz="0" w:space="0" w:color="auto"/>
                            <w:right w:val="none" w:sz="0" w:space="0" w:color="auto"/>
                          </w:divBdr>
                          <w:divsChild>
                            <w:div w:id="510412653">
                              <w:marLeft w:val="0"/>
                              <w:marRight w:val="0"/>
                              <w:marTop w:val="0"/>
                              <w:marBottom w:val="0"/>
                              <w:divBdr>
                                <w:top w:val="none" w:sz="0" w:space="0" w:color="auto"/>
                                <w:left w:val="none" w:sz="0" w:space="0" w:color="auto"/>
                                <w:bottom w:val="none" w:sz="0" w:space="0" w:color="auto"/>
                                <w:right w:val="none" w:sz="0" w:space="0" w:color="auto"/>
                              </w:divBdr>
                              <w:divsChild>
                                <w:div w:id="2090613014">
                                  <w:marLeft w:val="0"/>
                                  <w:marRight w:val="0"/>
                                  <w:marTop w:val="0"/>
                                  <w:marBottom w:val="0"/>
                                  <w:divBdr>
                                    <w:top w:val="none" w:sz="0" w:space="0" w:color="auto"/>
                                    <w:left w:val="none" w:sz="0" w:space="0" w:color="auto"/>
                                    <w:bottom w:val="none" w:sz="0" w:space="0" w:color="auto"/>
                                    <w:right w:val="none" w:sz="0" w:space="0" w:color="auto"/>
                                  </w:divBdr>
                                  <w:divsChild>
                                    <w:div w:id="1992521296">
                                      <w:marLeft w:val="0"/>
                                      <w:marRight w:val="0"/>
                                      <w:marTop w:val="0"/>
                                      <w:marBottom w:val="0"/>
                                      <w:divBdr>
                                        <w:top w:val="none" w:sz="0" w:space="0" w:color="auto"/>
                                        <w:left w:val="none" w:sz="0" w:space="0" w:color="auto"/>
                                        <w:bottom w:val="none" w:sz="0" w:space="0" w:color="auto"/>
                                        <w:right w:val="none" w:sz="0" w:space="0" w:color="auto"/>
                                      </w:divBdr>
                                      <w:divsChild>
                                        <w:div w:id="314648914">
                                          <w:marLeft w:val="0"/>
                                          <w:marRight w:val="0"/>
                                          <w:marTop w:val="0"/>
                                          <w:marBottom w:val="0"/>
                                          <w:divBdr>
                                            <w:top w:val="none" w:sz="0" w:space="0" w:color="auto"/>
                                            <w:left w:val="none" w:sz="0" w:space="0" w:color="auto"/>
                                            <w:bottom w:val="none" w:sz="0" w:space="0" w:color="auto"/>
                                            <w:right w:val="none" w:sz="0" w:space="0" w:color="auto"/>
                                          </w:divBdr>
                                        </w:div>
                                        <w:div w:id="321743766">
                                          <w:marLeft w:val="0"/>
                                          <w:marRight w:val="0"/>
                                          <w:marTop w:val="0"/>
                                          <w:marBottom w:val="0"/>
                                          <w:divBdr>
                                            <w:top w:val="none" w:sz="0" w:space="0" w:color="auto"/>
                                            <w:left w:val="none" w:sz="0" w:space="0" w:color="auto"/>
                                            <w:bottom w:val="none" w:sz="0" w:space="0" w:color="auto"/>
                                            <w:right w:val="none" w:sz="0" w:space="0" w:color="auto"/>
                                          </w:divBdr>
                                          <w:divsChild>
                                            <w:div w:id="442263139">
                                              <w:marLeft w:val="0"/>
                                              <w:marRight w:val="0"/>
                                              <w:marTop w:val="0"/>
                                              <w:marBottom w:val="0"/>
                                              <w:divBdr>
                                                <w:top w:val="none" w:sz="0" w:space="0" w:color="auto"/>
                                                <w:left w:val="none" w:sz="0" w:space="0" w:color="auto"/>
                                                <w:bottom w:val="none" w:sz="0" w:space="0" w:color="auto"/>
                                                <w:right w:val="none" w:sz="0" w:space="0" w:color="auto"/>
                                              </w:divBdr>
                                              <w:divsChild>
                                                <w:div w:id="141506281">
                                                  <w:marLeft w:val="0"/>
                                                  <w:marRight w:val="0"/>
                                                  <w:marTop w:val="0"/>
                                                  <w:marBottom w:val="0"/>
                                                  <w:divBdr>
                                                    <w:top w:val="none" w:sz="0" w:space="0" w:color="auto"/>
                                                    <w:left w:val="none" w:sz="0" w:space="0" w:color="auto"/>
                                                    <w:bottom w:val="none" w:sz="0" w:space="0" w:color="auto"/>
                                                    <w:right w:val="none" w:sz="0" w:space="0" w:color="auto"/>
                                                  </w:divBdr>
                                                  <w:divsChild>
                                                    <w:div w:id="441192167">
                                                      <w:marLeft w:val="0"/>
                                                      <w:marRight w:val="0"/>
                                                      <w:marTop w:val="0"/>
                                                      <w:marBottom w:val="0"/>
                                                      <w:divBdr>
                                                        <w:top w:val="none" w:sz="0" w:space="0" w:color="auto"/>
                                                        <w:left w:val="none" w:sz="0" w:space="0" w:color="auto"/>
                                                        <w:bottom w:val="none" w:sz="0" w:space="0" w:color="auto"/>
                                                        <w:right w:val="none" w:sz="0" w:space="0" w:color="auto"/>
                                                      </w:divBdr>
                                                    </w:div>
                                                    <w:div w:id="1051265575">
                                                      <w:marLeft w:val="0"/>
                                                      <w:marRight w:val="0"/>
                                                      <w:marTop w:val="0"/>
                                                      <w:marBottom w:val="0"/>
                                                      <w:divBdr>
                                                        <w:top w:val="none" w:sz="0" w:space="0" w:color="auto"/>
                                                        <w:left w:val="none" w:sz="0" w:space="0" w:color="auto"/>
                                                        <w:bottom w:val="none" w:sz="0" w:space="0" w:color="auto"/>
                                                        <w:right w:val="none" w:sz="0" w:space="0" w:color="auto"/>
                                                      </w:divBdr>
                                                    </w:div>
                                                  </w:divsChild>
                                                </w:div>
                                                <w:div w:id="653528679">
                                                  <w:marLeft w:val="0"/>
                                                  <w:marRight w:val="0"/>
                                                  <w:marTop w:val="0"/>
                                                  <w:marBottom w:val="0"/>
                                                  <w:divBdr>
                                                    <w:top w:val="none" w:sz="0" w:space="0" w:color="auto"/>
                                                    <w:left w:val="none" w:sz="0" w:space="0" w:color="auto"/>
                                                    <w:bottom w:val="none" w:sz="0" w:space="0" w:color="auto"/>
                                                    <w:right w:val="none" w:sz="0" w:space="0" w:color="auto"/>
                                                  </w:divBdr>
                                                  <w:divsChild>
                                                    <w:div w:id="2028409294">
                                                      <w:marLeft w:val="0"/>
                                                      <w:marRight w:val="0"/>
                                                      <w:marTop w:val="0"/>
                                                      <w:marBottom w:val="0"/>
                                                      <w:divBdr>
                                                        <w:top w:val="none" w:sz="0" w:space="0" w:color="auto"/>
                                                        <w:left w:val="none" w:sz="0" w:space="0" w:color="auto"/>
                                                        <w:bottom w:val="none" w:sz="0" w:space="0" w:color="auto"/>
                                                        <w:right w:val="none" w:sz="0" w:space="0" w:color="auto"/>
                                                      </w:divBdr>
                                                      <w:divsChild>
                                                        <w:div w:id="727844922">
                                                          <w:marLeft w:val="0"/>
                                                          <w:marRight w:val="0"/>
                                                          <w:marTop w:val="0"/>
                                                          <w:marBottom w:val="0"/>
                                                          <w:divBdr>
                                                            <w:top w:val="none" w:sz="0" w:space="0" w:color="auto"/>
                                                            <w:left w:val="none" w:sz="0" w:space="0" w:color="auto"/>
                                                            <w:bottom w:val="none" w:sz="0" w:space="0" w:color="auto"/>
                                                            <w:right w:val="none" w:sz="0" w:space="0" w:color="auto"/>
                                                          </w:divBdr>
                                                          <w:divsChild>
                                                            <w:div w:id="824277852">
                                                              <w:marLeft w:val="0"/>
                                                              <w:marRight w:val="0"/>
                                                              <w:marTop w:val="0"/>
                                                              <w:marBottom w:val="0"/>
                                                              <w:divBdr>
                                                                <w:top w:val="none" w:sz="0" w:space="0" w:color="auto"/>
                                                                <w:left w:val="none" w:sz="0" w:space="0" w:color="auto"/>
                                                                <w:bottom w:val="none" w:sz="0" w:space="0" w:color="auto"/>
                                                                <w:right w:val="none" w:sz="0" w:space="0" w:color="auto"/>
                                                              </w:divBdr>
                                                              <w:divsChild>
                                                                <w:div w:id="495195265">
                                                                  <w:marLeft w:val="0"/>
                                                                  <w:marRight w:val="0"/>
                                                                  <w:marTop w:val="0"/>
                                                                  <w:marBottom w:val="0"/>
                                                                  <w:divBdr>
                                                                    <w:top w:val="none" w:sz="0" w:space="0" w:color="auto"/>
                                                                    <w:left w:val="none" w:sz="0" w:space="0" w:color="auto"/>
                                                                    <w:bottom w:val="none" w:sz="0" w:space="0" w:color="auto"/>
                                                                    <w:right w:val="none" w:sz="0" w:space="0" w:color="auto"/>
                                                                  </w:divBdr>
                                                                  <w:divsChild>
                                                                    <w:div w:id="1156339769">
                                                                      <w:marLeft w:val="0"/>
                                                                      <w:marRight w:val="0"/>
                                                                      <w:marTop w:val="0"/>
                                                                      <w:marBottom w:val="0"/>
                                                                      <w:divBdr>
                                                                        <w:top w:val="none" w:sz="0" w:space="0" w:color="auto"/>
                                                                        <w:left w:val="none" w:sz="0" w:space="0" w:color="auto"/>
                                                                        <w:bottom w:val="none" w:sz="0" w:space="0" w:color="auto"/>
                                                                        <w:right w:val="none" w:sz="0" w:space="0" w:color="auto"/>
                                                                      </w:divBdr>
                                                                      <w:divsChild>
                                                                        <w:div w:id="220754500">
                                                                          <w:marLeft w:val="0"/>
                                                                          <w:marRight w:val="0"/>
                                                                          <w:marTop w:val="0"/>
                                                                          <w:marBottom w:val="0"/>
                                                                          <w:divBdr>
                                                                            <w:top w:val="none" w:sz="0" w:space="0" w:color="auto"/>
                                                                            <w:left w:val="none" w:sz="0" w:space="0" w:color="auto"/>
                                                                            <w:bottom w:val="none" w:sz="0" w:space="0" w:color="auto"/>
                                                                            <w:right w:val="none" w:sz="0" w:space="0" w:color="auto"/>
                                                                          </w:divBdr>
                                                                          <w:divsChild>
                                                                            <w:div w:id="1581678087">
                                                                              <w:marLeft w:val="0"/>
                                                                              <w:marRight w:val="0"/>
                                                                              <w:marTop w:val="0"/>
                                                                              <w:marBottom w:val="0"/>
                                                                              <w:divBdr>
                                                                                <w:top w:val="none" w:sz="0" w:space="0" w:color="auto"/>
                                                                                <w:left w:val="none" w:sz="0" w:space="0" w:color="auto"/>
                                                                                <w:bottom w:val="none" w:sz="0" w:space="0" w:color="auto"/>
                                                                                <w:right w:val="none" w:sz="0" w:space="0" w:color="auto"/>
                                                                              </w:divBdr>
                                                                              <w:divsChild>
                                                                                <w:div w:id="737942572">
                                                                                  <w:marLeft w:val="0"/>
                                                                                  <w:marRight w:val="0"/>
                                                                                  <w:marTop w:val="0"/>
                                                                                  <w:marBottom w:val="0"/>
                                                                                  <w:divBdr>
                                                                                    <w:top w:val="none" w:sz="0" w:space="0" w:color="auto"/>
                                                                                    <w:left w:val="none" w:sz="0" w:space="0" w:color="auto"/>
                                                                                    <w:bottom w:val="none" w:sz="0" w:space="0" w:color="auto"/>
                                                                                    <w:right w:val="none" w:sz="0" w:space="0" w:color="auto"/>
                                                                                  </w:divBdr>
                                                                                </w:div>
                                                                              </w:divsChild>
                                                                            </w:div>
                                                                            <w:div w:id="1677272458">
                                                                              <w:marLeft w:val="0"/>
                                                                              <w:marRight w:val="0"/>
                                                                              <w:marTop w:val="0"/>
                                                                              <w:marBottom w:val="0"/>
                                                                              <w:divBdr>
                                                                                <w:top w:val="none" w:sz="0" w:space="0" w:color="auto"/>
                                                                                <w:left w:val="none" w:sz="0" w:space="0" w:color="auto"/>
                                                                                <w:bottom w:val="none" w:sz="0" w:space="0" w:color="auto"/>
                                                                                <w:right w:val="none" w:sz="0" w:space="0" w:color="auto"/>
                                                                              </w:divBdr>
                                                                              <w:divsChild>
                                                                                <w:div w:id="1242448193">
                                                                                  <w:marLeft w:val="0"/>
                                                                                  <w:marRight w:val="0"/>
                                                                                  <w:marTop w:val="0"/>
                                                                                  <w:marBottom w:val="0"/>
                                                                                  <w:divBdr>
                                                                                    <w:top w:val="none" w:sz="0" w:space="0" w:color="auto"/>
                                                                                    <w:left w:val="none" w:sz="0" w:space="0" w:color="auto"/>
                                                                                    <w:bottom w:val="none" w:sz="0" w:space="0" w:color="auto"/>
                                                                                    <w:right w:val="none" w:sz="0" w:space="0" w:color="auto"/>
                                                                                  </w:divBdr>
                                                                                </w:div>
                                                                                <w:div w:id="1988047540">
                                                                                  <w:marLeft w:val="0"/>
                                                                                  <w:marRight w:val="0"/>
                                                                                  <w:marTop w:val="0"/>
                                                                                  <w:marBottom w:val="0"/>
                                                                                  <w:divBdr>
                                                                                    <w:top w:val="none" w:sz="0" w:space="0" w:color="auto"/>
                                                                                    <w:left w:val="none" w:sz="0" w:space="0" w:color="auto"/>
                                                                                    <w:bottom w:val="none" w:sz="0" w:space="0" w:color="auto"/>
                                                                                    <w:right w:val="none" w:sz="0" w:space="0" w:color="auto"/>
                                                                                  </w:divBdr>
                                                                                  <w:divsChild>
                                                                                    <w:div w:id="1264805314">
                                                                                      <w:marLeft w:val="0"/>
                                                                                      <w:marRight w:val="0"/>
                                                                                      <w:marTop w:val="0"/>
                                                                                      <w:marBottom w:val="0"/>
                                                                                      <w:divBdr>
                                                                                        <w:top w:val="none" w:sz="0" w:space="0" w:color="auto"/>
                                                                                        <w:left w:val="none" w:sz="0" w:space="0" w:color="auto"/>
                                                                                        <w:bottom w:val="none" w:sz="0" w:space="0" w:color="auto"/>
                                                                                        <w:right w:val="none" w:sz="0" w:space="0" w:color="auto"/>
                                                                                      </w:divBdr>
                                                                                      <w:divsChild>
                                                                                        <w:div w:id="1773277267">
                                                                                          <w:marLeft w:val="0"/>
                                                                                          <w:marRight w:val="0"/>
                                                                                          <w:marTop w:val="0"/>
                                                                                          <w:marBottom w:val="0"/>
                                                                                          <w:divBdr>
                                                                                            <w:top w:val="none" w:sz="0" w:space="0" w:color="auto"/>
                                                                                            <w:left w:val="none" w:sz="0" w:space="0" w:color="auto"/>
                                                                                            <w:bottom w:val="none" w:sz="0" w:space="0" w:color="auto"/>
                                                                                            <w:right w:val="none" w:sz="0" w:space="0" w:color="auto"/>
                                                                                          </w:divBdr>
                                                                                          <w:divsChild>
                                                                                            <w:div w:id="1280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371324">
          <w:marLeft w:val="0"/>
          <w:marRight w:val="0"/>
          <w:marTop w:val="0"/>
          <w:marBottom w:val="0"/>
          <w:divBdr>
            <w:top w:val="none" w:sz="0" w:space="0" w:color="auto"/>
            <w:left w:val="none" w:sz="0" w:space="0" w:color="auto"/>
            <w:bottom w:val="none" w:sz="0" w:space="0" w:color="auto"/>
            <w:right w:val="none" w:sz="0" w:space="0" w:color="auto"/>
          </w:divBdr>
          <w:divsChild>
            <w:div w:id="1989901065">
              <w:marLeft w:val="0"/>
              <w:marRight w:val="0"/>
              <w:marTop w:val="0"/>
              <w:marBottom w:val="0"/>
              <w:divBdr>
                <w:top w:val="none" w:sz="0" w:space="0" w:color="auto"/>
                <w:left w:val="none" w:sz="0" w:space="0" w:color="auto"/>
                <w:bottom w:val="none" w:sz="0" w:space="0" w:color="auto"/>
                <w:right w:val="none" w:sz="0" w:space="0" w:color="auto"/>
              </w:divBdr>
              <w:divsChild>
                <w:div w:id="1880121857">
                  <w:marLeft w:val="0"/>
                  <w:marRight w:val="0"/>
                  <w:marTop w:val="0"/>
                  <w:marBottom w:val="0"/>
                  <w:divBdr>
                    <w:top w:val="none" w:sz="0" w:space="0" w:color="auto"/>
                    <w:left w:val="none" w:sz="0" w:space="0" w:color="auto"/>
                    <w:bottom w:val="none" w:sz="0" w:space="0" w:color="auto"/>
                    <w:right w:val="none" w:sz="0" w:space="0" w:color="auto"/>
                  </w:divBdr>
                  <w:divsChild>
                    <w:div w:id="1249801597">
                      <w:marLeft w:val="0"/>
                      <w:marRight w:val="0"/>
                      <w:marTop w:val="0"/>
                      <w:marBottom w:val="0"/>
                      <w:divBdr>
                        <w:top w:val="none" w:sz="0" w:space="0" w:color="auto"/>
                        <w:left w:val="none" w:sz="0" w:space="0" w:color="auto"/>
                        <w:bottom w:val="none" w:sz="0" w:space="0" w:color="auto"/>
                        <w:right w:val="none" w:sz="0" w:space="0" w:color="auto"/>
                      </w:divBdr>
                      <w:divsChild>
                        <w:div w:id="1222867715">
                          <w:marLeft w:val="0"/>
                          <w:marRight w:val="0"/>
                          <w:marTop w:val="0"/>
                          <w:marBottom w:val="0"/>
                          <w:divBdr>
                            <w:top w:val="none" w:sz="0" w:space="0" w:color="auto"/>
                            <w:left w:val="none" w:sz="0" w:space="0" w:color="auto"/>
                            <w:bottom w:val="none" w:sz="0" w:space="0" w:color="auto"/>
                            <w:right w:val="none" w:sz="0" w:space="0" w:color="auto"/>
                          </w:divBdr>
                          <w:divsChild>
                            <w:div w:id="1147361104">
                              <w:marLeft w:val="0"/>
                              <w:marRight w:val="0"/>
                              <w:marTop w:val="0"/>
                              <w:marBottom w:val="0"/>
                              <w:divBdr>
                                <w:top w:val="none" w:sz="0" w:space="0" w:color="auto"/>
                                <w:left w:val="none" w:sz="0" w:space="0" w:color="auto"/>
                                <w:bottom w:val="none" w:sz="0" w:space="0" w:color="auto"/>
                                <w:right w:val="none" w:sz="0" w:space="0" w:color="auto"/>
                              </w:divBdr>
                              <w:divsChild>
                                <w:div w:id="2103642708">
                                  <w:marLeft w:val="0"/>
                                  <w:marRight w:val="0"/>
                                  <w:marTop w:val="0"/>
                                  <w:marBottom w:val="0"/>
                                  <w:divBdr>
                                    <w:top w:val="none" w:sz="0" w:space="0" w:color="auto"/>
                                    <w:left w:val="none" w:sz="0" w:space="0" w:color="auto"/>
                                    <w:bottom w:val="none" w:sz="0" w:space="0" w:color="auto"/>
                                    <w:right w:val="none" w:sz="0" w:space="0" w:color="auto"/>
                                  </w:divBdr>
                                  <w:divsChild>
                                    <w:div w:id="279721697">
                                      <w:marLeft w:val="0"/>
                                      <w:marRight w:val="0"/>
                                      <w:marTop w:val="0"/>
                                      <w:marBottom w:val="0"/>
                                      <w:divBdr>
                                        <w:top w:val="none" w:sz="0" w:space="0" w:color="auto"/>
                                        <w:left w:val="none" w:sz="0" w:space="0" w:color="auto"/>
                                        <w:bottom w:val="none" w:sz="0" w:space="0" w:color="auto"/>
                                        <w:right w:val="none" w:sz="0" w:space="0" w:color="auto"/>
                                      </w:divBdr>
                                      <w:divsChild>
                                        <w:div w:id="2080708660">
                                          <w:marLeft w:val="0"/>
                                          <w:marRight w:val="0"/>
                                          <w:marTop w:val="0"/>
                                          <w:marBottom w:val="0"/>
                                          <w:divBdr>
                                            <w:top w:val="none" w:sz="0" w:space="0" w:color="auto"/>
                                            <w:left w:val="none" w:sz="0" w:space="0" w:color="auto"/>
                                            <w:bottom w:val="none" w:sz="0" w:space="0" w:color="auto"/>
                                            <w:right w:val="none" w:sz="0" w:space="0" w:color="auto"/>
                                          </w:divBdr>
                                          <w:divsChild>
                                            <w:div w:id="1544781362">
                                              <w:marLeft w:val="0"/>
                                              <w:marRight w:val="0"/>
                                              <w:marTop w:val="0"/>
                                              <w:marBottom w:val="0"/>
                                              <w:divBdr>
                                                <w:top w:val="none" w:sz="0" w:space="0" w:color="auto"/>
                                                <w:left w:val="none" w:sz="0" w:space="0" w:color="auto"/>
                                                <w:bottom w:val="none" w:sz="0" w:space="0" w:color="auto"/>
                                                <w:right w:val="none" w:sz="0" w:space="0" w:color="auto"/>
                                              </w:divBdr>
                                              <w:divsChild>
                                                <w:div w:id="2089039137">
                                                  <w:marLeft w:val="0"/>
                                                  <w:marRight w:val="0"/>
                                                  <w:marTop w:val="0"/>
                                                  <w:marBottom w:val="0"/>
                                                  <w:divBdr>
                                                    <w:top w:val="none" w:sz="0" w:space="0" w:color="auto"/>
                                                    <w:left w:val="none" w:sz="0" w:space="0" w:color="auto"/>
                                                    <w:bottom w:val="none" w:sz="0" w:space="0" w:color="auto"/>
                                                    <w:right w:val="none" w:sz="0" w:space="0" w:color="auto"/>
                                                  </w:divBdr>
                                                  <w:divsChild>
                                                    <w:div w:id="589045161">
                                                      <w:marLeft w:val="0"/>
                                                      <w:marRight w:val="0"/>
                                                      <w:marTop w:val="0"/>
                                                      <w:marBottom w:val="0"/>
                                                      <w:divBdr>
                                                        <w:top w:val="none" w:sz="0" w:space="0" w:color="auto"/>
                                                        <w:left w:val="none" w:sz="0" w:space="0" w:color="auto"/>
                                                        <w:bottom w:val="none" w:sz="0" w:space="0" w:color="auto"/>
                                                        <w:right w:val="none" w:sz="0" w:space="0" w:color="auto"/>
                                                      </w:divBdr>
                                                      <w:divsChild>
                                                        <w:div w:id="21515841">
                                                          <w:marLeft w:val="0"/>
                                                          <w:marRight w:val="0"/>
                                                          <w:marTop w:val="0"/>
                                                          <w:marBottom w:val="0"/>
                                                          <w:divBdr>
                                                            <w:top w:val="none" w:sz="0" w:space="0" w:color="auto"/>
                                                            <w:left w:val="none" w:sz="0" w:space="0" w:color="auto"/>
                                                            <w:bottom w:val="none" w:sz="0" w:space="0" w:color="auto"/>
                                                            <w:right w:val="none" w:sz="0" w:space="0" w:color="auto"/>
                                                          </w:divBdr>
                                                          <w:divsChild>
                                                            <w:div w:id="1403329017">
                                                              <w:marLeft w:val="0"/>
                                                              <w:marRight w:val="0"/>
                                                              <w:marTop w:val="0"/>
                                                              <w:marBottom w:val="0"/>
                                                              <w:divBdr>
                                                                <w:top w:val="none" w:sz="0" w:space="0" w:color="auto"/>
                                                                <w:left w:val="none" w:sz="0" w:space="0" w:color="auto"/>
                                                                <w:bottom w:val="none" w:sz="0" w:space="0" w:color="auto"/>
                                                                <w:right w:val="none" w:sz="0" w:space="0" w:color="auto"/>
                                                              </w:divBdr>
                                                            </w:div>
                                                            <w:div w:id="1651474266">
                                                              <w:marLeft w:val="0"/>
                                                              <w:marRight w:val="0"/>
                                                              <w:marTop w:val="0"/>
                                                              <w:marBottom w:val="0"/>
                                                              <w:divBdr>
                                                                <w:top w:val="none" w:sz="0" w:space="0" w:color="auto"/>
                                                                <w:left w:val="none" w:sz="0" w:space="0" w:color="auto"/>
                                                                <w:bottom w:val="none" w:sz="0" w:space="0" w:color="auto"/>
                                                                <w:right w:val="none" w:sz="0" w:space="0" w:color="auto"/>
                                                              </w:divBdr>
                                                              <w:divsChild>
                                                                <w:div w:id="1564025978">
                                                                  <w:marLeft w:val="0"/>
                                                                  <w:marRight w:val="0"/>
                                                                  <w:marTop w:val="0"/>
                                                                  <w:marBottom w:val="0"/>
                                                                  <w:divBdr>
                                                                    <w:top w:val="none" w:sz="0" w:space="0" w:color="auto"/>
                                                                    <w:left w:val="none" w:sz="0" w:space="0" w:color="auto"/>
                                                                    <w:bottom w:val="none" w:sz="0" w:space="0" w:color="auto"/>
                                                                    <w:right w:val="none" w:sz="0" w:space="0" w:color="auto"/>
                                                                  </w:divBdr>
                                                                  <w:divsChild>
                                                                    <w:div w:id="2106800484">
                                                                      <w:marLeft w:val="0"/>
                                                                      <w:marRight w:val="0"/>
                                                                      <w:marTop w:val="0"/>
                                                                      <w:marBottom w:val="0"/>
                                                                      <w:divBdr>
                                                                        <w:top w:val="none" w:sz="0" w:space="0" w:color="auto"/>
                                                                        <w:left w:val="none" w:sz="0" w:space="0" w:color="auto"/>
                                                                        <w:bottom w:val="none" w:sz="0" w:space="0" w:color="auto"/>
                                                                        <w:right w:val="none" w:sz="0" w:space="0" w:color="auto"/>
                                                                      </w:divBdr>
                                                                      <w:divsChild>
                                                                        <w:div w:id="1616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1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132">
          <w:marLeft w:val="0"/>
          <w:marRight w:val="0"/>
          <w:marTop w:val="0"/>
          <w:marBottom w:val="0"/>
          <w:divBdr>
            <w:top w:val="none" w:sz="0" w:space="0" w:color="auto"/>
            <w:left w:val="none" w:sz="0" w:space="0" w:color="auto"/>
            <w:bottom w:val="none" w:sz="0" w:space="0" w:color="auto"/>
            <w:right w:val="none" w:sz="0" w:space="0" w:color="auto"/>
          </w:divBdr>
          <w:divsChild>
            <w:div w:id="1743866186">
              <w:marLeft w:val="0"/>
              <w:marRight w:val="0"/>
              <w:marTop w:val="0"/>
              <w:marBottom w:val="0"/>
              <w:divBdr>
                <w:top w:val="none" w:sz="0" w:space="0" w:color="auto"/>
                <w:left w:val="none" w:sz="0" w:space="0" w:color="auto"/>
                <w:bottom w:val="none" w:sz="0" w:space="0" w:color="auto"/>
                <w:right w:val="none" w:sz="0" w:space="0" w:color="auto"/>
              </w:divBdr>
              <w:divsChild>
                <w:div w:id="1447775213">
                  <w:marLeft w:val="0"/>
                  <w:marRight w:val="0"/>
                  <w:marTop w:val="0"/>
                  <w:marBottom w:val="0"/>
                  <w:divBdr>
                    <w:top w:val="none" w:sz="0" w:space="0" w:color="auto"/>
                    <w:left w:val="none" w:sz="0" w:space="0" w:color="auto"/>
                    <w:bottom w:val="none" w:sz="0" w:space="0" w:color="auto"/>
                    <w:right w:val="none" w:sz="0" w:space="0" w:color="auto"/>
                  </w:divBdr>
                  <w:divsChild>
                    <w:div w:id="1138305212">
                      <w:marLeft w:val="0"/>
                      <w:marRight w:val="0"/>
                      <w:marTop w:val="0"/>
                      <w:marBottom w:val="0"/>
                      <w:divBdr>
                        <w:top w:val="none" w:sz="0" w:space="0" w:color="auto"/>
                        <w:left w:val="none" w:sz="0" w:space="0" w:color="auto"/>
                        <w:bottom w:val="none" w:sz="0" w:space="0" w:color="auto"/>
                        <w:right w:val="none" w:sz="0" w:space="0" w:color="auto"/>
                      </w:divBdr>
                      <w:divsChild>
                        <w:div w:id="1747997016">
                          <w:marLeft w:val="0"/>
                          <w:marRight w:val="0"/>
                          <w:marTop w:val="0"/>
                          <w:marBottom w:val="0"/>
                          <w:divBdr>
                            <w:top w:val="none" w:sz="0" w:space="0" w:color="auto"/>
                            <w:left w:val="none" w:sz="0" w:space="0" w:color="auto"/>
                            <w:bottom w:val="none" w:sz="0" w:space="0" w:color="auto"/>
                            <w:right w:val="none" w:sz="0" w:space="0" w:color="auto"/>
                          </w:divBdr>
                          <w:divsChild>
                            <w:div w:id="537426668">
                              <w:marLeft w:val="0"/>
                              <w:marRight w:val="0"/>
                              <w:marTop w:val="0"/>
                              <w:marBottom w:val="0"/>
                              <w:divBdr>
                                <w:top w:val="none" w:sz="0" w:space="0" w:color="auto"/>
                                <w:left w:val="none" w:sz="0" w:space="0" w:color="auto"/>
                                <w:bottom w:val="none" w:sz="0" w:space="0" w:color="auto"/>
                                <w:right w:val="none" w:sz="0" w:space="0" w:color="auto"/>
                              </w:divBdr>
                              <w:divsChild>
                                <w:div w:id="83579327">
                                  <w:marLeft w:val="0"/>
                                  <w:marRight w:val="0"/>
                                  <w:marTop w:val="0"/>
                                  <w:marBottom w:val="0"/>
                                  <w:divBdr>
                                    <w:top w:val="none" w:sz="0" w:space="0" w:color="auto"/>
                                    <w:left w:val="none" w:sz="0" w:space="0" w:color="auto"/>
                                    <w:bottom w:val="none" w:sz="0" w:space="0" w:color="auto"/>
                                    <w:right w:val="none" w:sz="0" w:space="0" w:color="auto"/>
                                  </w:divBdr>
                                  <w:divsChild>
                                    <w:div w:id="2143692416">
                                      <w:marLeft w:val="0"/>
                                      <w:marRight w:val="0"/>
                                      <w:marTop w:val="0"/>
                                      <w:marBottom w:val="0"/>
                                      <w:divBdr>
                                        <w:top w:val="none" w:sz="0" w:space="0" w:color="auto"/>
                                        <w:left w:val="none" w:sz="0" w:space="0" w:color="auto"/>
                                        <w:bottom w:val="none" w:sz="0" w:space="0" w:color="auto"/>
                                        <w:right w:val="none" w:sz="0" w:space="0" w:color="auto"/>
                                      </w:divBdr>
                                      <w:divsChild>
                                        <w:div w:id="1776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2382">
                                  <w:marLeft w:val="0"/>
                                  <w:marRight w:val="0"/>
                                  <w:marTop w:val="0"/>
                                  <w:marBottom w:val="0"/>
                                  <w:divBdr>
                                    <w:top w:val="none" w:sz="0" w:space="0" w:color="auto"/>
                                    <w:left w:val="none" w:sz="0" w:space="0" w:color="auto"/>
                                    <w:bottom w:val="none" w:sz="0" w:space="0" w:color="auto"/>
                                    <w:right w:val="none" w:sz="0" w:space="0" w:color="auto"/>
                                  </w:divBdr>
                                  <w:divsChild>
                                    <w:div w:id="131990787">
                                      <w:marLeft w:val="0"/>
                                      <w:marRight w:val="0"/>
                                      <w:marTop w:val="0"/>
                                      <w:marBottom w:val="0"/>
                                      <w:divBdr>
                                        <w:top w:val="none" w:sz="0" w:space="0" w:color="auto"/>
                                        <w:left w:val="none" w:sz="0" w:space="0" w:color="auto"/>
                                        <w:bottom w:val="none" w:sz="0" w:space="0" w:color="auto"/>
                                        <w:right w:val="none" w:sz="0" w:space="0" w:color="auto"/>
                                      </w:divBdr>
                                      <w:divsChild>
                                        <w:div w:id="1968855186">
                                          <w:marLeft w:val="0"/>
                                          <w:marRight w:val="0"/>
                                          <w:marTop w:val="0"/>
                                          <w:marBottom w:val="0"/>
                                          <w:divBdr>
                                            <w:top w:val="none" w:sz="0" w:space="0" w:color="auto"/>
                                            <w:left w:val="none" w:sz="0" w:space="0" w:color="auto"/>
                                            <w:bottom w:val="none" w:sz="0" w:space="0" w:color="auto"/>
                                            <w:right w:val="none" w:sz="0" w:space="0" w:color="auto"/>
                                          </w:divBdr>
                                          <w:divsChild>
                                            <w:div w:id="36857943">
                                              <w:marLeft w:val="0"/>
                                              <w:marRight w:val="0"/>
                                              <w:marTop w:val="0"/>
                                              <w:marBottom w:val="0"/>
                                              <w:divBdr>
                                                <w:top w:val="none" w:sz="0" w:space="0" w:color="auto"/>
                                                <w:left w:val="none" w:sz="0" w:space="0" w:color="auto"/>
                                                <w:bottom w:val="none" w:sz="0" w:space="0" w:color="auto"/>
                                                <w:right w:val="none" w:sz="0" w:space="0" w:color="auto"/>
                                              </w:divBdr>
                                              <w:divsChild>
                                                <w:div w:id="722214060">
                                                  <w:marLeft w:val="0"/>
                                                  <w:marRight w:val="0"/>
                                                  <w:marTop w:val="0"/>
                                                  <w:marBottom w:val="0"/>
                                                  <w:divBdr>
                                                    <w:top w:val="none" w:sz="0" w:space="0" w:color="auto"/>
                                                    <w:left w:val="none" w:sz="0" w:space="0" w:color="auto"/>
                                                    <w:bottom w:val="none" w:sz="0" w:space="0" w:color="auto"/>
                                                    <w:right w:val="none" w:sz="0" w:space="0" w:color="auto"/>
                                                  </w:divBdr>
                                                  <w:divsChild>
                                                    <w:div w:id="14393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352580">
          <w:marLeft w:val="0"/>
          <w:marRight w:val="0"/>
          <w:marTop w:val="0"/>
          <w:marBottom w:val="0"/>
          <w:divBdr>
            <w:top w:val="none" w:sz="0" w:space="0" w:color="auto"/>
            <w:left w:val="none" w:sz="0" w:space="0" w:color="auto"/>
            <w:bottom w:val="none" w:sz="0" w:space="0" w:color="auto"/>
            <w:right w:val="none" w:sz="0" w:space="0" w:color="auto"/>
          </w:divBdr>
          <w:divsChild>
            <w:div w:id="234827921">
              <w:marLeft w:val="0"/>
              <w:marRight w:val="0"/>
              <w:marTop w:val="0"/>
              <w:marBottom w:val="0"/>
              <w:divBdr>
                <w:top w:val="none" w:sz="0" w:space="0" w:color="auto"/>
                <w:left w:val="none" w:sz="0" w:space="0" w:color="auto"/>
                <w:bottom w:val="none" w:sz="0" w:space="0" w:color="auto"/>
                <w:right w:val="none" w:sz="0" w:space="0" w:color="auto"/>
              </w:divBdr>
              <w:divsChild>
                <w:div w:id="2057583700">
                  <w:marLeft w:val="0"/>
                  <w:marRight w:val="0"/>
                  <w:marTop w:val="0"/>
                  <w:marBottom w:val="0"/>
                  <w:divBdr>
                    <w:top w:val="none" w:sz="0" w:space="0" w:color="auto"/>
                    <w:left w:val="none" w:sz="0" w:space="0" w:color="auto"/>
                    <w:bottom w:val="none" w:sz="0" w:space="0" w:color="auto"/>
                    <w:right w:val="none" w:sz="0" w:space="0" w:color="auto"/>
                  </w:divBdr>
                  <w:divsChild>
                    <w:div w:id="61173778">
                      <w:marLeft w:val="0"/>
                      <w:marRight w:val="0"/>
                      <w:marTop w:val="0"/>
                      <w:marBottom w:val="0"/>
                      <w:divBdr>
                        <w:top w:val="none" w:sz="0" w:space="0" w:color="auto"/>
                        <w:left w:val="none" w:sz="0" w:space="0" w:color="auto"/>
                        <w:bottom w:val="none" w:sz="0" w:space="0" w:color="auto"/>
                        <w:right w:val="none" w:sz="0" w:space="0" w:color="auto"/>
                      </w:divBdr>
                      <w:divsChild>
                        <w:div w:id="1370374786">
                          <w:marLeft w:val="0"/>
                          <w:marRight w:val="0"/>
                          <w:marTop w:val="0"/>
                          <w:marBottom w:val="0"/>
                          <w:divBdr>
                            <w:top w:val="none" w:sz="0" w:space="0" w:color="auto"/>
                            <w:left w:val="none" w:sz="0" w:space="0" w:color="auto"/>
                            <w:bottom w:val="none" w:sz="0" w:space="0" w:color="auto"/>
                            <w:right w:val="none" w:sz="0" w:space="0" w:color="auto"/>
                          </w:divBdr>
                          <w:divsChild>
                            <w:div w:id="301235825">
                              <w:marLeft w:val="0"/>
                              <w:marRight w:val="0"/>
                              <w:marTop w:val="0"/>
                              <w:marBottom w:val="0"/>
                              <w:divBdr>
                                <w:top w:val="none" w:sz="0" w:space="0" w:color="auto"/>
                                <w:left w:val="none" w:sz="0" w:space="0" w:color="auto"/>
                                <w:bottom w:val="none" w:sz="0" w:space="0" w:color="auto"/>
                                <w:right w:val="none" w:sz="0" w:space="0" w:color="auto"/>
                              </w:divBdr>
                              <w:divsChild>
                                <w:div w:id="866599094">
                                  <w:marLeft w:val="0"/>
                                  <w:marRight w:val="0"/>
                                  <w:marTop w:val="0"/>
                                  <w:marBottom w:val="0"/>
                                  <w:divBdr>
                                    <w:top w:val="none" w:sz="0" w:space="0" w:color="auto"/>
                                    <w:left w:val="none" w:sz="0" w:space="0" w:color="auto"/>
                                    <w:bottom w:val="none" w:sz="0" w:space="0" w:color="auto"/>
                                    <w:right w:val="none" w:sz="0" w:space="0" w:color="auto"/>
                                  </w:divBdr>
                                </w:div>
                              </w:divsChild>
                            </w:div>
                            <w:div w:id="1202324385">
                              <w:marLeft w:val="0"/>
                              <w:marRight w:val="0"/>
                              <w:marTop w:val="0"/>
                              <w:marBottom w:val="0"/>
                              <w:divBdr>
                                <w:top w:val="none" w:sz="0" w:space="0" w:color="auto"/>
                                <w:left w:val="none" w:sz="0" w:space="0" w:color="auto"/>
                                <w:bottom w:val="none" w:sz="0" w:space="0" w:color="auto"/>
                                <w:right w:val="none" w:sz="0" w:space="0" w:color="auto"/>
                              </w:divBdr>
                              <w:divsChild>
                                <w:div w:id="1351252842">
                                  <w:marLeft w:val="0"/>
                                  <w:marRight w:val="0"/>
                                  <w:marTop w:val="0"/>
                                  <w:marBottom w:val="0"/>
                                  <w:divBdr>
                                    <w:top w:val="none" w:sz="0" w:space="0" w:color="auto"/>
                                    <w:left w:val="none" w:sz="0" w:space="0" w:color="auto"/>
                                    <w:bottom w:val="none" w:sz="0" w:space="0" w:color="auto"/>
                                    <w:right w:val="none" w:sz="0" w:space="0" w:color="auto"/>
                                  </w:divBdr>
                                  <w:divsChild>
                                    <w:div w:id="16784933">
                                      <w:marLeft w:val="0"/>
                                      <w:marRight w:val="0"/>
                                      <w:marTop w:val="0"/>
                                      <w:marBottom w:val="0"/>
                                      <w:divBdr>
                                        <w:top w:val="none" w:sz="0" w:space="0" w:color="auto"/>
                                        <w:left w:val="none" w:sz="0" w:space="0" w:color="auto"/>
                                        <w:bottom w:val="none" w:sz="0" w:space="0" w:color="auto"/>
                                        <w:right w:val="none" w:sz="0" w:space="0" w:color="auto"/>
                                      </w:divBdr>
                                      <w:divsChild>
                                        <w:div w:id="1542786929">
                                          <w:marLeft w:val="0"/>
                                          <w:marRight w:val="0"/>
                                          <w:marTop w:val="0"/>
                                          <w:marBottom w:val="0"/>
                                          <w:divBdr>
                                            <w:top w:val="none" w:sz="0" w:space="0" w:color="auto"/>
                                            <w:left w:val="none" w:sz="0" w:space="0" w:color="auto"/>
                                            <w:bottom w:val="none" w:sz="0" w:space="0" w:color="auto"/>
                                            <w:right w:val="none" w:sz="0" w:space="0" w:color="auto"/>
                                          </w:divBdr>
                                          <w:divsChild>
                                            <w:div w:id="229854449">
                                              <w:marLeft w:val="0"/>
                                              <w:marRight w:val="0"/>
                                              <w:marTop w:val="0"/>
                                              <w:marBottom w:val="0"/>
                                              <w:divBdr>
                                                <w:top w:val="none" w:sz="0" w:space="0" w:color="auto"/>
                                                <w:left w:val="none" w:sz="0" w:space="0" w:color="auto"/>
                                                <w:bottom w:val="none" w:sz="0" w:space="0" w:color="auto"/>
                                                <w:right w:val="none" w:sz="0" w:space="0" w:color="auto"/>
                                              </w:divBdr>
                                              <w:divsChild>
                                                <w:div w:id="797799059">
                                                  <w:marLeft w:val="0"/>
                                                  <w:marRight w:val="0"/>
                                                  <w:marTop w:val="0"/>
                                                  <w:marBottom w:val="0"/>
                                                  <w:divBdr>
                                                    <w:top w:val="none" w:sz="0" w:space="0" w:color="auto"/>
                                                    <w:left w:val="none" w:sz="0" w:space="0" w:color="auto"/>
                                                    <w:bottom w:val="none" w:sz="0" w:space="0" w:color="auto"/>
                                                    <w:right w:val="none" w:sz="0" w:space="0" w:color="auto"/>
                                                  </w:divBdr>
                                                  <w:divsChild>
                                                    <w:div w:id="685863818">
                                                      <w:marLeft w:val="0"/>
                                                      <w:marRight w:val="0"/>
                                                      <w:marTop w:val="0"/>
                                                      <w:marBottom w:val="0"/>
                                                      <w:divBdr>
                                                        <w:top w:val="none" w:sz="0" w:space="0" w:color="auto"/>
                                                        <w:left w:val="none" w:sz="0" w:space="0" w:color="auto"/>
                                                        <w:bottom w:val="none" w:sz="0" w:space="0" w:color="auto"/>
                                                        <w:right w:val="none" w:sz="0" w:space="0" w:color="auto"/>
                                                      </w:divBdr>
                                                      <w:divsChild>
                                                        <w:div w:id="373770805">
                                                          <w:marLeft w:val="0"/>
                                                          <w:marRight w:val="0"/>
                                                          <w:marTop w:val="0"/>
                                                          <w:marBottom w:val="0"/>
                                                          <w:divBdr>
                                                            <w:top w:val="none" w:sz="0" w:space="0" w:color="auto"/>
                                                            <w:left w:val="none" w:sz="0" w:space="0" w:color="auto"/>
                                                            <w:bottom w:val="none" w:sz="0" w:space="0" w:color="auto"/>
                                                            <w:right w:val="none" w:sz="0" w:space="0" w:color="auto"/>
                                                          </w:divBdr>
                                                          <w:divsChild>
                                                            <w:div w:id="262420681">
                                                              <w:marLeft w:val="0"/>
                                                              <w:marRight w:val="0"/>
                                                              <w:marTop w:val="0"/>
                                                              <w:marBottom w:val="0"/>
                                                              <w:divBdr>
                                                                <w:top w:val="none" w:sz="0" w:space="0" w:color="auto"/>
                                                                <w:left w:val="none" w:sz="0" w:space="0" w:color="auto"/>
                                                                <w:bottom w:val="none" w:sz="0" w:space="0" w:color="auto"/>
                                                                <w:right w:val="none" w:sz="0" w:space="0" w:color="auto"/>
                                                              </w:divBdr>
                                                            </w:div>
                                                            <w:div w:id="1795905916">
                                                              <w:marLeft w:val="0"/>
                                                              <w:marRight w:val="0"/>
                                                              <w:marTop w:val="0"/>
                                                              <w:marBottom w:val="0"/>
                                                              <w:divBdr>
                                                                <w:top w:val="none" w:sz="0" w:space="0" w:color="auto"/>
                                                                <w:left w:val="none" w:sz="0" w:space="0" w:color="auto"/>
                                                                <w:bottom w:val="none" w:sz="0" w:space="0" w:color="auto"/>
                                                                <w:right w:val="none" w:sz="0" w:space="0" w:color="auto"/>
                                                              </w:divBdr>
                                                              <w:divsChild>
                                                                <w:div w:id="1255557164">
                                                                  <w:marLeft w:val="0"/>
                                                                  <w:marRight w:val="0"/>
                                                                  <w:marTop w:val="0"/>
                                                                  <w:marBottom w:val="0"/>
                                                                  <w:divBdr>
                                                                    <w:top w:val="none" w:sz="0" w:space="0" w:color="auto"/>
                                                                    <w:left w:val="none" w:sz="0" w:space="0" w:color="auto"/>
                                                                    <w:bottom w:val="none" w:sz="0" w:space="0" w:color="auto"/>
                                                                    <w:right w:val="none" w:sz="0" w:space="0" w:color="auto"/>
                                                                  </w:divBdr>
                                                                  <w:divsChild>
                                                                    <w:div w:id="288782033">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7975">
                                                          <w:marLeft w:val="0"/>
                                                          <w:marRight w:val="0"/>
                                                          <w:marTop w:val="0"/>
                                                          <w:marBottom w:val="0"/>
                                                          <w:divBdr>
                                                            <w:top w:val="none" w:sz="0" w:space="0" w:color="auto"/>
                                                            <w:left w:val="none" w:sz="0" w:space="0" w:color="auto"/>
                                                            <w:bottom w:val="none" w:sz="0" w:space="0" w:color="auto"/>
                                                            <w:right w:val="none" w:sz="0" w:space="0" w:color="auto"/>
                                                          </w:divBdr>
                                                          <w:divsChild>
                                                            <w:div w:id="17634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6728">
          <w:marLeft w:val="0"/>
          <w:marRight w:val="0"/>
          <w:marTop w:val="0"/>
          <w:marBottom w:val="0"/>
          <w:divBdr>
            <w:top w:val="none" w:sz="0" w:space="0" w:color="auto"/>
            <w:left w:val="none" w:sz="0" w:space="0" w:color="auto"/>
            <w:bottom w:val="none" w:sz="0" w:space="0" w:color="auto"/>
            <w:right w:val="none" w:sz="0" w:space="0" w:color="auto"/>
          </w:divBdr>
          <w:divsChild>
            <w:div w:id="782962401">
              <w:marLeft w:val="0"/>
              <w:marRight w:val="0"/>
              <w:marTop w:val="0"/>
              <w:marBottom w:val="0"/>
              <w:divBdr>
                <w:top w:val="none" w:sz="0" w:space="0" w:color="auto"/>
                <w:left w:val="none" w:sz="0" w:space="0" w:color="auto"/>
                <w:bottom w:val="none" w:sz="0" w:space="0" w:color="auto"/>
                <w:right w:val="none" w:sz="0" w:space="0" w:color="auto"/>
              </w:divBdr>
              <w:divsChild>
                <w:div w:id="2030135845">
                  <w:marLeft w:val="0"/>
                  <w:marRight w:val="0"/>
                  <w:marTop w:val="0"/>
                  <w:marBottom w:val="0"/>
                  <w:divBdr>
                    <w:top w:val="none" w:sz="0" w:space="0" w:color="auto"/>
                    <w:left w:val="none" w:sz="0" w:space="0" w:color="auto"/>
                    <w:bottom w:val="none" w:sz="0" w:space="0" w:color="auto"/>
                    <w:right w:val="none" w:sz="0" w:space="0" w:color="auto"/>
                  </w:divBdr>
                  <w:divsChild>
                    <w:div w:id="231896356">
                      <w:marLeft w:val="0"/>
                      <w:marRight w:val="0"/>
                      <w:marTop w:val="0"/>
                      <w:marBottom w:val="0"/>
                      <w:divBdr>
                        <w:top w:val="none" w:sz="0" w:space="0" w:color="auto"/>
                        <w:left w:val="none" w:sz="0" w:space="0" w:color="auto"/>
                        <w:bottom w:val="none" w:sz="0" w:space="0" w:color="auto"/>
                        <w:right w:val="none" w:sz="0" w:space="0" w:color="auto"/>
                      </w:divBdr>
                    </w:div>
                    <w:div w:id="274530654">
                      <w:marLeft w:val="0"/>
                      <w:marRight w:val="0"/>
                      <w:marTop w:val="0"/>
                      <w:marBottom w:val="0"/>
                      <w:divBdr>
                        <w:top w:val="none" w:sz="0" w:space="0" w:color="auto"/>
                        <w:left w:val="none" w:sz="0" w:space="0" w:color="auto"/>
                        <w:bottom w:val="none" w:sz="0" w:space="0" w:color="auto"/>
                        <w:right w:val="none" w:sz="0" w:space="0" w:color="auto"/>
                      </w:divBdr>
                      <w:divsChild>
                        <w:div w:id="427655094">
                          <w:marLeft w:val="0"/>
                          <w:marRight w:val="0"/>
                          <w:marTop w:val="0"/>
                          <w:marBottom w:val="0"/>
                          <w:divBdr>
                            <w:top w:val="none" w:sz="0" w:space="0" w:color="auto"/>
                            <w:left w:val="none" w:sz="0" w:space="0" w:color="auto"/>
                            <w:bottom w:val="none" w:sz="0" w:space="0" w:color="auto"/>
                            <w:right w:val="none" w:sz="0" w:space="0" w:color="auto"/>
                          </w:divBdr>
                          <w:divsChild>
                            <w:div w:id="1403405404">
                              <w:marLeft w:val="0"/>
                              <w:marRight w:val="0"/>
                              <w:marTop w:val="0"/>
                              <w:marBottom w:val="0"/>
                              <w:divBdr>
                                <w:top w:val="none" w:sz="0" w:space="0" w:color="auto"/>
                                <w:left w:val="none" w:sz="0" w:space="0" w:color="auto"/>
                                <w:bottom w:val="none" w:sz="0" w:space="0" w:color="auto"/>
                                <w:right w:val="none" w:sz="0" w:space="0" w:color="auto"/>
                              </w:divBdr>
                              <w:divsChild>
                                <w:div w:id="555897617">
                                  <w:marLeft w:val="0"/>
                                  <w:marRight w:val="0"/>
                                  <w:marTop w:val="0"/>
                                  <w:marBottom w:val="0"/>
                                  <w:divBdr>
                                    <w:top w:val="none" w:sz="0" w:space="0" w:color="auto"/>
                                    <w:left w:val="none" w:sz="0" w:space="0" w:color="auto"/>
                                    <w:bottom w:val="none" w:sz="0" w:space="0" w:color="auto"/>
                                    <w:right w:val="none" w:sz="0" w:space="0" w:color="auto"/>
                                  </w:divBdr>
                                  <w:divsChild>
                                    <w:div w:id="1988852665">
                                      <w:marLeft w:val="0"/>
                                      <w:marRight w:val="0"/>
                                      <w:marTop w:val="0"/>
                                      <w:marBottom w:val="0"/>
                                      <w:divBdr>
                                        <w:top w:val="none" w:sz="0" w:space="0" w:color="auto"/>
                                        <w:left w:val="none" w:sz="0" w:space="0" w:color="auto"/>
                                        <w:bottom w:val="none" w:sz="0" w:space="0" w:color="auto"/>
                                        <w:right w:val="none" w:sz="0" w:space="0" w:color="auto"/>
                                      </w:divBdr>
                                      <w:divsChild>
                                        <w:div w:id="2143571963">
                                          <w:marLeft w:val="0"/>
                                          <w:marRight w:val="0"/>
                                          <w:marTop w:val="0"/>
                                          <w:marBottom w:val="0"/>
                                          <w:divBdr>
                                            <w:top w:val="none" w:sz="0" w:space="0" w:color="auto"/>
                                            <w:left w:val="none" w:sz="0" w:space="0" w:color="auto"/>
                                            <w:bottom w:val="none" w:sz="0" w:space="0" w:color="auto"/>
                                            <w:right w:val="none" w:sz="0" w:space="0" w:color="auto"/>
                                          </w:divBdr>
                                          <w:divsChild>
                                            <w:div w:id="206770437">
                                              <w:marLeft w:val="0"/>
                                              <w:marRight w:val="0"/>
                                              <w:marTop w:val="0"/>
                                              <w:marBottom w:val="0"/>
                                              <w:divBdr>
                                                <w:top w:val="none" w:sz="0" w:space="0" w:color="auto"/>
                                                <w:left w:val="none" w:sz="0" w:space="0" w:color="auto"/>
                                                <w:bottom w:val="none" w:sz="0" w:space="0" w:color="auto"/>
                                                <w:right w:val="none" w:sz="0" w:space="0" w:color="auto"/>
                                              </w:divBdr>
                                              <w:divsChild>
                                                <w:div w:id="533536951">
                                                  <w:marLeft w:val="0"/>
                                                  <w:marRight w:val="0"/>
                                                  <w:marTop w:val="0"/>
                                                  <w:marBottom w:val="0"/>
                                                  <w:divBdr>
                                                    <w:top w:val="none" w:sz="0" w:space="0" w:color="auto"/>
                                                    <w:left w:val="none" w:sz="0" w:space="0" w:color="auto"/>
                                                    <w:bottom w:val="none" w:sz="0" w:space="0" w:color="auto"/>
                                                    <w:right w:val="none" w:sz="0" w:space="0" w:color="auto"/>
                                                  </w:divBdr>
                                                  <w:divsChild>
                                                    <w:div w:id="1464614247">
                                                      <w:marLeft w:val="0"/>
                                                      <w:marRight w:val="0"/>
                                                      <w:marTop w:val="0"/>
                                                      <w:marBottom w:val="0"/>
                                                      <w:divBdr>
                                                        <w:top w:val="none" w:sz="0" w:space="0" w:color="auto"/>
                                                        <w:left w:val="none" w:sz="0" w:space="0" w:color="auto"/>
                                                        <w:bottom w:val="none" w:sz="0" w:space="0" w:color="auto"/>
                                                        <w:right w:val="none" w:sz="0" w:space="0" w:color="auto"/>
                                                      </w:divBdr>
                                                      <w:divsChild>
                                                        <w:div w:id="977339678">
                                                          <w:marLeft w:val="0"/>
                                                          <w:marRight w:val="0"/>
                                                          <w:marTop w:val="0"/>
                                                          <w:marBottom w:val="0"/>
                                                          <w:divBdr>
                                                            <w:top w:val="none" w:sz="0" w:space="0" w:color="auto"/>
                                                            <w:left w:val="none" w:sz="0" w:space="0" w:color="auto"/>
                                                            <w:bottom w:val="none" w:sz="0" w:space="0" w:color="auto"/>
                                                            <w:right w:val="none" w:sz="0" w:space="0" w:color="auto"/>
                                                          </w:divBdr>
                                                          <w:divsChild>
                                                            <w:div w:id="1591698968">
                                                              <w:marLeft w:val="0"/>
                                                              <w:marRight w:val="0"/>
                                                              <w:marTop w:val="0"/>
                                                              <w:marBottom w:val="0"/>
                                                              <w:divBdr>
                                                                <w:top w:val="none" w:sz="0" w:space="0" w:color="auto"/>
                                                                <w:left w:val="none" w:sz="0" w:space="0" w:color="auto"/>
                                                                <w:bottom w:val="none" w:sz="0" w:space="0" w:color="auto"/>
                                                                <w:right w:val="none" w:sz="0" w:space="0" w:color="auto"/>
                                                              </w:divBdr>
                                                            </w:div>
                                                            <w:div w:id="1800491433">
                                                              <w:marLeft w:val="0"/>
                                                              <w:marRight w:val="0"/>
                                                              <w:marTop w:val="0"/>
                                                              <w:marBottom w:val="0"/>
                                                              <w:divBdr>
                                                                <w:top w:val="none" w:sz="0" w:space="0" w:color="auto"/>
                                                                <w:left w:val="none" w:sz="0" w:space="0" w:color="auto"/>
                                                                <w:bottom w:val="none" w:sz="0" w:space="0" w:color="auto"/>
                                                                <w:right w:val="none" w:sz="0" w:space="0" w:color="auto"/>
                                                              </w:divBdr>
                                                              <w:divsChild>
                                                                <w:div w:id="2011833833">
                                                                  <w:marLeft w:val="0"/>
                                                                  <w:marRight w:val="0"/>
                                                                  <w:marTop w:val="0"/>
                                                                  <w:marBottom w:val="0"/>
                                                                  <w:divBdr>
                                                                    <w:top w:val="none" w:sz="0" w:space="0" w:color="auto"/>
                                                                    <w:left w:val="none" w:sz="0" w:space="0" w:color="auto"/>
                                                                    <w:bottom w:val="none" w:sz="0" w:space="0" w:color="auto"/>
                                                                    <w:right w:val="none" w:sz="0" w:space="0" w:color="auto"/>
                                                                  </w:divBdr>
                                                                  <w:divsChild>
                                                                    <w:div w:id="1371804419">
                                                                      <w:marLeft w:val="0"/>
                                                                      <w:marRight w:val="0"/>
                                                                      <w:marTop w:val="0"/>
                                                                      <w:marBottom w:val="0"/>
                                                                      <w:divBdr>
                                                                        <w:top w:val="none" w:sz="0" w:space="0" w:color="auto"/>
                                                                        <w:left w:val="none" w:sz="0" w:space="0" w:color="auto"/>
                                                                        <w:bottom w:val="none" w:sz="0" w:space="0" w:color="auto"/>
                                                                        <w:right w:val="none" w:sz="0" w:space="0" w:color="auto"/>
                                                                      </w:divBdr>
                                                                      <w:divsChild>
                                                                        <w:div w:id="2031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183411">
          <w:marLeft w:val="0"/>
          <w:marRight w:val="0"/>
          <w:marTop w:val="0"/>
          <w:marBottom w:val="0"/>
          <w:divBdr>
            <w:top w:val="none" w:sz="0" w:space="0" w:color="auto"/>
            <w:left w:val="none" w:sz="0" w:space="0" w:color="auto"/>
            <w:bottom w:val="none" w:sz="0" w:space="0" w:color="auto"/>
            <w:right w:val="none" w:sz="0" w:space="0" w:color="auto"/>
          </w:divBdr>
          <w:divsChild>
            <w:div w:id="860972445">
              <w:marLeft w:val="0"/>
              <w:marRight w:val="0"/>
              <w:marTop w:val="0"/>
              <w:marBottom w:val="0"/>
              <w:divBdr>
                <w:top w:val="none" w:sz="0" w:space="0" w:color="auto"/>
                <w:left w:val="none" w:sz="0" w:space="0" w:color="auto"/>
                <w:bottom w:val="none" w:sz="0" w:space="0" w:color="auto"/>
                <w:right w:val="none" w:sz="0" w:space="0" w:color="auto"/>
              </w:divBdr>
              <w:divsChild>
                <w:div w:id="1795442057">
                  <w:marLeft w:val="0"/>
                  <w:marRight w:val="0"/>
                  <w:marTop w:val="0"/>
                  <w:marBottom w:val="0"/>
                  <w:divBdr>
                    <w:top w:val="none" w:sz="0" w:space="0" w:color="auto"/>
                    <w:left w:val="none" w:sz="0" w:space="0" w:color="auto"/>
                    <w:bottom w:val="none" w:sz="0" w:space="0" w:color="auto"/>
                    <w:right w:val="none" w:sz="0" w:space="0" w:color="auto"/>
                  </w:divBdr>
                  <w:divsChild>
                    <w:div w:id="718213197">
                      <w:marLeft w:val="0"/>
                      <w:marRight w:val="0"/>
                      <w:marTop w:val="0"/>
                      <w:marBottom w:val="0"/>
                      <w:divBdr>
                        <w:top w:val="none" w:sz="0" w:space="0" w:color="auto"/>
                        <w:left w:val="none" w:sz="0" w:space="0" w:color="auto"/>
                        <w:bottom w:val="none" w:sz="0" w:space="0" w:color="auto"/>
                        <w:right w:val="none" w:sz="0" w:space="0" w:color="auto"/>
                      </w:divBdr>
                      <w:divsChild>
                        <w:div w:id="575017509">
                          <w:marLeft w:val="0"/>
                          <w:marRight w:val="0"/>
                          <w:marTop w:val="0"/>
                          <w:marBottom w:val="0"/>
                          <w:divBdr>
                            <w:top w:val="none" w:sz="0" w:space="0" w:color="auto"/>
                            <w:left w:val="none" w:sz="0" w:space="0" w:color="auto"/>
                            <w:bottom w:val="none" w:sz="0" w:space="0" w:color="auto"/>
                            <w:right w:val="none" w:sz="0" w:space="0" w:color="auto"/>
                          </w:divBdr>
                          <w:divsChild>
                            <w:div w:id="880945643">
                              <w:marLeft w:val="0"/>
                              <w:marRight w:val="0"/>
                              <w:marTop w:val="0"/>
                              <w:marBottom w:val="0"/>
                              <w:divBdr>
                                <w:top w:val="none" w:sz="0" w:space="0" w:color="auto"/>
                                <w:left w:val="none" w:sz="0" w:space="0" w:color="auto"/>
                                <w:bottom w:val="none" w:sz="0" w:space="0" w:color="auto"/>
                                <w:right w:val="none" w:sz="0" w:space="0" w:color="auto"/>
                              </w:divBdr>
                              <w:divsChild>
                                <w:div w:id="358513197">
                                  <w:marLeft w:val="0"/>
                                  <w:marRight w:val="0"/>
                                  <w:marTop w:val="0"/>
                                  <w:marBottom w:val="0"/>
                                  <w:divBdr>
                                    <w:top w:val="none" w:sz="0" w:space="0" w:color="auto"/>
                                    <w:left w:val="none" w:sz="0" w:space="0" w:color="auto"/>
                                    <w:bottom w:val="none" w:sz="0" w:space="0" w:color="auto"/>
                                    <w:right w:val="none" w:sz="0" w:space="0" w:color="auto"/>
                                  </w:divBdr>
                                  <w:divsChild>
                                    <w:div w:id="1366103516">
                                      <w:marLeft w:val="0"/>
                                      <w:marRight w:val="0"/>
                                      <w:marTop w:val="0"/>
                                      <w:marBottom w:val="0"/>
                                      <w:divBdr>
                                        <w:top w:val="none" w:sz="0" w:space="0" w:color="auto"/>
                                        <w:left w:val="none" w:sz="0" w:space="0" w:color="auto"/>
                                        <w:bottom w:val="none" w:sz="0" w:space="0" w:color="auto"/>
                                        <w:right w:val="none" w:sz="0" w:space="0" w:color="auto"/>
                                      </w:divBdr>
                                      <w:divsChild>
                                        <w:div w:id="1921670383">
                                          <w:marLeft w:val="0"/>
                                          <w:marRight w:val="0"/>
                                          <w:marTop w:val="0"/>
                                          <w:marBottom w:val="0"/>
                                          <w:divBdr>
                                            <w:top w:val="none" w:sz="0" w:space="0" w:color="auto"/>
                                            <w:left w:val="none" w:sz="0" w:space="0" w:color="auto"/>
                                            <w:bottom w:val="none" w:sz="0" w:space="0" w:color="auto"/>
                                            <w:right w:val="none" w:sz="0" w:space="0" w:color="auto"/>
                                          </w:divBdr>
                                          <w:divsChild>
                                            <w:div w:id="976227765">
                                              <w:marLeft w:val="0"/>
                                              <w:marRight w:val="0"/>
                                              <w:marTop w:val="0"/>
                                              <w:marBottom w:val="0"/>
                                              <w:divBdr>
                                                <w:top w:val="none" w:sz="0" w:space="0" w:color="auto"/>
                                                <w:left w:val="none" w:sz="0" w:space="0" w:color="auto"/>
                                                <w:bottom w:val="none" w:sz="0" w:space="0" w:color="auto"/>
                                                <w:right w:val="none" w:sz="0" w:space="0" w:color="auto"/>
                                              </w:divBdr>
                                              <w:divsChild>
                                                <w:div w:id="1622416878">
                                                  <w:marLeft w:val="0"/>
                                                  <w:marRight w:val="0"/>
                                                  <w:marTop w:val="0"/>
                                                  <w:marBottom w:val="0"/>
                                                  <w:divBdr>
                                                    <w:top w:val="none" w:sz="0" w:space="0" w:color="auto"/>
                                                    <w:left w:val="none" w:sz="0" w:space="0" w:color="auto"/>
                                                    <w:bottom w:val="none" w:sz="0" w:space="0" w:color="auto"/>
                                                    <w:right w:val="none" w:sz="0" w:space="0" w:color="auto"/>
                                                  </w:divBdr>
                                                  <w:divsChild>
                                                    <w:div w:id="146171944">
                                                      <w:marLeft w:val="0"/>
                                                      <w:marRight w:val="0"/>
                                                      <w:marTop w:val="0"/>
                                                      <w:marBottom w:val="0"/>
                                                      <w:divBdr>
                                                        <w:top w:val="none" w:sz="0" w:space="0" w:color="auto"/>
                                                        <w:left w:val="none" w:sz="0" w:space="0" w:color="auto"/>
                                                        <w:bottom w:val="none" w:sz="0" w:space="0" w:color="auto"/>
                                                        <w:right w:val="none" w:sz="0" w:space="0" w:color="auto"/>
                                                      </w:divBdr>
                                                      <w:divsChild>
                                                        <w:div w:id="1198082140">
                                                          <w:marLeft w:val="0"/>
                                                          <w:marRight w:val="0"/>
                                                          <w:marTop w:val="0"/>
                                                          <w:marBottom w:val="0"/>
                                                          <w:divBdr>
                                                            <w:top w:val="none" w:sz="0" w:space="0" w:color="auto"/>
                                                            <w:left w:val="none" w:sz="0" w:space="0" w:color="auto"/>
                                                            <w:bottom w:val="none" w:sz="0" w:space="0" w:color="auto"/>
                                                            <w:right w:val="none" w:sz="0" w:space="0" w:color="auto"/>
                                                          </w:divBdr>
                                                          <w:divsChild>
                                                            <w:div w:id="514154064">
                                                              <w:marLeft w:val="0"/>
                                                              <w:marRight w:val="0"/>
                                                              <w:marTop w:val="0"/>
                                                              <w:marBottom w:val="0"/>
                                                              <w:divBdr>
                                                                <w:top w:val="none" w:sz="0" w:space="0" w:color="auto"/>
                                                                <w:left w:val="none" w:sz="0" w:space="0" w:color="auto"/>
                                                                <w:bottom w:val="none" w:sz="0" w:space="0" w:color="auto"/>
                                                                <w:right w:val="none" w:sz="0" w:space="0" w:color="auto"/>
                                                              </w:divBdr>
                                                              <w:divsChild>
                                                                <w:div w:id="765467877">
                                                                  <w:marLeft w:val="0"/>
                                                                  <w:marRight w:val="0"/>
                                                                  <w:marTop w:val="0"/>
                                                                  <w:marBottom w:val="0"/>
                                                                  <w:divBdr>
                                                                    <w:top w:val="none" w:sz="0" w:space="0" w:color="auto"/>
                                                                    <w:left w:val="none" w:sz="0" w:space="0" w:color="auto"/>
                                                                    <w:bottom w:val="none" w:sz="0" w:space="0" w:color="auto"/>
                                                                    <w:right w:val="none" w:sz="0" w:space="0" w:color="auto"/>
                                                                  </w:divBdr>
                                                                  <w:divsChild>
                                                                    <w:div w:id="129330071">
                                                                      <w:marLeft w:val="0"/>
                                                                      <w:marRight w:val="0"/>
                                                                      <w:marTop w:val="0"/>
                                                                      <w:marBottom w:val="0"/>
                                                                      <w:divBdr>
                                                                        <w:top w:val="none" w:sz="0" w:space="0" w:color="auto"/>
                                                                        <w:left w:val="none" w:sz="0" w:space="0" w:color="auto"/>
                                                                        <w:bottom w:val="none" w:sz="0" w:space="0" w:color="auto"/>
                                                                        <w:right w:val="none" w:sz="0" w:space="0" w:color="auto"/>
                                                                      </w:divBdr>
                                                                      <w:divsChild>
                                                                        <w:div w:id="477502967">
                                                                          <w:marLeft w:val="0"/>
                                                                          <w:marRight w:val="0"/>
                                                                          <w:marTop w:val="0"/>
                                                                          <w:marBottom w:val="0"/>
                                                                          <w:divBdr>
                                                                            <w:top w:val="none" w:sz="0" w:space="0" w:color="auto"/>
                                                                            <w:left w:val="none" w:sz="0" w:space="0" w:color="auto"/>
                                                                            <w:bottom w:val="none" w:sz="0" w:space="0" w:color="auto"/>
                                                                            <w:right w:val="none" w:sz="0" w:space="0" w:color="auto"/>
                                                                          </w:divBdr>
                                                                        </w:div>
                                                                        <w:div w:id="793211719">
                                                                          <w:marLeft w:val="0"/>
                                                                          <w:marRight w:val="0"/>
                                                                          <w:marTop w:val="0"/>
                                                                          <w:marBottom w:val="0"/>
                                                                          <w:divBdr>
                                                                            <w:top w:val="none" w:sz="0" w:space="0" w:color="auto"/>
                                                                            <w:left w:val="none" w:sz="0" w:space="0" w:color="auto"/>
                                                                            <w:bottom w:val="none" w:sz="0" w:space="0" w:color="auto"/>
                                                                            <w:right w:val="none" w:sz="0" w:space="0" w:color="auto"/>
                                                                          </w:divBdr>
                                                                        </w:div>
                                                                      </w:divsChild>
                                                                    </w:div>
                                                                    <w:div w:id="1452242546">
                                                                      <w:marLeft w:val="0"/>
                                                                      <w:marRight w:val="0"/>
                                                                      <w:marTop w:val="0"/>
                                                                      <w:marBottom w:val="0"/>
                                                                      <w:divBdr>
                                                                        <w:top w:val="none" w:sz="0" w:space="0" w:color="auto"/>
                                                                        <w:left w:val="none" w:sz="0" w:space="0" w:color="auto"/>
                                                                        <w:bottom w:val="none" w:sz="0" w:space="0" w:color="auto"/>
                                                                        <w:right w:val="none" w:sz="0" w:space="0" w:color="auto"/>
                                                                      </w:divBdr>
                                                                      <w:divsChild>
                                                                        <w:div w:id="590241294">
                                                                          <w:marLeft w:val="0"/>
                                                                          <w:marRight w:val="0"/>
                                                                          <w:marTop w:val="0"/>
                                                                          <w:marBottom w:val="0"/>
                                                                          <w:divBdr>
                                                                            <w:top w:val="none" w:sz="0" w:space="0" w:color="auto"/>
                                                                            <w:left w:val="none" w:sz="0" w:space="0" w:color="auto"/>
                                                                            <w:bottom w:val="none" w:sz="0" w:space="0" w:color="auto"/>
                                                                            <w:right w:val="none" w:sz="0" w:space="0" w:color="auto"/>
                                                                          </w:divBdr>
                                                                          <w:divsChild>
                                                                            <w:div w:id="132021648">
                                                                              <w:marLeft w:val="0"/>
                                                                              <w:marRight w:val="0"/>
                                                                              <w:marTop w:val="0"/>
                                                                              <w:marBottom w:val="0"/>
                                                                              <w:divBdr>
                                                                                <w:top w:val="none" w:sz="0" w:space="0" w:color="auto"/>
                                                                                <w:left w:val="none" w:sz="0" w:space="0" w:color="auto"/>
                                                                                <w:bottom w:val="none" w:sz="0" w:space="0" w:color="auto"/>
                                                                                <w:right w:val="none" w:sz="0" w:space="0" w:color="auto"/>
                                                                              </w:divBdr>
                                                                              <w:divsChild>
                                                                                <w:div w:id="244649822">
                                                                                  <w:marLeft w:val="0"/>
                                                                                  <w:marRight w:val="0"/>
                                                                                  <w:marTop w:val="0"/>
                                                                                  <w:marBottom w:val="0"/>
                                                                                  <w:divBdr>
                                                                                    <w:top w:val="none" w:sz="0" w:space="0" w:color="auto"/>
                                                                                    <w:left w:val="none" w:sz="0" w:space="0" w:color="auto"/>
                                                                                    <w:bottom w:val="none" w:sz="0" w:space="0" w:color="auto"/>
                                                                                    <w:right w:val="none" w:sz="0" w:space="0" w:color="auto"/>
                                                                                  </w:divBdr>
                                                                                  <w:divsChild>
                                                                                    <w:div w:id="69620635">
                                                                                      <w:marLeft w:val="0"/>
                                                                                      <w:marRight w:val="0"/>
                                                                                      <w:marTop w:val="0"/>
                                                                                      <w:marBottom w:val="0"/>
                                                                                      <w:divBdr>
                                                                                        <w:top w:val="none" w:sz="0" w:space="0" w:color="auto"/>
                                                                                        <w:left w:val="none" w:sz="0" w:space="0" w:color="auto"/>
                                                                                        <w:bottom w:val="none" w:sz="0" w:space="0" w:color="auto"/>
                                                                                        <w:right w:val="none" w:sz="0" w:space="0" w:color="auto"/>
                                                                                      </w:divBdr>
                                                                                      <w:divsChild>
                                                                                        <w:div w:id="26494651">
                                                                                          <w:marLeft w:val="0"/>
                                                                                          <w:marRight w:val="0"/>
                                                                                          <w:marTop w:val="0"/>
                                                                                          <w:marBottom w:val="0"/>
                                                                                          <w:divBdr>
                                                                                            <w:top w:val="none" w:sz="0" w:space="0" w:color="auto"/>
                                                                                            <w:left w:val="none" w:sz="0" w:space="0" w:color="auto"/>
                                                                                            <w:bottom w:val="none" w:sz="0" w:space="0" w:color="auto"/>
                                                                                            <w:right w:val="none" w:sz="0" w:space="0" w:color="auto"/>
                                                                                          </w:divBdr>
                                                                                          <w:divsChild>
                                                                                            <w:div w:id="974526853">
                                                                                              <w:marLeft w:val="0"/>
                                                                                              <w:marRight w:val="0"/>
                                                                                              <w:marTop w:val="0"/>
                                                                                              <w:marBottom w:val="0"/>
                                                                                              <w:divBdr>
                                                                                                <w:top w:val="none" w:sz="0" w:space="0" w:color="auto"/>
                                                                                                <w:left w:val="none" w:sz="0" w:space="0" w:color="auto"/>
                                                                                                <w:bottom w:val="none" w:sz="0" w:space="0" w:color="auto"/>
                                                                                                <w:right w:val="none" w:sz="0" w:space="0" w:color="auto"/>
                                                                                              </w:divBdr>
                                                                                              <w:divsChild>
                                                                                                <w:div w:id="480775522">
                                                                                                  <w:marLeft w:val="0"/>
                                                                                                  <w:marRight w:val="0"/>
                                                                                                  <w:marTop w:val="0"/>
                                                                                                  <w:marBottom w:val="0"/>
                                                                                                  <w:divBdr>
                                                                                                    <w:top w:val="none" w:sz="0" w:space="0" w:color="auto"/>
                                                                                                    <w:left w:val="none" w:sz="0" w:space="0" w:color="auto"/>
                                                                                                    <w:bottom w:val="none" w:sz="0" w:space="0" w:color="auto"/>
                                                                                                    <w:right w:val="none" w:sz="0" w:space="0" w:color="auto"/>
                                                                                                  </w:divBdr>
                                                                                                  <w:divsChild>
                                                                                                    <w:div w:id="1020470264">
                                                                                                      <w:marLeft w:val="0"/>
                                                                                                      <w:marRight w:val="0"/>
                                                                                                      <w:marTop w:val="0"/>
                                                                                                      <w:marBottom w:val="0"/>
                                                                                                      <w:divBdr>
                                                                                                        <w:top w:val="none" w:sz="0" w:space="0" w:color="auto"/>
                                                                                                        <w:left w:val="none" w:sz="0" w:space="0" w:color="auto"/>
                                                                                                        <w:bottom w:val="none" w:sz="0" w:space="0" w:color="auto"/>
                                                                                                        <w:right w:val="none" w:sz="0" w:space="0" w:color="auto"/>
                                                                                                      </w:divBdr>
                                                                                                      <w:divsChild>
                                                                                                        <w:div w:id="1293101017">
                                                                                                          <w:marLeft w:val="0"/>
                                                                                                          <w:marRight w:val="0"/>
                                                                                                          <w:marTop w:val="0"/>
                                                                                                          <w:marBottom w:val="0"/>
                                                                                                          <w:divBdr>
                                                                                                            <w:top w:val="none" w:sz="0" w:space="0" w:color="auto"/>
                                                                                                            <w:left w:val="none" w:sz="0" w:space="0" w:color="auto"/>
                                                                                                            <w:bottom w:val="none" w:sz="0" w:space="0" w:color="auto"/>
                                                                                                            <w:right w:val="none" w:sz="0" w:space="0" w:color="auto"/>
                                                                                                          </w:divBdr>
                                                                                                          <w:divsChild>
                                                                                                            <w:div w:id="1655793877">
                                                                                                              <w:marLeft w:val="0"/>
                                                                                                              <w:marRight w:val="0"/>
                                                                                                              <w:marTop w:val="0"/>
                                                                                                              <w:marBottom w:val="0"/>
                                                                                                              <w:divBdr>
                                                                                                                <w:top w:val="none" w:sz="0" w:space="0" w:color="auto"/>
                                                                                                                <w:left w:val="none" w:sz="0" w:space="0" w:color="auto"/>
                                                                                                                <w:bottom w:val="none" w:sz="0" w:space="0" w:color="auto"/>
                                                                                                                <w:right w:val="none" w:sz="0" w:space="0" w:color="auto"/>
                                                                                                              </w:divBdr>
                                                                                                              <w:divsChild>
                                                                                                                <w:div w:id="15199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9436">
                                                                                                      <w:marLeft w:val="0"/>
                                                                                                      <w:marRight w:val="0"/>
                                                                                                      <w:marTop w:val="0"/>
                                                                                                      <w:marBottom w:val="0"/>
                                                                                                      <w:divBdr>
                                                                                                        <w:top w:val="none" w:sz="0" w:space="0" w:color="auto"/>
                                                                                                        <w:left w:val="none" w:sz="0" w:space="0" w:color="auto"/>
                                                                                                        <w:bottom w:val="none" w:sz="0" w:space="0" w:color="auto"/>
                                                                                                        <w:right w:val="none" w:sz="0" w:space="0" w:color="auto"/>
                                                                                                      </w:divBdr>
                                                                                                    </w:div>
                                                                                                  </w:divsChild>
                                                                                                </w:div>
                                                                                                <w:div w:id="1649555441">
                                                                                                  <w:marLeft w:val="0"/>
                                                                                                  <w:marRight w:val="0"/>
                                                                                                  <w:marTop w:val="0"/>
                                                                                                  <w:marBottom w:val="0"/>
                                                                                                  <w:divBdr>
                                                                                                    <w:top w:val="none" w:sz="0" w:space="0" w:color="auto"/>
                                                                                                    <w:left w:val="none" w:sz="0" w:space="0" w:color="auto"/>
                                                                                                    <w:bottom w:val="none" w:sz="0" w:space="0" w:color="auto"/>
                                                                                                    <w:right w:val="none" w:sz="0" w:space="0" w:color="auto"/>
                                                                                                  </w:divBdr>
                                                                                                  <w:divsChild>
                                                                                                    <w:div w:id="667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764178">
          <w:marLeft w:val="0"/>
          <w:marRight w:val="0"/>
          <w:marTop w:val="0"/>
          <w:marBottom w:val="0"/>
          <w:divBdr>
            <w:top w:val="none" w:sz="0" w:space="0" w:color="auto"/>
            <w:left w:val="none" w:sz="0" w:space="0" w:color="auto"/>
            <w:bottom w:val="none" w:sz="0" w:space="0" w:color="auto"/>
            <w:right w:val="none" w:sz="0" w:space="0" w:color="auto"/>
          </w:divBdr>
          <w:divsChild>
            <w:div w:id="1517228663">
              <w:marLeft w:val="0"/>
              <w:marRight w:val="0"/>
              <w:marTop w:val="0"/>
              <w:marBottom w:val="0"/>
              <w:divBdr>
                <w:top w:val="none" w:sz="0" w:space="0" w:color="auto"/>
                <w:left w:val="none" w:sz="0" w:space="0" w:color="auto"/>
                <w:bottom w:val="none" w:sz="0" w:space="0" w:color="auto"/>
                <w:right w:val="none" w:sz="0" w:space="0" w:color="auto"/>
              </w:divBdr>
              <w:divsChild>
                <w:div w:id="174076060">
                  <w:marLeft w:val="0"/>
                  <w:marRight w:val="0"/>
                  <w:marTop w:val="0"/>
                  <w:marBottom w:val="0"/>
                  <w:divBdr>
                    <w:top w:val="none" w:sz="0" w:space="0" w:color="auto"/>
                    <w:left w:val="none" w:sz="0" w:space="0" w:color="auto"/>
                    <w:bottom w:val="none" w:sz="0" w:space="0" w:color="auto"/>
                    <w:right w:val="none" w:sz="0" w:space="0" w:color="auto"/>
                  </w:divBdr>
                </w:div>
                <w:div w:id="789401642">
                  <w:marLeft w:val="0"/>
                  <w:marRight w:val="0"/>
                  <w:marTop w:val="0"/>
                  <w:marBottom w:val="0"/>
                  <w:divBdr>
                    <w:top w:val="none" w:sz="0" w:space="0" w:color="auto"/>
                    <w:left w:val="none" w:sz="0" w:space="0" w:color="auto"/>
                    <w:bottom w:val="none" w:sz="0" w:space="0" w:color="auto"/>
                    <w:right w:val="none" w:sz="0" w:space="0" w:color="auto"/>
                  </w:divBdr>
                  <w:divsChild>
                    <w:div w:id="670260395">
                      <w:marLeft w:val="0"/>
                      <w:marRight w:val="0"/>
                      <w:marTop w:val="0"/>
                      <w:marBottom w:val="0"/>
                      <w:divBdr>
                        <w:top w:val="none" w:sz="0" w:space="0" w:color="auto"/>
                        <w:left w:val="none" w:sz="0" w:space="0" w:color="auto"/>
                        <w:bottom w:val="none" w:sz="0" w:space="0" w:color="auto"/>
                        <w:right w:val="none" w:sz="0" w:space="0" w:color="auto"/>
                      </w:divBdr>
                      <w:divsChild>
                        <w:div w:id="1546674647">
                          <w:marLeft w:val="0"/>
                          <w:marRight w:val="0"/>
                          <w:marTop w:val="0"/>
                          <w:marBottom w:val="0"/>
                          <w:divBdr>
                            <w:top w:val="none" w:sz="0" w:space="0" w:color="auto"/>
                            <w:left w:val="none" w:sz="0" w:space="0" w:color="auto"/>
                            <w:bottom w:val="none" w:sz="0" w:space="0" w:color="auto"/>
                            <w:right w:val="none" w:sz="0" w:space="0" w:color="auto"/>
                          </w:divBdr>
                          <w:divsChild>
                            <w:div w:id="669143618">
                              <w:marLeft w:val="0"/>
                              <w:marRight w:val="0"/>
                              <w:marTop w:val="0"/>
                              <w:marBottom w:val="0"/>
                              <w:divBdr>
                                <w:top w:val="none" w:sz="0" w:space="0" w:color="auto"/>
                                <w:left w:val="none" w:sz="0" w:space="0" w:color="auto"/>
                                <w:bottom w:val="none" w:sz="0" w:space="0" w:color="auto"/>
                                <w:right w:val="none" w:sz="0" w:space="0" w:color="auto"/>
                              </w:divBdr>
                              <w:divsChild>
                                <w:div w:id="794176616">
                                  <w:marLeft w:val="0"/>
                                  <w:marRight w:val="0"/>
                                  <w:marTop w:val="0"/>
                                  <w:marBottom w:val="0"/>
                                  <w:divBdr>
                                    <w:top w:val="none" w:sz="0" w:space="0" w:color="auto"/>
                                    <w:left w:val="none" w:sz="0" w:space="0" w:color="auto"/>
                                    <w:bottom w:val="none" w:sz="0" w:space="0" w:color="auto"/>
                                    <w:right w:val="none" w:sz="0" w:space="0" w:color="auto"/>
                                  </w:divBdr>
                                  <w:divsChild>
                                    <w:div w:id="854270356">
                                      <w:marLeft w:val="0"/>
                                      <w:marRight w:val="0"/>
                                      <w:marTop w:val="0"/>
                                      <w:marBottom w:val="0"/>
                                      <w:divBdr>
                                        <w:top w:val="none" w:sz="0" w:space="0" w:color="auto"/>
                                        <w:left w:val="none" w:sz="0" w:space="0" w:color="auto"/>
                                        <w:bottom w:val="none" w:sz="0" w:space="0" w:color="auto"/>
                                        <w:right w:val="none" w:sz="0" w:space="0" w:color="auto"/>
                                      </w:divBdr>
                                      <w:divsChild>
                                        <w:div w:id="13711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3100">
          <w:marLeft w:val="0"/>
          <w:marRight w:val="0"/>
          <w:marTop w:val="0"/>
          <w:marBottom w:val="0"/>
          <w:divBdr>
            <w:top w:val="none" w:sz="0" w:space="0" w:color="auto"/>
            <w:left w:val="none" w:sz="0" w:space="0" w:color="auto"/>
            <w:bottom w:val="none" w:sz="0" w:space="0" w:color="auto"/>
            <w:right w:val="none" w:sz="0" w:space="0" w:color="auto"/>
          </w:divBdr>
          <w:divsChild>
            <w:div w:id="55012706">
              <w:marLeft w:val="0"/>
              <w:marRight w:val="0"/>
              <w:marTop w:val="0"/>
              <w:marBottom w:val="0"/>
              <w:divBdr>
                <w:top w:val="none" w:sz="0" w:space="0" w:color="auto"/>
                <w:left w:val="none" w:sz="0" w:space="0" w:color="auto"/>
                <w:bottom w:val="none" w:sz="0" w:space="0" w:color="auto"/>
                <w:right w:val="none" w:sz="0" w:space="0" w:color="auto"/>
              </w:divBdr>
              <w:divsChild>
                <w:div w:id="1962683605">
                  <w:marLeft w:val="0"/>
                  <w:marRight w:val="0"/>
                  <w:marTop w:val="0"/>
                  <w:marBottom w:val="0"/>
                  <w:divBdr>
                    <w:top w:val="none" w:sz="0" w:space="0" w:color="auto"/>
                    <w:left w:val="none" w:sz="0" w:space="0" w:color="auto"/>
                    <w:bottom w:val="none" w:sz="0" w:space="0" w:color="auto"/>
                    <w:right w:val="none" w:sz="0" w:space="0" w:color="auto"/>
                  </w:divBdr>
                  <w:divsChild>
                    <w:div w:id="889876471">
                      <w:marLeft w:val="0"/>
                      <w:marRight w:val="0"/>
                      <w:marTop w:val="0"/>
                      <w:marBottom w:val="0"/>
                      <w:divBdr>
                        <w:top w:val="none" w:sz="0" w:space="0" w:color="auto"/>
                        <w:left w:val="none" w:sz="0" w:space="0" w:color="auto"/>
                        <w:bottom w:val="none" w:sz="0" w:space="0" w:color="auto"/>
                        <w:right w:val="none" w:sz="0" w:space="0" w:color="auto"/>
                      </w:divBdr>
                      <w:divsChild>
                        <w:div w:id="1379236807">
                          <w:marLeft w:val="0"/>
                          <w:marRight w:val="0"/>
                          <w:marTop w:val="0"/>
                          <w:marBottom w:val="0"/>
                          <w:divBdr>
                            <w:top w:val="none" w:sz="0" w:space="0" w:color="auto"/>
                            <w:left w:val="none" w:sz="0" w:space="0" w:color="auto"/>
                            <w:bottom w:val="none" w:sz="0" w:space="0" w:color="auto"/>
                            <w:right w:val="none" w:sz="0" w:space="0" w:color="auto"/>
                          </w:divBdr>
                          <w:divsChild>
                            <w:div w:id="1637635814">
                              <w:marLeft w:val="0"/>
                              <w:marRight w:val="0"/>
                              <w:marTop w:val="0"/>
                              <w:marBottom w:val="0"/>
                              <w:divBdr>
                                <w:top w:val="none" w:sz="0" w:space="0" w:color="auto"/>
                                <w:left w:val="none" w:sz="0" w:space="0" w:color="auto"/>
                                <w:bottom w:val="none" w:sz="0" w:space="0" w:color="auto"/>
                                <w:right w:val="none" w:sz="0" w:space="0" w:color="auto"/>
                              </w:divBdr>
                              <w:divsChild>
                                <w:div w:id="625042061">
                                  <w:marLeft w:val="0"/>
                                  <w:marRight w:val="0"/>
                                  <w:marTop w:val="0"/>
                                  <w:marBottom w:val="0"/>
                                  <w:divBdr>
                                    <w:top w:val="none" w:sz="0" w:space="0" w:color="auto"/>
                                    <w:left w:val="none" w:sz="0" w:space="0" w:color="auto"/>
                                    <w:bottom w:val="none" w:sz="0" w:space="0" w:color="auto"/>
                                    <w:right w:val="none" w:sz="0" w:space="0" w:color="auto"/>
                                  </w:divBdr>
                                  <w:divsChild>
                                    <w:div w:id="1119715098">
                                      <w:marLeft w:val="0"/>
                                      <w:marRight w:val="0"/>
                                      <w:marTop w:val="0"/>
                                      <w:marBottom w:val="0"/>
                                      <w:divBdr>
                                        <w:top w:val="none" w:sz="0" w:space="0" w:color="auto"/>
                                        <w:left w:val="none" w:sz="0" w:space="0" w:color="auto"/>
                                        <w:bottom w:val="none" w:sz="0" w:space="0" w:color="auto"/>
                                        <w:right w:val="none" w:sz="0" w:space="0" w:color="auto"/>
                                      </w:divBdr>
                                      <w:divsChild>
                                        <w:div w:id="1116364985">
                                          <w:marLeft w:val="0"/>
                                          <w:marRight w:val="0"/>
                                          <w:marTop w:val="0"/>
                                          <w:marBottom w:val="0"/>
                                          <w:divBdr>
                                            <w:top w:val="none" w:sz="0" w:space="0" w:color="auto"/>
                                            <w:left w:val="none" w:sz="0" w:space="0" w:color="auto"/>
                                            <w:bottom w:val="none" w:sz="0" w:space="0" w:color="auto"/>
                                            <w:right w:val="none" w:sz="0" w:space="0" w:color="auto"/>
                                          </w:divBdr>
                                          <w:divsChild>
                                            <w:div w:id="1001472994">
                                              <w:marLeft w:val="0"/>
                                              <w:marRight w:val="0"/>
                                              <w:marTop w:val="0"/>
                                              <w:marBottom w:val="0"/>
                                              <w:divBdr>
                                                <w:top w:val="none" w:sz="0" w:space="0" w:color="auto"/>
                                                <w:left w:val="none" w:sz="0" w:space="0" w:color="auto"/>
                                                <w:bottom w:val="none" w:sz="0" w:space="0" w:color="auto"/>
                                                <w:right w:val="none" w:sz="0" w:space="0" w:color="auto"/>
                                              </w:divBdr>
                                              <w:divsChild>
                                                <w:div w:id="1372534054">
                                                  <w:marLeft w:val="0"/>
                                                  <w:marRight w:val="0"/>
                                                  <w:marTop w:val="0"/>
                                                  <w:marBottom w:val="0"/>
                                                  <w:divBdr>
                                                    <w:top w:val="none" w:sz="0" w:space="0" w:color="auto"/>
                                                    <w:left w:val="none" w:sz="0" w:space="0" w:color="auto"/>
                                                    <w:bottom w:val="none" w:sz="0" w:space="0" w:color="auto"/>
                                                    <w:right w:val="none" w:sz="0" w:space="0" w:color="auto"/>
                                                  </w:divBdr>
                                                  <w:divsChild>
                                                    <w:div w:id="169219592">
                                                      <w:marLeft w:val="0"/>
                                                      <w:marRight w:val="0"/>
                                                      <w:marTop w:val="0"/>
                                                      <w:marBottom w:val="0"/>
                                                      <w:divBdr>
                                                        <w:top w:val="none" w:sz="0" w:space="0" w:color="auto"/>
                                                        <w:left w:val="none" w:sz="0" w:space="0" w:color="auto"/>
                                                        <w:bottom w:val="none" w:sz="0" w:space="0" w:color="auto"/>
                                                        <w:right w:val="none" w:sz="0" w:space="0" w:color="auto"/>
                                                      </w:divBdr>
                                                      <w:divsChild>
                                                        <w:div w:id="738284102">
                                                          <w:marLeft w:val="0"/>
                                                          <w:marRight w:val="0"/>
                                                          <w:marTop w:val="0"/>
                                                          <w:marBottom w:val="0"/>
                                                          <w:divBdr>
                                                            <w:top w:val="none" w:sz="0" w:space="0" w:color="auto"/>
                                                            <w:left w:val="none" w:sz="0" w:space="0" w:color="auto"/>
                                                            <w:bottom w:val="none" w:sz="0" w:space="0" w:color="auto"/>
                                                            <w:right w:val="none" w:sz="0" w:space="0" w:color="auto"/>
                                                          </w:divBdr>
                                                          <w:divsChild>
                                                            <w:div w:id="1305281747">
                                                              <w:marLeft w:val="0"/>
                                                              <w:marRight w:val="0"/>
                                                              <w:marTop w:val="0"/>
                                                              <w:marBottom w:val="0"/>
                                                              <w:divBdr>
                                                                <w:top w:val="none" w:sz="0" w:space="0" w:color="auto"/>
                                                                <w:left w:val="none" w:sz="0" w:space="0" w:color="auto"/>
                                                                <w:bottom w:val="none" w:sz="0" w:space="0" w:color="auto"/>
                                                                <w:right w:val="none" w:sz="0" w:space="0" w:color="auto"/>
                                                              </w:divBdr>
                                                              <w:divsChild>
                                                                <w:div w:id="114180303">
                                                                  <w:marLeft w:val="0"/>
                                                                  <w:marRight w:val="0"/>
                                                                  <w:marTop w:val="0"/>
                                                                  <w:marBottom w:val="0"/>
                                                                  <w:divBdr>
                                                                    <w:top w:val="none" w:sz="0" w:space="0" w:color="auto"/>
                                                                    <w:left w:val="none" w:sz="0" w:space="0" w:color="auto"/>
                                                                    <w:bottom w:val="none" w:sz="0" w:space="0" w:color="auto"/>
                                                                    <w:right w:val="none" w:sz="0" w:space="0" w:color="auto"/>
                                                                  </w:divBdr>
                                                                  <w:divsChild>
                                                                    <w:div w:id="1856574826">
                                                                      <w:marLeft w:val="0"/>
                                                                      <w:marRight w:val="0"/>
                                                                      <w:marTop w:val="0"/>
                                                                      <w:marBottom w:val="0"/>
                                                                      <w:divBdr>
                                                                        <w:top w:val="none" w:sz="0" w:space="0" w:color="auto"/>
                                                                        <w:left w:val="none" w:sz="0" w:space="0" w:color="auto"/>
                                                                        <w:bottom w:val="none" w:sz="0" w:space="0" w:color="auto"/>
                                                                        <w:right w:val="none" w:sz="0" w:space="0" w:color="auto"/>
                                                                      </w:divBdr>
                                                                      <w:divsChild>
                                                                        <w:div w:id="1022361810">
                                                                          <w:marLeft w:val="0"/>
                                                                          <w:marRight w:val="0"/>
                                                                          <w:marTop w:val="0"/>
                                                                          <w:marBottom w:val="0"/>
                                                                          <w:divBdr>
                                                                            <w:top w:val="none" w:sz="0" w:space="0" w:color="auto"/>
                                                                            <w:left w:val="none" w:sz="0" w:space="0" w:color="auto"/>
                                                                            <w:bottom w:val="none" w:sz="0" w:space="0" w:color="auto"/>
                                                                            <w:right w:val="none" w:sz="0" w:space="0" w:color="auto"/>
                                                                          </w:divBdr>
                                                                          <w:divsChild>
                                                                            <w:div w:id="1110196737">
                                                                              <w:marLeft w:val="0"/>
                                                                              <w:marRight w:val="0"/>
                                                                              <w:marTop w:val="0"/>
                                                                              <w:marBottom w:val="0"/>
                                                                              <w:divBdr>
                                                                                <w:top w:val="none" w:sz="0" w:space="0" w:color="auto"/>
                                                                                <w:left w:val="none" w:sz="0" w:space="0" w:color="auto"/>
                                                                                <w:bottom w:val="none" w:sz="0" w:space="0" w:color="auto"/>
                                                                                <w:right w:val="none" w:sz="0" w:space="0" w:color="auto"/>
                                                                              </w:divBdr>
                                                                              <w:divsChild>
                                                                                <w:div w:id="640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487">
                                                  <w:marLeft w:val="0"/>
                                                  <w:marRight w:val="0"/>
                                                  <w:marTop w:val="0"/>
                                                  <w:marBottom w:val="0"/>
                                                  <w:divBdr>
                                                    <w:top w:val="none" w:sz="0" w:space="0" w:color="auto"/>
                                                    <w:left w:val="none" w:sz="0" w:space="0" w:color="auto"/>
                                                    <w:bottom w:val="none" w:sz="0" w:space="0" w:color="auto"/>
                                                    <w:right w:val="none" w:sz="0" w:space="0" w:color="auto"/>
                                                  </w:divBdr>
                                                  <w:divsChild>
                                                    <w:div w:id="249702181">
                                                      <w:marLeft w:val="0"/>
                                                      <w:marRight w:val="0"/>
                                                      <w:marTop w:val="0"/>
                                                      <w:marBottom w:val="0"/>
                                                      <w:divBdr>
                                                        <w:top w:val="none" w:sz="0" w:space="0" w:color="auto"/>
                                                        <w:left w:val="none" w:sz="0" w:space="0" w:color="auto"/>
                                                        <w:bottom w:val="none" w:sz="0" w:space="0" w:color="auto"/>
                                                        <w:right w:val="none" w:sz="0" w:space="0" w:color="auto"/>
                                                      </w:divBdr>
                                                    </w:div>
                                                  </w:divsChild>
                                                </w:div>
                                                <w:div w:id="2088527050">
                                                  <w:marLeft w:val="0"/>
                                                  <w:marRight w:val="0"/>
                                                  <w:marTop w:val="0"/>
                                                  <w:marBottom w:val="0"/>
                                                  <w:divBdr>
                                                    <w:top w:val="none" w:sz="0" w:space="0" w:color="auto"/>
                                                    <w:left w:val="none" w:sz="0" w:space="0" w:color="auto"/>
                                                    <w:bottom w:val="none" w:sz="0" w:space="0" w:color="auto"/>
                                                    <w:right w:val="none" w:sz="0" w:space="0" w:color="auto"/>
                                                  </w:divBdr>
                                                  <w:divsChild>
                                                    <w:div w:id="1397581287">
                                                      <w:marLeft w:val="0"/>
                                                      <w:marRight w:val="0"/>
                                                      <w:marTop w:val="0"/>
                                                      <w:marBottom w:val="0"/>
                                                      <w:divBdr>
                                                        <w:top w:val="none" w:sz="0" w:space="0" w:color="auto"/>
                                                        <w:left w:val="none" w:sz="0" w:space="0" w:color="auto"/>
                                                        <w:bottom w:val="none" w:sz="0" w:space="0" w:color="auto"/>
                                                        <w:right w:val="none" w:sz="0" w:space="0" w:color="auto"/>
                                                      </w:divBdr>
                                                      <w:divsChild>
                                                        <w:div w:id="288976382">
                                                          <w:marLeft w:val="0"/>
                                                          <w:marRight w:val="0"/>
                                                          <w:marTop w:val="0"/>
                                                          <w:marBottom w:val="0"/>
                                                          <w:divBdr>
                                                            <w:top w:val="none" w:sz="0" w:space="0" w:color="auto"/>
                                                            <w:left w:val="none" w:sz="0" w:space="0" w:color="auto"/>
                                                            <w:bottom w:val="none" w:sz="0" w:space="0" w:color="auto"/>
                                                            <w:right w:val="none" w:sz="0" w:space="0" w:color="auto"/>
                                                          </w:divBdr>
                                                          <w:divsChild>
                                                            <w:div w:id="688213194">
                                                              <w:marLeft w:val="0"/>
                                                              <w:marRight w:val="0"/>
                                                              <w:marTop w:val="0"/>
                                                              <w:marBottom w:val="0"/>
                                                              <w:divBdr>
                                                                <w:top w:val="none" w:sz="0" w:space="0" w:color="auto"/>
                                                                <w:left w:val="none" w:sz="0" w:space="0" w:color="auto"/>
                                                                <w:bottom w:val="none" w:sz="0" w:space="0" w:color="auto"/>
                                                                <w:right w:val="none" w:sz="0" w:space="0" w:color="auto"/>
                                                              </w:divBdr>
                                                              <w:divsChild>
                                                                <w:div w:id="1864245221">
                                                                  <w:marLeft w:val="0"/>
                                                                  <w:marRight w:val="0"/>
                                                                  <w:marTop w:val="0"/>
                                                                  <w:marBottom w:val="0"/>
                                                                  <w:divBdr>
                                                                    <w:top w:val="none" w:sz="0" w:space="0" w:color="auto"/>
                                                                    <w:left w:val="none" w:sz="0" w:space="0" w:color="auto"/>
                                                                    <w:bottom w:val="none" w:sz="0" w:space="0" w:color="auto"/>
                                                                    <w:right w:val="none" w:sz="0" w:space="0" w:color="auto"/>
                                                                  </w:divBdr>
                                                                  <w:divsChild>
                                                                    <w:div w:id="710155863">
                                                                      <w:marLeft w:val="0"/>
                                                                      <w:marRight w:val="0"/>
                                                                      <w:marTop w:val="0"/>
                                                                      <w:marBottom w:val="0"/>
                                                                      <w:divBdr>
                                                                        <w:top w:val="none" w:sz="0" w:space="0" w:color="auto"/>
                                                                        <w:left w:val="none" w:sz="0" w:space="0" w:color="auto"/>
                                                                        <w:bottom w:val="none" w:sz="0" w:space="0" w:color="auto"/>
                                                                        <w:right w:val="none" w:sz="0" w:space="0" w:color="auto"/>
                                                                      </w:divBdr>
                                                                      <w:divsChild>
                                                                        <w:div w:id="1702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892015">
          <w:marLeft w:val="0"/>
          <w:marRight w:val="0"/>
          <w:marTop w:val="0"/>
          <w:marBottom w:val="0"/>
          <w:divBdr>
            <w:top w:val="none" w:sz="0" w:space="0" w:color="auto"/>
            <w:left w:val="none" w:sz="0" w:space="0" w:color="auto"/>
            <w:bottom w:val="none" w:sz="0" w:space="0" w:color="auto"/>
            <w:right w:val="none" w:sz="0" w:space="0" w:color="auto"/>
          </w:divBdr>
          <w:divsChild>
            <w:div w:id="588733359">
              <w:marLeft w:val="0"/>
              <w:marRight w:val="0"/>
              <w:marTop w:val="0"/>
              <w:marBottom w:val="0"/>
              <w:divBdr>
                <w:top w:val="none" w:sz="0" w:space="0" w:color="auto"/>
                <w:left w:val="none" w:sz="0" w:space="0" w:color="auto"/>
                <w:bottom w:val="none" w:sz="0" w:space="0" w:color="auto"/>
                <w:right w:val="none" w:sz="0" w:space="0" w:color="auto"/>
              </w:divBdr>
              <w:divsChild>
                <w:div w:id="1713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1631">
          <w:marLeft w:val="0"/>
          <w:marRight w:val="0"/>
          <w:marTop w:val="0"/>
          <w:marBottom w:val="0"/>
          <w:divBdr>
            <w:top w:val="none" w:sz="0" w:space="0" w:color="auto"/>
            <w:left w:val="none" w:sz="0" w:space="0" w:color="auto"/>
            <w:bottom w:val="none" w:sz="0" w:space="0" w:color="auto"/>
            <w:right w:val="none" w:sz="0" w:space="0" w:color="auto"/>
          </w:divBdr>
          <w:divsChild>
            <w:div w:id="1981298535">
              <w:marLeft w:val="0"/>
              <w:marRight w:val="0"/>
              <w:marTop w:val="0"/>
              <w:marBottom w:val="0"/>
              <w:divBdr>
                <w:top w:val="none" w:sz="0" w:space="0" w:color="auto"/>
                <w:left w:val="none" w:sz="0" w:space="0" w:color="auto"/>
                <w:bottom w:val="none" w:sz="0" w:space="0" w:color="auto"/>
                <w:right w:val="none" w:sz="0" w:space="0" w:color="auto"/>
              </w:divBdr>
              <w:divsChild>
                <w:div w:id="1331524185">
                  <w:marLeft w:val="0"/>
                  <w:marRight w:val="0"/>
                  <w:marTop w:val="0"/>
                  <w:marBottom w:val="0"/>
                  <w:divBdr>
                    <w:top w:val="none" w:sz="0" w:space="0" w:color="auto"/>
                    <w:left w:val="none" w:sz="0" w:space="0" w:color="auto"/>
                    <w:bottom w:val="none" w:sz="0" w:space="0" w:color="auto"/>
                    <w:right w:val="none" w:sz="0" w:space="0" w:color="auto"/>
                  </w:divBdr>
                  <w:divsChild>
                    <w:div w:id="817579048">
                      <w:marLeft w:val="0"/>
                      <w:marRight w:val="0"/>
                      <w:marTop w:val="0"/>
                      <w:marBottom w:val="0"/>
                      <w:divBdr>
                        <w:top w:val="none" w:sz="0" w:space="0" w:color="auto"/>
                        <w:left w:val="none" w:sz="0" w:space="0" w:color="auto"/>
                        <w:bottom w:val="none" w:sz="0" w:space="0" w:color="auto"/>
                        <w:right w:val="none" w:sz="0" w:space="0" w:color="auto"/>
                      </w:divBdr>
                      <w:divsChild>
                        <w:div w:id="602230007">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20217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5359">
          <w:marLeft w:val="0"/>
          <w:marRight w:val="0"/>
          <w:marTop w:val="0"/>
          <w:marBottom w:val="0"/>
          <w:divBdr>
            <w:top w:val="none" w:sz="0" w:space="0" w:color="auto"/>
            <w:left w:val="none" w:sz="0" w:space="0" w:color="auto"/>
            <w:bottom w:val="none" w:sz="0" w:space="0" w:color="auto"/>
            <w:right w:val="none" w:sz="0" w:space="0" w:color="auto"/>
          </w:divBdr>
          <w:divsChild>
            <w:div w:id="1950896157">
              <w:marLeft w:val="0"/>
              <w:marRight w:val="0"/>
              <w:marTop w:val="0"/>
              <w:marBottom w:val="0"/>
              <w:divBdr>
                <w:top w:val="none" w:sz="0" w:space="0" w:color="auto"/>
                <w:left w:val="none" w:sz="0" w:space="0" w:color="auto"/>
                <w:bottom w:val="none" w:sz="0" w:space="0" w:color="auto"/>
                <w:right w:val="none" w:sz="0" w:space="0" w:color="auto"/>
              </w:divBdr>
              <w:divsChild>
                <w:div w:id="1312714538">
                  <w:marLeft w:val="0"/>
                  <w:marRight w:val="0"/>
                  <w:marTop w:val="0"/>
                  <w:marBottom w:val="0"/>
                  <w:divBdr>
                    <w:top w:val="none" w:sz="0" w:space="0" w:color="auto"/>
                    <w:left w:val="none" w:sz="0" w:space="0" w:color="auto"/>
                    <w:bottom w:val="none" w:sz="0" w:space="0" w:color="auto"/>
                    <w:right w:val="none" w:sz="0" w:space="0" w:color="auto"/>
                  </w:divBdr>
                  <w:divsChild>
                    <w:div w:id="10420353">
                      <w:marLeft w:val="0"/>
                      <w:marRight w:val="0"/>
                      <w:marTop w:val="0"/>
                      <w:marBottom w:val="0"/>
                      <w:divBdr>
                        <w:top w:val="none" w:sz="0" w:space="0" w:color="auto"/>
                        <w:left w:val="none" w:sz="0" w:space="0" w:color="auto"/>
                        <w:bottom w:val="none" w:sz="0" w:space="0" w:color="auto"/>
                        <w:right w:val="none" w:sz="0" w:space="0" w:color="auto"/>
                      </w:divBdr>
                      <w:divsChild>
                        <w:div w:id="875386389">
                          <w:marLeft w:val="0"/>
                          <w:marRight w:val="0"/>
                          <w:marTop w:val="0"/>
                          <w:marBottom w:val="0"/>
                          <w:divBdr>
                            <w:top w:val="none" w:sz="0" w:space="0" w:color="auto"/>
                            <w:left w:val="none" w:sz="0" w:space="0" w:color="auto"/>
                            <w:bottom w:val="none" w:sz="0" w:space="0" w:color="auto"/>
                            <w:right w:val="none" w:sz="0" w:space="0" w:color="auto"/>
                          </w:divBdr>
                          <w:divsChild>
                            <w:div w:id="1504738007">
                              <w:marLeft w:val="0"/>
                              <w:marRight w:val="0"/>
                              <w:marTop w:val="0"/>
                              <w:marBottom w:val="0"/>
                              <w:divBdr>
                                <w:top w:val="none" w:sz="0" w:space="0" w:color="auto"/>
                                <w:left w:val="none" w:sz="0" w:space="0" w:color="auto"/>
                                <w:bottom w:val="none" w:sz="0" w:space="0" w:color="auto"/>
                                <w:right w:val="none" w:sz="0" w:space="0" w:color="auto"/>
                              </w:divBdr>
                              <w:divsChild>
                                <w:div w:id="1936013548">
                                  <w:marLeft w:val="0"/>
                                  <w:marRight w:val="0"/>
                                  <w:marTop w:val="0"/>
                                  <w:marBottom w:val="0"/>
                                  <w:divBdr>
                                    <w:top w:val="none" w:sz="0" w:space="0" w:color="auto"/>
                                    <w:left w:val="none" w:sz="0" w:space="0" w:color="auto"/>
                                    <w:bottom w:val="none" w:sz="0" w:space="0" w:color="auto"/>
                                    <w:right w:val="none" w:sz="0" w:space="0" w:color="auto"/>
                                  </w:divBdr>
                                  <w:divsChild>
                                    <w:div w:id="1367560751">
                                      <w:marLeft w:val="0"/>
                                      <w:marRight w:val="0"/>
                                      <w:marTop w:val="0"/>
                                      <w:marBottom w:val="0"/>
                                      <w:divBdr>
                                        <w:top w:val="none" w:sz="0" w:space="0" w:color="auto"/>
                                        <w:left w:val="none" w:sz="0" w:space="0" w:color="auto"/>
                                        <w:bottom w:val="none" w:sz="0" w:space="0" w:color="auto"/>
                                        <w:right w:val="none" w:sz="0" w:space="0" w:color="auto"/>
                                      </w:divBdr>
                                      <w:divsChild>
                                        <w:div w:id="11615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5801">
                          <w:marLeft w:val="0"/>
                          <w:marRight w:val="0"/>
                          <w:marTop w:val="0"/>
                          <w:marBottom w:val="0"/>
                          <w:divBdr>
                            <w:top w:val="none" w:sz="0" w:space="0" w:color="auto"/>
                            <w:left w:val="none" w:sz="0" w:space="0" w:color="auto"/>
                            <w:bottom w:val="none" w:sz="0" w:space="0" w:color="auto"/>
                            <w:right w:val="none" w:sz="0" w:space="0" w:color="auto"/>
                          </w:divBdr>
                          <w:divsChild>
                            <w:div w:id="1338919142">
                              <w:marLeft w:val="0"/>
                              <w:marRight w:val="0"/>
                              <w:marTop w:val="0"/>
                              <w:marBottom w:val="0"/>
                              <w:divBdr>
                                <w:top w:val="none" w:sz="0" w:space="0" w:color="auto"/>
                                <w:left w:val="none" w:sz="0" w:space="0" w:color="auto"/>
                                <w:bottom w:val="none" w:sz="0" w:space="0" w:color="auto"/>
                                <w:right w:val="none" w:sz="0" w:space="0" w:color="auto"/>
                              </w:divBdr>
                              <w:divsChild>
                                <w:div w:id="1634213318">
                                  <w:marLeft w:val="0"/>
                                  <w:marRight w:val="0"/>
                                  <w:marTop w:val="0"/>
                                  <w:marBottom w:val="0"/>
                                  <w:divBdr>
                                    <w:top w:val="none" w:sz="0" w:space="0" w:color="auto"/>
                                    <w:left w:val="none" w:sz="0" w:space="0" w:color="auto"/>
                                    <w:bottom w:val="none" w:sz="0" w:space="0" w:color="auto"/>
                                    <w:right w:val="none" w:sz="0" w:space="0" w:color="auto"/>
                                  </w:divBdr>
                                  <w:divsChild>
                                    <w:div w:id="368265280">
                                      <w:marLeft w:val="0"/>
                                      <w:marRight w:val="0"/>
                                      <w:marTop w:val="0"/>
                                      <w:marBottom w:val="0"/>
                                      <w:divBdr>
                                        <w:top w:val="none" w:sz="0" w:space="0" w:color="auto"/>
                                        <w:left w:val="none" w:sz="0" w:space="0" w:color="auto"/>
                                        <w:bottom w:val="none" w:sz="0" w:space="0" w:color="auto"/>
                                        <w:right w:val="none" w:sz="0" w:space="0" w:color="auto"/>
                                      </w:divBdr>
                                      <w:divsChild>
                                        <w:div w:id="958561252">
                                          <w:marLeft w:val="0"/>
                                          <w:marRight w:val="0"/>
                                          <w:marTop w:val="0"/>
                                          <w:marBottom w:val="0"/>
                                          <w:divBdr>
                                            <w:top w:val="none" w:sz="0" w:space="0" w:color="auto"/>
                                            <w:left w:val="none" w:sz="0" w:space="0" w:color="auto"/>
                                            <w:bottom w:val="none" w:sz="0" w:space="0" w:color="auto"/>
                                            <w:right w:val="none" w:sz="0" w:space="0" w:color="auto"/>
                                          </w:divBdr>
                                          <w:divsChild>
                                            <w:div w:id="991912318">
                                              <w:marLeft w:val="0"/>
                                              <w:marRight w:val="0"/>
                                              <w:marTop w:val="0"/>
                                              <w:marBottom w:val="0"/>
                                              <w:divBdr>
                                                <w:top w:val="none" w:sz="0" w:space="0" w:color="auto"/>
                                                <w:left w:val="none" w:sz="0" w:space="0" w:color="auto"/>
                                                <w:bottom w:val="none" w:sz="0" w:space="0" w:color="auto"/>
                                                <w:right w:val="none" w:sz="0" w:space="0" w:color="auto"/>
                                              </w:divBdr>
                                              <w:divsChild>
                                                <w:div w:id="1315834497">
                                                  <w:marLeft w:val="0"/>
                                                  <w:marRight w:val="0"/>
                                                  <w:marTop w:val="0"/>
                                                  <w:marBottom w:val="0"/>
                                                  <w:divBdr>
                                                    <w:top w:val="none" w:sz="0" w:space="0" w:color="auto"/>
                                                    <w:left w:val="none" w:sz="0" w:space="0" w:color="auto"/>
                                                    <w:bottom w:val="none" w:sz="0" w:space="0" w:color="auto"/>
                                                    <w:right w:val="none" w:sz="0" w:space="0" w:color="auto"/>
                                                  </w:divBdr>
                                                  <w:divsChild>
                                                    <w:div w:id="459693908">
                                                      <w:marLeft w:val="0"/>
                                                      <w:marRight w:val="0"/>
                                                      <w:marTop w:val="0"/>
                                                      <w:marBottom w:val="0"/>
                                                      <w:divBdr>
                                                        <w:top w:val="none" w:sz="0" w:space="0" w:color="auto"/>
                                                        <w:left w:val="none" w:sz="0" w:space="0" w:color="auto"/>
                                                        <w:bottom w:val="none" w:sz="0" w:space="0" w:color="auto"/>
                                                        <w:right w:val="none" w:sz="0" w:space="0" w:color="auto"/>
                                                      </w:divBdr>
                                                      <w:divsChild>
                                                        <w:div w:id="25103518">
                                                          <w:marLeft w:val="0"/>
                                                          <w:marRight w:val="0"/>
                                                          <w:marTop w:val="0"/>
                                                          <w:marBottom w:val="0"/>
                                                          <w:divBdr>
                                                            <w:top w:val="none" w:sz="0" w:space="0" w:color="auto"/>
                                                            <w:left w:val="none" w:sz="0" w:space="0" w:color="auto"/>
                                                            <w:bottom w:val="none" w:sz="0" w:space="0" w:color="auto"/>
                                                            <w:right w:val="none" w:sz="0" w:space="0" w:color="auto"/>
                                                          </w:divBdr>
                                                        </w:div>
                                                        <w:div w:id="117068729">
                                                          <w:marLeft w:val="0"/>
                                                          <w:marRight w:val="0"/>
                                                          <w:marTop w:val="0"/>
                                                          <w:marBottom w:val="0"/>
                                                          <w:divBdr>
                                                            <w:top w:val="none" w:sz="0" w:space="0" w:color="auto"/>
                                                            <w:left w:val="none" w:sz="0" w:space="0" w:color="auto"/>
                                                            <w:bottom w:val="none" w:sz="0" w:space="0" w:color="auto"/>
                                                            <w:right w:val="none" w:sz="0" w:space="0" w:color="auto"/>
                                                          </w:divBdr>
                                                          <w:divsChild>
                                                            <w:div w:id="540702842">
                                                              <w:marLeft w:val="0"/>
                                                              <w:marRight w:val="0"/>
                                                              <w:marTop w:val="0"/>
                                                              <w:marBottom w:val="0"/>
                                                              <w:divBdr>
                                                                <w:top w:val="none" w:sz="0" w:space="0" w:color="auto"/>
                                                                <w:left w:val="none" w:sz="0" w:space="0" w:color="auto"/>
                                                                <w:bottom w:val="none" w:sz="0" w:space="0" w:color="auto"/>
                                                                <w:right w:val="none" w:sz="0" w:space="0" w:color="auto"/>
                                                              </w:divBdr>
                                                              <w:divsChild>
                                                                <w:div w:id="673611422">
                                                                  <w:marLeft w:val="0"/>
                                                                  <w:marRight w:val="0"/>
                                                                  <w:marTop w:val="0"/>
                                                                  <w:marBottom w:val="0"/>
                                                                  <w:divBdr>
                                                                    <w:top w:val="none" w:sz="0" w:space="0" w:color="auto"/>
                                                                    <w:left w:val="none" w:sz="0" w:space="0" w:color="auto"/>
                                                                    <w:bottom w:val="none" w:sz="0" w:space="0" w:color="auto"/>
                                                                    <w:right w:val="none" w:sz="0" w:space="0" w:color="auto"/>
                                                                  </w:divBdr>
                                                                  <w:divsChild>
                                                                    <w:div w:id="1639529901">
                                                                      <w:marLeft w:val="0"/>
                                                                      <w:marRight w:val="0"/>
                                                                      <w:marTop w:val="0"/>
                                                                      <w:marBottom w:val="0"/>
                                                                      <w:divBdr>
                                                                        <w:top w:val="none" w:sz="0" w:space="0" w:color="auto"/>
                                                                        <w:left w:val="none" w:sz="0" w:space="0" w:color="auto"/>
                                                                        <w:bottom w:val="none" w:sz="0" w:space="0" w:color="auto"/>
                                                                        <w:right w:val="none" w:sz="0" w:space="0" w:color="auto"/>
                                                                      </w:divBdr>
                                                                      <w:divsChild>
                                                                        <w:div w:id="127675317">
                                                                          <w:marLeft w:val="0"/>
                                                                          <w:marRight w:val="0"/>
                                                                          <w:marTop w:val="0"/>
                                                                          <w:marBottom w:val="0"/>
                                                                          <w:divBdr>
                                                                            <w:top w:val="none" w:sz="0" w:space="0" w:color="auto"/>
                                                                            <w:left w:val="none" w:sz="0" w:space="0" w:color="auto"/>
                                                                            <w:bottom w:val="none" w:sz="0" w:space="0" w:color="auto"/>
                                                                            <w:right w:val="none" w:sz="0" w:space="0" w:color="auto"/>
                                                                          </w:divBdr>
                                                                          <w:divsChild>
                                                                            <w:div w:id="1769346713">
                                                                              <w:marLeft w:val="0"/>
                                                                              <w:marRight w:val="0"/>
                                                                              <w:marTop w:val="0"/>
                                                                              <w:marBottom w:val="0"/>
                                                                              <w:divBdr>
                                                                                <w:top w:val="none" w:sz="0" w:space="0" w:color="auto"/>
                                                                                <w:left w:val="none" w:sz="0" w:space="0" w:color="auto"/>
                                                                                <w:bottom w:val="none" w:sz="0" w:space="0" w:color="auto"/>
                                                                                <w:right w:val="none" w:sz="0" w:space="0" w:color="auto"/>
                                                                              </w:divBdr>
                                                                              <w:divsChild>
                                                                                <w:div w:id="554507755">
                                                                                  <w:marLeft w:val="0"/>
                                                                                  <w:marRight w:val="0"/>
                                                                                  <w:marTop w:val="0"/>
                                                                                  <w:marBottom w:val="0"/>
                                                                                  <w:divBdr>
                                                                                    <w:top w:val="none" w:sz="0" w:space="0" w:color="auto"/>
                                                                                    <w:left w:val="none" w:sz="0" w:space="0" w:color="auto"/>
                                                                                    <w:bottom w:val="none" w:sz="0" w:space="0" w:color="auto"/>
                                                                                    <w:right w:val="none" w:sz="0" w:space="0" w:color="auto"/>
                                                                                  </w:divBdr>
                                                                                  <w:divsChild>
                                                                                    <w:div w:id="347684275">
                                                                                      <w:marLeft w:val="0"/>
                                                                                      <w:marRight w:val="0"/>
                                                                                      <w:marTop w:val="0"/>
                                                                                      <w:marBottom w:val="0"/>
                                                                                      <w:divBdr>
                                                                                        <w:top w:val="none" w:sz="0" w:space="0" w:color="auto"/>
                                                                                        <w:left w:val="none" w:sz="0" w:space="0" w:color="auto"/>
                                                                                        <w:bottom w:val="none" w:sz="0" w:space="0" w:color="auto"/>
                                                                                        <w:right w:val="none" w:sz="0" w:space="0" w:color="auto"/>
                                                                                      </w:divBdr>
                                                                                      <w:divsChild>
                                                                                        <w:div w:id="520122983">
                                                                                          <w:marLeft w:val="0"/>
                                                                                          <w:marRight w:val="0"/>
                                                                                          <w:marTop w:val="0"/>
                                                                                          <w:marBottom w:val="0"/>
                                                                                          <w:divBdr>
                                                                                            <w:top w:val="none" w:sz="0" w:space="0" w:color="auto"/>
                                                                                            <w:left w:val="none" w:sz="0" w:space="0" w:color="auto"/>
                                                                                            <w:bottom w:val="none" w:sz="0" w:space="0" w:color="auto"/>
                                                                                            <w:right w:val="none" w:sz="0" w:space="0" w:color="auto"/>
                                                                                          </w:divBdr>
                                                                                          <w:divsChild>
                                                                                            <w:div w:id="12389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5115">
                                                                                  <w:marLeft w:val="0"/>
                                                                                  <w:marRight w:val="0"/>
                                                                                  <w:marTop w:val="0"/>
                                                                                  <w:marBottom w:val="0"/>
                                                                                  <w:divBdr>
                                                                                    <w:top w:val="none" w:sz="0" w:space="0" w:color="auto"/>
                                                                                    <w:left w:val="none" w:sz="0" w:space="0" w:color="auto"/>
                                                                                    <w:bottom w:val="none" w:sz="0" w:space="0" w:color="auto"/>
                                                                                    <w:right w:val="none" w:sz="0" w:space="0" w:color="auto"/>
                                                                                  </w:divBdr>
                                                                                </w:div>
                                                                              </w:divsChild>
                                                                            </w:div>
                                                                            <w:div w:id="1882664166">
                                                                              <w:marLeft w:val="0"/>
                                                                              <w:marRight w:val="0"/>
                                                                              <w:marTop w:val="0"/>
                                                                              <w:marBottom w:val="0"/>
                                                                              <w:divBdr>
                                                                                <w:top w:val="none" w:sz="0" w:space="0" w:color="auto"/>
                                                                                <w:left w:val="none" w:sz="0" w:space="0" w:color="auto"/>
                                                                                <w:bottom w:val="none" w:sz="0" w:space="0" w:color="auto"/>
                                                                                <w:right w:val="none" w:sz="0" w:space="0" w:color="auto"/>
                                                                              </w:divBdr>
                                                                              <w:divsChild>
                                                                                <w:div w:id="18379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7853">
                                                  <w:marLeft w:val="0"/>
                                                  <w:marRight w:val="0"/>
                                                  <w:marTop w:val="0"/>
                                                  <w:marBottom w:val="0"/>
                                                  <w:divBdr>
                                                    <w:top w:val="none" w:sz="0" w:space="0" w:color="auto"/>
                                                    <w:left w:val="none" w:sz="0" w:space="0" w:color="auto"/>
                                                    <w:bottom w:val="none" w:sz="0" w:space="0" w:color="auto"/>
                                                    <w:right w:val="none" w:sz="0" w:space="0" w:color="auto"/>
                                                  </w:divBdr>
                                                  <w:divsChild>
                                                    <w:div w:id="990868661">
                                                      <w:marLeft w:val="0"/>
                                                      <w:marRight w:val="0"/>
                                                      <w:marTop w:val="0"/>
                                                      <w:marBottom w:val="0"/>
                                                      <w:divBdr>
                                                        <w:top w:val="none" w:sz="0" w:space="0" w:color="auto"/>
                                                        <w:left w:val="none" w:sz="0" w:space="0" w:color="auto"/>
                                                        <w:bottom w:val="none" w:sz="0" w:space="0" w:color="auto"/>
                                                        <w:right w:val="none" w:sz="0" w:space="0" w:color="auto"/>
                                                      </w:divBdr>
                                                    </w:div>
                                                    <w:div w:id="19064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28959">
                  <w:marLeft w:val="0"/>
                  <w:marRight w:val="0"/>
                  <w:marTop w:val="0"/>
                  <w:marBottom w:val="0"/>
                  <w:divBdr>
                    <w:top w:val="none" w:sz="0" w:space="0" w:color="auto"/>
                    <w:left w:val="none" w:sz="0" w:space="0" w:color="auto"/>
                    <w:bottom w:val="none" w:sz="0" w:space="0" w:color="auto"/>
                    <w:right w:val="none" w:sz="0" w:space="0" w:color="auto"/>
                  </w:divBdr>
                  <w:divsChild>
                    <w:div w:id="253320872">
                      <w:marLeft w:val="0"/>
                      <w:marRight w:val="0"/>
                      <w:marTop w:val="0"/>
                      <w:marBottom w:val="0"/>
                      <w:divBdr>
                        <w:top w:val="none" w:sz="0" w:space="0" w:color="auto"/>
                        <w:left w:val="none" w:sz="0" w:space="0" w:color="auto"/>
                        <w:bottom w:val="none" w:sz="0" w:space="0" w:color="auto"/>
                        <w:right w:val="none" w:sz="0" w:space="0" w:color="auto"/>
                      </w:divBdr>
                      <w:divsChild>
                        <w:div w:id="644242902">
                          <w:marLeft w:val="0"/>
                          <w:marRight w:val="0"/>
                          <w:marTop w:val="0"/>
                          <w:marBottom w:val="0"/>
                          <w:divBdr>
                            <w:top w:val="none" w:sz="0" w:space="0" w:color="auto"/>
                            <w:left w:val="none" w:sz="0" w:space="0" w:color="auto"/>
                            <w:bottom w:val="none" w:sz="0" w:space="0" w:color="auto"/>
                            <w:right w:val="none" w:sz="0" w:space="0" w:color="auto"/>
                          </w:divBdr>
                          <w:divsChild>
                            <w:div w:id="207685640">
                              <w:marLeft w:val="0"/>
                              <w:marRight w:val="0"/>
                              <w:marTop w:val="0"/>
                              <w:marBottom w:val="0"/>
                              <w:divBdr>
                                <w:top w:val="none" w:sz="0" w:space="0" w:color="auto"/>
                                <w:left w:val="none" w:sz="0" w:space="0" w:color="auto"/>
                                <w:bottom w:val="none" w:sz="0" w:space="0" w:color="auto"/>
                                <w:right w:val="none" w:sz="0" w:space="0" w:color="auto"/>
                              </w:divBdr>
                              <w:divsChild>
                                <w:div w:id="11489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82237">
      <w:bodyDiv w:val="1"/>
      <w:marLeft w:val="0"/>
      <w:marRight w:val="0"/>
      <w:marTop w:val="0"/>
      <w:marBottom w:val="0"/>
      <w:divBdr>
        <w:top w:val="none" w:sz="0" w:space="0" w:color="auto"/>
        <w:left w:val="none" w:sz="0" w:space="0" w:color="auto"/>
        <w:bottom w:val="none" w:sz="0" w:space="0" w:color="auto"/>
        <w:right w:val="none" w:sz="0" w:space="0" w:color="auto"/>
      </w:divBdr>
    </w:div>
    <w:div w:id="344987646">
      <w:bodyDiv w:val="1"/>
      <w:marLeft w:val="0"/>
      <w:marRight w:val="0"/>
      <w:marTop w:val="0"/>
      <w:marBottom w:val="0"/>
      <w:divBdr>
        <w:top w:val="none" w:sz="0" w:space="0" w:color="auto"/>
        <w:left w:val="none" w:sz="0" w:space="0" w:color="auto"/>
        <w:bottom w:val="none" w:sz="0" w:space="0" w:color="auto"/>
        <w:right w:val="none" w:sz="0" w:space="0" w:color="auto"/>
      </w:divBdr>
    </w:div>
    <w:div w:id="346948713">
      <w:bodyDiv w:val="1"/>
      <w:marLeft w:val="0"/>
      <w:marRight w:val="0"/>
      <w:marTop w:val="0"/>
      <w:marBottom w:val="0"/>
      <w:divBdr>
        <w:top w:val="none" w:sz="0" w:space="0" w:color="auto"/>
        <w:left w:val="none" w:sz="0" w:space="0" w:color="auto"/>
        <w:bottom w:val="none" w:sz="0" w:space="0" w:color="auto"/>
        <w:right w:val="none" w:sz="0" w:space="0" w:color="auto"/>
      </w:divBdr>
    </w:div>
    <w:div w:id="356583821">
      <w:bodyDiv w:val="1"/>
      <w:marLeft w:val="0"/>
      <w:marRight w:val="0"/>
      <w:marTop w:val="0"/>
      <w:marBottom w:val="0"/>
      <w:divBdr>
        <w:top w:val="none" w:sz="0" w:space="0" w:color="auto"/>
        <w:left w:val="none" w:sz="0" w:space="0" w:color="auto"/>
        <w:bottom w:val="none" w:sz="0" w:space="0" w:color="auto"/>
        <w:right w:val="none" w:sz="0" w:space="0" w:color="auto"/>
      </w:divBdr>
    </w:div>
    <w:div w:id="367879679">
      <w:bodyDiv w:val="1"/>
      <w:marLeft w:val="0"/>
      <w:marRight w:val="0"/>
      <w:marTop w:val="0"/>
      <w:marBottom w:val="0"/>
      <w:divBdr>
        <w:top w:val="none" w:sz="0" w:space="0" w:color="auto"/>
        <w:left w:val="none" w:sz="0" w:space="0" w:color="auto"/>
        <w:bottom w:val="none" w:sz="0" w:space="0" w:color="auto"/>
        <w:right w:val="none" w:sz="0" w:space="0" w:color="auto"/>
      </w:divBdr>
    </w:div>
    <w:div w:id="368339222">
      <w:bodyDiv w:val="1"/>
      <w:marLeft w:val="0"/>
      <w:marRight w:val="0"/>
      <w:marTop w:val="0"/>
      <w:marBottom w:val="0"/>
      <w:divBdr>
        <w:top w:val="none" w:sz="0" w:space="0" w:color="auto"/>
        <w:left w:val="none" w:sz="0" w:space="0" w:color="auto"/>
        <w:bottom w:val="none" w:sz="0" w:space="0" w:color="auto"/>
        <w:right w:val="none" w:sz="0" w:space="0" w:color="auto"/>
      </w:divBdr>
    </w:div>
    <w:div w:id="377555772">
      <w:bodyDiv w:val="1"/>
      <w:marLeft w:val="0"/>
      <w:marRight w:val="0"/>
      <w:marTop w:val="0"/>
      <w:marBottom w:val="0"/>
      <w:divBdr>
        <w:top w:val="none" w:sz="0" w:space="0" w:color="auto"/>
        <w:left w:val="none" w:sz="0" w:space="0" w:color="auto"/>
        <w:bottom w:val="none" w:sz="0" w:space="0" w:color="auto"/>
        <w:right w:val="none" w:sz="0" w:space="0" w:color="auto"/>
      </w:divBdr>
    </w:div>
    <w:div w:id="383870680">
      <w:bodyDiv w:val="1"/>
      <w:marLeft w:val="0"/>
      <w:marRight w:val="0"/>
      <w:marTop w:val="0"/>
      <w:marBottom w:val="0"/>
      <w:divBdr>
        <w:top w:val="none" w:sz="0" w:space="0" w:color="auto"/>
        <w:left w:val="none" w:sz="0" w:space="0" w:color="auto"/>
        <w:bottom w:val="none" w:sz="0" w:space="0" w:color="auto"/>
        <w:right w:val="none" w:sz="0" w:space="0" w:color="auto"/>
      </w:divBdr>
    </w:div>
    <w:div w:id="391277691">
      <w:bodyDiv w:val="1"/>
      <w:marLeft w:val="0"/>
      <w:marRight w:val="0"/>
      <w:marTop w:val="0"/>
      <w:marBottom w:val="0"/>
      <w:divBdr>
        <w:top w:val="none" w:sz="0" w:space="0" w:color="auto"/>
        <w:left w:val="none" w:sz="0" w:space="0" w:color="auto"/>
        <w:bottom w:val="none" w:sz="0" w:space="0" w:color="auto"/>
        <w:right w:val="none" w:sz="0" w:space="0" w:color="auto"/>
      </w:divBdr>
    </w:div>
    <w:div w:id="393046029">
      <w:bodyDiv w:val="1"/>
      <w:marLeft w:val="0"/>
      <w:marRight w:val="0"/>
      <w:marTop w:val="0"/>
      <w:marBottom w:val="0"/>
      <w:divBdr>
        <w:top w:val="none" w:sz="0" w:space="0" w:color="auto"/>
        <w:left w:val="none" w:sz="0" w:space="0" w:color="auto"/>
        <w:bottom w:val="none" w:sz="0" w:space="0" w:color="auto"/>
        <w:right w:val="none" w:sz="0" w:space="0" w:color="auto"/>
      </w:divBdr>
    </w:div>
    <w:div w:id="414329595">
      <w:bodyDiv w:val="1"/>
      <w:marLeft w:val="0"/>
      <w:marRight w:val="0"/>
      <w:marTop w:val="0"/>
      <w:marBottom w:val="0"/>
      <w:divBdr>
        <w:top w:val="none" w:sz="0" w:space="0" w:color="auto"/>
        <w:left w:val="none" w:sz="0" w:space="0" w:color="auto"/>
        <w:bottom w:val="none" w:sz="0" w:space="0" w:color="auto"/>
        <w:right w:val="none" w:sz="0" w:space="0" w:color="auto"/>
      </w:divBdr>
      <w:divsChild>
        <w:div w:id="791486535">
          <w:marLeft w:val="0"/>
          <w:marRight w:val="0"/>
          <w:marTop w:val="0"/>
          <w:marBottom w:val="0"/>
          <w:divBdr>
            <w:top w:val="none" w:sz="0" w:space="0" w:color="auto"/>
            <w:left w:val="none" w:sz="0" w:space="0" w:color="auto"/>
            <w:bottom w:val="none" w:sz="0" w:space="0" w:color="auto"/>
            <w:right w:val="none" w:sz="0" w:space="0" w:color="auto"/>
          </w:divBdr>
        </w:div>
        <w:div w:id="1745493101">
          <w:marLeft w:val="0"/>
          <w:marRight w:val="0"/>
          <w:marTop w:val="0"/>
          <w:marBottom w:val="0"/>
          <w:divBdr>
            <w:top w:val="none" w:sz="0" w:space="0" w:color="auto"/>
            <w:left w:val="none" w:sz="0" w:space="0" w:color="auto"/>
            <w:bottom w:val="none" w:sz="0" w:space="0" w:color="auto"/>
            <w:right w:val="none" w:sz="0" w:space="0" w:color="auto"/>
          </w:divBdr>
        </w:div>
      </w:divsChild>
    </w:div>
    <w:div w:id="432555924">
      <w:bodyDiv w:val="1"/>
      <w:marLeft w:val="0"/>
      <w:marRight w:val="0"/>
      <w:marTop w:val="0"/>
      <w:marBottom w:val="0"/>
      <w:divBdr>
        <w:top w:val="none" w:sz="0" w:space="0" w:color="auto"/>
        <w:left w:val="none" w:sz="0" w:space="0" w:color="auto"/>
        <w:bottom w:val="none" w:sz="0" w:space="0" w:color="auto"/>
        <w:right w:val="none" w:sz="0" w:space="0" w:color="auto"/>
      </w:divBdr>
    </w:div>
    <w:div w:id="437454497">
      <w:bodyDiv w:val="1"/>
      <w:marLeft w:val="0"/>
      <w:marRight w:val="0"/>
      <w:marTop w:val="0"/>
      <w:marBottom w:val="0"/>
      <w:divBdr>
        <w:top w:val="none" w:sz="0" w:space="0" w:color="auto"/>
        <w:left w:val="none" w:sz="0" w:space="0" w:color="auto"/>
        <w:bottom w:val="none" w:sz="0" w:space="0" w:color="auto"/>
        <w:right w:val="none" w:sz="0" w:space="0" w:color="auto"/>
      </w:divBdr>
    </w:div>
    <w:div w:id="446506201">
      <w:bodyDiv w:val="1"/>
      <w:marLeft w:val="0"/>
      <w:marRight w:val="0"/>
      <w:marTop w:val="0"/>
      <w:marBottom w:val="0"/>
      <w:divBdr>
        <w:top w:val="none" w:sz="0" w:space="0" w:color="auto"/>
        <w:left w:val="none" w:sz="0" w:space="0" w:color="auto"/>
        <w:bottom w:val="none" w:sz="0" w:space="0" w:color="auto"/>
        <w:right w:val="none" w:sz="0" w:space="0" w:color="auto"/>
      </w:divBdr>
    </w:div>
    <w:div w:id="450125488">
      <w:bodyDiv w:val="1"/>
      <w:marLeft w:val="0"/>
      <w:marRight w:val="0"/>
      <w:marTop w:val="0"/>
      <w:marBottom w:val="0"/>
      <w:divBdr>
        <w:top w:val="none" w:sz="0" w:space="0" w:color="auto"/>
        <w:left w:val="none" w:sz="0" w:space="0" w:color="auto"/>
        <w:bottom w:val="none" w:sz="0" w:space="0" w:color="auto"/>
        <w:right w:val="none" w:sz="0" w:space="0" w:color="auto"/>
      </w:divBdr>
    </w:div>
    <w:div w:id="454057265">
      <w:bodyDiv w:val="1"/>
      <w:marLeft w:val="0"/>
      <w:marRight w:val="0"/>
      <w:marTop w:val="0"/>
      <w:marBottom w:val="0"/>
      <w:divBdr>
        <w:top w:val="none" w:sz="0" w:space="0" w:color="auto"/>
        <w:left w:val="none" w:sz="0" w:space="0" w:color="auto"/>
        <w:bottom w:val="none" w:sz="0" w:space="0" w:color="auto"/>
        <w:right w:val="none" w:sz="0" w:space="0" w:color="auto"/>
      </w:divBdr>
    </w:div>
    <w:div w:id="457187803">
      <w:bodyDiv w:val="1"/>
      <w:marLeft w:val="0"/>
      <w:marRight w:val="0"/>
      <w:marTop w:val="0"/>
      <w:marBottom w:val="0"/>
      <w:divBdr>
        <w:top w:val="none" w:sz="0" w:space="0" w:color="auto"/>
        <w:left w:val="none" w:sz="0" w:space="0" w:color="auto"/>
        <w:bottom w:val="none" w:sz="0" w:space="0" w:color="auto"/>
        <w:right w:val="none" w:sz="0" w:space="0" w:color="auto"/>
      </w:divBdr>
    </w:div>
    <w:div w:id="464739633">
      <w:bodyDiv w:val="1"/>
      <w:marLeft w:val="0"/>
      <w:marRight w:val="0"/>
      <w:marTop w:val="0"/>
      <w:marBottom w:val="0"/>
      <w:divBdr>
        <w:top w:val="none" w:sz="0" w:space="0" w:color="auto"/>
        <w:left w:val="none" w:sz="0" w:space="0" w:color="auto"/>
        <w:bottom w:val="none" w:sz="0" w:space="0" w:color="auto"/>
        <w:right w:val="none" w:sz="0" w:space="0" w:color="auto"/>
      </w:divBdr>
    </w:div>
    <w:div w:id="466747508">
      <w:bodyDiv w:val="1"/>
      <w:marLeft w:val="0"/>
      <w:marRight w:val="0"/>
      <w:marTop w:val="0"/>
      <w:marBottom w:val="0"/>
      <w:divBdr>
        <w:top w:val="none" w:sz="0" w:space="0" w:color="auto"/>
        <w:left w:val="none" w:sz="0" w:space="0" w:color="auto"/>
        <w:bottom w:val="none" w:sz="0" w:space="0" w:color="auto"/>
        <w:right w:val="none" w:sz="0" w:space="0" w:color="auto"/>
      </w:divBdr>
    </w:div>
    <w:div w:id="480271744">
      <w:bodyDiv w:val="1"/>
      <w:marLeft w:val="0"/>
      <w:marRight w:val="0"/>
      <w:marTop w:val="0"/>
      <w:marBottom w:val="0"/>
      <w:divBdr>
        <w:top w:val="none" w:sz="0" w:space="0" w:color="auto"/>
        <w:left w:val="none" w:sz="0" w:space="0" w:color="auto"/>
        <w:bottom w:val="none" w:sz="0" w:space="0" w:color="auto"/>
        <w:right w:val="none" w:sz="0" w:space="0" w:color="auto"/>
      </w:divBdr>
    </w:div>
    <w:div w:id="484321045">
      <w:bodyDiv w:val="1"/>
      <w:marLeft w:val="0"/>
      <w:marRight w:val="0"/>
      <w:marTop w:val="0"/>
      <w:marBottom w:val="0"/>
      <w:divBdr>
        <w:top w:val="none" w:sz="0" w:space="0" w:color="auto"/>
        <w:left w:val="none" w:sz="0" w:space="0" w:color="auto"/>
        <w:bottom w:val="none" w:sz="0" w:space="0" w:color="auto"/>
        <w:right w:val="none" w:sz="0" w:space="0" w:color="auto"/>
      </w:divBdr>
    </w:div>
    <w:div w:id="488399133">
      <w:bodyDiv w:val="1"/>
      <w:marLeft w:val="0"/>
      <w:marRight w:val="0"/>
      <w:marTop w:val="0"/>
      <w:marBottom w:val="0"/>
      <w:divBdr>
        <w:top w:val="none" w:sz="0" w:space="0" w:color="auto"/>
        <w:left w:val="none" w:sz="0" w:space="0" w:color="auto"/>
        <w:bottom w:val="none" w:sz="0" w:space="0" w:color="auto"/>
        <w:right w:val="none" w:sz="0" w:space="0" w:color="auto"/>
      </w:divBdr>
    </w:div>
    <w:div w:id="506676344">
      <w:bodyDiv w:val="1"/>
      <w:marLeft w:val="0"/>
      <w:marRight w:val="0"/>
      <w:marTop w:val="0"/>
      <w:marBottom w:val="0"/>
      <w:divBdr>
        <w:top w:val="none" w:sz="0" w:space="0" w:color="auto"/>
        <w:left w:val="none" w:sz="0" w:space="0" w:color="auto"/>
        <w:bottom w:val="none" w:sz="0" w:space="0" w:color="auto"/>
        <w:right w:val="none" w:sz="0" w:space="0" w:color="auto"/>
      </w:divBdr>
    </w:div>
    <w:div w:id="50745016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13">
          <w:marLeft w:val="0"/>
          <w:marRight w:val="0"/>
          <w:marTop w:val="0"/>
          <w:marBottom w:val="0"/>
          <w:divBdr>
            <w:top w:val="none" w:sz="0" w:space="0" w:color="auto"/>
            <w:left w:val="none" w:sz="0" w:space="0" w:color="auto"/>
            <w:bottom w:val="none" w:sz="0" w:space="0" w:color="auto"/>
            <w:right w:val="none" w:sz="0" w:space="0" w:color="auto"/>
          </w:divBdr>
        </w:div>
      </w:divsChild>
    </w:div>
    <w:div w:id="509223626">
      <w:bodyDiv w:val="1"/>
      <w:marLeft w:val="0"/>
      <w:marRight w:val="0"/>
      <w:marTop w:val="0"/>
      <w:marBottom w:val="0"/>
      <w:divBdr>
        <w:top w:val="none" w:sz="0" w:space="0" w:color="auto"/>
        <w:left w:val="none" w:sz="0" w:space="0" w:color="auto"/>
        <w:bottom w:val="none" w:sz="0" w:space="0" w:color="auto"/>
        <w:right w:val="none" w:sz="0" w:space="0" w:color="auto"/>
      </w:divBdr>
    </w:div>
    <w:div w:id="510333804">
      <w:bodyDiv w:val="1"/>
      <w:marLeft w:val="0"/>
      <w:marRight w:val="0"/>
      <w:marTop w:val="0"/>
      <w:marBottom w:val="0"/>
      <w:divBdr>
        <w:top w:val="none" w:sz="0" w:space="0" w:color="auto"/>
        <w:left w:val="none" w:sz="0" w:space="0" w:color="auto"/>
        <w:bottom w:val="none" w:sz="0" w:space="0" w:color="auto"/>
        <w:right w:val="none" w:sz="0" w:space="0" w:color="auto"/>
      </w:divBdr>
    </w:div>
    <w:div w:id="532428135">
      <w:bodyDiv w:val="1"/>
      <w:marLeft w:val="0"/>
      <w:marRight w:val="0"/>
      <w:marTop w:val="0"/>
      <w:marBottom w:val="0"/>
      <w:divBdr>
        <w:top w:val="none" w:sz="0" w:space="0" w:color="auto"/>
        <w:left w:val="none" w:sz="0" w:space="0" w:color="auto"/>
        <w:bottom w:val="none" w:sz="0" w:space="0" w:color="auto"/>
        <w:right w:val="none" w:sz="0" w:space="0" w:color="auto"/>
      </w:divBdr>
    </w:div>
    <w:div w:id="540021522">
      <w:bodyDiv w:val="1"/>
      <w:marLeft w:val="0"/>
      <w:marRight w:val="0"/>
      <w:marTop w:val="0"/>
      <w:marBottom w:val="0"/>
      <w:divBdr>
        <w:top w:val="none" w:sz="0" w:space="0" w:color="auto"/>
        <w:left w:val="none" w:sz="0" w:space="0" w:color="auto"/>
        <w:bottom w:val="none" w:sz="0" w:space="0" w:color="auto"/>
        <w:right w:val="none" w:sz="0" w:space="0" w:color="auto"/>
      </w:divBdr>
    </w:div>
    <w:div w:id="551503975">
      <w:bodyDiv w:val="1"/>
      <w:marLeft w:val="0"/>
      <w:marRight w:val="0"/>
      <w:marTop w:val="0"/>
      <w:marBottom w:val="0"/>
      <w:divBdr>
        <w:top w:val="none" w:sz="0" w:space="0" w:color="auto"/>
        <w:left w:val="none" w:sz="0" w:space="0" w:color="auto"/>
        <w:bottom w:val="none" w:sz="0" w:space="0" w:color="auto"/>
        <w:right w:val="none" w:sz="0" w:space="0" w:color="auto"/>
      </w:divBdr>
    </w:div>
    <w:div w:id="552695610">
      <w:bodyDiv w:val="1"/>
      <w:marLeft w:val="0"/>
      <w:marRight w:val="0"/>
      <w:marTop w:val="0"/>
      <w:marBottom w:val="0"/>
      <w:divBdr>
        <w:top w:val="none" w:sz="0" w:space="0" w:color="auto"/>
        <w:left w:val="none" w:sz="0" w:space="0" w:color="auto"/>
        <w:bottom w:val="none" w:sz="0" w:space="0" w:color="auto"/>
        <w:right w:val="none" w:sz="0" w:space="0" w:color="auto"/>
      </w:divBdr>
    </w:div>
    <w:div w:id="571164322">
      <w:bodyDiv w:val="1"/>
      <w:marLeft w:val="0"/>
      <w:marRight w:val="0"/>
      <w:marTop w:val="0"/>
      <w:marBottom w:val="0"/>
      <w:divBdr>
        <w:top w:val="none" w:sz="0" w:space="0" w:color="auto"/>
        <w:left w:val="none" w:sz="0" w:space="0" w:color="auto"/>
        <w:bottom w:val="none" w:sz="0" w:space="0" w:color="auto"/>
        <w:right w:val="none" w:sz="0" w:space="0" w:color="auto"/>
      </w:divBdr>
    </w:div>
    <w:div w:id="583994295">
      <w:bodyDiv w:val="1"/>
      <w:marLeft w:val="0"/>
      <w:marRight w:val="0"/>
      <w:marTop w:val="0"/>
      <w:marBottom w:val="0"/>
      <w:divBdr>
        <w:top w:val="none" w:sz="0" w:space="0" w:color="auto"/>
        <w:left w:val="none" w:sz="0" w:space="0" w:color="auto"/>
        <w:bottom w:val="none" w:sz="0" w:space="0" w:color="auto"/>
        <w:right w:val="none" w:sz="0" w:space="0" w:color="auto"/>
      </w:divBdr>
    </w:div>
    <w:div w:id="608320484">
      <w:bodyDiv w:val="1"/>
      <w:marLeft w:val="0"/>
      <w:marRight w:val="0"/>
      <w:marTop w:val="0"/>
      <w:marBottom w:val="0"/>
      <w:divBdr>
        <w:top w:val="none" w:sz="0" w:space="0" w:color="auto"/>
        <w:left w:val="none" w:sz="0" w:space="0" w:color="auto"/>
        <w:bottom w:val="none" w:sz="0" w:space="0" w:color="auto"/>
        <w:right w:val="none" w:sz="0" w:space="0" w:color="auto"/>
      </w:divBdr>
    </w:div>
    <w:div w:id="608583902">
      <w:bodyDiv w:val="1"/>
      <w:marLeft w:val="0"/>
      <w:marRight w:val="0"/>
      <w:marTop w:val="0"/>
      <w:marBottom w:val="0"/>
      <w:divBdr>
        <w:top w:val="none" w:sz="0" w:space="0" w:color="auto"/>
        <w:left w:val="none" w:sz="0" w:space="0" w:color="auto"/>
        <w:bottom w:val="none" w:sz="0" w:space="0" w:color="auto"/>
        <w:right w:val="none" w:sz="0" w:space="0" w:color="auto"/>
      </w:divBdr>
    </w:div>
    <w:div w:id="609357154">
      <w:bodyDiv w:val="1"/>
      <w:marLeft w:val="0"/>
      <w:marRight w:val="0"/>
      <w:marTop w:val="0"/>
      <w:marBottom w:val="0"/>
      <w:divBdr>
        <w:top w:val="none" w:sz="0" w:space="0" w:color="auto"/>
        <w:left w:val="none" w:sz="0" w:space="0" w:color="auto"/>
        <w:bottom w:val="none" w:sz="0" w:space="0" w:color="auto"/>
        <w:right w:val="none" w:sz="0" w:space="0" w:color="auto"/>
      </w:divBdr>
    </w:div>
    <w:div w:id="636764996">
      <w:bodyDiv w:val="1"/>
      <w:marLeft w:val="0"/>
      <w:marRight w:val="0"/>
      <w:marTop w:val="0"/>
      <w:marBottom w:val="0"/>
      <w:divBdr>
        <w:top w:val="none" w:sz="0" w:space="0" w:color="auto"/>
        <w:left w:val="none" w:sz="0" w:space="0" w:color="auto"/>
        <w:bottom w:val="none" w:sz="0" w:space="0" w:color="auto"/>
        <w:right w:val="none" w:sz="0" w:space="0" w:color="auto"/>
      </w:divBdr>
    </w:div>
    <w:div w:id="638192787">
      <w:bodyDiv w:val="1"/>
      <w:marLeft w:val="0"/>
      <w:marRight w:val="0"/>
      <w:marTop w:val="0"/>
      <w:marBottom w:val="0"/>
      <w:divBdr>
        <w:top w:val="none" w:sz="0" w:space="0" w:color="auto"/>
        <w:left w:val="none" w:sz="0" w:space="0" w:color="auto"/>
        <w:bottom w:val="none" w:sz="0" w:space="0" w:color="auto"/>
        <w:right w:val="none" w:sz="0" w:space="0" w:color="auto"/>
      </w:divBdr>
    </w:div>
    <w:div w:id="643044923">
      <w:bodyDiv w:val="1"/>
      <w:marLeft w:val="0"/>
      <w:marRight w:val="0"/>
      <w:marTop w:val="0"/>
      <w:marBottom w:val="0"/>
      <w:divBdr>
        <w:top w:val="none" w:sz="0" w:space="0" w:color="auto"/>
        <w:left w:val="none" w:sz="0" w:space="0" w:color="auto"/>
        <w:bottom w:val="none" w:sz="0" w:space="0" w:color="auto"/>
        <w:right w:val="none" w:sz="0" w:space="0" w:color="auto"/>
      </w:divBdr>
    </w:div>
    <w:div w:id="661811844">
      <w:bodyDiv w:val="1"/>
      <w:marLeft w:val="0"/>
      <w:marRight w:val="0"/>
      <w:marTop w:val="0"/>
      <w:marBottom w:val="0"/>
      <w:divBdr>
        <w:top w:val="none" w:sz="0" w:space="0" w:color="auto"/>
        <w:left w:val="none" w:sz="0" w:space="0" w:color="auto"/>
        <w:bottom w:val="none" w:sz="0" w:space="0" w:color="auto"/>
        <w:right w:val="none" w:sz="0" w:space="0" w:color="auto"/>
      </w:divBdr>
    </w:div>
    <w:div w:id="664476266">
      <w:bodyDiv w:val="1"/>
      <w:marLeft w:val="0"/>
      <w:marRight w:val="0"/>
      <w:marTop w:val="0"/>
      <w:marBottom w:val="0"/>
      <w:divBdr>
        <w:top w:val="none" w:sz="0" w:space="0" w:color="auto"/>
        <w:left w:val="none" w:sz="0" w:space="0" w:color="auto"/>
        <w:bottom w:val="none" w:sz="0" w:space="0" w:color="auto"/>
        <w:right w:val="none" w:sz="0" w:space="0" w:color="auto"/>
      </w:divBdr>
    </w:div>
    <w:div w:id="666445640">
      <w:bodyDiv w:val="1"/>
      <w:marLeft w:val="0"/>
      <w:marRight w:val="0"/>
      <w:marTop w:val="0"/>
      <w:marBottom w:val="0"/>
      <w:divBdr>
        <w:top w:val="none" w:sz="0" w:space="0" w:color="auto"/>
        <w:left w:val="none" w:sz="0" w:space="0" w:color="auto"/>
        <w:bottom w:val="none" w:sz="0" w:space="0" w:color="auto"/>
        <w:right w:val="none" w:sz="0" w:space="0" w:color="auto"/>
      </w:divBdr>
    </w:div>
    <w:div w:id="668799581">
      <w:bodyDiv w:val="1"/>
      <w:marLeft w:val="0"/>
      <w:marRight w:val="0"/>
      <w:marTop w:val="0"/>
      <w:marBottom w:val="0"/>
      <w:divBdr>
        <w:top w:val="none" w:sz="0" w:space="0" w:color="auto"/>
        <w:left w:val="none" w:sz="0" w:space="0" w:color="auto"/>
        <w:bottom w:val="none" w:sz="0" w:space="0" w:color="auto"/>
        <w:right w:val="none" w:sz="0" w:space="0" w:color="auto"/>
      </w:divBdr>
    </w:div>
    <w:div w:id="669521704">
      <w:bodyDiv w:val="1"/>
      <w:marLeft w:val="0"/>
      <w:marRight w:val="0"/>
      <w:marTop w:val="0"/>
      <w:marBottom w:val="0"/>
      <w:divBdr>
        <w:top w:val="none" w:sz="0" w:space="0" w:color="auto"/>
        <w:left w:val="none" w:sz="0" w:space="0" w:color="auto"/>
        <w:bottom w:val="none" w:sz="0" w:space="0" w:color="auto"/>
        <w:right w:val="none" w:sz="0" w:space="0" w:color="auto"/>
      </w:divBdr>
    </w:div>
    <w:div w:id="673383312">
      <w:bodyDiv w:val="1"/>
      <w:marLeft w:val="0"/>
      <w:marRight w:val="0"/>
      <w:marTop w:val="0"/>
      <w:marBottom w:val="0"/>
      <w:divBdr>
        <w:top w:val="none" w:sz="0" w:space="0" w:color="auto"/>
        <w:left w:val="none" w:sz="0" w:space="0" w:color="auto"/>
        <w:bottom w:val="none" w:sz="0" w:space="0" w:color="auto"/>
        <w:right w:val="none" w:sz="0" w:space="0" w:color="auto"/>
      </w:divBdr>
    </w:div>
    <w:div w:id="677276076">
      <w:bodyDiv w:val="1"/>
      <w:marLeft w:val="0"/>
      <w:marRight w:val="0"/>
      <w:marTop w:val="0"/>
      <w:marBottom w:val="0"/>
      <w:divBdr>
        <w:top w:val="none" w:sz="0" w:space="0" w:color="auto"/>
        <w:left w:val="none" w:sz="0" w:space="0" w:color="auto"/>
        <w:bottom w:val="none" w:sz="0" w:space="0" w:color="auto"/>
        <w:right w:val="none" w:sz="0" w:space="0" w:color="auto"/>
      </w:divBdr>
    </w:div>
    <w:div w:id="687567350">
      <w:bodyDiv w:val="1"/>
      <w:marLeft w:val="0"/>
      <w:marRight w:val="0"/>
      <w:marTop w:val="0"/>
      <w:marBottom w:val="0"/>
      <w:divBdr>
        <w:top w:val="none" w:sz="0" w:space="0" w:color="auto"/>
        <w:left w:val="none" w:sz="0" w:space="0" w:color="auto"/>
        <w:bottom w:val="none" w:sz="0" w:space="0" w:color="auto"/>
        <w:right w:val="none" w:sz="0" w:space="0" w:color="auto"/>
      </w:divBdr>
    </w:div>
    <w:div w:id="692540342">
      <w:bodyDiv w:val="1"/>
      <w:marLeft w:val="0"/>
      <w:marRight w:val="0"/>
      <w:marTop w:val="0"/>
      <w:marBottom w:val="0"/>
      <w:divBdr>
        <w:top w:val="none" w:sz="0" w:space="0" w:color="auto"/>
        <w:left w:val="none" w:sz="0" w:space="0" w:color="auto"/>
        <w:bottom w:val="none" w:sz="0" w:space="0" w:color="auto"/>
        <w:right w:val="none" w:sz="0" w:space="0" w:color="auto"/>
      </w:divBdr>
    </w:div>
    <w:div w:id="692612719">
      <w:bodyDiv w:val="1"/>
      <w:marLeft w:val="0"/>
      <w:marRight w:val="0"/>
      <w:marTop w:val="0"/>
      <w:marBottom w:val="0"/>
      <w:divBdr>
        <w:top w:val="none" w:sz="0" w:space="0" w:color="auto"/>
        <w:left w:val="none" w:sz="0" w:space="0" w:color="auto"/>
        <w:bottom w:val="none" w:sz="0" w:space="0" w:color="auto"/>
        <w:right w:val="none" w:sz="0" w:space="0" w:color="auto"/>
      </w:divBdr>
      <w:divsChild>
        <w:div w:id="1037895975">
          <w:marLeft w:val="0"/>
          <w:marRight w:val="0"/>
          <w:marTop w:val="0"/>
          <w:marBottom w:val="0"/>
          <w:divBdr>
            <w:top w:val="none" w:sz="0" w:space="0" w:color="auto"/>
            <w:left w:val="none" w:sz="0" w:space="0" w:color="auto"/>
            <w:bottom w:val="none" w:sz="0" w:space="0" w:color="auto"/>
            <w:right w:val="none" w:sz="0" w:space="0" w:color="auto"/>
          </w:divBdr>
        </w:div>
      </w:divsChild>
    </w:div>
    <w:div w:id="695734857">
      <w:bodyDiv w:val="1"/>
      <w:marLeft w:val="0"/>
      <w:marRight w:val="0"/>
      <w:marTop w:val="0"/>
      <w:marBottom w:val="0"/>
      <w:divBdr>
        <w:top w:val="none" w:sz="0" w:space="0" w:color="auto"/>
        <w:left w:val="none" w:sz="0" w:space="0" w:color="auto"/>
        <w:bottom w:val="none" w:sz="0" w:space="0" w:color="auto"/>
        <w:right w:val="none" w:sz="0" w:space="0" w:color="auto"/>
      </w:divBdr>
    </w:div>
    <w:div w:id="703868224">
      <w:bodyDiv w:val="1"/>
      <w:marLeft w:val="0"/>
      <w:marRight w:val="0"/>
      <w:marTop w:val="0"/>
      <w:marBottom w:val="0"/>
      <w:divBdr>
        <w:top w:val="none" w:sz="0" w:space="0" w:color="auto"/>
        <w:left w:val="none" w:sz="0" w:space="0" w:color="auto"/>
        <w:bottom w:val="none" w:sz="0" w:space="0" w:color="auto"/>
        <w:right w:val="none" w:sz="0" w:space="0" w:color="auto"/>
      </w:divBdr>
    </w:div>
    <w:div w:id="709307841">
      <w:bodyDiv w:val="1"/>
      <w:marLeft w:val="0"/>
      <w:marRight w:val="0"/>
      <w:marTop w:val="0"/>
      <w:marBottom w:val="0"/>
      <w:divBdr>
        <w:top w:val="none" w:sz="0" w:space="0" w:color="auto"/>
        <w:left w:val="none" w:sz="0" w:space="0" w:color="auto"/>
        <w:bottom w:val="none" w:sz="0" w:space="0" w:color="auto"/>
        <w:right w:val="none" w:sz="0" w:space="0" w:color="auto"/>
      </w:divBdr>
    </w:div>
    <w:div w:id="716440968">
      <w:bodyDiv w:val="1"/>
      <w:marLeft w:val="0"/>
      <w:marRight w:val="0"/>
      <w:marTop w:val="0"/>
      <w:marBottom w:val="0"/>
      <w:divBdr>
        <w:top w:val="none" w:sz="0" w:space="0" w:color="auto"/>
        <w:left w:val="none" w:sz="0" w:space="0" w:color="auto"/>
        <w:bottom w:val="none" w:sz="0" w:space="0" w:color="auto"/>
        <w:right w:val="none" w:sz="0" w:space="0" w:color="auto"/>
      </w:divBdr>
    </w:div>
    <w:div w:id="722410253">
      <w:bodyDiv w:val="1"/>
      <w:marLeft w:val="0"/>
      <w:marRight w:val="0"/>
      <w:marTop w:val="0"/>
      <w:marBottom w:val="0"/>
      <w:divBdr>
        <w:top w:val="none" w:sz="0" w:space="0" w:color="auto"/>
        <w:left w:val="none" w:sz="0" w:space="0" w:color="auto"/>
        <w:bottom w:val="none" w:sz="0" w:space="0" w:color="auto"/>
        <w:right w:val="none" w:sz="0" w:space="0" w:color="auto"/>
      </w:divBdr>
    </w:div>
    <w:div w:id="731778537">
      <w:bodyDiv w:val="1"/>
      <w:marLeft w:val="0"/>
      <w:marRight w:val="0"/>
      <w:marTop w:val="0"/>
      <w:marBottom w:val="0"/>
      <w:divBdr>
        <w:top w:val="none" w:sz="0" w:space="0" w:color="auto"/>
        <w:left w:val="none" w:sz="0" w:space="0" w:color="auto"/>
        <w:bottom w:val="none" w:sz="0" w:space="0" w:color="auto"/>
        <w:right w:val="none" w:sz="0" w:space="0" w:color="auto"/>
      </w:divBdr>
    </w:div>
    <w:div w:id="735277342">
      <w:bodyDiv w:val="1"/>
      <w:marLeft w:val="0"/>
      <w:marRight w:val="0"/>
      <w:marTop w:val="0"/>
      <w:marBottom w:val="0"/>
      <w:divBdr>
        <w:top w:val="none" w:sz="0" w:space="0" w:color="auto"/>
        <w:left w:val="none" w:sz="0" w:space="0" w:color="auto"/>
        <w:bottom w:val="none" w:sz="0" w:space="0" w:color="auto"/>
        <w:right w:val="none" w:sz="0" w:space="0" w:color="auto"/>
      </w:divBdr>
    </w:div>
    <w:div w:id="743651097">
      <w:bodyDiv w:val="1"/>
      <w:marLeft w:val="0"/>
      <w:marRight w:val="0"/>
      <w:marTop w:val="0"/>
      <w:marBottom w:val="0"/>
      <w:divBdr>
        <w:top w:val="none" w:sz="0" w:space="0" w:color="auto"/>
        <w:left w:val="none" w:sz="0" w:space="0" w:color="auto"/>
        <w:bottom w:val="none" w:sz="0" w:space="0" w:color="auto"/>
        <w:right w:val="none" w:sz="0" w:space="0" w:color="auto"/>
      </w:divBdr>
    </w:div>
    <w:div w:id="752750091">
      <w:bodyDiv w:val="1"/>
      <w:marLeft w:val="0"/>
      <w:marRight w:val="0"/>
      <w:marTop w:val="0"/>
      <w:marBottom w:val="0"/>
      <w:divBdr>
        <w:top w:val="none" w:sz="0" w:space="0" w:color="auto"/>
        <w:left w:val="none" w:sz="0" w:space="0" w:color="auto"/>
        <w:bottom w:val="none" w:sz="0" w:space="0" w:color="auto"/>
        <w:right w:val="none" w:sz="0" w:space="0" w:color="auto"/>
      </w:divBdr>
    </w:div>
    <w:div w:id="762920353">
      <w:bodyDiv w:val="1"/>
      <w:marLeft w:val="0"/>
      <w:marRight w:val="0"/>
      <w:marTop w:val="0"/>
      <w:marBottom w:val="0"/>
      <w:divBdr>
        <w:top w:val="none" w:sz="0" w:space="0" w:color="auto"/>
        <w:left w:val="none" w:sz="0" w:space="0" w:color="auto"/>
        <w:bottom w:val="none" w:sz="0" w:space="0" w:color="auto"/>
        <w:right w:val="none" w:sz="0" w:space="0" w:color="auto"/>
      </w:divBdr>
    </w:div>
    <w:div w:id="764958774">
      <w:bodyDiv w:val="1"/>
      <w:marLeft w:val="0"/>
      <w:marRight w:val="0"/>
      <w:marTop w:val="0"/>
      <w:marBottom w:val="0"/>
      <w:divBdr>
        <w:top w:val="none" w:sz="0" w:space="0" w:color="auto"/>
        <w:left w:val="none" w:sz="0" w:space="0" w:color="auto"/>
        <w:bottom w:val="none" w:sz="0" w:space="0" w:color="auto"/>
        <w:right w:val="none" w:sz="0" w:space="0" w:color="auto"/>
      </w:divBdr>
    </w:div>
    <w:div w:id="783423715">
      <w:bodyDiv w:val="1"/>
      <w:marLeft w:val="0"/>
      <w:marRight w:val="0"/>
      <w:marTop w:val="0"/>
      <w:marBottom w:val="0"/>
      <w:divBdr>
        <w:top w:val="none" w:sz="0" w:space="0" w:color="auto"/>
        <w:left w:val="none" w:sz="0" w:space="0" w:color="auto"/>
        <w:bottom w:val="none" w:sz="0" w:space="0" w:color="auto"/>
        <w:right w:val="none" w:sz="0" w:space="0" w:color="auto"/>
      </w:divBdr>
    </w:div>
    <w:div w:id="784466013">
      <w:bodyDiv w:val="1"/>
      <w:marLeft w:val="0"/>
      <w:marRight w:val="0"/>
      <w:marTop w:val="0"/>
      <w:marBottom w:val="0"/>
      <w:divBdr>
        <w:top w:val="none" w:sz="0" w:space="0" w:color="auto"/>
        <w:left w:val="none" w:sz="0" w:space="0" w:color="auto"/>
        <w:bottom w:val="none" w:sz="0" w:space="0" w:color="auto"/>
        <w:right w:val="none" w:sz="0" w:space="0" w:color="auto"/>
      </w:divBdr>
    </w:div>
    <w:div w:id="786201265">
      <w:bodyDiv w:val="1"/>
      <w:marLeft w:val="0"/>
      <w:marRight w:val="0"/>
      <w:marTop w:val="0"/>
      <w:marBottom w:val="0"/>
      <w:divBdr>
        <w:top w:val="none" w:sz="0" w:space="0" w:color="auto"/>
        <w:left w:val="none" w:sz="0" w:space="0" w:color="auto"/>
        <w:bottom w:val="none" w:sz="0" w:space="0" w:color="auto"/>
        <w:right w:val="none" w:sz="0" w:space="0" w:color="auto"/>
      </w:divBdr>
    </w:div>
    <w:div w:id="807207472">
      <w:bodyDiv w:val="1"/>
      <w:marLeft w:val="0"/>
      <w:marRight w:val="0"/>
      <w:marTop w:val="0"/>
      <w:marBottom w:val="0"/>
      <w:divBdr>
        <w:top w:val="none" w:sz="0" w:space="0" w:color="auto"/>
        <w:left w:val="none" w:sz="0" w:space="0" w:color="auto"/>
        <w:bottom w:val="none" w:sz="0" w:space="0" w:color="auto"/>
        <w:right w:val="none" w:sz="0" w:space="0" w:color="auto"/>
      </w:divBdr>
    </w:div>
    <w:div w:id="814220622">
      <w:bodyDiv w:val="1"/>
      <w:marLeft w:val="0"/>
      <w:marRight w:val="0"/>
      <w:marTop w:val="0"/>
      <w:marBottom w:val="0"/>
      <w:divBdr>
        <w:top w:val="none" w:sz="0" w:space="0" w:color="auto"/>
        <w:left w:val="none" w:sz="0" w:space="0" w:color="auto"/>
        <w:bottom w:val="none" w:sz="0" w:space="0" w:color="auto"/>
        <w:right w:val="none" w:sz="0" w:space="0" w:color="auto"/>
      </w:divBdr>
    </w:div>
    <w:div w:id="822354262">
      <w:bodyDiv w:val="1"/>
      <w:marLeft w:val="0"/>
      <w:marRight w:val="0"/>
      <w:marTop w:val="0"/>
      <w:marBottom w:val="0"/>
      <w:divBdr>
        <w:top w:val="none" w:sz="0" w:space="0" w:color="auto"/>
        <w:left w:val="none" w:sz="0" w:space="0" w:color="auto"/>
        <w:bottom w:val="none" w:sz="0" w:space="0" w:color="auto"/>
        <w:right w:val="none" w:sz="0" w:space="0" w:color="auto"/>
      </w:divBdr>
    </w:div>
    <w:div w:id="842664775">
      <w:bodyDiv w:val="1"/>
      <w:marLeft w:val="0"/>
      <w:marRight w:val="0"/>
      <w:marTop w:val="0"/>
      <w:marBottom w:val="0"/>
      <w:divBdr>
        <w:top w:val="none" w:sz="0" w:space="0" w:color="auto"/>
        <w:left w:val="none" w:sz="0" w:space="0" w:color="auto"/>
        <w:bottom w:val="none" w:sz="0" w:space="0" w:color="auto"/>
        <w:right w:val="none" w:sz="0" w:space="0" w:color="auto"/>
      </w:divBdr>
    </w:div>
    <w:div w:id="852843718">
      <w:bodyDiv w:val="1"/>
      <w:marLeft w:val="0"/>
      <w:marRight w:val="0"/>
      <w:marTop w:val="0"/>
      <w:marBottom w:val="0"/>
      <w:divBdr>
        <w:top w:val="none" w:sz="0" w:space="0" w:color="auto"/>
        <w:left w:val="none" w:sz="0" w:space="0" w:color="auto"/>
        <w:bottom w:val="none" w:sz="0" w:space="0" w:color="auto"/>
        <w:right w:val="none" w:sz="0" w:space="0" w:color="auto"/>
      </w:divBdr>
    </w:div>
    <w:div w:id="859046513">
      <w:bodyDiv w:val="1"/>
      <w:marLeft w:val="0"/>
      <w:marRight w:val="0"/>
      <w:marTop w:val="0"/>
      <w:marBottom w:val="0"/>
      <w:divBdr>
        <w:top w:val="none" w:sz="0" w:space="0" w:color="auto"/>
        <w:left w:val="none" w:sz="0" w:space="0" w:color="auto"/>
        <w:bottom w:val="none" w:sz="0" w:space="0" w:color="auto"/>
        <w:right w:val="none" w:sz="0" w:space="0" w:color="auto"/>
      </w:divBdr>
    </w:div>
    <w:div w:id="860362400">
      <w:bodyDiv w:val="1"/>
      <w:marLeft w:val="0"/>
      <w:marRight w:val="0"/>
      <w:marTop w:val="0"/>
      <w:marBottom w:val="0"/>
      <w:divBdr>
        <w:top w:val="none" w:sz="0" w:space="0" w:color="auto"/>
        <w:left w:val="none" w:sz="0" w:space="0" w:color="auto"/>
        <w:bottom w:val="none" w:sz="0" w:space="0" w:color="auto"/>
        <w:right w:val="none" w:sz="0" w:space="0" w:color="auto"/>
      </w:divBdr>
    </w:div>
    <w:div w:id="860584027">
      <w:bodyDiv w:val="1"/>
      <w:marLeft w:val="0"/>
      <w:marRight w:val="0"/>
      <w:marTop w:val="0"/>
      <w:marBottom w:val="0"/>
      <w:divBdr>
        <w:top w:val="none" w:sz="0" w:space="0" w:color="auto"/>
        <w:left w:val="none" w:sz="0" w:space="0" w:color="auto"/>
        <w:bottom w:val="none" w:sz="0" w:space="0" w:color="auto"/>
        <w:right w:val="none" w:sz="0" w:space="0" w:color="auto"/>
      </w:divBdr>
    </w:div>
    <w:div w:id="865405078">
      <w:bodyDiv w:val="1"/>
      <w:marLeft w:val="0"/>
      <w:marRight w:val="0"/>
      <w:marTop w:val="0"/>
      <w:marBottom w:val="0"/>
      <w:divBdr>
        <w:top w:val="none" w:sz="0" w:space="0" w:color="auto"/>
        <w:left w:val="none" w:sz="0" w:space="0" w:color="auto"/>
        <w:bottom w:val="none" w:sz="0" w:space="0" w:color="auto"/>
        <w:right w:val="none" w:sz="0" w:space="0" w:color="auto"/>
      </w:divBdr>
      <w:divsChild>
        <w:div w:id="1442339210">
          <w:marLeft w:val="0"/>
          <w:marRight w:val="0"/>
          <w:marTop w:val="0"/>
          <w:marBottom w:val="75"/>
          <w:divBdr>
            <w:top w:val="none" w:sz="0" w:space="0" w:color="auto"/>
            <w:left w:val="none" w:sz="0" w:space="0" w:color="auto"/>
            <w:bottom w:val="none" w:sz="0" w:space="0" w:color="auto"/>
            <w:right w:val="none" w:sz="0" w:space="0" w:color="auto"/>
          </w:divBdr>
        </w:div>
      </w:divsChild>
    </w:div>
    <w:div w:id="867330675">
      <w:bodyDiv w:val="1"/>
      <w:marLeft w:val="0"/>
      <w:marRight w:val="0"/>
      <w:marTop w:val="0"/>
      <w:marBottom w:val="0"/>
      <w:divBdr>
        <w:top w:val="none" w:sz="0" w:space="0" w:color="auto"/>
        <w:left w:val="none" w:sz="0" w:space="0" w:color="auto"/>
        <w:bottom w:val="none" w:sz="0" w:space="0" w:color="auto"/>
        <w:right w:val="none" w:sz="0" w:space="0" w:color="auto"/>
      </w:divBdr>
    </w:div>
    <w:div w:id="873616562">
      <w:bodyDiv w:val="1"/>
      <w:marLeft w:val="0"/>
      <w:marRight w:val="0"/>
      <w:marTop w:val="0"/>
      <w:marBottom w:val="0"/>
      <w:divBdr>
        <w:top w:val="none" w:sz="0" w:space="0" w:color="auto"/>
        <w:left w:val="none" w:sz="0" w:space="0" w:color="auto"/>
        <w:bottom w:val="none" w:sz="0" w:space="0" w:color="auto"/>
        <w:right w:val="none" w:sz="0" w:space="0" w:color="auto"/>
      </w:divBdr>
    </w:div>
    <w:div w:id="877819956">
      <w:bodyDiv w:val="1"/>
      <w:marLeft w:val="0"/>
      <w:marRight w:val="0"/>
      <w:marTop w:val="0"/>
      <w:marBottom w:val="0"/>
      <w:divBdr>
        <w:top w:val="none" w:sz="0" w:space="0" w:color="auto"/>
        <w:left w:val="none" w:sz="0" w:space="0" w:color="auto"/>
        <w:bottom w:val="none" w:sz="0" w:space="0" w:color="auto"/>
        <w:right w:val="none" w:sz="0" w:space="0" w:color="auto"/>
      </w:divBdr>
    </w:div>
    <w:div w:id="882060831">
      <w:bodyDiv w:val="1"/>
      <w:marLeft w:val="0"/>
      <w:marRight w:val="0"/>
      <w:marTop w:val="0"/>
      <w:marBottom w:val="0"/>
      <w:divBdr>
        <w:top w:val="none" w:sz="0" w:space="0" w:color="auto"/>
        <w:left w:val="none" w:sz="0" w:space="0" w:color="auto"/>
        <w:bottom w:val="none" w:sz="0" w:space="0" w:color="auto"/>
        <w:right w:val="none" w:sz="0" w:space="0" w:color="auto"/>
      </w:divBdr>
    </w:div>
    <w:div w:id="884023333">
      <w:bodyDiv w:val="1"/>
      <w:marLeft w:val="0"/>
      <w:marRight w:val="0"/>
      <w:marTop w:val="0"/>
      <w:marBottom w:val="0"/>
      <w:divBdr>
        <w:top w:val="none" w:sz="0" w:space="0" w:color="auto"/>
        <w:left w:val="none" w:sz="0" w:space="0" w:color="auto"/>
        <w:bottom w:val="none" w:sz="0" w:space="0" w:color="auto"/>
        <w:right w:val="none" w:sz="0" w:space="0" w:color="auto"/>
      </w:divBdr>
    </w:div>
    <w:div w:id="940256705">
      <w:bodyDiv w:val="1"/>
      <w:marLeft w:val="0"/>
      <w:marRight w:val="0"/>
      <w:marTop w:val="0"/>
      <w:marBottom w:val="0"/>
      <w:divBdr>
        <w:top w:val="none" w:sz="0" w:space="0" w:color="auto"/>
        <w:left w:val="none" w:sz="0" w:space="0" w:color="auto"/>
        <w:bottom w:val="none" w:sz="0" w:space="0" w:color="auto"/>
        <w:right w:val="none" w:sz="0" w:space="0" w:color="auto"/>
      </w:divBdr>
    </w:div>
    <w:div w:id="941036771">
      <w:bodyDiv w:val="1"/>
      <w:marLeft w:val="0"/>
      <w:marRight w:val="0"/>
      <w:marTop w:val="0"/>
      <w:marBottom w:val="0"/>
      <w:divBdr>
        <w:top w:val="none" w:sz="0" w:space="0" w:color="auto"/>
        <w:left w:val="none" w:sz="0" w:space="0" w:color="auto"/>
        <w:bottom w:val="none" w:sz="0" w:space="0" w:color="auto"/>
        <w:right w:val="none" w:sz="0" w:space="0" w:color="auto"/>
      </w:divBdr>
      <w:divsChild>
        <w:div w:id="2172875">
          <w:marLeft w:val="0"/>
          <w:marRight w:val="0"/>
          <w:marTop w:val="0"/>
          <w:marBottom w:val="0"/>
          <w:divBdr>
            <w:top w:val="none" w:sz="0" w:space="0" w:color="auto"/>
            <w:left w:val="none" w:sz="0" w:space="0" w:color="auto"/>
            <w:bottom w:val="none" w:sz="0" w:space="0" w:color="auto"/>
            <w:right w:val="none" w:sz="0" w:space="0" w:color="auto"/>
          </w:divBdr>
        </w:div>
      </w:divsChild>
    </w:div>
    <w:div w:id="944850703">
      <w:bodyDiv w:val="1"/>
      <w:marLeft w:val="0"/>
      <w:marRight w:val="0"/>
      <w:marTop w:val="0"/>
      <w:marBottom w:val="0"/>
      <w:divBdr>
        <w:top w:val="none" w:sz="0" w:space="0" w:color="auto"/>
        <w:left w:val="none" w:sz="0" w:space="0" w:color="auto"/>
        <w:bottom w:val="none" w:sz="0" w:space="0" w:color="auto"/>
        <w:right w:val="none" w:sz="0" w:space="0" w:color="auto"/>
      </w:divBdr>
    </w:div>
    <w:div w:id="955790790">
      <w:bodyDiv w:val="1"/>
      <w:marLeft w:val="0"/>
      <w:marRight w:val="0"/>
      <w:marTop w:val="0"/>
      <w:marBottom w:val="0"/>
      <w:divBdr>
        <w:top w:val="none" w:sz="0" w:space="0" w:color="auto"/>
        <w:left w:val="none" w:sz="0" w:space="0" w:color="auto"/>
        <w:bottom w:val="none" w:sz="0" w:space="0" w:color="auto"/>
        <w:right w:val="none" w:sz="0" w:space="0" w:color="auto"/>
      </w:divBdr>
    </w:div>
    <w:div w:id="959846475">
      <w:bodyDiv w:val="1"/>
      <w:marLeft w:val="0"/>
      <w:marRight w:val="0"/>
      <w:marTop w:val="0"/>
      <w:marBottom w:val="0"/>
      <w:divBdr>
        <w:top w:val="none" w:sz="0" w:space="0" w:color="auto"/>
        <w:left w:val="none" w:sz="0" w:space="0" w:color="auto"/>
        <w:bottom w:val="none" w:sz="0" w:space="0" w:color="auto"/>
        <w:right w:val="none" w:sz="0" w:space="0" w:color="auto"/>
      </w:divBdr>
    </w:div>
    <w:div w:id="960764067">
      <w:bodyDiv w:val="1"/>
      <w:marLeft w:val="0"/>
      <w:marRight w:val="0"/>
      <w:marTop w:val="0"/>
      <w:marBottom w:val="0"/>
      <w:divBdr>
        <w:top w:val="none" w:sz="0" w:space="0" w:color="auto"/>
        <w:left w:val="none" w:sz="0" w:space="0" w:color="auto"/>
        <w:bottom w:val="none" w:sz="0" w:space="0" w:color="auto"/>
        <w:right w:val="none" w:sz="0" w:space="0" w:color="auto"/>
      </w:divBdr>
    </w:div>
    <w:div w:id="967203392">
      <w:bodyDiv w:val="1"/>
      <w:marLeft w:val="0"/>
      <w:marRight w:val="0"/>
      <w:marTop w:val="0"/>
      <w:marBottom w:val="0"/>
      <w:divBdr>
        <w:top w:val="none" w:sz="0" w:space="0" w:color="auto"/>
        <w:left w:val="none" w:sz="0" w:space="0" w:color="auto"/>
        <w:bottom w:val="none" w:sz="0" w:space="0" w:color="auto"/>
        <w:right w:val="none" w:sz="0" w:space="0" w:color="auto"/>
      </w:divBdr>
    </w:div>
    <w:div w:id="975599242">
      <w:bodyDiv w:val="1"/>
      <w:marLeft w:val="0"/>
      <w:marRight w:val="0"/>
      <w:marTop w:val="0"/>
      <w:marBottom w:val="0"/>
      <w:divBdr>
        <w:top w:val="none" w:sz="0" w:space="0" w:color="auto"/>
        <w:left w:val="none" w:sz="0" w:space="0" w:color="auto"/>
        <w:bottom w:val="none" w:sz="0" w:space="0" w:color="auto"/>
        <w:right w:val="none" w:sz="0" w:space="0" w:color="auto"/>
      </w:divBdr>
    </w:div>
    <w:div w:id="977153800">
      <w:bodyDiv w:val="1"/>
      <w:marLeft w:val="0"/>
      <w:marRight w:val="0"/>
      <w:marTop w:val="0"/>
      <w:marBottom w:val="0"/>
      <w:divBdr>
        <w:top w:val="none" w:sz="0" w:space="0" w:color="auto"/>
        <w:left w:val="none" w:sz="0" w:space="0" w:color="auto"/>
        <w:bottom w:val="none" w:sz="0" w:space="0" w:color="auto"/>
        <w:right w:val="none" w:sz="0" w:space="0" w:color="auto"/>
      </w:divBdr>
    </w:div>
    <w:div w:id="979270399">
      <w:bodyDiv w:val="1"/>
      <w:marLeft w:val="0"/>
      <w:marRight w:val="0"/>
      <w:marTop w:val="0"/>
      <w:marBottom w:val="0"/>
      <w:divBdr>
        <w:top w:val="none" w:sz="0" w:space="0" w:color="auto"/>
        <w:left w:val="none" w:sz="0" w:space="0" w:color="auto"/>
        <w:bottom w:val="none" w:sz="0" w:space="0" w:color="auto"/>
        <w:right w:val="none" w:sz="0" w:space="0" w:color="auto"/>
      </w:divBdr>
    </w:div>
    <w:div w:id="989283383">
      <w:bodyDiv w:val="1"/>
      <w:marLeft w:val="0"/>
      <w:marRight w:val="0"/>
      <w:marTop w:val="0"/>
      <w:marBottom w:val="0"/>
      <w:divBdr>
        <w:top w:val="none" w:sz="0" w:space="0" w:color="auto"/>
        <w:left w:val="none" w:sz="0" w:space="0" w:color="auto"/>
        <w:bottom w:val="none" w:sz="0" w:space="0" w:color="auto"/>
        <w:right w:val="none" w:sz="0" w:space="0" w:color="auto"/>
      </w:divBdr>
    </w:div>
    <w:div w:id="1002471116">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8605887">
      <w:bodyDiv w:val="1"/>
      <w:marLeft w:val="0"/>
      <w:marRight w:val="0"/>
      <w:marTop w:val="0"/>
      <w:marBottom w:val="0"/>
      <w:divBdr>
        <w:top w:val="none" w:sz="0" w:space="0" w:color="auto"/>
        <w:left w:val="none" w:sz="0" w:space="0" w:color="auto"/>
        <w:bottom w:val="none" w:sz="0" w:space="0" w:color="auto"/>
        <w:right w:val="none" w:sz="0" w:space="0" w:color="auto"/>
      </w:divBdr>
    </w:div>
    <w:div w:id="1028876988">
      <w:bodyDiv w:val="1"/>
      <w:marLeft w:val="0"/>
      <w:marRight w:val="0"/>
      <w:marTop w:val="0"/>
      <w:marBottom w:val="0"/>
      <w:divBdr>
        <w:top w:val="none" w:sz="0" w:space="0" w:color="auto"/>
        <w:left w:val="none" w:sz="0" w:space="0" w:color="auto"/>
        <w:bottom w:val="none" w:sz="0" w:space="0" w:color="auto"/>
        <w:right w:val="none" w:sz="0" w:space="0" w:color="auto"/>
      </w:divBdr>
    </w:div>
    <w:div w:id="1034619880">
      <w:bodyDiv w:val="1"/>
      <w:marLeft w:val="0"/>
      <w:marRight w:val="0"/>
      <w:marTop w:val="0"/>
      <w:marBottom w:val="0"/>
      <w:divBdr>
        <w:top w:val="none" w:sz="0" w:space="0" w:color="auto"/>
        <w:left w:val="none" w:sz="0" w:space="0" w:color="auto"/>
        <w:bottom w:val="none" w:sz="0" w:space="0" w:color="auto"/>
        <w:right w:val="none" w:sz="0" w:space="0" w:color="auto"/>
      </w:divBdr>
    </w:div>
    <w:div w:id="1061249452">
      <w:bodyDiv w:val="1"/>
      <w:marLeft w:val="0"/>
      <w:marRight w:val="0"/>
      <w:marTop w:val="0"/>
      <w:marBottom w:val="0"/>
      <w:divBdr>
        <w:top w:val="none" w:sz="0" w:space="0" w:color="auto"/>
        <w:left w:val="none" w:sz="0" w:space="0" w:color="auto"/>
        <w:bottom w:val="none" w:sz="0" w:space="0" w:color="auto"/>
        <w:right w:val="none" w:sz="0" w:space="0" w:color="auto"/>
      </w:divBdr>
    </w:div>
    <w:div w:id="1066146468">
      <w:bodyDiv w:val="1"/>
      <w:marLeft w:val="0"/>
      <w:marRight w:val="0"/>
      <w:marTop w:val="0"/>
      <w:marBottom w:val="0"/>
      <w:divBdr>
        <w:top w:val="none" w:sz="0" w:space="0" w:color="auto"/>
        <w:left w:val="none" w:sz="0" w:space="0" w:color="auto"/>
        <w:bottom w:val="none" w:sz="0" w:space="0" w:color="auto"/>
        <w:right w:val="none" w:sz="0" w:space="0" w:color="auto"/>
      </w:divBdr>
    </w:div>
    <w:div w:id="1078361418">
      <w:bodyDiv w:val="1"/>
      <w:marLeft w:val="0"/>
      <w:marRight w:val="0"/>
      <w:marTop w:val="0"/>
      <w:marBottom w:val="0"/>
      <w:divBdr>
        <w:top w:val="none" w:sz="0" w:space="0" w:color="auto"/>
        <w:left w:val="none" w:sz="0" w:space="0" w:color="auto"/>
        <w:bottom w:val="none" w:sz="0" w:space="0" w:color="auto"/>
        <w:right w:val="none" w:sz="0" w:space="0" w:color="auto"/>
      </w:divBdr>
    </w:div>
    <w:div w:id="1082215216">
      <w:bodyDiv w:val="1"/>
      <w:marLeft w:val="0"/>
      <w:marRight w:val="0"/>
      <w:marTop w:val="0"/>
      <w:marBottom w:val="0"/>
      <w:divBdr>
        <w:top w:val="none" w:sz="0" w:space="0" w:color="auto"/>
        <w:left w:val="none" w:sz="0" w:space="0" w:color="auto"/>
        <w:bottom w:val="none" w:sz="0" w:space="0" w:color="auto"/>
        <w:right w:val="none" w:sz="0" w:space="0" w:color="auto"/>
      </w:divBdr>
    </w:div>
    <w:div w:id="1083602629">
      <w:bodyDiv w:val="1"/>
      <w:marLeft w:val="0"/>
      <w:marRight w:val="0"/>
      <w:marTop w:val="0"/>
      <w:marBottom w:val="0"/>
      <w:divBdr>
        <w:top w:val="none" w:sz="0" w:space="0" w:color="auto"/>
        <w:left w:val="none" w:sz="0" w:space="0" w:color="auto"/>
        <w:bottom w:val="none" w:sz="0" w:space="0" w:color="auto"/>
        <w:right w:val="none" w:sz="0" w:space="0" w:color="auto"/>
      </w:divBdr>
    </w:div>
    <w:div w:id="1086539799">
      <w:bodyDiv w:val="1"/>
      <w:marLeft w:val="0"/>
      <w:marRight w:val="0"/>
      <w:marTop w:val="0"/>
      <w:marBottom w:val="0"/>
      <w:divBdr>
        <w:top w:val="none" w:sz="0" w:space="0" w:color="auto"/>
        <w:left w:val="none" w:sz="0" w:space="0" w:color="auto"/>
        <w:bottom w:val="none" w:sz="0" w:space="0" w:color="auto"/>
        <w:right w:val="none" w:sz="0" w:space="0" w:color="auto"/>
      </w:divBdr>
    </w:div>
    <w:div w:id="1108156238">
      <w:bodyDiv w:val="1"/>
      <w:marLeft w:val="0"/>
      <w:marRight w:val="0"/>
      <w:marTop w:val="0"/>
      <w:marBottom w:val="0"/>
      <w:divBdr>
        <w:top w:val="none" w:sz="0" w:space="0" w:color="auto"/>
        <w:left w:val="none" w:sz="0" w:space="0" w:color="auto"/>
        <w:bottom w:val="none" w:sz="0" w:space="0" w:color="auto"/>
        <w:right w:val="none" w:sz="0" w:space="0" w:color="auto"/>
      </w:divBdr>
    </w:div>
    <w:div w:id="1122306043">
      <w:bodyDiv w:val="1"/>
      <w:marLeft w:val="0"/>
      <w:marRight w:val="0"/>
      <w:marTop w:val="0"/>
      <w:marBottom w:val="0"/>
      <w:divBdr>
        <w:top w:val="none" w:sz="0" w:space="0" w:color="auto"/>
        <w:left w:val="none" w:sz="0" w:space="0" w:color="auto"/>
        <w:bottom w:val="none" w:sz="0" w:space="0" w:color="auto"/>
        <w:right w:val="none" w:sz="0" w:space="0" w:color="auto"/>
      </w:divBdr>
    </w:div>
    <w:div w:id="1127553397">
      <w:bodyDiv w:val="1"/>
      <w:marLeft w:val="0"/>
      <w:marRight w:val="0"/>
      <w:marTop w:val="0"/>
      <w:marBottom w:val="0"/>
      <w:divBdr>
        <w:top w:val="none" w:sz="0" w:space="0" w:color="auto"/>
        <w:left w:val="none" w:sz="0" w:space="0" w:color="auto"/>
        <w:bottom w:val="none" w:sz="0" w:space="0" w:color="auto"/>
        <w:right w:val="none" w:sz="0" w:space="0" w:color="auto"/>
      </w:divBdr>
    </w:div>
    <w:div w:id="1142769290">
      <w:bodyDiv w:val="1"/>
      <w:marLeft w:val="0"/>
      <w:marRight w:val="0"/>
      <w:marTop w:val="0"/>
      <w:marBottom w:val="0"/>
      <w:divBdr>
        <w:top w:val="none" w:sz="0" w:space="0" w:color="auto"/>
        <w:left w:val="none" w:sz="0" w:space="0" w:color="auto"/>
        <w:bottom w:val="none" w:sz="0" w:space="0" w:color="auto"/>
        <w:right w:val="none" w:sz="0" w:space="0" w:color="auto"/>
      </w:divBdr>
    </w:div>
    <w:div w:id="1148593684">
      <w:bodyDiv w:val="1"/>
      <w:marLeft w:val="0"/>
      <w:marRight w:val="0"/>
      <w:marTop w:val="0"/>
      <w:marBottom w:val="0"/>
      <w:divBdr>
        <w:top w:val="none" w:sz="0" w:space="0" w:color="auto"/>
        <w:left w:val="none" w:sz="0" w:space="0" w:color="auto"/>
        <w:bottom w:val="none" w:sz="0" w:space="0" w:color="auto"/>
        <w:right w:val="none" w:sz="0" w:space="0" w:color="auto"/>
      </w:divBdr>
    </w:div>
    <w:div w:id="1150444992">
      <w:bodyDiv w:val="1"/>
      <w:marLeft w:val="0"/>
      <w:marRight w:val="0"/>
      <w:marTop w:val="0"/>
      <w:marBottom w:val="0"/>
      <w:divBdr>
        <w:top w:val="none" w:sz="0" w:space="0" w:color="auto"/>
        <w:left w:val="none" w:sz="0" w:space="0" w:color="auto"/>
        <w:bottom w:val="none" w:sz="0" w:space="0" w:color="auto"/>
        <w:right w:val="none" w:sz="0" w:space="0" w:color="auto"/>
      </w:divBdr>
    </w:div>
    <w:div w:id="1159808338">
      <w:bodyDiv w:val="1"/>
      <w:marLeft w:val="0"/>
      <w:marRight w:val="0"/>
      <w:marTop w:val="0"/>
      <w:marBottom w:val="0"/>
      <w:divBdr>
        <w:top w:val="none" w:sz="0" w:space="0" w:color="auto"/>
        <w:left w:val="none" w:sz="0" w:space="0" w:color="auto"/>
        <w:bottom w:val="none" w:sz="0" w:space="0" w:color="auto"/>
        <w:right w:val="none" w:sz="0" w:space="0" w:color="auto"/>
      </w:divBdr>
    </w:div>
    <w:div w:id="1162937735">
      <w:bodyDiv w:val="1"/>
      <w:marLeft w:val="0"/>
      <w:marRight w:val="0"/>
      <w:marTop w:val="0"/>
      <w:marBottom w:val="0"/>
      <w:divBdr>
        <w:top w:val="none" w:sz="0" w:space="0" w:color="auto"/>
        <w:left w:val="none" w:sz="0" w:space="0" w:color="auto"/>
        <w:bottom w:val="none" w:sz="0" w:space="0" w:color="auto"/>
        <w:right w:val="none" w:sz="0" w:space="0" w:color="auto"/>
      </w:divBdr>
    </w:div>
    <w:div w:id="1170483289">
      <w:bodyDiv w:val="1"/>
      <w:marLeft w:val="0"/>
      <w:marRight w:val="0"/>
      <w:marTop w:val="0"/>
      <w:marBottom w:val="0"/>
      <w:divBdr>
        <w:top w:val="none" w:sz="0" w:space="0" w:color="auto"/>
        <w:left w:val="none" w:sz="0" w:space="0" w:color="auto"/>
        <w:bottom w:val="none" w:sz="0" w:space="0" w:color="auto"/>
        <w:right w:val="none" w:sz="0" w:space="0" w:color="auto"/>
      </w:divBdr>
    </w:div>
    <w:div w:id="1171142193">
      <w:bodyDiv w:val="1"/>
      <w:marLeft w:val="0"/>
      <w:marRight w:val="0"/>
      <w:marTop w:val="0"/>
      <w:marBottom w:val="0"/>
      <w:divBdr>
        <w:top w:val="none" w:sz="0" w:space="0" w:color="auto"/>
        <w:left w:val="none" w:sz="0" w:space="0" w:color="auto"/>
        <w:bottom w:val="none" w:sz="0" w:space="0" w:color="auto"/>
        <w:right w:val="none" w:sz="0" w:space="0" w:color="auto"/>
      </w:divBdr>
    </w:div>
    <w:div w:id="1179463247">
      <w:bodyDiv w:val="1"/>
      <w:marLeft w:val="0"/>
      <w:marRight w:val="0"/>
      <w:marTop w:val="0"/>
      <w:marBottom w:val="0"/>
      <w:divBdr>
        <w:top w:val="none" w:sz="0" w:space="0" w:color="auto"/>
        <w:left w:val="none" w:sz="0" w:space="0" w:color="auto"/>
        <w:bottom w:val="none" w:sz="0" w:space="0" w:color="auto"/>
        <w:right w:val="none" w:sz="0" w:space="0" w:color="auto"/>
      </w:divBdr>
    </w:div>
    <w:div w:id="1180898256">
      <w:bodyDiv w:val="1"/>
      <w:marLeft w:val="0"/>
      <w:marRight w:val="0"/>
      <w:marTop w:val="0"/>
      <w:marBottom w:val="0"/>
      <w:divBdr>
        <w:top w:val="none" w:sz="0" w:space="0" w:color="auto"/>
        <w:left w:val="none" w:sz="0" w:space="0" w:color="auto"/>
        <w:bottom w:val="none" w:sz="0" w:space="0" w:color="auto"/>
        <w:right w:val="none" w:sz="0" w:space="0" w:color="auto"/>
      </w:divBdr>
    </w:div>
    <w:div w:id="1187330369">
      <w:bodyDiv w:val="1"/>
      <w:marLeft w:val="0"/>
      <w:marRight w:val="0"/>
      <w:marTop w:val="0"/>
      <w:marBottom w:val="0"/>
      <w:divBdr>
        <w:top w:val="none" w:sz="0" w:space="0" w:color="auto"/>
        <w:left w:val="none" w:sz="0" w:space="0" w:color="auto"/>
        <w:bottom w:val="none" w:sz="0" w:space="0" w:color="auto"/>
        <w:right w:val="none" w:sz="0" w:space="0" w:color="auto"/>
      </w:divBdr>
      <w:divsChild>
        <w:div w:id="709765098">
          <w:marLeft w:val="0"/>
          <w:marRight w:val="0"/>
          <w:marTop w:val="0"/>
          <w:marBottom w:val="0"/>
          <w:divBdr>
            <w:top w:val="none" w:sz="0" w:space="0" w:color="auto"/>
            <w:left w:val="none" w:sz="0" w:space="0" w:color="auto"/>
            <w:bottom w:val="none" w:sz="0" w:space="0" w:color="auto"/>
            <w:right w:val="none" w:sz="0" w:space="0" w:color="auto"/>
          </w:divBdr>
        </w:div>
      </w:divsChild>
    </w:div>
    <w:div w:id="1190801958">
      <w:bodyDiv w:val="1"/>
      <w:marLeft w:val="0"/>
      <w:marRight w:val="0"/>
      <w:marTop w:val="0"/>
      <w:marBottom w:val="0"/>
      <w:divBdr>
        <w:top w:val="none" w:sz="0" w:space="0" w:color="auto"/>
        <w:left w:val="none" w:sz="0" w:space="0" w:color="auto"/>
        <w:bottom w:val="none" w:sz="0" w:space="0" w:color="auto"/>
        <w:right w:val="none" w:sz="0" w:space="0" w:color="auto"/>
      </w:divBdr>
    </w:div>
    <w:div w:id="1196965991">
      <w:bodyDiv w:val="1"/>
      <w:marLeft w:val="0"/>
      <w:marRight w:val="0"/>
      <w:marTop w:val="0"/>
      <w:marBottom w:val="0"/>
      <w:divBdr>
        <w:top w:val="none" w:sz="0" w:space="0" w:color="auto"/>
        <w:left w:val="none" w:sz="0" w:space="0" w:color="auto"/>
        <w:bottom w:val="none" w:sz="0" w:space="0" w:color="auto"/>
        <w:right w:val="none" w:sz="0" w:space="0" w:color="auto"/>
      </w:divBdr>
    </w:div>
    <w:div w:id="1205482496">
      <w:bodyDiv w:val="1"/>
      <w:marLeft w:val="0"/>
      <w:marRight w:val="0"/>
      <w:marTop w:val="0"/>
      <w:marBottom w:val="0"/>
      <w:divBdr>
        <w:top w:val="none" w:sz="0" w:space="0" w:color="auto"/>
        <w:left w:val="none" w:sz="0" w:space="0" w:color="auto"/>
        <w:bottom w:val="none" w:sz="0" w:space="0" w:color="auto"/>
        <w:right w:val="none" w:sz="0" w:space="0" w:color="auto"/>
      </w:divBdr>
    </w:div>
    <w:div w:id="1210385847">
      <w:bodyDiv w:val="1"/>
      <w:marLeft w:val="0"/>
      <w:marRight w:val="0"/>
      <w:marTop w:val="0"/>
      <w:marBottom w:val="0"/>
      <w:divBdr>
        <w:top w:val="none" w:sz="0" w:space="0" w:color="auto"/>
        <w:left w:val="none" w:sz="0" w:space="0" w:color="auto"/>
        <w:bottom w:val="none" w:sz="0" w:space="0" w:color="auto"/>
        <w:right w:val="none" w:sz="0" w:space="0" w:color="auto"/>
      </w:divBdr>
    </w:div>
    <w:div w:id="1213538858">
      <w:bodyDiv w:val="1"/>
      <w:marLeft w:val="0"/>
      <w:marRight w:val="0"/>
      <w:marTop w:val="0"/>
      <w:marBottom w:val="0"/>
      <w:divBdr>
        <w:top w:val="none" w:sz="0" w:space="0" w:color="auto"/>
        <w:left w:val="none" w:sz="0" w:space="0" w:color="auto"/>
        <w:bottom w:val="none" w:sz="0" w:space="0" w:color="auto"/>
        <w:right w:val="none" w:sz="0" w:space="0" w:color="auto"/>
      </w:divBdr>
    </w:div>
    <w:div w:id="1222642931">
      <w:bodyDiv w:val="1"/>
      <w:marLeft w:val="0"/>
      <w:marRight w:val="0"/>
      <w:marTop w:val="0"/>
      <w:marBottom w:val="0"/>
      <w:divBdr>
        <w:top w:val="none" w:sz="0" w:space="0" w:color="auto"/>
        <w:left w:val="none" w:sz="0" w:space="0" w:color="auto"/>
        <w:bottom w:val="none" w:sz="0" w:space="0" w:color="auto"/>
        <w:right w:val="none" w:sz="0" w:space="0" w:color="auto"/>
      </w:divBdr>
    </w:div>
    <w:div w:id="1223516492">
      <w:bodyDiv w:val="1"/>
      <w:marLeft w:val="0"/>
      <w:marRight w:val="0"/>
      <w:marTop w:val="0"/>
      <w:marBottom w:val="0"/>
      <w:divBdr>
        <w:top w:val="none" w:sz="0" w:space="0" w:color="auto"/>
        <w:left w:val="none" w:sz="0" w:space="0" w:color="auto"/>
        <w:bottom w:val="none" w:sz="0" w:space="0" w:color="auto"/>
        <w:right w:val="none" w:sz="0" w:space="0" w:color="auto"/>
      </w:divBdr>
    </w:div>
    <w:div w:id="1224874259">
      <w:bodyDiv w:val="1"/>
      <w:marLeft w:val="0"/>
      <w:marRight w:val="0"/>
      <w:marTop w:val="0"/>
      <w:marBottom w:val="0"/>
      <w:divBdr>
        <w:top w:val="none" w:sz="0" w:space="0" w:color="auto"/>
        <w:left w:val="none" w:sz="0" w:space="0" w:color="auto"/>
        <w:bottom w:val="none" w:sz="0" w:space="0" w:color="auto"/>
        <w:right w:val="none" w:sz="0" w:space="0" w:color="auto"/>
      </w:divBdr>
    </w:div>
    <w:div w:id="1244802138">
      <w:bodyDiv w:val="1"/>
      <w:marLeft w:val="0"/>
      <w:marRight w:val="0"/>
      <w:marTop w:val="0"/>
      <w:marBottom w:val="0"/>
      <w:divBdr>
        <w:top w:val="none" w:sz="0" w:space="0" w:color="auto"/>
        <w:left w:val="none" w:sz="0" w:space="0" w:color="auto"/>
        <w:bottom w:val="none" w:sz="0" w:space="0" w:color="auto"/>
        <w:right w:val="none" w:sz="0" w:space="0" w:color="auto"/>
      </w:divBdr>
    </w:div>
    <w:div w:id="1247422234">
      <w:bodyDiv w:val="1"/>
      <w:marLeft w:val="0"/>
      <w:marRight w:val="0"/>
      <w:marTop w:val="0"/>
      <w:marBottom w:val="0"/>
      <w:divBdr>
        <w:top w:val="none" w:sz="0" w:space="0" w:color="auto"/>
        <w:left w:val="none" w:sz="0" w:space="0" w:color="auto"/>
        <w:bottom w:val="none" w:sz="0" w:space="0" w:color="auto"/>
        <w:right w:val="none" w:sz="0" w:space="0" w:color="auto"/>
      </w:divBdr>
    </w:div>
    <w:div w:id="1257133988">
      <w:bodyDiv w:val="1"/>
      <w:marLeft w:val="0"/>
      <w:marRight w:val="0"/>
      <w:marTop w:val="0"/>
      <w:marBottom w:val="0"/>
      <w:divBdr>
        <w:top w:val="none" w:sz="0" w:space="0" w:color="auto"/>
        <w:left w:val="none" w:sz="0" w:space="0" w:color="auto"/>
        <w:bottom w:val="none" w:sz="0" w:space="0" w:color="auto"/>
        <w:right w:val="none" w:sz="0" w:space="0" w:color="auto"/>
      </w:divBdr>
    </w:div>
    <w:div w:id="1257520813">
      <w:bodyDiv w:val="1"/>
      <w:marLeft w:val="0"/>
      <w:marRight w:val="0"/>
      <w:marTop w:val="0"/>
      <w:marBottom w:val="0"/>
      <w:divBdr>
        <w:top w:val="none" w:sz="0" w:space="0" w:color="auto"/>
        <w:left w:val="none" w:sz="0" w:space="0" w:color="auto"/>
        <w:bottom w:val="none" w:sz="0" w:space="0" w:color="auto"/>
        <w:right w:val="none" w:sz="0" w:space="0" w:color="auto"/>
      </w:divBdr>
    </w:div>
    <w:div w:id="1261109953">
      <w:bodyDiv w:val="1"/>
      <w:marLeft w:val="0"/>
      <w:marRight w:val="0"/>
      <w:marTop w:val="0"/>
      <w:marBottom w:val="0"/>
      <w:divBdr>
        <w:top w:val="none" w:sz="0" w:space="0" w:color="auto"/>
        <w:left w:val="none" w:sz="0" w:space="0" w:color="auto"/>
        <w:bottom w:val="none" w:sz="0" w:space="0" w:color="auto"/>
        <w:right w:val="none" w:sz="0" w:space="0" w:color="auto"/>
      </w:divBdr>
    </w:div>
    <w:div w:id="1264535129">
      <w:bodyDiv w:val="1"/>
      <w:marLeft w:val="0"/>
      <w:marRight w:val="0"/>
      <w:marTop w:val="0"/>
      <w:marBottom w:val="0"/>
      <w:divBdr>
        <w:top w:val="none" w:sz="0" w:space="0" w:color="auto"/>
        <w:left w:val="none" w:sz="0" w:space="0" w:color="auto"/>
        <w:bottom w:val="none" w:sz="0" w:space="0" w:color="auto"/>
        <w:right w:val="none" w:sz="0" w:space="0" w:color="auto"/>
      </w:divBdr>
    </w:div>
    <w:div w:id="1266109516">
      <w:bodyDiv w:val="1"/>
      <w:marLeft w:val="0"/>
      <w:marRight w:val="0"/>
      <w:marTop w:val="0"/>
      <w:marBottom w:val="0"/>
      <w:divBdr>
        <w:top w:val="none" w:sz="0" w:space="0" w:color="auto"/>
        <w:left w:val="none" w:sz="0" w:space="0" w:color="auto"/>
        <w:bottom w:val="none" w:sz="0" w:space="0" w:color="auto"/>
        <w:right w:val="none" w:sz="0" w:space="0" w:color="auto"/>
      </w:divBdr>
    </w:div>
    <w:div w:id="1267543037">
      <w:bodyDiv w:val="1"/>
      <w:marLeft w:val="0"/>
      <w:marRight w:val="0"/>
      <w:marTop w:val="0"/>
      <w:marBottom w:val="0"/>
      <w:divBdr>
        <w:top w:val="none" w:sz="0" w:space="0" w:color="auto"/>
        <w:left w:val="none" w:sz="0" w:space="0" w:color="auto"/>
        <w:bottom w:val="none" w:sz="0" w:space="0" w:color="auto"/>
        <w:right w:val="none" w:sz="0" w:space="0" w:color="auto"/>
      </w:divBdr>
    </w:div>
    <w:div w:id="1271665259">
      <w:bodyDiv w:val="1"/>
      <w:marLeft w:val="0"/>
      <w:marRight w:val="0"/>
      <w:marTop w:val="0"/>
      <w:marBottom w:val="0"/>
      <w:divBdr>
        <w:top w:val="none" w:sz="0" w:space="0" w:color="auto"/>
        <w:left w:val="none" w:sz="0" w:space="0" w:color="auto"/>
        <w:bottom w:val="none" w:sz="0" w:space="0" w:color="auto"/>
        <w:right w:val="none" w:sz="0" w:space="0" w:color="auto"/>
      </w:divBdr>
    </w:div>
    <w:div w:id="1281182556">
      <w:bodyDiv w:val="1"/>
      <w:marLeft w:val="0"/>
      <w:marRight w:val="0"/>
      <w:marTop w:val="0"/>
      <w:marBottom w:val="0"/>
      <w:divBdr>
        <w:top w:val="none" w:sz="0" w:space="0" w:color="auto"/>
        <w:left w:val="none" w:sz="0" w:space="0" w:color="auto"/>
        <w:bottom w:val="none" w:sz="0" w:space="0" w:color="auto"/>
        <w:right w:val="none" w:sz="0" w:space="0" w:color="auto"/>
      </w:divBdr>
    </w:div>
    <w:div w:id="1290472048">
      <w:bodyDiv w:val="1"/>
      <w:marLeft w:val="0"/>
      <w:marRight w:val="0"/>
      <w:marTop w:val="0"/>
      <w:marBottom w:val="0"/>
      <w:divBdr>
        <w:top w:val="none" w:sz="0" w:space="0" w:color="auto"/>
        <w:left w:val="none" w:sz="0" w:space="0" w:color="auto"/>
        <w:bottom w:val="none" w:sz="0" w:space="0" w:color="auto"/>
        <w:right w:val="none" w:sz="0" w:space="0" w:color="auto"/>
      </w:divBdr>
    </w:div>
    <w:div w:id="1301223889">
      <w:bodyDiv w:val="1"/>
      <w:marLeft w:val="0"/>
      <w:marRight w:val="0"/>
      <w:marTop w:val="0"/>
      <w:marBottom w:val="0"/>
      <w:divBdr>
        <w:top w:val="none" w:sz="0" w:space="0" w:color="auto"/>
        <w:left w:val="none" w:sz="0" w:space="0" w:color="auto"/>
        <w:bottom w:val="none" w:sz="0" w:space="0" w:color="auto"/>
        <w:right w:val="none" w:sz="0" w:space="0" w:color="auto"/>
      </w:divBdr>
    </w:div>
    <w:div w:id="1303076831">
      <w:bodyDiv w:val="1"/>
      <w:marLeft w:val="0"/>
      <w:marRight w:val="0"/>
      <w:marTop w:val="0"/>
      <w:marBottom w:val="0"/>
      <w:divBdr>
        <w:top w:val="none" w:sz="0" w:space="0" w:color="auto"/>
        <w:left w:val="none" w:sz="0" w:space="0" w:color="auto"/>
        <w:bottom w:val="none" w:sz="0" w:space="0" w:color="auto"/>
        <w:right w:val="none" w:sz="0" w:space="0" w:color="auto"/>
      </w:divBdr>
    </w:div>
    <w:div w:id="1304191118">
      <w:bodyDiv w:val="1"/>
      <w:marLeft w:val="0"/>
      <w:marRight w:val="0"/>
      <w:marTop w:val="0"/>
      <w:marBottom w:val="0"/>
      <w:divBdr>
        <w:top w:val="none" w:sz="0" w:space="0" w:color="auto"/>
        <w:left w:val="none" w:sz="0" w:space="0" w:color="auto"/>
        <w:bottom w:val="none" w:sz="0" w:space="0" w:color="auto"/>
        <w:right w:val="none" w:sz="0" w:space="0" w:color="auto"/>
      </w:divBdr>
    </w:div>
    <w:div w:id="1320885309">
      <w:bodyDiv w:val="1"/>
      <w:marLeft w:val="0"/>
      <w:marRight w:val="0"/>
      <w:marTop w:val="0"/>
      <w:marBottom w:val="0"/>
      <w:divBdr>
        <w:top w:val="none" w:sz="0" w:space="0" w:color="auto"/>
        <w:left w:val="none" w:sz="0" w:space="0" w:color="auto"/>
        <w:bottom w:val="none" w:sz="0" w:space="0" w:color="auto"/>
        <w:right w:val="none" w:sz="0" w:space="0" w:color="auto"/>
      </w:divBdr>
    </w:div>
    <w:div w:id="1322196125">
      <w:bodyDiv w:val="1"/>
      <w:marLeft w:val="0"/>
      <w:marRight w:val="0"/>
      <w:marTop w:val="0"/>
      <w:marBottom w:val="0"/>
      <w:divBdr>
        <w:top w:val="none" w:sz="0" w:space="0" w:color="auto"/>
        <w:left w:val="none" w:sz="0" w:space="0" w:color="auto"/>
        <w:bottom w:val="none" w:sz="0" w:space="0" w:color="auto"/>
        <w:right w:val="none" w:sz="0" w:space="0" w:color="auto"/>
      </w:divBdr>
    </w:div>
    <w:div w:id="1366515149">
      <w:bodyDiv w:val="1"/>
      <w:marLeft w:val="0"/>
      <w:marRight w:val="0"/>
      <w:marTop w:val="0"/>
      <w:marBottom w:val="0"/>
      <w:divBdr>
        <w:top w:val="none" w:sz="0" w:space="0" w:color="auto"/>
        <w:left w:val="none" w:sz="0" w:space="0" w:color="auto"/>
        <w:bottom w:val="none" w:sz="0" w:space="0" w:color="auto"/>
        <w:right w:val="none" w:sz="0" w:space="0" w:color="auto"/>
      </w:divBdr>
    </w:div>
    <w:div w:id="1384449781">
      <w:bodyDiv w:val="1"/>
      <w:marLeft w:val="0"/>
      <w:marRight w:val="0"/>
      <w:marTop w:val="0"/>
      <w:marBottom w:val="0"/>
      <w:divBdr>
        <w:top w:val="none" w:sz="0" w:space="0" w:color="auto"/>
        <w:left w:val="none" w:sz="0" w:space="0" w:color="auto"/>
        <w:bottom w:val="none" w:sz="0" w:space="0" w:color="auto"/>
        <w:right w:val="none" w:sz="0" w:space="0" w:color="auto"/>
      </w:divBdr>
    </w:div>
    <w:div w:id="1425685554">
      <w:bodyDiv w:val="1"/>
      <w:marLeft w:val="0"/>
      <w:marRight w:val="0"/>
      <w:marTop w:val="0"/>
      <w:marBottom w:val="0"/>
      <w:divBdr>
        <w:top w:val="none" w:sz="0" w:space="0" w:color="auto"/>
        <w:left w:val="none" w:sz="0" w:space="0" w:color="auto"/>
        <w:bottom w:val="none" w:sz="0" w:space="0" w:color="auto"/>
        <w:right w:val="none" w:sz="0" w:space="0" w:color="auto"/>
      </w:divBdr>
    </w:div>
    <w:div w:id="1434127431">
      <w:bodyDiv w:val="1"/>
      <w:marLeft w:val="0"/>
      <w:marRight w:val="0"/>
      <w:marTop w:val="0"/>
      <w:marBottom w:val="0"/>
      <w:divBdr>
        <w:top w:val="none" w:sz="0" w:space="0" w:color="auto"/>
        <w:left w:val="none" w:sz="0" w:space="0" w:color="auto"/>
        <w:bottom w:val="none" w:sz="0" w:space="0" w:color="auto"/>
        <w:right w:val="none" w:sz="0" w:space="0" w:color="auto"/>
      </w:divBdr>
    </w:div>
    <w:div w:id="1440296078">
      <w:bodyDiv w:val="1"/>
      <w:marLeft w:val="0"/>
      <w:marRight w:val="0"/>
      <w:marTop w:val="0"/>
      <w:marBottom w:val="0"/>
      <w:divBdr>
        <w:top w:val="none" w:sz="0" w:space="0" w:color="auto"/>
        <w:left w:val="none" w:sz="0" w:space="0" w:color="auto"/>
        <w:bottom w:val="none" w:sz="0" w:space="0" w:color="auto"/>
        <w:right w:val="none" w:sz="0" w:space="0" w:color="auto"/>
      </w:divBdr>
    </w:div>
    <w:div w:id="1447191838">
      <w:bodyDiv w:val="1"/>
      <w:marLeft w:val="0"/>
      <w:marRight w:val="0"/>
      <w:marTop w:val="0"/>
      <w:marBottom w:val="0"/>
      <w:divBdr>
        <w:top w:val="none" w:sz="0" w:space="0" w:color="auto"/>
        <w:left w:val="none" w:sz="0" w:space="0" w:color="auto"/>
        <w:bottom w:val="none" w:sz="0" w:space="0" w:color="auto"/>
        <w:right w:val="none" w:sz="0" w:space="0" w:color="auto"/>
      </w:divBdr>
    </w:div>
    <w:div w:id="1459107849">
      <w:bodyDiv w:val="1"/>
      <w:marLeft w:val="0"/>
      <w:marRight w:val="0"/>
      <w:marTop w:val="0"/>
      <w:marBottom w:val="0"/>
      <w:divBdr>
        <w:top w:val="none" w:sz="0" w:space="0" w:color="auto"/>
        <w:left w:val="none" w:sz="0" w:space="0" w:color="auto"/>
        <w:bottom w:val="none" w:sz="0" w:space="0" w:color="auto"/>
        <w:right w:val="none" w:sz="0" w:space="0" w:color="auto"/>
      </w:divBdr>
    </w:div>
    <w:div w:id="1468813747">
      <w:bodyDiv w:val="1"/>
      <w:marLeft w:val="0"/>
      <w:marRight w:val="0"/>
      <w:marTop w:val="0"/>
      <w:marBottom w:val="0"/>
      <w:divBdr>
        <w:top w:val="none" w:sz="0" w:space="0" w:color="auto"/>
        <w:left w:val="none" w:sz="0" w:space="0" w:color="auto"/>
        <w:bottom w:val="none" w:sz="0" w:space="0" w:color="auto"/>
        <w:right w:val="none" w:sz="0" w:space="0" w:color="auto"/>
      </w:divBdr>
    </w:div>
    <w:div w:id="1475566543">
      <w:bodyDiv w:val="1"/>
      <w:marLeft w:val="0"/>
      <w:marRight w:val="0"/>
      <w:marTop w:val="0"/>
      <w:marBottom w:val="0"/>
      <w:divBdr>
        <w:top w:val="none" w:sz="0" w:space="0" w:color="auto"/>
        <w:left w:val="none" w:sz="0" w:space="0" w:color="auto"/>
        <w:bottom w:val="none" w:sz="0" w:space="0" w:color="auto"/>
        <w:right w:val="none" w:sz="0" w:space="0" w:color="auto"/>
      </w:divBdr>
    </w:div>
    <w:div w:id="1491216301">
      <w:bodyDiv w:val="1"/>
      <w:marLeft w:val="0"/>
      <w:marRight w:val="0"/>
      <w:marTop w:val="0"/>
      <w:marBottom w:val="0"/>
      <w:divBdr>
        <w:top w:val="none" w:sz="0" w:space="0" w:color="auto"/>
        <w:left w:val="none" w:sz="0" w:space="0" w:color="auto"/>
        <w:bottom w:val="none" w:sz="0" w:space="0" w:color="auto"/>
        <w:right w:val="none" w:sz="0" w:space="0" w:color="auto"/>
      </w:divBdr>
    </w:div>
    <w:div w:id="1500656893">
      <w:bodyDiv w:val="1"/>
      <w:marLeft w:val="0"/>
      <w:marRight w:val="0"/>
      <w:marTop w:val="0"/>
      <w:marBottom w:val="0"/>
      <w:divBdr>
        <w:top w:val="none" w:sz="0" w:space="0" w:color="auto"/>
        <w:left w:val="none" w:sz="0" w:space="0" w:color="auto"/>
        <w:bottom w:val="none" w:sz="0" w:space="0" w:color="auto"/>
        <w:right w:val="none" w:sz="0" w:space="0" w:color="auto"/>
      </w:divBdr>
    </w:div>
    <w:div w:id="1522430620">
      <w:bodyDiv w:val="1"/>
      <w:marLeft w:val="0"/>
      <w:marRight w:val="0"/>
      <w:marTop w:val="0"/>
      <w:marBottom w:val="0"/>
      <w:divBdr>
        <w:top w:val="none" w:sz="0" w:space="0" w:color="auto"/>
        <w:left w:val="none" w:sz="0" w:space="0" w:color="auto"/>
        <w:bottom w:val="none" w:sz="0" w:space="0" w:color="auto"/>
        <w:right w:val="none" w:sz="0" w:space="0" w:color="auto"/>
      </w:divBdr>
    </w:div>
    <w:div w:id="1531190186">
      <w:bodyDiv w:val="1"/>
      <w:marLeft w:val="0"/>
      <w:marRight w:val="0"/>
      <w:marTop w:val="0"/>
      <w:marBottom w:val="0"/>
      <w:divBdr>
        <w:top w:val="none" w:sz="0" w:space="0" w:color="auto"/>
        <w:left w:val="none" w:sz="0" w:space="0" w:color="auto"/>
        <w:bottom w:val="none" w:sz="0" w:space="0" w:color="auto"/>
        <w:right w:val="none" w:sz="0" w:space="0" w:color="auto"/>
      </w:divBdr>
    </w:div>
    <w:div w:id="1538157349">
      <w:bodyDiv w:val="1"/>
      <w:marLeft w:val="0"/>
      <w:marRight w:val="0"/>
      <w:marTop w:val="0"/>
      <w:marBottom w:val="0"/>
      <w:divBdr>
        <w:top w:val="none" w:sz="0" w:space="0" w:color="auto"/>
        <w:left w:val="none" w:sz="0" w:space="0" w:color="auto"/>
        <w:bottom w:val="none" w:sz="0" w:space="0" w:color="auto"/>
        <w:right w:val="none" w:sz="0" w:space="0" w:color="auto"/>
      </w:divBdr>
    </w:div>
    <w:div w:id="1543514757">
      <w:bodyDiv w:val="1"/>
      <w:marLeft w:val="0"/>
      <w:marRight w:val="0"/>
      <w:marTop w:val="0"/>
      <w:marBottom w:val="0"/>
      <w:divBdr>
        <w:top w:val="none" w:sz="0" w:space="0" w:color="auto"/>
        <w:left w:val="none" w:sz="0" w:space="0" w:color="auto"/>
        <w:bottom w:val="none" w:sz="0" w:space="0" w:color="auto"/>
        <w:right w:val="none" w:sz="0" w:space="0" w:color="auto"/>
      </w:divBdr>
    </w:div>
    <w:div w:id="1562516449">
      <w:bodyDiv w:val="1"/>
      <w:marLeft w:val="0"/>
      <w:marRight w:val="0"/>
      <w:marTop w:val="0"/>
      <w:marBottom w:val="0"/>
      <w:divBdr>
        <w:top w:val="none" w:sz="0" w:space="0" w:color="auto"/>
        <w:left w:val="none" w:sz="0" w:space="0" w:color="auto"/>
        <w:bottom w:val="none" w:sz="0" w:space="0" w:color="auto"/>
        <w:right w:val="none" w:sz="0" w:space="0" w:color="auto"/>
      </w:divBdr>
    </w:div>
    <w:div w:id="1563104533">
      <w:bodyDiv w:val="1"/>
      <w:marLeft w:val="0"/>
      <w:marRight w:val="0"/>
      <w:marTop w:val="0"/>
      <w:marBottom w:val="0"/>
      <w:divBdr>
        <w:top w:val="none" w:sz="0" w:space="0" w:color="auto"/>
        <w:left w:val="none" w:sz="0" w:space="0" w:color="auto"/>
        <w:bottom w:val="none" w:sz="0" w:space="0" w:color="auto"/>
        <w:right w:val="none" w:sz="0" w:space="0" w:color="auto"/>
      </w:divBdr>
    </w:div>
    <w:div w:id="1565869373">
      <w:bodyDiv w:val="1"/>
      <w:marLeft w:val="0"/>
      <w:marRight w:val="0"/>
      <w:marTop w:val="0"/>
      <w:marBottom w:val="0"/>
      <w:divBdr>
        <w:top w:val="none" w:sz="0" w:space="0" w:color="auto"/>
        <w:left w:val="none" w:sz="0" w:space="0" w:color="auto"/>
        <w:bottom w:val="none" w:sz="0" w:space="0" w:color="auto"/>
        <w:right w:val="none" w:sz="0" w:space="0" w:color="auto"/>
      </w:divBdr>
    </w:div>
    <w:div w:id="1579361724">
      <w:bodyDiv w:val="1"/>
      <w:marLeft w:val="0"/>
      <w:marRight w:val="0"/>
      <w:marTop w:val="0"/>
      <w:marBottom w:val="0"/>
      <w:divBdr>
        <w:top w:val="none" w:sz="0" w:space="0" w:color="auto"/>
        <w:left w:val="none" w:sz="0" w:space="0" w:color="auto"/>
        <w:bottom w:val="none" w:sz="0" w:space="0" w:color="auto"/>
        <w:right w:val="none" w:sz="0" w:space="0" w:color="auto"/>
      </w:divBdr>
    </w:div>
    <w:div w:id="1586306652">
      <w:bodyDiv w:val="1"/>
      <w:marLeft w:val="0"/>
      <w:marRight w:val="0"/>
      <w:marTop w:val="0"/>
      <w:marBottom w:val="0"/>
      <w:divBdr>
        <w:top w:val="none" w:sz="0" w:space="0" w:color="auto"/>
        <w:left w:val="none" w:sz="0" w:space="0" w:color="auto"/>
        <w:bottom w:val="none" w:sz="0" w:space="0" w:color="auto"/>
        <w:right w:val="none" w:sz="0" w:space="0" w:color="auto"/>
      </w:divBdr>
    </w:div>
    <w:div w:id="1598828532">
      <w:bodyDiv w:val="1"/>
      <w:marLeft w:val="0"/>
      <w:marRight w:val="0"/>
      <w:marTop w:val="0"/>
      <w:marBottom w:val="0"/>
      <w:divBdr>
        <w:top w:val="none" w:sz="0" w:space="0" w:color="auto"/>
        <w:left w:val="none" w:sz="0" w:space="0" w:color="auto"/>
        <w:bottom w:val="none" w:sz="0" w:space="0" w:color="auto"/>
        <w:right w:val="none" w:sz="0" w:space="0" w:color="auto"/>
      </w:divBdr>
    </w:div>
    <w:div w:id="1599211225">
      <w:bodyDiv w:val="1"/>
      <w:marLeft w:val="0"/>
      <w:marRight w:val="0"/>
      <w:marTop w:val="0"/>
      <w:marBottom w:val="0"/>
      <w:divBdr>
        <w:top w:val="none" w:sz="0" w:space="0" w:color="auto"/>
        <w:left w:val="none" w:sz="0" w:space="0" w:color="auto"/>
        <w:bottom w:val="none" w:sz="0" w:space="0" w:color="auto"/>
        <w:right w:val="none" w:sz="0" w:space="0" w:color="auto"/>
      </w:divBdr>
    </w:div>
    <w:div w:id="1600672864">
      <w:bodyDiv w:val="1"/>
      <w:marLeft w:val="0"/>
      <w:marRight w:val="0"/>
      <w:marTop w:val="0"/>
      <w:marBottom w:val="0"/>
      <w:divBdr>
        <w:top w:val="none" w:sz="0" w:space="0" w:color="auto"/>
        <w:left w:val="none" w:sz="0" w:space="0" w:color="auto"/>
        <w:bottom w:val="none" w:sz="0" w:space="0" w:color="auto"/>
        <w:right w:val="none" w:sz="0" w:space="0" w:color="auto"/>
      </w:divBdr>
    </w:div>
    <w:div w:id="1610813196">
      <w:bodyDiv w:val="1"/>
      <w:marLeft w:val="0"/>
      <w:marRight w:val="0"/>
      <w:marTop w:val="0"/>
      <w:marBottom w:val="0"/>
      <w:divBdr>
        <w:top w:val="none" w:sz="0" w:space="0" w:color="auto"/>
        <w:left w:val="none" w:sz="0" w:space="0" w:color="auto"/>
        <w:bottom w:val="none" w:sz="0" w:space="0" w:color="auto"/>
        <w:right w:val="none" w:sz="0" w:space="0" w:color="auto"/>
      </w:divBdr>
    </w:div>
    <w:div w:id="1628049523">
      <w:bodyDiv w:val="1"/>
      <w:marLeft w:val="0"/>
      <w:marRight w:val="0"/>
      <w:marTop w:val="0"/>
      <w:marBottom w:val="0"/>
      <w:divBdr>
        <w:top w:val="none" w:sz="0" w:space="0" w:color="auto"/>
        <w:left w:val="none" w:sz="0" w:space="0" w:color="auto"/>
        <w:bottom w:val="none" w:sz="0" w:space="0" w:color="auto"/>
        <w:right w:val="none" w:sz="0" w:space="0" w:color="auto"/>
      </w:divBdr>
      <w:divsChild>
        <w:div w:id="514001389">
          <w:marLeft w:val="0"/>
          <w:marRight w:val="0"/>
          <w:marTop w:val="0"/>
          <w:marBottom w:val="0"/>
          <w:divBdr>
            <w:top w:val="none" w:sz="0" w:space="0" w:color="auto"/>
            <w:left w:val="none" w:sz="0" w:space="0" w:color="auto"/>
            <w:bottom w:val="none" w:sz="0" w:space="0" w:color="auto"/>
            <w:right w:val="none" w:sz="0" w:space="0" w:color="auto"/>
          </w:divBdr>
          <w:divsChild>
            <w:div w:id="1258978313">
              <w:marLeft w:val="0"/>
              <w:marRight w:val="0"/>
              <w:marTop w:val="0"/>
              <w:marBottom w:val="0"/>
              <w:divBdr>
                <w:top w:val="none" w:sz="0" w:space="0" w:color="auto"/>
                <w:left w:val="none" w:sz="0" w:space="0" w:color="auto"/>
                <w:bottom w:val="none" w:sz="0" w:space="0" w:color="auto"/>
                <w:right w:val="none" w:sz="0" w:space="0" w:color="auto"/>
              </w:divBdr>
              <w:divsChild>
                <w:div w:id="117574682">
                  <w:marLeft w:val="0"/>
                  <w:marRight w:val="0"/>
                  <w:marTop w:val="0"/>
                  <w:marBottom w:val="0"/>
                  <w:divBdr>
                    <w:top w:val="none" w:sz="0" w:space="0" w:color="auto"/>
                    <w:left w:val="none" w:sz="0" w:space="0" w:color="auto"/>
                    <w:bottom w:val="none" w:sz="0" w:space="0" w:color="auto"/>
                    <w:right w:val="none" w:sz="0" w:space="0" w:color="auto"/>
                  </w:divBdr>
                  <w:divsChild>
                    <w:div w:id="2136287725">
                      <w:marLeft w:val="300"/>
                      <w:marRight w:val="0"/>
                      <w:marTop w:val="0"/>
                      <w:marBottom w:val="0"/>
                      <w:divBdr>
                        <w:top w:val="none" w:sz="0" w:space="0" w:color="auto"/>
                        <w:left w:val="none" w:sz="0" w:space="0" w:color="auto"/>
                        <w:bottom w:val="none" w:sz="0" w:space="0" w:color="auto"/>
                        <w:right w:val="none" w:sz="0" w:space="0" w:color="auto"/>
                      </w:divBdr>
                      <w:divsChild>
                        <w:div w:id="1570575545">
                          <w:marLeft w:val="-300"/>
                          <w:marRight w:val="0"/>
                          <w:marTop w:val="0"/>
                          <w:marBottom w:val="0"/>
                          <w:divBdr>
                            <w:top w:val="none" w:sz="0" w:space="0" w:color="auto"/>
                            <w:left w:val="none" w:sz="0" w:space="0" w:color="auto"/>
                            <w:bottom w:val="none" w:sz="0" w:space="0" w:color="auto"/>
                            <w:right w:val="none" w:sz="0" w:space="0" w:color="auto"/>
                          </w:divBdr>
                          <w:divsChild>
                            <w:div w:id="800731782">
                              <w:marLeft w:val="0"/>
                              <w:marRight w:val="0"/>
                              <w:marTop w:val="0"/>
                              <w:marBottom w:val="0"/>
                              <w:divBdr>
                                <w:top w:val="none" w:sz="0" w:space="0" w:color="auto"/>
                                <w:left w:val="none" w:sz="0" w:space="0" w:color="auto"/>
                                <w:bottom w:val="none" w:sz="0" w:space="0" w:color="auto"/>
                                <w:right w:val="none" w:sz="0" w:space="0" w:color="auto"/>
                              </w:divBdr>
                              <w:divsChild>
                                <w:div w:id="730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62300">
      <w:bodyDiv w:val="1"/>
      <w:marLeft w:val="0"/>
      <w:marRight w:val="0"/>
      <w:marTop w:val="0"/>
      <w:marBottom w:val="0"/>
      <w:divBdr>
        <w:top w:val="none" w:sz="0" w:space="0" w:color="auto"/>
        <w:left w:val="none" w:sz="0" w:space="0" w:color="auto"/>
        <w:bottom w:val="none" w:sz="0" w:space="0" w:color="auto"/>
        <w:right w:val="none" w:sz="0" w:space="0" w:color="auto"/>
      </w:divBdr>
    </w:div>
    <w:div w:id="1633824101">
      <w:bodyDiv w:val="1"/>
      <w:marLeft w:val="0"/>
      <w:marRight w:val="0"/>
      <w:marTop w:val="0"/>
      <w:marBottom w:val="0"/>
      <w:divBdr>
        <w:top w:val="none" w:sz="0" w:space="0" w:color="auto"/>
        <w:left w:val="none" w:sz="0" w:space="0" w:color="auto"/>
        <w:bottom w:val="none" w:sz="0" w:space="0" w:color="auto"/>
        <w:right w:val="none" w:sz="0" w:space="0" w:color="auto"/>
      </w:divBdr>
    </w:div>
    <w:div w:id="1640260163">
      <w:bodyDiv w:val="1"/>
      <w:marLeft w:val="0"/>
      <w:marRight w:val="0"/>
      <w:marTop w:val="0"/>
      <w:marBottom w:val="0"/>
      <w:divBdr>
        <w:top w:val="none" w:sz="0" w:space="0" w:color="auto"/>
        <w:left w:val="none" w:sz="0" w:space="0" w:color="auto"/>
        <w:bottom w:val="none" w:sz="0" w:space="0" w:color="auto"/>
        <w:right w:val="none" w:sz="0" w:space="0" w:color="auto"/>
      </w:divBdr>
    </w:div>
    <w:div w:id="1672633739">
      <w:bodyDiv w:val="1"/>
      <w:marLeft w:val="0"/>
      <w:marRight w:val="0"/>
      <w:marTop w:val="0"/>
      <w:marBottom w:val="0"/>
      <w:divBdr>
        <w:top w:val="none" w:sz="0" w:space="0" w:color="auto"/>
        <w:left w:val="none" w:sz="0" w:space="0" w:color="auto"/>
        <w:bottom w:val="none" w:sz="0" w:space="0" w:color="auto"/>
        <w:right w:val="none" w:sz="0" w:space="0" w:color="auto"/>
      </w:divBdr>
    </w:div>
    <w:div w:id="1674144074">
      <w:bodyDiv w:val="1"/>
      <w:marLeft w:val="0"/>
      <w:marRight w:val="0"/>
      <w:marTop w:val="0"/>
      <w:marBottom w:val="0"/>
      <w:divBdr>
        <w:top w:val="none" w:sz="0" w:space="0" w:color="auto"/>
        <w:left w:val="none" w:sz="0" w:space="0" w:color="auto"/>
        <w:bottom w:val="none" w:sz="0" w:space="0" w:color="auto"/>
        <w:right w:val="none" w:sz="0" w:space="0" w:color="auto"/>
      </w:divBdr>
    </w:div>
    <w:div w:id="1679237921">
      <w:bodyDiv w:val="1"/>
      <w:marLeft w:val="0"/>
      <w:marRight w:val="0"/>
      <w:marTop w:val="0"/>
      <w:marBottom w:val="0"/>
      <w:divBdr>
        <w:top w:val="none" w:sz="0" w:space="0" w:color="auto"/>
        <w:left w:val="none" w:sz="0" w:space="0" w:color="auto"/>
        <w:bottom w:val="none" w:sz="0" w:space="0" w:color="auto"/>
        <w:right w:val="none" w:sz="0" w:space="0" w:color="auto"/>
      </w:divBdr>
    </w:div>
    <w:div w:id="1685744314">
      <w:bodyDiv w:val="1"/>
      <w:marLeft w:val="0"/>
      <w:marRight w:val="0"/>
      <w:marTop w:val="0"/>
      <w:marBottom w:val="0"/>
      <w:divBdr>
        <w:top w:val="none" w:sz="0" w:space="0" w:color="auto"/>
        <w:left w:val="none" w:sz="0" w:space="0" w:color="auto"/>
        <w:bottom w:val="none" w:sz="0" w:space="0" w:color="auto"/>
        <w:right w:val="none" w:sz="0" w:space="0" w:color="auto"/>
      </w:divBdr>
    </w:div>
    <w:div w:id="1688017461">
      <w:bodyDiv w:val="1"/>
      <w:marLeft w:val="0"/>
      <w:marRight w:val="0"/>
      <w:marTop w:val="0"/>
      <w:marBottom w:val="0"/>
      <w:divBdr>
        <w:top w:val="none" w:sz="0" w:space="0" w:color="auto"/>
        <w:left w:val="none" w:sz="0" w:space="0" w:color="auto"/>
        <w:bottom w:val="none" w:sz="0" w:space="0" w:color="auto"/>
        <w:right w:val="none" w:sz="0" w:space="0" w:color="auto"/>
      </w:divBdr>
    </w:div>
    <w:div w:id="1688754231">
      <w:bodyDiv w:val="1"/>
      <w:marLeft w:val="0"/>
      <w:marRight w:val="0"/>
      <w:marTop w:val="0"/>
      <w:marBottom w:val="0"/>
      <w:divBdr>
        <w:top w:val="none" w:sz="0" w:space="0" w:color="auto"/>
        <w:left w:val="none" w:sz="0" w:space="0" w:color="auto"/>
        <w:bottom w:val="none" w:sz="0" w:space="0" w:color="auto"/>
        <w:right w:val="none" w:sz="0" w:space="0" w:color="auto"/>
      </w:divBdr>
    </w:div>
    <w:div w:id="1700163357">
      <w:bodyDiv w:val="1"/>
      <w:marLeft w:val="0"/>
      <w:marRight w:val="0"/>
      <w:marTop w:val="0"/>
      <w:marBottom w:val="0"/>
      <w:divBdr>
        <w:top w:val="none" w:sz="0" w:space="0" w:color="auto"/>
        <w:left w:val="none" w:sz="0" w:space="0" w:color="auto"/>
        <w:bottom w:val="none" w:sz="0" w:space="0" w:color="auto"/>
        <w:right w:val="none" w:sz="0" w:space="0" w:color="auto"/>
      </w:divBdr>
    </w:div>
    <w:div w:id="1713266361">
      <w:bodyDiv w:val="1"/>
      <w:marLeft w:val="0"/>
      <w:marRight w:val="0"/>
      <w:marTop w:val="0"/>
      <w:marBottom w:val="0"/>
      <w:divBdr>
        <w:top w:val="none" w:sz="0" w:space="0" w:color="auto"/>
        <w:left w:val="none" w:sz="0" w:space="0" w:color="auto"/>
        <w:bottom w:val="none" w:sz="0" w:space="0" w:color="auto"/>
        <w:right w:val="none" w:sz="0" w:space="0" w:color="auto"/>
      </w:divBdr>
    </w:div>
    <w:div w:id="1736320098">
      <w:bodyDiv w:val="1"/>
      <w:marLeft w:val="0"/>
      <w:marRight w:val="0"/>
      <w:marTop w:val="0"/>
      <w:marBottom w:val="0"/>
      <w:divBdr>
        <w:top w:val="none" w:sz="0" w:space="0" w:color="auto"/>
        <w:left w:val="none" w:sz="0" w:space="0" w:color="auto"/>
        <w:bottom w:val="none" w:sz="0" w:space="0" w:color="auto"/>
        <w:right w:val="none" w:sz="0" w:space="0" w:color="auto"/>
      </w:divBdr>
    </w:div>
    <w:div w:id="1748110427">
      <w:bodyDiv w:val="1"/>
      <w:marLeft w:val="0"/>
      <w:marRight w:val="0"/>
      <w:marTop w:val="0"/>
      <w:marBottom w:val="0"/>
      <w:divBdr>
        <w:top w:val="none" w:sz="0" w:space="0" w:color="auto"/>
        <w:left w:val="none" w:sz="0" w:space="0" w:color="auto"/>
        <w:bottom w:val="none" w:sz="0" w:space="0" w:color="auto"/>
        <w:right w:val="none" w:sz="0" w:space="0" w:color="auto"/>
      </w:divBdr>
    </w:div>
    <w:div w:id="1752190882">
      <w:bodyDiv w:val="1"/>
      <w:marLeft w:val="0"/>
      <w:marRight w:val="0"/>
      <w:marTop w:val="0"/>
      <w:marBottom w:val="0"/>
      <w:divBdr>
        <w:top w:val="none" w:sz="0" w:space="0" w:color="auto"/>
        <w:left w:val="none" w:sz="0" w:space="0" w:color="auto"/>
        <w:bottom w:val="none" w:sz="0" w:space="0" w:color="auto"/>
        <w:right w:val="none" w:sz="0" w:space="0" w:color="auto"/>
      </w:divBdr>
    </w:div>
    <w:div w:id="1754744048">
      <w:bodyDiv w:val="1"/>
      <w:marLeft w:val="0"/>
      <w:marRight w:val="0"/>
      <w:marTop w:val="0"/>
      <w:marBottom w:val="0"/>
      <w:divBdr>
        <w:top w:val="none" w:sz="0" w:space="0" w:color="auto"/>
        <w:left w:val="none" w:sz="0" w:space="0" w:color="auto"/>
        <w:bottom w:val="none" w:sz="0" w:space="0" w:color="auto"/>
        <w:right w:val="none" w:sz="0" w:space="0" w:color="auto"/>
      </w:divBdr>
      <w:divsChild>
        <w:div w:id="963660183">
          <w:marLeft w:val="0"/>
          <w:marRight w:val="0"/>
          <w:marTop w:val="0"/>
          <w:marBottom w:val="0"/>
          <w:divBdr>
            <w:top w:val="none" w:sz="0" w:space="0" w:color="auto"/>
            <w:left w:val="none" w:sz="0" w:space="0" w:color="auto"/>
            <w:bottom w:val="none" w:sz="0" w:space="0" w:color="auto"/>
            <w:right w:val="none" w:sz="0" w:space="0" w:color="auto"/>
          </w:divBdr>
        </w:div>
        <w:div w:id="1008631579">
          <w:marLeft w:val="0"/>
          <w:marRight w:val="0"/>
          <w:marTop w:val="0"/>
          <w:marBottom w:val="0"/>
          <w:divBdr>
            <w:top w:val="none" w:sz="0" w:space="0" w:color="auto"/>
            <w:left w:val="none" w:sz="0" w:space="0" w:color="auto"/>
            <w:bottom w:val="none" w:sz="0" w:space="0" w:color="auto"/>
            <w:right w:val="none" w:sz="0" w:space="0" w:color="auto"/>
          </w:divBdr>
        </w:div>
      </w:divsChild>
    </w:div>
    <w:div w:id="1763448236">
      <w:bodyDiv w:val="1"/>
      <w:marLeft w:val="0"/>
      <w:marRight w:val="0"/>
      <w:marTop w:val="0"/>
      <w:marBottom w:val="0"/>
      <w:divBdr>
        <w:top w:val="none" w:sz="0" w:space="0" w:color="auto"/>
        <w:left w:val="none" w:sz="0" w:space="0" w:color="auto"/>
        <w:bottom w:val="none" w:sz="0" w:space="0" w:color="auto"/>
        <w:right w:val="none" w:sz="0" w:space="0" w:color="auto"/>
      </w:divBdr>
    </w:div>
    <w:div w:id="1763604581">
      <w:bodyDiv w:val="1"/>
      <w:marLeft w:val="0"/>
      <w:marRight w:val="0"/>
      <w:marTop w:val="0"/>
      <w:marBottom w:val="0"/>
      <w:divBdr>
        <w:top w:val="none" w:sz="0" w:space="0" w:color="auto"/>
        <w:left w:val="none" w:sz="0" w:space="0" w:color="auto"/>
        <w:bottom w:val="none" w:sz="0" w:space="0" w:color="auto"/>
        <w:right w:val="none" w:sz="0" w:space="0" w:color="auto"/>
      </w:divBdr>
    </w:div>
    <w:div w:id="1771971440">
      <w:bodyDiv w:val="1"/>
      <w:marLeft w:val="0"/>
      <w:marRight w:val="0"/>
      <w:marTop w:val="0"/>
      <w:marBottom w:val="0"/>
      <w:divBdr>
        <w:top w:val="none" w:sz="0" w:space="0" w:color="auto"/>
        <w:left w:val="none" w:sz="0" w:space="0" w:color="auto"/>
        <w:bottom w:val="none" w:sz="0" w:space="0" w:color="auto"/>
        <w:right w:val="none" w:sz="0" w:space="0" w:color="auto"/>
      </w:divBdr>
    </w:div>
    <w:div w:id="1774864693">
      <w:bodyDiv w:val="1"/>
      <w:marLeft w:val="0"/>
      <w:marRight w:val="0"/>
      <w:marTop w:val="0"/>
      <w:marBottom w:val="0"/>
      <w:divBdr>
        <w:top w:val="none" w:sz="0" w:space="0" w:color="auto"/>
        <w:left w:val="none" w:sz="0" w:space="0" w:color="auto"/>
        <w:bottom w:val="none" w:sz="0" w:space="0" w:color="auto"/>
        <w:right w:val="none" w:sz="0" w:space="0" w:color="auto"/>
      </w:divBdr>
    </w:div>
    <w:div w:id="1780251976">
      <w:bodyDiv w:val="1"/>
      <w:marLeft w:val="0"/>
      <w:marRight w:val="0"/>
      <w:marTop w:val="0"/>
      <w:marBottom w:val="0"/>
      <w:divBdr>
        <w:top w:val="none" w:sz="0" w:space="0" w:color="auto"/>
        <w:left w:val="none" w:sz="0" w:space="0" w:color="auto"/>
        <w:bottom w:val="none" w:sz="0" w:space="0" w:color="auto"/>
        <w:right w:val="none" w:sz="0" w:space="0" w:color="auto"/>
      </w:divBdr>
    </w:div>
    <w:div w:id="1783069916">
      <w:bodyDiv w:val="1"/>
      <w:marLeft w:val="0"/>
      <w:marRight w:val="0"/>
      <w:marTop w:val="0"/>
      <w:marBottom w:val="0"/>
      <w:divBdr>
        <w:top w:val="none" w:sz="0" w:space="0" w:color="auto"/>
        <w:left w:val="none" w:sz="0" w:space="0" w:color="auto"/>
        <w:bottom w:val="none" w:sz="0" w:space="0" w:color="auto"/>
        <w:right w:val="none" w:sz="0" w:space="0" w:color="auto"/>
      </w:divBdr>
    </w:div>
    <w:div w:id="1819690311">
      <w:bodyDiv w:val="1"/>
      <w:marLeft w:val="0"/>
      <w:marRight w:val="0"/>
      <w:marTop w:val="0"/>
      <w:marBottom w:val="0"/>
      <w:divBdr>
        <w:top w:val="none" w:sz="0" w:space="0" w:color="auto"/>
        <w:left w:val="none" w:sz="0" w:space="0" w:color="auto"/>
        <w:bottom w:val="none" w:sz="0" w:space="0" w:color="auto"/>
        <w:right w:val="none" w:sz="0" w:space="0" w:color="auto"/>
      </w:divBdr>
    </w:div>
    <w:div w:id="1821120597">
      <w:bodyDiv w:val="1"/>
      <w:marLeft w:val="0"/>
      <w:marRight w:val="0"/>
      <w:marTop w:val="0"/>
      <w:marBottom w:val="0"/>
      <w:divBdr>
        <w:top w:val="none" w:sz="0" w:space="0" w:color="auto"/>
        <w:left w:val="none" w:sz="0" w:space="0" w:color="auto"/>
        <w:bottom w:val="none" w:sz="0" w:space="0" w:color="auto"/>
        <w:right w:val="none" w:sz="0" w:space="0" w:color="auto"/>
      </w:divBdr>
    </w:div>
    <w:div w:id="1835023317">
      <w:bodyDiv w:val="1"/>
      <w:marLeft w:val="0"/>
      <w:marRight w:val="0"/>
      <w:marTop w:val="0"/>
      <w:marBottom w:val="0"/>
      <w:divBdr>
        <w:top w:val="none" w:sz="0" w:space="0" w:color="auto"/>
        <w:left w:val="none" w:sz="0" w:space="0" w:color="auto"/>
        <w:bottom w:val="none" w:sz="0" w:space="0" w:color="auto"/>
        <w:right w:val="none" w:sz="0" w:space="0" w:color="auto"/>
      </w:divBdr>
    </w:div>
    <w:div w:id="1837527830">
      <w:bodyDiv w:val="1"/>
      <w:marLeft w:val="0"/>
      <w:marRight w:val="0"/>
      <w:marTop w:val="0"/>
      <w:marBottom w:val="0"/>
      <w:divBdr>
        <w:top w:val="none" w:sz="0" w:space="0" w:color="auto"/>
        <w:left w:val="none" w:sz="0" w:space="0" w:color="auto"/>
        <w:bottom w:val="none" w:sz="0" w:space="0" w:color="auto"/>
        <w:right w:val="none" w:sz="0" w:space="0" w:color="auto"/>
      </w:divBdr>
    </w:div>
    <w:div w:id="1855070717">
      <w:bodyDiv w:val="1"/>
      <w:marLeft w:val="0"/>
      <w:marRight w:val="0"/>
      <w:marTop w:val="0"/>
      <w:marBottom w:val="0"/>
      <w:divBdr>
        <w:top w:val="none" w:sz="0" w:space="0" w:color="auto"/>
        <w:left w:val="none" w:sz="0" w:space="0" w:color="auto"/>
        <w:bottom w:val="none" w:sz="0" w:space="0" w:color="auto"/>
        <w:right w:val="none" w:sz="0" w:space="0" w:color="auto"/>
      </w:divBdr>
    </w:div>
    <w:div w:id="1860780767">
      <w:bodyDiv w:val="1"/>
      <w:marLeft w:val="0"/>
      <w:marRight w:val="0"/>
      <w:marTop w:val="0"/>
      <w:marBottom w:val="0"/>
      <w:divBdr>
        <w:top w:val="none" w:sz="0" w:space="0" w:color="auto"/>
        <w:left w:val="none" w:sz="0" w:space="0" w:color="auto"/>
        <w:bottom w:val="none" w:sz="0" w:space="0" w:color="auto"/>
        <w:right w:val="none" w:sz="0" w:space="0" w:color="auto"/>
      </w:divBdr>
    </w:div>
    <w:div w:id="1864780336">
      <w:bodyDiv w:val="1"/>
      <w:marLeft w:val="0"/>
      <w:marRight w:val="0"/>
      <w:marTop w:val="0"/>
      <w:marBottom w:val="0"/>
      <w:divBdr>
        <w:top w:val="none" w:sz="0" w:space="0" w:color="auto"/>
        <w:left w:val="none" w:sz="0" w:space="0" w:color="auto"/>
        <w:bottom w:val="none" w:sz="0" w:space="0" w:color="auto"/>
        <w:right w:val="none" w:sz="0" w:space="0" w:color="auto"/>
      </w:divBdr>
    </w:div>
    <w:div w:id="1868987447">
      <w:bodyDiv w:val="1"/>
      <w:marLeft w:val="0"/>
      <w:marRight w:val="0"/>
      <w:marTop w:val="0"/>
      <w:marBottom w:val="0"/>
      <w:divBdr>
        <w:top w:val="none" w:sz="0" w:space="0" w:color="auto"/>
        <w:left w:val="none" w:sz="0" w:space="0" w:color="auto"/>
        <w:bottom w:val="none" w:sz="0" w:space="0" w:color="auto"/>
        <w:right w:val="none" w:sz="0" w:space="0" w:color="auto"/>
      </w:divBdr>
    </w:div>
    <w:div w:id="1873835047">
      <w:bodyDiv w:val="1"/>
      <w:marLeft w:val="0"/>
      <w:marRight w:val="0"/>
      <w:marTop w:val="0"/>
      <w:marBottom w:val="0"/>
      <w:divBdr>
        <w:top w:val="none" w:sz="0" w:space="0" w:color="auto"/>
        <w:left w:val="none" w:sz="0" w:space="0" w:color="auto"/>
        <w:bottom w:val="none" w:sz="0" w:space="0" w:color="auto"/>
        <w:right w:val="none" w:sz="0" w:space="0" w:color="auto"/>
      </w:divBdr>
    </w:div>
    <w:div w:id="1879538702">
      <w:bodyDiv w:val="1"/>
      <w:marLeft w:val="0"/>
      <w:marRight w:val="0"/>
      <w:marTop w:val="0"/>
      <w:marBottom w:val="0"/>
      <w:divBdr>
        <w:top w:val="none" w:sz="0" w:space="0" w:color="auto"/>
        <w:left w:val="none" w:sz="0" w:space="0" w:color="auto"/>
        <w:bottom w:val="none" w:sz="0" w:space="0" w:color="auto"/>
        <w:right w:val="none" w:sz="0" w:space="0" w:color="auto"/>
      </w:divBdr>
    </w:div>
    <w:div w:id="1886142684">
      <w:bodyDiv w:val="1"/>
      <w:marLeft w:val="0"/>
      <w:marRight w:val="0"/>
      <w:marTop w:val="0"/>
      <w:marBottom w:val="0"/>
      <w:divBdr>
        <w:top w:val="none" w:sz="0" w:space="0" w:color="auto"/>
        <w:left w:val="none" w:sz="0" w:space="0" w:color="auto"/>
        <w:bottom w:val="none" w:sz="0" w:space="0" w:color="auto"/>
        <w:right w:val="none" w:sz="0" w:space="0" w:color="auto"/>
      </w:divBdr>
    </w:div>
    <w:div w:id="1887910616">
      <w:bodyDiv w:val="1"/>
      <w:marLeft w:val="0"/>
      <w:marRight w:val="0"/>
      <w:marTop w:val="0"/>
      <w:marBottom w:val="0"/>
      <w:divBdr>
        <w:top w:val="none" w:sz="0" w:space="0" w:color="auto"/>
        <w:left w:val="none" w:sz="0" w:space="0" w:color="auto"/>
        <w:bottom w:val="none" w:sz="0" w:space="0" w:color="auto"/>
        <w:right w:val="none" w:sz="0" w:space="0" w:color="auto"/>
      </w:divBdr>
    </w:div>
    <w:div w:id="1892188091">
      <w:bodyDiv w:val="1"/>
      <w:marLeft w:val="0"/>
      <w:marRight w:val="0"/>
      <w:marTop w:val="0"/>
      <w:marBottom w:val="0"/>
      <w:divBdr>
        <w:top w:val="none" w:sz="0" w:space="0" w:color="auto"/>
        <w:left w:val="none" w:sz="0" w:space="0" w:color="auto"/>
        <w:bottom w:val="none" w:sz="0" w:space="0" w:color="auto"/>
        <w:right w:val="none" w:sz="0" w:space="0" w:color="auto"/>
      </w:divBdr>
    </w:div>
    <w:div w:id="1894458524">
      <w:bodyDiv w:val="1"/>
      <w:marLeft w:val="0"/>
      <w:marRight w:val="0"/>
      <w:marTop w:val="0"/>
      <w:marBottom w:val="0"/>
      <w:divBdr>
        <w:top w:val="none" w:sz="0" w:space="0" w:color="auto"/>
        <w:left w:val="none" w:sz="0" w:space="0" w:color="auto"/>
        <w:bottom w:val="none" w:sz="0" w:space="0" w:color="auto"/>
        <w:right w:val="none" w:sz="0" w:space="0" w:color="auto"/>
      </w:divBdr>
      <w:divsChild>
        <w:div w:id="956327282">
          <w:marLeft w:val="0"/>
          <w:marRight w:val="0"/>
          <w:marTop w:val="0"/>
          <w:marBottom w:val="0"/>
          <w:divBdr>
            <w:top w:val="none" w:sz="0" w:space="0" w:color="auto"/>
            <w:left w:val="none" w:sz="0" w:space="0" w:color="auto"/>
            <w:bottom w:val="none" w:sz="0" w:space="0" w:color="auto"/>
            <w:right w:val="none" w:sz="0" w:space="0" w:color="auto"/>
          </w:divBdr>
        </w:div>
      </w:divsChild>
    </w:div>
    <w:div w:id="1908416581">
      <w:bodyDiv w:val="1"/>
      <w:marLeft w:val="0"/>
      <w:marRight w:val="0"/>
      <w:marTop w:val="0"/>
      <w:marBottom w:val="0"/>
      <w:divBdr>
        <w:top w:val="none" w:sz="0" w:space="0" w:color="auto"/>
        <w:left w:val="none" w:sz="0" w:space="0" w:color="auto"/>
        <w:bottom w:val="none" w:sz="0" w:space="0" w:color="auto"/>
        <w:right w:val="none" w:sz="0" w:space="0" w:color="auto"/>
      </w:divBdr>
    </w:div>
    <w:div w:id="1919750548">
      <w:bodyDiv w:val="1"/>
      <w:marLeft w:val="0"/>
      <w:marRight w:val="0"/>
      <w:marTop w:val="0"/>
      <w:marBottom w:val="0"/>
      <w:divBdr>
        <w:top w:val="none" w:sz="0" w:space="0" w:color="auto"/>
        <w:left w:val="none" w:sz="0" w:space="0" w:color="auto"/>
        <w:bottom w:val="none" w:sz="0" w:space="0" w:color="auto"/>
        <w:right w:val="none" w:sz="0" w:space="0" w:color="auto"/>
      </w:divBdr>
    </w:div>
    <w:div w:id="1926265132">
      <w:bodyDiv w:val="1"/>
      <w:marLeft w:val="0"/>
      <w:marRight w:val="0"/>
      <w:marTop w:val="0"/>
      <w:marBottom w:val="0"/>
      <w:divBdr>
        <w:top w:val="none" w:sz="0" w:space="0" w:color="auto"/>
        <w:left w:val="none" w:sz="0" w:space="0" w:color="auto"/>
        <w:bottom w:val="none" w:sz="0" w:space="0" w:color="auto"/>
        <w:right w:val="none" w:sz="0" w:space="0" w:color="auto"/>
      </w:divBdr>
    </w:div>
    <w:div w:id="1942252432">
      <w:bodyDiv w:val="1"/>
      <w:marLeft w:val="0"/>
      <w:marRight w:val="0"/>
      <w:marTop w:val="0"/>
      <w:marBottom w:val="0"/>
      <w:divBdr>
        <w:top w:val="none" w:sz="0" w:space="0" w:color="auto"/>
        <w:left w:val="none" w:sz="0" w:space="0" w:color="auto"/>
        <w:bottom w:val="none" w:sz="0" w:space="0" w:color="auto"/>
        <w:right w:val="none" w:sz="0" w:space="0" w:color="auto"/>
      </w:divBdr>
    </w:div>
    <w:div w:id="1950503495">
      <w:bodyDiv w:val="1"/>
      <w:marLeft w:val="0"/>
      <w:marRight w:val="0"/>
      <w:marTop w:val="0"/>
      <w:marBottom w:val="0"/>
      <w:divBdr>
        <w:top w:val="none" w:sz="0" w:space="0" w:color="auto"/>
        <w:left w:val="none" w:sz="0" w:space="0" w:color="auto"/>
        <w:bottom w:val="none" w:sz="0" w:space="0" w:color="auto"/>
        <w:right w:val="none" w:sz="0" w:space="0" w:color="auto"/>
      </w:divBdr>
    </w:div>
    <w:div w:id="1952125073">
      <w:bodyDiv w:val="1"/>
      <w:marLeft w:val="0"/>
      <w:marRight w:val="0"/>
      <w:marTop w:val="0"/>
      <w:marBottom w:val="0"/>
      <w:divBdr>
        <w:top w:val="none" w:sz="0" w:space="0" w:color="auto"/>
        <w:left w:val="none" w:sz="0" w:space="0" w:color="auto"/>
        <w:bottom w:val="none" w:sz="0" w:space="0" w:color="auto"/>
        <w:right w:val="none" w:sz="0" w:space="0" w:color="auto"/>
      </w:divBdr>
      <w:divsChild>
        <w:div w:id="907760966">
          <w:marLeft w:val="0"/>
          <w:marRight w:val="0"/>
          <w:marTop w:val="0"/>
          <w:marBottom w:val="0"/>
          <w:divBdr>
            <w:top w:val="none" w:sz="0" w:space="0" w:color="auto"/>
            <w:left w:val="none" w:sz="0" w:space="0" w:color="auto"/>
            <w:bottom w:val="none" w:sz="0" w:space="0" w:color="auto"/>
            <w:right w:val="none" w:sz="0" w:space="0" w:color="auto"/>
          </w:divBdr>
        </w:div>
      </w:divsChild>
    </w:div>
    <w:div w:id="1957834593">
      <w:bodyDiv w:val="1"/>
      <w:marLeft w:val="0"/>
      <w:marRight w:val="0"/>
      <w:marTop w:val="0"/>
      <w:marBottom w:val="0"/>
      <w:divBdr>
        <w:top w:val="none" w:sz="0" w:space="0" w:color="auto"/>
        <w:left w:val="none" w:sz="0" w:space="0" w:color="auto"/>
        <w:bottom w:val="none" w:sz="0" w:space="0" w:color="auto"/>
        <w:right w:val="none" w:sz="0" w:space="0" w:color="auto"/>
      </w:divBdr>
    </w:div>
    <w:div w:id="2001300170">
      <w:bodyDiv w:val="1"/>
      <w:marLeft w:val="0"/>
      <w:marRight w:val="0"/>
      <w:marTop w:val="0"/>
      <w:marBottom w:val="0"/>
      <w:divBdr>
        <w:top w:val="none" w:sz="0" w:space="0" w:color="auto"/>
        <w:left w:val="none" w:sz="0" w:space="0" w:color="auto"/>
        <w:bottom w:val="none" w:sz="0" w:space="0" w:color="auto"/>
        <w:right w:val="none" w:sz="0" w:space="0" w:color="auto"/>
      </w:divBdr>
    </w:div>
    <w:div w:id="2011368227">
      <w:bodyDiv w:val="1"/>
      <w:marLeft w:val="0"/>
      <w:marRight w:val="0"/>
      <w:marTop w:val="0"/>
      <w:marBottom w:val="0"/>
      <w:divBdr>
        <w:top w:val="none" w:sz="0" w:space="0" w:color="auto"/>
        <w:left w:val="none" w:sz="0" w:space="0" w:color="auto"/>
        <w:bottom w:val="none" w:sz="0" w:space="0" w:color="auto"/>
        <w:right w:val="none" w:sz="0" w:space="0" w:color="auto"/>
      </w:divBdr>
    </w:div>
    <w:div w:id="2014339025">
      <w:bodyDiv w:val="1"/>
      <w:marLeft w:val="0"/>
      <w:marRight w:val="0"/>
      <w:marTop w:val="0"/>
      <w:marBottom w:val="0"/>
      <w:divBdr>
        <w:top w:val="none" w:sz="0" w:space="0" w:color="auto"/>
        <w:left w:val="none" w:sz="0" w:space="0" w:color="auto"/>
        <w:bottom w:val="none" w:sz="0" w:space="0" w:color="auto"/>
        <w:right w:val="none" w:sz="0" w:space="0" w:color="auto"/>
      </w:divBdr>
    </w:div>
    <w:div w:id="2031829419">
      <w:bodyDiv w:val="1"/>
      <w:marLeft w:val="0"/>
      <w:marRight w:val="0"/>
      <w:marTop w:val="0"/>
      <w:marBottom w:val="0"/>
      <w:divBdr>
        <w:top w:val="none" w:sz="0" w:space="0" w:color="auto"/>
        <w:left w:val="none" w:sz="0" w:space="0" w:color="auto"/>
        <w:bottom w:val="none" w:sz="0" w:space="0" w:color="auto"/>
        <w:right w:val="none" w:sz="0" w:space="0" w:color="auto"/>
      </w:divBdr>
    </w:div>
    <w:div w:id="2037271138">
      <w:bodyDiv w:val="1"/>
      <w:marLeft w:val="0"/>
      <w:marRight w:val="0"/>
      <w:marTop w:val="0"/>
      <w:marBottom w:val="0"/>
      <w:divBdr>
        <w:top w:val="none" w:sz="0" w:space="0" w:color="auto"/>
        <w:left w:val="none" w:sz="0" w:space="0" w:color="auto"/>
        <w:bottom w:val="none" w:sz="0" w:space="0" w:color="auto"/>
        <w:right w:val="none" w:sz="0" w:space="0" w:color="auto"/>
      </w:divBdr>
    </w:div>
    <w:div w:id="2045324290">
      <w:bodyDiv w:val="1"/>
      <w:marLeft w:val="0"/>
      <w:marRight w:val="0"/>
      <w:marTop w:val="0"/>
      <w:marBottom w:val="0"/>
      <w:divBdr>
        <w:top w:val="none" w:sz="0" w:space="0" w:color="auto"/>
        <w:left w:val="none" w:sz="0" w:space="0" w:color="auto"/>
        <w:bottom w:val="none" w:sz="0" w:space="0" w:color="auto"/>
        <w:right w:val="none" w:sz="0" w:space="0" w:color="auto"/>
      </w:divBdr>
    </w:div>
    <w:div w:id="2053068713">
      <w:bodyDiv w:val="1"/>
      <w:marLeft w:val="0"/>
      <w:marRight w:val="0"/>
      <w:marTop w:val="0"/>
      <w:marBottom w:val="0"/>
      <w:divBdr>
        <w:top w:val="none" w:sz="0" w:space="0" w:color="auto"/>
        <w:left w:val="none" w:sz="0" w:space="0" w:color="auto"/>
        <w:bottom w:val="none" w:sz="0" w:space="0" w:color="auto"/>
        <w:right w:val="none" w:sz="0" w:space="0" w:color="auto"/>
      </w:divBdr>
    </w:div>
    <w:div w:id="2063864312">
      <w:bodyDiv w:val="1"/>
      <w:marLeft w:val="0"/>
      <w:marRight w:val="0"/>
      <w:marTop w:val="0"/>
      <w:marBottom w:val="0"/>
      <w:divBdr>
        <w:top w:val="none" w:sz="0" w:space="0" w:color="auto"/>
        <w:left w:val="none" w:sz="0" w:space="0" w:color="auto"/>
        <w:bottom w:val="none" w:sz="0" w:space="0" w:color="auto"/>
        <w:right w:val="none" w:sz="0" w:space="0" w:color="auto"/>
      </w:divBdr>
    </w:div>
    <w:div w:id="2067071733">
      <w:bodyDiv w:val="1"/>
      <w:marLeft w:val="0"/>
      <w:marRight w:val="0"/>
      <w:marTop w:val="0"/>
      <w:marBottom w:val="0"/>
      <w:divBdr>
        <w:top w:val="none" w:sz="0" w:space="0" w:color="auto"/>
        <w:left w:val="none" w:sz="0" w:space="0" w:color="auto"/>
        <w:bottom w:val="none" w:sz="0" w:space="0" w:color="auto"/>
        <w:right w:val="none" w:sz="0" w:space="0" w:color="auto"/>
      </w:divBdr>
    </w:div>
    <w:div w:id="2071807164">
      <w:bodyDiv w:val="1"/>
      <w:marLeft w:val="0"/>
      <w:marRight w:val="0"/>
      <w:marTop w:val="0"/>
      <w:marBottom w:val="0"/>
      <w:divBdr>
        <w:top w:val="none" w:sz="0" w:space="0" w:color="auto"/>
        <w:left w:val="none" w:sz="0" w:space="0" w:color="auto"/>
        <w:bottom w:val="none" w:sz="0" w:space="0" w:color="auto"/>
        <w:right w:val="none" w:sz="0" w:space="0" w:color="auto"/>
      </w:divBdr>
      <w:divsChild>
        <w:div w:id="1283538881">
          <w:marLeft w:val="0"/>
          <w:marRight w:val="0"/>
          <w:marTop w:val="0"/>
          <w:marBottom w:val="0"/>
          <w:divBdr>
            <w:top w:val="none" w:sz="0" w:space="0" w:color="auto"/>
            <w:left w:val="none" w:sz="0" w:space="0" w:color="auto"/>
            <w:bottom w:val="none" w:sz="0" w:space="0" w:color="auto"/>
            <w:right w:val="none" w:sz="0" w:space="0" w:color="auto"/>
          </w:divBdr>
        </w:div>
      </w:divsChild>
    </w:div>
    <w:div w:id="2075424104">
      <w:bodyDiv w:val="1"/>
      <w:marLeft w:val="0"/>
      <w:marRight w:val="0"/>
      <w:marTop w:val="0"/>
      <w:marBottom w:val="0"/>
      <w:divBdr>
        <w:top w:val="none" w:sz="0" w:space="0" w:color="auto"/>
        <w:left w:val="none" w:sz="0" w:space="0" w:color="auto"/>
        <w:bottom w:val="none" w:sz="0" w:space="0" w:color="auto"/>
        <w:right w:val="none" w:sz="0" w:space="0" w:color="auto"/>
      </w:divBdr>
    </w:div>
    <w:div w:id="2076471190">
      <w:bodyDiv w:val="1"/>
      <w:marLeft w:val="0"/>
      <w:marRight w:val="0"/>
      <w:marTop w:val="0"/>
      <w:marBottom w:val="0"/>
      <w:divBdr>
        <w:top w:val="none" w:sz="0" w:space="0" w:color="auto"/>
        <w:left w:val="none" w:sz="0" w:space="0" w:color="auto"/>
        <w:bottom w:val="none" w:sz="0" w:space="0" w:color="auto"/>
        <w:right w:val="none" w:sz="0" w:space="0" w:color="auto"/>
      </w:divBdr>
    </w:div>
    <w:div w:id="2091582578">
      <w:bodyDiv w:val="1"/>
      <w:marLeft w:val="0"/>
      <w:marRight w:val="0"/>
      <w:marTop w:val="0"/>
      <w:marBottom w:val="0"/>
      <w:divBdr>
        <w:top w:val="none" w:sz="0" w:space="0" w:color="auto"/>
        <w:left w:val="none" w:sz="0" w:space="0" w:color="auto"/>
        <w:bottom w:val="none" w:sz="0" w:space="0" w:color="auto"/>
        <w:right w:val="none" w:sz="0" w:space="0" w:color="auto"/>
      </w:divBdr>
    </w:div>
    <w:div w:id="2095934860">
      <w:bodyDiv w:val="1"/>
      <w:marLeft w:val="0"/>
      <w:marRight w:val="0"/>
      <w:marTop w:val="0"/>
      <w:marBottom w:val="0"/>
      <w:divBdr>
        <w:top w:val="none" w:sz="0" w:space="0" w:color="auto"/>
        <w:left w:val="none" w:sz="0" w:space="0" w:color="auto"/>
        <w:bottom w:val="none" w:sz="0" w:space="0" w:color="auto"/>
        <w:right w:val="none" w:sz="0" w:space="0" w:color="auto"/>
      </w:divBdr>
    </w:div>
    <w:div w:id="2119790310">
      <w:bodyDiv w:val="1"/>
      <w:marLeft w:val="0"/>
      <w:marRight w:val="0"/>
      <w:marTop w:val="0"/>
      <w:marBottom w:val="0"/>
      <w:divBdr>
        <w:top w:val="none" w:sz="0" w:space="0" w:color="auto"/>
        <w:left w:val="none" w:sz="0" w:space="0" w:color="auto"/>
        <w:bottom w:val="none" w:sz="0" w:space="0" w:color="auto"/>
        <w:right w:val="none" w:sz="0" w:space="0" w:color="auto"/>
      </w:divBdr>
    </w:div>
    <w:div w:id="2126651029">
      <w:bodyDiv w:val="1"/>
      <w:marLeft w:val="0"/>
      <w:marRight w:val="0"/>
      <w:marTop w:val="0"/>
      <w:marBottom w:val="0"/>
      <w:divBdr>
        <w:top w:val="none" w:sz="0" w:space="0" w:color="auto"/>
        <w:left w:val="none" w:sz="0" w:space="0" w:color="auto"/>
        <w:bottom w:val="none" w:sz="0" w:space="0" w:color="auto"/>
        <w:right w:val="none" w:sz="0" w:space="0" w:color="auto"/>
      </w:divBdr>
    </w:div>
    <w:div w:id="2127237431">
      <w:bodyDiv w:val="1"/>
      <w:marLeft w:val="0"/>
      <w:marRight w:val="0"/>
      <w:marTop w:val="0"/>
      <w:marBottom w:val="0"/>
      <w:divBdr>
        <w:top w:val="none" w:sz="0" w:space="0" w:color="auto"/>
        <w:left w:val="none" w:sz="0" w:space="0" w:color="auto"/>
        <w:bottom w:val="none" w:sz="0" w:space="0" w:color="auto"/>
        <w:right w:val="none" w:sz="0" w:space="0" w:color="auto"/>
      </w:divBdr>
    </w:div>
    <w:div w:id="214499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italia/covid19-opendata-vaccini/blob/master/dati/platea-second-booster.csv"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ufficio.stampa@gimbe.org"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gimbe.org"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https://coronavirus.gimbe.or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github.com/italia/covid19-opendata-vaccini/blob/master/dati/platea-3a-booster.csv" TargetMode="Externa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8D0D1-2765-4FF1-BB9D-59D1E486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2206</Words>
  <Characters>12577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Cartabellotta</dc:creator>
  <cp:keywords/>
  <dc:description/>
  <cp:lastModifiedBy>Luca Bellusci</cp:lastModifiedBy>
  <cp:revision>5</cp:revision>
  <cp:lastPrinted>2022-08-24T13:12:00Z</cp:lastPrinted>
  <dcterms:created xsi:type="dcterms:W3CDTF">2023-03-17T16:12:00Z</dcterms:created>
  <dcterms:modified xsi:type="dcterms:W3CDTF">2023-03-20T09:05:00Z</dcterms:modified>
</cp:coreProperties>
</file>