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64" w:rsidRPr="00BF1EEA" w:rsidRDefault="00115E64" w:rsidP="00115E64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FA2FF3" w:rsidRPr="00DB35D1" w:rsidRDefault="00244ADB" w:rsidP="00244ADB">
      <w:pPr>
        <w:spacing w:after="120"/>
        <w:jc w:val="center"/>
        <w:rPr>
          <w:b/>
          <w:sz w:val="32"/>
          <w:szCs w:val="32"/>
        </w:rPr>
      </w:pPr>
      <w:r w:rsidRPr="00C34BE2">
        <w:rPr>
          <w:b/>
          <w:sz w:val="32"/>
          <w:szCs w:val="32"/>
        </w:rPr>
        <w:t xml:space="preserve">CORONAVIRUS: </w:t>
      </w:r>
      <w:r w:rsidR="00501BAB">
        <w:rPr>
          <w:b/>
          <w:sz w:val="32"/>
          <w:szCs w:val="32"/>
        </w:rPr>
        <w:t xml:space="preserve">MISURE INSUFFICIENTI PER PIEGARE </w:t>
      </w:r>
      <w:r w:rsidR="00C46733">
        <w:rPr>
          <w:b/>
          <w:sz w:val="32"/>
          <w:szCs w:val="32"/>
        </w:rPr>
        <w:t xml:space="preserve">CURVA </w:t>
      </w:r>
      <w:r w:rsidR="007E44D5" w:rsidRPr="00C34BE2">
        <w:rPr>
          <w:b/>
          <w:sz w:val="32"/>
          <w:szCs w:val="32"/>
        </w:rPr>
        <w:t>CONTAGI</w:t>
      </w:r>
      <w:r w:rsidR="00501BAB" w:rsidRPr="00C34BE2">
        <w:rPr>
          <w:b/>
          <w:sz w:val="32"/>
          <w:szCs w:val="32"/>
        </w:rPr>
        <w:t xml:space="preserve"> </w:t>
      </w:r>
      <w:r w:rsidR="0085279C" w:rsidRPr="00C34BE2">
        <w:rPr>
          <w:b/>
          <w:sz w:val="32"/>
          <w:szCs w:val="32"/>
        </w:rPr>
        <w:br/>
      </w:r>
      <w:r w:rsidR="00DB35D1">
        <w:rPr>
          <w:b/>
          <w:sz w:val="32"/>
          <w:szCs w:val="32"/>
        </w:rPr>
        <w:t xml:space="preserve">VACCINI: </w:t>
      </w:r>
      <w:r w:rsidR="0056772D">
        <w:rPr>
          <w:b/>
          <w:sz w:val="32"/>
          <w:szCs w:val="32"/>
        </w:rPr>
        <w:t>CONSEGNATE</w:t>
      </w:r>
      <w:r w:rsidR="00501BAB">
        <w:rPr>
          <w:b/>
          <w:sz w:val="32"/>
          <w:szCs w:val="32"/>
        </w:rPr>
        <w:t xml:space="preserve"> SOLO </w:t>
      </w:r>
      <w:r w:rsidR="00146E5B">
        <w:rPr>
          <w:b/>
          <w:sz w:val="32"/>
          <w:szCs w:val="32"/>
        </w:rPr>
        <w:t>UN TERZO</w:t>
      </w:r>
      <w:r w:rsidR="00501BAB">
        <w:rPr>
          <w:b/>
          <w:sz w:val="32"/>
          <w:szCs w:val="32"/>
        </w:rPr>
        <w:t xml:space="preserve"> DELLE DOSI</w:t>
      </w:r>
      <w:r w:rsidR="003614DE">
        <w:rPr>
          <w:b/>
          <w:sz w:val="32"/>
          <w:szCs w:val="32"/>
        </w:rPr>
        <w:t xml:space="preserve"> DEL 1° TRIMESTRE</w:t>
      </w:r>
      <w:r w:rsidR="00501BAB">
        <w:rPr>
          <w:b/>
          <w:sz w:val="32"/>
          <w:szCs w:val="32"/>
        </w:rPr>
        <w:t xml:space="preserve">, </w:t>
      </w:r>
      <w:r w:rsidR="0056772D">
        <w:rPr>
          <w:b/>
          <w:sz w:val="32"/>
          <w:szCs w:val="32"/>
        </w:rPr>
        <w:br/>
      </w:r>
      <w:r w:rsidR="004A0EAB">
        <w:rPr>
          <w:b/>
          <w:sz w:val="32"/>
          <w:szCs w:val="32"/>
        </w:rPr>
        <w:t xml:space="preserve">FRENANO LE </w:t>
      </w:r>
      <w:r w:rsidR="00C83903">
        <w:rPr>
          <w:b/>
          <w:sz w:val="32"/>
          <w:szCs w:val="32"/>
        </w:rPr>
        <w:t>SOMMINISTRAZIONI</w:t>
      </w:r>
    </w:p>
    <w:p w:rsidR="000936E0" w:rsidRDefault="00115E64" w:rsidP="000936E0">
      <w:pPr>
        <w:spacing w:after="120"/>
        <w:jc w:val="both"/>
        <w:rPr>
          <w:b/>
          <w:sz w:val="23"/>
          <w:szCs w:val="23"/>
        </w:rPr>
      </w:pPr>
      <w:r w:rsidRPr="00DB35D1">
        <w:rPr>
          <w:b/>
          <w:sz w:val="23"/>
          <w:szCs w:val="23"/>
        </w:rPr>
        <w:t xml:space="preserve">IL MONITORAGGIO DELLA FONDAZIONE GIMBE </w:t>
      </w:r>
      <w:r w:rsidR="00FF71B3" w:rsidRPr="00DB35D1">
        <w:rPr>
          <w:b/>
          <w:sz w:val="23"/>
          <w:szCs w:val="23"/>
        </w:rPr>
        <w:t>CONFERMA</w:t>
      </w:r>
      <w:r w:rsidR="00CF09B0" w:rsidRPr="00DB35D1">
        <w:rPr>
          <w:b/>
          <w:sz w:val="23"/>
          <w:szCs w:val="23"/>
        </w:rPr>
        <w:t xml:space="preserve"> </w:t>
      </w:r>
      <w:r w:rsidR="00A5768D" w:rsidRPr="00985EAC">
        <w:rPr>
          <w:b/>
          <w:sz w:val="23"/>
          <w:szCs w:val="23"/>
        </w:rPr>
        <w:t xml:space="preserve">CHE </w:t>
      </w:r>
      <w:r w:rsidRPr="006A04DC">
        <w:rPr>
          <w:b/>
          <w:sz w:val="23"/>
          <w:szCs w:val="23"/>
        </w:rPr>
        <w:t xml:space="preserve">NELLA SETTIMANA </w:t>
      </w:r>
      <w:r w:rsidR="006A04DC" w:rsidRPr="006A04DC">
        <w:rPr>
          <w:b/>
          <w:sz w:val="23"/>
          <w:szCs w:val="23"/>
        </w:rPr>
        <w:t>10-16</w:t>
      </w:r>
      <w:r w:rsidR="008049E8" w:rsidRPr="006A04DC">
        <w:rPr>
          <w:b/>
          <w:sz w:val="23"/>
          <w:szCs w:val="23"/>
        </w:rPr>
        <w:t xml:space="preserve"> FEBBRAIO </w:t>
      </w:r>
      <w:r w:rsidR="00A5768D" w:rsidRPr="00985EAC">
        <w:rPr>
          <w:b/>
          <w:sz w:val="23"/>
          <w:szCs w:val="23"/>
        </w:rPr>
        <w:t xml:space="preserve">I NUOVI CASI NON ACCENNANO A DIMINUIRE. IN </w:t>
      </w:r>
      <w:r w:rsidR="0000481E">
        <w:rPr>
          <w:b/>
          <w:sz w:val="23"/>
          <w:szCs w:val="23"/>
        </w:rPr>
        <w:t xml:space="preserve">12 </w:t>
      </w:r>
      <w:r w:rsidR="00A5768D" w:rsidRPr="00985EAC">
        <w:rPr>
          <w:b/>
          <w:sz w:val="23"/>
          <w:szCs w:val="23"/>
        </w:rPr>
        <w:t>RE</w:t>
      </w:r>
      <w:bookmarkStart w:id="0" w:name="_GoBack"/>
      <w:bookmarkEnd w:id="0"/>
      <w:r w:rsidR="00A5768D" w:rsidRPr="00985EAC">
        <w:rPr>
          <w:b/>
          <w:sz w:val="23"/>
          <w:szCs w:val="23"/>
        </w:rPr>
        <w:t xml:space="preserve">GIONI </w:t>
      </w:r>
      <w:r w:rsidR="00164885">
        <w:rPr>
          <w:b/>
          <w:sz w:val="23"/>
          <w:szCs w:val="23"/>
        </w:rPr>
        <w:t xml:space="preserve">SALGONO </w:t>
      </w:r>
      <w:r w:rsidR="007657E7">
        <w:rPr>
          <w:b/>
          <w:sz w:val="23"/>
          <w:szCs w:val="23"/>
        </w:rPr>
        <w:t xml:space="preserve">I CASI ATTUALMENTE POSITIVI PER 100 MILA ABITANTI E </w:t>
      </w:r>
      <w:r w:rsidR="007657E7" w:rsidRPr="00985EAC">
        <w:rPr>
          <w:b/>
          <w:sz w:val="23"/>
          <w:szCs w:val="23"/>
        </w:rPr>
        <w:t xml:space="preserve">IN 17 PROVINCE </w:t>
      </w:r>
      <w:r w:rsidR="008254C0" w:rsidRPr="00985EAC">
        <w:rPr>
          <w:b/>
          <w:sz w:val="23"/>
          <w:szCs w:val="23"/>
        </w:rPr>
        <w:t xml:space="preserve">L’INCREMENTO PERCENTUALE </w:t>
      </w:r>
      <w:r w:rsidR="000B5683" w:rsidRPr="00985EAC">
        <w:rPr>
          <w:b/>
          <w:sz w:val="23"/>
          <w:szCs w:val="23"/>
        </w:rPr>
        <w:t xml:space="preserve">DEI NUOVI CASI </w:t>
      </w:r>
      <w:r w:rsidR="00587992" w:rsidRPr="00985EAC">
        <w:rPr>
          <w:b/>
          <w:sz w:val="23"/>
          <w:szCs w:val="23"/>
        </w:rPr>
        <w:t>SUPERA IL</w:t>
      </w:r>
      <w:r w:rsidR="00277F11" w:rsidRPr="00985EAC">
        <w:rPr>
          <w:b/>
          <w:sz w:val="23"/>
          <w:szCs w:val="23"/>
        </w:rPr>
        <w:t xml:space="preserve"> 5%</w:t>
      </w:r>
      <w:r w:rsidR="002D0E17" w:rsidRPr="00985EAC">
        <w:rPr>
          <w:b/>
          <w:sz w:val="23"/>
          <w:szCs w:val="23"/>
        </w:rPr>
        <w:t>.</w:t>
      </w:r>
      <w:r w:rsidR="006B6251" w:rsidRPr="00985EAC">
        <w:rPr>
          <w:b/>
          <w:sz w:val="23"/>
          <w:szCs w:val="23"/>
        </w:rPr>
        <w:t xml:space="preserve"> </w:t>
      </w:r>
      <w:r w:rsidR="007657E7">
        <w:rPr>
          <w:b/>
          <w:sz w:val="23"/>
          <w:szCs w:val="23"/>
        </w:rPr>
        <w:t xml:space="preserve">LA CAMPAGNA VACCINALE, </w:t>
      </w:r>
      <w:r w:rsidR="00A5768D" w:rsidRPr="00985EAC">
        <w:rPr>
          <w:b/>
          <w:sz w:val="23"/>
          <w:szCs w:val="23"/>
        </w:rPr>
        <w:t>OSTAGGIO DI FORNITURE CENTELLINATE</w:t>
      </w:r>
      <w:r w:rsidR="007657E7">
        <w:rPr>
          <w:b/>
          <w:sz w:val="23"/>
          <w:szCs w:val="23"/>
        </w:rPr>
        <w:t xml:space="preserve">, </w:t>
      </w:r>
      <w:r w:rsidR="00146E5B">
        <w:rPr>
          <w:b/>
          <w:sz w:val="23"/>
          <w:szCs w:val="23"/>
        </w:rPr>
        <w:t xml:space="preserve">REGISTRA </w:t>
      </w:r>
      <w:r w:rsidR="007657E7">
        <w:rPr>
          <w:b/>
          <w:sz w:val="23"/>
          <w:szCs w:val="23"/>
        </w:rPr>
        <w:t>I PRIMI RALLENTAMENTI NELLA SOMMINISTRAZIONE FUORI DA OSPEDALI E RSA</w:t>
      </w:r>
      <w:r w:rsidR="00A5768D" w:rsidRPr="00985EAC">
        <w:rPr>
          <w:b/>
          <w:sz w:val="23"/>
          <w:szCs w:val="23"/>
        </w:rPr>
        <w:t xml:space="preserve">. </w:t>
      </w:r>
      <w:r w:rsidR="000936E0" w:rsidRPr="000936E0">
        <w:rPr>
          <w:b/>
          <w:sz w:val="23"/>
          <w:szCs w:val="23"/>
        </w:rPr>
        <w:t>APPELLO AL GOVERNO DRAGHI:</w:t>
      </w:r>
      <w:r w:rsidR="00FE422B">
        <w:rPr>
          <w:b/>
          <w:sz w:val="23"/>
          <w:szCs w:val="23"/>
        </w:rPr>
        <w:t xml:space="preserve"> </w:t>
      </w:r>
      <w:r w:rsidR="000936E0" w:rsidRPr="000936E0">
        <w:rPr>
          <w:b/>
          <w:sz w:val="23"/>
          <w:szCs w:val="23"/>
        </w:rPr>
        <w:t>SERVE UN CAMBIO DI PASSO NEL CONTROLLO DELLA PANDEMIA PERCHÉ, COMPLICI LE VARIANTI, È IMPOSSIBILE PIEGARE LA CURVA DEI CONTAGI CON LE ATTUALI MISURE DI MITIGAZIONE, CONFIDANDO SOLO NEL</w:t>
      </w:r>
      <w:r w:rsidR="00FE422B">
        <w:rPr>
          <w:b/>
          <w:sz w:val="23"/>
          <w:szCs w:val="23"/>
        </w:rPr>
        <w:t xml:space="preserve"> POTENZIAMENTO DELLA CAMPAGNA VACCINALE</w:t>
      </w:r>
      <w:r w:rsidR="000936E0" w:rsidRPr="000936E0">
        <w:rPr>
          <w:b/>
          <w:sz w:val="23"/>
          <w:szCs w:val="23"/>
        </w:rPr>
        <w:t>.</w:t>
      </w:r>
    </w:p>
    <w:p w:rsidR="00115E64" w:rsidRPr="008049E8" w:rsidRDefault="00C44E61" w:rsidP="000936E0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6A04DC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8049E8" w:rsidRPr="008049E8">
        <w:rPr>
          <w:rFonts w:ascii="Calibri" w:eastAsia="Calibri" w:hAnsi="Calibri" w:cs="Times New Roman"/>
          <w:b/>
          <w:bCs/>
          <w:sz w:val="24"/>
          <w:szCs w:val="24"/>
        </w:rPr>
        <w:t xml:space="preserve"> febbraio </w:t>
      </w:r>
      <w:r w:rsidR="00115E64" w:rsidRPr="008049E8">
        <w:rPr>
          <w:rFonts w:ascii="Calibri" w:eastAsia="Calibri" w:hAnsi="Calibri" w:cs="Times New Roman"/>
          <w:b/>
          <w:bCs/>
          <w:sz w:val="24"/>
          <w:szCs w:val="24"/>
        </w:rPr>
        <w:t>2021 - Fondazione GIMBE, Bologna</w:t>
      </w:r>
    </w:p>
    <w:p w:rsidR="00115E64" w:rsidRPr="00E92B03" w:rsidRDefault="00115E64" w:rsidP="00943563">
      <w:pPr>
        <w:spacing w:line="276" w:lineRule="auto"/>
        <w:jc w:val="both"/>
      </w:pPr>
      <w:r w:rsidRPr="00467211">
        <w:t>Il monitoraggio indipendente della Fondazione GIMBE</w:t>
      </w:r>
      <w:r w:rsidR="00B57E54" w:rsidRPr="00467211">
        <w:t xml:space="preserve"> </w:t>
      </w:r>
      <w:r w:rsidR="005B4B6D" w:rsidRPr="0089679F">
        <w:t>conferma</w:t>
      </w:r>
      <w:r w:rsidRPr="0089679F">
        <w:t xml:space="preserve"> </w:t>
      </w:r>
      <w:r w:rsidRPr="00467211">
        <w:t xml:space="preserve">nella settimana </w:t>
      </w:r>
      <w:r w:rsidR="006A04DC">
        <w:t>10-16</w:t>
      </w:r>
      <w:r w:rsidR="008049E8" w:rsidRPr="00467211">
        <w:t xml:space="preserve"> </w:t>
      </w:r>
      <w:r w:rsidR="008049E8" w:rsidRPr="00B74374">
        <w:t>febbraio</w:t>
      </w:r>
      <w:r w:rsidRPr="00B74374">
        <w:t xml:space="preserve"> 2021, rispetto alla precedente, </w:t>
      </w:r>
      <w:r w:rsidR="00213C28" w:rsidRPr="00B74374">
        <w:t>un</w:t>
      </w:r>
      <w:r w:rsidR="00BD325C" w:rsidRPr="00B74374">
        <w:t xml:space="preserve"> </w:t>
      </w:r>
      <w:r w:rsidR="007919D2" w:rsidRPr="00B74374">
        <w:t>numero</w:t>
      </w:r>
      <w:r w:rsidRPr="00B74374">
        <w:t xml:space="preserve"> </w:t>
      </w:r>
      <w:r w:rsidR="00BD325C" w:rsidRPr="00B74374">
        <w:t xml:space="preserve">stabile </w:t>
      </w:r>
      <w:r w:rsidRPr="00B74374">
        <w:t>di nuovi casi (</w:t>
      </w:r>
      <w:r w:rsidR="00E92B03">
        <w:t>84.272</w:t>
      </w:r>
      <w:r w:rsidR="001332F1" w:rsidRPr="00B74374">
        <w:t xml:space="preserve"> vs </w:t>
      </w:r>
      <w:r w:rsidR="00467211" w:rsidRPr="00B74374">
        <w:t>84.711</w:t>
      </w:r>
      <w:r w:rsidRPr="00B74374">
        <w:t>)</w:t>
      </w:r>
      <w:r w:rsidR="001A0514" w:rsidRPr="00B74374">
        <w:t xml:space="preserve"> (</w:t>
      </w:r>
      <w:r w:rsidR="001A0514" w:rsidRPr="00B74374">
        <w:rPr>
          <w:highlight w:val="yellow"/>
        </w:rPr>
        <w:t>figura 1</w:t>
      </w:r>
      <w:r w:rsidR="001A0514" w:rsidRPr="00B74374">
        <w:t>)</w:t>
      </w:r>
      <w:r w:rsidRPr="00B74374">
        <w:t xml:space="preserve">. </w:t>
      </w:r>
      <w:r w:rsidR="00624752" w:rsidRPr="00B74374">
        <w:t xml:space="preserve">Scendono </w:t>
      </w:r>
      <w:r w:rsidR="007919D2" w:rsidRPr="00B74374">
        <w:t>i</w:t>
      </w:r>
      <w:r w:rsidR="00855C4B" w:rsidRPr="00B74374">
        <w:t xml:space="preserve"> </w:t>
      </w:r>
      <w:r w:rsidRPr="00B74374">
        <w:t>casi attualmente positivi (</w:t>
      </w:r>
      <w:r w:rsidR="00E92B03">
        <w:t>393.686</w:t>
      </w:r>
      <w:r w:rsidR="001332F1" w:rsidRPr="00B74374">
        <w:t xml:space="preserve"> vs </w:t>
      </w:r>
      <w:r w:rsidR="00467211" w:rsidRPr="00B74374">
        <w:t>413.967</w:t>
      </w:r>
      <w:r w:rsidRPr="00B74374">
        <w:t>)</w:t>
      </w:r>
      <w:r w:rsidR="00B33749" w:rsidRPr="00B74374">
        <w:t>,</w:t>
      </w:r>
      <w:r w:rsidRPr="00B74374">
        <w:t xml:space="preserve"> </w:t>
      </w:r>
      <w:r w:rsidR="001A0514" w:rsidRPr="00B74374">
        <w:t>le persone in isolamento domiciliare (</w:t>
      </w:r>
      <w:r w:rsidR="00E92B03">
        <w:t>373.149</w:t>
      </w:r>
      <w:r w:rsidR="001332F1" w:rsidRPr="00B74374">
        <w:t xml:space="preserve"> vs </w:t>
      </w:r>
      <w:r w:rsidR="00827B14" w:rsidRPr="00B74374">
        <w:t>392.312)</w:t>
      </w:r>
      <w:r w:rsidR="001A0514" w:rsidRPr="00B74374">
        <w:t xml:space="preserve">, </w:t>
      </w:r>
      <w:r w:rsidR="0085279C" w:rsidRPr="00B74374">
        <w:t xml:space="preserve">i </w:t>
      </w:r>
      <w:r w:rsidRPr="00B74374">
        <w:t>ricover</w:t>
      </w:r>
      <w:r w:rsidR="00900787" w:rsidRPr="00B74374">
        <w:t xml:space="preserve">i </w:t>
      </w:r>
      <w:r w:rsidRPr="00B74374">
        <w:t>con sintomi (</w:t>
      </w:r>
      <w:r w:rsidR="00E92B03">
        <w:t>18.463</w:t>
      </w:r>
      <w:r w:rsidR="001332F1" w:rsidRPr="00B74374">
        <w:t xml:space="preserve"> vs </w:t>
      </w:r>
      <w:r w:rsidR="00467211" w:rsidRPr="00B74374">
        <w:t>19.512</w:t>
      </w:r>
      <w:r w:rsidR="007919D2" w:rsidRPr="00B74374">
        <w:t>)</w:t>
      </w:r>
      <w:r w:rsidR="00B41BF2">
        <w:t xml:space="preserve">, </w:t>
      </w:r>
      <w:r w:rsidR="0085279C" w:rsidRPr="00B74374">
        <w:t xml:space="preserve">le </w:t>
      </w:r>
      <w:r w:rsidRPr="00B74374">
        <w:t>terapie intensive (</w:t>
      </w:r>
      <w:r w:rsidR="00E92B03">
        <w:t>2.074</w:t>
      </w:r>
      <w:r w:rsidR="001332F1" w:rsidRPr="00B74374">
        <w:t xml:space="preserve"> vs </w:t>
      </w:r>
      <w:r w:rsidR="00467211" w:rsidRPr="00B74374">
        <w:t>2.143</w:t>
      </w:r>
      <w:r w:rsidR="007919D2" w:rsidRPr="00B74374">
        <w:t xml:space="preserve">) </w:t>
      </w:r>
      <w:r w:rsidR="001A0514" w:rsidRPr="00B74374">
        <w:t>(</w:t>
      </w:r>
      <w:r w:rsidR="001A0514" w:rsidRPr="00B74374">
        <w:rPr>
          <w:highlight w:val="yellow"/>
        </w:rPr>
        <w:t>figura 2</w:t>
      </w:r>
      <w:r w:rsidR="00B41BF2">
        <w:t xml:space="preserve">) e </w:t>
      </w:r>
      <w:r w:rsidR="0085279C" w:rsidRPr="00B74374">
        <w:t xml:space="preserve">i </w:t>
      </w:r>
      <w:r w:rsidR="007919D2" w:rsidRPr="00E92B03">
        <w:t>decessi (</w:t>
      </w:r>
      <w:r w:rsidR="00E92B03" w:rsidRPr="00E92B03">
        <w:t>2.169</w:t>
      </w:r>
      <w:r w:rsidR="001332F1" w:rsidRPr="00E92B03">
        <w:t xml:space="preserve"> vs </w:t>
      </w:r>
      <w:r w:rsidR="00467211" w:rsidRPr="00E92B03">
        <w:t>2.658</w:t>
      </w:r>
      <w:r w:rsidRPr="00E92B03">
        <w:t>)</w:t>
      </w:r>
      <w:r w:rsidR="00EB3EAD">
        <w:t xml:space="preserve"> (</w:t>
      </w:r>
      <w:r w:rsidR="00EB3EAD" w:rsidRPr="00EB3EAD">
        <w:rPr>
          <w:highlight w:val="yellow"/>
        </w:rPr>
        <w:t>figura 3</w:t>
      </w:r>
      <w:r w:rsidR="00EB3EAD">
        <w:t>)</w:t>
      </w:r>
      <w:r w:rsidR="00B33749" w:rsidRPr="00E92B03">
        <w:t xml:space="preserve">. </w:t>
      </w:r>
      <w:r w:rsidRPr="00E92B03">
        <w:t>In dettaglio, rispetto alla settimana precedente, si registrano le seguenti variazioni:</w:t>
      </w:r>
    </w:p>
    <w:p w:rsidR="00115E64" w:rsidRPr="00E92B03" w:rsidRDefault="007919D2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E92B03">
        <w:t>Decessi: 2</w:t>
      </w:r>
      <w:r w:rsidR="00115E64" w:rsidRPr="00E92B03">
        <w:t>.</w:t>
      </w:r>
      <w:r w:rsidR="00E92B03" w:rsidRPr="00E92B03">
        <w:t>169</w:t>
      </w:r>
      <w:r w:rsidR="00115E64" w:rsidRPr="00E92B03">
        <w:t xml:space="preserve"> (-</w:t>
      </w:r>
      <w:r w:rsidR="00E92B03" w:rsidRPr="00E92B03">
        <w:t>18,4</w:t>
      </w:r>
      <w:r w:rsidR="00115E64" w:rsidRPr="00E92B03">
        <w:t>%)</w:t>
      </w:r>
    </w:p>
    <w:p w:rsidR="00115E64" w:rsidRPr="00E92B03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E92B03">
        <w:t>Terapia intensiva: -</w:t>
      </w:r>
      <w:r w:rsidR="00E92B03" w:rsidRPr="00E92B03">
        <w:t>69</w:t>
      </w:r>
      <w:r w:rsidR="00467211" w:rsidRPr="00E92B03">
        <w:t xml:space="preserve"> </w:t>
      </w:r>
      <w:r w:rsidRPr="00E92B03">
        <w:t>(-</w:t>
      </w:r>
      <w:r w:rsidR="00467211" w:rsidRPr="00E92B03">
        <w:t>3</w:t>
      </w:r>
      <w:r w:rsidRPr="00E92B03">
        <w:t>,</w:t>
      </w:r>
      <w:r w:rsidR="00467211" w:rsidRPr="00E92B03">
        <w:t>2</w:t>
      </w:r>
      <w:r w:rsidRPr="00E92B03">
        <w:t>%)</w:t>
      </w:r>
    </w:p>
    <w:p w:rsidR="00115E64" w:rsidRPr="00E92B03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E92B03">
        <w:t xml:space="preserve">Ricoverati con sintomi: </w:t>
      </w:r>
      <w:r w:rsidR="00467211" w:rsidRPr="00E92B03">
        <w:t>-</w:t>
      </w:r>
      <w:r w:rsidR="00E92B03" w:rsidRPr="00E92B03">
        <w:t>1.049</w:t>
      </w:r>
      <w:r w:rsidRPr="00E92B03">
        <w:t xml:space="preserve"> (-</w:t>
      </w:r>
      <w:r w:rsidR="00E92B03" w:rsidRPr="00E92B03">
        <w:t>5,4</w:t>
      </w:r>
      <w:r w:rsidRPr="00E92B03">
        <w:t>%)</w:t>
      </w:r>
    </w:p>
    <w:p w:rsidR="001A0514" w:rsidRPr="00E92B03" w:rsidRDefault="001A0514" w:rsidP="001A0514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E92B03">
        <w:t>Isolamento domiciliare: -</w:t>
      </w:r>
      <w:r w:rsidR="00E92B03" w:rsidRPr="00E92B03">
        <w:t>19.163</w:t>
      </w:r>
      <w:r w:rsidRPr="00E92B03">
        <w:t xml:space="preserve"> (-</w:t>
      </w:r>
      <w:r w:rsidR="00E92B03" w:rsidRPr="00E92B03">
        <w:t>4</w:t>
      </w:r>
      <w:r w:rsidRPr="00E92B03">
        <w:t>,</w:t>
      </w:r>
      <w:r w:rsidR="00E92B03" w:rsidRPr="00E92B03">
        <w:t>9</w:t>
      </w:r>
      <w:r w:rsidRPr="00E92B03">
        <w:t>%)</w:t>
      </w:r>
    </w:p>
    <w:p w:rsidR="00115E64" w:rsidRPr="00E92B03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E92B03">
        <w:t xml:space="preserve">Nuovi casi: </w:t>
      </w:r>
      <w:r w:rsidR="007919D2" w:rsidRPr="00E92B03">
        <w:t>84.</w:t>
      </w:r>
      <w:r w:rsidR="00E92B03" w:rsidRPr="00E92B03">
        <w:t>272 (-0,5</w:t>
      </w:r>
      <w:r w:rsidR="007919D2" w:rsidRPr="00E92B03">
        <w:t>%)</w:t>
      </w:r>
    </w:p>
    <w:p w:rsidR="00115E64" w:rsidRPr="00E92B03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E92B03">
        <w:t>Casi attualmente positivi: -</w:t>
      </w:r>
      <w:r w:rsidR="00E92B03" w:rsidRPr="00E92B03">
        <w:t>20.281</w:t>
      </w:r>
      <w:r w:rsidRPr="00E92B03">
        <w:t xml:space="preserve"> (-</w:t>
      </w:r>
      <w:r w:rsidR="00E92B03" w:rsidRPr="00E92B03">
        <w:t>4</w:t>
      </w:r>
      <w:r w:rsidR="00467211" w:rsidRPr="00E92B03">
        <w:t>,</w:t>
      </w:r>
      <w:r w:rsidR="00E92B03" w:rsidRPr="00E92B03">
        <w:t>9</w:t>
      </w:r>
      <w:r w:rsidRPr="00E92B03">
        <w:t>%)</w:t>
      </w:r>
    </w:p>
    <w:p w:rsidR="00414C67" w:rsidRPr="00414C67" w:rsidRDefault="00115E64" w:rsidP="00943563">
      <w:pPr>
        <w:spacing w:line="276" w:lineRule="auto"/>
        <w:jc w:val="both"/>
        <w:rPr>
          <w:color w:val="FF0000"/>
        </w:rPr>
      </w:pPr>
      <w:r w:rsidRPr="00B74374">
        <w:t>«</w:t>
      </w:r>
      <w:r w:rsidR="00B74374">
        <w:t>A</w:t>
      </w:r>
      <w:r w:rsidR="00B74374" w:rsidRPr="00B74374">
        <w:t>nche questa settimana</w:t>
      </w:r>
      <w:r w:rsidR="00B74374">
        <w:t xml:space="preserve"> </w:t>
      </w:r>
      <w:r w:rsidR="00B74374" w:rsidRPr="00B74374">
        <w:t>– afferma Nino Cartabellotta, Presidente della Fondazione GIMBE –</w:t>
      </w:r>
      <w:r w:rsidR="009A2CBE">
        <w:t xml:space="preserve"> </w:t>
      </w:r>
      <w:r w:rsidR="00414C67">
        <w:t xml:space="preserve">nonostante </w:t>
      </w:r>
      <w:r w:rsidR="009A2CBE">
        <w:t>i dati riflett</w:t>
      </w:r>
      <w:r w:rsidR="00414C67">
        <w:t>a</w:t>
      </w:r>
      <w:r w:rsidR="009A2CBE">
        <w:t xml:space="preserve">no i contagi </w:t>
      </w:r>
      <w:r w:rsidR="00953132">
        <w:t xml:space="preserve">avvenuti in </w:t>
      </w:r>
      <w:r w:rsidR="009A2CBE">
        <w:t>un’Italia tinta di rosso e arancione,</w:t>
      </w:r>
      <w:r w:rsidR="00B74374">
        <w:t xml:space="preserve"> i nuovi casi</w:t>
      </w:r>
      <w:r w:rsidR="006F43E4">
        <w:t xml:space="preserve"> non </w:t>
      </w:r>
      <w:r w:rsidR="00A01924">
        <w:t xml:space="preserve">accennano a </w:t>
      </w:r>
      <w:r w:rsidR="009A2CBE">
        <w:t>diminuire</w:t>
      </w:r>
      <w:r w:rsidR="00151830">
        <w:t xml:space="preserve">. </w:t>
      </w:r>
      <w:r w:rsidR="00B41BF2">
        <w:t xml:space="preserve">E </w:t>
      </w:r>
      <w:r w:rsidR="00A01924">
        <w:t xml:space="preserve">guardando </w:t>
      </w:r>
      <w:r w:rsidR="009A2CBE">
        <w:t>a</w:t>
      </w:r>
      <w:r w:rsidR="00B74374">
        <w:t xml:space="preserve">i dati </w:t>
      </w:r>
      <w:r w:rsidR="00A01924">
        <w:t>regionali</w:t>
      </w:r>
      <w:r w:rsidR="00B74374">
        <w:t xml:space="preserve"> </w:t>
      </w:r>
      <w:r w:rsidR="00EB3EAD">
        <w:t>si rilevano</w:t>
      </w:r>
      <w:r w:rsidR="00A01924">
        <w:t xml:space="preserve"> segnali di incremento</w:t>
      </w:r>
      <w:r w:rsidR="00B74374">
        <w:t xml:space="preserve">, </w:t>
      </w:r>
      <w:r w:rsidR="00EB3EAD">
        <w:t xml:space="preserve">favoriti dalla </w:t>
      </w:r>
      <w:r w:rsidR="00B74374">
        <w:t xml:space="preserve">circolazione delle nuove </w:t>
      </w:r>
      <w:r w:rsidR="00EB3EAD">
        <w:t>varianti</w:t>
      </w:r>
      <w:r w:rsidR="00B74374" w:rsidRPr="00B74374">
        <w:t>».</w:t>
      </w:r>
      <w:r w:rsidR="00151830">
        <w:t xml:space="preserve"> In</w:t>
      </w:r>
      <w:r w:rsidR="00EB3EAD">
        <w:t>fatti,</w:t>
      </w:r>
      <w:r w:rsidR="00501BAB">
        <w:t xml:space="preserve"> </w:t>
      </w:r>
      <w:r w:rsidR="00EB3EAD">
        <w:t xml:space="preserve">in </w:t>
      </w:r>
      <w:r w:rsidR="001861AD">
        <w:t>12</w:t>
      </w:r>
      <w:r w:rsidR="00B74374" w:rsidRPr="00B74374">
        <w:t xml:space="preserve"> Regioni aumentano i casi attualmente positivi per 100.000 abitanti</w:t>
      </w:r>
      <w:r w:rsidR="001861AD">
        <w:t xml:space="preserve"> </w:t>
      </w:r>
      <w:r w:rsidR="00501BAB">
        <w:t>rispetto alla settimana precedente</w:t>
      </w:r>
      <w:r w:rsidR="00501BAB" w:rsidRPr="00B74374">
        <w:t xml:space="preserve"> </w:t>
      </w:r>
      <w:r w:rsidR="00B74374" w:rsidRPr="00B74374">
        <w:t>(</w:t>
      </w:r>
      <w:r w:rsidR="00B74374" w:rsidRPr="00B74374">
        <w:rPr>
          <w:highlight w:val="yellow"/>
        </w:rPr>
        <w:t xml:space="preserve">tabella </w:t>
      </w:r>
      <w:r w:rsidR="002F68CB">
        <w:rPr>
          <w:highlight w:val="yellow"/>
        </w:rPr>
        <w:t>1</w:t>
      </w:r>
      <w:r w:rsidR="00EB3EAD">
        <w:t>) e</w:t>
      </w:r>
      <w:r w:rsidR="007657E7">
        <w:t xml:space="preserve"> </w:t>
      </w:r>
      <w:r w:rsidR="006F43E4">
        <w:t>l’incremento percentuale dei casi negli ultimi 7 giorni</w:t>
      </w:r>
      <w:r w:rsidR="00EB3EAD">
        <w:t xml:space="preserve">, in apparenza </w:t>
      </w:r>
      <w:r w:rsidR="00972DD8">
        <w:t>stabile</w:t>
      </w:r>
      <w:r w:rsidR="007657E7">
        <w:t xml:space="preserve"> a livello regionale</w:t>
      </w:r>
      <w:r w:rsidR="00972DD8">
        <w:t xml:space="preserve">, </w:t>
      </w:r>
      <w:r w:rsidR="00EB3EAD">
        <w:t xml:space="preserve">supera il 5% </w:t>
      </w:r>
      <w:r w:rsidR="006F43E4">
        <w:t xml:space="preserve">in </w:t>
      </w:r>
      <w:r w:rsidR="0004012A">
        <w:t>17</w:t>
      </w:r>
      <w:r w:rsidR="006F43E4">
        <w:t xml:space="preserve"> </w:t>
      </w:r>
      <w:r w:rsidR="006F43E4" w:rsidRPr="006F43E4">
        <w:t>Province</w:t>
      </w:r>
      <w:r w:rsidR="007657E7">
        <w:t xml:space="preserve"> </w:t>
      </w:r>
      <w:r w:rsidR="006F43E4" w:rsidRPr="006F43E4">
        <w:t>(</w:t>
      </w:r>
      <w:r w:rsidR="006F43E4" w:rsidRPr="006F43E4">
        <w:rPr>
          <w:highlight w:val="yellow"/>
        </w:rPr>
        <w:t xml:space="preserve">tabella </w:t>
      </w:r>
      <w:r w:rsidR="002F68CB">
        <w:rPr>
          <w:highlight w:val="yellow"/>
        </w:rPr>
        <w:t>2</w:t>
      </w:r>
      <w:r w:rsidR="006F43E4" w:rsidRPr="006F43E4">
        <w:t>).</w:t>
      </w:r>
      <w:r w:rsidR="00414C67">
        <w:rPr>
          <w:color w:val="FF0000"/>
        </w:rPr>
        <w:t xml:space="preserve"> </w:t>
      </w:r>
      <w:r w:rsidR="008C268D" w:rsidRPr="004977C2">
        <w:t xml:space="preserve">Sul fronte ospedaliero, l’occupazione da parte di pazienti COVID supera in </w:t>
      </w:r>
      <w:r w:rsidR="004977C2" w:rsidRPr="004977C2">
        <w:t>3</w:t>
      </w:r>
      <w:r w:rsidR="006A42BE" w:rsidRPr="004977C2">
        <w:t xml:space="preserve"> </w:t>
      </w:r>
      <w:r w:rsidR="008C268D" w:rsidRPr="004977C2">
        <w:t xml:space="preserve">Regioni la soglia del 40% in area medica e in </w:t>
      </w:r>
      <w:r w:rsidR="004977C2" w:rsidRPr="004977C2">
        <w:t>5</w:t>
      </w:r>
      <w:r w:rsidR="006A42BE" w:rsidRPr="004977C2">
        <w:t xml:space="preserve"> </w:t>
      </w:r>
      <w:r w:rsidR="008C268D" w:rsidRPr="004977C2">
        <w:t xml:space="preserve">Regioni quella </w:t>
      </w:r>
      <w:r w:rsidR="00B41BF2">
        <w:t>del 30% delle terapie intensive</w:t>
      </w:r>
      <w:r w:rsidR="00D024D6" w:rsidRPr="006F43E4">
        <w:t>.</w:t>
      </w:r>
    </w:p>
    <w:p w:rsidR="00987FCD" w:rsidRDefault="00987FCD" w:rsidP="00987FCD">
      <w:pPr>
        <w:spacing w:line="276" w:lineRule="auto"/>
        <w:jc w:val="both"/>
      </w:pPr>
      <w:r w:rsidRPr="005960FD">
        <w:rPr>
          <w:b/>
        </w:rPr>
        <w:t>Varianti virali.</w:t>
      </w:r>
      <w:r>
        <w:t xml:space="preserve"> L</w:t>
      </w:r>
      <w:r w:rsidR="0000481E">
        <w:t xml:space="preserve">a prima </w:t>
      </w:r>
      <w:r>
        <w:t xml:space="preserve">indagine condotta dall’Istituto Superiore di Sanità ha rilevato </w:t>
      </w:r>
      <w:r w:rsidR="00EB2F44">
        <w:t>la presenza del</w:t>
      </w:r>
      <w:r>
        <w:t>la variante inglese in 14</w:t>
      </w:r>
      <w:r w:rsidR="00E968AB">
        <w:t xml:space="preserve"> su </w:t>
      </w:r>
      <w:r>
        <w:t>16 Regioni, con una prevalenza media del 17,8% (</w:t>
      </w:r>
      <w:proofErr w:type="spellStart"/>
      <w:r>
        <w:t>range</w:t>
      </w:r>
      <w:proofErr w:type="spellEnd"/>
      <w:r>
        <w:t xml:space="preserve"> 0-</w:t>
      </w:r>
      <w:r w:rsidRPr="00AF2E22">
        <w:t>59%</w:t>
      </w:r>
      <w:r>
        <w:t xml:space="preserve">). </w:t>
      </w:r>
      <w:r w:rsidRPr="00B74374">
        <w:t>«</w:t>
      </w:r>
      <w:r w:rsidR="0000481E">
        <w:t>In attesa d</w:t>
      </w:r>
      <w:r w:rsidR="007E3E1D">
        <w:t>e</w:t>
      </w:r>
      <w:r w:rsidR="0000481E">
        <w:t xml:space="preserve">i </w:t>
      </w:r>
      <w:r w:rsidR="0056772D">
        <w:t xml:space="preserve">risultati della nuova indagine che </w:t>
      </w:r>
      <w:r w:rsidR="007E3E1D">
        <w:t xml:space="preserve">sarà condotta </w:t>
      </w:r>
      <w:r w:rsidR="0056772D">
        <w:t xml:space="preserve">anche </w:t>
      </w:r>
      <w:r w:rsidR="007E3E1D">
        <w:t>sul</w:t>
      </w:r>
      <w:r w:rsidR="0056772D">
        <w:t xml:space="preserve">le </w:t>
      </w:r>
      <w:r>
        <w:t xml:space="preserve">varianti brasiliana </w:t>
      </w:r>
      <w:r w:rsidR="0000481E">
        <w:t xml:space="preserve">e </w:t>
      </w:r>
      <w:r>
        <w:t>sudafricana – dichiara Cartabellotta –</w:t>
      </w:r>
      <w:r w:rsidR="0000481E">
        <w:t xml:space="preserve"> </w:t>
      </w:r>
      <w:r w:rsidR="00E968AB">
        <w:t>invitiamo le Istituzioni a</w:t>
      </w:r>
      <w:r w:rsidR="00A01924">
        <w:t xml:space="preserve"> rendere</w:t>
      </w:r>
      <w:r>
        <w:t xml:space="preserve"> </w:t>
      </w:r>
      <w:r w:rsidR="00A01924">
        <w:t xml:space="preserve">pubblici i dati di </w:t>
      </w:r>
      <w:r>
        <w:t xml:space="preserve">prevalenza </w:t>
      </w:r>
      <w:r w:rsidR="00A01924">
        <w:t xml:space="preserve">per </w:t>
      </w:r>
      <w:r>
        <w:t>le singole Regioni</w:t>
      </w:r>
      <w:r w:rsidRPr="00B74374">
        <w:t>».</w:t>
      </w:r>
      <w:r>
        <w:t xml:space="preserve"> In </w:t>
      </w:r>
      <w:r w:rsidR="003C022C">
        <w:t>un momento</w:t>
      </w:r>
      <w:r>
        <w:t xml:space="preserve"> in cui la campagna vaccinale </w:t>
      </w:r>
      <w:r w:rsidR="003C022C">
        <w:t>progre</w:t>
      </w:r>
      <w:r w:rsidR="0000481E">
        <w:t xml:space="preserve">disce </w:t>
      </w:r>
      <w:r>
        <w:t xml:space="preserve">a rilento, la maggiore trasmissibilità delle varianti </w:t>
      </w:r>
      <w:r w:rsidR="00062A06">
        <w:t xml:space="preserve">richiede </w:t>
      </w:r>
      <w:r w:rsidR="00E968AB">
        <w:t xml:space="preserve">infatti </w:t>
      </w:r>
      <w:r w:rsidR="0000481E">
        <w:t xml:space="preserve">sia </w:t>
      </w:r>
      <w:r w:rsidR="00062A06">
        <w:t xml:space="preserve">di attuare </w:t>
      </w:r>
      <w:r w:rsidR="00EB3EAD">
        <w:t xml:space="preserve">restrizioni </w:t>
      </w:r>
      <w:r w:rsidR="00062A06">
        <w:t xml:space="preserve">tempestive </w:t>
      </w:r>
      <w:r w:rsidR="00E968AB">
        <w:t>ove necessario</w:t>
      </w:r>
      <w:r w:rsidR="0000481E">
        <w:t xml:space="preserve">, sia </w:t>
      </w:r>
      <w:r w:rsidR="00062A06">
        <w:t xml:space="preserve">di </w:t>
      </w:r>
      <w:r>
        <w:t>potenziare l’attività di sequenziamento</w:t>
      </w:r>
      <w:r w:rsidR="00062A06">
        <w:t>, ancora</w:t>
      </w:r>
      <w:r w:rsidR="0000481E">
        <w:t xml:space="preserve"> molto lontana dagli standard fissati dall</w:t>
      </w:r>
      <w:r w:rsidR="00062A06">
        <w:t xml:space="preserve">a Commissione Europea: </w:t>
      </w:r>
      <w:r w:rsidR="0000481E">
        <w:t xml:space="preserve">almeno il 5%, idealmente il 10% dei tamponi molecolari </w:t>
      </w:r>
      <w:r>
        <w:t>positi</w:t>
      </w:r>
      <w:r w:rsidR="0000481E">
        <w:t>vi al SARS-CoV-2</w:t>
      </w:r>
      <w:r>
        <w:t>.</w:t>
      </w:r>
    </w:p>
    <w:p w:rsidR="0056772D" w:rsidRPr="0056772D" w:rsidRDefault="00E15F7A" w:rsidP="00707A47">
      <w:pPr>
        <w:spacing w:line="276" w:lineRule="auto"/>
        <w:jc w:val="both"/>
      </w:pPr>
      <w:r>
        <w:rPr>
          <w:b/>
        </w:rPr>
        <w:t>Strategia m</w:t>
      </w:r>
      <w:r w:rsidR="0056772D" w:rsidRPr="006D284B">
        <w:rPr>
          <w:b/>
        </w:rPr>
        <w:t>itigazione</w:t>
      </w:r>
      <w:r w:rsidR="0056772D">
        <w:rPr>
          <w:b/>
        </w:rPr>
        <w:t xml:space="preserve"> vs “zero-COVID”</w:t>
      </w:r>
      <w:r w:rsidR="0056772D">
        <w:t>. N</w:t>
      </w:r>
      <w:r w:rsidR="0056772D" w:rsidRPr="004B794E">
        <w:t xml:space="preserve">onostante </w:t>
      </w:r>
      <w:r w:rsidR="005969D5">
        <w:t>gli effetti</w:t>
      </w:r>
      <w:r w:rsidR="0056772D" w:rsidRPr="004B794E">
        <w:t xml:space="preserve"> </w:t>
      </w:r>
      <w:r w:rsidR="0056772D">
        <w:t>de</w:t>
      </w:r>
      <w:r w:rsidR="0056772D" w:rsidRPr="004B794E">
        <w:t xml:space="preserve">l sistema delle Regioni </w:t>
      </w:r>
      <w:r w:rsidR="0056772D">
        <w:t>“</w:t>
      </w:r>
      <w:r w:rsidR="0056772D" w:rsidRPr="004B794E">
        <w:t>a colori</w:t>
      </w:r>
      <w:r w:rsidR="0056772D">
        <w:t>”</w:t>
      </w:r>
      <w:r w:rsidR="0056772D" w:rsidRPr="004B794E">
        <w:t xml:space="preserve">, </w:t>
      </w:r>
      <w:r w:rsidR="0056772D">
        <w:t>introdotto più di 3 mesi fa, tutte le curve si trovano in un plateau d’alta quota (</w:t>
      </w:r>
      <w:r w:rsidR="0056772D" w:rsidRPr="00A55F06">
        <w:rPr>
          <w:highlight w:val="yellow"/>
        </w:rPr>
        <w:t>figura 2</w:t>
      </w:r>
      <w:r w:rsidR="0056772D">
        <w:t>): quasi 390 mila positivi, oltre 18.200</w:t>
      </w:r>
      <w:r w:rsidR="0056772D" w:rsidRPr="004B794E">
        <w:t xml:space="preserve"> </w:t>
      </w:r>
      <w:r w:rsidR="0056772D">
        <w:t>persone in ospedal</w:t>
      </w:r>
      <w:r w:rsidR="0056772D" w:rsidRPr="004B794E">
        <w:t xml:space="preserve">e </w:t>
      </w:r>
      <w:r w:rsidR="0056772D">
        <w:t xml:space="preserve">e </w:t>
      </w:r>
      <w:r w:rsidR="0056772D" w:rsidRPr="004B794E">
        <w:t xml:space="preserve">più di 2.000 </w:t>
      </w:r>
      <w:r w:rsidR="0056772D">
        <w:t xml:space="preserve">in terapia intensiva. Di conseguenza, spiega </w:t>
      </w:r>
      <w:r w:rsidR="0056772D">
        <w:lastRenderedPageBreak/>
        <w:t xml:space="preserve">Cartabellotta </w:t>
      </w:r>
      <w:r w:rsidR="0056772D" w:rsidRPr="001F1EA0">
        <w:t>«</w:t>
      </w:r>
      <w:r w:rsidR="0056772D">
        <w:t xml:space="preserve">se il nuovo Esecutivo manterrà la </w:t>
      </w:r>
      <w:r w:rsidR="0056772D" w:rsidRPr="004B794E">
        <w:t>strategia di mitigazione</w:t>
      </w:r>
      <w:r w:rsidR="0056772D">
        <w:t xml:space="preserve"> con </w:t>
      </w:r>
      <w:r w:rsidR="00810B31">
        <w:t xml:space="preserve">il solo </w:t>
      </w:r>
      <w:r w:rsidR="0056772D" w:rsidRPr="004B794E">
        <w:t xml:space="preserve">obiettivo di contenere il sovraccarico degli ospedali, </w:t>
      </w:r>
      <w:r w:rsidR="0056772D">
        <w:t xml:space="preserve">bisogna </w:t>
      </w:r>
      <w:r w:rsidR="00EB3EAD">
        <w:t>accettare</w:t>
      </w:r>
      <w:r w:rsidR="0056772D">
        <w:t xml:space="preserve"> </w:t>
      </w:r>
      <w:r w:rsidR="00EB3EAD">
        <w:t xml:space="preserve">lo </w:t>
      </w:r>
      <w:r w:rsidR="0056772D" w:rsidRPr="004B794E">
        <w:t xml:space="preserve">sfiancante </w:t>
      </w:r>
      <w:proofErr w:type="spellStart"/>
      <w:r w:rsidR="0056772D" w:rsidRPr="004B794E">
        <w:t>stop&amp;go</w:t>
      </w:r>
      <w:proofErr w:type="spellEnd"/>
      <w:r w:rsidR="0056772D" w:rsidRPr="004B794E">
        <w:t xml:space="preserve"> degli ultimi mesi </w:t>
      </w:r>
      <w:r w:rsidR="0056772D">
        <w:t xml:space="preserve">almeno </w:t>
      </w:r>
      <w:r w:rsidR="0056772D" w:rsidRPr="004B794E">
        <w:t xml:space="preserve">per tutto il 2021. Se invece </w:t>
      </w:r>
      <w:r w:rsidR="0056772D">
        <w:t>intende perse</w:t>
      </w:r>
      <w:r w:rsidR="000C646F">
        <w:t xml:space="preserve">guire l’obiettivo europeo </w:t>
      </w:r>
      <w:hyperlink r:id="rId8" w:history="1">
        <w:r w:rsidR="0056772D" w:rsidRPr="000C646F">
          <w:rPr>
            <w:rStyle w:val="Collegamentoipertestuale"/>
          </w:rPr>
          <w:t>zero-</w:t>
        </w:r>
        <w:r w:rsidR="000C646F" w:rsidRPr="000C646F">
          <w:rPr>
            <w:rStyle w:val="Collegamentoipertestuale"/>
          </w:rPr>
          <w:t>COVID</w:t>
        </w:r>
      </w:hyperlink>
      <w:r w:rsidR="0056772D">
        <w:t xml:space="preserve">, </w:t>
      </w:r>
      <w:r w:rsidR="00494474">
        <w:t xml:space="preserve">sulla scia della strategia tedesca </w:t>
      </w:r>
      <w:hyperlink r:id="rId9" w:history="1">
        <w:r w:rsidR="00494474" w:rsidRPr="00494474">
          <w:rPr>
            <w:rStyle w:val="Collegamentoipertestuale"/>
          </w:rPr>
          <w:t>No-COVID</w:t>
        </w:r>
      </w:hyperlink>
      <w:r w:rsidR="00494474">
        <w:t xml:space="preserve">, </w:t>
      </w:r>
      <w:r w:rsidR="0056772D">
        <w:t xml:space="preserve">questo </w:t>
      </w:r>
      <w:r w:rsidR="0056772D" w:rsidRPr="004B794E">
        <w:t xml:space="preserve">è </w:t>
      </w:r>
      <w:r w:rsidR="0056772D">
        <w:t xml:space="preserve">il momento per </w:t>
      </w:r>
      <w:r w:rsidR="0056772D" w:rsidRPr="004B794E">
        <w:t xml:space="preserve">abbattere la curva dei contagi con un </w:t>
      </w:r>
      <w:proofErr w:type="spellStart"/>
      <w:r w:rsidR="0056772D" w:rsidRPr="004B794E">
        <w:t>lockdown</w:t>
      </w:r>
      <w:proofErr w:type="spellEnd"/>
      <w:r w:rsidR="0056772D" w:rsidRPr="004B794E">
        <w:t xml:space="preserve"> rigoroso di 2-3 settimane </w:t>
      </w:r>
      <w:r w:rsidR="0056772D">
        <w:t xml:space="preserve">al fine di </w:t>
      </w:r>
      <w:r w:rsidR="0056772D" w:rsidRPr="004B794E">
        <w:t xml:space="preserve">riprendere il tracciamento, allentare la pressione sul sistema sanitario, accelerare le vaccinazioni e </w:t>
      </w:r>
      <w:r w:rsidR="0056772D">
        <w:t>contenere l’emergenza varianti</w:t>
      </w:r>
      <w:r w:rsidR="0056772D" w:rsidRPr="00FC6958">
        <w:t>».</w:t>
      </w:r>
      <w:r w:rsidR="0056772D">
        <w:t xml:space="preserve"> Ovviamente</w:t>
      </w:r>
      <w:r w:rsidR="007D5213">
        <w:t xml:space="preserve"> questa strategia</w:t>
      </w:r>
      <w:r w:rsidR="0056772D">
        <w:t xml:space="preserve"> </w:t>
      </w:r>
      <w:r w:rsidR="0056772D" w:rsidRPr="004B794E">
        <w:t>presuppone</w:t>
      </w:r>
      <w:r w:rsidR="007D5213">
        <w:t xml:space="preserve"> </w:t>
      </w:r>
      <w:r w:rsidR="0056772D" w:rsidRPr="004B794E">
        <w:t>che</w:t>
      </w:r>
      <w:r w:rsidR="0056772D">
        <w:t xml:space="preserve"> il sistema (sanitario e non) sia </w:t>
      </w:r>
      <w:r w:rsidR="000C646F">
        <w:t xml:space="preserve">predisposto a </w:t>
      </w:r>
      <w:r w:rsidR="005969D5">
        <w:t xml:space="preserve">far fruttare </w:t>
      </w:r>
      <w:r w:rsidR="00EB3EAD">
        <w:t>i risultati</w:t>
      </w:r>
      <w:r w:rsidR="000C646F">
        <w:t xml:space="preserve"> del </w:t>
      </w:r>
      <w:proofErr w:type="spellStart"/>
      <w:r w:rsidR="000C646F">
        <w:t>lockdown</w:t>
      </w:r>
      <w:proofErr w:type="spellEnd"/>
      <w:r w:rsidR="0056772D" w:rsidRPr="004B794E">
        <w:t xml:space="preserve">: dal potenziamento dei sistemi di </w:t>
      </w:r>
      <w:proofErr w:type="spellStart"/>
      <w:r w:rsidR="0056772D" w:rsidRPr="004B794E">
        <w:t>testing</w:t>
      </w:r>
      <w:proofErr w:type="spellEnd"/>
      <w:r w:rsidR="0056772D" w:rsidRPr="004B794E">
        <w:t xml:space="preserve"> alla ripresa del </w:t>
      </w:r>
      <w:proofErr w:type="spellStart"/>
      <w:r w:rsidR="0056772D" w:rsidRPr="004B794E">
        <w:t>contact</w:t>
      </w:r>
      <w:proofErr w:type="spellEnd"/>
      <w:r w:rsidR="0056772D" w:rsidRPr="004B794E">
        <w:t xml:space="preserve"> </w:t>
      </w:r>
      <w:proofErr w:type="spellStart"/>
      <w:r w:rsidR="0056772D" w:rsidRPr="004B794E">
        <w:t>tracing</w:t>
      </w:r>
      <w:proofErr w:type="spellEnd"/>
      <w:r w:rsidR="0056772D" w:rsidRPr="004B794E">
        <w:t xml:space="preserve"> anche con strumenti elettronici; dal passaggio della quarantena fiduciaria a quella monitorata; dal potenziamento del trasporto locale a</w:t>
      </w:r>
      <w:r w:rsidR="0056772D">
        <w:t xml:space="preserve">lla </w:t>
      </w:r>
      <w:r w:rsidR="0056772D" w:rsidRPr="004B794E">
        <w:t>messa in sicurezza di scuole</w:t>
      </w:r>
      <w:r w:rsidR="0056772D">
        <w:t>, Università</w:t>
      </w:r>
      <w:r w:rsidR="0056772D" w:rsidRPr="004B794E">
        <w:t xml:space="preserve"> e luoghi pubblici </w:t>
      </w:r>
      <w:r w:rsidR="00494474">
        <w:t>su</w:t>
      </w:r>
      <w:r w:rsidR="0056772D">
        <w:t xml:space="preserve"> </w:t>
      </w:r>
      <w:r w:rsidR="0056772D" w:rsidRPr="004B794E">
        <w:t xml:space="preserve">areazione e deumidificazione dei locali; da </w:t>
      </w:r>
      <w:r w:rsidR="0019296A">
        <w:t xml:space="preserve">rigorose </w:t>
      </w:r>
      <w:r w:rsidR="0056772D" w:rsidRPr="004B794E">
        <w:t xml:space="preserve">politiche </w:t>
      </w:r>
      <w:r w:rsidR="0019296A">
        <w:t xml:space="preserve">per controllare </w:t>
      </w:r>
      <w:r w:rsidR="0056772D" w:rsidRPr="004B794E">
        <w:t xml:space="preserve">frontiere e flussi turistici a </w:t>
      </w:r>
      <w:r w:rsidR="0056772D">
        <w:t xml:space="preserve">strategie di coinvolgimento attivo dei cittadini e </w:t>
      </w:r>
      <w:r w:rsidR="0056772D" w:rsidRPr="004B794E">
        <w:t>misure più rigorose per il rispetto delle regole</w:t>
      </w:r>
      <w:r w:rsidR="0056772D">
        <w:t xml:space="preserve">. </w:t>
      </w:r>
    </w:p>
    <w:p w:rsidR="006F43E4" w:rsidRDefault="006F43E4" w:rsidP="00707A47">
      <w:pPr>
        <w:spacing w:line="276" w:lineRule="auto"/>
        <w:jc w:val="both"/>
      </w:pPr>
      <w:r>
        <w:rPr>
          <w:b/>
        </w:rPr>
        <w:t xml:space="preserve">Vaccini: forniture. </w:t>
      </w:r>
      <w:r w:rsidRPr="006F43E4">
        <w:t>Al</w:t>
      </w:r>
      <w:r>
        <w:t xml:space="preserve"> 17</w:t>
      </w:r>
      <w:r w:rsidRPr="002D16D8">
        <w:t xml:space="preserve"> febbraio (aggiornamento ore </w:t>
      </w:r>
      <w:r w:rsidR="00FC6958">
        <w:t>15</w:t>
      </w:r>
      <w:r w:rsidR="001861AD">
        <w:t>:00</w:t>
      </w:r>
      <w:r w:rsidRPr="002D16D8">
        <w:t>)</w:t>
      </w:r>
      <w:r>
        <w:t xml:space="preserve"> sono </w:t>
      </w:r>
      <w:r w:rsidR="00F530A0">
        <w:t xml:space="preserve">state consegnate </w:t>
      </w:r>
      <w:r>
        <w:t xml:space="preserve">alle Regioni </w:t>
      </w:r>
      <w:r w:rsidR="00A01924">
        <w:t>4,</w:t>
      </w:r>
      <w:r w:rsidR="00FC6958">
        <w:t xml:space="preserve">07 </w:t>
      </w:r>
      <w:r w:rsidR="00A01924">
        <w:t xml:space="preserve">milioni </w:t>
      </w:r>
      <w:r>
        <w:t xml:space="preserve">dosi di vaccino, </w:t>
      </w:r>
      <w:r w:rsidR="00A01924">
        <w:t xml:space="preserve">il </w:t>
      </w:r>
      <w:r w:rsidR="00FC6958">
        <w:t>31</w:t>
      </w:r>
      <w:r>
        <w:t>,</w:t>
      </w:r>
      <w:r w:rsidR="00FC6958">
        <w:t>8</w:t>
      </w:r>
      <w:r>
        <w:t>% d</w:t>
      </w:r>
      <w:r w:rsidR="00A01924">
        <w:t xml:space="preserve">ei </w:t>
      </w:r>
      <w:r>
        <w:t xml:space="preserve">12,8 milioni </w:t>
      </w:r>
      <w:r w:rsidR="00A01924">
        <w:t>attesi</w:t>
      </w:r>
      <w:r>
        <w:t xml:space="preserve"> per il primo trimestre 2021</w:t>
      </w:r>
      <w:r w:rsidR="00D31C1D">
        <w:t>.</w:t>
      </w:r>
      <w:r w:rsidR="008C0895">
        <w:t xml:space="preserve"> </w:t>
      </w:r>
      <w:r w:rsidR="00A01924">
        <w:t>I</w:t>
      </w:r>
      <w:r w:rsidR="008C0895">
        <w:t>n dettaglio</w:t>
      </w:r>
      <w:r>
        <w:t>:</w:t>
      </w:r>
    </w:p>
    <w:p w:rsidR="006F43E4" w:rsidRPr="00FC6958" w:rsidRDefault="00F45B7D" w:rsidP="006F43E4">
      <w:pPr>
        <w:pStyle w:val="Paragrafoelenco"/>
        <w:numPr>
          <w:ilvl w:val="0"/>
          <w:numId w:val="18"/>
        </w:numPr>
        <w:spacing w:line="276" w:lineRule="auto"/>
        <w:jc w:val="both"/>
      </w:pPr>
      <w:r w:rsidRPr="00FC6958">
        <w:t>Pfizer/</w:t>
      </w:r>
      <w:proofErr w:type="spellStart"/>
      <w:r w:rsidRPr="00FC6958">
        <w:t>BioNTech</w:t>
      </w:r>
      <w:proofErr w:type="spellEnd"/>
      <w:r w:rsidR="00D31C1D" w:rsidRPr="00FC6958">
        <w:t xml:space="preserve">: </w:t>
      </w:r>
      <w:r w:rsidR="001861AD" w:rsidRPr="00FC6958">
        <w:t>3.288.870</w:t>
      </w:r>
      <w:r w:rsidR="00D31C1D" w:rsidRPr="00FC6958">
        <w:t xml:space="preserve"> dosi</w:t>
      </w:r>
      <w:r w:rsidR="003D6D1E" w:rsidRPr="00FC6958">
        <w:t xml:space="preserve"> pari al </w:t>
      </w:r>
      <w:r w:rsidR="00D31C1D" w:rsidRPr="00FC6958">
        <w:t>44,7% di quelle previste</w:t>
      </w:r>
      <w:r w:rsidR="001861AD" w:rsidRPr="00FC6958">
        <w:t xml:space="preserve"> (7,3 milioni)</w:t>
      </w:r>
      <w:r w:rsidR="00D31C1D" w:rsidRPr="00FC6958">
        <w:t xml:space="preserve">, </w:t>
      </w:r>
      <w:r w:rsidR="003D6D1E" w:rsidRPr="00FC6958">
        <w:t>escluse</w:t>
      </w:r>
      <w:r w:rsidR="008C0895" w:rsidRPr="00FC6958">
        <w:t xml:space="preserve"> </w:t>
      </w:r>
      <w:r w:rsidR="00D31C1D" w:rsidRPr="00FC6958">
        <w:t xml:space="preserve">le 6,6 milioni di dosi aggiuntive </w:t>
      </w:r>
      <w:r w:rsidR="008C0895" w:rsidRPr="00FC6958">
        <w:t xml:space="preserve">la cui consegna è </w:t>
      </w:r>
      <w:r w:rsidR="00AC23F7">
        <w:t>prevista</w:t>
      </w:r>
      <w:r w:rsidR="008C0895" w:rsidRPr="00FC6958">
        <w:t xml:space="preserve"> </w:t>
      </w:r>
      <w:r w:rsidR="00D31C1D" w:rsidRPr="00FC6958">
        <w:t xml:space="preserve">entro giugno, </w:t>
      </w:r>
      <w:r w:rsidR="008C0895" w:rsidRPr="00FC6958">
        <w:t xml:space="preserve">ma </w:t>
      </w:r>
      <w:r w:rsidR="00D31C1D" w:rsidRPr="00FC6958">
        <w:t xml:space="preserve">senza </w:t>
      </w:r>
      <w:r w:rsidR="008C0895" w:rsidRPr="00FC6958">
        <w:t>dettagli sulla ripartizione trimestrale</w:t>
      </w:r>
    </w:p>
    <w:p w:rsidR="00D31C1D" w:rsidRPr="00FC6958" w:rsidRDefault="00D31C1D" w:rsidP="00FC6958">
      <w:pPr>
        <w:pStyle w:val="Paragrafoelenco"/>
        <w:numPr>
          <w:ilvl w:val="0"/>
          <w:numId w:val="18"/>
        </w:numPr>
        <w:spacing w:line="276" w:lineRule="auto"/>
        <w:jc w:val="both"/>
      </w:pPr>
      <w:r w:rsidRPr="00FC6958">
        <w:t xml:space="preserve">Moderna: </w:t>
      </w:r>
      <w:r w:rsidR="00FC6958" w:rsidRPr="00FC6958">
        <w:t>244.600</w:t>
      </w:r>
      <w:r w:rsidRPr="00FC6958">
        <w:t xml:space="preserve"> dosi</w:t>
      </w:r>
      <w:r w:rsidR="003D6D1E" w:rsidRPr="00FC6958">
        <w:t xml:space="preserve"> pari all’</w:t>
      </w:r>
      <w:r w:rsidR="00FC6958" w:rsidRPr="00FC6958">
        <w:t>18</w:t>
      </w:r>
      <w:r w:rsidRPr="00FC6958">
        <w:t>,</w:t>
      </w:r>
      <w:r w:rsidR="00FC6958" w:rsidRPr="00FC6958">
        <w:t>4</w:t>
      </w:r>
      <w:r w:rsidRPr="00FC6958">
        <w:t>% di quelle previste (1,3 milioni)</w:t>
      </w:r>
    </w:p>
    <w:p w:rsidR="00D31C1D" w:rsidRPr="00FC6958" w:rsidRDefault="00D31C1D" w:rsidP="006F43E4">
      <w:pPr>
        <w:pStyle w:val="Paragrafoelenco"/>
        <w:numPr>
          <w:ilvl w:val="0"/>
          <w:numId w:val="18"/>
        </w:numPr>
        <w:spacing w:line="276" w:lineRule="auto"/>
        <w:jc w:val="both"/>
      </w:pPr>
      <w:r w:rsidRPr="00FC6958">
        <w:t xml:space="preserve">AstraZeneca: </w:t>
      </w:r>
      <w:r w:rsidR="00FC6958" w:rsidRPr="00FC6958">
        <w:t xml:space="preserve">542.400 </w:t>
      </w:r>
      <w:r w:rsidRPr="00FC6958">
        <w:t>dosi</w:t>
      </w:r>
      <w:r w:rsidR="003D6D1E" w:rsidRPr="00FC6958">
        <w:t xml:space="preserve"> pari al </w:t>
      </w:r>
      <w:r w:rsidR="00FC6958" w:rsidRPr="00FC6958">
        <w:t>13</w:t>
      </w:r>
      <w:r w:rsidRPr="00FC6958">
        <w:t>% di quelle previste (4,2 milioni)</w:t>
      </w:r>
    </w:p>
    <w:p w:rsidR="00D31C1D" w:rsidRPr="007D5213" w:rsidRDefault="001F1EA0" w:rsidP="001861AD">
      <w:pPr>
        <w:spacing w:line="276" w:lineRule="auto"/>
        <w:jc w:val="both"/>
      </w:pPr>
      <w:r w:rsidRPr="001F1EA0">
        <w:t>«</w:t>
      </w:r>
      <w:r w:rsidR="007410FC">
        <w:t>Per</w:t>
      </w:r>
      <w:r>
        <w:t xml:space="preserve"> rispettare la tabella di marcia delle forniture</w:t>
      </w:r>
      <w:r w:rsidR="00777EFD">
        <w:t xml:space="preserve"> </w:t>
      </w:r>
      <w:r w:rsidR="007410FC" w:rsidRPr="001F1EA0">
        <w:t>– afferma Renata Gili, responsabile Ricerca sui Servizi Sanitari della Fo</w:t>
      </w:r>
      <w:r w:rsidR="007410FC" w:rsidRPr="00FC6958">
        <w:t>ndazione GIMBE –</w:t>
      </w:r>
      <w:r w:rsidR="00777EFD">
        <w:t xml:space="preserve"> entro fine marzo </w:t>
      </w:r>
      <w:r w:rsidR="007410FC" w:rsidRPr="00FC6958">
        <w:t>dovrebbe</w:t>
      </w:r>
      <w:r w:rsidR="007B7C93" w:rsidRPr="00FC6958">
        <w:t>ro</w:t>
      </w:r>
      <w:r w:rsidR="007410FC" w:rsidRPr="00FC6958">
        <w:t xml:space="preserve"> </w:t>
      </w:r>
      <w:r w:rsidR="007B7C93" w:rsidRPr="00FC6958">
        <w:t>essere consegnate</w:t>
      </w:r>
      <w:r w:rsidRPr="00FC6958">
        <w:t xml:space="preserve"> </w:t>
      </w:r>
      <w:r w:rsidR="007B7C93" w:rsidRPr="00FC6958">
        <w:t xml:space="preserve">in </w:t>
      </w:r>
      <w:r w:rsidRPr="00FC6958">
        <w:t>media 1,</w:t>
      </w:r>
      <w:r w:rsidR="00FC6958" w:rsidRPr="00FC6958">
        <w:t>45</w:t>
      </w:r>
      <w:r w:rsidRPr="00FC6958">
        <w:t xml:space="preserve"> milioni di dosi</w:t>
      </w:r>
      <w:r w:rsidR="007B7C93" w:rsidRPr="00FC6958">
        <w:t>/</w:t>
      </w:r>
      <w:r w:rsidRPr="00FC6958">
        <w:t>settimana</w:t>
      </w:r>
      <w:r w:rsidR="007B7C93" w:rsidRPr="00FC6958">
        <w:t xml:space="preserve">, </w:t>
      </w:r>
      <w:r w:rsidR="001861AD" w:rsidRPr="00FC6958">
        <w:t xml:space="preserve">a fronte </w:t>
      </w:r>
      <w:r w:rsidR="00AE2551">
        <w:t>delle quasi 600 mila attuali</w:t>
      </w:r>
      <w:r w:rsidRPr="00FC6958">
        <w:t>»</w:t>
      </w:r>
      <w:r w:rsidR="00FC6958" w:rsidRPr="00FC6958">
        <w:t>.</w:t>
      </w:r>
      <w:r w:rsidR="007D5213">
        <w:t xml:space="preserve"> </w:t>
      </w:r>
      <w:r w:rsidR="00C638A0">
        <w:t>D</w:t>
      </w:r>
      <w:r w:rsidR="00777EFD">
        <w:t xml:space="preserve">al canto loro </w:t>
      </w:r>
      <w:r w:rsidR="00F530A0">
        <w:t xml:space="preserve">le </w:t>
      </w:r>
      <w:r w:rsidR="003D6D1E">
        <w:t>Regioni</w:t>
      </w:r>
      <w:r w:rsidR="00F530A0">
        <w:t xml:space="preserve"> </w:t>
      </w:r>
      <w:r w:rsidR="008C0895">
        <w:t xml:space="preserve">devono essere pronte ad </w:t>
      </w:r>
      <w:r w:rsidR="007D5213">
        <w:t xml:space="preserve">accelerare </w:t>
      </w:r>
      <w:r w:rsidR="003D6D1E">
        <w:t>le</w:t>
      </w:r>
      <w:r w:rsidR="0039571D">
        <w:t xml:space="preserve"> </w:t>
      </w:r>
      <w:r w:rsidR="007B7C93">
        <w:t>somministrazioni, che oggi viaggiano ad una media di</w:t>
      </w:r>
      <w:r w:rsidR="009505CA">
        <w:t xml:space="preserve"> </w:t>
      </w:r>
      <w:r w:rsidR="003D6D1E">
        <w:t xml:space="preserve">circa </w:t>
      </w:r>
      <w:r w:rsidR="009505CA">
        <w:t>480 mila per settiman</w:t>
      </w:r>
      <w:r w:rsidR="009505CA" w:rsidRPr="0039571D">
        <w:t xml:space="preserve">a. </w:t>
      </w:r>
      <w:r w:rsidR="007D5213" w:rsidRPr="00B74374">
        <w:t>«</w:t>
      </w:r>
      <w:r w:rsidR="007B7C93" w:rsidRPr="007B7C93">
        <w:t>Peraltro</w:t>
      </w:r>
      <w:r w:rsidR="007D5213">
        <w:t xml:space="preserve"> </w:t>
      </w:r>
      <w:r w:rsidR="00C719A4" w:rsidRPr="007B7C93">
        <w:t xml:space="preserve">se </w:t>
      </w:r>
      <w:r w:rsidR="00C719A4">
        <w:t xml:space="preserve">da un lato </w:t>
      </w:r>
      <w:r w:rsidR="006B2EF2">
        <w:t xml:space="preserve">vengono correttamente accantonate </w:t>
      </w:r>
      <w:r w:rsidR="00DB35D1">
        <w:t>le</w:t>
      </w:r>
      <w:r w:rsidR="00C719A4">
        <w:t xml:space="preserve"> </w:t>
      </w:r>
      <w:r w:rsidR="00DB35D1">
        <w:t xml:space="preserve">dosi </w:t>
      </w:r>
      <w:r w:rsidR="00C719A4">
        <w:t xml:space="preserve">per </w:t>
      </w:r>
      <w:r w:rsidR="00DB35D1">
        <w:t>il richiamo</w:t>
      </w:r>
      <w:r w:rsidR="00DD2C89">
        <w:t xml:space="preserve"> </w:t>
      </w:r>
      <w:r w:rsidR="00DD2C89" w:rsidRPr="00B74374">
        <w:t>–</w:t>
      </w:r>
      <w:r w:rsidR="00DD2C89">
        <w:t xml:space="preserve"> puntualizza </w:t>
      </w:r>
      <w:r w:rsidR="00DD2C89" w:rsidRPr="00B74374">
        <w:t>Cartabellotta –</w:t>
      </w:r>
      <w:r w:rsidR="00C719A4">
        <w:t xml:space="preserve"> dall’altro </w:t>
      </w:r>
      <w:r w:rsidR="00777EFD">
        <w:t xml:space="preserve">nell’ultima settimana </w:t>
      </w:r>
      <w:r w:rsidR="0039571D">
        <w:t xml:space="preserve">si rileva </w:t>
      </w:r>
      <w:r w:rsidR="007B7C93">
        <w:t>un</w:t>
      </w:r>
      <w:r w:rsidR="00C719A4">
        <w:t xml:space="preserve"> rallentamento </w:t>
      </w:r>
      <w:r w:rsidR="00A55F06">
        <w:t xml:space="preserve">delle </w:t>
      </w:r>
      <w:r w:rsidR="007B7C93">
        <w:t>somministrazioni di quasi il 30%</w:t>
      </w:r>
      <w:r w:rsidR="00C719A4">
        <w:t xml:space="preserve">, </w:t>
      </w:r>
      <w:r w:rsidR="00A63877">
        <w:t xml:space="preserve">possibile </w:t>
      </w:r>
      <w:r w:rsidR="00A55F06">
        <w:t xml:space="preserve">spia </w:t>
      </w:r>
      <w:r w:rsidR="00A63877">
        <w:t>di</w:t>
      </w:r>
      <w:r w:rsidR="009177D4">
        <w:t xml:space="preserve"> </w:t>
      </w:r>
      <w:r w:rsidR="00C719A4">
        <w:t xml:space="preserve">difficoltà organizzative </w:t>
      </w:r>
      <w:r w:rsidR="006B2EF2">
        <w:t xml:space="preserve">della </w:t>
      </w:r>
      <w:r w:rsidR="00C719A4">
        <w:t>campagna vaccinal</w:t>
      </w:r>
      <w:r w:rsidR="00DB35D1">
        <w:t xml:space="preserve">e </w:t>
      </w:r>
      <w:r w:rsidR="006B2EF2">
        <w:t>fuori da</w:t>
      </w:r>
      <w:r w:rsidR="00DB35D1">
        <w:t xml:space="preserve"> ospedali e RSA</w:t>
      </w:r>
      <w:r w:rsidR="00A20B18" w:rsidRPr="001F1EA0">
        <w:t>»</w:t>
      </w:r>
      <w:r w:rsidR="00F530A0">
        <w:t xml:space="preserve"> (</w:t>
      </w:r>
      <w:r w:rsidR="00F530A0" w:rsidRPr="00F530A0">
        <w:rPr>
          <w:highlight w:val="yellow"/>
        </w:rPr>
        <w:t>figura 4</w:t>
      </w:r>
      <w:r w:rsidR="00F530A0">
        <w:t>)</w:t>
      </w:r>
      <w:r w:rsidR="00DB35D1">
        <w:t>.</w:t>
      </w:r>
    </w:p>
    <w:p w:rsidR="00E73B56" w:rsidRDefault="00707A47" w:rsidP="00985EAC">
      <w:pPr>
        <w:spacing w:line="276" w:lineRule="auto"/>
        <w:jc w:val="both"/>
      </w:pPr>
      <w:r w:rsidRPr="002D16D8">
        <w:rPr>
          <w:b/>
        </w:rPr>
        <w:t>Vaccini: somministrazioni.</w:t>
      </w:r>
      <w:r>
        <w:t xml:space="preserve"> </w:t>
      </w:r>
      <w:r w:rsidRPr="002D16D8">
        <w:t xml:space="preserve">Al </w:t>
      </w:r>
      <w:r>
        <w:t>1</w:t>
      </w:r>
      <w:r w:rsidR="00890C22">
        <w:t>7</w:t>
      </w:r>
      <w:r w:rsidRPr="002D16D8">
        <w:t xml:space="preserve"> febbraio (</w:t>
      </w:r>
      <w:r w:rsidRPr="002C435F">
        <w:t xml:space="preserve">aggiornamento ore </w:t>
      </w:r>
      <w:r w:rsidR="00FC6958" w:rsidRPr="002C435F">
        <w:t>15</w:t>
      </w:r>
      <w:r w:rsidR="006E3EE0" w:rsidRPr="002C435F">
        <w:t>:00</w:t>
      </w:r>
      <w:r w:rsidRPr="002C435F">
        <w:t xml:space="preserve">) hanno completato il ciclo vaccinale con la seconda dose </w:t>
      </w:r>
      <w:r w:rsidR="00AA58B2" w:rsidRPr="002C435F">
        <w:t>1.</w:t>
      </w:r>
      <w:r w:rsidR="002C435F" w:rsidRPr="002C435F">
        <w:t>298.844</w:t>
      </w:r>
      <w:r w:rsidR="00AA58B2" w:rsidRPr="002C435F">
        <w:t xml:space="preserve"> </w:t>
      </w:r>
      <w:r w:rsidRPr="002C435F">
        <w:t>persone (</w:t>
      </w:r>
      <w:r w:rsidR="00AA58B2" w:rsidRPr="002C435F">
        <w:t>2,1</w:t>
      </w:r>
      <w:r w:rsidR="002C435F" w:rsidRPr="002C435F">
        <w:t>8</w:t>
      </w:r>
      <w:r w:rsidRPr="002C435F">
        <w:t xml:space="preserve">% della popolazione), con marcate differenze regionali: dal </w:t>
      </w:r>
      <w:r w:rsidR="00AA58B2" w:rsidRPr="002C435F">
        <w:t>1,46</w:t>
      </w:r>
      <w:r w:rsidRPr="002C435F">
        <w:t xml:space="preserve">% della </w:t>
      </w:r>
      <w:r w:rsidR="00AA58B2" w:rsidRPr="002C435F">
        <w:t>Calabria</w:t>
      </w:r>
      <w:r w:rsidR="009505CA" w:rsidRPr="002C435F">
        <w:t xml:space="preserve"> al 4,15% della Provincia Autonoma di Bolzano </w:t>
      </w:r>
      <w:r w:rsidRPr="002C435F">
        <w:t>(</w:t>
      </w:r>
      <w:r w:rsidRPr="002C435F">
        <w:rPr>
          <w:highlight w:val="yellow"/>
        </w:rPr>
        <w:t xml:space="preserve">figura </w:t>
      </w:r>
      <w:r w:rsidR="00F530A0" w:rsidRPr="002C435F">
        <w:rPr>
          <w:highlight w:val="yellow"/>
        </w:rPr>
        <w:t>5</w:t>
      </w:r>
      <w:r w:rsidR="00D03ABB" w:rsidRPr="002C435F">
        <w:t>)</w:t>
      </w:r>
      <w:r w:rsidR="004C33D3" w:rsidRPr="002C435F">
        <w:t>.</w:t>
      </w:r>
      <w:r w:rsidR="00726C66">
        <w:t xml:space="preserve"> Il</w:t>
      </w:r>
      <w:r w:rsidR="00CF56E7" w:rsidRPr="002C435F">
        <w:t xml:space="preserve"> </w:t>
      </w:r>
      <w:r w:rsidR="00C55820" w:rsidRPr="002C435F">
        <w:t>6</w:t>
      </w:r>
      <w:r w:rsidR="002C435F" w:rsidRPr="002C435F">
        <w:t>6</w:t>
      </w:r>
      <w:r w:rsidR="00D31C1D" w:rsidRPr="002C435F">
        <w:t xml:space="preserve">% delle dosi </w:t>
      </w:r>
      <w:r w:rsidR="00CF56E7" w:rsidRPr="002C435F">
        <w:t xml:space="preserve">è stato </w:t>
      </w:r>
      <w:r w:rsidR="00A55F06">
        <w:t>somministrato</w:t>
      </w:r>
      <w:r w:rsidR="00D31C1D" w:rsidRPr="002C435F">
        <w:t xml:space="preserve"> a “operatori sanitari e sociosanitari”, </w:t>
      </w:r>
      <w:r w:rsidR="00CF56E7" w:rsidRPr="002C435F">
        <w:t xml:space="preserve">il </w:t>
      </w:r>
      <w:r w:rsidR="00C55820" w:rsidRPr="002C435F">
        <w:t>19</w:t>
      </w:r>
      <w:r w:rsidR="00D31C1D" w:rsidRPr="002C435F">
        <w:t xml:space="preserve">% a “personale non sanitario”, </w:t>
      </w:r>
      <w:r w:rsidR="00CF56E7" w:rsidRPr="002C435F">
        <w:t>l’</w:t>
      </w:r>
      <w:r w:rsidR="00C55820" w:rsidRPr="002C435F">
        <w:t>11</w:t>
      </w:r>
      <w:r w:rsidR="00D31C1D" w:rsidRPr="002C435F">
        <w:t xml:space="preserve">% a “personale ed ospiti delle RSA” e il </w:t>
      </w:r>
      <w:r w:rsidR="002C435F" w:rsidRPr="002C435F">
        <w:t>4</w:t>
      </w:r>
      <w:r w:rsidR="00D31C1D" w:rsidRPr="002C435F">
        <w:t>% a “persone di età ≥80 anni”, con notevoli differenze regionali (</w:t>
      </w:r>
      <w:r w:rsidR="00D31C1D" w:rsidRPr="002C435F">
        <w:rPr>
          <w:highlight w:val="yellow"/>
        </w:rPr>
        <w:t xml:space="preserve">figura </w:t>
      </w:r>
      <w:r w:rsidR="00F530A0" w:rsidRPr="002C435F">
        <w:rPr>
          <w:highlight w:val="yellow"/>
        </w:rPr>
        <w:t>6</w:t>
      </w:r>
      <w:r w:rsidR="00D31C1D" w:rsidRPr="002C435F">
        <w:t>).</w:t>
      </w:r>
      <w:r w:rsidR="007B7C93" w:rsidRPr="002C435F">
        <w:t xml:space="preserve"> </w:t>
      </w:r>
      <w:r w:rsidR="00CF56E7" w:rsidRPr="002C435F">
        <w:t>«</w:t>
      </w:r>
      <w:r w:rsidR="00A55F06">
        <w:t xml:space="preserve">La vera criticità di questa fase 1 </w:t>
      </w:r>
      <w:r w:rsidR="00985EAC" w:rsidRPr="002C435F">
        <w:t xml:space="preserve">– </w:t>
      </w:r>
      <w:r w:rsidR="00CF56E7" w:rsidRPr="002C435F">
        <w:t xml:space="preserve">precisa Gili – </w:t>
      </w:r>
      <w:r w:rsidR="00A55F06">
        <w:t xml:space="preserve">è che </w:t>
      </w:r>
      <w:r w:rsidR="00CF56E7" w:rsidRPr="002C435F">
        <w:t xml:space="preserve">solo </w:t>
      </w:r>
      <w:r w:rsidR="009D4C48" w:rsidRPr="002C435F">
        <w:t xml:space="preserve">il </w:t>
      </w:r>
      <w:r w:rsidR="00C55820" w:rsidRPr="002C435F">
        <w:t>5,</w:t>
      </w:r>
      <w:r w:rsidR="002C435F" w:rsidRPr="002C435F">
        <w:t>9</w:t>
      </w:r>
      <w:r w:rsidR="009D4C48" w:rsidRPr="002C435F">
        <w:t xml:space="preserve">% (n. </w:t>
      </w:r>
      <w:r w:rsidR="002C435F" w:rsidRPr="002C435F">
        <w:t>261</w:t>
      </w:r>
      <w:r w:rsidR="00C55820" w:rsidRPr="002C435F">
        <w:t>.</w:t>
      </w:r>
      <w:r w:rsidR="002C435F" w:rsidRPr="002C435F">
        <w:t>008</w:t>
      </w:r>
      <w:r w:rsidR="009D4C48" w:rsidRPr="002C435F">
        <w:t xml:space="preserve">) degli over 80 ha ricevuto almeno una dose di vaccino, e solo il </w:t>
      </w:r>
      <w:r w:rsidR="002C435F" w:rsidRPr="002C435F">
        <w:t>2</w:t>
      </w:r>
      <w:r w:rsidR="00C55820" w:rsidRPr="002C435F">
        <w:t>,</w:t>
      </w:r>
      <w:r w:rsidR="002C435F" w:rsidRPr="002C435F">
        <w:t>7</w:t>
      </w:r>
      <w:r w:rsidR="009D4C48" w:rsidRPr="002C435F">
        <w:t xml:space="preserve">% (n. </w:t>
      </w:r>
      <w:r w:rsidR="00C55820" w:rsidRPr="002C435F">
        <w:t>117.</w:t>
      </w:r>
      <w:r w:rsidR="002C435F" w:rsidRPr="002C435F">
        <w:t>537</w:t>
      </w:r>
      <w:r w:rsidR="009D4C48" w:rsidRPr="002C435F">
        <w:t>) ha completato il ciclo vaccinale, percentuali molto lontane dal target raccomandato dalla Commissione Europea per questa fascia di età: 80% entro il 31 marzo 2021.</w:t>
      </w:r>
      <w:r w:rsidR="0049641D" w:rsidRPr="002C435F">
        <w:t xml:space="preserve"> </w:t>
      </w:r>
      <w:r w:rsidR="00C55820" w:rsidRPr="002C435F">
        <w:t xml:space="preserve">Per </w:t>
      </w:r>
      <w:r w:rsidR="00E73B56" w:rsidRPr="002C435F">
        <w:t>raggiungere</w:t>
      </w:r>
      <w:r w:rsidR="009B5503" w:rsidRPr="002C435F">
        <w:t xml:space="preserve"> questo obiettivo</w:t>
      </w:r>
      <w:r w:rsidR="00C55820" w:rsidRPr="002C435F">
        <w:t xml:space="preserve"> </w:t>
      </w:r>
      <w:r w:rsidR="002A64A7">
        <w:t xml:space="preserve">bisognerebbe </w:t>
      </w:r>
      <w:r w:rsidR="00C55820" w:rsidRPr="002C435F">
        <w:t xml:space="preserve">vaccinare </w:t>
      </w:r>
      <w:r w:rsidR="009505CA" w:rsidRPr="002C435F">
        <w:t xml:space="preserve">entro quella data </w:t>
      </w:r>
      <w:r w:rsidR="00E73B56" w:rsidRPr="002C435F">
        <w:t>circa 3,5 milioni di over 80, di cui quasi 3,3</w:t>
      </w:r>
      <w:r w:rsidR="00A55F06">
        <w:t xml:space="preserve"> milioni</w:t>
      </w:r>
      <w:r w:rsidR="00E73B56" w:rsidRPr="002C435F">
        <w:t xml:space="preserve"> </w:t>
      </w:r>
      <w:r w:rsidR="00E73B56" w:rsidRPr="002C435F">
        <w:rPr>
          <w:rFonts w:ascii="Calibri" w:eastAsia="Times New Roman" w:hAnsi="Calibri" w:cs="Calibri"/>
          <w:lang w:eastAsia="it-IT"/>
        </w:rPr>
        <w:t>non hanno ancora ricevuto la prima dose</w:t>
      </w:r>
      <w:r w:rsidR="00CF56E7" w:rsidRPr="002C435F">
        <w:t xml:space="preserve">». </w:t>
      </w:r>
    </w:p>
    <w:p w:rsidR="007B7C93" w:rsidRPr="004B794E" w:rsidRDefault="00CF56E7" w:rsidP="00BC2961">
      <w:pPr>
        <w:spacing w:line="276" w:lineRule="auto"/>
        <w:jc w:val="both"/>
      </w:pPr>
      <w:r w:rsidRPr="004B794E">
        <w:t>«</w:t>
      </w:r>
      <w:r w:rsidR="00A8355F">
        <w:t>N</w:t>
      </w:r>
      <w:r w:rsidRPr="004B794E">
        <w:t xml:space="preserve">el suo discorso al Senato – conclude Cartabellotta – </w:t>
      </w:r>
      <w:r w:rsidR="00A8355F">
        <w:t>i</w:t>
      </w:r>
      <w:r w:rsidR="00A8355F" w:rsidRPr="004B794E">
        <w:t xml:space="preserve">l Presidente Draghi </w:t>
      </w:r>
      <w:r w:rsidRPr="004B794E">
        <w:t>ha indicato</w:t>
      </w:r>
      <w:r w:rsidR="00F4158A">
        <w:t xml:space="preserve"> nel</w:t>
      </w:r>
      <w:r w:rsidRPr="004B794E">
        <w:t xml:space="preserve">la lotta alla pandemia </w:t>
      </w:r>
      <w:r w:rsidR="00F4158A">
        <w:t>l’</w:t>
      </w:r>
      <w:r w:rsidRPr="004B794E">
        <w:t xml:space="preserve">obiettivo </w:t>
      </w:r>
      <w:r w:rsidR="009A5FA4" w:rsidRPr="004B794E">
        <w:t>prioritario</w:t>
      </w:r>
      <w:r w:rsidRPr="004B794E">
        <w:t xml:space="preserve"> del suo Governo</w:t>
      </w:r>
      <w:r w:rsidR="009A5FA4" w:rsidRPr="004B794E">
        <w:t>,</w:t>
      </w:r>
      <w:r w:rsidR="00A8355F">
        <w:t xml:space="preserve"> da attuarsi</w:t>
      </w:r>
      <w:r w:rsidR="009A5FA4" w:rsidRPr="004B794E">
        <w:t xml:space="preserve"> attraverso </w:t>
      </w:r>
      <w:r w:rsidR="000936E0">
        <w:t xml:space="preserve">il </w:t>
      </w:r>
      <w:r w:rsidR="009A5FA4" w:rsidRPr="004B794E">
        <w:t>potenziamento d</w:t>
      </w:r>
      <w:r w:rsidR="00363717">
        <w:t xml:space="preserve">i </w:t>
      </w:r>
      <w:r w:rsidR="00522A69" w:rsidRPr="004B794E">
        <w:t>forniture</w:t>
      </w:r>
      <w:r w:rsidR="009A5FA4" w:rsidRPr="004B794E">
        <w:t xml:space="preserve"> </w:t>
      </w:r>
      <w:r w:rsidR="000936E0">
        <w:t xml:space="preserve">e </w:t>
      </w:r>
      <w:r w:rsidR="009A5FA4" w:rsidRPr="004B794E">
        <w:t>somministra</w:t>
      </w:r>
      <w:r w:rsidR="000936E0">
        <w:t>zioni del vaccino</w:t>
      </w:r>
      <w:r w:rsidR="009A5FA4" w:rsidRPr="004B794E">
        <w:t xml:space="preserve">. </w:t>
      </w:r>
      <w:r w:rsidR="00985EAC" w:rsidRPr="004B794E">
        <w:t>Una strategia necessaria ma non sufficiente</w:t>
      </w:r>
      <w:r w:rsidR="00A8355F">
        <w:t xml:space="preserve">, considerato che l’attuale </w:t>
      </w:r>
      <w:r w:rsidR="00AE2551">
        <w:t>sistema</w:t>
      </w:r>
      <w:r w:rsidR="009A5FA4" w:rsidRPr="004B794E">
        <w:t xml:space="preserve"> </w:t>
      </w:r>
      <w:r w:rsidR="00522A69" w:rsidRPr="004B794E">
        <w:t>delle Regioni a colori,</w:t>
      </w:r>
      <w:r w:rsidR="009A5FA4" w:rsidRPr="004B794E">
        <w:t xml:space="preserve"> oltre ad esasperare i cittadini e a danneggiare le attività economiche</w:t>
      </w:r>
      <w:r w:rsidR="00985EAC" w:rsidRPr="004B794E">
        <w:t xml:space="preserve"> con decisioni </w:t>
      </w:r>
      <w:r w:rsidR="00985EAC" w:rsidRPr="007E3E1D">
        <w:rPr>
          <w:i/>
        </w:rPr>
        <w:t>last minute</w:t>
      </w:r>
      <w:r w:rsidR="00522A69" w:rsidRPr="004B794E">
        <w:t>,</w:t>
      </w:r>
      <w:r w:rsidR="009A5FA4" w:rsidRPr="004B794E">
        <w:t xml:space="preserve"> non </w:t>
      </w:r>
      <w:r w:rsidR="00AE2551">
        <w:t>è riuscito</w:t>
      </w:r>
      <w:r w:rsidR="004B794E" w:rsidRPr="004B794E">
        <w:t xml:space="preserve"> a piegare</w:t>
      </w:r>
      <w:r w:rsidR="00985EAC" w:rsidRPr="004B794E">
        <w:t xml:space="preserve"> la curva </w:t>
      </w:r>
      <w:r w:rsidR="009A5FA4" w:rsidRPr="004B794E">
        <w:t>dei contagi</w:t>
      </w:r>
      <w:r w:rsidR="00A01924">
        <w:t xml:space="preserve"> e mantiene ospedali e terapie intensive al limite della saturazione</w:t>
      </w:r>
      <w:r w:rsidR="00EB3EAD">
        <w:t xml:space="preserve">, con </w:t>
      </w:r>
      <w:r w:rsidR="009A5FA4" w:rsidRPr="004B794E">
        <w:t xml:space="preserve">la minaccia delle varianti che da un giorno all’altro potrebbero </w:t>
      </w:r>
      <w:r w:rsidR="00522A69" w:rsidRPr="004B794E">
        <w:t>mandare</w:t>
      </w:r>
      <w:r w:rsidR="009A5FA4" w:rsidRPr="004B794E">
        <w:t xml:space="preserve"> in tilt i servizi sanitari</w:t>
      </w:r>
      <w:r w:rsidR="00AA06EC" w:rsidRPr="004B794E">
        <w:t xml:space="preserve">. </w:t>
      </w:r>
      <w:r w:rsidR="00546DBB">
        <w:t xml:space="preserve">Ma </w:t>
      </w:r>
      <w:r w:rsidR="00810B31">
        <w:t>for</w:t>
      </w:r>
      <w:r w:rsidR="00546DBB">
        <w:t xml:space="preserve">se </w:t>
      </w:r>
      <w:r w:rsidR="000244BD">
        <w:t>la politica</w:t>
      </w:r>
      <w:r w:rsidR="00810B31">
        <w:t>, oltre a temere le conseguenze sociali</w:t>
      </w:r>
      <w:r w:rsidR="00D558BD">
        <w:t xml:space="preserve"> ed economiche di un nuovo</w:t>
      </w:r>
      <w:r w:rsidR="00810B31">
        <w:t xml:space="preserve"> </w:t>
      </w:r>
      <w:proofErr w:type="spellStart"/>
      <w:r w:rsidR="00810B31" w:rsidRPr="00810B31">
        <w:t>lockdown</w:t>
      </w:r>
      <w:proofErr w:type="spellEnd"/>
      <w:r w:rsidR="000244BD">
        <w:t>,</w:t>
      </w:r>
      <w:r w:rsidR="00EB3EAD">
        <w:t xml:space="preserve"> </w:t>
      </w:r>
      <w:r w:rsidR="00D558BD">
        <w:t>dubita</w:t>
      </w:r>
      <w:r w:rsidR="00EB3EAD">
        <w:t xml:space="preserve"> che il Paese </w:t>
      </w:r>
      <w:r w:rsidR="00D558BD">
        <w:t>sia</w:t>
      </w:r>
      <w:r w:rsidR="00EB3EAD">
        <w:t xml:space="preserve"> </w:t>
      </w:r>
      <w:r w:rsidR="00D558BD">
        <w:t xml:space="preserve">davvero </w:t>
      </w:r>
      <w:r w:rsidR="00EB3EAD">
        <w:t xml:space="preserve">pronto </w:t>
      </w:r>
      <w:r w:rsidR="00D558BD">
        <w:t>a perseguire</w:t>
      </w:r>
      <w:r w:rsidR="000C646F">
        <w:t xml:space="preserve"> l</w:t>
      </w:r>
      <w:r w:rsidR="00EB3EAD">
        <w:t>a strategia zero-COVID</w:t>
      </w:r>
      <w:r w:rsidRPr="004B794E">
        <w:t>».</w:t>
      </w:r>
    </w:p>
    <w:p w:rsidR="00115E64" w:rsidRPr="00625E38" w:rsidRDefault="00115E64" w:rsidP="00943563">
      <w:pPr>
        <w:spacing w:after="120" w:line="276" w:lineRule="auto"/>
        <w:rPr>
          <w:rFonts w:cstheme="minorHAnsi"/>
          <w:i/>
          <w:u w:val="single"/>
        </w:rPr>
      </w:pPr>
      <w:r w:rsidRPr="00497C09">
        <w:rPr>
          <w:rFonts w:cstheme="minorHAnsi"/>
          <w:i/>
        </w:rPr>
        <w:t xml:space="preserve">Il monitoraggio GIMBE dell'epidemia di COVID-19 è disponibile a: </w:t>
      </w:r>
      <w:hyperlink r:id="rId10" w:history="1">
        <w:r w:rsidRPr="00497C09">
          <w:rPr>
            <w:rStyle w:val="Collegamentoipertestuale"/>
            <w:rFonts w:cstheme="minorHAnsi"/>
            <w:i/>
          </w:rPr>
          <w:t>https://coronavirus.gimbe.org</w:t>
        </w:r>
      </w:hyperlink>
    </w:p>
    <w:p w:rsidR="001D225C" w:rsidRPr="00F94BB5" w:rsidRDefault="00115E64" w:rsidP="00F94BB5">
      <w:pPr>
        <w:spacing w:after="120"/>
        <w:rPr>
          <w:rFonts w:ascii="Calibri" w:eastAsia="Calibri" w:hAnsi="Calibri" w:cs="Times New Roman"/>
          <w:color w:val="0563C1" w:themeColor="hyperlink"/>
          <w:sz w:val="20"/>
          <w:u w:val="single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</w:rPr>
        <w:br/>
      </w:r>
      <w:r w:rsidRPr="00A24080">
        <w:rPr>
          <w:b/>
        </w:rPr>
        <w:t>Fondazione GIMBE</w:t>
      </w:r>
      <w:r>
        <w:rPr>
          <w:rFonts w:cstheme="minorHAnsi"/>
          <w:i/>
          <w:color w:val="0563C1" w:themeColor="hyperlink"/>
          <w:u w:val="single"/>
        </w:rPr>
        <w:br/>
      </w:r>
      <w:r w:rsidRPr="00652364">
        <w:rPr>
          <w:rFonts w:ascii="Calibri" w:eastAsia="Calibri" w:hAnsi="Calibri" w:cs="Times New Roman"/>
          <w:sz w:val="20"/>
        </w:rPr>
        <w:lastRenderedPageBreak/>
        <w:t>Via Amendola 2 - 40121 Bologna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1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002087" w:rsidRDefault="00002087" w:rsidP="00FF5B51">
      <w:pPr>
        <w:jc w:val="center"/>
        <w:rPr>
          <w:b/>
          <w:color w:val="00457D"/>
          <w:sz w:val="24"/>
        </w:rPr>
      </w:pPr>
    </w:p>
    <w:p w:rsidR="002F68CB" w:rsidRDefault="002F68CB" w:rsidP="00E92B03">
      <w:pPr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br w:type="page"/>
      </w:r>
    </w:p>
    <w:p w:rsidR="006E51B3" w:rsidRDefault="006E51B3" w:rsidP="00E92B03">
      <w:pPr>
        <w:jc w:val="center"/>
        <w:rPr>
          <w:b/>
          <w:color w:val="00457D"/>
          <w:sz w:val="24"/>
        </w:rPr>
      </w:pPr>
    </w:p>
    <w:p w:rsidR="00D86DE6" w:rsidRDefault="00D86DE6" w:rsidP="00E92B03">
      <w:pPr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t>Figura 1</w:t>
      </w:r>
      <w:r w:rsidR="00FF5F4C">
        <w:rPr>
          <w:b/>
          <w:color w:val="00457D"/>
          <w:sz w:val="24"/>
        </w:rPr>
        <w:t xml:space="preserve">. </w:t>
      </w:r>
      <w:r w:rsidR="00E92B03">
        <w:rPr>
          <w:b/>
          <w:color w:val="00457D"/>
          <w:sz w:val="24"/>
        </w:rPr>
        <w:t xml:space="preserve">Trend settimanale </w:t>
      </w:r>
      <w:r w:rsidR="00315C07">
        <w:rPr>
          <w:b/>
          <w:color w:val="00457D"/>
          <w:sz w:val="24"/>
        </w:rPr>
        <w:t xml:space="preserve">dei </w:t>
      </w:r>
      <w:r w:rsidR="00E92B03">
        <w:rPr>
          <w:b/>
          <w:color w:val="00457D"/>
          <w:sz w:val="24"/>
        </w:rPr>
        <w:t>nuovi casi</w:t>
      </w:r>
      <w:r w:rsidR="00AD7AF9">
        <w:rPr>
          <w:b/>
          <w:color w:val="00457D"/>
          <w:sz w:val="24"/>
        </w:rPr>
        <w:br/>
      </w:r>
      <w:r w:rsidR="00E92B03">
        <w:rPr>
          <w:b/>
          <w:noProof/>
          <w:color w:val="00457D"/>
          <w:sz w:val="24"/>
          <w:lang w:eastAsia="it-IT"/>
        </w:rPr>
        <w:drawing>
          <wp:inline distT="0" distB="0" distL="0" distR="0" wp14:anchorId="55A50555" wp14:editId="36CA5FB4">
            <wp:extent cx="5760000" cy="287788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77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DE6" w:rsidRDefault="00D86DE6" w:rsidP="00891F25">
      <w:pPr>
        <w:rPr>
          <w:b/>
          <w:color w:val="00457D"/>
          <w:sz w:val="24"/>
        </w:rPr>
      </w:pPr>
    </w:p>
    <w:p w:rsidR="003F2406" w:rsidRDefault="003F2406" w:rsidP="003F2406">
      <w:pPr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br/>
      </w:r>
    </w:p>
    <w:p w:rsidR="003F2406" w:rsidRDefault="003F2406" w:rsidP="003F2406">
      <w:pPr>
        <w:jc w:val="center"/>
        <w:rPr>
          <w:b/>
          <w:color w:val="00457D"/>
          <w:sz w:val="24"/>
        </w:rPr>
        <w:sectPr w:rsidR="003F2406" w:rsidSect="00115E64">
          <w:footnotePr>
            <w:numFmt w:val="chicago"/>
          </w:footnotePr>
          <w:pgSz w:w="11906" w:h="16838"/>
          <w:pgMar w:top="993" w:right="1134" w:bottom="709" w:left="1134" w:header="709" w:footer="836" w:gutter="0"/>
          <w:cols w:space="708"/>
          <w:docGrid w:linePitch="360"/>
        </w:sectPr>
      </w:pPr>
    </w:p>
    <w:p w:rsidR="001A0514" w:rsidRDefault="00BF6DF7" w:rsidP="00891F25">
      <w:pPr>
        <w:spacing w:after="0" w:line="360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 xml:space="preserve">Figura </w:t>
      </w:r>
      <w:r w:rsidR="001A0514">
        <w:rPr>
          <w:b/>
          <w:color w:val="00457D"/>
          <w:sz w:val="24"/>
        </w:rPr>
        <w:t>2</w:t>
      </w:r>
      <w:r w:rsidR="00315C07">
        <w:rPr>
          <w:b/>
          <w:color w:val="00457D"/>
          <w:sz w:val="24"/>
        </w:rPr>
        <w:t xml:space="preserve">. </w:t>
      </w:r>
      <w:r w:rsidR="00E92B03">
        <w:rPr>
          <w:b/>
          <w:color w:val="00457D"/>
          <w:sz w:val="24"/>
        </w:rPr>
        <w:t>Trend settimanale di casi attualmente positivi, isolamento domiciliare, ricoveri con sintomi, terapie intensive</w:t>
      </w:r>
    </w:p>
    <w:p w:rsidR="00E92B03" w:rsidRPr="00891F25" w:rsidRDefault="00E92B03" w:rsidP="00891F25">
      <w:pPr>
        <w:spacing w:after="0" w:line="360" w:lineRule="auto"/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 wp14:anchorId="0CC63D5B" wp14:editId="2C2C920B">
            <wp:extent cx="9360000" cy="4675028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675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1F25" w:rsidRPr="00080306" w:rsidRDefault="00891F25" w:rsidP="00080306">
      <w:pPr>
        <w:spacing w:after="0" w:line="360" w:lineRule="auto"/>
        <w:jc w:val="center"/>
        <w:rPr>
          <w:b/>
          <w:color w:val="FF0000"/>
          <w:sz w:val="24"/>
        </w:rPr>
        <w:sectPr w:rsidR="00891F25" w:rsidRPr="00080306" w:rsidSect="00B76C0E">
          <w:footnotePr>
            <w:numFmt w:val="chicago"/>
          </w:footnotePr>
          <w:pgSz w:w="16838" w:h="11906" w:orient="landscape"/>
          <w:pgMar w:top="1134" w:right="709" w:bottom="1134" w:left="992" w:header="709" w:footer="833" w:gutter="0"/>
          <w:cols w:space="708"/>
          <w:docGrid w:linePitch="360"/>
        </w:sectPr>
      </w:pPr>
    </w:p>
    <w:p w:rsidR="003A67B3" w:rsidRDefault="006E51B3" w:rsidP="003A67B3">
      <w:pPr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>Figura 3</w:t>
      </w:r>
      <w:r w:rsidR="00315C07">
        <w:rPr>
          <w:b/>
          <w:color w:val="00457D"/>
          <w:sz w:val="24"/>
        </w:rPr>
        <w:t xml:space="preserve">. </w:t>
      </w:r>
      <w:r w:rsidR="003A67B3">
        <w:rPr>
          <w:b/>
          <w:color w:val="00457D"/>
          <w:sz w:val="24"/>
        </w:rPr>
        <w:t>Trend settimanale decessi</w:t>
      </w:r>
      <w:r w:rsidR="003A67B3">
        <w:rPr>
          <w:b/>
          <w:color w:val="00457D"/>
          <w:sz w:val="24"/>
        </w:rPr>
        <w:br/>
      </w:r>
      <w:r w:rsidR="003A67B3">
        <w:rPr>
          <w:b/>
          <w:noProof/>
          <w:color w:val="00457D"/>
          <w:sz w:val="24"/>
          <w:lang w:eastAsia="it-IT"/>
        </w:rPr>
        <w:drawing>
          <wp:inline distT="0" distB="0" distL="0" distR="0" wp14:anchorId="44EB7C7F" wp14:editId="1913FF70">
            <wp:extent cx="5760000" cy="283983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39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7B3" w:rsidRDefault="003A67B3" w:rsidP="003A67B3">
      <w:pPr>
        <w:jc w:val="center"/>
        <w:rPr>
          <w:b/>
          <w:color w:val="00457D"/>
          <w:sz w:val="24"/>
        </w:rPr>
      </w:pPr>
    </w:p>
    <w:p w:rsidR="00F530A0" w:rsidRDefault="00F530A0" w:rsidP="00326B4D">
      <w:pPr>
        <w:spacing w:after="0" w:line="240" w:lineRule="auto"/>
        <w:jc w:val="center"/>
        <w:rPr>
          <w:b/>
          <w:color w:val="00457D"/>
          <w:sz w:val="24"/>
        </w:rPr>
      </w:pPr>
      <w:r w:rsidRPr="00C55820">
        <w:rPr>
          <w:b/>
          <w:color w:val="00457D"/>
          <w:sz w:val="24"/>
        </w:rPr>
        <w:t xml:space="preserve">Figura </w:t>
      </w:r>
      <w:r>
        <w:rPr>
          <w:b/>
          <w:color w:val="00457D"/>
          <w:sz w:val="24"/>
        </w:rPr>
        <w:t>4</w:t>
      </w:r>
      <w:r w:rsidR="00315C07">
        <w:rPr>
          <w:b/>
          <w:color w:val="00457D"/>
          <w:sz w:val="24"/>
        </w:rPr>
        <w:t xml:space="preserve">. </w:t>
      </w:r>
      <w:r w:rsidR="003A67B3">
        <w:rPr>
          <w:b/>
          <w:color w:val="00457D"/>
          <w:sz w:val="24"/>
        </w:rPr>
        <w:t xml:space="preserve">Dosi di vaccino </w:t>
      </w:r>
      <w:r w:rsidR="003A67B3" w:rsidRPr="003A67B3">
        <w:rPr>
          <w:b/>
          <w:color w:val="00457D"/>
          <w:sz w:val="24"/>
        </w:rPr>
        <w:t>consegn</w:t>
      </w:r>
      <w:r w:rsidR="003A67B3">
        <w:rPr>
          <w:b/>
          <w:color w:val="00457D"/>
          <w:sz w:val="24"/>
        </w:rPr>
        <w:t>ate e somministrate per settimana</w:t>
      </w:r>
    </w:p>
    <w:p w:rsidR="00F530A0" w:rsidRDefault="002C435F" w:rsidP="0065595A">
      <w:pPr>
        <w:spacing w:after="0" w:line="240" w:lineRule="auto"/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 wp14:anchorId="2F3B235C" wp14:editId="0AC858B1">
            <wp:extent cx="5760000" cy="25370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53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0A0" w:rsidRDefault="00F530A0" w:rsidP="0065595A">
      <w:pPr>
        <w:spacing w:after="0" w:line="240" w:lineRule="auto"/>
        <w:jc w:val="center"/>
        <w:rPr>
          <w:b/>
          <w:color w:val="00457D"/>
          <w:sz w:val="24"/>
        </w:rPr>
      </w:pPr>
    </w:p>
    <w:p w:rsidR="00F530A0" w:rsidRDefault="00F530A0" w:rsidP="0065595A">
      <w:pPr>
        <w:spacing w:after="0" w:line="240" w:lineRule="auto"/>
        <w:jc w:val="center"/>
        <w:rPr>
          <w:b/>
          <w:color w:val="00457D"/>
          <w:sz w:val="24"/>
        </w:rPr>
      </w:pPr>
    </w:p>
    <w:p w:rsidR="00F530A0" w:rsidRDefault="00F530A0" w:rsidP="0065595A">
      <w:pPr>
        <w:spacing w:after="0" w:line="240" w:lineRule="auto"/>
        <w:jc w:val="center"/>
        <w:rPr>
          <w:b/>
          <w:color w:val="00457D"/>
          <w:sz w:val="24"/>
        </w:rPr>
      </w:pPr>
    </w:p>
    <w:p w:rsidR="00F530A0" w:rsidRDefault="00F530A0" w:rsidP="0065595A">
      <w:pPr>
        <w:spacing w:after="0" w:line="240" w:lineRule="auto"/>
        <w:jc w:val="center"/>
        <w:rPr>
          <w:b/>
          <w:color w:val="00457D"/>
          <w:sz w:val="24"/>
        </w:rPr>
      </w:pPr>
    </w:p>
    <w:p w:rsidR="001A0514" w:rsidRDefault="001A0514" w:rsidP="0065595A">
      <w:pPr>
        <w:spacing w:after="0" w:line="240" w:lineRule="auto"/>
        <w:jc w:val="center"/>
        <w:rPr>
          <w:b/>
          <w:color w:val="00457D"/>
          <w:sz w:val="24"/>
        </w:rPr>
      </w:pPr>
      <w:r w:rsidRPr="00C55820">
        <w:rPr>
          <w:b/>
          <w:color w:val="00457D"/>
          <w:sz w:val="24"/>
        </w:rPr>
        <w:lastRenderedPageBreak/>
        <w:t xml:space="preserve">Figura </w:t>
      </w:r>
      <w:r w:rsidR="00F530A0">
        <w:rPr>
          <w:b/>
          <w:color w:val="00457D"/>
          <w:sz w:val="24"/>
        </w:rPr>
        <w:t>5</w:t>
      </w:r>
      <w:r w:rsidR="0065595A" w:rsidRPr="00C55820">
        <w:rPr>
          <w:b/>
          <w:color w:val="00457D"/>
          <w:sz w:val="24"/>
        </w:rPr>
        <w:br/>
      </w:r>
      <w:r w:rsidR="002C435F">
        <w:rPr>
          <w:b/>
          <w:noProof/>
          <w:color w:val="00457D"/>
          <w:sz w:val="24"/>
          <w:lang w:eastAsia="it-IT"/>
        </w:rPr>
        <w:drawing>
          <wp:inline distT="0" distB="0" distL="0" distR="0" wp14:anchorId="617A5C82" wp14:editId="2E3BC304">
            <wp:extent cx="5760000" cy="47450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7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514" w:rsidRDefault="001A0514" w:rsidP="001A0514">
      <w:pPr>
        <w:spacing w:line="240" w:lineRule="auto"/>
        <w:jc w:val="center"/>
        <w:rPr>
          <w:b/>
          <w:color w:val="00457D"/>
          <w:sz w:val="24"/>
        </w:rPr>
      </w:pPr>
    </w:p>
    <w:p w:rsidR="003A67B3" w:rsidRPr="003A67B3" w:rsidRDefault="003A67B3" w:rsidP="003A67B3">
      <w:pPr>
        <w:spacing w:after="0" w:line="240" w:lineRule="auto"/>
        <w:jc w:val="center"/>
        <w:rPr>
          <w:b/>
          <w:sz w:val="24"/>
        </w:rPr>
      </w:pPr>
      <w:r w:rsidRPr="00C55820">
        <w:rPr>
          <w:b/>
          <w:color w:val="00457D"/>
          <w:sz w:val="24"/>
        </w:rPr>
        <w:t xml:space="preserve">Figura </w:t>
      </w:r>
      <w:r>
        <w:rPr>
          <w:b/>
          <w:color w:val="00457D"/>
          <w:sz w:val="24"/>
        </w:rPr>
        <w:t>6</w:t>
      </w:r>
      <w:r w:rsidRPr="00C55820">
        <w:rPr>
          <w:b/>
          <w:color w:val="00457D"/>
          <w:sz w:val="24"/>
        </w:rPr>
        <w:t>. Percentuali di dosi di vaccino somministrate per categoria</w:t>
      </w:r>
      <w:r w:rsidRPr="00C55820">
        <w:rPr>
          <w:b/>
          <w:color w:val="00457D"/>
          <w:sz w:val="24"/>
        </w:rPr>
        <w:br/>
      </w:r>
      <w:r w:rsidR="002C435F">
        <w:rPr>
          <w:b/>
          <w:noProof/>
          <w:color w:val="00457D"/>
          <w:sz w:val="24"/>
          <w:lang w:eastAsia="it-IT"/>
        </w:rPr>
        <w:drawing>
          <wp:inline distT="0" distB="0" distL="0" distR="0" wp14:anchorId="5691C2A6" wp14:editId="30E549A6">
            <wp:extent cx="5760000" cy="3890782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90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514" w:rsidRPr="00010725" w:rsidRDefault="001A0514">
      <w:pPr>
        <w:rPr>
          <w:b/>
          <w:color w:val="00457D"/>
          <w:sz w:val="24"/>
        </w:rPr>
        <w:sectPr w:rsidR="001A0514" w:rsidRPr="00010725" w:rsidSect="001A0514">
          <w:footnotePr>
            <w:numFmt w:val="chicago"/>
          </w:footnotePr>
          <w:pgSz w:w="11906" w:h="16838"/>
          <w:pgMar w:top="709" w:right="1134" w:bottom="992" w:left="1134" w:header="709" w:footer="833" w:gutter="0"/>
          <w:cols w:space="708"/>
          <w:docGrid w:linePitch="360"/>
        </w:sectPr>
      </w:pPr>
    </w:p>
    <w:p w:rsidR="0099708D" w:rsidRPr="00D54A93" w:rsidRDefault="001A0514" w:rsidP="0099708D">
      <w:pPr>
        <w:spacing w:after="0" w:line="276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>T</w:t>
      </w:r>
      <w:r w:rsidR="0099708D" w:rsidRPr="00D54A93">
        <w:rPr>
          <w:b/>
          <w:color w:val="00457D"/>
          <w:sz w:val="24"/>
        </w:rPr>
        <w:t>abella</w:t>
      </w:r>
      <w:r w:rsidR="00080306">
        <w:rPr>
          <w:b/>
          <w:color w:val="00457D"/>
          <w:sz w:val="24"/>
        </w:rPr>
        <w:t xml:space="preserve"> 1</w:t>
      </w:r>
      <w:r w:rsidR="0099708D" w:rsidRPr="00D54A93">
        <w:rPr>
          <w:b/>
          <w:color w:val="00457D"/>
          <w:sz w:val="24"/>
        </w:rPr>
        <w:t xml:space="preserve">. Indicatori regionali: settimana </w:t>
      </w:r>
      <w:r w:rsidR="00E92B03">
        <w:rPr>
          <w:b/>
          <w:color w:val="00457D"/>
          <w:sz w:val="24"/>
        </w:rPr>
        <w:t>10-16</w:t>
      </w:r>
      <w:r w:rsidR="00C55820">
        <w:rPr>
          <w:b/>
          <w:color w:val="00457D"/>
          <w:sz w:val="24"/>
        </w:rPr>
        <w:t xml:space="preserve"> febbraio 2021</w:t>
      </w:r>
    </w:p>
    <w:tbl>
      <w:tblPr>
        <w:tblW w:w="5001" w:type="pct"/>
        <w:tblInd w:w="-2" w:type="dxa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033"/>
        <w:gridCol w:w="2514"/>
        <w:gridCol w:w="1968"/>
        <w:gridCol w:w="2365"/>
        <w:gridCol w:w="2698"/>
        <w:gridCol w:w="2698"/>
      </w:tblGrid>
      <w:tr w:rsidR="007623CD" w:rsidTr="007623CD">
        <w:trPr>
          <w:trHeight w:val="329"/>
        </w:trPr>
        <w:tc>
          <w:tcPr>
            <w:tcW w:w="993" w:type="pct"/>
            <w:tcBorders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7623CD" w:rsidRDefault="007623CD" w:rsidP="007623CD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R</w:t>
            </w:r>
            <w:r w:rsidRPr="008462D0">
              <w:rPr>
                <w:rFonts w:ascii="Calibri" w:eastAsia="Times New Roman" w:hAnsi="Calibri" w:cs="Calibri"/>
                <w:b/>
                <w:bCs/>
                <w:color w:val="FFFFFF"/>
              </w:rPr>
              <w:t>egione</w:t>
            </w:r>
          </w:p>
        </w:tc>
        <w:tc>
          <w:tcPr>
            <w:tcW w:w="8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7623CD" w:rsidRDefault="007623CD" w:rsidP="007623C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>Casi attualmente positivi per 100.000 abitanti</w:t>
            </w:r>
          </w:p>
        </w:tc>
        <w:tc>
          <w:tcPr>
            <w:tcW w:w="64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7623CD" w:rsidRDefault="007623CD" w:rsidP="007623C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Incremento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% casi</w:t>
            </w:r>
          </w:p>
        </w:tc>
        <w:tc>
          <w:tcPr>
            <w:tcW w:w="77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7623CD" w:rsidRDefault="007623CD" w:rsidP="007623C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Persone testate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>per 100.000 abitanti</w:t>
            </w:r>
          </w:p>
        </w:tc>
        <w:tc>
          <w:tcPr>
            <w:tcW w:w="88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7623CD" w:rsidRDefault="007623CD" w:rsidP="007623C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osti letto in area medica occupati da pazienti COVID−19</w:t>
            </w:r>
          </w:p>
        </w:tc>
        <w:tc>
          <w:tcPr>
            <w:tcW w:w="883" w:type="pct"/>
            <w:tcBorders>
              <w:lef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7623CD" w:rsidRDefault="007623CD" w:rsidP="007623C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osti letto in terapia intensiva occupati da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br/>
              <w:t>pazienti COVID−19</w:t>
            </w:r>
          </w:p>
        </w:tc>
      </w:tr>
      <w:tr w:rsidR="006E3EE0" w:rsidTr="004977C2">
        <w:trPr>
          <w:trHeight w:val="329"/>
        </w:trPr>
        <w:tc>
          <w:tcPr>
            <w:tcW w:w="993" w:type="pct"/>
            <w:shd w:val="clear" w:color="auto" w:fill="auto"/>
            <w:noWrap/>
            <w:vAlign w:val="center"/>
            <w:hideMark/>
          </w:tcPr>
          <w:p w:rsidR="006E3EE0" w:rsidRDefault="006E3EE0" w:rsidP="006E3EE0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Abruzzo</w:t>
            </w:r>
          </w:p>
        </w:tc>
        <w:tc>
          <w:tcPr>
            <w:tcW w:w="823" w:type="pct"/>
            <w:shd w:val="clear" w:color="auto" w:fill="FFC7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 w:rsidRPr="00E92B03">
              <w:rPr>
                <w:rFonts w:ascii="Calibri" w:hAnsi="Calibri" w:cs="Calibri"/>
                <w:color w:val="9C0006"/>
              </w:rPr>
              <w:t>951</w:t>
            </w:r>
          </w:p>
        </w:tc>
        <w:tc>
          <w:tcPr>
            <w:tcW w:w="644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006100"/>
              </w:rPr>
              <w:t>5,9%</w:t>
            </w:r>
          </w:p>
        </w:tc>
        <w:tc>
          <w:tcPr>
            <w:tcW w:w="774" w:type="pct"/>
            <w:shd w:val="clear" w:color="auto" w:fill="C6EFCE"/>
            <w:noWrap/>
            <w:vAlign w:val="center"/>
            <w:hideMark/>
          </w:tcPr>
          <w:p w:rsidR="006E3EE0" w:rsidRPr="007623CD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7623CD">
              <w:rPr>
                <w:rFonts w:ascii="Calibri" w:hAnsi="Calibri" w:cs="Calibri"/>
                <w:color w:val="006100"/>
              </w:rPr>
              <w:t>3.331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36%</w:t>
            </w:r>
          </w:p>
        </w:tc>
        <w:tc>
          <w:tcPr>
            <w:tcW w:w="883" w:type="pct"/>
            <w:shd w:val="clear" w:color="000000" w:fill="FFC7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34%</w:t>
            </w:r>
          </w:p>
        </w:tc>
      </w:tr>
      <w:tr w:rsidR="006E3EE0" w:rsidTr="004977C2">
        <w:trPr>
          <w:trHeight w:val="329"/>
        </w:trPr>
        <w:tc>
          <w:tcPr>
            <w:tcW w:w="993" w:type="pct"/>
            <w:shd w:val="clear" w:color="auto" w:fill="auto"/>
            <w:noWrap/>
            <w:vAlign w:val="center"/>
            <w:hideMark/>
          </w:tcPr>
          <w:p w:rsidR="006E3EE0" w:rsidRDefault="006E3EE0" w:rsidP="006E3EE0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Basilicata</w:t>
            </w:r>
          </w:p>
        </w:tc>
        <w:tc>
          <w:tcPr>
            <w:tcW w:w="823" w:type="pct"/>
            <w:shd w:val="clear" w:color="auto" w:fill="FFC7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 w:rsidRPr="00E92B03">
              <w:rPr>
                <w:rFonts w:ascii="Calibri" w:hAnsi="Calibri" w:cs="Calibri"/>
                <w:color w:val="9C0006"/>
              </w:rPr>
              <w:t>625</w:t>
            </w:r>
          </w:p>
        </w:tc>
        <w:tc>
          <w:tcPr>
            <w:tcW w:w="644" w:type="pct"/>
            <w:shd w:val="clear" w:color="auto" w:fill="FFC7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7623CD">
              <w:rPr>
                <w:rFonts w:ascii="Calibri" w:hAnsi="Calibri" w:cs="Calibri"/>
                <w:color w:val="9C0006"/>
              </w:rPr>
              <w:t>4,2%</w:t>
            </w:r>
          </w:p>
        </w:tc>
        <w:tc>
          <w:tcPr>
            <w:tcW w:w="774" w:type="pct"/>
            <w:shd w:val="clear" w:color="auto" w:fill="FFC7CE"/>
            <w:noWrap/>
            <w:vAlign w:val="center"/>
            <w:hideMark/>
          </w:tcPr>
          <w:p w:rsidR="006E3EE0" w:rsidRPr="007623CD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 w:rsidRPr="007623CD">
              <w:rPr>
                <w:rFonts w:ascii="Calibri" w:hAnsi="Calibri" w:cs="Calibri"/>
                <w:color w:val="9C0006"/>
              </w:rPr>
              <w:t>602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17%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8%</w:t>
            </w:r>
          </w:p>
        </w:tc>
      </w:tr>
      <w:tr w:rsidR="006E3EE0" w:rsidTr="004977C2">
        <w:trPr>
          <w:trHeight w:val="329"/>
        </w:trPr>
        <w:tc>
          <w:tcPr>
            <w:tcW w:w="993" w:type="pct"/>
            <w:shd w:val="clear" w:color="auto" w:fill="auto"/>
            <w:noWrap/>
            <w:vAlign w:val="center"/>
            <w:hideMark/>
          </w:tcPr>
          <w:p w:rsidR="006E3EE0" w:rsidRDefault="006E3EE0" w:rsidP="006E3EE0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Calabria</w:t>
            </w:r>
          </w:p>
        </w:tc>
        <w:tc>
          <w:tcPr>
            <w:tcW w:w="823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006100"/>
              </w:rPr>
              <w:t>352</w:t>
            </w:r>
          </w:p>
        </w:tc>
        <w:tc>
          <w:tcPr>
            <w:tcW w:w="644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006100"/>
              </w:rPr>
              <w:t>3,6%</w:t>
            </w:r>
          </w:p>
        </w:tc>
        <w:tc>
          <w:tcPr>
            <w:tcW w:w="774" w:type="pct"/>
            <w:shd w:val="clear" w:color="auto" w:fill="FFC7CE"/>
            <w:noWrap/>
            <w:vAlign w:val="center"/>
            <w:hideMark/>
          </w:tcPr>
          <w:p w:rsidR="006E3EE0" w:rsidRPr="007623CD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 w:rsidRPr="007623CD">
              <w:rPr>
                <w:rFonts w:ascii="Calibri" w:hAnsi="Calibri" w:cs="Calibri"/>
                <w:color w:val="9C0006"/>
              </w:rPr>
              <w:t>802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22%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13%</w:t>
            </w:r>
          </w:p>
        </w:tc>
      </w:tr>
      <w:tr w:rsidR="006E3EE0" w:rsidTr="004977C2">
        <w:trPr>
          <w:trHeight w:val="329"/>
        </w:trPr>
        <w:tc>
          <w:tcPr>
            <w:tcW w:w="993" w:type="pct"/>
            <w:shd w:val="clear" w:color="auto" w:fill="auto"/>
            <w:noWrap/>
            <w:vAlign w:val="center"/>
            <w:hideMark/>
          </w:tcPr>
          <w:p w:rsidR="006E3EE0" w:rsidRDefault="006E3EE0" w:rsidP="006E3EE0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Campania</w:t>
            </w:r>
          </w:p>
        </w:tc>
        <w:tc>
          <w:tcPr>
            <w:tcW w:w="823" w:type="pct"/>
            <w:shd w:val="clear" w:color="auto" w:fill="FFC7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9C0006"/>
              </w:rPr>
              <w:t>1.208</w:t>
            </w:r>
          </w:p>
        </w:tc>
        <w:tc>
          <w:tcPr>
            <w:tcW w:w="644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006100"/>
              </w:rPr>
              <w:t>4,5%</w:t>
            </w:r>
          </w:p>
        </w:tc>
        <w:tc>
          <w:tcPr>
            <w:tcW w:w="774" w:type="pct"/>
            <w:shd w:val="clear" w:color="auto" w:fill="FFC7CE"/>
            <w:noWrap/>
            <w:vAlign w:val="center"/>
            <w:hideMark/>
          </w:tcPr>
          <w:p w:rsidR="006E3EE0" w:rsidRPr="007623CD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 w:rsidRPr="007623CD">
              <w:rPr>
                <w:rFonts w:ascii="Calibri" w:hAnsi="Calibri" w:cs="Calibri"/>
                <w:color w:val="9C0006"/>
              </w:rPr>
              <w:t>1.338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31%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17%</w:t>
            </w:r>
          </w:p>
        </w:tc>
      </w:tr>
      <w:tr w:rsidR="006E3EE0" w:rsidTr="004977C2">
        <w:trPr>
          <w:trHeight w:val="329"/>
        </w:trPr>
        <w:tc>
          <w:tcPr>
            <w:tcW w:w="993" w:type="pct"/>
            <w:shd w:val="clear" w:color="auto" w:fill="auto"/>
            <w:noWrap/>
            <w:vAlign w:val="center"/>
            <w:hideMark/>
          </w:tcPr>
          <w:p w:rsidR="006E3EE0" w:rsidRDefault="006E3EE0" w:rsidP="006E3EE0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Emilia Romagna</w:t>
            </w:r>
          </w:p>
        </w:tc>
        <w:tc>
          <w:tcPr>
            <w:tcW w:w="823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006100"/>
              </w:rPr>
              <w:t>830</w:t>
            </w:r>
          </w:p>
        </w:tc>
        <w:tc>
          <w:tcPr>
            <w:tcW w:w="644" w:type="pct"/>
            <w:shd w:val="clear" w:color="auto" w:fill="FFEB9C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9C6500"/>
              </w:rPr>
              <w:t>3,9%</w:t>
            </w:r>
          </w:p>
        </w:tc>
        <w:tc>
          <w:tcPr>
            <w:tcW w:w="774" w:type="pct"/>
            <w:shd w:val="clear" w:color="auto" w:fill="C6EFCE"/>
            <w:noWrap/>
            <w:vAlign w:val="center"/>
            <w:hideMark/>
          </w:tcPr>
          <w:p w:rsidR="006E3EE0" w:rsidRPr="007623CD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7623CD">
              <w:rPr>
                <w:rFonts w:ascii="Calibri" w:hAnsi="Calibri" w:cs="Calibri"/>
                <w:color w:val="006100"/>
              </w:rPr>
              <w:t>781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32%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23%</w:t>
            </w:r>
          </w:p>
        </w:tc>
      </w:tr>
      <w:tr w:rsidR="006E3EE0" w:rsidTr="004977C2">
        <w:trPr>
          <w:trHeight w:val="329"/>
        </w:trPr>
        <w:tc>
          <w:tcPr>
            <w:tcW w:w="993" w:type="pct"/>
            <w:shd w:val="clear" w:color="auto" w:fill="auto"/>
            <w:noWrap/>
            <w:vAlign w:val="center"/>
            <w:hideMark/>
          </w:tcPr>
          <w:p w:rsidR="006E3EE0" w:rsidRDefault="006E3EE0" w:rsidP="006E3EE0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Friuli Venezia Giulia</w:t>
            </w:r>
          </w:p>
        </w:tc>
        <w:tc>
          <w:tcPr>
            <w:tcW w:w="823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006100"/>
              </w:rPr>
              <w:t>785</w:t>
            </w:r>
          </w:p>
        </w:tc>
        <w:tc>
          <w:tcPr>
            <w:tcW w:w="644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006100"/>
              </w:rPr>
              <w:t>2,8%</w:t>
            </w:r>
          </w:p>
        </w:tc>
        <w:tc>
          <w:tcPr>
            <w:tcW w:w="774" w:type="pct"/>
            <w:shd w:val="clear" w:color="auto" w:fill="FFC7CE"/>
            <w:noWrap/>
            <w:vAlign w:val="center"/>
            <w:hideMark/>
          </w:tcPr>
          <w:p w:rsidR="006E3EE0" w:rsidRPr="007623CD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 w:rsidRPr="007623CD">
              <w:rPr>
                <w:rFonts w:ascii="Calibri" w:hAnsi="Calibri" w:cs="Calibri"/>
                <w:color w:val="9C0006"/>
              </w:rPr>
              <w:t>1.237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31%</w:t>
            </w:r>
          </w:p>
        </w:tc>
        <w:tc>
          <w:tcPr>
            <w:tcW w:w="883" w:type="pct"/>
            <w:shd w:val="clear" w:color="000000" w:fill="FFC7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34%</w:t>
            </w:r>
          </w:p>
        </w:tc>
      </w:tr>
      <w:tr w:rsidR="006E3EE0" w:rsidTr="004977C2">
        <w:trPr>
          <w:trHeight w:val="329"/>
        </w:trPr>
        <w:tc>
          <w:tcPr>
            <w:tcW w:w="993" w:type="pct"/>
            <w:shd w:val="clear" w:color="auto" w:fill="auto"/>
            <w:noWrap/>
            <w:vAlign w:val="center"/>
            <w:hideMark/>
          </w:tcPr>
          <w:p w:rsidR="006E3EE0" w:rsidRDefault="006E3EE0" w:rsidP="006E3EE0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Lazio</w:t>
            </w:r>
          </w:p>
        </w:tc>
        <w:tc>
          <w:tcPr>
            <w:tcW w:w="823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006100"/>
              </w:rPr>
              <w:t>647</w:t>
            </w:r>
          </w:p>
        </w:tc>
        <w:tc>
          <w:tcPr>
            <w:tcW w:w="644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006100"/>
              </w:rPr>
              <w:t>3,2%</w:t>
            </w:r>
          </w:p>
        </w:tc>
        <w:tc>
          <w:tcPr>
            <w:tcW w:w="774" w:type="pct"/>
            <w:shd w:val="clear" w:color="auto" w:fill="FFC7CE"/>
            <w:noWrap/>
            <w:vAlign w:val="center"/>
            <w:hideMark/>
          </w:tcPr>
          <w:p w:rsidR="006E3EE0" w:rsidRPr="007623CD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 w:rsidRPr="007623CD">
              <w:rPr>
                <w:rFonts w:ascii="Calibri" w:hAnsi="Calibri" w:cs="Calibri"/>
                <w:color w:val="9C0006"/>
              </w:rPr>
              <w:t>1.978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32%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27%</w:t>
            </w:r>
          </w:p>
        </w:tc>
      </w:tr>
      <w:tr w:rsidR="006E3EE0" w:rsidTr="004977C2">
        <w:trPr>
          <w:trHeight w:val="329"/>
        </w:trPr>
        <w:tc>
          <w:tcPr>
            <w:tcW w:w="993" w:type="pct"/>
            <w:shd w:val="clear" w:color="auto" w:fill="auto"/>
            <w:noWrap/>
            <w:vAlign w:val="center"/>
            <w:hideMark/>
          </w:tcPr>
          <w:p w:rsidR="006E3EE0" w:rsidRDefault="006E3EE0" w:rsidP="006E3EE0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Liguria</w:t>
            </w:r>
          </w:p>
        </w:tc>
        <w:tc>
          <w:tcPr>
            <w:tcW w:w="823" w:type="pct"/>
            <w:shd w:val="clear" w:color="auto" w:fill="FFC7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 w:rsidRPr="00E92B03">
              <w:rPr>
                <w:rFonts w:ascii="Calibri" w:hAnsi="Calibri" w:cs="Calibri"/>
                <w:color w:val="9C0006"/>
              </w:rPr>
              <w:t>325</w:t>
            </w:r>
          </w:p>
        </w:tc>
        <w:tc>
          <w:tcPr>
            <w:tcW w:w="644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006100"/>
              </w:rPr>
              <w:t>2,8%</w:t>
            </w:r>
          </w:p>
        </w:tc>
        <w:tc>
          <w:tcPr>
            <w:tcW w:w="774" w:type="pct"/>
            <w:shd w:val="clear" w:color="auto" w:fill="C6EFCE"/>
            <w:noWrap/>
            <w:vAlign w:val="center"/>
            <w:hideMark/>
          </w:tcPr>
          <w:p w:rsidR="006E3EE0" w:rsidRPr="007623CD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7623CD">
              <w:rPr>
                <w:rFonts w:ascii="Calibri" w:hAnsi="Calibri" w:cs="Calibri"/>
                <w:color w:val="006100"/>
              </w:rPr>
              <w:t>1.046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33%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27%</w:t>
            </w:r>
          </w:p>
        </w:tc>
      </w:tr>
      <w:tr w:rsidR="006E3EE0" w:rsidTr="004977C2">
        <w:trPr>
          <w:trHeight w:val="329"/>
        </w:trPr>
        <w:tc>
          <w:tcPr>
            <w:tcW w:w="993" w:type="pct"/>
            <w:shd w:val="clear" w:color="auto" w:fill="auto"/>
            <w:noWrap/>
            <w:vAlign w:val="center"/>
            <w:hideMark/>
          </w:tcPr>
          <w:p w:rsidR="006E3EE0" w:rsidRDefault="006E3EE0" w:rsidP="006E3EE0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Lombardia</w:t>
            </w:r>
          </w:p>
        </w:tc>
        <w:tc>
          <w:tcPr>
            <w:tcW w:w="823" w:type="pct"/>
            <w:shd w:val="clear" w:color="auto" w:fill="FFC7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 w:rsidRPr="00E92B03">
              <w:rPr>
                <w:rFonts w:ascii="Calibri" w:hAnsi="Calibri" w:cs="Calibri"/>
                <w:color w:val="9C0006"/>
              </w:rPr>
              <w:t>485</w:t>
            </w:r>
          </w:p>
        </w:tc>
        <w:tc>
          <w:tcPr>
            <w:tcW w:w="644" w:type="pct"/>
            <w:shd w:val="clear" w:color="auto" w:fill="FFC7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7623CD">
              <w:rPr>
                <w:rFonts w:ascii="Calibri" w:hAnsi="Calibri" w:cs="Calibri"/>
                <w:color w:val="9C0006"/>
              </w:rPr>
              <w:t>2,5%</w:t>
            </w:r>
          </w:p>
        </w:tc>
        <w:tc>
          <w:tcPr>
            <w:tcW w:w="774" w:type="pct"/>
            <w:shd w:val="clear" w:color="auto" w:fill="C6EFCE"/>
            <w:noWrap/>
            <w:vAlign w:val="center"/>
            <w:hideMark/>
          </w:tcPr>
          <w:p w:rsidR="006E3EE0" w:rsidRPr="007623CD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7623CD">
              <w:rPr>
                <w:rFonts w:ascii="Calibri" w:hAnsi="Calibri" w:cs="Calibri"/>
                <w:color w:val="006100"/>
              </w:rPr>
              <w:t>649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36%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30%</w:t>
            </w:r>
          </w:p>
        </w:tc>
      </w:tr>
      <w:tr w:rsidR="006E3EE0" w:rsidTr="004977C2">
        <w:trPr>
          <w:trHeight w:val="329"/>
        </w:trPr>
        <w:tc>
          <w:tcPr>
            <w:tcW w:w="993" w:type="pct"/>
            <w:shd w:val="clear" w:color="auto" w:fill="auto"/>
            <w:noWrap/>
            <w:vAlign w:val="center"/>
            <w:hideMark/>
          </w:tcPr>
          <w:p w:rsidR="006E3EE0" w:rsidRDefault="006E3EE0" w:rsidP="006E3EE0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Marche</w:t>
            </w:r>
          </w:p>
        </w:tc>
        <w:tc>
          <w:tcPr>
            <w:tcW w:w="823" w:type="pct"/>
            <w:shd w:val="clear" w:color="auto" w:fill="FFC7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 w:rsidRPr="00E92B03">
              <w:rPr>
                <w:rFonts w:ascii="Calibri" w:hAnsi="Calibri" w:cs="Calibri"/>
                <w:color w:val="9C0006"/>
              </w:rPr>
              <w:t>529</w:t>
            </w:r>
          </w:p>
        </w:tc>
        <w:tc>
          <w:tcPr>
            <w:tcW w:w="644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006100"/>
              </w:rPr>
              <w:t>4,5%</w:t>
            </w:r>
          </w:p>
        </w:tc>
        <w:tc>
          <w:tcPr>
            <w:tcW w:w="774" w:type="pct"/>
            <w:shd w:val="clear" w:color="auto" w:fill="C6EFCE"/>
            <w:noWrap/>
            <w:vAlign w:val="center"/>
            <w:hideMark/>
          </w:tcPr>
          <w:p w:rsidR="006E3EE0" w:rsidRPr="007623CD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7623CD">
              <w:rPr>
                <w:rFonts w:ascii="Calibri" w:hAnsi="Calibri" w:cs="Calibri"/>
                <w:color w:val="006100"/>
              </w:rPr>
              <w:t>1.412</w:t>
            </w:r>
          </w:p>
        </w:tc>
        <w:tc>
          <w:tcPr>
            <w:tcW w:w="883" w:type="pct"/>
            <w:shd w:val="clear" w:color="000000" w:fill="FFC7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45%</w:t>
            </w:r>
          </w:p>
        </w:tc>
        <w:tc>
          <w:tcPr>
            <w:tcW w:w="883" w:type="pct"/>
            <w:shd w:val="clear" w:color="000000" w:fill="FFC7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34%</w:t>
            </w:r>
          </w:p>
        </w:tc>
      </w:tr>
      <w:tr w:rsidR="006E3EE0" w:rsidTr="004977C2">
        <w:trPr>
          <w:trHeight w:val="329"/>
        </w:trPr>
        <w:tc>
          <w:tcPr>
            <w:tcW w:w="993" w:type="pct"/>
            <w:shd w:val="clear" w:color="auto" w:fill="auto"/>
            <w:noWrap/>
            <w:vAlign w:val="center"/>
            <w:hideMark/>
          </w:tcPr>
          <w:p w:rsidR="006E3EE0" w:rsidRDefault="006E3EE0" w:rsidP="006E3EE0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Molise</w:t>
            </w:r>
          </w:p>
        </w:tc>
        <w:tc>
          <w:tcPr>
            <w:tcW w:w="823" w:type="pct"/>
            <w:shd w:val="clear" w:color="auto" w:fill="FFC7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 w:rsidRPr="00E92B03">
              <w:rPr>
                <w:rFonts w:ascii="Calibri" w:hAnsi="Calibri" w:cs="Calibri"/>
                <w:color w:val="9C0006"/>
              </w:rPr>
              <w:t>504</w:t>
            </w:r>
          </w:p>
        </w:tc>
        <w:tc>
          <w:tcPr>
            <w:tcW w:w="644" w:type="pct"/>
            <w:shd w:val="clear" w:color="auto" w:fill="FFC7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7623CD">
              <w:rPr>
                <w:rFonts w:ascii="Calibri" w:hAnsi="Calibri" w:cs="Calibri"/>
                <w:color w:val="9C0006"/>
              </w:rPr>
              <w:t>6,4%</w:t>
            </w:r>
          </w:p>
        </w:tc>
        <w:tc>
          <w:tcPr>
            <w:tcW w:w="774" w:type="pct"/>
            <w:shd w:val="clear" w:color="auto" w:fill="C6EFCE"/>
            <w:noWrap/>
            <w:vAlign w:val="center"/>
            <w:hideMark/>
          </w:tcPr>
          <w:p w:rsidR="006E3EE0" w:rsidRPr="007623CD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7623CD">
              <w:rPr>
                <w:rFonts w:ascii="Calibri" w:hAnsi="Calibri" w:cs="Calibri"/>
                <w:color w:val="006100"/>
              </w:rPr>
              <w:t>1.800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36%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28%</w:t>
            </w:r>
          </w:p>
        </w:tc>
      </w:tr>
      <w:tr w:rsidR="006E3EE0" w:rsidTr="004977C2">
        <w:trPr>
          <w:trHeight w:val="329"/>
        </w:trPr>
        <w:tc>
          <w:tcPr>
            <w:tcW w:w="993" w:type="pct"/>
            <w:shd w:val="clear" w:color="auto" w:fill="auto"/>
            <w:noWrap/>
            <w:vAlign w:val="center"/>
            <w:hideMark/>
          </w:tcPr>
          <w:p w:rsidR="006E3EE0" w:rsidRDefault="006E3EE0" w:rsidP="006E3EE0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Piemonte</w:t>
            </w:r>
          </w:p>
        </w:tc>
        <w:tc>
          <w:tcPr>
            <w:tcW w:w="823" w:type="pct"/>
            <w:shd w:val="clear" w:color="auto" w:fill="FFC7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 w:rsidRPr="00E92B03">
              <w:rPr>
                <w:rFonts w:ascii="Calibri" w:hAnsi="Calibri" w:cs="Calibri"/>
                <w:color w:val="9C0006"/>
              </w:rPr>
              <w:t>284</w:t>
            </w:r>
          </w:p>
        </w:tc>
        <w:tc>
          <w:tcPr>
            <w:tcW w:w="644" w:type="pct"/>
            <w:shd w:val="clear" w:color="auto" w:fill="FFEB9C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7623CD">
              <w:rPr>
                <w:rFonts w:ascii="Calibri" w:hAnsi="Calibri" w:cs="Calibri"/>
                <w:color w:val="9C6500"/>
              </w:rPr>
              <w:t>2,2%</w:t>
            </w:r>
          </w:p>
        </w:tc>
        <w:tc>
          <w:tcPr>
            <w:tcW w:w="774" w:type="pct"/>
            <w:shd w:val="clear" w:color="auto" w:fill="C6EFCE"/>
            <w:noWrap/>
            <w:vAlign w:val="center"/>
            <w:hideMark/>
          </w:tcPr>
          <w:p w:rsidR="006E3EE0" w:rsidRPr="007623CD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7623CD">
              <w:rPr>
                <w:rFonts w:ascii="Calibri" w:hAnsi="Calibri" w:cs="Calibri"/>
                <w:color w:val="006100"/>
              </w:rPr>
              <w:t>839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33%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22%</w:t>
            </w:r>
          </w:p>
        </w:tc>
      </w:tr>
      <w:tr w:rsidR="006E3EE0" w:rsidTr="004977C2">
        <w:trPr>
          <w:trHeight w:val="329"/>
        </w:trPr>
        <w:tc>
          <w:tcPr>
            <w:tcW w:w="993" w:type="pct"/>
            <w:shd w:val="clear" w:color="auto" w:fill="auto"/>
            <w:noWrap/>
            <w:vAlign w:val="center"/>
            <w:hideMark/>
          </w:tcPr>
          <w:p w:rsidR="006E3EE0" w:rsidRDefault="006E3EE0" w:rsidP="006E3EE0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Prov</w:t>
            </w:r>
            <w:proofErr w:type="spellEnd"/>
            <w:r>
              <w:rPr>
                <w:rFonts w:ascii="Calibri" w:hAnsi="Calibri" w:cs="Calibri"/>
                <w:color w:val="000000"/>
              </w:rPr>
              <w:t>. Aut. Bolzano</w:t>
            </w:r>
          </w:p>
        </w:tc>
        <w:tc>
          <w:tcPr>
            <w:tcW w:w="823" w:type="pct"/>
            <w:shd w:val="clear" w:color="auto" w:fill="FFC7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 w:rsidRPr="00E92B03">
              <w:rPr>
                <w:rFonts w:ascii="Calibri" w:hAnsi="Calibri" w:cs="Calibri"/>
                <w:color w:val="9C0006"/>
              </w:rPr>
              <w:t>1.492</w:t>
            </w:r>
          </w:p>
        </w:tc>
        <w:tc>
          <w:tcPr>
            <w:tcW w:w="644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006100"/>
              </w:rPr>
              <w:t>9,0%</w:t>
            </w:r>
          </w:p>
        </w:tc>
        <w:tc>
          <w:tcPr>
            <w:tcW w:w="774" w:type="pct"/>
            <w:shd w:val="clear" w:color="auto" w:fill="FFC7CE"/>
            <w:noWrap/>
            <w:vAlign w:val="center"/>
            <w:hideMark/>
          </w:tcPr>
          <w:p w:rsidR="006E3EE0" w:rsidRPr="007623CD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7623CD">
              <w:rPr>
                <w:rFonts w:ascii="Calibri" w:hAnsi="Calibri" w:cs="Calibri"/>
                <w:color w:val="9C0006"/>
              </w:rPr>
              <w:t>781</w:t>
            </w:r>
          </w:p>
        </w:tc>
        <w:tc>
          <w:tcPr>
            <w:tcW w:w="883" w:type="pct"/>
            <w:shd w:val="clear" w:color="000000" w:fill="FFC7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46%</w:t>
            </w:r>
          </w:p>
        </w:tc>
        <w:tc>
          <w:tcPr>
            <w:tcW w:w="883" w:type="pct"/>
            <w:shd w:val="clear" w:color="000000" w:fill="FFC7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39%</w:t>
            </w:r>
          </w:p>
        </w:tc>
      </w:tr>
      <w:tr w:rsidR="006E3EE0" w:rsidTr="004977C2">
        <w:trPr>
          <w:trHeight w:val="329"/>
        </w:trPr>
        <w:tc>
          <w:tcPr>
            <w:tcW w:w="993" w:type="pct"/>
            <w:shd w:val="clear" w:color="auto" w:fill="auto"/>
            <w:noWrap/>
            <w:vAlign w:val="center"/>
            <w:hideMark/>
          </w:tcPr>
          <w:p w:rsidR="006E3EE0" w:rsidRDefault="006E3EE0" w:rsidP="006E3EE0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Prov</w:t>
            </w:r>
            <w:proofErr w:type="spellEnd"/>
            <w:r>
              <w:rPr>
                <w:rFonts w:ascii="Calibri" w:hAnsi="Calibri" w:cs="Calibri"/>
                <w:color w:val="000000"/>
              </w:rPr>
              <w:t>. Aut. Trento</w:t>
            </w:r>
          </w:p>
        </w:tc>
        <w:tc>
          <w:tcPr>
            <w:tcW w:w="823" w:type="pct"/>
            <w:shd w:val="clear" w:color="auto" w:fill="FFC7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 w:rsidRPr="00E92B03">
              <w:rPr>
                <w:rFonts w:ascii="Calibri" w:hAnsi="Calibri" w:cs="Calibri"/>
                <w:color w:val="9C0006"/>
              </w:rPr>
              <w:t>498</w:t>
            </w:r>
          </w:p>
        </w:tc>
        <w:tc>
          <w:tcPr>
            <w:tcW w:w="644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006100"/>
              </w:rPr>
              <w:t>4,8%</w:t>
            </w:r>
          </w:p>
        </w:tc>
        <w:tc>
          <w:tcPr>
            <w:tcW w:w="774" w:type="pct"/>
            <w:shd w:val="clear" w:color="auto" w:fill="C6EFCE"/>
            <w:noWrap/>
            <w:vAlign w:val="center"/>
            <w:hideMark/>
          </w:tcPr>
          <w:p w:rsidR="006E3EE0" w:rsidRPr="007623CD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7623CD">
              <w:rPr>
                <w:rFonts w:ascii="Calibri" w:hAnsi="Calibri" w:cs="Calibri"/>
                <w:color w:val="006100"/>
              </w:rPr>
              <w:t>375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29%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30%</w:t>
            </w:r>
          </w:p>
        </w:tc>
      </w:tr>
      <w:tr w:rsidR="006E3EE0" w:rsidTr="004977C2">
        <w:trPr>
          <w:trHeight w:val="329"/>
        </w:trPr>
        <w:tc>
          <w:tcPr>
            <w:tcW w:w="993" w:type="pct"/>
            <w:shd w:val="clear" w:color="auto" w:fill="auto"/>
            <w:noWrap/>
            <w:vAlign w:val="center"/>
            <w:hideMark/>
          </w:tcPr>
          <w:p w:rsidR="006E3EE0" w:rsidRDefault="006E3EE0" w:rsidP="006E3EE0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Puglia</w:t>
            </w:r>
          </w:p>
        </w:tc>
        <w:tc>
          <w:tcPr>
            <w:tcW w:w="823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006100"/>
              </w:rPr>
              <w:t>991</w:t>
            </w:r>
          </w:p>
        </w:tc>
        <w:tc>
          <w:tcPr>
            <w:tcW w:w="644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006100"/>
              </w:rPr>
              <w:t>4,7%</w:t>
            </w:r>
          </w:p>
        </w:tc>
        <w:tc>
          <w:tcPr>
            <w:tcW w:w="774" w:type="pct"/>
            <w:shd w:val="clear" w:color="auto" w:fill="FFC7CE"/>
            <w:noWrap/>
            <w:vAlign w:val="center"/>
            <w:hideMark/>
          </w:tcPr>
          <w:p w:rsidR="006E3EE0" w:rsidRPr="007623CD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7623CD">
              <w:rPr>
                <w:rFonts w:ascii="Calibri" w:hAnsi="Calibri" w:cs="Calibri"/>
                <w:color w:val="9C0006"/>
              </w:rPr>
              <w:t>581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37%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27%</w:t>
            </w:r>
          </w:p>
        </w:tc>
      </w:tr>
      <w:tr w:rsidR="006E3EE0" w:rsidTr="004977C2">
        <w:trPr>
          <w:trHeight w:val="329"/>
        </w:trPr>
        <w:tc>
          <w:tcPr>
            <w:tcW w:w="993" w:type="pct"/>
            <w:shd w:val="clear" w:color="auto" w:fill="auto"/>
            <w:noWrap/>
            <w:vAlign w:val="center"/>
            <w:hideMark/>
          </w:tcPr>
          <w:p w:rsidR="006E3EE0" w:rsidRDefault="006E3EE0" w:rsidP="006E3EE0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Sardegna</w:t>
            </w:r>
          </w:p>
        </w:tc>
        <w:tc>
          <w:tcPr>
            <w:tcW w:w="823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006100"/>
              </w:rPr>
              <w:t>858</w:t>
            </w:r>
          </w:p>
        </w:tc>
        <w:tc>
          <w:tcPr>
            <w:tcW w:w="644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006100"/>
              </w:rPr>
              <w:t>1,7%</w:t>
            </w:r>
          </w:p>
        </w:tc>
        <w:tc>
          <w:tcPr>
            <w:tcW w:w="774" w:type="pct"/>
            <w:shd w:val="clear" w:color="auto" w:fill="C6EFCE"/>
            <w:noWrap/>
            <w:vAlign w:val="center"/>
            <w:hideMark/>
          </w:tcPr>
          <w:p w:rsidR="006E3EE0" w:rsidRPr="007623CD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7623CD">
              <w:rPr>
                <w:rFonts w:ascii="Calibri" w:hAnsi="Calibri" w:cs="Calibri"/>
                <w:color w:val="006100"/>
              </w:rPr>
              <w:t>931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19%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12%</w:t>
            </w:r>
          </w:p>
        </w:tc>
      </w:tr>
      <w:tr w:rsidR="006E3EE0" w:rsidTr="004977C2">
        <w:trPr>
          <w:trHeight w:val="329"/>
        </w:trPr>
        <w:tc>
          <w:tcPr>
            <w:tcW w:w="993" w:type="pct"/>
            <w:shd w:val="clear" w:color="auto" w:fill="auto"/>
            <w:noWrap/>
            <w:vAlign w:val="center"/>
            <w:hideMark/>
          </w:tcPr>
          <w:p w:rsidR="006E3EE0" w:rsidRDefault="006E3EE0" w:rsidP="006E3EE0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Sicilia</w:t>
            </w:r>
          </w:p>
        </w:tc>
        <w:tc>
          <w:tcPr>
            <w:tcW w:w="823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006100"/>
              </w:rPr>
              <w:t>707</w:t>
            </w:r>
          </w:p>
        </w:tc>
        <w:tc>
          <w:tcPr>
            <w:tcW w:w="644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006100"/>
              </w:rPr>
              <w:t>2,8%</w:t>
            </w:r>
          </w:p>
        </w:tc>
        <w:tc>
          <w:tcPr>
            <w:tcW w:w="774" w:type="pct"/>
            <w:shd w:val="clear" w:color="auto" w:fill="FFC7CE"/>
            <w:noWrap/>
            <w:vAlign w:val="center"/>
            <w:hideMark/>
          </w:tcPr>
          <w:p w:rsidR="006E3EE0" w:rsidRPr="007623CD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7623CD">
              <w:rPr>
                <w:rFonts w:ascii="Calibri" w:hAnsi="Calibri" w:cs="Calibri"/>
                <w:color w:val="9C0006"/>
              </w:rPr>
              <w:t>728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25%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19%</w:t>
            </w:r>
          </w:p>
        </w:tc>
      </w:tr>
      <w:tr w:rsidR="006E3EE0" w:rsidTr="004977C2">
        <w:trPr>
          <w:trHeight w:val="329"/>
        </w:trPr>
        <w:tc>
          <w:tcPr>
            <w:tcW w:w="993" w:type="pct"/>
            <w:shd w:val="clear" w:color="auto" w:fill="auto"/>
            <w:noWrap/>
            <w:vAlign w:val="center"/>
            <w:hideMark/>
          </w:tcPr>
          <w:p w:rsidR="006E3EE0" w:rsidRDefault="006E3EE0" w:rsidP="006E3EE0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Toscana</w:t>
            </w:r>
          </w:p>
        </w:tc>
        <w:tc>
          <w:tcPr>
            <w:tcW w:w="823" w:type="pct"/>
            <w:shd w:val="clear" w:color="auto" w:fill="FFC7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 w:rsidRPr="00E92B03">
              <w:rPr>
                <w:rFonts w:ascii="Calibri" w:hAnsi="Calibri" w:cs="Calibri"/>
                <w:color w:val="9C0006"/>
              </w:rPr>
              <w:t>333</w:t>
            </w:r>
          </w:p>
        </w:tc>
        <w:tc>
          <w:tcPr>
            <w:tcW w:w="644" w:type="pct"/>
            <w:shd w:val="clear" w:color="auto" w:fill="FFC7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7623CD">
              <w:rPr>
                <w:rFonts w:ascii="Calibri" w:hAnsi="Calibri" w:cs="Calibri"/>
                <w:color w:val="9C0006"/>
              </w:rPr>
              <w:t>3,4%</w:t>
            </w:r>
          </w:p>
        </w:tc>
        <w:tc>
          <w:tcPr>
            <w:tcW w:w="774" w:type="pct"/>
            <w:shd w:val="clear" w:color="auto" w:fill="C6EFCE"/>
            <w:noWrap/>
            <w:vAlign w:val="center"/>
            <w:hideMark/>
          </w:tcPr>
          <w:p w:rsidR="006E3EE0" w:rsidRPr="007623CD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7623CD">
              <w:rPr>
                <w:rFonts w:ascii="Calibri" w:hAnsi="Calibri" w:cs="Calibri"/>
                <w:color w:val="006100"/>
              </w:rPr>
              <w:t>1.637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14%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24%</w:t>
            </w:r>
          </w:p>
        </w:tc>
      </w:tr>
      <w:tr w:rsidR="006E3EE0" w:rsidTr="004977C2">
        <w:trPr>
          <w:trHeight w:val="329"/>
        </w:trPr>
        <w:tc>
          <w:tcPr>
            <w:tcW w:w="993" w:type="pct"/>
            <w:shd w:val="clear" w:color="auto" w:fill="auto"/>
            <w:noWrap/>
            <w:vAlign w:val="center"/>
            <w:hideMark/>
          </w:tcPr>
          <w:p w:rsidR="006E3EE0" w:rsidRDefault="006E3EE0" w:rsidP="006E3EE0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Umbria</w:t>
            </w:r>
          </w:p>
        </w:tc>
        <w:tc>
          <w:tcPr>
            <w:tcW w:w="823" w:type="pct"/>
            <w:shd w:val="clear" w:color="auto" w:fill="FFC7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 w:rsidRPr="00E92B03">
              <w:rPr>
                <w:rFonts w:ascii="Calibri" w:hAnsi="Calibri" w:cs="Calibri"/>
                <w:color w:val="9C0006"/>
              </w:rPr>
              <w:t>952</w:t>
            </w:r>
          </w:p>
        </w:tc>
        <w:tc>
          <w:tcPr>
            <w:tcW w:w="644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006100"/>
              </w:rPr>
              <w:t>6,2%</w:t>
            </w:r>
          </w:p>
        </w:tc>
        <w:tc>
          <w:tcPr>
            <w:tcW w:w="774" w:type="pct"/>
            <w:shd w:val="clear" w:color="auto" w:fill="FFC7CE"/>
            <w:noWrap/>
            <w:vAlign w:val="center"/>
            <w:hideMark/>
          </w:tcPr>
          <w:p w:rsidR="006E3EE0" w:rsidRPr="007623CD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7623CD">
              <w:rPr>
                <w:rFonts w:ascii="Calibri" w:hAnsi="Calibri" w:cs="Calibri"/>
                <w:color w:val="9C0006"/>
              </w:rPr>
              <w:t>979</w:t>
            </w:r>
          </w:p>
        </w:tc>
        <w:tc>
          <w:tcPr>
            <w:tcW w:w="883" w:type="pct"/>
            <w:shd w:val="clear" w:color="000000" w:fill="FFC7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54%</w:t>
            </w:r>
          </w:p>
        </w:tc>
        <w:tc>
          <w:tcPr>
            <w:tcW w:w="883" w:type="pct"/>
            <w:shd w:val="clear" w:color="000000" w:fill="FFC7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60%</w:t>
            </w:r>
          </w:p>
        </w:tc>
      </w:tr>
      <w:tr w:rsidR="006E3EE0" w:rsidTr="004977C2">
        <w:trPr>
          <w:trHeight w:val="329"/>
        </w:trPr>
        <w:tc>
          <w:tcPr>
            <w:tcW w:w="993" w:type="pct"/>
            <w:shd w:val="clear" w:color="auto" w:fill="auto"/>
            <w:noWrap/>
            <w:vAlign w:val="center"/>
            <w:hideMark/>
          </w:tcPr>
          <w:p w:rsidR="006E3EE0" w:rsidRDefault="006E3EE0" w:rsidP="006E3EE0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Valle D'Aosta</w:t>
            </w:r>
          </w:p>
        </w:tc>
        <w:tc>
          <w:tcPr>
            <w:tcW w:w="823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006100"/>
              </w:rPr>
              <w:t>101</w:t>
            </w:r>
          </w:p>
        </w:tc>
        <w:tc>
          <w:tcPr>
            <w:tcW w:w="644" w:type="pct"/>
            <w:shd w:val="clear" w:color="auto" w:fill="FFEB9C"/>
            <w:noWrap/>
            <w:vAlign w:val="center"/>
            <w:hideMark/>
          </w:tcPr>
          <w:p w:rsidR="006E3EE0" w:rsidRPr="007623CD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9C6500"/>
              </w:rPr>
            </w:pPr>
            <w:r w:rsidRPr="007623CD">
              <w:rPr>
                <w:rFonts w:ascii="Calibri" w:hAnsi="Calibri" w:cs="Calibri"/>
                <w:color w:val="9C6500"/>
              </w:rPr>
              <w:t>0,8%</w:t>
            </w:r>
          </w:p>
        </w:tc>
        <w:tc>
          <w:tcPr>
            <w:tcW w:w="774" w:type="pct"/>
            <w:shd w:val="clear" w:color="auto" w:fill="C6EFCE"/>
            <w:noWrap/>
            <w:vAlign w:val="center"/>
            <w:hideMark/>
          </w:tcPr>
          <w:p w:rsidR="006E3EE0" w:rsidRPr="007623CD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7623CD">
              <w:rPr>
                <w:rFonts w:ascii="Calibri" w:hAnsi="Calibri" w:cs="Calibri"/>
                <w:color w:val="006100"/>
              </w:rPr>
              <w:t>494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4%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10%</w:t>
            </w:r>
          </w:p>
        </w:tc>
      </w:tr>
      <w:tr w:rsidR="006E3EE0" w:rsidTr="004977C2">
        <w:trPr>
          <w:trHeight w:val="329"/>
        </w:trPr>
        <w:tc>
          <w:tcPr>
            <w:tcW w:w="993" w:type="pct"/>
            <w:shd w:val="clear" w:color="auto" w:fill="auto"/>
            <w:noWrap/>
            <w:vAlign w:val="center"/>
            <w:hideMark/>
          </w:tcPr>
          <w:p w:rsidR="006E3EE0" w:rsidRDefault="006E3EE0" w:rsidP="006E3EE0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Veneto</w:t>
            </w:r>
          </w:p>
        </w:tc>
        <w:tc>
          <w:tcPr>
            <w:tcW w:w="823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006100"/>
              </w:rPr>
              <w:t>497</w:t>
            </w:r>
          </w:p>
        </w:tc>
        <w:tc>
          <w:tcPr>
            <w:tcW w:w="644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E92B03">
              <w:rPr>
                <w:rFonts w:ascii="Calibri" w:hAnsi="Calibri" w:cs="Calibri"/>
                <w:color w:val="006100"/>
              </w:rPr>
              <w:t>1,4%</w:t>
            </w:r>
          </w:p>
        </w:tc>
        <w:tc>
          <w:tcPr>
            <w:tcW w:w="774" w:type="pct"/>
            <w:shd w:val="clear" w:color="auto" w:fill="C6EFCE"/>
            <w:noWrap/>
            <w:vAlign w:val="center"/>
            <w:hideMark/>
          </w:tcPr>
          <w:p w:rsidR="006E3EE0" w:rsidRPr="007623CD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 w:rsidRPr="007623CD">
              <w:rPr>
                <w:rFonts w:ascii="Calibri" w:hAnsi="Calibri" w:cs="Calibri"/>
                <w:color w:val="006100"/>
              </w:rPr>
              <w:t>366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15%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10%</w:t>
            </w:r>
          </w:p>
        </w:tc>
      </w:tr>
      <w:tr w:rsidR="006E3EE0" w:rsidTr="004977C2">
        <w:trPr>
          <w:trHeight w:val="329"/>
        </w:trPr>
        <w:tc>
          <w:tcPr>
            <w:tcW w:w="993" w:type="pct"/>
            <w:shd w:val="clear" w:color="auto" w:fill="00457D"/>
            <w:noWrap/>
            <w:vAlign w:val="center"/>
            <w:hideMark/>
          </w:tcPr>
          <w:p w:rsidR="006E3EE0" w:rsidRDefault="006E3EE0" w:rsidP="006E3EE0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E92B03">
              <w:rPr>
                <w:rFonts w:ascii="Calibri" w:hAnsi="Calibri" w:cs="Calibri"/>
                <w:b/>
                <w:bCs/>
                <w:color w:val="FFFFFF" w:themeColor="background1"/>
              </w:rPr>
              <w:t>ITALIA</w:t>
            </w:r>
          </w:p>
        </w:tc>
        <w:tc>
          <w:tcPr>
            <w:tcW w:w="823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6100"/>
              </w:rPr>
            </w:pPr>
            <w:r w:rsidRPr="00E92B03">
              <w:rPr>
                <w:rFonts w:ascii="Calibri" w:hAnsi="Calibri" w:cs="Calibri"/>
                <w:b/>
                <w:bCs/>
                <w:color w:val="006100"/>
              </w:rPr>
              <w:t>660</w:t>
            </w:r>
          </w:p>
        </w:tc>
        <w:tc>
          <w:tcPr>
            <w:tcW w:w="644" w:type="pct"/>
            <w:shd w:val="clear" w:color="auto" w:fill="C6EFCE"/>
            <w:noWrap/>
            <w:vAlign w:val="center"/>
            <w:hideMark/>
          </w:tcPr>
          <w:p w:rsidR="006E3EE0" w:rsidRPr="00E92B03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6100"/>
              </w:rPr>
            </w:pPr>
            <w:r w:rsidRPr="00E92B03">
              <w:rPr>
                <w:rFonts w:ascii="Calibri" w:hAnsi="Calibri" w:cs="Calibri"/>
                <w:b/>
                <w:bCs/>
                <w:color w:val="006100"/>
              </w:rPr>
              <w:t>3,2%</w:t>
            </w:r>
          </w:p>
        </w:tc>
        <w:tc>
          <w:tcPr>
            <w:tcW w:w="774" w:type="pct"/>
            <w:shd w:val="clear" w:color="auto" w:fill="FFC7CE"/>
            <w:noWrap/>
            <w:vAlign w:val="center"/>
            <w:hideMark/>
          </w:tcPr>
          <w:p w:rsidR="006E3EE0" w:rsidRPr="007623CD" w:rsidRDefault="006E3EE0" w:rsidP="006E3EE0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6100"/>
              </w:rPr>
            </w:pPr>
            <w:r w:rsidRPr="007623CD">
              <w:rPr>
                <w:rFonts w:ascii="Calibri" w:hAnsi="Calibri" w:cs="Calibri"/>
                <w:b/>
                <w:bCs/>
                <w:color w:val="006100"/>
              </w:rPr>
              <w:t>1.027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30%</w:t>
            </w:r>
          </w:p>
        </w:tc>
        <w:tc>
          <w:tcPr>
            <w:tcW w:w="883" w:type="pct"/>
            <w:shd w:val="clear" w:color="000000" w:fill="C6EFCE"/>
            <w:noWrap/>
            <w:vAlign w:val="center"/>
            <w:hideMark/>
          </w:tcPr>
          <w:p w:rsidR="006E3EE0" w:rsidRDefault="006E3EE0" w:rsidP="004977C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24%</w:t>
            </w:r>
          </w:p>
        </w:tc>
      </w:tr>
      <w:tr w:rsidR="007623CD" w:rsidRPr="00F240C0" w:rsidTr="007623CD">
        <w:tblPrEx>
          <w:tblBorders>
            <w:top w:val="single" w:sz="8" w:space="0" w:color="00457D"/>
            <w:left w:val="single" w:sz="8" w:space="0" w:color="00457D"/>
            <w:bottom w:val="single" w:sz="8" w:space="0" w:color="00457D"/>
            <w:right w:val="single" w:sz="8" w:space="0" w:color="00457D"/>
            <w:insideH w:val="single" w:sz="8" w:space="0" w:color="00457D"/>
            <w:insideV w:val="single" w:sz="8" w:space="0" w:color="00457D"/>
          </w:tblBorders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7623CD" w:rsidRDefault="007623CD" w:rsidP="009A453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1"/>
              </w:rPr>
            </w:pP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 xml:space="preserve">Nota: nelle prime 4 colonne rosso e verde indicano rispettivamente una performance regionale in peggioramento, o in miglioramento, rispetto alla settimana precedente; </w:t>
            </w:r>
          </w:p>
          <w:p w:rsidR="007623CD" w:rsidRPr="00F240C0" w:rsidRDefault="007623CD" w:rsidP="007623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9C000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i</w:t>
            </w:r>
            <w:r w:rsidRPr="00B934D9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l giallo indica una performance regionale invariata rispetto alla settimana precedente.</w:t>
            </w: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br/>
            </w:r>
            <w:r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N</w:t>
            </w: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 xml:space="preserve">elle ultime 2 colonne rosso e verde indicano il superamento, o meno, della soglia di saturazione del 40% per l’area medica e del 30% per le terapie intensive (dati </w:t>
            </w:r>
            <w:proofErr w:type="spellStart"/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Agenas</w:t>
            </w:r>
            <w:proofErr w:type="spellEnd"/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).</w:t>
            </w:r>
          </w:p>
        </w:tc>
      </w:tr>
    </w:tbl>
    <w:p w:rsidR="00E92B03" w:rsidRPr="007623CD" w:rsidRDefault="00E92B03" w:rsidP="007623CD">
      <w:pPr>
        <w:spacing w:after="0" w:line="240" w:lineRule="auto"/>
        <w:rPr>
          <w:b/>
          <w:sz w:val="10"/>
          <w:szCs w:val="10"/>
        </w:rPr>
      </w:pPr>
      <w:r w:rsidRPr="007623CD">
        <w:rPr>
          <w:b/>
          <w:sz w:val="10"/>
          <w:szCs w:val="10"/>
        </w:rPr>
        <w:br w:type="page"/>
      </w:r>
    </w:p>
    <w:p w:rsidR="007919D2" w:rsidRPr="007623CD" w:rsidRDefault="007919D2" w:rsidP="007623CD">
      <w:pPr>
        <w:spacing w:after="0" w:line="240" w:lineRule="auto"/>
        <w:rPr>
          <w:b/>
          <w:sz w:val="10"/>
          <w:szCs w:val="10"/>
        </w:rPr>
        <w:sectPr w:rsidR="007919D2" w:rsidRPr="007623CD" w:rsidSect="001A0514">
          <w:footnotePr>
            <w:numFmt w:val="chicago"/>
          </w:footnotePr>
          <w:pgSz w:w="16838" w:h="11906" w:orient="landscape"/>
          <w:pgMar w:top="1134" w:right="709" w:bottom="1134" w:left="992" w:header="709" w:footer="833" w:gutter="0"/>
          <w:cols w:space="708"/>
          <w:docGrid w:linePitch="360"/>
        </w:sectPr>
      </w:pPr>
    </w:p>
    <w:p w:rsidR="00FB7BF6" w:rsidRDefault="007C0280" w:rsidP="003A67B3">
      <w:pPr>
        <w:spacing w:after="0" w:line="240" w:lineRule="auto"/>
        <w:jc w:val="center"/>
        <w:rPr>
          <w:b/>
          <w:color w:val="FF0000"/>
          <w:sz w:val="24"/>
        </w:rPr>
      </w:pPr>
      <w:r w:rsidRPr="002F68CB">
        <w:rPr>
          <w:b/>
          <w:color w:val="00457D"/>
          <w:sz w:val="24"/>
        </w:rPr>
        <w:lastRenderedPageBreak/>
        <w:t>Tabella 2</w:t>
      </w:r>
      <w:r w:rsidR="00315C07">
        <w:rPr>
          <w:b/>
          <w:color w:val="00457D"/>
          <w:sz w:val="24"/>
        </w:rPr>
        <w:t xml:space="preserve">. </w:t>
      </w:r>
      <w:r w:rsidR="00FB7BF6" w:rsidRPr="002F68CB">
        <w:rPr>
          <w:b/>
          <w:color w:val="00457D"/>
          <w:sz w:val="24"/>
        </w:rPr>
        <w:t>Province con incremento percentuale dei casi &gt;5% nella settimana 10-16 febbraio</w:t>
      </w:r>
      <w:r w:rsidR="002C4EC3">
        <w:rPr>
          <w:b/>
          <w:color w:val="00457D"/>
          <w:sz w:val="24"/>
        </w:rPr>
        <w:t xml:space="preserve"> </w:t>
      </w:r>
    </w:p>
    <w:p w:rsidR="00FB7BF6" w:rsidRDefault="00FB7BF6" w:rsidP="007E3E1D">
      <w:pPr>
        <w:spacing w:after="0" w:line="240" w:lineRule="auto"/>
        <w:rPr>
          <w:b/>
          <w:color w:val="FF0000"/>
          <w:sz w:val="24"/>
        </w:rPr>
      </w:pPr>
    </w:p>
    <w:tbl>
      <w:tblPr>
        <w:tblW w:w="4405" w:type="dxa"/>
        <w:jc w:val="center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2002"/>
      </w:tblGrid>
      <w:tr w:rsidR="007623CD" w:rsidRPr="007623CD" w:rsidTr="002C4EC3">
        <w:trPr>
          <w:trHeight w:val="502"/>
          <w:jc w:val="center"/>
        </w:trPr>
        <w:tc>
          <w:tcPr>
            <w:tcW w:w="2403" w:type="dxa"/>
            <w:tcBorders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Provincia</w:t>
            </w:r>
          </w:p>
        </w:tc>
        <w:tc>
          <w:tcPr>
            <w:tcW w:w="2002" w:type="dxa"/>
            <w:tcBorders>
              <w:lef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Incremento % casi</w:t>
            </w:r>
          </w:p>
        </w:tc>
      </w:tr>
      <w:tr w:rsidR="007623CD" w:rsidRPr="007623CD" w:rsidTr="007623CD">
        <w:trPr>
          <w:trHeight w:val="300"/>
          <w:jc w:val="center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color w:val="000000"/>
                <w:lang w:eastAsia="it-IT"/>
              </w:rPr>
              <w:t>Pescara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lang w:eastAsia="it-IT"/>
              </w:rPr>
              <w:t>13,2%</w:t>
            </w:r>
          </w:p>
        </w:tc>
      </w:tr>
      <w:tr w:rsidR="007623CD" w:rsidRPr="007623CD" w:rsidTr="007623CD">
        <w:trPr>
          <w:trHeight w:val="300"/>
          <w:jc w:val="center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color w:val="000000"/>
                <w:lang w:eastAsia="it-IT"/>
              </w:rPr>
              <w:t>Bolzano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lang w:eastAsia="it-IT"/>
              </w:rPr>
              <w:t>8,6%</w:t>
            </w:r>
          </w:p>
        </w:tc>
      </w:tr>
      <w:tr w:rsidR="007623CD" w:rsidRPr="007623CD" w:rsidTr="007623CD">
        <w:trPr>
          <w:trHeight w:val="300"/>
          <w:jc w:val="center"/>
        </w:trPr>
        <w:tc>
          <w:tcPr>
            <w:tcW w:w="2403" w:type="dxa"/>
            <w:tcBorders>
              <w:bottom w:val="single" w:sz="4" w:space="0" w:color="00457D"/>
            </w:tcBorders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color w:val="000000"/>
                <w:lang w:eastAsia="it-IT"/>
              </w:rPr>
              <w:t>Chieti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lang w:eastAsia="it-IT"/>
              </w:rPr>
              <w:t>8,4%</w:t>
            </w:r>
          </w:p>
        </w:tc>
      </w:tr>
      <w:tr w:rsidR="007623CD" w:rsidRPr="007623CD" w:rsidTr="007623CD">
        <w:trPr>
          <w:trHeight w:val="300"/>
          <w:jc w:val="center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color w:val="000000"/>
                <w:lang w:eastAsia="it-IT"/>
              </w:rPr>
              <w:t>Campobasso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lang w:eastAsia="it-IT"/>
              </w:rPr>
              <w:t>8,0%</w:t>
            </w:r>
          </w:p>
        </w:tc>
      </w:tr>
      <w:tr w:rsidR="007623CD" w:rsidRPr="007623CD" w:rsidTr="007623CD">
        <w:trPr>
          <w:trHeight w:val="300"/>
          <w:jc w:val="center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color w:val="000000"/>
                <w:lang w:eastAsia="it-IT"/>
              </w:rPr>
              <w:t>Taranto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lang w:eastAsia="it-IT"/>
              </w:rPr>
              <w:t>7,6%</w:t>
            </w:r>
          </w:p>
        </w:tc>
      </w:tr>
      <w:tr w:rsidR="007623CD" w:rsidRPr="007623CD" w:rsidTr="007623CD">
        <w:trPr>
          <w:trHeight w:val="300"/>
          <w:jc w:val="center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lang w:eastAsia="it-IT"/>
              </w:rPr>
              <w:t>7,2%</w:t>
            </w:r>
          </w:p>
        </w:tc>
      </w:tr>
      <w:tr w:rsidR="007623CD" w:rsidRPr="007623CD" w:rsidTr="007623CD">
        <w:trPr>
          <w:trHeight w:val="300"/>
          <w:jc w:val="center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lang w:eastAsia="it-IT"/>
              </w:rPr>
              <w:t>6,8%</w:t>
            </w:r>
          </w:p>
        </w:tc>
      </w:tr>
      <w:tr w:rsidR="007623CD" w:rsidRPr="007623CD" w:rsidTr="007623CD">
        <w:trPr>
          <w:trHeight w:val="300"/>
          <w:jc w:val="center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color w:val="000000"/>
                <w:lang w:eastAsia="it-IT"/>
              </w:rPr>
              <w:t>Brindisi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lang w:eastAsia="it-IT"/>
              </w:rPr>
              <w:t>6,4%</w:t>
            </w:r>
          </w:p>
        </w:tc>
      </w:tr>
      <w:tr w:rsidR="007623CD" w:rsidRPr="007623CD" w:rsidTr="007623CD">
        <w:trPr>
          <w:trHeight w:val="300"/>
          <w:jc w:val="center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lang w:eastAsia="it-IT"/>
              </w:rPr>
              <w:t>6,3%</w:t>
            </w:r>
          </w:p>
        </w:tc>
      </w:tr>
      <w:tr w:rsidR="007623CD" w:rsidRPr="007623CD" w:rsidTr="007623CD">
        <w:trPr>
          <w:trHeight w:val="300"/>
          <w:jc w:val="center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lang w:eastAsia="it-IT"/>
              </w:rPr>
              <w:t>6,2%</w:t>
            </w:r>
          </w:p>
        </w:tc>
      </w:tr>
      <w:tr w:rsidR="007623CD" w:rsidRPr="007623CD" w:rsidTr="007623CD">
        <w:trPr>
          <w:trHeight w:val="300"/>
          <w:jc w:val="center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color w:val="000000"/>
                <w:lang w:eastAsia="it-IT"/>
              </w:rPr>
              <w:t>Siena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lang w:eastAsia="it-IT"/>
              </w:rPr>
              <w:t>6,0%</w:t>
            </w:r>
          </w:p>
        </w:tc>
      </w:tr>
      <w:tr w:rsidR="007623CD" w:rsidRPr="007623CD" w:rsidTr="007623CD">
        <w:trPr>
          <w:trHeight w:val="300"/>
          <w:jc w:val="center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color w:val="000000"/>
                <w:lang w:eastAsia="it-IT"/>
              </w:rPr>
              <w:t>Vibo Valentia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lang w:eastAsia="it-IT"/>
              </w:rPr>
              <w:t>5,8%</w:t>
            </w:r>
          </w:p>
        </w:tc>
      </w:tr>
      <w:tr w:rsidR="007623CD" w:rsidRPr="007623CD" w:rsidTr="007623CD">
        <w:trPr>
          <w:trHeight w:val="300"/>
          <w:jc w:val="center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lang w:eastAsia="it-IT"/>
              </w:rPr>
              <w:t>5,6%</w:t>
            </w:r>
          </w:p>
        </w:tc>
      </w:tr>
      <w:tr w:rsidR="007623CD" w:rsidRPr="007623CD" w:rsidTr="007623CD">
        <w:trPr>
          <w:trHeight w:val="300"/>
          <w:jc w:val="center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color w:val="000000"/>
                <w:lang w:eastAsia="it-IT"/>
              </w:rPr>
              <w:t>Imperia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lang w:eastAsia="it-IT"/>
              </w:rPr>
              <w:t>5,5%</w:t>
            </w:r>
          </w:p>
        </w:tc>
      </w:tr>
      <w:tr w:rsidR="007623CD" w:rsidRPr="007623CD" w:rsidTr="007623CD">
        <w:trPr>
          <w:trHeight w:val="300"/>
          <w:jc w:val="center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color w:val="000000"/>
                <w:lang w:eastAsia="it-IT"/>
              </w:rPr>
              <w:t>Benevento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lang w:eastAsia="it-IT"/>
              </w:rPr>
              <w:t>5,4%</w:t>
            </w:r>
          </w:p>
        </w:tc>
      </w:tr>
      <w:tr w:rsidR="007623CD" w:rsidRPr="007623CD" w:rsidTr="007623CD">
        <w:trPr>
          <w:trHeight w:val="300"/>
          <w:jc w:val="center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lang w:eastAsia="it-IT"/>
              </w:rPr>
              <w:t>5,1%</w:t>
            </w:r>
          </w:p>
        </w:tc>
      </w:tr>
      <w:tr w:rsidR="007623CD" w:rsidRPr="007623CD" w:rsidTr="007623CD">
        <w:trPr>
          <w:trHeight w:val="300"/>
          <w:jc w:val="center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7623CD" w:rsidRPr="007623CD" w:rsidRDefault="007623CD" w:rsidP="003A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7623CD">
              <w:rPr>
                <w:rFonts w:ascii="Calibri" w:eastAsia="Times New Roman" w:hAnsi="Calibri" w:cs="Calibri"/>
                <w:lang w:eastAsia="it-IT"/>
              </w:rPr>
              <w:t>5,1%</w:t>
            </w:r>
          </w:p>
        </w:tc>
      </w:tr>
    </w:tbl>
    <w:p w:rsidR="007623CD" w:rsidRDefault="007623CD" w:rsidP="003A67B3">
      <w:pPr>
        <w:spacing w:after="0" w:line="240" w:lineRule="auto"/>
        <w:jc w:val="center"/>
        <w:rPr>
          <w:b/>
          <w:color w:val="00457D"/>
          <w:sz w:val="24"/>
        </w:rPr>
      </w:pPr>
    </w:p>
    <w:p w:rsidR="00A1093F" w:rsidRDefault="00A1093F" w:rsidP="00A77CA5">
      <w:pPr>
        <w:spacing w:after="0" w:line="240" w:lineRule="auto"/>
        <w:rPr>
          <w:b/>
          <w:color w:val="00457D"/>
          <w:sz w:val="2"/>
          <w:szCs w:val="2"/>
        </w:rPr>
      </w:pPr>
    </w:p>
    <w:sectPr w:rsidR="00A1093F" w:rsidSect="0096163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64" w:rsidRDefault="00FA1864">
      <w:pPr>
        <w:spacing w:after="0" w:line="240" w:lineRule="auto"/>
      </w:pPr>
      <w:r>
        <w:separator/>
      </w:r>
    </w:p>
  </w:endnote>
  <w:endnote w:type="continuationSeparator" w:id="0">
    <w:p w:rsidR="00FA1864" w:rsidRDefault="00FA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64" w:rsidRDefault="00FA1864">
      <w:pPr>
        <w:spacing w:after="0" w:line="240" w:lineRule="auto"/>
      </w:pPr>
      <w:r>
        <w:separator/>
      </w:r>
    </w:p>
  </w:footnote>
  <w:footnote w:type="continuationSeparator" w:id="0">
    <w:p w:rsidR="00FA1864" w:rsidRDefault="00FA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13F"/>
    <w:multiLevelType w:val="hybridMultilevel"/>
    <w:tmpl w:val="6FBA9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11F2"/>
    <w:multiLevelType w:val="hybridMultilevel"/>
    <w:tmpl w:val="36A6CC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D28AB"/>
    <w:multiLevelType w:val="hybridMultilevel"/>
    <w:tmpl w:val="CDD4D6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13AB3"/>
    <w:multiLevelType w:val="hybridMultilevel"/>
    <w:tmpl w:val="16E0E5BE"/>
    <w:lvl w:ilvl="0" w:tplc="BA0E2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F45FF"/>
    <w:multiLevelType w:val="hybridMultilevel"/>
    <w:tmpl w:val="6F84A354"/>
    <w:lvl w:ilvl="0" w:tplc="3A3EC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93F44"/>
    <w:multiLevelType w:val="hybridMultilevel"/>
    <w:tmpl w:val="9D9C0B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1119EF"/>
    <w:multiLevelType w:val="hybridMultilevel"/>
    <w:tmpl w:val="580C5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D23CF"/>
    <w:multiLevelType w:val="hybridMultilevel"/>
    <w:tmpl w:val="EFDC4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5987"/>
    <w:multiLevelType w:val="hybridMultilevel"/>
    <w:tmpl w:val="D79637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C0E7D"/>
    <w:multiLevelType w:val="hybridMultilevel"/>
    <w:tmpl w:val="F5C08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84CFA"/>
    <w:multiLevelType w:val="hybridMultilevel"/>
    <w:tmpl w:val="A85683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7BDE"/>
    <w:multiLevelType w:val="hybridMultilevel"/>
    <w:tmpl w:val="9C54C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D4DC0"/>
    <w:multiLevelType w:val="multilevel"/>
    <w:tmpl w:val="F086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C01F8F"/>
    <w:multiLevelType w:val="hybridMultilevel"/>
    <w:tmpl w:val="AC084D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6F346F"/>
    <w:multiLevelType w:val="hybridMultilevel"/>
    <w:tmpl w:val="FFB6875A"/>
    <w:lvl w:ilvl="0" w:tplc="C242D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13898"/>
    <w:multiLevelType w:val="hybridMultilevel"/>
    <w:tmpl w:val="8E00214E"/>
    <w:lvl w:ilvl="0" w:tplc="A6EEA2B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B7EAA"/>
    <w:multiLevelType w:val="hybridMultilevel"/>
    <w:tmpl w:val="3DC28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715"/>
    <w:multiLevelType w:val="hybridMultilevel"/>
    <w:tmpl w:val="51B04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8"/>
  </w:num>
  <w:num w:numId="6">
    <w:abstractNumId w:val="9"/>
  </w:num>
  <w:num w:numId="7">
    <w:abstractNumId w:val="0"/>
  </w:num>
  <w:num w:numId="8">
    <w:abstractNumId w:val="16"/>
  </w:num>
  <w:num w:numId="9">
    <w:abstractNumId w:val="6"/>
  </w:num>
  <w:num w:numId="10">
    <w:abstractNumId w:val="10"/>
  </w:num>
  <w:num w:numId="11">
    <w:abstractNumId w:val="5"/>
  </w:num>
  <w:num w:numId="12">
    <w:abstractNumId w:val="13"/>
  </w:num>
  <w:num w:numId="13">
    <w:abstractNumId w:val="17"/>
  </w:num>
  <w:num w:numId="14">
    <w:abstractNumId w:val="11"/>
  </w:num>
  <w:num w:numId="15">
    <w:abstractNumId w:val="7"/>
  </w:num>
  <w:num w:numId="16">
    <w:abstractNumId w:val="12"/>
  </w:num>
  <w:num w:numId="17">
    <w:abstractNumId w:val="14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F4"/>
    <w:rsid w:val="00002087"/>
    <w:rsid w:val="0000481E"/>
    <w:rsid w:val="0000756B"/>
    <w:rsid w:val="00010725"/>
    <w:rsid w:val="00014416"/>
    <w:rsid w:val="000149BF"/>
    <w:rsid w:val="00014DD9"/>
    <w:rsid w:val="00015381"/>
    <w:rsid w:val="00015FA4"/>
    <w:rsid w:val="00016A93"/>
    <w:rsid w:val="000215A2"/>
    <w:rsid w:val="0002277E"/>
    <w:rsid w:val="000244BD"/>
    <w:rsid w:val="000265B1"/>
    <w:rsid w:val="00027266"/>
    <w:rsid w:val="00030315"/>
    <w:rsid w:val="00030E3E"/>
    <w:rsid w:val="00037345"/>
    <w:rsid w:val="0004012A"/>
    <w:rsid w:val="00042777"/>
    <w:rsid w:val="00044EEF"/>
    <w:rsid w:val="00050361"/>
    <w:rsid w:val="00051608"/>
    <w:rsid w:val="00056307"/>
    <w:rsid w:val="00062A06"/>
    <w:rsid w:val="000702BE"/>
    <w:rsid w:val="00074190"/>
    <w:rsid w:val="000751E0"/>
    <w:rsid w:val="00077F18"/>
    <w:rsid w:val="00080306"/>
    <w:rsid w:val="000847A3"/>
    <w:rsid w:val="00090386"/>
    <w:rsid w:val="0009326E"/>
    <w:rsid w:val="000936E0"/>
    <w:rsid w:val="000A3147"/>
    <w:rsid w:val="000A3435"/>
    <w:rsid w:val="000A3B30"/>
    <w:rsid w:val="000A3B5F"/>
    <w:rsid w:val="000A6134"/>
    <w:rsid w:val="000B00A6"/>
    <w:rsid w:val="000B0D4B"/>
    <w:rsid w:val="000B178F"/>
    <w:rsid w:val="000B1EE4"/>
    <w:rsid w:val="000B5683"/>
    <w:rsid w:val="000C1E61"/>
    <w:rsid w:val="000C1F3E"/>
    <w:rsid w:val="000C26B7"/>
    <w:rsid w:val="000C27FD"/>
    <w:rsid w:val="000C4771"/>
    <w:rsid w:val="000C646F"/>
    <w:rsid w:val="000C6FC9"/>
    <w:rsid w:val="000C7991"/>
    <w:rsid w:val="000D3317"/>
    <w:rsid w:val="000E29C4"/>
    <w:rsid w:val="000E3ED7"/>
    <w:rsid w:val="000E5BCB"/>
    <w:rsid w:val="000F0F04"/>
    <w:rsid w:val="000F27A9"/>
    <w:rsid w:val="000F6D92"/>
    <w:rsid w:val="000F76E4"/>
    <w:rsid w:val="001019D5"/>
    <w:rsid w:val="001023EE"/>
    <w:rsid w:val="00104433"/>
    <w:rsid w:val="00112674"/>
    <w:rsid w:val="00112B21"/>
    <w:rsid w:val="00115E64"/>
    <w:rsid w:val="0011670E"/>
    <w:rsid w:val="00121465"/>
    <w:rsid w:val="0012269C"/>
    <w:rsid w:val="0012563F"/>
    <w:rsid w:val="00125DF9"/>
    <w:rsid w:val="001264C0"/>
    <w:rsid w:val="001332F1"/>
    <w:rsid w:val="00136B5E"/>
    <w:rsid w:val="00143250"/>
    <w:rsid w:val="00146E5B"/>
    <w:rsid w:val="00151830"/>
    <w:rsid w:val="00152CEF"/>
    <w:rsid w:val="00157C36"/>
    <w:rsid w:val="00164885"/>
    <w:rsid w:val="0016690B"/>
    <w:rsid w:val="0017044E"/>
    <w:rsid w:val="001719D3"/>
    <w:rsid w:val="001719F9"/>
    <w:rsid w:val="00171BE9"/>
    <w:rsid w:val="00172E8A"/>
    <w:rsid w:val="00182A0F"/>
    <w:rsid w:val="0018536B"/>
    <w:rsid w:val="00185C94"/>
    <w:rsid w:val="001861AD"/>
    <w:rsid w:val="00186BD2"/>
    <w:rsid w:val="00190DBF"/>
    <w:rsid w:val="0019296A"/>
    <w:rsid w:val="001A0514"/>
    <w:rsid w:val="001A0EAB"/>
    <w:rsid w:val="001A54DB"/>
    <w:rsid w:val="001A6875"/>
    <w:rsid w:val="001B05A8"/>
    <w:rsid w:val="001B114E"/>
    <w:rsid w:val="001B3B86"/>
    <w:rsid w:val="001B724F"/>
    <w:rsid w:val="001C22D9"/>
    <w:rsid w:val="001C4EB4"/>
    <w:rsid w:val="001C7BDC"/>
    <w:rsid w:val="001D0F3D"/>
    <w:rsid w:val="001D1CBC"/>
    <w:rsid w:val="001D225C"/>
    <w:rsid w:val="001D32D2"/>
    <w:rsid w:val="001D5CA7"/>
    <w:rsid w:val="001D7EEB"/>
    <w:rsid w:val="001E053F"/>
    <w:rsid w:val="001E1552"/>
    <w:rsid w:val="001E1E0B"/>
    <w:rsid w:val="001E2B2E"/>
    <w:rsid w:val="001E3154"/>
    <w:rsid w:val="001E5B81"/>
    <w:rsid w:val="001F0B30"/>
    <w:rsid w:val="001F0EED"/>
    <w:rsid w:val="001F1EA0"/>
    <w:rsid w:val="001F44B5"/>
    <w:rsid w:val="001F583F"/>
    <w:rsid w:val="001F5B4B"/>
    <w:rsid w:val="0020023F"/>
    <w:rsid w:val="00202C99"/>
    <w:rsid w:val="00207C8C"/>
    <w:rsid w:val="002107F1"/>
    <w:rsid w:val="0021161E"/>
    <w:rsid w:val="002123FE"/>
    <w:rsid w:val="00213C28"/>
    <w:rsid w:val="00222503"/>
    <w:rsid w:val="0022493F"/>
    <w:rsid w:val="00225D6F"/>
    <w:rsid w:val="002274EF"/>
    <w:rsid w:val="002336AE"/>
    <w:rsid w:val="002337E8"/>
    <w:rsid w:val="002377AB"/>
    <w:rsid w:val="002405B2"/>
    <w:rsid w:val="00244408"/>
    <w:rsid w:val="00244ADB"/>
    <w:rsid w:val="0024541B"/>
    <w:rsid w:val="00246D6A"/>
    <w:rsid w:val="00246F91"/>
    <w:rsid w:val="002479F5"/>
    <w:rsid w:val="00252C1E"/>
    <w:rsid w:val="0025377F"/>
    <w:rsid w:val="00256270"/>
    <w:rsid w:val="002720C2"/>
    <w:rsid w:val="00277F11"/>
    <w:rsid w:val="002806D4"/>
    <w:rsid w:val="0028108C"/>
    <w:rsid w:val="0028299B"/>
    <w:rsid w:val="00282B9A"/>
    <w:rsid w:val="00284459"/>
    <w:rsid w:val="0029239B"/>
    <w:rsid w:val="002A0983"/>
    <w:rsid w:val="002A1295"/>
    <w:rsid w:val="002A64A7"/>
    <w:rsid w:val="002A6E9D"/>
    <w:rsid w:val="002B1493"/>
    <w:rsid w:val="002B26D7"/>
    <w:rsid w:val="002B3E89"/>
    <w:rsid w:val="002B4579"/>
    <w:rsid w:val="002B461E"/>
    <w:rsid w:val="002B491F"/>
    <w:rsid w:val="002B4D30"/>
    <w:rsid w:val="002B6906"/>
    <w:rsid w:val="002B6BDD"/>
    <w:rsid w:val="002B6F24"/>
    <w:rsid w:val="002C3478"/>
    <w:rsid w:val="002C435F"/>
    <w:rsid w:val="002C43EA"/>
    <w:rsid w:val="002C4EC3"/>
    <w:rsid w:val="002C55AE"/>
    <w:rsid w:val="002D0E17"/>
    <w:rsid w:val="002D16D8"/>
    <w:rsid w:val="002D208F"/>
    <w:rsid w:val="002D3E5C"/>
    <w:rsid w:val="002D79E7"/>
    <w:rsid w:val="002E101F"/>
    <w:rsid w:val="002E4784"/>
    <w:rsid w:val="002E4E66"/>
    <w:rsid w:val="002E4F15"/>
    <w:rsid w:val="002E63C4"/>
    <w:rsid w:val="002E66BD"/>
    <w:rsid w:val="002E7EA4"/>
    <w:rsid w:val="002F1115"/>
    <w:rsid w:val="002F2004"/>
    <w:rsid w:val="002F4912"/>
    <w:rsid w:val="002F59ED"/>
    <w:rsid w:val="002F68CB"/>
    <w:rsid w:val="003026F8"/>
    <w:rsid w:val="00302764"/>
    <w:rsid w:val="00305CBE"/>
    <w:rsid w:val="00312D4A"/>
    <w:rsid w:val="00315C07"/>
    <w:rsid w:val="00320D88"/>
    <w:rsid w:val="00322977"/>
    <w:rsid w:val="00322C4E"/>
    <w:rsid w:val="00325E11"/>
    <w:rsid w:val="00326B4D"/>
    <w:rsid w:val="0033163F"/>
    <w:rsid w:val="00345891"/>
    <w:rsid w:val="003460F8"/>
    <w:rsid w:val="003479DA"/>
    <w:rsid w:val="003526D2"/>
    <w:rsid w:val="003614DE"/>
    <w:rsid w:val="003616D7"/>
    <w:rsid w:val="00363717"/>
    <w:rsid w:val="003658BF"/>
    <w:rsid w:val="00365B9F"/>
    <w:rsid w:val="0037110D"/>
    <w:rsid w:val="00372037"/>
    <w:rsid w:val="00372416"/>
    <w:rsid w:val="0037525D"/>
    <w:rsid w:val="00377C28"/>
    <w:rsid w:val="00380880"/>
    <w:rsid w:val="00380E8F"/>
    <w:rsid w:val="0038317C"/>
    <w:rsid w:val="00383627"/>
    <w:rsid w:val="00384F5E"/>
    <w:rsid w:val="003850E9"/>
    <w:rsid w:val="00391963"/>
    <w:rsid w:val="00393475"/>
    <w:rsid w:val="00394A3D"/>
    <w:rsid w:val="0039571D"/>
    <w:rsid w:val="00395926"/>
    <w:rsid w:val="00395C32"/>
    <w:rsid w:val="003A1196"/>
    <w:rsid w:val="003A1EC2"/>
    <w:rsid w:val="003A22CB"/>
    <w:rsid w:val="003A6723"/>
    <w:rsid w:val="003A67B3"/>
    <w:rsid w:val="003A7C0B"/>
    <w:rsid w:val="003B2DD0"/>
    <w:rsid w:val="003B3399"/>
    <w:rsid w:val="003C022C"/>
    <w:rsid w:val="003C3FCF"/>
    <w:rsid w:val="003C7E31"/>
    <w:rsid w:val="003D00E4"/>
    <w:rsid w:val="003D5FD9"/>
    <w:rsid w:val="003D6D1E"/>
    <w:rsid w:val="003E2FDF"/>
    <w:rsid w:val="003F2406"/>
    <w:rsid w:val="0040065C"/>
    <w:rsid w:val="004033F4"/>
    <w:rsid w:val="00403B01"/>
    <w:rsid w:val="00404F0C"/>
    <w:rsid w:val="0041287E"/>
    <w:rsid w:val="0041299C"/>
    <w:rsid w:val="0041465A"/>
    <w:rsid w:val="00414C67"/>
    <w:rsid w:val="00421966"/>
    <w:rsid w:val="004225D1"/>
    <w:rsid w:val="00422F0E"/>
    <w:rsid w:val="004268AE"/>
    <w:rsid w:val="00433F24"/>
    <w:rsid w:val="00434436"/>
    <w:rsid w:val="00434F8A"/>
    <w:rsid w:val="0044116C"/>
    <w:rsid w:val="0044406E"/>
    <w:rsid w:val="00444F16"/>
    <w:rsid w:val="004465B8"/>
    <w:rsid w:val="004475DF"/>
    <w:rsid w:val="0045033A"/>
    <w:rsid w:val="004504DB"/>
    <w:rsid w:val="00451CFC"/>
    <w:rsid w:val="004548A4"/>
    <w:rsid w:val="004557A4"/>
    <w:rsid w:val="004633A2"/>
    <w:rsid w:val="00464713"/>
    <w:rsid w:val="00464A4C"/>
    <w:rsid w:val="004671F7"/>
    <w:rsid w:val="00467211"/>
    <w:rsid w:val="004714E5"/>
    <w:rsid w:val="00473644"/>
    <w:rsid w:val="00473D7C"/>
    <w:rsid w:val="0047605F"/>
    <w:rsid w:val="0047675C"/>
    <w:rsid w:val="00481B3A"/>
    <w:rsid w:val="004852ED"/>
    <w:rsid w:val="004877CE"/>
    <w:rsid w:val="00490150"/>
    <w:rsid w:val="00492777"/>
    <w:rsid w:val="00494474"/>
    <w:rsid w:val="0049641D"/>
    <w:rsid w:val="004974B5"/>
    <w:rsid w:val="004977C2"/>
    <w:rsid w:val="004A097F"/>
    <w:rsid w:val="004A0EAB"/>
    <w:rsid w:val="004A25EE"/>
    <w:rsid w:val="004A4A67"/>
    <w:rsid w:val="004B0F5C"/>
    <w:rsid w:val="004B25B3"/>
    <w:rsid w:val="004B2760"/>
    <w:rsid w:val="004B51A2"/>
    <w:rsid w:val="004B5575"/>
    <w:rsid w:val="004B6C4E"/>
    <w:rsid w:val="004B794E"/>
    <w:rsid w:val="004C14FC"/>
    <w:rsid w:val="004C17D9"/>
    <w:rsid w:val="004C2A48"/>
    <w:rsid w:val="004C33D3"/>
    <w:rsid w:val="004D45D4"/>
    <w:rsid w:val="004D5541"/>
    <w:rsid w:val="004D5F43"/>
    <w:rsid w:val="004E1DF3"/>
    <w:rsid w:val="004E2D62"/>
    <w:rsid w:val="004E3B9A"/>
    <w:rsid w:val="004E494D"/>
    <w:rsid w:val="004E6116"/>
    <w:rsid w:val="004F08CA"/>
    <w:rsid w:val="004F34CC"/>
    <w:rsid w:val="004F4B00"/>
    <w:rsid w:val="004F6026"/>
    <w:rsid w:val="004F651C"/>
    <w:rsid w:val="00501BAB"/>
    <w:rsid w:val="00502656"/>
    <w:rsid w:val="00502A36"/>
    <w:rsid w:val="00503A30"/>
    <w:rsid w:val="00510B45"/>
    <w:rsid w:val="00512389"/>
    <w:rsid w:val="00514010"/>
    <w:rsid w:val="005171B5"/>
    <w:rsid w:val="00520B96"/>
    <w:rsid w:val="00522A69"/>
    <w:rsid w:val="00530D1B"/>
    <w:rsid w:val="0053593D"/>
    <w:rsid w:val="00535C52"/>
    <w:rsid w:val="00541B2E"/>
    <w:rsid w:val="00542950"/>
    <w:rsid w:val="00544E3F"/>
    <w:rsid w:val="00545801"/>
    <w:rsid w:val="00546DBB"/>
    <w:rsid w:val="005475BC"/>
    <w:rsid w:val="00551058"/>
    <w:rsid w:val="0055213D"/>
    <w:rsid w:val="00553D46"/>
    <w:rsid w:val="0055490E"/>
    <w:rsid w:val="005561C3"/>
    <w:rsid w:val="005606E0"/>
    <w:rsid w:val="00560894"/>
    <w:rsid w:val="00563E25"/>
    <w:rsid w:val="0056772D"/>
    <w:rsid w:val="00576D1E"/>
    <w:rsid w:val="00576FD6"/>
    <w:rsid w:val="00584859"/>
    <w:rsid w:val="00585010"/>
    <w:rsid w:val="00587789"/>
    <w:rsid w:val="00587992"/>
    <w:rsid w:val="005924B8"/>
    <w:rsid w:val="005960FD"/>
    <w:rsid w:val="005969D5"/>
    <w:rsid w:val="005A0B2B"/>
    <w:rsid w:val="005A1D1C"/>
    <w:rsid w:val="005A590D"/>
    <w:rsid w:val="005A6508"/>
    <w:rsid w:val="005B3931"/>
    <w:rsid w:val="005B4B6D"/>
    <w:rsid w:val="005B7A59"/>
    <w:rsid w:val="005C0BA8"/>
    <w:rsid w:val="005C15C2"/>
    <w:rsid w:val="005C3A01"/>
    <w:rsid w:val="005C3ED7"/>
    <w:rsid w:val="005C4301"/>
    <w:rsid w:val="005C745E"/>
    <w:rsid w:val="005C7641"/>
    <w:rsid w:val="005C7C7D"/>
    <w:rsid w:val="005D2DA6"/>
    <w:rsid w:val="005D37C7"/>
    <w:rsid w:val="005D7ACF"/>
    <w:rsid w:val="005E3640"/>
    <w:rsid w:val="005E63FE"/>
    <w:rsid w:val="005F039B"/>
    <w:rsid w:val="005F21F2"/>
    <w:rsid w:val="0060580B"/>
    <w:rsid w:val="0061156D"/>
    <w:rsid w:val="00614B6A"/>
    <w:rsid w:val="006175B2"/>
    <w:rsid w:val="006175C3"/>
    <w:rsid w:val="006222F6"/>
    <w:rsid w:val="00624752"/>
    <w:rsid w:val="006272E8"/>
    <w:rsid w:val="00632E17"/>
    <w:rsid w:val="006346C9"/>
    <w:rsid w:val="006420E1"/>
    <w:rsid w:val="0064353A"/>
    <w:rsid w:val="00645B6C"/>
    <w:rsid w:val="0065183A"/>
    <w:rsid w:val="0065201B"/>
    <w:rsid w:val="0065204D"/>
    <w:rsid w:val="00652384"/>
    <w:rsid w:val="006553CF"/>
    <w:rsid w:val="0065595A"/>
    <w:rsid w:val="00656359"/>
    <w:rsid w:val="00660864"/>
    <w:rsid w:val="00661A34"/>
    <w:rsid w:val="00662090"/>
    <w:rsid w:val="00662B0B"/>
    <w:rsid w:val="00664B80"/>
    <w:rsid w:val="00665201"/>
    <w:rsid w:val="00671BDA"/>
    <w:rsid w:val="00673282"/>
    <w:rsid w:val="00676890"/>
    <w:rsid w:val="00676CA2"/>
    <w:rsid w:val="0067739A"/>
    <w:rsid w:val="006800DF"/>
    <w:rsid w:val="00680605"/>
    <w:rsid w:val="00683296"/>
    <w:rsid w:val="00691FD4"/>
    <w:rsid w:val="006A04DC"/>
    <w:rsid w:val="006A0C4B"/>
    <w:rsid w:val="006A42BE"/>
    <w:rsid w:val="006A48C8"/>
    <w:rsid w:val="006A4D37"/>
    <w:rsid w:val="006A7064"/>
    <w:rsid w:val="006B2EF2"/>
    <w:rsid w:val="006B499B"/>
    <w:rsid w:val="006B6251"/>
    <w:rsid w:val="006C208A"/>
    <w:rsid w:val="006C413A"/>
    <w:rsid w:val="006D09A9"/>
    <w:rsid w:val="006D138E"/>
    <w:rsid w:val="006D284B"/>
    <w:rsid w:val="006D37D5"/>
    <w:rsid w:val="006D64ED"/>
    <w:rsid w:val="006D6999"/>
    <w:rsid w:val="006D69BF"/>
    <w:rsid w:val="006E3EE0"/>
    <w:rsid w:val="006E51B3"/>
    <w:rsid w:val="006E5825"/>
    <w:rsid w:val="006F03EA"/>
    <w:rsid w:val="006F17C1"/>
    <w:rsid w:val="006F2324"/>
    <w:rsid w:val="006F385D"/>
    <w:rsid w:val="006F43E4"/>
    <w:rsid w:val="006F6C3C"/>
    <w:rsid w:val="007000C2"/>
    <w:rsid w:val="00700F4A"/>
    <w:rsid w:val="0070462C"/>
    <w:rsid w:val="00706D0C"/>
    <w:rsid w:val="00707A47"/>
    <w:rsid w:val="007114CD"/>
    <w:rsid w:val="00714791"/>
    <w:rsid w:val="0071584F"/>
    <w:rsid w:val="00717E0A"/>
    <w:rsid w:val="00720648"/>
    <w:rsid w:val="00722B56"/>
    <w:rsid w:val="00724582"/>
    <w:rsid w:val="0072508E"/>
    <w:rsid w:val="00726A50"/>
    <w:rsid w:val="00726C66"/>
    <w:rsid w:val="007275BA"/>
    <w:rsid w:val="007328C0"/>
    <w:rsid w:val="00740AE2"/>
    <w:rsid w:val="0074108E"/>
    <w:rsid w:val="007410FC"/>
    <w:rsid w:val="00742994"/>
    <w:rsid w:val="00755FD2"/>
    <w:rsid w:val="007623CD"/>
    <w:rsid w:val="00762BD6"/>
    <w:rsid w:val="00763E2F"/>
    <w:rsid w:val="00764154"/>
    <w:rsid w:val="007657E7"/>
    <w:rsid w:val="0076690C"/>
    <w:rsid w:val="007669D6"/>
    <w:rsid w:val="00774CEB"/>
    <w:rsid w:val="00777EFD"/>
    <w:rsid w:val="007805E4"/>
    <w:rsid w:val="007810F4"/>
    <w:rsid w:val="0078235D"/>
    <w:rsid w:val="007919D2"/>
    <w:rsid w:val="007A0C8D"/>
    <w:rsid w:val="007A46FF"/>
    <w:rsid w:val="007B0F7C"/>
    <w:rsid w:val="007B2AFA"/>
    <w:rsid w:val="007B4631"/>
    <w:rsid w:val="007B7159"/>
    <w:rsid w:val="007B7C93"/>
    <w:rsid w:val="007C0280"/>
    <w:rsid w:val="007C5E0A"/>
    <w:rsid w:val="007C6B20"/>
    <w:rsid w:val="007D1484"/>
    <w:rsid w:val="007D1821"/>
    <w:rsid w:val="007D4088"/>
    <w:rsid w:val="007D478D"/>
    <w:rsid w:val="007D5213"/>
    <w:rsid w:val="007D719B"/>
    <w:rsid w:val="007D7A65"/>
    <w:rsid w:val="007E2BC9"/>
    <w:rsid w:val="007E3126"/>
    <w:rsid w:val="007E3CDD"/>
    <w:rsid w:val="007E3E1D"/>
    <w:rsid w:val="007E44D5"/>
    <w:rsid w:val="007F352C"/>
    <w:rsid w:val="007F356B"/>
    <w:rsid w:val="007F38A0"/>
    <w:rsid w:val="007F4250"/>
    <w:rsid w:val="007F5E48"/>
    <w:rsid w:val="007F7064"/>
    <w:rsid w:val="007F7694"/>
    <w:rsid w:val="007F7ECD"/>
    <w:rsid w:val="008010D0"/>
    <w:rsid w:val="00803B55"/>
    <w:rsid w:val="008049E8"/>
    <w:rsid w:val="008062DC"/>
    <w:rsid w:val="00810B31"/>
    <w:rsid w:val="00810D75"/>
    <w:rsid w:val="0081358E"/>
    <w:rsid w:val="008164C5"/>
    <w:rsid w:val="0081707B"/>
    <w:rsid w:val="008208C4"/>
    <w:rsid w:val="00821778"/>
    <w:rsid w:val="008254C0"/>
    <w:rsid w:val="0082729C"/>
    <w:rsid w:val="00827B14"/>
    <w:rsid w:val="00834942"/>
    <w:rsid w:val="0084235D"/>
    <w:rsid w:val="00842B0C"/>
    <w:rsid w:val="008449E6"/>
    <w:rsid w:val="008468ED"/>
    <w:rsid w:val="00846B3A"/>
    <w:rsid w:val="00851D72"/>
    <w:rsid w:val="0085279C"/>
    <w:rsid w:val="00855C4B"/>
    <w:rsid w:val="00856349"/>
    <w:rsid w:val="00856537"/>
    <w:rsid w:val="00856EB0"/>
    <w:rsid w:val="0085762E"/>
    <w:rsid w:val="00860E57"/>
    <w:rsid w:val="00861EDC"/>
    <w:rsid w:val="00863776"/>
    <w:rsid w:val="00864360"/>
    <w:rsid w:val="00865051"/>
    <w:rsid w:val="00880E0F"/>
    <w:rsid w:val="0088105A"/>
    <w:rsid w:val="0088378C"/>
    <w:rsid w:val="008859D4"/>
    <w:rsid w:val="008868CF"/>
    <w:rsid w:val="00890C22"/>
    <w:rsid w:val="00891920"/>
    <w:rsid w:val="00891F25"/>
    <w:rsid w:val="008923F9"/>
    <w:rsid w:val="00895F6B"/>
    <w:rsid w:val="008962C0"/>
    <w:rsid w:val="0089679F"/>
    <w:rsid w:val="0089761A"/>
    <w:rsid w:val="008A0F94"/>
    <w:rsid w:val="008A49DB"/>
    <w:rsid w:val="008A7867"/>
    <w:rsid w:val="008A7D99"/>
    <w:rsid w:val="008B1E0C"/>
    <w:rsid w:val="008B2ADA"/>
    <w:rsid w:val="008B2BF2"/>
    <w:rsid w:val="008B65D5"/>
    <w:rsid w:val="008B7559"/>
    <w:rsid w:val="008B777E"/>
    <w:rsid w:val="008C0895"/>
    <w:rsid w:val="008C18F8"/>
    <w:rsid w:val="008C268D"/>
    <w:rsid w:val="008C4B89"/>
    <w:rsid w:val="008D0F92"/>
    <w:rsid w:val="008D1428"/>
    <w:rsid w:val="008D2A81"/>
    <w:rsid w:val="008D7D40"/>
    <w:rsid w:val="008E5395"/>
    <w:rsid w:val="008E7D1D"/>
    <w:rsid w:val="008F1086"/>
    <w:rsid w:val="008F1189"/>
    <w:rsid w:val="008F4ECB"/>
    <w:rsid w:val="008F7E11"/>
    <w:rsid w:val="00900787"/>
    <w:rsid w:val="00901CED"/>
    <w:rsid w:val="00902F18"/>
    <w:rsid w:val="00912BE2"/>
    <w:rsid w:val="00914624"/>
    <w:rsid w:val="00914E7C"/>
    <w:rsid w:val="0091502A"/>
    <w:rsid w:val="00916D33"/>
    <w:rsid w:val="0091701B"/>
    <w:rsid w:val="009177D4"/>
    <w:rsid w:val="0091786E"/>
    <w:rsid w:val="00921EF3"/>
    <w:rsid w:val="00930490"/>
    <w:rsid w:val="00930FAE"/>
    <w:rsid w:val="009322CA"/>
    <w:rsid w:val="00937AC4"/>
    <w:rsid w:val="00937CEC"/>
    <w:rsid w:val="00937F52"/>
    <w:rsid w:val="00937FEE"/>
    <w:rsid w:val="00943563"/>
    <w:rsid w:val="0094547C"/>
    <w:rsid w:val="009456F6"/>
    <w:rsid w:val="00947FE2"/>
    <w:rsid w:val="009505CA"/>
    <w:rsid w:val="00953132"/>
    <w:rsid w:val="009549DB"/>
    <w:rsid w:val="00956566"/>
    <w:rsid w:val="009607B9"/>
    <w:rsid w:val="00961639"/>
    <w:rsid w:val="009641E5"/>
    <w:rsid w:val="00967303"/>
    <w:rsid w:val="00967586"/>
    <w:rsid w:val="00967599"/>
    <w:rsid w:val="00970677"/>
    <w:rsid w:val="00972DD8"/>
    <w:rsid w:val="00972F58"/>
    <w:rsid w:val="00973AD2"/>
    <w:rsid w:val="009757B8"/>
    <w:rsid w:val="0097722F"/>
    <w:rsid w:val="00982042"/>
    <w:rsid w:val="00984D23"/>
    <w:rsid w:val="00985EAC"/>
    <w:rsid w:val="00987FCD"/>
    <w:rsid w:val="00991147"/>
    <w:rsid w:val="0099708D"/>
    <w:rsid w:val="00997463"/>
    <w:rsid w:val="00997C35"/>
    <w:rsid w:val="009A1531"/>
    <w:rsid w:val="009A26D0"/>
    <w:rsid w:val="009A2CBE"/>
    <w:rsid w:val="009A4536"/>
    <w:rsid w:val="009A5FA4"/>
    <w:rsid w:val="009B04FA"/>
    <w:rsid w:val="009B5503"/>
    <w:rsid w:val="009C33AE"/>
    <w:rsid w:val="009C6060"/>
    <w:rsid w:val="009C7DD5"/>
    <w:rsid w:val="009D18C8"/>
    <w:rsid w:val="009D20E6"/>
    <w:rsid w:val="009D28B1"/>
    <w:rsid w:val="009D4C48"/>
    <w:rsid w:val="009D502B"/>
    <w:rsid w:val="009D6E34"/>
    <w:rsid w:val="009D6F7A"/>
    <w:rsid w:val="009E1F7B"/>
    <w:rsid w:val="009E2267"/>
    <w:rsid w:val="009F1173"/>
    <w:rsid w:val="009F46EE"/>
    <w:rsid w:val="009F6E41"/>
    <w:rsid w:val="009F741A"/>
    <w:rsid w:val="00A01924"/>
    <w:rsid w:val="00A01DC5"/>
    <w:rsid w:val="00A0374B"/>
    <w:rsid w:val="00A05641"/>
    <w:rsid w:val="00A06B19"/>
    <w:rsid w:val="00A1093F"/>
    <w:rsid w:val="00A11BE1"/>
    <w:rsid w:val="00A20837"/>
    <w:rsid w:val="00A20B18"/>
    <w:rsid w:val="00A23FB4"/>
    <w:rsid w:val="00A24D2A"/>
    <w:rsid w:val="00A27B61"/>
    <w:rsid w:val="00A30388"/>
    <w:rsid w:val="00A34964"/>
    <w:rsid w:val="00A34AAC"/>
    <w:rsid w:val="00A41A3A"/>
    <w:rsid w:val="00A41F64"/>
    <w:rsid w:val="00A426F1"/>
    <w:rsid w:val="00A42E47"/>
    <w:rsid w:val="00A4621C"/>
    <w:rsid w:val="00A47649"/>
    <w:rsid w:val="00A504EC"/>
    <w:rsid w:val="00A537B5"/>
    <w:rsid w:val="00A53D93"/>
    <w:rsid w:val="00A54D11"/>
    <w:rsid w:val="00A55F06"/>
    <w:rsid w:val="00A5768D"/>
    <w:rsid w:val="00A624FA"/>
    <w:rsid w:val="00A63877"/>
    <w:rsid w:val="00A63BF3"/>
    <w:rsid w:val="00A72A02"/>
    <w:rsid w:val="00A74534"/>
    <w:rsid w:val="00A752A8"/>
    <w:rsid w:val="00A77CA5"/>
    <w:rsid w:val="00A8355F"/>
    <w:rsid w:val="00A84C9C"/>
    <w:rsid w:val="00A86C0D"/>
    <w:rsid w:val="00A943D5"/>
    <w:rsid w:val="00A961DF"/>
    <w:rsid w:val="00AA06EC"/>
    <w:rsid w:val="00AA0CD5"/>
    <w:rsid w:val="00AA42AF"/>
    <w:rsid w:val="00AA58B2"/>
    <w:rsid w:val="00AB2A21"/>
    <w:rsid w:val="00AB4771"/>
    <w:rsid w:val="00AB5F4A"/>
    <w:rsid w:val="00AB6578"/>
    <w:rsid w:val="00AB6ED5"/>
    <w:rsid w:val="00AB7C3C"/>
    <w:rsid w:val="00AB7F31"/>
    <w:rsid w:val="00AC16F6"/>
    <w:rsid w:val="00AC23F7"/>
    <w:rsid w:val="00AC3512"/>
    <w:rsid w:val="00AC4DAA"/>
    <w:rsid w:val="00AD0D60"/>
    <w:rsid w:val="00AD0D70"/>
    <w:rsid w:val="00AD3FE4"/>
    <w:rsid w:val="00AD7AF9"/>
    <w:rsid w:val="00AE1466"/>
    <w:rsid w:val="00AE2551"/>
    <w:rsid w:val="00AE2BFD"/>
    <w:rsid w:val="00AE57BD"/>
    <w:rsid w:val="00AE6F3F"/>
    <w:rsid w:val="00AF2E22"/>
    <w:rsid w:val="00AF36AE"/>
    <w:rsid w:val="00AF5E7F"/>
    <w:rsid w:val="00AF737C"/>
    <w:rsid w:val="00B00EB8"/>
    <w:rsid w:val="00B0266C"/>
    <w:rsid w:val="00B07900"/>
    <w:rsid w:val="00B104B9"/>
    <w:rsid w:val="00B130AB"/>
    <w:rsid w:val="00B17BF2"/>
    <w:rsid w:val="00B17ECA"/>
    <w:rsid w:val="00B306EF"/>
    <w:rsid w:val="00B30802"/>
    <w:rsid w:val="00B32191"/>
    <w:rsid w:val="00B322F1"/>
    <w:rsid w:val="00B33749"/>
    <w:rsid w:val="00B3587D"/>
    <w:rsid w:val="00B36E29"/>
    <w:rsid w:val="00B37F01"/>
    <w:rsid w:val="00B41BF2"/>
    <w:rsid w:val="00B42707"/>
    <w:rsid w:val="00B447D9"/>
    <w:rsid w:val="00B47E22"/>
    <w:rsid w:val="00B47F0C"/>
    <w:rsid w:val="00B57E54"/>
    <w:rsid w:val="00B6049D"/>
    <w:rsid w:val="00B63331"/>
    <w:rsid w:val="00B638CD"/>
    <w:rsid w:val="00B66B9C"/>
    <w:rsid w:val="00B72729"/>
    <w:rsid w:val="00B72F58"/>
    <w:rsid w:val="00B73FB6"/>
    <w:rsid w:val="00B74374"/>
    <w:rsid w:val="00B75CC0"/>
    <w:rsid w:val="00B76C0E"/>
    <w:rsid w:val="00B85C7D"/>
    <w:rsid w:val="00B90999"/>
    <w:rsid w:val="00B919AE"/>
    <w:rsid w:val="00B93ECC"/>
    <w:rsid w:val="00B9420B"/>
    <w:rsid w:val="00B94ECD"/>
    <w:rsid w:val="00BA087E"/>
    <w:rsid w:val="00BA3057"/>
    <w:rsid w:val="00BA345A"/>
    <w:rsid w:val="00BA65F0"/>
    <w:rsid w:val="00BB03DA"/>
    <w:rsid w:val="00BB4E0D"/>
    <w:rsid w:val="00BB5A09"/>
    <w:rsid w:val="00BB70C9"/>
    <w:rsid w:val="00BC1DF4"/>
    <w:rsid w:val="00BC2336"/>
    <w:rsid w:val="00BC2961"/>
    <w:rsid w:val="00BC5BE1"/>
    <w:rsid w:val="00BC5C13"/>
    <w:rsid w:val="00BC5C81"/>
    <w:rsid w:val="00BC640E"/>
    <w:rsid w:val="00BD020A"/>
    <w:rsid w:val="00BD085B"/>
    <w:rsid w:val="00BD0873"/>
    <w:rsid w:val="00BD30FF"/>
    <w:rsid w:val="00BD325C"/>
    <w:rsid w:val="00BD6107"/>
    <w:rsid w:val="00BE06AB"/>
    <w:rsid w:val="00BE372C"/>
    <w:rsid w:val="00BE473C"/>
    <w:rsid w:val="00BF06D4"/>
    <w:rsid w:val="00BF0F19"/>
    <w:rsid w:val="00BF6DF7"/>
    <w:rsid w:val="00C068EB"/>
    <w:rsid w:val="00C21406"/>
    <w:rsid w:val="00C2348A"/>
    <w:rsid w:val="00C25572"/>
    <w:rsid w:val="00C258FD"/>
    <w:rsid w:val="00C3224E"/>
    <w:rsid w:val="00C34BE2"/>
    <w:rsid w:val="00C353BD"/>
    <w:rsid w:val="00C36F95"/>
    <w:rsid w:val="00C37637"/>
    <w:rsid w:val="00C40B1D"/>
    <w:rsid w:val="00C40B5B"/>
    <w:rsid w:val="00C44E61"/>
    <w:rsid w:val="00C4562E"/>
    <w:rsid w:val="00C45C0F"/>
    <w:rsid w:val="00C46733"/>
    <w:rsid w:val="00C51D73"/>
    <w:rsid w:val="00C54B34"/>
    <w:rsid w:val="00C55820"/>
    <w:rsid w:val="00C5668C"/>
    <w:rsid w:val="00C57176"/>
    <w:rsid w:val="00C60F41"/>
    <w:rsid w:val="00C638A0"/>
    <w:rsid w:val="00C65ED7"/>
    <w:rsid w:val="00C702FB"/>
    <w:rsid w:val="00C70B26"/>
    <w:rsid w:val="00C719A4"/>
    <w:rsid w:val="00C73FB5"/>
    <w:rsid w:val="00C74555"/>
    <w:rsid w:val="00C75DD0"/>
    <w:rsid w:val="00C7709B"/>
    <w:rsid w:val="00C836EE"/>
    <w:rsid w:val="00C83903"/>
    <w:rsid w:val="00C848E3"/>
    <w:rsid w:val="00C84DBD"/>
    <w:rsid w:val="00C92671"/>
    <w:rsid w:val="00C93D4C"/>
    <w:rsid w:val="00C9436D"/>
    <w:rsid w:val="00C96AC2"/>
    <w:rsid w:val="00CA111B"/>
    <w:rsid w:val="00CB27DE"/>
    <w:rsid w:val="00CB3114"/>
    <w:rsid w:val="00CC237C"/>
    <w:rsid w:val="00CC4F46"/>
    <w:rsid w:val="00CC5620"/>
    <w:rsid w:val="00CC7F3C"/>
    <w:rsid w:val="00CE0EEB"/>
    <w:rsid w:val="00CE3AF1"/>
    <w:rsid w:val="00CF09B0"/>
    <w:rsid w:val="00CF25F1"/>
    <w:rsid w:val="00CF4C2E"/>
    <w:rsid w:val="00CF56E7"/>
    <w:rsid w:val="00CF572C"/>
    <w:rsid w:val="00CF5C65"/>
    <w:rsid w:val="00CF744D"/>
    <w:rsid w:val="00CF7D97"/>
    <w:rsid w:val="00D010B9"/>
    <w:rsid w:val="00D024D6"/>
    <w:rsid w:val="00D03ABB"/>
    <w:rsid w:val="00D03B3E"/>
    <w:rsid w:val="00D0444B"/>
    <w:rsid w:val="00D046E8"/>
    <w:rsid w:val="00D05D1A"/>
    <w:rsid w:val="00D07D4C"/>
    <w:rsid w:val="00D1095E"/>
    <w:rsid w:val="00D11FE1"/>
    <w:rsid w:val="00D12520"/>
    <w:rsid w:val="00D13522"/>
    <w:rsid w:val="00D153C5"/>
    <w:rsid w:val="00D200D1"/>
    <w:rsid w:val="00D2275A"/>
    <w:rsid w:val="00D22FF2"/>
    <w:rsid w:val="00D235F5"/>
    <w:rsid w:val="00D31C1D"/>
    <w:rsid w:val="00D32F0B"/>
    <w:rsid w:val="00D34EE3"/>
    <w:rsid w:val="00D4145C"/>
    <w:rsid w:val="00D50606"/>
    <w:rsid w:val="00D50A8D"/>
    <w:rsid w:val="00D52BB6"/>
    <w:rsid w:val="00D544E7"/>
    <w:rsid w:val="00D558BD"/>
    <w:rsid w:val="00D61815"/>
    <w:rsid w:val="00D64061"/>
    <w:rsid w:val="00D65131"/>
    <w:rsid w:val="00D665DE"/>
    <w:rsid w:val="00D66A73"/>
    <w:rsid w:val="00D74C4B"/>
    <w:rsid w:val="00D75C76"/>
    <w:rsid w:val="00D82AF4"/>
    <w:rsid w:val="00D83A79"/>
    <w:rsid w:val="00D86DE6"/>
    <w:rsid w:val="00D901E0"/>
    <w:rsid w:val="00D9266D"/>
    <w:rsid w:val="00D9305A"/>
    <w:rsid w:val="00D94A71"/>
    <w:rsid w:val="00D9740E"/>
    <w:rsid w:val="00DA0FEC"/>
    <w:rsid w:val="00DA5834"/>
    <w:rsid w:val="00DB0B67"/>
    <w:rsid w:val="00DB1C2A"/>
    <w:rsid w:val="00DB21D0"/>
    <w:rsid w:val="00DB35D1"/>
    <w:rsid w:val="00DC2605"/>
    <w:rsid w:val="00DC667A"/>
    <w:rsid w:val="00DD10FA"/>
    <w:rsid w:val="00DD2BC5"/>
    <w:rsid w:val="00DD2C89"/>
    <w:rsid w:val="00DD2CA2"/>
    <w:rsid w:val="00DD475B"/>
    <w:rsid w:val="00DD4DA8"/>
    <w:rsid w:val="00DD78E4"/>
    <w:rsid w:val="00DE03E4"/>
    <w:rsid w:val="00DE0778"/>
    <w:rsid w:val="00DE28FA"/>
    <w:rsid w:val="00DE5203"/>
    <w:rsid w:val="00DE5F57"/>
    <w:rsid w:val="00DE605D"/>
    <w:rsid w:val="00DF03F8"/>
    <w:rsid w:val="00DF3835"/>
    <w:rsid w:val="00DF4FE3"/>
    <w:rsid w:val="00DF53EB"/>
    <w:rsid w:val="00DF638B"/>
    <w:rsid w:val="00E029E6"/>
    <w:rsid w:val="00E10CFF"/>
    <w:rsid w:val="00E12150"/>
    <w:rsid w:val="00E15715"/>
    <w:rsid w:val="00E159E2"/>
    <w:rsid w:val="00E15F7A"/>
    <w:rsid w:val="00E17B9E"/>
    <w:rsid w:val="00E20F46"/>
    <w:rsid w:val="00E272EE"/>
    <w:rsid w:val="00E27586"/>
    <w:rsid w:val="00E31390"/>
    <w:rsid w:val="00E33E15"/>
    <w:rsid w:val="00E42262"/>
    <w:rsid w:val="00E428DA"/>
    <w:rsid w:val="00E4312E"/>
    <w:rsid w:val="00E43640"/>
    <w:rsid w:val="00E43CEF"/>
    <w:rsid w:val="00E44A15"/>
    <w:rsid w:val="00E459D8"/>
    <w:rsid w:val="00E45B36"/>
    <w:rsid w:val="00E50120"/>
    <w:rsid w:val="00E5414B"/>
    <w:rsid w:val="00E54F6B"/>
    <w:rsid w:val="00E55508"/>
    <w:rsid w:val="00E56489"/>
    <w:rsid w:val="00E57F9E"/>
    <w:rsid w:val="00E669F2"/>
    <w:rsid w:val="00E731D1"/>
    <w:rsid w:val="00E73B56"/>
    <w:rsid w:val="00E76775"/>
    <w:rsid w:val="00E805E4"/>
    <w:rsid w:val="00E80F5B"/>
    <w:rsid w:val="00E824EA"/>
    <w:rsid w:val="00E847F5"/>
    <w:rsid w:val="00E85F44"/>
    <w:rsid w:val="00E902FA"/>
    <w:rsid w:val="00E91FCC"/>
    <w:rsid w:val="00E92276"/>
    <w:rsid w:val="00E9245E"/>
    <w:rsid w:val="00E92A4C"/>
    <w:rsid w:val="00E92B03"/>
    <w:rsid w:val="00E968AB"/>
    <w:rsid w:val="00EA42E5"/>
    <w:rsid w:val="00EA72B7"/>
    <w:rsid w:val="00EB2F07"/>
    <w:rsid w:val="00EB2F44"/>
    <w:rsid w:val="00EB3EAD"/>
    <w:rsid w:val="00EB58FA"/>
    <w:rsid w:val="00EB71F0"/>
    <w:rsid w:val="00EB74BD"/>
    <w:rsid w:val="00EC3D9F"/>
    <w:rsid w:val="00EC5180"/>
    <w:rsid w:val="00EC5313"/>
    <w:rsid w:val="00EC7592"/>
    <w:rsid w:val="00EC7BA5"/>
    <w:rsid w:val="00ED1184"/>
    <w:rsid w:val="00ED21FB"/>
    <w:rsid w:val="00ED2B69"/>
    <w:rsid w:val="00ED39CE"/>
    <w:rsid w:val="00ED3A59"/>
    <w:rsid w:val="00ED6EEA"/>
    <w:rsid w:val="00ED7273"/>
    <w:rsid w:val="00EE04AB"/>
    <w:rsid w:val="00EE242C"/>
    <w:rsid w:val="00EE2A97"/>
    <w:rsid w:val="00EE56AE"/>
    <w:rsid w:val="00EF0ADC"/>
    <w:rsid w:val="00F019A8"/>
    <w:rsid w:val="00F063A9"/>
    <w:rsid w:val="00F0717D"/>
    <w:rsid w:val="00F11380"/>
    <w:rsid w:val="00F1269E"/>
    <w:rsid w:val="00F146E9"/>
    <w:rsid w:val="00F14F02"/>
    <w:rsid w:val="00F14F07"/>
    <w:rsid w:val="00F15A96"/>
    <w:rsid w:val="00F165A1"/>
    <w:rsid w:val="00F17853"/>
    <w:rsid w:val="00F17B77"/>
    <w:rsid w:val="00F21DC7"/>
    <w:rsid w:val="00F27ABA"/>
    <w:rsid w:val="00F30354"/>
    <w:rsid w:val="00F33270"/>
    <w:rsid w:val="00F365DB"/>
    <w:rsid w:val="00F4158A"/>
    <w:rsid w:val="00F437CC"/>
    <w:rsid w:val="00F442EE"/>
    <w:rsid w:val="00F44550"/>
    <w:rsid w:val="00F45B7D"/>
    <w:rsid w:val="00F45DA9"/>
    <w:rsid w:val="00F530A0"/>
    <w:rsid w:val="00F545E4"/>
    <w:rsid w:val="00F54C87"/>
    <w:rsid w:val="00F61218"/>
    <w:rsid w:val="00F62820"/>
    <w:rsid w:val="00F62E90"/>
    <w:rsid w:val="00F63D92"/>
    <w:rsid w:val="00F6760C"/>
    <w:rsid w:val="00F67A73"/>
    <w:rsid w:val="00F70189"/>
    <w:rsid w:val="00F727FC"/>
    <w:rsid w:val="00F7292C"/>
    <w:rsid w:val="00F73BE8"/>
    <w:rsid w:val="00F7492A"/>
    <w:rsid w:val="00F91DF0"/>
    <w:rsid w:val="00F92802"/>
    <w:rsid w:val="00F94BB5"/>
    <w:rsid w:val="00F95E29"/>
    <w:rsid w:val="00FA0E1D"/>
    <w:rsid w:val="00FA1864"/>
    <w:rsid w:val="00FA2FF3"/>
    <w:rsid w:val="00FA3CD2"/>
    <w:rsid w:val="00FA5200"/>
    <w:rsid w:val="00FA678D"/>
    <w:rsid w:val="00FA77D6"/>
    <w:rsid w:val="00FB0974"/>
    <w:rsid w:val="00FB1A70"/>
    <w:rsid w:val="00FB4000"/>
    <w:rsid w:val="00FB4D5D"/>
    <w:rsid w:val="00FB7BF6"/>
    <w:rsid w:val="00FC3FE2"/>
    <w:rsid w:val="00FC4E6E"/>
    <w:rsid w:val="00FC510D"/>
    <w:rsid w:val="00FC5F1F"/>
    <w:rsid w:val="00FC6958"/>
    <w:rsid w:val="00FD1B14"/>
    <w:rsid w:val="00FD4367"/>
    <w:rsid w:val="00FE422B"/>
    <w:rsid w:val="00FE7212"/>
    <w:rsid w:val="00FE7E95"/>
    <w:rsid w:val="00FF3D28"/>
    <w:rsid w:val="00FF5B09"/>
    <w:rsid w:val="00FF5B51"/>
    <w:rsid w:val="00FF5F4C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7D06F-C5EC-46EA-A2AD-BBC93CA3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B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BE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D40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D40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D40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40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408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15E6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15E64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E64"/>
    <w:rPr>
      <w:rFonts w:eastAsiaTheme="minorEastAsia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03B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A2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FF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35C5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2BF2"/>
    <w:rPr>
      <w:color w:val="954F72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D64ED"/>
    <w:rPr>
      <w:color w:val="605E5C"/>
      <w:shd w:val="clear" w:color="auto" w:fill="E1DFDD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57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74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7463"/>
    <w:rPr>
      <w:sz w:val="20"/>
      <w:szCs w:val="20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7B7159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F62E90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019D5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019D5"/>
    <w:rPr>
      <w:rFonts w:ascii="Calibri" w:hAnsi="Calibri"/>
      <w:color w:val="00457D"/>
      <w:szCs w:val="21"/>
    </w:rPr>
  </w:style>
  <w:style w:type="paragraph" w:styleId="Revisione">
    <w:name w:val="Revision"/>
    <w:hidden/>
    <w:uiPriority w:val="99"/>
    <w:semiHidden/>
    <w:rsid w:val="001019D5"/>
    <w:pPr>
      <w:spacing w:after="0" w:line="240" w:lineRule="auto"/>
    </w:p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5D2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3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9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86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55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6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6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4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69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996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0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8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22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55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05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5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60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0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8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5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70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55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1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41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06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1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76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1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45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59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7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89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1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36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9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91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4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75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58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63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47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5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49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23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35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14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45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4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74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35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28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96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40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87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018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9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6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78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5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48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99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65895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0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9" w:color="DFE1E5"/>
                <w:right w:val="none" w:sz="0" w:space="0" w:color="auto"/>
              </w:divBdr>
              <w:divsChild>
                <w:div w:id="15067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6049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rocovid-greenzone.eu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gimbe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coronavirus.gimb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helancet.com/journals/lancet/article/PIIS0140-6736(21)00186-0/fulltext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5295-A26A-4AEB-BC12-397305B1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Gili</dc:creator>
  <cp:lastModifiedBy>Roberto Luceri</cp:lastModifiedBy>
  <cp:revision>13</cp:revision>
  <cp:lastPrinted>2021-02-16T16:57:00Z</cp:lastPrinted>
  <dcterms:created xsi:type="dcterms:W3CDTF">2021-02-18T06:57:00Z</dcterms:created>
  <dcterms:modified xsi:type="dcterms:W3CDTF">2021-02-18T08:29:00Z</dcterms:modified>
</cp:coreProperties>
</file>