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E64" w:rsidRPr="00BF1EEA" w:rsidRDefault="00115E64" w:rsidP="00115E64">
      <w:pPr>
        <w:jc w:val="center"/>
        <w:rPr>
          <w:b/>
          <w:bCs/>
          <w:sz w:val="36"/>
          <w:szCs w:val="36"/>
        </w:rPr>
      </w:pPr>
      <w:r w:rsidRPr="00BF1EEA">
        <w:rPr>
          <w:rFonts w:ascii="Calibri" w:eastAsia="Calibri" w:hAnsi="Calibri" w:cs="Times New Roman"/>
          <w:b/>
          <w:bCs/>
          <w:sz w:val="36"/>
          <w:szCs w:val="36"/>
        </w:rPr>
        <w:t>COMUNICATO STAMPA</w:t>
      </w:r>
    </w:p>
    <w:p w:rsidR="007F323C" w:rsidRPr="001913FB" w:rsidRDefault="00497ED9" w:rsidP="00854933">
      <w:pPr>
        <w:spacing w:after="120"/>
        <w:jc w:val="center"/>
        <w:rPr>
          <w:b/>
          <w:sz w:val="32"/>
          <w:szCs w:val="32"/>
        </w:rPr>
      </w:pPr>
      <w:r w:rsidRPr="001913FB">
        <w:rPr>
          <w:b/>
          <w:sz w:val="32"/>
          <w:szCs w:val="32"/>
        </w:rPr>
        <w:t>CORONAVIRUS: OLTRE 530 MILA CASI ATTUALMENTE POSITIVI,</w:t>
      </w:r>
      <w:r w:rsidRPr="001913FB">
        <w:rPr>
          <w:b/>
          <w:sz w:val="32"/>
          <w:szCs w:val="32"/>
        </w:rPr>
        <w:br/>
        <w:t xml:space="preserve">IN 10 REGIONI OCCUPAZIONE TERAPIE INTENSIVE </w:t>
      </w:r>
      <w:r w:rsidRPr="001913FB">
        <w:rPr>
          <w:rFonts w:cstheme="minorHAnsi"/>
          <w:b/>
          <w:sz w:val="32"/>
          <w:szCs w:val="32"/>
        </w:rPr>
        <w:t>≥</w:t>
      </w:r>
      <w:r w:rsidRPr="001913FB">
        <w:rPr>
          <w:b/>
          <w:sz w:val="32"/>
          <w:szCs w:val="32"/>
        </w:rPr>
        <w:t>40%.</w:t>
      </w:r>
      <w:r w:rsidRPr="001913FB">
        <w:rPr>
          <w:b/>
          <w:sz w:val="32"/>
          <w:szCs w:val="32"/>
        </w:rPr>
        <w:br/>
        <w:t>CONSEGNE VACCINI: A 2 SETTIMANE DALLA FINE DEL 1° TRIMESTRE MANCANO ALL’APPELLO IL 45% DELLE DOSI</w:t>
      </w:r>
    </w:p>
    <w:p w:rsidR="00F5371A" w:rsidRPr="00580EA0" w:rsidRDefault="00115E64" w:rsidP="000936E0">
      <w:pPr>
        <w:spacing w:after="120"/>
        <w:jc w:val="both"/>
        <w:rPr>
          <w:b/>
          <w:sz w:val="23"/>
          <w:szCs w:val="23"/>
        </w:rPr>
      </w:pPr>
      <w:r w:rsidRPr="00580EA0">
        <w:rPr>
          <w:b/>
          <w:sz w:val="23"/>
          <w:szCs w:val="23"/>
        </w:rPr>
        <w:t xml:space="preserve">IL MONITORAGGIO DELLA FONDAZIONE GIMBE </w:t>
      </w:r>
      <w:r w:rsidR="006A1F0B" w:rsidRPr="00580EA0">
        <w:rPr>
          <w:b/>
          <w:sz w:val="23"/>
          <w:szCs w:val="23"/>
        </w:rPr>
        <w:t>CONFERMA</w:t>
      </w:r>
      <w:r w:rsidR="00684411" w:rsidRPr="00580EA0">
        <w:rPr>
          <w:b/>
          <w:sz w:val="23"/>
          <w:szCs w:val="23"/>
        </w:rPr>
        <w:t>,</w:t>
      </w:r>
      <w:r w:rsidRPr="00580EA0">
        <w:rPr>
          <w:b/>
          <w:sz w:val="23"/>
          <w:szCs w:val="23"/>
        </w:rPr>
        <w:t xml:space="preserve">NELLA SETTIMANA </w:t>
      </w:r>
      <w:r w:rsidR="006A1F0B" w:rsidRPr="00580EA0">
        <w:rPr>
          <w:b/>
          <w:sz w:val="23"/>
          <w:szCs w:val="23"/>
        </w:rPr>
        <w:t>10-16</w:t>
      </w:r>
      <w:r w:rsidR="00454850" w:rsidRPr="00580EA0">
        <w:rPr>
          <w:b/>
          <w:sz w:val="23"/>
          <w:szCs w:val="23"/>
        </w:rPr>
        <w:t xml:space="preserve"> MARZO</w:t>
      </w:r>
      <w:r w:rsidR="00684411" w:rsidRPr="00580EA0">
        <w:rPr>
          <w:b/>
          <w:sz w:val="23"/>
          <w:szCs w:val="23"/>
        </w:rPr>
        <w:t>,</w:t>
      </w:r>
      <w:r w:rsidR="00084054" w:rsidRPr="00580EA0">
        <w:rPr>
          <w:b/>
          <w:sz w:val="23"/>
          <w:szCs w:val="23"/>
        </w:rPr>
        <w:t>TUTTI I NUMERI IN AUMENTO</w:t>
      </w:r>
      <w:r w:rsidR="009F10C9" w:rsidRPr="00580EA0">
        <w:rPr>
          <w:b/>
          <w:sz w:val="23"/>
          <w:szCs w:val="23"/>
        </w:rPr>
        <w:t xml:space="preserve">: </w:t>
      </w:r>
      <w:r w:rsidR="007F083A" w:rsidRPr="00580EA0">
        <w:rPr>
          <w:b/>
          <w:sz w:val="23"/>
          <w:szCs w:val="23"/>
        </w:rPr>
        <w:t>NUOVI CASI +</w:t>
      </w:r>
      <w:r w:rsidR="006A1F0B" w:rsidRPr="00580EA0">
        <w:rPr>
          <w:b/>
          <w:sz w:val="23"/>
          <w:szCs w:val="23"/>
        </w:rPr>
        <w:t>8,3</w:t>
      </w:r>
      <w:r w:rsidR="00084054" w:rsidRPr="00580EA0">
        <w:rPr>
          <w:b/>
          <w:sz w:val="23"/>
          <w:szCs w:val="23"/>
        </w:rPr>
        <w:t>%</w:t>
      </w:r>
      <w:r w:rsidR="009F10C9" w:rsidRPr="00580EA0">
        <w:rPr>
          <w:b/>
          <w:sz w:val="23"/>
          <w:szCs w:val="23"/>
        </w:rPr>
        <w:t>,</w:t>
      </w:r>
      <w:r w:rsidR="00084054" w:rsidRPr="00580EA0">
        <w:rPr>
          <w:b/>
          <w:sz w:val="23"/>
          <w:szCs w:val="23"/>
        </w:rPr>
        <w:t xml:space="preserve"> RICOVERATI CON SINTOMI +</w:t>
      </w:r>
      <w:r w:rsidR="006A1F0B" w:rsidRPr="00580EA0">
        <w:rPr>
          <w:b/>
          <w:sz w:val="23"/>
          <w:szCs w:val="23"/>
        </w:rPr>
        <w:t>16,5</w:t>
      </w:r>
      <w:r w:rsidR="00084054" w:rsidRPr="00580EA0">
        <w:rPr>
          <w:b/>
          <w:sz w:val="23"/>
          <w:szCs w:val="23"/>
        </w:rPr>
        <w:t>% E</w:t>
      </w:r>
      <w:r w:rsidR="009F10C9" w:rsidRPr="00580EA0">
        <w:rPr>
          <w:b/>
          <w:sz w:val="23"/>
          <w:szCs w:val="23"/>
        </w:rPr>
        <w:t xml:space="preserve">TERAPIE INTENSIVE </w:t>
      </w:r>
      <w:r w:rsidR="007F083A" w:rsidRPr="00580EA0">
        <w:rPr>
          <w:b/>
          <w:sz w:val="23"/>
          <w:szCs w:val="23"/>
        </w:rPr>
        <w:t>+</w:t>
      </w:r>
      <w:r w:rsidR="00084054" w:rsidRPr="00580EA0">
        <w:rPr>
          <w:b/>
          <w:sz w:val="23"/>
          <w:szCs w:val="23"/>
        </w:rPr>
        <w:t>18,</w:t>
      </w:r>
      <w:r w:rsidR="006A1F0B" w:rsidRPr="00580EA0">
        <w:rPr>
          <w:b/>
          <w:sz w:val="23"/>
          <w:szCs w:val="23"/>
        </w:rPr>
        <w:t>1%</w:t>
      </w:r>
      <w:r w:rsidR="00E2012E">
        <w:rPr>
          <w:b/>
          <w:sz w:val="23"/>
          <w:szCs w:val="23"/>
        </w:rPr>
        <w:t xml:space="preserve">. </w:t>
      </w:r>
      <w:r w:rsidR="00832559">
        <w:rPr>
          <w:b/>
          <w:sz w:val="23"/>
          <w:szCs w:val="23"/>
        </w:rPr>
        <w:t xml:space="preserve">IN UN MESE </w:t>
      </w:r>
      <w:r w:rsidR="00502E96">
        <w:rPr>
          <w:b/>
          <w:sz w:val="23"/>
          <w:szCs w:val="23"/>
        </w:rPr>
        <w:t xml:space="preserve">QUASI RADDOPPIATO </w:t>
      </w:r>
      <w:r w:rsidR="00832559">
        <w:rPr>
          <w:b/>
          <w:sz w:val="23"/>
          <w:szCs w:val="23"/>
        </w:rPr>
        <w:t xml:space="preserve">IL </w:t>
      </w:r>
      <w:r w:rsidR="00832559" w:rsidRPr="00580EA0">
        <w:rPr>
          <w:b/>
          <w:sz w:val="23"/>
          <w:szCs w:val="23"/>
        </w:rPr>
        <w:t xml:space="preserve">NUMERO MEDIO DEI NUOVI INGRESSI/DIE </w:t>
      </w:r>
      <w:r w:rsidR="00832559">
        <w:rPr>
          <w:b/>
          <w:sz w:val="23"/>
          <w:szCs w:val="23"/>
        </w:rPr>
        <w:t>IN TERAPIA INTENSIVA</w:t>
      </w:r>
      <w:r w:rsidR="00084054" w:rsidRPr="00580EA0">
        <w:rPr>
          <w:b/>
          <w:sz w:val="23"/>
          <w:szCs w:val="23"/>
        </w:rPr>
        <w:t>. VACCINI</w:t>
      </w:r>
      <w:r w:rsidR="00AF3316" w:rsidRPr="00580EA0">
        <w:rPr>
          <w:b/>
          <w:sz w:val="23"/>
          <w:szCs w:val="23"/>
        </w:rPr>
        <w:t xml:space="preserve">: </w:t>
      </w:r>
      <w:r w:rsidR="00084054" w:rsidRPr="00580EA0">
        <w:rPr>
          <w:b/>
          <w:sz w:val="23"/>
          <w:szCs w:val="23"/>
        </w:rPr>
        <w:t xml:space="preserve">A </w:t>
      </w:r>
      <w:r w:rsidR="005E6255" w:rsidRPr="00580EA0">
        <w:rPr>
          <w:b/>
          <w:sz w:val="23"/>
          <w:szCs w:val="23"/>
        </w:rPr>
        <w:t xml:space="preserve">2 </w:t>
      </w:r>
      <w:r w:rsidR="00084054" w:rsidRPr="00580EA0">
        <w:rPr>
          <w:b/>
          <w:sz w:val="23"/>
          <w:szCs w:val="23"/>
        </w:rPr>
        <w:t xml:space="preserve">SETTIMANE </w:t>
      </w:r>
      <w:r w:rsidR="009F10C9" w:rsidRPr="00580EA0">
        <w:rPr>
          <w:b/>
          <w:sz w:val="23"/>
          <w:szCs w:val="23"/>
        </w:rPr>
        <w:t>DALLA FINE DEL TRIMESTRE</w:t>
      </w:r>
      <w:r w:rsidR="0042487D" w:rsidRPr="00580EA0">
        <w:rPr>
          <w:b/>
          <w:sz w:val="23"/>
          <w:szCs w:val="23"/>
        </w:rPr>
        <w:t>,</w:t>
      </w:r>
      <w:r w:rsidR="00A60460">
        <w:rPr>
          <w:b/>
          <w:sz w:val="23"/>
          <w:szCs w:val="23"/>
        </w:rPr>
        <w:t xml:space="preserve">NON </w:t>
      </w:r>
      <w:r w:rsidR="00832559">
        <w:rPr>
          <w:b/>
          <w:sz w:val="23"/>
          <w:szCs w:val="23"/>
        </w:rPr>
        <w:t xml:space="preserve">ANCORA CONSEGNATE </w:t>
      </w:r>
      <w:r w:rsidR="001E6F54">
        <w:rPr>
          <w:b/>
          <w:sz w:val="23"/>
          <w:szCs w:val="23"/>
        </w:rPr>
        <w:t>QUASI LA METÀ</w:t>
      </w:r>
      <w:r w:rsidR="005E6255" w:rsidRPr="00580EA0">
        <w:rPr>
          <w:b/>
          <w:sz w:val="23"/>
          <w:szCs w:val="23"/>
        </w:rPr>
        <w:t>DELLE</w:t>
      </w:r>
      <w:r w:rsidR="00580EA0">
        <w:rPr>
          <w:b/>
          <w:sz w:val="23"/>
          <w:szCs w:val="23"/>
        </w:rPr>
        <w:t xml:space="preserve"> DOSI PREVISTE. </w:t>
      </w:r>
      <w:r w:rsidR="00B22B44" w:rsidRPr="00580EA0">
        <w:rPr>
          <w:b/>
          <w:sz w:val="23"/>
          <w:szCs w:val="23"/>
        </w:rPr>
        <w:t xml:space="preserve">CAOS </w:t>
      </w:r>
      <w:r w:rsidR="005E6255" w:rsidRPr="00580EA0">
        <w:rPr>
          <w:b/>
          <w:sz w:val="23"/>
          <w:szCs w:val="23"/>
        </w:rPr>
        <w:t xml:space="preserve">ASTRAZENECA: </w:t>
      </w:r>
      <w:r w:rsidR="00E2012E">
        <w:rPr>
          <w:b/>
          <w:sz w:val="23"/>
          <w:szCs w:val="23"/>
        </w:rPr>
        <w:t>OLTRE AI RALLENTAMENTI NELLE SOMMINISTRAZIONI</w:t>
      </w:r>
      <w:r w:rsidR="001E6F54">
        <w:rPr>
          <w:b/>
          <w:sz w:val="23"/>
          <w:szCs w:val="23"/>
        </w:rPr>
        <w:t>,</w:t>
      </w:r>
      <w:r w:rsidR="00E2012E">
        <w:rPr>
          <w:b/>
          <w:sz w:val="23"/>
          <w:szCs w:val="23"/>
        </w:rPr>
        <w:t xml:space="preserve"> RISCHIO EFFETTO </w:t>
      </w:r>
      <w:r w:rsidR="00E2012E" w:rsidRPr="00E2012E">
        <w:rPr>
          <w:b/>
          <w:sz w:val="23"/>
          <w:szCs w:val="23"/>
        </w:rPr>
        <w:t xml:space="preserve">BOOMERANG </w:t>
      </w:r>
      <w:r w:rsidR="001E6F54">
        <w:rPr>
          <w:b/>
          <w:sz w:val="23"/>
          <w:szCs w:val="23"/>
        </w:rPr>
        <w:t>FIGLIO DI</w:t>
      </w:r>
      <w:r w:rsidR="00E2012E" w:rsidRPr="00E2012E">
        <w:rPr>
          <w:b/>
          <w:sz w:val="23"/>
          <w:szCs w:val="23"/>
        </w:rPr>
        <w:t xml:space="preserve"> UNA COMUNICAZIONE ISTITUZIONALE </w:t>
      </w:r>
      <w:r w:rsidR="001E6F54">
        <w:rPr>
          <w:b/>
          <w:sz w:val="23"/>
          <w:szCs w:val="23"/>
        </w:rPr>
        <w:t>INADEGUATA</w:t>
      </w:r>
      <w:r w:rsidR="00E83DF4">
        <w:rPr>
          <w:b/>
          <w:sz w:val="23"/>
          <w:szCs w:val="23"/>
        </w:rPr>
        <w:t xml:space="preserve"> E</w:t>
      </w:r>
      <w:r w:rsidR="00DF0DCD">
        <w:rPr>
          <w:b/>
          <w:sz w:val="23"/>
          <w:szCs w:val="23"/>
        </w:rPr>
        <w:t xml:space="preserve"> DI UNA DECISIONE PIÙ POLITICA CHE SCIENTIFICA.</w:t>
      </w:r>
    </w:p>
    <w:p w:rsidR="00115E64" w:rsidRPr="005E400E" w:rsidRDefault="005B100E" w:rsidP="000936E0">
      <w:pPr>
        <w:spacing w:after="120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18</w:t>
      </w:r>
      <w:r w:rsidR="00454850">
        <w:rPr>
          <w:rFonts w:ascii="Calibri" w:eastAsia="Calibri" w:hAnsi="Calibri" w:cs="Times New Roman"/>
          <w:b/>
          <w:bCs/>
          <w:sz w:val="24"/>
          <w:szCs w:val="24"/>
        </w:rPr>
        <w:t xml:space="preserve"> marzo</w:t>
      </w:r>
      <w:r w:rsidR="00115E64" w:rsidRPr="005E400E">
        <w:rPr>
          <w:rFonts w:ascii="Calibri" w:eastAsia="Calibri" w:hAnsi="Calibri" w:cs="Times New Roman"/>
          <w:b/>
          <w:bCs/>
          <w:sz w:val="24"/>
          <w:szCs w:val="24"/>
        </w:rPr>
        <w:t>2021 - Fondazione GIMBE, Bologna</w:t>
      </w:r>
    </w:p>
    <w:p w:rsidR="00115E64" w:rsidRPr="00C83917" w:rsidRDefault="00115E64" w:rsidP="00943563">
      <w:pPr>
        <w:spacing w:line="276" w:lineRule="auto"/>
        <w:jc w:val="both"/>
      </w:pPr>
      <w:r w:rsidRPr="00C83917">
        <w:t>Il monitoraggio indipendente della Fondazione GIMBE</w:t>
      </w:r>
      <w:r w:rsidR="002A7736" w:rsidRPr="00C83917">
        <w:t>rileva</w:t>
      </w:r>
      <w:r w:rsidRPr="00C83917">
        <w:t xml:space="preserve"> nella settimana </w:t>
      </w:r>
      <w:r w:rsidR="005B100E">
        <w:t>10</w:t>
      </w:r>
      <w:r w:rsidR="00654956">
        <w:t>-</w:t>
      </w:r>
      <w:r w:rsidR="005B100E">
        <w:t>16</w:t>
      </w:r>
      <w:r w:rsidR="00454850" w:rsidRPr="00C83917">
        <w:t xml:space="preserve"> marzo</w:t>
      </w:r>
      <w:r w:rsidRPr="00C83917">
        <w:t xml:space="preserve"> 2021, rispetto alla precedente, </w:t>
      </w:r>
      <w:r w:rsidR="00192FB7">
        <w:t xml:space="preserve">un </w:t>
      </w:r>
      <w:r w:rsidR="00364A15">
        <w:t xml:space="preserve">ulteriore </w:t>
      </w:r>
      <w:r w:rsidR="00192FB7">
        <w:t xml:space="preserve">incremento </w:t>
      </w:r>
      <w:r w:rsidRPr="00C83917">
        <w:t>d</w:t>
      </w:r>
      <w:r w:rsidR="005E400E" w:rsidRPr="00C83917">
        <w:t>e</w:t>
      </w:r>
      <w:r w:rsidRPr="00C83917">
        <w:t>i nuovi casi (</w:t>
      </w:r>
      <w:r w:rsidR="00AD4596">
        <w:t>157.677</w:t>
      </w:r>
      <w:r w:rsidR="005B100E">
        <w:t xml:space="preserve"> vs </w:t>
      </w:r>
      <w:r w:rsidR="00364A15">
        <w:t>145.659</w:t>
      </w:r>
      <w:r w:rsidRPr="00C83917">
        <w:t>)</w:t>
      </w:r>
      <w:r w:rsidR="001A0514" w:rsidRPr="00C83917">
        <w:t xml:space="preserve"> (</w:t>
      </w:r>
      <w:r w:rsidR="001A0514" w:rsidRPr="00C83917">
        <w:rPr>
          <w:highlight w:val="yellow"/>
        </w:rPr>
        <w:t>figura 1</w:t>
      </w:r>
      <w:r w:rsidR="001A0514" w:rsidRPr="00C83917">
        <w:t>)</w:t>
      </w:r>
      <w:r w:rsidR="00AB428F">
        <w:t>e</w:t>
      </w:r>
      <w:r w:rsidR="003F0212">
        <w:t>de</w:t>
      </w:r>
      <w:r w:rsidR="00364A15">
        <w:t xml:space="preserve">i </w:t>
      </w:r>
      <w:r w:rsidR="008B6F3B" w:rsidRPr="00C83917">
        <w:t>decessi (</w:t>
      </w:r>
      <w:r w:rsidR="00AD4596">
        <w:t>2.522</w:t>
      </w:r>
      <w:r w:rsidR="005B100E">
        <w:t xml:space="preserve"> vs </w:t>
      </w:r>
      <w:r w:rsidR="00364A15">
        <w:t>2.191</w:t>
      </w:r>
      <w:r w:rsidR="008B6F3B" w:rsidRPr="00C83917">
        <w:t>) (</w:t>
      </w:r>
      <w:r w:rsidR="008B6F3B" w:rsidRPr="00C83917">
        <w:rPr>
          <w:highlight w:val="yellow"/>
        </w:rPr>
        <w:t>figura 2</w:t>
      </w:r>
      <w:r w:rsidR="008B6F3B" w:rsidRPr="00C83917">
        <w:t xml:space="preserve">). </w:t>
      </w:r>
      <w:r w:rsidR="00D54631">
        <w:t>Continuano a salire i</w:t>
      </w:r>
      <w:r w:rsidRPr="00C83917">
        <w:t>casi attualmente positivi (</w:t>
      </w:r>
      <w:r w:rsidR="00AD4596">
        <w:t>536.115</w:t>
      </w:r>
      <w:r w:rsidR="005B100E">
        <w:t xml:space="preserve"> vs </w:t>
      </w:r>
      <w:r w:rsidR="00364A15">
        <w:t>478.883</w:t>
      </w:r>
      <w:r w:rsidRPr="00C83917">
        <w:t>)</w:t>
      </w:r>
      <w:r w:rsidR="005E400E" w:rsidRPr="00C83917">
        <w:t xml:space="preserve">, </w:t>
      </w:r>
      <w:r w:rsidR="001A0514" w:rsidRPr="00C83917">
        <w:t>le persone in isolamento domiciliare (</w:t>
      </w:r>
      <w:r w:rsidR="00AD4596">
        <w:t>506.761</w:t>
      </w:r>
      <w:r w:rsidR="005B100E">
        <w:t xml:space="preserve"> vs </w:t>
      </w:r>
      <w:r w:rsidR="00364A15">
        <w:t>453.734</w:t>
      </w:r>
      <w:r w:rsidR="00827B14" w:rsidRPr="00C83917">
        <w:t>)</w:t>
      </w:r>
      <w:r w:rsidR="00C83917" w:rsidRPr="00C83917">
        <w:t xml:space="preserve">, </w:t>
      </w:r>
      <w:r w:rsidR="0085279C" w:rsidRPr="00C83917">
        <w:t xml:space="preserve">i </w:t>
      </w:r>
      <w:r w:rsidRPr="00C83917">
        <w:t>ricover</w:t>
      </w:r>
      <w:r w:rsidR="00900787" w:rsidRPr="00C83917">
        <w:t xml:space="preserve">i </w:t>
      </w:r>
      <w:r w:rsidRPr="00C83917">
        <w:t>con sintomi (</w:t>
      </w:r>
      <w:r w:rsidR="00AD4596">
        <w:t>26.098</w:t>
      </w:r>
      <w:r w:rsidR="005B100E">
        <w:t xml:space="preserve"> vs </w:t>
      </w:r>
      <w:r w:rsidR="00364A15">
        <w:t>22.393</w:t>
      </w:r>
      <w:r w:rsidR="007919D2" w:rsidRPr="00C83917">
        <w:t>)</w:t>
      </w:r>
      <w:r w:rsidR="00C83917" w:rsidRPr="00C83917">
        <w:t xml:space="preserve"> e le </w:t>
      </w:r>
      <w:r w:rsidRPr="00C83917">
        <w:t>terapie intensive (</w:t>
      </w:r>
      <w:r w:rsidR="00AD4596">
        <w:t>3.256</w:t>
      </w:r>
      <w:r w:rsidR="005B100E">
        <w:t xml:space="preserve"> vs </w:t>
      </w:r>
      <w:r w:rsidR="00364A15">
        <w:t>2.756</w:t>
      </w:r>
      <w:r w:rsidR="007919D2" w:rsidRPr="00C83917">
        <w:t xml:space="preserve">) </w:t>
      </w:r>
      <w:r w:rsidR="001A0514" w:rsidRPr="00C83917">
        <w:t>(</w:t>
      </w:r>
      <w:r w:rsidR="008B6F3B" w:rsidRPr="00C83917">
        <w:rPr>
          <w:highlight w:val="yellow"/>
        </w:rPr>
        <w:t>figura 3</w:t>
      </w:r>
      <w:r w:rsidR="00B41BF2" w:rsidRPr="00C83917">
        <w:t>)</w:t>
      </w:r>
      <w:r w:rsidR="00B33749" w:rsidRPr="00C83917">
        <w:t xml:space="preserve">. </w:t>
      </w:r>
      <w:r w:rsidRPr="00C83917">
        <w:t>In dettaglio, rispetto alla settimana precedente, si registrano le seguenti variazioni:</w:t>
      </w:r>
    </w:p>
    <w:p w:rsidR="00115E64" w:rsidRPr="00CD1BC6" w:rsidRDefault="007919D2" w:rsidP="00943563">
      <w:pPr>
        <w:pStyle w:val="Paragrafoelenco"/>
        <w:numPr>
          <w:ilvl w:val="0"/>
          <w:numId w:val="5"/>
        </w:numPr>
        <w:spacing w:after="120" w:line="276" w:lineRule="auto"/>
        <w:jc w:val="both"/>
      </w:pPr>
      <w:r w:rsidRPr="00CD1BC6">
        <w:t xml:space="preserve">Decessi: </w:t>
      </w:r>
      <w:r w:rsidR="00364A15" w:rsidRPr="00CD1BC6">
        <w:t>2.</w:t>
      </w:r>
      <w:r w:rsidR="00AD4596" w:rsidRPr="00CD1BC6">
        <w:t>522</w:t>
      </w:r>
      <w:r w:rsidR="00115E64" w:rsidRPr="00CD1BC6">
        <w:t xml:space="preserve"> (</w:t>
      </w:r>
      <w:r w:rsidR="00364A15" w:rsidRPr="00CD1BC6">
        <w:t>+1</w:t>
      </w:r>
      <w:r w:rsidR="00AD4596" w:rsidRPr="00CD1BC6">
        <w:t>5,1</w:t>
      </w:r>
      <w:r w:rsidR="00115E64" w:rsidRPr="00CD1BC6">
        <w:t>%)</w:t>
      </w:r>
    </w:p>
    <w:p w:rsidR="00115E64" w:rsidRPr="00CD1BC6" w:rsidRDefault="005E400E" w:rsidP="00943563">
      <w:pPr>
        <w:pStyle w:val="Paragrafoelenco"/>
        <w:numPr>
          <w:ilvl w:val="0"/>
          <w:numId w:val="5"/>
        </w:numPr>
        <w:spacing w:after="120" w:line="276" w:lineRule="auto"/>
        <w:jc w:val="both"/>
      </w:pPr>
      <w:r w:rsidRPr="00CD1BC6">
        <w:t>Terapia intensiva: +</w:t>
      </w:r>
      <w:r w:rsidR="00CD1BC6" w:rsidRPr="00CD1BC6">
        <w:t>500</w:t>
      </w:r>
      <w:r w:rsidR="00C83917" w:rsidRPr="00CD1BC6">
        <w:t>(+</w:t>
      </w:r>
      <w:r w:rsidR="00364A15" w:rsidRPr="00CD1BC6">
        <w:t>1</w:t>
      </w:r>
      <w:r w:rsidR="00C83917" w:rsidRPr="00CD1BC6">
        <w:t>8</w:t>
      </w:r>
      <w:r w:rsidR="00115E64" w:rsidRPr="00CD1BC6">
        <w:t>,</w:t>
      </w:r>
      <w:r w:rsidR="00CD1BC6" w:rsidRPr="00CD1BC6">
        <w:t>1</w:t>
      </w:r>
      <w:r w:rsidR="00115E64" w:rsidRPr="00CD1BC6">
        <w:t>%)</w:t>
      </w:r>
    </w:p>
    <w:p w:rsidR="00115E64" w:rsidRPr="00CD1BC6" w:rsidRDefault="00115E64" w:rsidP="00943563">
      <w:pPr>
        <w:pStyle w:val="Paragrafoelenco"/>
        <w:numPr>
          <w:ilvl w:val="0"/>
          <w:numId w:val="5"/>
        </w:numPr>
        <w:spacing w:after="120" w:line="276" w:lineRule="auto"/>
        <w:jc w:val="both"/>
      </w:pPr>
      <w:r w:rsidRPr="00CD1BC6">
        <w:t xml:space="preserve">Ricoverati con sintomi: </w:t>
      </w:r>
      <w:r w:rsidR="00C83917" w:rsidRPr="00CD1BC6">
        <w:t>+</w:t>
      </w:r>
      <w:r w:rsidR="00CD1BC6" w:rsidRPr="00CD1BC6">
        <w:t>3.705</w:t>
      </w:r>
      <w:r w:rsidR="00C83917" w:rsidRPr="00CD1BC6">
        <w:t xml:space="preserve"> (+</w:t>
      </w:r>
      <w:r w:rsidR="00CD1BC6" w:rsidRPr="00CD1BC6">
        <w:t>16,5</w:t>
      </w:r>
      <w:r w:rsidRPr="00CD1BC6">
        <w:t>%)</w:t>
      </w:r>
    </w:p>
    <w:p w:rsidR="001A0514" w:rsidRPr="00CD1BC6" w:rsidRDefault="00C83917" w:rsidP="001A0514">
      <w:pPr>
        <w:pStyle w:val="Paragrafoelenco"/>
        <w:numPr>
          <w:ilvl w:val="0"/>
          <w:numId w:val="5"/>
        </w:numPr>
        <w:spacing w:after="120" w:line="276" w:lineRule="auto"/>
        <w:jc w:val="both"/>
      </w:pPr>
      <w:r w:rsidRPr="00CD1BC6">
        <w:t>Isolamento domiciliare: +</w:t>
      </w:r>
      <w:r w:rsidR="00CD1BC6" w:rsidRPr="00CD1BC6">
        <w:t>53.027</w:t>
      </w:r>
      <w:r w:rsidR="001A0514" w:rsidRPr="00CD1BC6">
        <w:t xml:space="preserve"> (</w:t>
      </w:r>
      <w:r w:rsidR="00CD1BC6" w:rsidRPr="00CD1BC6">
        <w:t>11,7</w:t>
      </w:r>
      <w:r w:rsidR="001A0514" w:rsidRPr="00CD1BC6">
        <w:t>%)</w:t>
      </w:r>
    </w:p>
    <w:p w:rsidR="00115E64" w:rsidRPr="00CD1BC6" w:rsidRDefault="00115E64" w:rsidP="00943563">
      <w:pPr>
        <w:pStyle w:val="Paragrafoelenco"/>
        <w:numPr>
          <w:ilvl w:val="0"/>
          <w:numId w:val="5"/>
        </w:numPr>
        <w:spacing w:after="120" w:line="276" w:lineRule="auto"/>
        <w:jc w:val="both"/>
      </w:pPr>
      <w:r w:rsidRPr="00CD1BC6">
        <w:t xml:space="preserve">Nuovi casi: </w:t>
      </w:r>
      <w:r w:rsidR="00CD1BC6" w:rsidRPr="00CD1BC6">
        <w:t>157.677</w:t>
      </w:r>
      <w:r w:rsidR="00E92B03" w:rsidRPr="00CD1BC6">
        <w:t>(</w:t>
      </w:r>
      <w:r w:rsidR="005E400E" w:rsidRPr="00CD1BC6">
        <w:t>+</w:t>
      </w:r>
      <w:r w:rsidR="00CD1BC6" w:rsidRPr="00CD1BC6">
        <w:t>8</w:t>
      </w:r>
      <w:r w:rsidR="005E400E" w:rsidRPr="00CD1BC6">
        <w:t>,</w:t>
      </w:r>
      <w:r w:rsidR="00CD1BC6" w:rsidRPr="00CD1BC6">
        <w:t>3</w:t>
      </w:r>
      <w:r w:rsidR="007919D2" w:rsidRPr="00CD1BC6">
        <w:t>%)</w:t>
      </w:r>
    </w:p>
    <w:p w:rsidR="00115E64" w:rsidRPr="00CD1BC6" w:rsidRDefault="00C83917" w:rsidP="00943563">
      <w:pPr>
        <w:pStyle w:val="Paragrafoelenco"/>
        <w:numPr>
          <w:ilvl w:val="0"/>
          <w:numId w:val="5"/>
        </w:numPr>
        <w:spacing w:after="120" w:line="276" w:lineRule="auto"/>
        <w:jc w:val="both"/>
      </w:pPr>
      <w:r w:rsidRPr="00CD1BC6">
        <w:t>Casi attualmente positivi: +</w:t>
      </w:r>
      <w:r w:rsidR="00CD1BC6" w:rsidRPr="00CD1BC6">
        <w:t>57.232(+12</w:t>
      </w:r>
      <w:r w:rsidR="00115E64" w:rsidRPr="00CD1BC6">
        <w:t>%)</w:t>
      </w:r>
    </w:p>
    <w:p w:rsidR="008A0715" w:rsidRDefault="00115E64" w:rsidP="0017053B">
      <w:pPr>
        <w:spacing w:line="276" w:lineRule="auto"/>
        <w:jc w:val="both"/>
      </w:pPr>
      <w:r w:rsidRPr="00931B25">
        <w:t>«</w:t>
      </w:r>
      <w:r w:rsidR="00580EA0">
        <w:t>L</w:t>
      </w:r>
      <w:r w:rsidR="00580EA0" w:rsidRPr="00931B25">
        <w:t>’ulteriore incremento dei nuovi casi</w:t>
      </w:r>
      <w:r w:rsidR="00E814D0">
        <w:t xml:space="preserve"> </w:t>
      </w:r>
      <w:r w:rsidR="00B74374" w:rsidRPr="00931B25">
        <w:t>– afferma Nino Cartabellotta, Presidente della Fondazione GIMBE –</w:t>
      </w:r>
      <w:r w:rsidR="00E814D0">
        <w:t xml:space="preserve"> ha </w:t>
      </w:r>
      <w:r w:rsidR="00502A16">
        <w:t>determinato</w:t>
      </w:r>
      <w:r w:rsidR="00E814D0">
        <w:t xml:space="preserve"> </w:t>
      </w:r>
      <w:r w:rsidR="00E2012E">
        <w:t xml:space="preserve">nell’ultima settimana la </w:t>
      </w:r>
      <w:r w:rsidR="00BE711D">
        <w:t xml:space="preserve">netta </w:t>
      </w:r>
      <w:r w:rsidR="00BE2657">
        <w:t xml:space="preserve">espansione </w:t>
      </w:r>
      <w:r w:rsidR="00BE711D">
        <w:t>del</w:t>
      </w:r>
      <w:r w:rsidR="00931B25" w:rsidRPr="00931B25">
        <w:t xml:space="preserve"> bacino dei casi attualmente positivi, </w:t>
      </w:r>
      <w:r w:rsidR="00580EA0">
        <w:t xml:space="preserve">aumentato </w:t>
      </w:r>
      <w:r w:rsidR="00931B25" w:rsidRPr="00931B25">
        <w:t xml:space="preserve">di </w:t>
      </w:r>
      <w:r w:rsidR="00BE711D">
        <w:t>oltre 57 mila</w:t>
      </w:r>
      <w:r w:rsidR="00931B25" w:rsidRPr="00931B25">
        <w:t xml:space="preserve"> unità</w:t>
      </w:r>
      <w:r w:rsidR="00B74374" w:rsidRPr="00931B25">
        <w:t>».</w:t>
      </w:r>
      <w:r w:rsidR="00BE711D">
        <w:t>R</w:t>
      </w:r>
      <w:r w:rsidR="00BE711D" w:rsidRPr="00433C5C">
        <w:t xml:space="preserve">ispetto </w:t>
      </w:r>
      <w:r w:rsidR="00BE711D" w:rsidRPr="00CD1BC6">
        <w:t>alla settimana precedente</w:t>
      </w:r>
      <w:r w:rsidR="00BE711D">
        <w:t>,</w:t>
      </w:r>
      <w:r w:rsidR="00AC418C">
        <w:t xml:space="preserve">i casi attualmente positivi per </w:t>
      </w:r>
      <w:r w:rsidR="00BE711D">
        <w:t>100.000 abitanti</w:t>
      </w:r>
      <w:r w:rsidR="00E814D0">
        <w:t xml:space="preserve"> </w:t>
      </w:r>
      <w:r w:rsidR="00635A99">
        <w:t xml:space="preserve">crescono </w:t>
      </w:r>
      <w:r w:rsidR="00433C5C">
        <w:t xml:space="preserve">in </w:t>
      </w:r>
      <w:r w:rsidR="00442FA4" w:rsidRPr="00CD1BC6">
        <w:t>1</w:t>
      </w:r>
      <w:r w:rsidR="00CD1BC6" w:rsidRPr="00CD1BC6">
        <w:t>6</w:t>
      </w:r>
      <w:r w:rsidR="00E814D0">
        <w:t xml:space="preserve"> </w:t>
      </w:r>
      <w:r w:rsidR="00A6659C" w:rsidRPr="00CD1BC6">
        <w:t>Regioni</w:t>
      </w:r>
      <w:r w:rsidR="00AC418C">
        <w:t xml:space="preserve"> e</w:t>
      </w:r>
      <w:r w:rsidR="00E814D0">
        <w:t xml:space="preserve"> </w:t>
      </w:r>
      <w:r w:rsidR="00BE711D">
        <w:t xml:space="preserve">in </w:t>
      </w:r>
      <w:r w:rsidR="00442FA4" w:rsidRPr="00CD1BC6">
        <w:t>1</w:t>
      </w:r>
      <w:r w:rsidR="00B06E25">
        <w:t xml:space="preserve">4 </w:t>
      </w:r>
      <w:r w:rsidR="00941138" w:rsidRPr="00CD1BC6">
        <w:t xml:space="preserve">si </w:t>
      </w:r>
      <w:r w:rsidR="008A0715">
        <w:t>registra</w:t>
      </w:r>
      <w:r w:rsidR="00941138" w:rsidRPr="00CD1BC6">
        <w:t xml:space="preserve"> un </w:t>
      </w:r>
      <w:r w:rsidR="00F47275" w:rsidRPr="00CD1BC6">
        <w:t>incremento percentuale dei nuovi casi</w:t>
      </w:r>
      <w:r w:rsidR="00E814D0">
        <w:t xml:space="preserve"> </w:t>
      </w:r>
      <w:r w:rsidR="004C4E94" w:rsidRPr="00CD1BC6">
        <w:t>(</w:t>
      </w:r>
      <w:r w:rsidR="004C4E94" w:rsidRPr="00CD1BC6">
        <w:rPr>
          <w:highlight w:val="yellow"/>
        </w:rPr>
        <w:t>tabella</w:t>
      </w:r>
      <w:r w:rsidR="004C4E94" w:rsidRPr="00CD1BC6">
        <w:t>)</w:t>
      </w:r>
      <w:r w:rsidR="00A6659C" w:rsidRPr="00CD1BC6">
        <w:t>.</w:t>
      </w:r>
    </w:p>
    <w:p w:rsidR="00433C5C" w:rsidRDefault="00433C5C" w:rsidP="0017053B">
      <w:pPr>
        <w:spacing w:line="276" w:lineRule="auto"/>
        <w:jc w:val="both"/>
      </w:pPr>
      <w:r>
        <w:t>L</w:t>
      </w:r>
      <w:r w:rsidR="00BE711D">
        <w:t>’</w:t>
      </w:r>
      <w:r w:rsidR="00BE2657">
        <w:t xml:space="preserve">aumento dei casi </w:t>
      </w:r>
      <w:r>
        <w:t>attualmente positivi si riflette su</w:t>
      </w:r>
      <w:r w:rsidR="00BE711D">
        <w:t>lle</w:t>
      </w:r>
      <w:r w:rsidR="00E814D0">
        <w:t xml:space="preserve"> </w:t>
      </w:r>
      <w:r w:rsidR="00BE711D">
        <w:t xml:space="preserve">curve </w:t>
      </w:r>
      <w:r>
        <w:t>relative ai</w:t>
      </w:r>
      <w:r w:rsidRPr="00433C5C">
        <w:t xml:space="preserve"> servizi ospedalieri</w:t>
      </w:r>
      <w:r>
        <w:t xml:space="preserve">: </w:t>
      </w:r>
      <w:r w:rsidRPr="00433C5C">
        <w:t xml:space="preserve">l’occupazione dei posti letto </w:t>
      </w:r>
      <w:r w:rsidR="000F5112">
        <w:t xml:space="preserve">di area medica </w:t>
      </w:r>
      <w:r w:rsidRPr="00433C5C">
        <w:t xml:space="preserve">da parte di pazienti </w:t>
      </w:r>
      <w:r w:rsidRPr="00315D8F">
        <w:t xml:space="preserve">COVID supera in </w:t>
      </w:r>
      <w:r w:rsidR="00315D8F" w:rsidRPr="00315D8F">
        <w:t>9</w:t>
      </w:r>
      <w:r w:rsidRPr="00315D8F">
        <w:t xml:space="preserve"> Regioni</w:t>
      </w:r>
      <w:r w:rsidR="006A1F0B">
        <w:t xml:space="preserve"> la soglia di allerta (</w:t>
      </w:r>
      <w:r w:rsidR="006A1F0B">
        <w:rPr>
          <w:rFonts w:cstheme="minorHAnsi"/>
        </w:rPr>
        <w:t>&gt;</w:t>
      </w:r>
      <w:r w:rsidR="006A1F0B">
        <w:t>40%)</w:t>
      </w:r>
      <w:r w:rsidR="000F5112">
        <w:t xml:space="preserve">. </w:t>
      </w:r>
      <w:r w:rsidR="00BE711D" w:rsidRPr="00315D8F">
        <w:t>A</w:t>
      </w:r>
      <w:r w:rsidRPr="00315D8F">
        <w:t xml:space="preserve">nche </w:t>
      </w:r>
      <w:r w:rsidR="007A48A6">
        <w:t>nel</w:t>
      </w:r>
      <w:r w:rsidRPr="00315D8F">
        <w:t xml:space="preserve">le terapie intensive, </w:t>
      </w:r>
      <w:r w:rsidR="000F5112">
        <w:t xml:space="preserve">il cui tasso di saturazione nazionale </w:t>
      </w:r>
      <w:r w:rsidR="002967EE">
        <w:t xml:space="preserve">oltrepassa </w:t>
      </w:r>
      <w:r w:rsidRPr="00315D8F">
        <w:t xml:space="preserve">la soglia </w:t>
      </w:r>
      <w:r w:rsidR="00A536F4">
        <w:t>critica</w:t>
      </w:r>
      <w:r w:rsidRPr="00315D8F">
        <w:t xml:space="preserve"> attestandosi al </w:t>
      </w:r>
      <w:r w:rsidR="00315D8F" w:rsidRPr="00315D8F">
        <w:t>36</w:t>
      </w:r>
      <w:r w:rsidRPr="00315D8F">
        <w:t xml:space="preserve">%, </w:t>
      </w:r>
      <w:r w:rsidR="007A48A6">
        <w:t>l’</w:t>
      </w:r>
      <w:r w:rsidR="006A1F0B">
        <w:t xml:space="preserve">occupazione </w:t>
      </w:r>
      <w:r w:rsidR="009A0FAE">
        <w:t>da parte di pazienti COVID</w:t>
      </w:r>
      <w:r w:rsidR="007A48A6">
        <w:t xml:space="preserve"> supera il </w:t>
      </w:r>
      <w:r w:rsidR="006A1F0B">
        <w:t xml:space="preserve">30% </w:t>
      </w:r>
      <w:r w:rsidRPr="00315D8F">
        <w:t xml:space="preserve">in </w:t>
      </w:r>
      <w:r w:rsidR="00315D8F" w:rsidRPr="00315D8F">
        <w:t>13</w:t>
      </w:r>
      <w:r w:rsidRPr="00315D8F">
        <w:t xml:space="preserve"> Regioni</w:t>
      </w:r>
      <w:r w:rsidR="009A0FAE">
        <w:t xml:space="preserve">: </w:t>
      </w:r>
      <w:r w:rsidR="001913FB">
        <w:t xml:space="preserve">in </w:t>
      </w:r>
      <w:r w:rsidR="00A87FEF">
        <w:t xml:space="preserve">particolare, in </w:t>
      </w:r>
      <w:r w:rsidR="001913FB">
        <w:t>5 R</w:t>
      </w:r>
      <w:r w:rsidR="00580EA0">
        <w:t xml:space="preserve">egioni </w:t>
      </w:r>
      <w:r w:rsidR="001913FB">
        <w:t xml:space="preserve">(Toscana, Abruzzo, </w:t>
      </w:r>
      <w:r w:rsidR="008E257E">
        <w:t>Friuli-Venezia Giulia</w:t>
      </w:r>
      <w:r w:rsidR="001913FB">
        <w:t xml:space="preserve">, Piemonte, Molise) </w:t>
      </w:r>
      <w:r w:rsidR="00580EA0">
        <w:t xml:space="preserve">è </w:t>
      </w:r>
      <w:r w:rsidR="001913FB">
        <w:rPr>
          <w:rFonts w:cstheme="minorHAnsi"/>
        </w:rPr>
        <w:t>≥</w:t>
      </w:r>
      <w:r w:rsidR="001913FB">
        <w:t>40% e in altre 5</w:t>
      </w:r>
      <w:r w:rsidR="00A87FEF">
        <w:t xml:space="preserve"> è</w:t>
      </w:r>
      <w:r w:rsidR="00E814D0">
        <w:t xml:space="preserve"> </w:t>
      </w:r>
      <w:r w:rsidR="001913FB">
        <w:rPr>
          <w:rFonts w:cstheme="minorHAnsi"/>
        </w:rPr>
        <w:t>≥</w:t>
      </w:r>
      <w:r w:rsidR="001913FB">
        <w:t>50</w:t>
      </w:r>
      <w:r w:rsidR="00A87FEF">
        <w:t>%</w:t>
      </w:r>
      <w:r w:rsidR="001913FB">
        <w:t xml:space="preserve"> (Emilia Romagna, Lombardia, Umbria, Marche, Prov. autonoma di Trento) </w:t>
      </w:r>
      <w:r w:rsidRPr="00433C5C">
        <w:t>(</w:t>
      </w:r>
      <w:r w:rsidRPr="00433C5C">
        <w:rPr>
          <w:highlight w:val="yellow"/>
        </w:rPr>
        <w:t xml:space="preserve">figura </w:t>
      </w:r>
      <w:r w:rsidR="008A0715">
        <w:rPr>
          <w:highlight w:val="yellow"/>
        </w:rPr>
        <w:t>5</w:t>
      </w:r>
      <w:r w:rsidR="00014656">
        <w:t>)</w:t>
      </w:r>
      <w:r w:rsidR="000F5112">
        <w:t xml:space="preserve">. </w:t>
      </w:r>
      <w:r w:rsidR="00BE711D" w:rsidRPr="00BE711D">
        <w:t>«</w:t>
      </w:r>
      <w:r w:rsidR="00BE711D">
        <w:t>Il</w:t>
      </w:r>
      <w:r w:rsidR="00BE711D" w:rsidRPr="00BE711D">
        <w:t xml:space="preserve"> sovraccarico ospedaliero</w:t>
      </w:r>
      <w:r w:rsidR="00E814D0">
        <w:t xml:space="preserve"> </w:t>
      </w:r>
      <w:r w:rsidR="00BE711D" w:rsidRPr="00BE711D">
        <w:t xml:space="preserve">– commenta Renata Gili, Responsabile Ricerca sui Servizi Sanitari della Fondazione GIMBE – </w:t>
      </w:r>
      <w:r w:rsidR="00BE711D">
        <w:t xml:space="preserve">oltre a </w:t>
      </w:r>
      <w:r w:rsidR="005769CD" w:rsidRPr="00BE711D">
        <w:t>rende</w:t>
      </w:r>
      <w:r w:rsidR="00BE711D">
        <w:t xml:space="preserve">re </w:t>
      </w:r>
      <w:r w:rsidR="005769CD" w:rsidRPr="00BE711D">
        <w:t xml:space="preserve">più </w:t>
      </w:r>
      <w:r w:rsidR="000F5112">
        <w:t>complessa</w:t>
      </w:r>
      <w:r w:rsidR="005769CD" w:rsidRPr="00BE711D">
        <w:t xml:space="preserve"> l’assistenza dei pazienti</w:t>
      </w:r>
      <w:r w:rsidR="00BE711D">
        <w:t xml:space="preserve"> COVID</w:t>
      </w:r>
      <w:r w:rsidR="005769CD" w:rsidRPr="00BE711D">
        <w:t xml:space="preserve">, </w:t>
      </w:r>
      <w:r w:rsidR="000F5112">
        <w:t xml:space="preserve">aumenta lo stress di personale e servizi ospedalieri e </w:t>
      </w:r>
      <w:r w:rsidR="007406DE">
        <w:t>impone di</w:t>
      </w:r>
      <w:r w:rsidR="00E814D0">
        <w:t xml:space="preserve"> </w:t>
      </w:r>
      <w:r w:rsidR="005769CD" w:rsidRPr="00BE711D">
        <w:t xml:space="preserve">rimandare interventi </w:t>
      </w:r>
      <w:r w:rsidR="00A90F98">
        <w:t xml:space="preserve">chirurgici e altre prestazioni non urgenti per </w:t>
      </w:r>
      <w:r w:rsidR="00BE711D">
        <w:t>pazienti non COVID</w:t>
      </w:r>
      <w:r w:rsidR="00BE711D" w:rsidRPr="00BE711D">
        <w:t>»</w:t>
      </w:r>
      <w:r w:rsidR="00502A16">
        <w:t>.</w:t>
      </w:r>
    </w:p>
    <w:p w:rsidR="00D03EC9" w:rsidRDefault="00BE711D" w:rsidP="0017053B">
      <w:pPr>
        <w:spacing w:line="276" w:lineRule="auto"/>
        <w:jc w:val="both"/>
      </w:pPr>
      <w:r w:rsidRPr="0084427C">
        <w:t>«</w:t>
      </w:r>
      <w:r w:rsidR="00DF0DCD">
        <w:t>A p</w:t>
      </w:r>
      <w:r w:rsidR="00DF62C3" w:rsidRPr="0084427C">
        <w:t>reoccupa</w:t>
      </w:r>
      <w:r w:rsidR="00DF0DCD">
        <w:t xml:space="preserve">re </w:t>
      </w:r>
      <w:r w:rsidRPr="0084427C">
        <w:t>– spiega Marco Mosti, Direttore Operativo della Fondazione GIMBE –</w:t>
      </w:r>
      <w:r w:rsidR="00E814D0">
        <w:t xml:space="preserve"> </w:t>
      </w:r>
      <w:r w:rsidR="00DF0DCD">
        <w:t>è</w:t>
      </w:r>
      <w:r w:rsidR="00AC6E15">
        <w:t xml:space="preserve"> anche</w:t>
      </w:r>
      <w:r w:rsidR="00E814D0">
        <w:t xml:space="preserve"> </w:t>
      </w:r>
      <w:r w:rsidRPr="0084427C">
        <w:t xml:space="preserve">il trend in continua ascesa dei nuovi ingressi giornalieri in terapia intensiva: in </w:t>
      </w:r>
      <w:r w:rsidR="00156BB9">
        <w:t xml:space="preserve">4 </w:t>
      </w:r>
      <w:r w:rsidRPr="0084427C">
        <w:t xml:space="preserve">settimane la media mobile a 7 giorni è aumentata del </w:t>
      </w:r>
      <w:r w:rsidR="0084427C" w:rsidRPr="0084427C">
        <w:t>94,2</w:t>
      </w:r>
      <w:r w:rsidRPr="0084427C">
        <w:t xml:space="preserve">%, passando da 134 a </w:t>
      </w:r>
      <w:r w:rsidR="0084427C" w:rsidRPr="0084427C">
        <w:t>260</w:t>
      </w:r>
      <w:r w:rsidRPr="0084427C">
        <w:t>» (</w:t>
      </w:r>
      <w:r w:rsidRPr="0084427C">
        <w:rPr>
          <w:highlight w:val="yellow"/>
        </w:rPr>
        <w:t>figura 5</w:t>
      </w:r>
      <w:r w:rsidRPr="0084427C">
        <w:t>).</w:t>
      </w:r>
    </w:p>
    <w:p w:rsidR="005A55AC" w:rsidRDefault="00C140E5" w:rsidP="00014656">
      <w:pPr>
        <w:spacing w:line="276" w:lineRule="auto"/>
        <w:jc w:val="both"/>
      </w:pPr>
      <w:r w:rsidRPr="003D19DA">
        <w:rPr>
          <w:b/>
        </w:rPr>
        <w:lastRenderedPageBreak/>
        <w:t>Vaccini: forniture</w:t>
      </w:r>
      <w:r w:rsidRPr="003D19DA">
        <w:t>. Delle dosi previste</w:t>
      </w:r>
      <w:r w:rsidR="00E814D0">
        <w:t xml:space="preserve"> </w:t>
      </w:r>
      <w:r w:rsidRPr="003D19DA">
        <w:t>p</w:t>
      </w:r>
      <w:r w:rsidR="00F2554D" w:rsidRPr="003D19DA">
        <w:t>er il primo trimestre 2021, al 1</w:t>
      </w:r>
      <w:r w:rsidR="0020140C" w:rsidRPr="003D19DA">
        <w:t>7</w:t>
      </w:r>
      <w:r w:rsidRPr="003D19DA">
        <w:t xml:space="preserve"> marzo (aggiornamento ore </w:t>
      </w:r>
      <w:r w:rsidR="003D19DA" w:rsidRPr="003D19DA">
        <w:t>6.01</w:t>
      </w:r>
      <w:r w:rsidRPr="003D19DA">
        <w:t xml:space="preserve">) </w:t>
      </w:r>
      <w:r w:rsidR="00360C96" w:rsidRPr="003D19DA">
        <w:t xml:space="preserve">risultano </w:t>
      </w:r>
      <w:r w:rsidRPr="003D19DA">
        <w:t xml:space="preserve">consegnate alle Regioni </w:t>
      </w:r>
      <w:r w:rsidR="003D19DA" w:rsidRPr="003D19DA">
        <w:t>8.597.500</w:t>
      </w:r>
      <w:r w:rsidR="00360C96" w:rsidRPr="003D19DA">
        <w:t xml:space="preserve"> dosi</w:t>
      </w:r>
      <w:r w:rsidR="00E978EF" w:rsidRPr="003D19DA">
        <w:t xml:space="preserve">, </w:t>
      </w:r>
      <w:r w:rsidR="0020140C" w:rsidRPr="003D19DA">
        <w:t>poco più</w:t>
      </w:r>
      <w:r w:rsidR="00E814D0">
        <w:t xml:space="preserve"> </w:t>
      </w:r>
      <w:r w:rsidR="00E14F49" w:rsidRPr="003D19DA">
        <w:t>della metà di quelle previste</w:t>
      </w:r>
      <w:r w:rsidRPr="003D19DA">
        <w:t xml:space="preserve">. In dettaglio: </w:t>
      </w:r>
    </w:p>
    <w:p w:rsidR="00C12C1E" w:rsidRPr="00A60460" w:rsidRDefault="00A60460" w:rsidP="00A60460">
      <w:pPr>
        <w:spacing w:line="276" w:lineRule="auto"/>
        <w:jc w:val="both"/>
      </w:pPr>
      <w:r>
        <w:rPr>
          <w:noProof/>
          <w:lang w:eastAsia="it-IT"/>
        </w:rPr>
        <w:drawing>
          <wp:inline distT="0" distB="0" distL="0" distR="0">
            <wp:extent cx="6120130" cy="249666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9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06E6" w:rsidRPr="00C12C1E" w:rsidRDefault="00461611" w:rsidP="00392DC9">
      <w:pPr>
        <w:spacing w:line="276" w:lineRule="auto"/>
        <w:jc w:val="both"/>
        <w:rPr>
          <w:rFonts w:cstheme="minorHAnsi"/>
        </w:rPr>
      </w:pPr>
      <w:r w:rsidRPr="00C12C1E">
        <w:t>«</w:t>
      </w:r>
      <w:r w:rsidR="003F491E">
        <w:t xml:space="preserve">Visto che per </w:t>
      </w:r>
      <w:r w:rsidR="006D5A19" w:rsidRPr="00373342">
        <w:t>rispettare le scadenze contrattuali fissate 31 marzo</w:t>
      </w:r>
      <w:r w:rsidR="00E814D0">
        <w:t xml:space="preserve"> </w:t>
      </w:r>
      <w:r w:rsidRPr="00C12C1E">
        <w:t>–</w:t>
      </w:r>
      <w:r w:rsidR="00E814D0">
        <w:t xml:space="preserve"> </w:t>
      </w:r>
      <w:r w:rsidRPr="00C12C1E">
        <w:t>commenta Cartabellotta –</w:t>
      </w:r>
      <w:r w:rsidR="00E814D0">
        <w:t xml:space="preserve"> </w:t>
      </w:r>
      <w:r w:rsidR="00C12C1E">
        <w:rPr>
          <w:rFonts w:cstheme="minorHAnsi"/>
        </w:rPr>
        <w:t xml:space="preserve">rimangono </w:t>
      </w:r>
      <w:r w:rsidR="00C12C1E" w:rsidRPr="00C12C1E">
        <w:rPr>
          <w:rFonts w:cstheme="minorHAnsi"/>
        </w:rPr>
        <w:t xml:space="preserve">da consegnare </w:t>
      </w:r>
      <w:r w:rsidR="00C12C1E">
        <w:rPr>
          <w:rFonts w:cstheme="minorHAnsi"/>
        </w:rPr>
        <w:t xml:space="preserve">oltre </w:t>
      </w:r>
      <w:r w:rsidR="00C12C1E" w:rsidRPr="00C12C1E">
        <w:rPr>
          <w:rFonts w:cstheme="minorHAnsi"/>
        </w:rPr>
        <w:t xml:space="preserve">7 milioni </w:t>
      </w:r>
      <w:r w:rsidR="00C12C1E">
        <w:rPr>
          <w:rFonts w:cstheme="minorHAnsi"/>
        </w:rPr>
        <w:t>di</w:t>
      </w:r>
      <w:r w:rsidR="00C12C1E" w:rsidRPr="00C12C1E">
        <w:rPr>
          <w:rFonts w:cstheme="minorHAnsi"/>
        </w:rPr>
        <w:t xml:space="preserve"> dosi</w:t>
      </w:r>
      <w:r w:rsidR="00C12C1E">
        <w:rPr>
          <w:rFonts w:cstheme="minorHAnsi"/>
        </w:rPr>
        <w:t xml:space="preserve"> nelle prossime due settimane</w:t>
      </w:r>
      <w:r w:rsidR="003F491E">
        <w:rPr>
          <w:rFonts w:cstheme="minorHAnsi"/>
        </w:rPr>
        <w:t xml:space="preserve">, </w:t>
      </w:r>
      <w:r w:rsidR="00C77FE4">
        <w:rPr>
          <w:rFonts w:cstheme="minorHAnsi"/>
        </w:rPr>
        <w:t xml:space="preserve">l’Europa deve mettere in campo </w:t>
      </w:r>
      <w:r w:rsidR="006D5A19">
        <w:rPr>
          <w:rFonts w:cstheme="minorHAnsi"/>
        </w:rPr>
        <w:t xml:space="preserve">nuovi </w:t>
      </w:r>
      <w:r w:rsidR="00C77FE4">
        <w:rPr>
          <w:rFonts w:cstheme="minorHAnsi"/>
        </w:rPr>
        <w:t>strumenti per garantire le forniture, pena lo slittamento continuo dei piani vaccinali di tutti i Paesi</w:t>
      </w:r>
      <w:r w:rsidRPr="00C12C1E">
        <w:t>».</w:t>
      </w:r>
    </w:p>
    <w:p w:rsidR="00B9666E" w:rsidRPr="00BD78F6" w:rsidRDefault="00BC35CB" w:rsidP="00392DC9">
      <w:pPr>
        <w:spacing w:line="276" w:lineRule="auto"/>
        <w:jc w:val="both"/>
      </w:pPr>
      <w:r w:rsidRPr="00F04FE0">
        <w:rPr>
          <w:b/>
        </w:rPr>
        <w:t>Vaccini: somministrazioni.</w:t>
      </w:r>
      <w:r w:rsidR="00E814D0">
        <w:rPr>
          <w:b/>
        </w:rPr>
        <w:t xml:space="preserve"> </w:t>
      </w:r>
      <w:r w:rsidR="00430CD8" w:rsidRPr="00F04FE0">
        <w:t xml:space="preserve">Al 17 marzo (aggiornamento ore </w:t>
      </w:r>
      <w:r w:rsidR="00F04FE0" w:rsidRPr="00F04FE0">
        <w:t>6.01</w:t>
      </w:r>
      <w:r w:rsidR="00430CD8" w:rsidRPr="00F04FE0">
        <w:t>)</w:t>
      </w:r>
      <w:r w:rsidRPr="00F04FE0">
        <w:t xml:space="preserve"> hanno completato il ciclo vaccinale con la seconda dose </w:t>
      </w:r>
      <w:r w:rsidR="00F04FE0" w:rsidRPr="00F04FE0">
        <w:t>2.145.434</w:t>
      </w:r>
      <w:r w:rsidR="00D50202">
        <w:t xml:space="preserve"> </w:t>
      </w:r>
      <w:r w:rsidRPr="00F04FE0">
        <w:t>milioni di persone (</w:t>
      </w:r>
      <w:r w:rsidR="00F04FE0" w:rsidRPr="00F04FE0">
        <w:t>3,6</w:t>
      </w:r>
      <w:r w:rsidRPr="00F04FE0">
        <w:t xml:space="preserve">% della popolazione), con marcate differenze regionali: dal </w:t>
      </w:r>
      <w:r w:rsidR="00A96100" w:rsidRPr="00F04FE0">
        <w:t xml:space="preserve">2,71% della Calabria </w:t>
      </w:r>
      <w:r w:rsidR="00A96100">
        <w:t xml:space="preserve">al </w:t>
      </w:r>
      <w:r w:rsidR="00F04FE0" w:rsidRPr="00F04FE0">
        <w:t>5,12</w:t>
      </w:r>
      <w:r w:rsidRPr="00F04FE0">
        <w:t>%</w:t>
      </w:r>
      <w:r w:rsidR="0091049C" w:rsidRPr="00F04FE0">
        <w:t xml:space="preserve"> d</w:t>
      </w:r>
      <w:r w:rsidR="00F04FE0" w:rsidRPr="00F04FE0">
        <w:t>ella Valle D’Aosta</w:t>
      </w:r>
      <w:r w:rsidR="00E814D0">
        <w:t xml:space="preserve"> </w:t>
      </w:r>
      <w:r w:rsidR="009806E6" w:rsidRPr="00F04FE0">
        <w:t>(</w:t>
      </w:r>
      <w:r w:rsidR="00894045" w:rsidRPr="00F04FE0">
        <w:rPr>
          <w:highlight w:val="yellow"/>
        </w:rPr>
        <w:t xml:space="preserve">figura </w:t>
      </w:r>
      <w:r w:rsidR="00D74DD5">
        <w:rPr>
          <w:highlight w:val="yellow"/>
        </w:rPr>
        <w:t>6</w:t>
      </w:r>
      <w:r w:rsidR="00894045" w:rsidRPr="00F04FE0">
        <w:t>)</w:t>
      </w:r>
      <w:r w:rsidRPr="00F04FE0">
        <w:t>.</w:t>
      </w:r>
      <w:r w:rsidR="00E814D0">
        <w:t xml:space="preserve"> </w:t>
      </w:r>
      <w:r w:rsidR="00C77FE4">
        <w:t xml:space="preserve">Purtroppo, </w:t>
      </w:r>
      <w:r w:rsidR="00A96100">
        <w:t xml:space="preserve">l’accelerazione </w:t>
      </w:r>
      <w:r w:rsidR="00C77FE4">
        <w:t xml:space="preserve">della vaccinazione di massa </w:t>
      </w:r>
      <w:r w:rsidR="00D74DD5">
        <w:t xml:space="preserve">registrata </w:t>
      </w:r>
      <w:r w:rsidR="00C77FE4">
        <w:t xml:space="preserve">nelle </w:t>
      </w:r>
      <w:r w:rsidR="00A96100">
        <w:t xml:space="preserve">ultime settimane </w:t>
      </w:r>
      <w:r w:rsidR="00C77FE4">
        <w:t xml:space="preserve">ha </w:t>
      </w:r>
      <w:r w:rsidR="00D74DD5">
        <w:t xml:space="preserve">subìto </w:t>
      </w:r>
      <w:r w:rsidR="00A96100">
        <w:t xml:space="preserve">un’inevitabile </w:t>
      </w:r>
      <w:r w:rsidR="00C77FE4">
        <w:t xml:space="preserve">battuta d’arresto </w:t>
      </w:r>
      <w:r w:rsidR="00A96100">
        <w:t xml:space="preserve">dopo il </w:t>
      </w:r>
      <w:r w:rsidR="00430CD8" w:rsidRPr="00BD78F6">
        <w:t>blocco precauzionale e temporaneo del</w:t>
      </w:r>
      <w:r w:rsidR="00A96100">
        <w:t xml:space="preserve"> vaccino</w:t>
      </w:r>
      <w:r w:rsidR="00430CD8" w:rsidRPr="00BD78F6">
        <w:t xml:space="preserve"> AstraZeneca</w:t>
      </w:r>
      <w:r w:rsidR="00A96100">
        <w:t>, i</w:t>
      </w:r>
      <w:r w:rsidR="00430CD8" w:rsidRPr="00BD78F6">
        <w:t xml:space="preserve">n attesa </w:t>
      </w:r>
      <w:r w:rsidR="00A77115">
        <w:t>del</w:t>
      </w:r>
      <w:r w:rsidR="00430CD8" w:rsidRPr="00BD78F6">
        <w:t xml:space="preserve"> parere definitivo dell’</w:t>
      </w:r>
      <w:r w:rsidR="00430CD8" w:rsidRPr="00BD78F6">
        <w:rPr>
          <w:i/>
        </w:rPr>
        <w:t xml:space="preserve">European Medicines Agency </w:t>
      </w:r>
      <w:r w:rsidR="00A77115">
        <w:t>atteso per</w:t>
      </w:r>
      <w:r w:rsidR="00A96100">
        <w:t xml:space="preserve"> oggi.</w:t>
      </w:r>
      <w:r w:rsidR="00D50202">
        <w:t xml:space="preserve"> </w:t>
      </w:r>
      <w:r w:rsidR="00A96100" w:rsidRPr="00A96100">
        <w:t>«</w:t>
      </w:r>
      <w:r w:rsidR="002920FA">
        <w:t>A seguito di questo increscioso episodio</w:t>
      </w:r>
      <w:r w:rsidR="00D50202">
        <w:t xml:space="preserve"> </w:t>
      </w:r>
      <w:r w:rsidR="002920FA" w:rsidRPr="00A96100">
        <w:t>– commenta Cartabellotta –</w:t>
      </w:r>
      <w:r w:rsidR="002920FA">
        <w:t xml:space="preserve"> a</w:t>
      </w:r>
      <w:r w:rsidR="00B9666E">
        <w:t xml:space="preserve">l di là </w:t>
      </w:r>
      <w:r w:rsidR="00EA1431">
        <w:t>dei tempi organizzativi per ripartire</w:t>
      </w:r>
      <w:r w:rsidR="002920FA">
        <w:t>,</w:t>
      </w:r>
      <w:r w:rsidR="00B9666E">
        <w:t>non è possibile stimare</w:t>
      </w:r>
      <w:r w:rsidR="00E814D0">
        <w:t xml:space="preserve"> </w:t>
      </w:r>
      <w:r w:rsidR="00B9666E">
        <w:t xml:space="preserve">la </w:t>
      </w:r>
      <w:r w:rsidR="00A96100">
        <w:t xml:space="preserve">riduzione dell’adesione </w:t>
      </w:r>
      <w:r w:rsidR="002920FA">
        <w:t xml:space="preserve">generale </w:t>
      </w:r>
      <w:r w:rsidR="00A96100">
        <w:t>alla campagna vaccinale</w:t>
      </w:r>
      <w:r w:rsidR="00B9666E">
        <w:t xml:space="preserve">, né </w:t>
      </w:r>
      <w:r w:rsidR="00517030">
        <w:t>l’impatto d</w:t>
      </w:r>
      <w:r w:rsidR="00DF0DCD">
        <w:t>ella diffid</w:t>
      </w:r>
      <w:r w:rsidR="00BF2342">
        <w:t>enza</w:t>
      </w:r>
      <w:r w:rsidR="002920FA">
        <w:t xml:space="preserve"> (o del rifiuto?) </w:t>
      </w:r>
      <w:r w:rsidR="005B30F9">
        <w:t xml:space="preserve">individuale </w:t>
      </w:r>
      <w:r w:rsidR="002920FA">
        <w:t>rispetto al</w:t>
      </w:r>
      <w:r w:rsidR="00D50202">
        <w:t xml:space="preserve"> </w:t>
      </w:r>
      <w:r w:rsidR="00A96100">
        <w:t>vaccino AstraZeneca</w:t>
      </w:r>
      <w:r w:rsidR="00BF2342">
        <w:t>. U</w:t>
      </w:r>
      <w:r w:rsidR="00B9666E">
        <w:t xml:space="preserve">n effetto boomerang </w:t>
      </w:r>
      <w:r w:rsidR="00BF2342">
        <w:t>generato</w:t>
      </w:r>
      <w:r w:rsidR="00B9666E">
        <w:t xml:space="preserve"> da una comunicazione istituzionale frammentata e non lineare</w:t>
      </w:r>
      <w:r w:rsidR="00C77FE4">
        <w:t xml:space="preserve">, frutto di una decisione </w:t>
      </w:r>
      <w:r w:rsidR="002920FA">
        <w:t xml:space="preserve">impulsiva </w:t>
      </w:r>
      <w:r w:rsidR="00C77FE4">
        <w:t>più politica che scientifica</w:t>
      </w:r>
      <w:r w:rsidR="00A96100" w:rsidRPr="00A96100">
        <w:t>».</w:t>
      </w:r>
      <w:r w:rsidR="002920FA">
        <w:t>Nel frattempo</w:t>
      </w:r>
      <w:r w:rsidR="00C77FE4">
        <w:t>, r</w:t>
      </w:r>
      <w:r w:rsidR="00330F76" w:rsidRPr="006233B8">
        <w:t>ispetto alla protezione de</w:t>
      </w:r>
      <w:r w:rsidR="00F00EB9" w:rsidRPr="006233B8">
        <w:t>i più fragili</w:t>
      </w:r>
      <w:r w:rsidR="00330F76" w:rsidRPr="006233B8">
        <w:t>, d</w:t>
      </w:r>
      <w:r w:rsidR="00A54D23" w:rsidRPr="006233B8">
        <w:t xml:space="preserve">egli </w:t>
      </w:r>
      <w:r w:rsidR="000854F3" w:rsidRPr="006233B8">
        <w:t xml:space="preserve">oltre </w:t>
      </w:r>
      <w:r w:rsidR="006233B8" w:rsidRPr="006233B8">
        <w:t>4,4</w:t>
      </w:r>
      <w:r w:rsidR="000854F3" w:rsidRPr="006233B8">
        <w:t xml:space="preserve"> milioni di </w:t>
      </w:r>
      <w:r w:rsidR="00A54D23" w:rsidRPr="006233B8">
        <w:t>over</w:t>
      </w:r>
      <w:r w:rsidR="00D50202">
        <w:t xml:space="preserve"> </w:t>
      </w:r>
      <w:r w:rsidR="00A54D23" w:rsidRPr="006233B8">
        <w:t>80</w:t>
      </w:r>
      <w:r w:rsidR="000854F3" w:rsidRPr="006233B8">
        <w:t>,</w:t>
      </w:r>
      <w:r w:rsidR="00D50202">
        <w:t xml:space="preserve"> </w:t>
      </w:r>
      <w:r w:rsidR="006233B8" w:rsidRPr="006233B8">
        <w:t xml:space="preserve">1.258.139 </w:t>
      </w:r>
      <w:r w:rsidRPr="006233B8">
        <w:t>(</w:t>
      </w:r>
      <w:r w:rsidR="006233B8" w:rsidRPr="006233B8">
        <w:t>28,5</w:t>
      </w:r>
      <w:r w:rsidRPr="006233B8">
        <w:t xml:space="preserve">%) hanno ricevuto </w:t>
      </w:r>
      <w:r w:rsidR="005B30F9">
        <w:t>solo</w:t>
      </w:r>
      <w:r w:rsidR="00D50202">
        <w:t xml:space="preserve"> </w:t>
      </w:r>
      <w:r w:rsidR="0091049C" w:rsidRPr="006233B8">
        <w:t>la</w:t>
      </w:r>
      <w:r w:rsidRPr="006233B8">
        <w:t xml:space="preserve"> prima dose di vaccino e </w:t>
      </w:r>
      <w:r w:rsidR="006233B8" w:rsidRPr="006233B8">
        <w:t xml:space="preserve">469.783 </w:t>
      </w:r>
      <w:r w:rsidRPr="006233B8">
        <w:t>(</w:t>
      </w:r>
      <w:r w:rsidR="006233B8" w:rsidRPr="006233B8">
        <w:t>10,6</w:t>
      </w:r>
      <w:r w:rsidRPr="006233B8">
        <w:t>%) hanno completato il ciclo vaccinale</w:t>
      </w:r>
      <w:r w:rsidR="00E814D0">
        <w:t xml:space="preserve"> </w:t>
      </w:r>
      <w:r w:rsidRPr="006233B8">
        <w:t xml:space="preserve">con </w:t>
      </w:r>
      <w:r w:rsidR="00A54D23" w:rsidRPr="006233B8">
        <w:t>rilevanti</w:t>
      </w:r>
      <w:r w:rsidRPr="006233B8">
        <w:t xml:space="preserve"> differenze regionali (</w:t>
      </w:r>
      <w:r w:rsidRPr="006233B8">
        <w:rPr>
          <w:highlight w:val="yellow"/>
        </w:rPr>
        <w:t>figura</w:t>
      </w:r>
      <w:r w:rsidR="002920FA">
        <w:rPr>
          <w:highlight w:val="yellow"/>
        </w:rPr>
        <w:t>7</w:t>
      </w:r>
      <w:r w:rsidR="00D860C4">
        <w:t>)</w:t>
      </w:r>
      <w:r w:rsidR="00461611" w:rsidRPr="00BD78F6">
        <w:t>.</w:t>
      </w:r>
      <w:r w:rsidR="00E814D0">
        <w:t xml:space="preserve"> </w:t>
      </w:r>
      <w:r w:rsidR="00B9666E" w:rsidRPr="00A96100">
        <w:t>«</w:t>
      </w:r>
      <w:r w:rsidR="00B9666E">
        <w:t xml:space="preserve">Numeri in crescita </w:t>
      </w:r>
      <w:r w:rsidR="00B9666E" w:rsidRPr="00A96100">
        <w:t xml:space="preserve">– commenta </w:t>
      </w:r>
      <w:r w:rsidR="00B9666E">
        <w:t>Gili</w:t>
      </w:r>
      <w:r w:rsidR="00B9666E" w:rsidRPr="00A96100">
        <w:t xml:space="preserve"> –</w:t>
      </w:r>
      <w:r w:rsidR="00B9666E">
        <w:t xml:space="preserve"> ma ancora </w:t>
      </w:r>
      <w:r w:rsidR="002920FA">
        <w:t xml:space="preserve">troppo </w:t>
      </w:r>
      <w:r w:rsidR="00B9666E">
        <w:t xml:space="preserve">esigui per </w:t>
      </w:r>
      <w:r w:rsidR="00C77FE4">
        <w:t xml:space="preserve">osservare risultati tangibili in termini di </w:t>
      </w:r>
      <w:r w:rsidR="00B9666E">
        <w:t>riduzione di ospedalizzazioni e decessi nella fascia di età più colpita dalla COVID-19</w:t>
      </w:r>
      <w:r w:rsidR="00B9666E" w:rsidRPr="00A96100">
        <w:t>».</w:t>
      </w:r>
    </w:p>
    <w:p w:rsidR="00084054" w:rsidRPr="00DF0DCD" w:rsidRDefault="00803193" w:rsidP="00392DC9">
      <w:pPr>
        <w:spacing w:line="276" w:lineRule="auto"/>
        <w:jc w:val="both"/>
      </w:pPr>
      <w:r w:rsidRPr="00DF0DCD">
        <w:t>«</w:t>
      </w:r>
      <w:r w:rsidR="00E4152D">
        <w:t xml:space="preserve">Tre ragionevoli certezze </w:t>
      </w:r>
      <w:r w:rsidR="00FF626F" w:rsidRPr="00DF0DCD">
        <w:t>– conclude Cartabellotta –</w:t>
      </w:r>
      <w:r w:rsidR="00D50202">
        <w:t xml:space="preserve"> </w:t>
      </w:r>
      <w:r w:rsidR="00BC77F7">
        <w:t>documentano</w:t>
      </w:r>
      <w:r w:rsidR="00E4152D">
        <w:t xml:space="preserve"> che stiamo attraversando una fase molto critica della pandemia</w:t>
      </w:r>
      <w:r w:rsidR="00BC77F7">
        <w:t xml:space="preserve">. Innanzitutto, la terza ondata è </w:t>
      </w:r>
      <w:r w:rsidR="00E4152D">
        <w:t>ri</w:t>
      </w:r>
      <w:r w:rsidR="00BC77F7">
        <w:t xml:space="preserve">partita da un “altopiano” </w:t>
      </w:r>
      <w:r w:rsidR="00E4152D">
        <w:t xml:space="preserve">determinando </w:t>
      </w:r>
      <w:r w:rsidR="00BC77F7">
        <w:t>la rapida saturazione di posti letto in area medica e terapia intensiva</w:t>
      </w:r>
      <w:r w:rsidR="00DC2FCC">
        <w:t>,in particolare in alcune Regioni</w:t>
      </w:r>
      <w:r w:rsidR="00BC77F7">
        <w:t xml:space="preserve">. In secondo luogo, il trend dei pazienti ospedalizzati </w:t>
      </w:r>
      <w:r w:rsidR="00E4152D">
        <w:t xml:space="preserve">e in terapia intensiva </w:t>
      </w:r>
      <w:r w:rsidR="00BC77F7">
        <w:t xml:space="preserve">è in </w:t>
      </w:r>
      <w:r w:rsidR="00E4152D">
        <w:t xml:space="preserve">rapida </w:t>
      </w:r>
      <w:r w:rsidR="00BC77F7">
        <w:t>ascesa e difficilmente raggiungerà il picco prima di 3 settimane dall’introduzione delle nuove misure</w:t>
      </w:r>
      <w:r w:rsidR="00E4152D">
        <w:t xml:space="preserve"> restrittive</w:t>
      </w:r>
      <w:r w:rsidR="00BC77F7">
        <w:t xml:space="preserve">. Infine, </w:t>
      </w:r>
      <w:r w:rsidR="00E7732C">
        <w:t>i ritardi</w:t>
      </w:r>
      <w:r w:rsidR="00D50202">
        <w:t xml:space="preserve"> </w:t>
      </w:r>
      <w:r w:rsidR="002242D1">
        <w:t>delle forniture vaccinali e il ca</w:t>
      </w:r>
      <w:r w:rsidR="00A60460">
        <w:t>so</w:t>
      </w:r>
      <w:r w:rsidR="00D50202">
        <w:t xml:space="preserve"> </w:t>
      </w:r>
      <w:r w:rsidR="00DC2FCC">
        <w:t>Astra</w:t>
      </w:r>
      <w:r w:rsidR="009A0FAE">
        <w:t>Z</w:t>
      </w:r>
      <w:r w:rsidR="00DC2FCC">
        <w:t xml:space="preserve">eneca </w:t>
      </w:r>
      <w:r w:rsidR="0023054A">
        <w:t xml:space="preserve">allontanano </w:t>
      </w:r>
      <w:r w:rsidR="002242D1">
        <w:t>gli effetti della campagna vaccinale</w:t>
      </w:r>
      <w:r w:rsidR="00EC7986">
        <w:t>. In questo scenario, c</w:t>
      </w:r>
      <w:r w:rsidR="00EC7986" w:rsidRPr="00EC7986">
        <w:t xml:space="preserve">on una popolazione psicologicamente ed economicamente sfiancata e operatori sanitari allo stremo, </w:t>
      </w:r>
      <w:r w:rsidR="00EC7986">
        <w:t xml:space="preserve">quale sarà il cambio di passo del Governo Draghi per </w:t>
      </w:r>
      <w:r w:rsidR="00E4152D">
        <w:t xml:space="preserve">salvare, almeno in parte, </w:t>
      </w:r>
      <w:r w:rsidR="00EC7986" w:rsidRPr="00EC7986">
        <w:t>la stagione estiva?</w:t>
      </w:r>
      <w:r w:rsidRPr="00DF0DCD">
        <w:t>».</w:t>
      </w:r>
    </w:p>
    <w:p w:rsidR="00A54D23" w:rsidRPr="00625E38" w:rsidRDefault="00A54D23" w:rsidP="00A54D23">
      <w:pPr>
        <w:spacing w:after="120" w:line="276" w:lineRule="auto"/>
        <w:rPr>
          <w:rFonts w:cstheme="minorHAnsi"/>
          <w:i/>
          <w:u w:val="single"/>
        </w:rPr>
      </w:pPr>
      <w:r w:rsidRPr="00497C09">
        <w:rPr>
          <w:rFonts w:cstheme="minorHAnsi"/>
          <w:i/>
        </w:rPr>
        <w:t xml:space="preserve">Il monitoraggio GIMBE dell'epidemia di COVID-19 è disponibile a: </w:t>
      </w:r>
      <w:hyperlink r:id="rId9" w:history="1">
        <w:r w:rsidRPr="00497C09">
          <w:rPr>
            <w:rStyle w:val="Collegamentoipertestuale"/>
            <w:rFonts w:cstheme="minorHAnsi"/>
            <w:i/>
          </w:rPr>
          <w:t>https://coronavirus.gimbe.org</w:t>
        </w:r>
      </w:hyperlink>
    </w:p>
    <w:p w:rsidR="00BC35CB" w:rsidRPr="00DD7EC3" w:rsidRDefault="00A54D23" w:rsidP="00DD7EC3">
      <w:pPr>
        <w:spacing w:after="120"/>
        <w:rPr>
          <w:rFonts w:ascii="Calibri" w:eastAsia="Calibri" w:hAnsi="Calibri" w:cs="Times New Roman"/>
          <w:color w:val="0563C1" w:themeColor="hyperlink"/>
          <w:sz w:val="20"/>
          <w:u w:val="single"/>
        </w:rPr>
      </w:pPr>
      <w:r w:rsidRPr="00A24080">
        <w:rPr>
          <w:rFonts w:ascii="Calibri" w:eastAsia="Calibri" w:hAnsi="Calibri" w:cs="Times New Roman"/>
          <w:b/>
          <w:bCs/>
        </w:rPr>
        <w:t>CONTATTI</w:t>
      </w:r>
      <w:r>
        <w:rPr>
          <w:i/>
        </w:rPr>
        <w:br/>
      </w:r>
      <w:r w:rsidRPr="00A24080">
        <w:rPr>
          <w:b/>
        </w:rPr>
        <w:t>Fondazione GIMBE</w:t>
      </w:r>
      <w:r>
        <w:rPr>
          <w:rFonts w:cstheme="minorHAnsi"/>
          <w:i/>
          <w:color w:val="0563C1" w:themeColor="hyperlink"/>
          <w:u w:val="single"/>
        </w:rPr>
        <w:br/>
      </w:r>
      <w:r w:rsidRPr="00652364">
        <w:rPr>
          <w:rFonts w:ascii="Calibri" w:eastAsia="Calibri" w:hAnsi="Calibri" w:cs="Times New Roman"/>
          <w:sz w:val="20"/>
        </w:rPr>
        <w:t>Via Amendola 2 - 40121 Bologna</w:t>
      </w:r>
      <w:r>
        <w:rPr>
          <w:rFonts w:ascii="Calibri" w:eastAsia="Calibri" w:hAnsi="Calibri" w:cs="Times New Roman"/>
          <w:sz w:val="20"/>
        </w:rPr>
        <w:br/>
      </w:r>
      <w:r w:rsidRPr="00652364">
        <w:rPr>
          <w:rFonts w:ascii="Calibri" w:eastAsia="Calibri" w:hAnsi="Calibri" w:cs="Times New Roman"/>
          <w:sz w:val="20"/>
        </w:rPr>
        <w:t>Tel. 051 5883920 - Fax 051 4075774</w:t>
      </w:r>
      <w:r>
        <w:rPr>
          <w:rFonts w:ascii="Calibri" w:eastAsia="Calibri" w:hAnsi="Calibri" w:cs="Times New Roman"/>
          <w:sz w:val="20"/>
        </w:rPr>
        <w:br/>
      </w:r>
      <w:r w:rsidRPr="00652364">
        <w:rPr>
          <w:rFonts w:ascii="Calibri" w:eastAsia="Calibri" w:hAnsi="Calibri" w:cs="Times New Roman"/>
          <w:sz w:val="20"/>
        </w:rPr>
        <w:t xml:space="preserve">E-mail: </w:t>
      </w:r>
      <w:hyperlink r:id="rId10" w:history="1">
        <w:r w:rsidRPr="00652364">
          <w:rPr>
            <w:rStyle w:val="Collegamentoipertestuale"/>
            <w:rFonts w:ascii="Calibri" w:eastAsia="Calibri" w:hAnsi="Calibri" w:cs="Times New Roman"/>
            <w:sz w:val="20"/>
          </w:rPr>
          <w:t>ufficio.stampa@gimbe.org</w:t>
        </w:r>
      </w:hyperlink>
    </w:p>
    <w:p w:rsidR="00E51205" w:rsidRDefault="00D86DE6" w:rsidP="00E51205">
      <w:pPr>
        <w:jc w:val="center"/>
        <w:rPr>
          <w:b/>
          <w:color w:val="00457D"/>
          <w:sz w:val="24"/>
        </w:rPr>
      </w:pPr>
      <w:r>
        <w:rPr>
          <w:b/>
          <w:color w:val="00457D"/>
          <w:sz w:val="24"/>
        </w:rPr>
        <w:lastRenderedPageBreak/>
        <w:t>Figura 1</w:t>
      </w:r>
    </w:p>
    <w:p w:rsidR="00E51205" w:rsidRDefault="00424E79" w:rsidP="00E51205">
      <w:pPr>
        <w:jc w:val="center"/>
        <w:rPr>
          <w:b/>
          <w:color w:val="00457D"/>
          <w:sz w:val="24"/>
        </w:rPr>
      </w:pPr>
      <w:r>
        <w:rPr>
          <w:b/>
          <w:noProof/>
          <w:color w:val="00457D"/>
          <w:sz w:val="24"/>
          <w:lang w:eastAsia="it-IT"/>
        </w:rPr>
        <w:drawing>
          <wp:inline distT="0" distB="0" distL="0" distR="0">
            <wp:extent cx="5760000" cy="2782631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27826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6DE6" w:rsidRDefault="00D86DE6" w:rsidP="00891F25">
      <w:pPr>
        <w:rPr>
          <w:b/>
          <w:color w:val="00457D"/>
          <w:sz w:val="24"/>
        </w:rPr>
      </w:pPr>
    </w:p>
    <w:p w:rsidR="0029362B" w:rsidRDefault="00DE19CB" w:rsidP="008B6F3B">
      <w:pPr>
        <w:jc w:val="center"/>
        <w:rPr>
          <w:b/>
          <w:color w:val="00457D"/>
          <w:sz w:val="24"/>
        </w:rPr>
      </w:pPr>
      <w:r>
        <w:rPr>
          <w:b/>
          <w:color w:val="00457D"/>
          <w:sz w:val="24"/>
        </w:rPr>
        <w:t>Figura 2</w:t>
      </w:r>
    </w:p>
    <w:p w:rsidR="008B6F3B" w:rsidRDefault="00424E79" w:rsidP="00333902">
      <w:pPr>
        <w:jc w:val="center"/>
        <w:rPr>
          <w:b/>
          <w:color w:val="00457D"/>
          <w:sz w:val="24"/>
        </w:rPr>
      </w:pPr>
      <w:r>
        <w:rPr>
          <w:b/>
          <w:noProof/>
          <w:color w:val="00457D"/>
          <w:sz w:val="24"/>
          <w:lang w:eastAsia="it-IT"/>
        </w:rPr>
        <w:drawing>
          <wp:inline distT="0" distB="0" distL="0" distR="0">
            <wp:extent cx="5760000" cy="2742424"/>
            <wp:effectExtent l="0" t="0" r="0" b="127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27424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B6F3B">
        <w:rPr>
          <w:b/>
          <w:color w:val="00457D"/>
          <w:sz w:val="24"/>
        </w:rPr>
        <w:br/>
      </w:r>
    </w:p>
    <w:p w:rsidR="003F2406" w:rsidRDefault="003F2406" w:rsidP="003F2406">
      <w:pPr>
        <w:jc w:val="center"/>
        <w:rPr>
          <w:b/>
          <w:color w:val="00457D"/>
          <w:sz w:val="24"/>
        </w:rPr>
        <w:sectPr w:rsidR="003F2406" w:rsidSect="00115E64">
          <w:footnotePr>
            <w:numFmt w:val="chicago"/>
          </w:footnotePr>
          <w:pgSz w:w="11906" w:h="16838"/>
          <w:pgMar w:top="993" w:right="1134" w:bottom="709" w:left="1134" w:header="709" w:footer="836" w:gutter="0"/>
          <w:cols w:space="708"/>
          <w:docGrid w:linePitch="360"/>
        </w:sectPr>
      </w:pPr>
      <w:r>
        <w:rPr>
          <w:b/>
          <w:color w:val="00457D"/>
          <w:sz w:val="24"/>
        </w:rPr>
        <w:br/>
      </w:r>
    </w:p>
    <w:p w:rsidR="001A0514" w:rsidRDefault="00BF6DF7" w:rsidP="00891F25">
      <w:pPr>
        <w:spacing w:after="0" w:line="360" w:lineRule="auto"/>
        <w:jc w:val="center"/>
        <w:rPr>
          <w:b/>
          <w:color w:val="00457D"/>
          <w:sz w:val="24"/>
        </w:rPr>
      </w:pPr>
      <w:r>
        <w:rPr>
          <w:b/>
          <w:color w:val="00457D"/>
          <w:sz w:val="24"/>
        </w:rPr>
        <w:lastRenderedPageBreak/>
        <w:t xml:space="preserve">Figura </w:t>
      </w:r>
      <w:r w:rsidR="00DE19CB">
        <w:rPr>
          <w:b/>
          <w:color w:val="00457D"/>
          <w:sz w:val="24"/>
        </w:rPr>
        <w:t>3</w:t>
      </w:r>
    </w:p>
    <w:p w:rsidR="00E92B03" w:rsidRPr="00891F25" w:rsidRDefault="00AD4596" w:rsidP="00891F25">
      <w:pPr>
        <w:spacing w:after="0" w:line="360" w:lineRule="auto"/>
        <w:jc w:val="center"/>
        <w:rPr>
          <w:b/>
          <w:color w:val="00457D"/>
          <w:sz w:val="24"/>
        </w:rPr>
      </w:pPr>
      <w:r>
        <w:rPr>
          <w:b/>
          <w:noProof/>
          <w:color w:val="00457D"/>
          <w:sz w:val="24"/>
          <w:lang w:eastAsia="it-IT"/>
        </w:rPr>
        <w:drawing>
          <wp:inline distT="0" distB="0" distL="0" distR="0">
            <wp:extent cx="9360000" cy="4868302"/>
            <wp:effectExtent l="0" t="0" r="0" b="8890"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0" cy="48683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91F25" w:rsidRPr="00080306" w:rsidRDefault="00891F25" w:rsidP="00080306">
      <w:pPr>
        <w:spacing w:after="0" w:line="360" w:lineRule="auto"/>
        <w:jc w:val="center"/>
        <w:rPr>
          <w:b/>
          <w:color w:val="FF0000"/>
          <w:sz w:val="24"/>
        </w:rPr>
        <w:sectPr w:rsidR="00891F25" w:rsidRPr="00080306" w:rsidSect="00B76C0E">
          <w:footnotePr>
            <w:numFmt w:val="chicago"/>
          </w:footnotePr>
          <w:pgSz w:w="16838" w:h="11906" w:orient="landscape"/>
          <w:pgMar w:top="1134" w:right="709" w:bottom="1134" w:left="992" w:header="709" w:footer="833" w:gutter="0"/>
          <w:cols w:space="708"/>
          <w:docGrid w:linePitch="360"/>
        </w:sectPr>
      </w:pPr>
    </w:p>
    <w:p w:rsidR="00F530A0" w:rsidRDefault="00F530A0" w:rsidP="00523628">
      <w:pPr>
        <w:spacing w:after="0" w:line="240" w:lineRule="auto"/>
        <w:rPr>
          <w:b/>
          <w:color w:val="00457D"/>
          <w:sz w:val="24"/>
        </w:rPr>
      </w:pPr>
    </w:p>
    <w:p w:rsidR="00F2554D" w:rsidRDefault="004C0660" w:rsidP="00F2554D">
      <w:pPr>
        <w:jc w:val="center"/>
        <w:rPr>
          <w:b/>
          <w:color w:val="00457D"/>
          <w:sz w:val="24"/>
        </w:rPr>
      </w:pPr>
      <w:r>
        <w:rPr>
          <w:b/>
          <w:color w:val="00457D"/>
          <w:sz w:val="24"/>
        </w:rPr>
        <w:t>Figura 4</w:t>
      </w:r>
    </w:p>
    <w:p w:rsidR="00F2554D" w:rsidRDefault="00315D8F" w:rsidP="00084054">
      <w:pPr>
        <w:jc w:val="center"/>
        <w:rPr>
          <w:b/>
          <w:color w:val="00457D"/>
          <w:sz w:val="24"/>
        </w:rPr>
      </w:pPr>
      <w:r>
        <w:rPr>
          <w:b/>
          <w:noProof/>
          <w:color w:val="00457D"/>
          <w:sz w:val="24"/>
          <w:lang w:eastAsia="it-IT"/>
        </w:rPr>
        <w:drawing>
          <wp:inline distT="0" distB="0" distL="0" distR="0">
            <wp:extent cx="5736590" cy="5444490"/>
            <wp:effectExtent l="0" t="0" r="0" b="381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590" cy="5444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0660" w:rsidRDefault="004C0660" w:rsidP="004C0660">
      <w:pPr>
        <w:jc w:val="center"/>
        <w:rPr>
          <w:b/>
          <w:color w:val="00457D"/>
          <w:sz w:val="24"/>
        </w:rPr>
      </w:pPr>
      <w:r>
        <w:rPr>
          <w:b/>
          <w:color w:val="00457D"/>
          <w:sz w:val="24"/>
        </w:rPr>
        <w:t>Figura 5</w:t>
      </w:r>
    </w:p>
    <w:p w:rsidR="00884344" w:rsidRDefault="008F11EE" w:rsidP="004C0660">
      <w:pPr>
        <w:jc w:val="center"/>
        <w:rPr>
          <w:b/>
          <w:color w:val="00457D"/>
          <w:sz w:val="24"/>
        </w:rPr>
      </w:pPr>
      <w:r>
        <w:rPr>
          <w:b/>
          <w:noProof/>
          <w:color w:val="00457D"/>
          <w:sz w:val="24"/>
          <w:lang w:eastAsia="it-IT"/>
        </w:rPr>
        <w:drawing>
          <wp:inline distT="0" distB="0" distL="0" distR="0">
            <wp:extent cx="5760000" cy="2855565"/>
            <wp:effectExtent l="0" t="0" r="0" b="2540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2855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4344" w:rsidRDefault="00884344" w:rsidP="004C0660">
      <w:pPr>
        <w:jc w:val="center"/>
        <w:rPr>
          <w:b/>
          <w:color w:val="00457D"/>
          <w:sz w:val="24"/>
        </w:rPr>
      </w:pPr>
    </w:p>
    <w:p w:rsidR="00894045" w:rsidRDefault="00894045" w:rsidP="00F2554D">
      <w:pPr>
        <w:spacing w:after="0" w:line="240" w:lineRule="auto"/>
        <w:jc w:val="center"/>
        <w:rPr>
          <w:b/>
          <w:color w:val="00457D"/>
          <w:sz w:val="24"/>
        </w:rPr>
      </w:pPr>
      <w:r w:rsidRPr="00C55820">
        <w:rPr>
          <w:b/>
          <w:color w:val="00457D"/>
          <w:sz w:val="24"/>
        </w:rPr>
        <w:lastRenderedPageBreak/>
        <w:t xml:space="preserve">Figura </w:t>
      </w:r>
      <w:r w:rsidR="005662B7">
        <w:rPr>
          <w:b/>
          <w:color w:val="00457D"/>
          <w:sz w:val="24"/>
        </w:rPr>
        <w:t>6</w:t>
      </w:r>
      <w:r w:rsidRPr="00C55820">
        <w:rPr>
          <w:b/>
          <w:color w:val="00457D"/>
          <w:sz w:val="24"/>
        </w:rPr>
        <w:br/>
      </w:r>
      <w:r w:rsidR="00F04FE0">
        <w:rPr>
          <w:b/>
          <w:noProof/>
          <w:color w:val="FF0000"/>
          <w:sz w:val="24"/>
          <w:lang w:eastAsia="it-IT"/>
        </w:rPr>
        <w:drawing>
          <wp:inline distT="0" distB="0" distL="0" distR="0">
            <wp:extent cx="5760000" cy="4749431"/>
            <wp:effectExtent l="0" t="0" r="0" b="0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47494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94045" w:rsidRDefault="00894045" w:rsidP="0065595A">
      <w:pPr>
        <w:spacing w:after="0" w:line="240" w:lineRule="auto"/>
        <w:jc w:val="center"/>
        <w:rPr>
          <w:b/>
          <w:color w:val="00457D"/>
          <w:sz w:val="24"/>
        </w:rPr>
      </w:pPr>
    </w:p>
    <w:p w:rsidR="00894045" w:rsidRDefault="00894045">
      <w:pPr>
        <w:rPr>
          <w:b/>
          <w:color w:val="00457D"/>
          <w:sz w:val="24"/>
        </w:rPr>
      </w:pPr>
      <w:r>
        <w:rPr>
          <w:b/>
          <w:color w:val="00457D"/>
          <w:sz w:val="24"/>
        </w:rPr>
        <w:br w:type="page"/>
      </w:r>
    </w:p>
    <w:p w:rsidR="00A2359B" w:rsidRDefault="00A2359B" w:rsidP="00A2359B">
      <w:pPr>
        <w:spacing w:after="0" w:line="240" w:lineRule="auto"/>
        <w:jc w:val="center"/>
        <w:rPr>
          <w:b/>
          <w:color w:val="00457D"/>
          <w:sz w:val="24"/>
        </w:rPr>
      </w:pPr>
      <w:r>
        <w:rPr>
          <w:b/>
          <w:color w:val="00457D"/>
          <w:sz w:val="24"/>
        </w:rPr>
        <w:lastRenderedPageBreak/>
        <w:t xml:space="preserve">Figura </w:t>
      </w:r>
      <w:r w:rsidR="005662B7">
        <w:rPr>
          <w:b/>
          <w:color w:val="00457D"/>
          <w:sz w:val="24"/>
        </w:rPr>
        <w:t>7</w:t>
      </w:r>
    </w:p>
    <w:p w:rsidR="00364A15" w:rsidRDefault="006233B8" w:rsidP="00D860C4">
      <w:pPr>
        <w:spacing w:after="0" w:line="240" w:lineRule="auto"/>
        <w:jc w:val="center"/>
        <w:rPr>
          <w:b/>
          <w:color w:val="00457D"/>
          <w:sz w:val="24"/>
        </w:rPr>
      </w:pPr>
      <w:r>
        <w:rPr>
          <w:b/>
          <w:noProof/>
          <w:color w:val="00457D"/>
          <w:sz w:val="24"/>
          <w:lang w:eastAsia="it-IT"/>
        </w:rPr>
        <w:drawing>
          <wp:inline distT="0" distB="0" distL="0" distR="0">
            <wp:extent cx="5760000" cy="4446849"/>
            <wp:effectExtent l="0" t="0" r="0" b="0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44468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64A15">
        <w:rPr>
          <w:b/>
          <w:color w:val="00457D"/>
          <w:sz w:val="24"/>
        </w:rPr>
        <w:br w:type="page"/>
      </w:r>
    </w:p>
    <w:p w:rsidR="001A0514" w:rsidRPr="00010725" w:rsidRDefault="001A0514">
      <w:pPr>
        <w:rPr>
          <w:b/>
          <w:color w:val="00457D"/>
          <w:sz w:val="24"/>
        </w:rPr>
        <w:sectPr w:rsidR="001A0514" w:rsidRPr="00010725" w:rsidSect="001A0514">
          <w:footnotePr>
            <w:numFmt w:val="chicago"/>
          </w:footnotePr>
          <w:pgSz w:w="11906" w:h="16838"/>
          <w:pgMar w:top="709" w:right="1134" w:bottom="992" w:left="1134" w:header="709" w:footer="833" w:gutter="0"/>
          <w:cols w:space="708"/>
          <w:docGrid w:linePitch="360"/>
        </w:sectPr>
      </w:pPr>
    </w:p>
    <w:p w:rsidR="009B1700" w:rsidRPr="00D54A93" w:rsidRDefault="009B1700" w:rsidP="00303389">
      <w:pPr>
        <w:spacing w:line="276" w:lineRule="auto"/>
        <w:jc w:val="center"/>
        <w:rPr>
          <w:b/>
          <w:color w:val="00457D"/>
          <w:sz w:val="24"/>
        </w:rPr>
      </w:pPr>
      <w:r>
        <w:rPr>
          <w:b/>
          <w:color w:val="00457D"/>
          <w:sz w:val="24"/>
        </w:rPr>
        <w:lastRenderedPageBreak/>
        <w:t>T</w:t>
      </w:r>
      <w:r w:rsidRPr="00D54A93">
        <w:rPr>
          <w:b/>
          <w:color w:val="00457D"/>
          <w:sz w:val="24"/>
        </w:rPr>
        <w:t>abella</w:t>
      </w:r>
      <w:r>
        <w:rPr>
          <w:b/>
          <w:color w:val="00457D"/>
          <w:sz w:val="24"/>
        </w:rPr>
        <w:t xml:space="preserve"> 1</w:t>
      </w:r>
      <w:r w:rsidRPr="00D54A93">
        <w:rPr>
          <w:b/>
          <w:color w:val="00457D"/>
          <w:sz w:val="24"/>
        </w:rPr>
        <w:t xml:space="preserve">. Indicatori regionali: settimana </w:t>
      </w:r>
      <w:r w:rsidR="00AD4596">
        <w:rPr>
          <w:b/>
          <w:color w:val="00457D"/>
          <w:sz w:val="24"/>
        </w:rPr>
        <w:t>10-16</w:t>
      </w:r>
      <w:r w:rsidR="00F76612">
        <w:rPr>
          <w:b/>
          <w:color w:val="00457D"/>
          <w:sz w:val="24"/>
        </w:rPr>
        <w:t xml:space="preserve"> marzo 2021</w:t>
      </w:r>
    </w:p>
    <w:tbl>
      <w:tblPr>
        <w:tblW w:w="5000" w:type="pct"/>
        <w:tblBorders>
          <w:top w:val="single" w:sz="4" w:space="0" w:color="00457D"/>
          <w:left w:val="single" w:sz="4" w:space="0" w:color="00457D"/>
          <w:bottom w:val="single" w:sz="4" w:space="0" w:color="00457D"/>
          <w:right w:val="single" w:sz="4" w:space="0" w:color="00457D"/>
          <w:insideH w:val="single" w:sz="4" w:space="0" w:color="00457D"/>
          <w:insideV w:val="single" w:sz="4" w:space="0" w:color="00457D"/>
        </w:tblBorders>
        <w:tblCellMar>
          <w:left w:w="70" w:type="dxa"/>
          <w:right w:w="70" w:type="dxa"/>
        </w:tblCellMar>
        <w:tblLook w:val="04A0"/>
      </w:tblPr>
      <w:tblGrid>
        <w:gridCol w:w="2139"/>
        <w:gridCol w:w="2006"/>
        <w:gridCol w:w="1500"/>
        <w:gridCol w:w="1988"/>
        <w:gridCol w:w="2145"/>
      </w:tblGrid>
      <w:tr w:rsidR="00CD1BC6" w:rsidRPr="00364A15" w:rsidTr="00B06E25">
        <w:trPr>
          <w:trHeight w:val="907"/>
        </w:trPr>
        <w:tc>
          <w:tcPr>
            <w:tcW w:w="1096" w:type="pct"/>
            <w:tcBorders>
              <w:bottom w:val="single" w:sz="4" w:space="0" w:color="00457D"/>
              <w:right w:val="single" w:sz="4" w:space="0" w:color="FFFFFF" w:themeColor="background1"/>
            </w:tcBorders>
            <w:shd w:val="clear" w:color="auto" w:fill="00457D"/>
            <w:vAlign w:val="center"/>
            <w:hideMark/>
          </w:tcPr>
          <w:p w:rsidR="00CD1BC6" w:rsidRPr="00364A15" w:rsidRDefault="00CD1BC6" w:rsidP="00D03E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364A15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Regione</w:t>
            </w:r>
          </w:p>
        </w:tc>
        <w:tc>
          <w:tcPr>
            <w:tcW w:w="1026" w:type="pct"/>
            <w:tcBorders>
              <w:left w:val="single" w:sz="4" w:space="0" w:color="FFFFFF" w:themeColor="background1"/>
              <w:bottom w:val="single" w:sz="4" w:space="0" w:color="00457D"/>
              <w:right w:val="single" w:sz="4" w:space="0" w:color="FFFFFF" w:themeColor="background1"/>
            </w:tcBorders>
            <w:shd w:val="clear" w:color="auto" w:fill="00457D"/>
            <w:vAlign w:val="center"/>
            <w:hideMark/>
          </w:tcPr>
          <w:p w:rsidR="00CD1BC6" w:rsidRPr="00364A15" w:rsidRDefault="00CD1BC6" w:rsidP="00D03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1"/>
                <w:szCs w:val="21"/>
                <w:lang w:eastAsia="it-IT"/>
              </w:rPr>
            </w:pPr>
            <w:r w:rsidRPr="00EF1256">
              <w:rPr>
                <w:rFonts w:ascii="Calibri" w:eastAsia="Times New Roman" w:hAnsi="Calibri" w:cs="Calibri"/>
                <w:b/>
                <w:bCs/>
                <w:color w:val="FFFFFF"/>
                <w:sz w:val="21"/>
                <w:szCs w:val="21"/>
              </w:rPr>
              <w:t>Casi attualmente positivi per 100.000 abitanti</w:t>
            </w:r>
          </w:p>
        </w:tc>
        <w:tc>
          <w:tcPr>
            <w:tcW w:w="762" w:type="pct"/>
            <w:tcBorders>
              <w:left w:val="single" w:sz="4" w:space="0" w:color="FFFFFF" w:themeColor="background1"/>
              <w:bottom w:val="single" w:sz="4" w:space="0" w:color="00457D"/>
              <w:right w:val="single" w:sz="4" w:space="0" w:color="FFFFFF" w:themeColor="background1"/>
            </w:tcBorders>
            <w:shd w:val="clear" w:color="auto" w:fill="00457D"/>
            <w:vAlign w:val="center"/>
            <w:hideMark/>
          </w:tcPr>
          <w:p w:rsidR="00CD1BC6" w:rsidRPr="00364A15" w:rsidRDefault="00CD1BC6" w:rsidP="00D03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Variazione </w:t>
            </w:r>
            <w:r w:rsidRPr="00EF1256">
              <w:rPr>
                <w:rFonts w:ascii="Calibri" w:eastAsia="Times New Roman" w:hAnsi="Calibri" w:cs="Calibri"/>
                <w:b/>
                <w:bCs/>
                <w:color w:val="FFFFFF"/>
              </w:rPr>
              <w:br/>
              <w:t>%</w:t>
            </w: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nuovi</w:t>
            </w:r>
            <w:r w:rsidRPr="00EF1256"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casi</w:t>
            </w:r>
          </w:p>
        </w:tc>
        <w:tc>
          <w:tcPr>
            <w:tcW w:w="1017" w:type="pct"/>
            <w:tcBorders>
              <w:left w:val="single" w:sz="4" w:space="0" w:color="FFFFFF" w:themeColor="background1"/>
              <w:bottom w:val="single" w:sz="4" w:space="0" w:color="00457D"/>
              <w:right w:val="single" w:sz="4" w:space="0" w:color="FFFFFF" w:themeColor="background1"/>
            </w:tcBorders>
            <w:shd w:val="clear" w:color="auto" w:fill="00457D"/>
            <w:vAlign w:val="center"/>
            <w:hideMark/>
          </w:tcPr>
          <w:p w:rsidR="00CD1BC6" w:rsidRPr="00364A15" w:rsidRDefault="00CD1BC6" w:rsidP="00D03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>P</w:t>
            </w:r>
            <w:r w:rsidRPr="00EF1256"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>osti letto in area medica occupati da pazienti COVID−19</w:t>
            </w:r>
          </w:p>
        </w:tc>
        <w:tc>
          <w:tcPr>
            <w:tcW w:w="1099" w:type="pct"/>
            <w:tcBorders>
              <w:left w:val="single" w:sz="4" w:space="0" w:color="FFFFFF" w:themeColor="background1"/>
              <w:bottom w:val="single" w:sz="4" w:space="0" w:color="00457D"/>
            </w:tcBorders>
            <w:shd w:val="clear" w:color="auto" w:fill="00457D"/>
            <w:vAlign w:val="center"/>
            <w:hideMark/>
          </w:tcPr>
          <w:p w:rsidR="00CD1BC6" w:rsidRPr="00364A15" w:rsidRDefault="00CD1BC6" w:rsidP="00D03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>P</w:t>
            </w:r>
            <w:r w:rsidRPr="00EF1256"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 xml:space="preserve">osti letto in terapia intensiva occupati da </w:t>
            </w:r>
            <w:r w:rsidRPr="00EF1256"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br/>
              <w:t>pazienti COVID−19</w:t>
            </w:r>
          </w:p>
        </w:tc>
      </w:tr>
      <w:tr w:rsidR="00B06E25" w:rsidRPr="00CD1BC6" w:rsidTr="00B06E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096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:rsidR="00B06E25" w:rsidRPr="00CD1BC6" w:rsidRDefault="00B06E25" w:rsidP="00B0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D1BC6">
              <w:rPr>
                <w:rFonts w:ascii="Calibri" w:eastAsia="Times New Roman" w:hAnsi="Calibri" w:cs="Calibri"/>
                <w:color w:val="000000"/>
                <w:lang w:eastAsia="it-IT"/>
              </w:rPr>
              <w:t>Abruzzo</w:t>
            </w:r>
          </w:p>
        </w:tc>
        <w:tc>
          <w:tcPr>
            <w:tcW w:w="1026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noWrap/>
            <w:vAlign w:val="center"/>
            <w:hideMark/>
          </w:tcPr>
          <w:p w:rsidR="00B06E25" w:rsidRPr="00CD1BC6" w:rsidRDefault="00B06E25" w:rsidP="00B0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CD1BC6">
              <w:rPr>
                <w:rFonts w:ascii="Calibri" w:eastAsia="Times New Roman" w:hAnsi="Calibri" w:cs="Calibri"/>
                <w:color w:val="006100"/>
                <w:lang w:eastAsia="it-IT"/>
              </w:rPr>
              <w:t>956</w:t>
            </w:r>
          </w:p>
        </w:tc>
        <w:tc>
          <w:tcPr>
            <w:tcW w:w="762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noWrap/>
            <w:vAlign w:val="center"/>
            <w:hideMark/>
          </w:tcPr>
          <w:p w:rsidR="00B06E25" w:rsidRDefault="00B06E25" w:rsidP="00B06E25">
            <w:pPr>
              <w:spacing w:after="0"/>
              <w:jc w:val="center"/>
              <w:rPr>
                <w:rFonts w:ascii="Calibri" w:hAnsi="Calibri" w:cs="Calibri"/>
                <w:color w:val="006100"/>
              </w:rPr>
            </w:pPr>
            <w:r>
              <w:rPr>
                <w:rFonts w:ascii="Calibri" w:hAnsi="Calibri" w:cs="Calibri"/>
                <w:color w:val="006100"/>
              </w:rPr>
              <w:t>-12,2%</w:t>
            </w:r>
          </w:p>
        </w:tc>
        <w:tc>
          <w:tcPr>
            <w:tcW w:w="1017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:rsidR="00B06E25" w:rsidRPr="00CD1BC6" w:rsidRDefault="00B06E25" w:rsidP="00B0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CD1BC6">
              <w:rPr>
                <w:rFonts w:ascii="Calibri" w:eastAsia="Times New Roman" w:hAnsi="Calibri" w:cs="Calibri"/>
                <w:color w:val="9C0006"/>
                <w:lang w:eastAsia="it-IT"/>
              </w:rPr>
              <w:t>46%</w:t>
            </w:r>
          </w:p>
        </w:tc>
        <w:tc>
          <w:tcPr>
            <w:tcW w:w="1099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:rsidR="00B06E25" w:rsidRPr="00CD1BC6" w:rsidRDefault="00B06E25" w:rsidP="00B0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CD1BC6">
              <w:rPr>
                <w:rFonts w:ascii="Calibri" w:eastAsia="Times New Roman" w:hAnsi="Calibri" w:cs="Calibri"/>
                <w:color w:val="9C0006"/>
                <w:lang w:eastAsia="it-IT"/>
              </w:rPr>
              <w:t>40%</w:t>
            </w:r>
          </w:p>
        </w:tc>
      </w:tr>
      <w:tr w:rsidR="00B06E25" w:rsidRPr="00CD1BC6" w:rsidTr="00B06E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096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:rsidR="00B06E25" w:rsidRPr="00CD1BC6" w:rsidRDefault="00B06E25" w:rsidP="00B0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D1BC6">
              <w:rPr>
                <w:rFonts w:ascii="Calibri" w:eastAsia="Times New Roman" w:hAnsi="Calibri" w:cs="Calibri"/>
                <w:color w:val="000000"/>
                <w:lang w:eastAsia="it-IT"/>
              </w:rPr>
              <w:t>Basilicata</w:t>
            </w:r>
          </w:p>
        </w:tc>
        <w:tc>
          <w:tcPr>
            <w:tcW w:w="1026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noWrap/>
            <w:vAlign w:val="center"/>
            <w:hideMark/>
          </w:tcPr>
          <w:p w:rsidR="00B06E25" w:rsidRPr="00CD1BC6" w:rsidRDefault="00B06E25" w:rsidP="00B0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CD1BC6">
              <w:rPr>
                <w:rFonts w:ascii="Calibri" w:eastAsia="Times New Roman" w:hAnsi="Calibri" w:cs="Calibri"/>
                <w:color w:val="9C0006"/>
                <w:lang w:eastAsia="it-IT"/>
              </w:rPr>
              <w:t>750</w:t>
            </w:r>
          </w:p>
        </w:tc>
        <w:tc>
          <w:tcPr>
            <w:tcW w:w="762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noWrap/>
            <w:vAlign w:val="center"/>
            <w:hideMark/>
          </w:tcPr>
          <w:p w:rsidR="00B06E25" w:rsidRDefault="00B06E25" w:rsidP="00B06E25">
            <w:pPr>
              <w:spacing w:after="0"/>
              <w:jc w:val="center"/>
              <w:rPr>
                <w:rFonts w:ascii="Calibri" w:hAnsi="Calibri" w:cs="Calibri"/>
                <w:color w:val="006100"/>
              </w:rPr>
            </w:pPr>
            <w:r>
              <w:rPr>
                <w:rFonts w:ascii="Calibri" w:hAnsi="Calibri" w:cs="Calibri"/>
                <w:color w:val="006100"/>
              </w:rPr>
              <w:t>-6,3%</w:t>
            </w:r>
          </w:p>
        </w:tc>
        <w:tc>
          <w:tcPr>
            <w:tcW w:w="1017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:rsidR="00B06E25" w:rsidRPr="00CD1BC6" w:rsidRDefault="00B06E25" w:rsidP="00B0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CD1BC6">
              <w:rPr>
                <w:rFonts w:ascii="Calibri" w:eastAsia="Times New Roman" w:hAnsi="Calibri" w:cs="Calibri"/>
                <w:color w:val="006100"/>
                <w:lang w:eastAsia="it-IT"/>
              </w:rPr>
              <w:t>3</w:t>
            </w:r>
            <w:r>
              <w:rPr>
                <w:rFonts w:ascii="Calibri" w:eastAsia="Times New Roman" w:hAnsi="Calibri" w:cs="Calibri"/>
                <w:color w:val="006100"/>
                <w:lang w:eastAsia="it-IT"/>
              </w:rPr>
              <w:t>9</w:t>
            </w:r>
            <w:r w:rsidRPr="00CD1BC6">
              <w:rPr>
                <w:rFonts w:ascii="Calibri" w:eastAsia="Times New Roman" w:hAnsi="Calibri" w:cs="Calibri"/>
                <w:color w:val="006100"/>
                <w:lang w:eastAsia="it-IT"/>
              </w:rPr>
              <w:t>%</w:t>
            </w:r>
          </w:p>
        </w:tc>
        <w:tc>
          <w:tcPr>
            <w:tcW w:w="1099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:rsidR="00B06E25" w:rsidRPr="00CD1BC6" w:rsidRDefault="00B06E25" w:rsidP="00B0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CD1BC6">
              <w:rPr>
                <w:rFonts w:ascii="Calibri" w:eastAsia="Times New Roman" w:hAnsi="Calibri" w:cs="Calibri"/>
                <w:color w:val="006100"/>
                <w:lang w:eastAsia="it-IT"/>
              </w:rPr>
              <w:t>1</w:t>
            </w:r>
            <w:r>
              <w:rPr>
                <w:rFonts w:ascii="Calibri" w:eastAsia="Times New Roman" w:hAnsi="Calibri" w:cs="Calibri"/>
                <w:color w:val="006100"/>
                <w:lang w:eastAsia="it-IT"/>
              </w:rPr>
              <w:t>8</w:t>
            </w:r>
            <w:r w:rsidRPr="00CD1BC6">
              <w:rPr>
                <w:rFonts w:ascii="Calibri" w:eastAsia="Times New Roman" w:hAnsi="Calibri" w:cs="Calibri"/>
                <w:color w:val="006100"/>
                <w:lang w:eastAsia="it-IT"/>
              </w:rPr>
              <w:t>%</w:t>
            </w:r>
          </w:p>
        </w:tc>
      </w:tr>
      <w:tr w:rsidR="00B06E25" w:rsidRPr="00CD1BC6" w:rsidTr="00B06E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096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:rsidR="00B06E25" w:rsidRPr="00CD1BC6" w:rsidRDefault="00B06E25" w:rsidP="00B0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D1BC6">
              <w:rPr>
                <w:rFonts w:ascii="Calibri" w:eastAsia="Times New Roman" w:hAnsi="Calibri" w:cs="Calibri"/>
                <w:color w:val="000000"/>
                <w:lang w:eastAsia="it-IT"/>
              </w:rPr>
              <w:t>Calabria</w:t>
            </w:r>
          </w:p>
        </w:tc>
        <w:tc>
          <w:tcPr>
            <w:tcW w:w="1026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noWrap/>
            <w:vAlign w:val="center"/>
            <w:hideMark/>
          </w:tcPr>
          <w:p w:rsidR="00B06E25" w:rsidRPr="00CD1BC6" w:rsidRDefault="00B06E25" w:rsidP="00B0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CD1BC6">
              <w:rPr>
                <w:rFonts w:ascii="Calibri" w:eastAsia="Times New Roman" w:hAnsi="Calibri" w:cs="Calibri"/>
                <w:color w:val="9C0006"/>
                <w:lang w:eastAsia="it-IT"/>
              </w:rPr>
              <w:t>408</w:t>
            </w:r>
          </w:p>
        </w:tc>
        <w:tc>
          <w:tcPr>
            <w:tcW w:w="762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:rsidR="00B06E25" w:rsidRDefault="00B06E25" w:rsidP="00B06E25">
            <w:pPr>
              <w:spacing w:after="0"/>
              <w:jc w:val="center"/>
              <w:rPr>
                <w:rFonts w:ascii="Calibri" w:hAnsi="Calibri" w:cs="Calibri"/>
                <w:color w:val="9C0006"/>
              </w:rPr>
            </w:pPr>
            <w:r>
              <w:rPr>
                <w:rFonts w:ascii="Calibri" w:hAnsi="Calibri" w:cs="Calibri"/>
                <w:color w:val="9C0006"/>
              </w:rPr>
              <w:t>42,4%</w:t>
            </w:r>
          </w:p>
        </w:tc>
        <w:tc>
          <w:tcPr>
            <w:tcW w:w="1017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:rsidR="00B06E25" w:rsidRPr="00CD1BC6" w:rsidRDefault="00B06E25" w:rsidP="00B0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>
              <w:rPr>
                <w:rFonts w:ascii="Calibri" w:eastAsia="Times New Roman" w:hAnsi="Calibri" w:cs="Calibri"/>
                <w:color w:val="006100"/>
                <w:lang w:eastAsia="it-IT"/>
              </w:rPr>
              <w:t>30</w:t>
            </w:r>
            <w:r w:rsidRPr="00CD1BC6">
              <w:rPr>
                <w:rFonts w:ascii="Calibri" w:eastAsia="Times New Roman" w:hAnsi="Calibri" w:cs="Calibri"/>
                <w:color w:val="006100"/>
                <w:lang w:eastAsia="it-IT"/>
              </w:rPr>
              <w:t>%</w:t>
            </w:r>
          </w:p>
        </w:tc>
        <w:tc>
          <w:tcPr>
            <w:tcW w:w="1099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:rsidR="00B06E25" w:rsidRPr="00CD1BC6" w:rsidRDefault="00B06E25" w:rsidP="00B0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CD1BC6">
              <w:rPr>
                <w:rFonts w:ascii="Calibri" w:eastAsia="Times New Roman" w:hAnsi="Calibri" w:cs="Calibri"/>
                <w:color w:val="006100"/>
                <w:lang w:eastAsia="it-IT"/>
              </w:rPr>
              <w:t>1</w:t>
            </w:r>
            <w:r>
              <w:rPr>
                <w:rFonts w:ascii="Calibri" w:eastAsia="Times New Roman" w:hAnsi="Calibri" w:cs="Calibri"/>
                <w:color w:val="006100"/>
                <w:lang w:eastAsia="it-IT"/>
              </w:rPr>
              <w:t>9</w:t>
            </w:r>
            <w:r w:rsidRPr="00CD1BC6">
              <w:rPr>
                <w:rFonts w:ascii="Calibri" w:eastAsia="Times New Roman" w:hAnsi="Calibri" w:cs="Calibri"/>
                <w:color w:val="006100"/>
                <w:lang w:eastAsia="it-IT"/>
              </w:rPr>
              <w:t>%</w:t>
            </w:r>
          </w:p>
        </w:tc>
      </w:tr>
      <w:tr w:rsidR="00B06E25" w:rsidRPr="00CD1BC6" w:rsidTr="00B06E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096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:rsidR="00B06E25" w:rsidRPr="00CD1BC6" w:rsidRDefault="00B06E25" w:rsidP="00B0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D1BC6">
              <w:rPr>
                <w:rFonts w:ascii="Calibri" w:eastAsia="Times New Roman" w:hAnsi="Calibri" w:cs="Calibri"/>
                <w:color w:val="000000"/>
                <w:lang w:eastAsia="it-IT"/>
              </w:rPr>
              <w:t>Campania</w:t>
            </w:r>
          </w:p>
        </w:tc>
        <w:tc>
          <w:tcPr>
            <w:tcW w:w="1026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noWrap/>
            <w:vAlign w:val="center"/>
            <w:hideMark/>
          </w:tcPr>
          <w:p w:rsidR="00B06E25" w:rsidRPr="00CD1BC6" w:rsidRDefault="00B06E25" w:rsidP="00B0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CD1BC6">
              <w:rPr>
                <w:rFonts w:ascii="Calibri" w:eastAsia="Times New Roman" w:hAnsi="Calibri" w:cs="Calibri"/>
                <w:color w:val="9C0006"/>
                <w:lang w:eastAsia="it-IT"/>
              </w:rPr>
              <w:t>1.717</w:t>
            </w:r>
          </w:p>
        </w:tc>
        <w:tc>
          <w:tcPr>
            <w:tcW w:w="762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noWrap/>
            <w:vAlign w:val="center"/>
            <w:hideMark/>
          </w:tcPr>
          <w:p w:rsidR="00B06E25" w:rsidRDefault="00B06E25" w:rsidP="00B06E25">
            <w:pPr>
              <w:spacing w:after="0"/>
              <w:jc w:val="center"/>
              <w:rPr>
                <w:rFonts w:ascii="Calibri" w:hAnsi="Calibri" w:cs="Calibri"/>
                <w:color w:val="9C0006"/>
              </w:rPr>
            </w:pPr>
            <w:r>
              <w:rPr>
                <w:rFonts w:ascii="Calibri" w:hAnsi="Calibri" w:cs="Calibri"/>
                <w:color w:val="9C0006"/>
              </w:rPr>
              <w:t>2,9%</w:t>
            </w:r>
          </w:p>
        </w:tc>
        <w:tc>
          <w:tcPr>
            <w:tcW w:w="1017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:rsidR="00B06E25" w:rsidRPr="00CD1BC6" w:rsidRDefault="00B06E25" w:rsidP="00B0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CD1BC6">
              <w:rPr>
                <w:rFonts w:ascii="Calibri" w:eastAsia="Times New Roman" w:hAnsi="Calibri" w:cs="Calibri"/>
                <w:color w:val="006100"/>
                <w:lang w:eastAsia="it-IT"/>
              </w:rPr>
              <w:t>37%</w:t>
            </w:r>
          </w:p>
        </w:tc>
        <w:tc>
          <w:tcPr>
            <w:tcW w:w="1099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:rsidR="00B06E25" w:rsidRPr="00CD1BC6" w:rsidRDefault="00B06E25" w:rsidP="00B0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>
              <w:rPr>
                <w:rFonts w:ascii="Calibri" w:eastAsia="Times New Roman" w:hAnsi="Calibri" w:cs="Calibri"/>
                <w:color w:val="006100"/>
                <w:lang w:eastAsia="it-IT"/>
              </w:rPr>
              <w:t>27</w:t>
            </w:r>
            <w:r w:rsidRPr="00CD1BC6">
              <w:rPr>
                <w:rFonts w:ascii="Calibri" w:eastAsia="Times New Roman" w:hAnsi="Calibri" w:cs="Calibri"/>
                <w:color w:val="006100"/>
                <w:lang w:eastAsia="it-IT"/>
              </w:rPr>
              <w:t>%</w:t>
            </w:r>
          </w:p>
        </w:tc>
      </w:tr>
      <w:tr w:rsidR="00B06E25" w:rsidRPr="00CD1BC6" w:rsidTr="00B06E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096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:rsidR="00B06E25" w:rsidRPr="00CD1BC6" w:rsidRDefault="00B06E25" w:rsidP="00B0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D1BC6">
              <w:rPr>
                <w:rFonts w:ascii="Calibri" w:eastAsia="Times New Roman" w:hAnsi="Calibri" w:cs="Calibri"/>
                <w:color w:val="000000"/>
                <w:lang w:eastAsia="it-IT"/>
              </w:rPr>
              <w:t>Emilia Romagna</w:t>
            </w:r>
          </w:p>
        </w:tc>
        <w:tc>
          <w:tcPr>
            <w:tcW w:w="1026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noWrap/>
            <w:vAlign w:val="center"/>
            <w:hideMark/>
          </w:tcPr>
          <w:p w:rsidR="00B06E25" w:rsidRPr="00CD1BC6" w:rsidRDefault="00B06E25" w:rsidP="00B0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CD1BC6">
              <w:rPr>
                <w:rFonts w:ascii="Calibri" w:eastAsia="Times New Roman" w:hAnsi="Calibri" w:cs="Calibri"/>
                <w:color w:val="9C0006"/>
                <w:lang w:eastAsia="it-IT"/>
              </w:rPr>
              <w:t>1.545</w:t>
            </w:r>
          </w:p>
        </w:tc>
        <w:tc>
          <w:tcPr>
            <w:tcW w:w="762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noWrap/>
            <w:vAlign w:val="center"/>
            <w:hideMark/>
          </w:tcPr>
          <w:p w:rsidR="00B06E25" w:rsidRDefault="00B06E25" w:rsidP="00B06E25">
            <w:pPr>
              <w:spacing w:after="0"/>
              <w:jc w:val="center"/>
              <w:rPr>
                <w:rFonts w:ascii="Calibri" w:hAnsi="Calibri" w:cs="Calibri"/>
                <w:color w:val="006100"/>
              </w:rPr>
            </w:pPr>
            <w:r>
              <w:rPr>
                <w:rFonts w:ascii="Calibri" w:hAnsi="Calibri" w:cs="Calibri"/>
                <w:color w:val="006100"/>
              </w:rPr>
              <w:t>-2,6%</w:t>
            </w:r>
          </w:p>
        </w:tc>
        <w:tc>
          <w:tcPr>
            <w:tcW w:w="1017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:rsidR="00B06E25" w:rsidRPr="00CD1BC6" w:rsidRDefault="00B06E25" w:rsidP="00B0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CD1BC6">
              <w:rPr>
                <w:rFonts w:ascii="Calibri" w:eastAsia="Times New Roman" w:hAnsi="Calibri" w:cs="Calibri"/>
                <w:color w:val="9C0006"/>
                <w:lang w:eastAsia="it-IT"/>
              </w:rPr>
              <w:t>5</w:t>
            </w:r>
            <w:r>
              <w:rPr>
                <w:rFonts w:ascii="Calibri" w:eastAsia="Times New Roman" w:hAnsi="Calibri" w:cs="Calibri"/>
                <w:color w:val="9C0006"/>
                <w:lang w:eastAsia="it-IT"/>
              </w:rPr>
              <w:t>4</w:t>
            </w:r>
            <w:r w:rsidRPr="00CD1BC6">
              <w:rPr>
                <w:rFonts w:ascii="Calibri" w:eastAsia="Times New Roman" w:hAnsi="Calibri" w:cs="Calibri"/>
                <w:color w:val="9C0006"/>
                <w:lang w:eastAsia="it-IT"/>
              </w:rPr>
              <w:t>%</w:t>
            </w:r>
          </w:p>
        </w:tc>
        <w:tc>
          <w:tcPr>
            <w:tcW w:w="1099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:rsidR="00B06E25" w:rsidRPr="00CD1BC6" w:rsidRDefault="00B06E25" w:rsidP="00B0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>
              <w:rPr>
                <w:rFonts w:ascii="Calibri" w:eastAsia="Times New Roman" w:hAnsi="Calibri" w:cs="Calibri"/>
                <w:color w:val="9C0006"/>
                <w:lang w:eastAsia="it-IT"/>
              </w:rPr>
              <w:t>50%</w:t>
            </w:r>
          </w:p>
        </w:tc>
      </w:tr>
      <w:tr w:rsidR="00B06E25" w:rsidRPr="00CD1BC6" w:rsidTr="00B06E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096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:rsidR="00B06E25" w:rsidRPr="00CD1BC6" w:rsidRDefault="00B06E25" w:rsidP="00B0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D1BC6">
              <w:rPr>
                <w:rFonts w:ascii="Calibri" w:eastAsia="Times New Roman" w:hAnsi="Calibri" w:cs="Calibri"/>
                <w:color w:val="000000"/>
                <w:lang w:eastAsia="it-IT"/>
              </w:rPr>
              <w:t>Friuli Venezia Giulia</w:t>
            </w:r>
          </w:p>
        </w:tc>
        <w:tc>
          <w:tcPr>
            <w:tcW w:w="1026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noWrap/>
            <w:vAlign w:val="center"/>
            <w:hideMark/>
          </w:tcPr>
          <w:p w:rsidR="00B06E25" w:rsidRPr="00CD1BC6" w:rsidRDefault="00B06E25" w:rsidP="00B0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CD1BC6">
              <w:rPr>
                <w:rFonts w:ascii="Calibri" w:eastAsia="Times New Roman" w:hAnsi="Calibri" w:cs="Calibri"/>
                <w:color w:val="9C0006"/>
                <w:lang w:eastAsia="it-IT"/>
              </w:rPr>
              <w:t>1.225</w:t>
            </w:r>
          </w:p>
        </w:tc>
        <w:tc>
          <w:tcPr>
            <w:tcW w:w="762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:rsidR="00B06E25" w:rsidRDefault="00B06E25" w:rsidP="00B06E25">
            <w:pPr>
              <w:spacing w:after="0"/>
              <w:jc w:val="center"/>
              <w:rPr>
                <w:rFonts w:ascii="Calibri" w:hAnsi="Calibri" w:cs="Calibri"/>
                <w:color w:val="9C0006"/>
              </w:rPr>
            </w:pPr>
            <w:r>
              <w:rPr>
                <w:rFonts w:ascii="Calibri" w:hAnsi="Calibri" w:cs="Calibri"/>
                <w:color w:val="9C0006"/>
              </w:rPr>
              <w:t>26,9%</w:t>
            </w:r>
          </w:p>
        </w:tc>
        <w:tc>
          <w:tcPr>
            <w:tcW w:w="1017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:rsidR="00B06E25" w:rsidRPr="00CD1BC6" w:rsidRDefault="00B06E25" w:rsidP="00B0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CD1BC6">
              <w:rPr>
                <w:rFonts w:ascii="Calibri" w:eastAsia="Times New Roman" w:hAnsi="Calibri" w:cs="Calibri"/>
                <w:color w:val="9C0006"/>
                <w:lang w:eastAsia="it-IT"/>
              </w:rPr>
              <w:t>42%</w:t>
            </w:r>
          </w:p>
        </w:tc>
        <w:tc>
          <w:tcPr>
            <w:tcW w:w="1099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:rsidR="00B06E25" w:rsidRPr="00CD1BC6" w:rsidRDefault="00B06E25" w:rsidP="00B0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CD1BC6">
              <w:rPr>
                <w:rFonts w:ascii="Calibri" w:eastAsia="Times New Roman" w:hAnsi="Calibri" w:cs="Calibri"/>
                <w:color w:val="9C0006"/>
                <w:lang w:eastAsia="it-IT"/>
              </w:rPr>
              <w:t>4</w:t>
            </w:r>
            <w:r>
              <w:rPr>
                <w:rFonts w:ascii="Calibri" w:eastAsia="Times New Roman" w:hAnsi="Calibri" w:cs="Calibri"/>
                <w:color w:val="9C0006"/>
                <w:lang w:eastAsia="it-IT"/>
              </w:rPr>
              <w:t>4</w:t>
            </w:r>
            <w:r w:rsidRPr="00CD1BC6">
              <w:rPr>
                <w:rFonts w:ascii="Calibri" w:eastAsia="Times New Roman" w:hAnsi="Calibri" w:cs="Calibri"/>
                <w:color w:val="9C0006"/>
                <w:lang w:eastAsia="it-IT"/>
              </w:rPr>
              <w:t>%</w:t>
            </w:r>
          </w:p>
        </w:tc>
      </w:tr>
      <w:tr w:rsidR="00B06E25" w:rsidRPr="00CD1BC6" w:rsidTr="00B06E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096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:rsidR="00B06E25" w:rsidRPr="00CD1BC6" w:rsidRDefault="00B06E25" w:rsidP="00B0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D1BC6">
              <w:rPr>
                <w:rFonts w:ascii="Calibri" w:eastAsia="Times New Roman" w:hAnsi="Calibri" w:cs="Calibri"/>
                <w:color w:val="000000"/>
                <w:lang w:eastAsia="it-IT"/>
              </w:rPr>
              <w:t>Lazio</w:t>
            </w:r>
          </w:p>
        </w:tc>
        <w:tc>
          <w:tcPr>
            <w:tcW w:w="1026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noWrap/>
            <w:vAlign w:val="center"/>
            <w:hideMark/>
          </w:tcPr>
          <w:p w:rsidR="00B06E25" w:rsidRPr="00CD1BC6" w:rsidRDefault="00B06E25" w:rsidP="00B0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CD1BC6">
              <w:rPr>
                <w:rFonts w:ascii="Calibri" w:eastAsia="Times New Roman" w:hAnsi="Calibri" w:cs="Calibri"/>
                <w:color w:val="9C0006"/>
                <w:lang w:eastAsia="it-IT"/>
              </w:rPr>
              <w:t>770</w:t>
            </w:r>
          </w:p>
        </w:tc>
        <w:tc>
          <w:tcPr>
            <w:tcW w:w="762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:rsidR="00B06E25" w:rsidRDefault="00B06E25" w:rsidP="00B06E25">
            <w:pPr>
              <w:spacing w:after="0"/>
              <w:jc w:val="center"/>
              <w:rPr>
                <w:rFonts w:ascii="Calibri" w:hAnsi="Calibri" w:cs="Calibri"/>
                <w:color w:val="9C0006"/>
              </w:rPr>
            </w:pPr>
            <w:r>
              <w:rPr>
                <w:rFonts w:ascii="Calibri" w:hAnsi="Calibri" w:cs="Calibri"/>
                <w:color w:val="9C0006"/>
              </w:rPr>
              <w:t>16,9%</w:t>
            </w:r>
          </w:p>
        </w:tc>
        <w:tc>
          <w:tcPr>
            <w:tcW w:w="1017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:rsidR="00B06E25" w:rsidRPr="00CD1BC6" w:rsidRDefault="00B06E25" w:rsidP="00B0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CD1BC6">
              <w:rPr>
                <w:rFonts w:ascii="Calibri" w:eastAsia="Times New Roman" w:hAnsi="Calibri" w:cs="Calibri"/>
                <w:color w:val="006100"/>
                <w:lang w:eastAsia="it-IT"/>
              </w:rPr>
              <w:t>3</w:t>
            </w:r>
            <w:r>
              <w:rPr>
                <w:rFonts w:ascii="Calibri" w:eastAsia="Times New Roman" w:hAnsi="Calibri" w:cs="Calibri"/>
                <w:color w:val="006100"/>
                <w:lang w:eastAsia="it-IT"/>
              </w:rPr>
              <w:t>7</w:t>
            </w:r>
            <w:r w:rsidRPr="00CD1BC6">
              <w:rPr>
                <w:rFonts w:ascii="Calibri" w:eastAsia="Times New Roman" w:hAnsi="Calibri" w:cs="Calibri"/>
                <w:color w:val="006100"/>
                <w:lang w:eastAsia="it-IT"/>
              </w:rPr>
              <w:t>%</w:t>
            </w:r>
          </w:p>
        </w:tc>
        <w:tc>
          <w:tcPr>
            <w:tcW w:w="1099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:rsidR="00B06E25" w:rsidRPr="00CD1BC6" w:rsidRDefault="00B06E25" w:rsidP="00B0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CD1BC6">
              <w:rPr>
                <w:rFonts w:ascii="Calibri" w:eastAsia="Times New Roman" w:hAnsi="Calibri" w:cs="Calibri"/>
                <w:color w:val="9C0006"/>
                <w:lang w:eastAsia="it-IT"/>
              </w:rPr>
              <w:t>31%</w:t>
            </w:r>
          </w:p>
        </w:tc>
      </w:tr>
      <w:tr w:rsidR="00B06E25" w:rsidRPr="00CD1BC6" w:rsidTr="00B06E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096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:rsidR="00B06E25" w:rsidRPr="00CD1BC6" w:rsidRDefault="00B06E25" w:rsidP="00B0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D1BC6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1026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noWrap/>
            <w:vAlign w:val="center"/>
            <w:hideMark/>
          </w:tcPr>
          <w:p w:rsidR="00B06E25" w:rsidRPr="00CD1BC6" w:rsidRDefault="00B06E25" w:rsidP="00B0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CD1BC6">
              <w:rPr>
                <w:rFonts w:ascii="Calibri" w:eastAsia="Times New Roman" w:hAnsi="Calibri" w:cs="Calibri"/>
                <w:color w:val="9C0006"/>
                <w:lang w:eastAsia="it-IT"/>
              </w:rPr>
              <w:t>401</w:t>
            </w:r>
          </w:p>
        </w:tc>
        <w:tc>
          <w:tcPr>
            <w:tcW w:w="762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noWrap/>
            <w:vAlign w:val="center"/>
            <w:hideMark/>
          </w:tcPr>
          <w:p w:rsidR="00B06E25" w:rsidRDefault="00B06E25" w:rsidP="00B06E25">
            <w:pPr>
              <w:spacing w:after="0"/>
              <w:jc w:val="center"/>
              <w:rPr>
                <w:rFonts w:ascii="Calibri" w:hAnsi="Calibri" w:cs="Calibri"/>
                <w:color w:val="9C0006"/>
              </w:rPr>
            </w:pPr>
            <w:r>
              <w:rPr>
                <w:rFonts w:ascii="Calibri" w:hAnsi="Calibri" w:cs="Calibri"/>
                <w:color w:val="9C0006"/>
              </w:rPr>
              <w:t>5,7%</w:t>
            </w:r>
          </w:p>
        </w:tc>
        <w:tc>
          <w:tcPr>
            <w:tcW w:w="1017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:rsidR="00B06E25" w:rsidRPr="00CD1BC6" w:rsidRDefault="00B06E25" w:rsidP="00B0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CD1BC6">
              <w:rPr>
                <w:rFonts w:ascii="Calibri" w:eastAsia="Times New Roman" w:hAnsi="Calibri" w:cs="Calibri"/>
                <w:color w:val="006100"/>
                <w:lang w:eastAsia="it-IT"/>
              </w:rPr>
              <w:t>32%</w:t>
            </w:r>
          </w:p>
        </w:tc>
        <w:tc>
          <w:tcPr>
            <w:tcW w:w="1099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:rsidR="00B06E25" w:rsidRPr="00CD1BC6" w:rsidRDefault="00B06E25" w:rsidP="00B0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CD1BC6">
              <w:rPr>
                <w:rFonts w:ascii="Calibri" w:eastAsia="Times New Roman" w:hAnsi="Calibri" w:cs="Calibri"/>
                <w:color w:val="006100"/>
                <w:lang w:eastAsia="it-IT"/>
              </w:rPr>
              <w:t>29%</w:t>
            </w:r>
          </w:p>
        </w:tc>
      </w:tr>
      <w:tr w:rsidR="00B06E25" w:rsidRPr="00CD1BC6" w:rsidTr="00B06E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096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:rsidR="00B06E25" w:rsidRPr="00CD1BC6" w:rsidRDefault="00B06E25" w:rsidP="00B0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D1BC6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1026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noWrap/>
            <w:vAlign w:val="center"/>
            <w:hideMark/>
          </w:tcPr>
          <w:p w:rsidR="00B06E25" w:rsidRPr="00CD1BC6" w:rsidRDefault="00B06E25" w:rsidP="00B0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CD1BC6">
              <w:rPr>
                <w:rFonts w:ascii="Calibri" w:eastAsia="Times New Roman" w:hAnsi="Calibri" w:cs="Calibri"/>
                <w:color w:val="9C0006"/>
                <w:lang w:eastAsia="it-IT"/>
              </w:rPr>
              <w:t>955</w:t>
            </w:r>
          </w:p>
        </w:tc>
        <w:tc>
          <w:tcPr>
            <w:tcW w:w="762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:rsidR="00B06E25" w:rsidRDefault="00B06E25" w:rsidP="00B06E25">
            <w:pPr>
              <w:spacing w:after="0"/>
              <w:jc w:val="center"/>
              <w:rPr>
                <w:rFonts w:ascii="Calibri" w:hAnsi="Calibri" w:cs="Calibri"/>
                <w:color w:val="9C0006"/>
              </w:rPr>
            </w:pPr>
            <w:r>
              <w:rPr>
                <w:rFonts w:ascii="Calibri" w:hAnsi="Calibri" w:cs="Calibri"/>
                <w:color w:val="9C0006"/>
              </w:rPr>
              <w:t>5,5%</w:t>
            </w:r>
          </w:p>
        </w:tc>
        <w:tc>
          <w:tcPr>
            <w:tcW w:w="1017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:rsidR="00B06E25" w:rsidRPr="00CD1BC6" w:rsidRDefault="00B06E25" w:rsidP="00B0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>
              <w:rPr>
                <w:rFonts w:ascii="Calibri" w:eastAsia="Times New Roman" w:hAnsi="Calibri" w:cs="Calibri"/>
                <w:color w:val="9C0006"/>
                <w:lang w:eastAsia="it-IT"/>
              </w:rPr>
              <w:t>50</w:t>
            </w:r>
            <w:r w:rsidRPr="00CD1BC6">
              <w:rPr>
                <w:rFonts w:ascii="Calibri" w:eastAsia="Times New Roman" w:hAnsi="Calibri" w:cs="Calibri"/>
                <w:color w:val="9C0006"/>
                <w:lang w:eastAsia="it-IT"/>
              </w:rPr>
              <w:t>%</w:t>
            </w:r>
          </w:p>
        </w:tc>
        <w:tc>
          <w:tcPr>
            <w:tcW w:w="1099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:rsidR="00B06E25" w:rsidRPr="00CD1BC6" w:rsidRDefault="00B06E25" w:rsidP="00B0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CD1BC6">
              <w:rPr>
                <w:rFonts w:ascii="Calibri" w:eastAsia="Times New Roman" w:hAnsi="Calibri" w:cs="Calibri"/>
                <w:color w:val="9C0006"/>
                <w:lang w:eastAsia="it-IT"/>
              </w:rPr>
              <w:t>5</w:t>
            </w:r>
            <w:r>
              <w:rPr>
                <w:rFonts w:ascii="Calibri" w:eastAsia="Times New Roman" w:hAnsi="Calibri" w:cs="Calibri"/>
                <w:color w:val="9C0006"/>
                <w:lang w:eastAsia="it-IT"/>
              </w:rPr>
              <w:t>4</w:t>
            </w:r>
            <w:r w:rsidRPr="00CD1BC6">
              <w:rPr>
                <w:rFonts w:ascii="Calibri" w:eastAsia="Times New Roman" w:hAnsi="Calibri" w:cs="Calibri"/>
                <w:color w:val="9C0006"/>
                <w:lang w:eastAsia="it-IT"/>
              </w:rPr>
              <w:t>%</w:t>
            </w:r>
          </w:p>
        </w:tc>
      </w:tr>
      <w:tr w:rsidR="00B06E25" w:rsidRPr="00CD1BC6" w:rsidTr="00B06E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096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:rsidR="00B06E25" w:rsidRPr="00CD1BC6" w:rsidRDefault="00B06E25" w:rsidP="00B0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D1BC6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1026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noWrap/>
            <w:vAlign w:val="center"/>
            <w:hideMark/>
          </w:tcPr>
          <w:p w:rsidR="00B06E25" w:rsidRPr="00CD1BC6" w:rsidRDefault="00B06E25" w:rsidP="00B0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CD1BC6">
              <w:rPr>
                <w:rFonts w:ascii="Calibri" w:eastAsia="Times New Roman" w:hAnsi="Calibri" w:cs="Calibri"/>
                <w:color w:val="006100"/>
                <w:lang w:eastAsia="it-IT"/>
              </w:rPr>
              <w:t>671</w:t>
            </w:r>
          </w:p>
        </w:tc>
        <w:tc>
          <w:tcPr>
            <w:tcW w:w="762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:rsidR="00B06E25" w:rsidRDefault="00B06E25" w:rsidP="00B06E25">
            <w:pPr>
              <w:spacing w:after="0"/>
              <w:jc w:val="center"/>
              <w:rPr>
                <w:rFonts w:ascii="Calibri" w:hAnsi="Calibri" w:cs="Calibri"/>
                <w:color w:val="9C0006"/>
              </w:rPr>
            </w:pPr>
            <w:r>
              <w:rPr>
                <w:rFonts w:ascii="Calibri" w:hAnsi="Calibri" w:cs="Calibri"/>
                <w:color w:val="9C0006"/>
              </w:rPr>
              <w:t>1,4%</w:t>
            </w:r>
          </w:p>
        </w:tc>
        <w:tc>
          <w:tcPr>
            <w:tcW w:w="1017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:rsidR="00B06E25" w:rsidRPr="00CD1BC6" w:rsidRDefault="00B06E25" w:rsidP="00B0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CD1BC6">
              <w:rPr>
                <w:rFonts w:ascii="Calibri" w:eastAsia="Times New Roman" w:hAnsi="Calibri" w:cs="Calibri"/>
                <w:color w:val="9C0006"/>
                <w:lang w:eastAsia="it-IT"/>
              </w:rPr>
              <w:t>6</w:t>
            </w:r>
            <w:r>
              <w:rPr>
                <w:rFonts w:ascii="Calibri" w:eastAsia="Times New Roman" w:hAnsi="Calibri" w:cs="Calibri"/>
                <w:color w:val="9C0006"/>
                <w:lang w:eastAsia="it-IT"/>
              </w:rPr>
              <w:t>3</w:t>
            </w:r>
            <w:r w:rsidRPr="00CD1BC6">
              <w:rPr>
                <w:rFonts w:ascii="Calibri" w:eastAsia="Times New Roman" w:hAnsi="Calibri" w:cs="Calibri"/>
                <w:color w:val="9C0006"/>
                <w:lang w:eastAsia="it-IT"/>
              </w:rPr>
              <w:t>%</w:t>
            </w:r>
          </w:p>
        </w:tc>
        <w:tc>
          <w:tcPr>
            <w:tcW w:w="1099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:rsidR="00B06E25" w:rsidRPr="00CD1BC6" w:rsidRDefault="00B06E25" w:rsidP="00B0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CD1BC6">
              <w:rPr>
                <w:rFonts w:ascii="Calibri" w:eastAsia="Times New Roman" w:hAnsi="Calibri" w:cs="Calibri"/>
                <w:color w:val="9C0006"/>
                <w:lang w:eastAsia="it-IT"/>
              </w:rPr>
              <w:t>57%</w:t>
            </w:r>
          </w:p>
        </w:tc>
      </w:tr>
      <w:tr w:rsidR="00B06E25" w:rsidRPr="00CD1BC6" w:rsidTr="00B06E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096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:rsidR="00B06E25" w:rsidRPr="00CD1BC6" w:rsidRDefault="00B06E25" w:rsidP="00B0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D1BC6">
              <w:rPr>
                <w:rFonts w:ascii="Calibri" w:eastAsia="Times New Roman" w:hAnsi="Calibri" w:cs="Calibri"/>
                <w:color w:val="000000"/>
                <w:lang w:eastAsia="it-IT"/>
              </w:rPr>
              <w:t>Molise</w:t>
            </w:r>
          </w:p>
        </w:tc>
        <w:tc>
          <w:tcPr>
            <w:tcW w:w="1026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noWrap/>
            <w:vAlign w:val="center"/>
            <w:hideMark/>
          </w:tcPr>
          <w:p w:rsidR="00B06E25" w:rsidRPr="00CD1BC6" w:rsidRDefault="00B06E25" w:rsidP="00B0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CD1BC6">
              <w:rPr>
                <w:rFonts w:ascii="Calibri" w:eastAsia="Times New Roman" w:hAnsi="Calibri" w:cs="Calibri"/>
                <w:color w:val="006100"/>
                <w:lang w:eastAsia="it-IT"/>
              </w:rPr>
              <w:t>497</w:t>
            </w:r>
          </w:p>
        </w:tc>
        <w:tc>
          <w:tcPr>
            <w:tcW w:w="762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:rsidR="00B06E25" w:rsidRDefault="00B06E25" w:rsidP="00B06E25">
            <w:pPr>
              <w:spacing w:after="0"/>
              <w:jc w:val="center"/>
              <w:rPr>
                <w:rFonts w:ascii="Calibri" w:hAnsi="Calibri" w:cs="Calibri"/>
                <w:color w:val="006100"/>
              </w:rPr>
            </w:pPr>
            <w:r>
              <w:rPr>
                <w:rFonts w:ascii="Calibri" w:hAnsi="Calibri" w:cs="Calibri"/>
                <w:color w:val="006100"/>
              </w:rPr>
              <w:t>-11,6%</w:t>
            </w:r>
          </w:p>
        </w:tc>
        <w:tc>
          <w:tcPr>
            <w:tcW w:w="1017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:rsidR="00B06E25" w:rsidRPr="00CD1BC6" w:rsidRDefault="00B06E25" w:rsidP="00B0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>
              <w:rPr>
                <w:rFonts w:ascii="Calibri" w:eastAsia="Times New Roman" w:hAnsi="Calibri" w:cs="Calibri"/>
                <w:color w:val="9C0006"/>
                <w:lang w:eastAsia="it-IT"/>
              </w:rPr>
              <w:t>41</w:t>
            </w:r>
            <w:r w:rsidRPr="00CD1BC6">
              <w:rPr>
                <w:rFonts w:ascii="Calibri" w:eastAsia="Times New Roman" w:hAnsi="Calibri" w:cs="Calibri"/>
                <w:color w:val="9C0006"/>
                <w:lang w:eastAsia="it-IT"/>
              </w:rPr>
              <w:t>%</w:t>
            </w:r>
          </w:p>
        </w:tc>
        <w:tc>
          <w:tcPr>
            <w:tcW w:w="1099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:rsidR="00B06E25" w:rsidRPr="00CD1BC6" w:rsidRDefault="00B06E25" w:rsidP="00B0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>
              <w:rPr>
                <w:rFonts w:ascii="Calibri" w:eastAsia="Times New Roman" w:hAnsi="Calibri" w:cs="Calibri"/>
                <w:color w:val="9C0006"/>
                <w:lang w:eastAsia="it-IT"/>
              </w:rPr>
              <w:t>49</w:t>
            </w:r>
            <w:r w:rsidRPr="00CD1BC6">
              <w:rPr>
                <w:rFonts w:ascii="Calibri" w:eastAsia="Times New Roman" w:hAnsi="Calibri" w:cs="Calibri"/>
                <w:color w:val="9C0006"/>
                <w:lang w:eastAsia="it-IT"/>
              </w:rPr>
              <w:t>%</w:t>
            </w:r>
          </w:p>
        </w:tc>
      </w:tr>
      <w:tr w:rsidR="00B06E25" w:rsidRPr="00CD1BC6" w:rsidTr="00B06E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096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:rsidR="00B06E25" w:rsidRPr="00CD1BC6" w:rsidRDefault="00B06E25" w:rsidP="00B0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D1BC6">
              <w:rPr>
                <w:rFonts w:ascii="Calibri" w:eastAsia="Times New Roman" w:hAnsi="Calibri" w:cs="Calibri"/>
                <w:color w:val="000000"/>
                <w:lang w:eastAsia="it-IT"/>
              </w:rPr>
              <w:t>Piemonte</w:t>
            </w:r>
          </w:p>
        </w:tc>
        <w:tc>
          <w:tcPr>
            <w:tcW w:w="1026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noWrap/>
            <w:vAlign w:val="center"/>
            <w:hideMark/>
          </w:tcPr>
          <w:p w:rsidR="00B06E25" w:rsidRPr="00CD1BC6" w:rsidRDefault="00B06E25" w:rsidP="00B0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CD1BC6">
              <w:rPr>
                <w:rFonts w:ascii="Calibri" w:eastAsia="Times New Roman" w:hAnsi="Calibri" w:cs="Calibri"/>
                <w:color w:val="9C0006"/>
                <w:lang w:eastAsia="it-IT"/>
              </w:rPr>
              <w:t>714</w:t>
            </w:r>
          </w:p>
        </w:tc>
        <w:tc>
          <w:tcPr>
            <w:tcW w:w="762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:rsidR="00B06E25" w:rsidRDefault="00B06E25" w:rsidP="00B06E25">
            <w:pPr>
              <w:spacing w:after="0"/>
              <w:jc w:val="center"/>
              <w:rPr>
                <w:rFonts w:ascii="Calibri" w:hAnsi="Calibri" w:cs="Calibri"/>
                <w:color w:val="9C0006"/>
              </w:rPr>
            </w:pPr>
            <w:r>
              <w:rPr>
                <w:rFonts w:ascii="Calibri" w:hAnsi="Calibri" w:cs="Calibri"/>
                <w:color w:val="9C0006"/>
              </w:rPr>
              <w:t>18,2%</w:t>
            </w:r>
          </w:p>
        </w:tc>
        <w:tc>
          <w:tcPr>
            <w:tcW w:w="1017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:rsidR="00B06E25" w:rsidRPr="00CD1BC6" w:rsidRDefault="00B06E25" w:rsidP="00B0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CD1BC6">
              <w:rPr>
                <w:rFonts w:ascii="Calibri" w:eastAsia="Times New Roman" w:hAnsi="Calibri" w:cs="Calibri"/>
                <w:color w:val="9C0006"/>
                <w:lang w:eastAsia="it-IT"/>
              </w:rPr>
              <w:t>5</w:t>
            </w:r>
            <w:r>
              <w:rPr>
                <w:rFonts w:ascii="Calibri" w:eastAsia="Times New Roman" w:hAnsi="Calibri" w:cs="Calibri"/>
                <w:color w:val="9C0006"/>
                <w:lang w:eastAsia="it-IT"/>
              </w:rPr>
              <w:t>4</w:t>
            </w:r>
            <w:r w:rsidRPr="00CD1BC6">
              <w:rPr>
                <w:rFonts w:ascii="Calibri" w:eastAsia="Times New Roman" w:hAnsi="Calibri" w:cs="Calibri"/>
                <w:color w:val="9C0006"/>
                <w:lang w:eastAsia="it-IT"/>
              </w:rPr>
              <w:t>%</w:t>
            </w:r>
          </w:p>
        </w:tc>
        <w:tc>
          <w:tcPr>
            <w:tcW w:w="1099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:rsidR="00B06E25" w:rsidRPr="00CD1BC6" w:rsidRDefault="00B06E25" w:rsidP="00B0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>
              <w:rPr>
                <w:rFonts w:ascii="Calibri" w:eastAsia="Times New Roman" w:hAnsi="Calibri" w:cs="Calibri"/>
                <w:color w:val="9C0006"/>
                <w:lang w:eastAsia="it-IT"/>
              </w:rPr>
              <w:t>48</w:t>
            </w:r>
            <w:r w:rsidRPr="00CD1BC6">
              <w:rPr>
                <w:rFonts w:ascii="Calibri" w:eastAsia="Times New Roman" w:hAnsi="Calibri" w:cs="Calibri"/>
                <w:color w:val="9C0006"/>
                <w:lang w:eastAsia="it-IT"/>
              </w:rPr>
              <w:t>%</w:t>
            </w:r>
          </w:p>
        </w:tc>
      </w:tr>
      <w:tr w:rsidR="00B06E25" w:rsidRPr="00CD1BC6" w:rsidTr="00B06E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096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:rsidR="00B06E25" w:rsidRPr="00CD1BC6" w:rsidRDefault="00B06E25" w:rsidP="00B0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D1BC6">
              <w:rPr>
                <w:rFonts w:ascii="Calibri" w:eastAsia="Times New Roman" w:hAnsi="Calibri" w:cs="Calibri"/>
                <w:color w:val="000000"/>
                <w:lang w:eastAsia="it-IT"/>
              </w:rPr>
              <w:t>Prov. Aut. Bolzano</w:t>
            </w:r>
          </w:p>
        </w:tc>
        <w:tc>
          <w:tcPr>
            <w:tcW w:w="1026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noWrap/>
            <w:vAlign w:val="center"/>
            <w:hideMark/>
          </w:tcPr>
          <w:p w:rsidR="00B06E25" w:rsidRPr="00CD1BC6" w:rsidRDefault="00B06E25" w:rsidP="00B0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CD1BC6">
              <w:rPr>
                <w:rFonts w:ascii="Calibri" w:eastAsia="Times New Roman" w:hAnsi="Calibri" w:cs="Calibri"/>
                <w:color w:val="006100"/>
                <w:lang w:eastAsia="it-IT"/>
              </w:rPr>
              <w:t>711</w:t>
            </w:r>
          </w:p>
        </w:tc>
        <w:tc>
          <w:tcPr>
            <w:tcW w:w="762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:rsidR="00B06E25" w:rsidRDefault="00B06E25" w:rsidP="00B06E25">
            <w:pPr>
              <w:spacing w:after="0"/>
              <w:jc w:val="center"/>
              <w:rPr>
                <w:rFonts w:ascii="Calibri" w:hAnsi="Calibri" w:cs="Calibri"/>
                <w:color w:val="006100"/>
              </w:rPr>
            </w:pPr>
            <w:r>
              <w:rPr>
                <w:rFonts w:ascii="Calibri" w:hAnsi="Calibri" w:cs="Calibri"/>
                <w:color w:val="006100"/>
              </w:rPr>
              <w:t>-34,4%</w:t>
            </w:r>
          </w:p>
        </w:tc>
        <w:tc>
          <w:tcPr>
            <w:tcW w:w="1017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:rsidR="00B06E25" w:rsidRPr="00CD1BC6" w:rsidRDefault="00B06E25" w:rsidP="00B0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CD1BC6">
              <w:rPr>
                <w:rFonts w:ascii="Calibri" w:eastAsia="Times New Roman" w:hAnsi="Calibri" w:cs="Calibri"/>
                <w:color w:val="006100"/>
                <w:lang w:eastAsia="it-IT"/>
              </w:rPr>
              <w:t>30%</w:t>
            </w:r>
          </w:p>
        </w:tc>
        <w:tc>
          <w:tcPr>
            <w:tcW w:w="1099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:rsidR="00B06E25" w:rsidRPr="00CD1BC6" w:rsidRDefault="00B06E25" w:rsidP="00B0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CD1BC6">
              <w:rPr>
                <w:rFonts w:ascii="Calibri" w:eastAsia="Times New Roman" w:hAnsi="Calibri" w:cs="Calibri"/>
                <w:color w:val="9C0006"/>
                <w:lang w:eastAsia="it-IT"/>
              </w:rPr>
              <w:t>33%</w:t>
            </w:r>
          </w:p>
        </w:tc>
      </w:tr>
      <w:tr w:rsidR="00B06E25" w:rsidRPr="00CD1BC6" w:rsidTr="00B06E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096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:rsidR="00B06E25" w:rsidRPr="00CD1BC6" w:rsidRDefault="00B06E25" w:rsidP="00B0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D1BC6">
              <w:rPr>
                <w:rFonts w:ascii="Calibri" w:eastAsia="Times New Roman" w:hAnsi="Calibri" w:cs="Calibri"/>
                <w:color w:val="000000"/>
                <w:lang w:eastAsia="it-IT"/>
              </w:rPr>
              <w:t>Prov. Aut. Trento</w:t>
            </w:r>
          </w:p>
        </w:tc>
        <w:tc>
          <w:tcPr>
            <w:tcW w:w="1026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noWrap/>
            <w:vAlign w:val="center"/>
            <w:hideMark/>
          </w:tcPr>
          <w:p w:rsidR="00B06E25" w:rsidRPr="00CD1BC6" w:rsidRDefault="00B06E25" w:rsidP="00B0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CD1BC6">
              <w:rPr>
                <w:rFonts w:ascii="Calibri" w:eastAsia="Times New Roman" w:hAnsi="Calibri" w:cs="Calibri"/>
                <w:color w:val="9C0006"/>
                <w:lang w:eastAsia="it-IT"/>
              </w:rPr>
              <w:t>725</w:t>
            </w:r>
          </w:p>
        </w:tc>
        <w:tc>
          <w:tcPr>
            <w:tcW w:w="762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:rsidR="00B06E25" w:rsidRDefault="00B06E25" w:rsidP="00B06E25">
            <w:pPr>
              <w:spacing w:after="0"/>
              <w:jc w:val="center"/>
              <w:rPr>
                <w:rFonts w:ascii="Calibri" w:hAnsi="Calibri" w:cs="Calibri"/>
                <w:color w:val="006100"/>
              </w:rPr>
            </w:pPr>
            <w:r>
              <w:rPr>
                <w:rFonts w:ascii="Calibri" w:hAnsi="Calibri" w:cs="Calibri"/>
                <w:color w:val="006100"/>
              </w:rPr>
              <w:t>-1,3%</w:t>
            </w:r>
          </w:p>
        </w:tc>
        <w:tc>
          <w:tcPr>
            <w:tcW w:w="1017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:rsidR="00B06E25" w:rsidRPr="00CD1BC6" w:rsidRDefault="00B06E25" w:rsidP="00B0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>
              <w:rPr>
                <w:rFonts w:ascii="Calibri" w:eastAsia="Times New Roman" w:hAnsi="Calibri" w:cs="Calibri"/>
                <w:color w:val="006100"/>
                <w:lang w:eastAsia="it-IT"/>
              </w:rPr>
              <w:t>35</w:t>
            </w:r>
            <w:r w:rsidRPr="00CD1BC6">
              <w:rPr>
                <w:rFonts w:ascii="Calibri" w:eastAsia="Times New Roman" w:hAnsi="Calibri" w:cs="Calibri"/>
                <w:color w:val="006100"/>
                <w:lang w:eastAsia="it-IT"/>
              </w:rPr>
              <w:t>%</w:t>
            </w:r>
          </w:p>
        </w:tc>
        <w:tc>
          <w:tcPr>
            <w:tcW w:w="1099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:rsidR="00B06E25" w:rsidRPr="00CD1BC6" w:rsidRDefault="00B06E25" w:rsidP="00B0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>
              <w:rPr>
                <w:rFonts w:ascii="Calibri" w:eastAsia="Times New Roman" w:hAnsi="Calibri" w:cs="Calibri"/>
                <w:color w:val="9C0006"/>
                <w:lang w:eastAsia="it-IT"/>
              </w:rPr>
              <w:t>58</w:t>
            </w:r>
            <w:r w:rsidRPr="00CD1BC6">
              <w:rPr>
                <w:rFonts w:ascii="Calibri" w:eastAsia="Times New Roman" w:hAnsi="Calibri" w:cs="Calibri"/>
                <w:color w:val="9C0006"/>
                <w:lang w:eastAsia="it-IT"/>
              </w:rPr>
              <w:t>%</w:t>
            </w:r>
          </w:p>
        </w:tc>
      </w:tr>
      <w:tr w:rsidR="00B06E25" w:rsidRPr="00CD1BC6" w:rsidTr="00B06E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096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:rsidR="00B06E25" w:rsidRPr="00CD1BC6" w:rsidRDefault="00B06E25" w:rsidP="00B0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D1BC6">
              <w:rPr>
                <w:rFonts w:ascii="Calibri" w:eastAsia="Times New Roman" w:hAnsi="Calibri" w:cs="Calibri"/>
                <w:color w:val="000000"/>
                <w:lang w:eastAsia="it-IT"/>
              </w:rPr>
              <w:t>Puglia</w:t>
            </w:r>
          </w:p>
        </w:tc>
        <w:tc>
          <w:tcPr>
            <w:tcW w:w="1026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noWrap/>
            <w:vAlign w:val="center"/>
            <w:hideMark/>
          </w:tcPr>
          <w:p w:rsidR="00B06E25" w:rsidRPr="00CD1BC6" w:rsidRDefault="00B06E25" w:rsidP="00B0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CD1BC6">
              <w:rPr>
                <w:rFonts w:ascii="Calibri" w:eastAsia="Times New Roman" w:hAnsi="Calibri" w:cs="Calibri"/>
                <w:color w:val="9C0006"/>
                <w:lang w:eastAsia="it-IT"/>
              </w:rPr>
              <w:t>992</w:t>
            </w:r>
          </w:p>
        </w:tc>
        <w:tc>
          <w:tcPr>
            <w:tcW w:w="762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:rsidR="00B06E25" w:rsidRDefault="00B06E25" w:rsidP="00B06E25">
            <w:pPr>
              <w:spacing w:after="0"/>
              <w:jc w:val="center"/>
              <w:rPr>
                <w:rFonts w:ascii="Calibri" w:hAnsi="Calibri" w:cs="Calibri"/>
                <w:color w:val="9C0006"/>
              </w:rPr>
            </w:pPr>
            <w:r>
              <w:rPr>
                <w:rFonts w:ascii="Calibri" w:hAnsi="Calibri" w:cs="Calibri"/>
                <w:color w:val="9C0006"/>
              </w:rPr>
              <w:t>16,5%</w:t>
            </w:r>
          </w:p>
        </w:tc>
        <w:tc>
          <w:tcPr>
            <w:tcW w:w="1017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:rsidR="00B06E25" w:rsidRPr="00CD1BC6" w:rsidRDefault="00B06E25" w:rsidP="00B0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>
              <w:rPr>
                <w:rFonts w:ascii="Calibri" w:eastAsia="Times New Roman" w:hAnsi="Calibri" w:cs="Calibri"/>
                <w:color w:val="9C0006"/>
                <w:lang w:eastAsia="it-IT"/>
              </w:rPr>
              <w:t>43</w:t>
            </w:r>
            <w:r w:rsidRPr="00CD1BC6">
              <w:rPr>
                <w:rFonts w:ascii="Calibri" w:eastAsia="Times New Roman" w:hAnsi="Calibri" w:cs="Calibri"/>
                <w:color w:val="9C0006"/>
                <w:lang w:eastAsia="it-IT"/>
              </w:rPr>
              <w:t>%</w:t>
            </w:r>
          </w:p>
        </w:tc>
        <w:tc>
          <w:tcPr>
            <w:tcW w:w="1099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:rsidR="00B06E25" w:rsidRPr="00CD1BC6" w:rsidRDefault="00B06E25" w:rsidP="00B0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CD1BC6">
              <w:rPr>
                <w:rFonts w:ascii="Calibri" w:eastAsia="Times New Roman" w:hAnsi="Calibri" w:cs="Calibri"/>
                <w:color w:val="9C0006"/>
                <w:lang w:eastAsia="it-IT"/>
              </w:rPr>
              <w:t>3</w:t>
            </w:r>
            <w:r>
              <w:rPr>
                <w:rFonts w:ascii="Calibri" w:eastAsia="Times New Roman" w:hAnsi="Calibri" w:cs="Calibri"/>
                <w:color w:val="9C0006"/>
                <w:lang w:eastAsia="it-IT"/>
              </w:rPr>
              <w:t>4</w:t>
            </w:r>
            <w:r w:rsidRPr="00CD1BC6">
              <w:rPr>
                <w:rFonts w:ascii="Calibri" w:eastAsia="Times New Roman" w:hAnsi="Calibri" w:cs="Calibri"/>
                <w:color w:val="9C0006"/>
                <w:lang w:eastAsia="it-IT"/>
              </w:rPr>
              <w:t>%</w:t>
            </w:r>
          </w:p>
        </w:tc>
      </w:tr>
      <w:tr w:rsidR="00B06E25" w:rsidRPr="00CD1BC6" w:rsidTr="00B06E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096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:rsidR="00B06E25" w:rsidRPr="00CD1BC6" w:rsidRDefault="00B06E25" w:rsidP="00B0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D1BC6">
              <w:rPr>
                <w:rFonts w:ascii="Calibri" w:eastAsia="Times New Roman" w:hAnsi="Calibri" w:cs="Calibri"/>
                <w:color w:val="000000"/>
                <w:lang w:eastAsia="it-IT"/>
              </w:rPr>
              <w:t>Sardegna</w:t>
            </w:r>
          </w:p>
        </w:tc>
        <w:tc>
          <w:tcPr>
            <w:tcW w:w="1026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noWrap/>
            <w:vAlign w:val="center"/>
            <w:hideMark/>
          </w:tcPr>
          <w:p w:rsidR="00B06E25" w:rsidRPr="00CD1BC6" w:rsidRDefault="00B06E25" w:rsidP="00B0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CD1BC6">
              <w:rPr>
                <w:rFonts w:ascii="Calibri" w:eastAsia="Times New Roman" w:hAnsi="Calibri" w:cs="Calibri"/>
                <w:color w:val="9C0006"/>
                <w:lang w:eastAsia="it-IT"/>
              </w:rPr>
              <w:t>795</w:t>
            </w:r>
          </w:p>
        </w:tc>
        <w:tc>
          <w:tcPr>
            <w:tcW w:w="762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:rsidR="00B06E25" w:rsidRDefault="00B06E25" w:rsidP="00B06E25">
            <w:pPr>
              <w:spacing w:after="0"/>
              <w:jc w:val="center"/>
              <w:rPr>
                <w:rFonts w:ascii="Calibri" w:hAnsi="Calibri" w:cs="Calibri"/>
                <w:color w:val="9C0006"/>
              </w:rPr>
            </w:pPr>
            <w:r>
              <w:rPr>
                <w:rFonts w:ascii="Calibri" w:hAnsi="Calibri" w:cs="Calibri"/>
                <w:color w:val="9C0006"/>
              </w:rPr>
              <w:t>3,1%</w:t>
            </w:r>
          </w:p>
        </w:tc>
        <w:tc>
          <w:tcPr>
            <w:tcW w:w="1017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:rsidR="00B06E25" w:rsidRPr="00CD1BC6" w:rsidRDefault="00B06E25" w:rsidP="00B0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CD1BC6">
              <w:rPr>
                <w:rFonts w:ascii="Calibri" w:eastAsia="Times New Roman" w:hAnsi="Calibri" w:cs="Calibri"/>
                <w:color w:val="006100"/>
                <w:lang w:eastAsia="it-IT"/>
              </w:rPr>
              <w:t>11%</w:t>
            </w:r>
          </w:p>
        </w:tc>
        <w:tc>
          <w:tcPr>
            <w:tcW w:w="1099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:rsidR="00B06E25" w:rsidRPr="00CD1BC6" w:rsidRDefault="00B06E25" w:rsidP="00B0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CD1BC6">
              <w:rPr>
                <w:rFonts w:ascii="Calibri" w:eastAsia="Times New Roman" w:hAnsi="Calibri" w:cs="Calibri"/>
                <w:color w:val="006100"/>
                <w:lang w:eastAsia="it-IT"/>
              </w:rPr>
              <w:t>1</w:t>
            </w:r>
            <w:r>
              <w:rPr>
                <w:rFonts w:ascii="Calibri" w:eastAsia="Times New Roman" w:hAnsi="Calibri" w:cs="Calibri"/>
                <w:color w:val="006100"/>
                <w:lang w:eastAsia="it-IT"/>
              </w:rPr>
              <w:t>4</w:t>
            </w:r>
            <w:r w:rsidRPr="00CD1BC6">
              <w:rPr>
                <w:rFonts w:ascii="Calibri" w:eastAsia="Times New Roman" w:hAnsi="Calibri" w:cs="Calibri"/>
                <w:color w:val="006100"/>
                <w:lang w:eastAsia="it-IT"/>
              </w:rPr>
              <w:t>%</w:t>
            </w:r>
          </w:p>
        </w:tc>
      </w:tr>
      <w:tr w:rsidR="00B06E25" w:rsidRPr="00CD1BC6" w:rsidTr="00B06E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096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:rsidR="00B06E25" w:rsidRPr="00CD1BC6" w:rsidRDefault="00B06E25" w:rsidP="00B0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D1BC6">
              <w:rPr>
                <w:rFonts w:ascii="Calibri" w:eastAsia="Times New Roman" w:hAnsi="Calibri" w:cs="Calibri"/>
                <w:color w:val="000000"/>
                <w:lang w:eastAsia="it-IT"/>
              </w:rPr>
              <w:t>Sicilia</w:t>
            </w:r>
          </w:p>
        </w:tc>
        <w:tc>
          <w:tcPr>
            <w:tcW w:w="1026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noWrap/>
            <w:vAlign w:val="center"/>
            <w:hideMark/>
          </w:tcPr>
          <w:p w:rsidR="00B06E25" w:rsidRPr="00CD1BC6" w:rsidRDefault="00B06E25" w:rsidP="00B0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CD1BC6">
              <w:rPr>
                <w:rFonts w:ascii="Calibri" w:eastAsia="Times New Roman" w:hAnsi="Calibri" w:cs="Calibri"/>
                <w:color w:val="9C0006"/>
                <w:lang w:eastAsia="it-IT"/>
              </w:rPr>
              <w:t>303</w:t>
            </w:r>
          </w:p>
        </w:tc>
        <w:tc>
          <w:tcPr>
            <w:tcW w:w="762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:rsidR="00B06E25" w:rsidRDefault="00B06E25" w:rsidP="00B06E25">
            <w:pPr>
              <w:spacing w:after="0"/>
              <w:jc w:val="center"/>
              <w:rPr>
                <w:rFonts w:ascii="Calibri" w:hAnsi="Calibri" w:cs="Calibri"/>
                <w:color w:val="9C0006"/>
              </w:rPr>
            </w:pPr>
            <w:r>
              <w:rPr>
                <w:rFonts w:ascii="Calibri" w:hAnsi="Calibri" w:cs="Calibri"/>
                <w:color w:val="9C0006"/>
              </w:rPr>
              <w:t>13,7%</w:t>
            </w:r>
          </w:p>
        </w:tc>
        <w:tc>
          <w:tcPr>
            <w:tcW w:w="1017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:rsidR="00B06E25" w:rsidRPr="00CD1BC6" w:rsidRDefault="00B06E25" w:rsidP="00B0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CD1BC6">
              <w:rPr>
                <w:rFonts w:ascii="Calibri" w:eastAsia="Times New Roman" w:hAnsi="Calibri" w:cs="Calibri"/>
                <w:color w:val="006100"/>
                <w:lang w:eastAsia="it-IT"/>
              </w:rPr>
              <w:t>19%</w:t>
            </w:r>
          </w:p>
        </w:tc>
        <w:tc>
          <w:tcPr>
            <w:tcW w:w="1099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:rsidR="00B06E25" w:rsidRPr="00CD1BC6" w:rsidRDefault="00B06E25" w:rsidP="00B0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>
              <w:rPr>
                <w:rFonts w:ascii="Calibri" w:eastAsia="Times New Roman" w:hAnsi="Calibri" w:cs="Calibri"/>
                <w:color w:val="006100"/>
                <w:lang w:eastAsia="it-IT"/>
              </w:rPr>
              <w:t>14</w:t>
            </w:r>
            <w:r w:rsidRPr="00CD1BC6">
              <w:rPr>
                <w:rFonts w:ascii="Calibri" w:eastAsia="Times New Roman" w:hAnsi="Calibri" w:cs="Calibri"/>
                <w:color w:val="006100"/>
                <w:lang w:eastAsia="it-IT"/>
              </w:rPr>
              <w:t>%</w:t>
            </w:r>
          </w:p>
        </w:tc>
      </w:tr>
      <w:tr w:rsidR="00B06E25" w:rsidRPr="00CD1BC6" w:rsidTr="00B06E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096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:rsidR="00B06E25" w:rsidRPr="00CD1BC6" w:rsidRDefault="00B06E25" w:rsidP="00B0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D1BC6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1026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noWrap/>
            <w:vAlign w:val="center"/>
            <w:hideMark/>
          </w:tcPr>
          <w:p w:rsidR="00B06E25" w:rsidRPr="00CD1BC6" w:rsidRDefault="00B06E25" w:rsidP="00B0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CD1BC6">
              <w:rPr>
                <w:rFonts w:ascii="Calibri" w:eastAsia="Times New Roman" w:hAnsi="Calibri" w:cs="Calibri"/>
                <w:color w:val="9C0006"/>
                <w:lang w:eastAsia="it-IT"/>
              </w:rPr>
              <w:t>674</w:t>
            </w:r>
          </w:p>
        </w:tc>
        <w:tc>
          <w:tcPr>
            <w:tcW w:w="762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:rsidR="00B06E25" w:rsidRDefault="00B06E25" w:rsidP="00B06E25">
            <w:pPr>
              <w:spacing w:after="0"/>
              <w:jc w:val="center"/>
              <w:rPr>
                <w:rFonts w:ascii="Calibri" w:hAnsi="Calibri" w:cs="Calibri"/>
                <w:color w:val="9C0006"/>
              </w:rPr>
            </w:pPr>
            <w:r>
              <w:rPr>
                <w:rFonts w:ascii="Calibri" w:hAnsi="Calibri" w:cs="Calibri"/>
                <w:color w:val="9C0006"/>
              </w:rPr>
              <w:t>7,3%</w:t>
            </w:r>
          </w:p>
        </w:tc>
        <w:tc>
          <w:tcPr>
            <w:tcW w:w="1017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:rsidR="00B06E25" w:rsidRPr="00CD1BC6" w:rsidRDefault="00B06E25" w:rsidP="00B0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CD1BC6">
              <w:rPr>
                <w:rFonts w:ascii="Calibri" w:eastAsia="Times New Roman" w:hAnsi="Calibri" w:cs="Calibri"/>
                <w:color w:val="006100"/>
                <w:lang w:eastAsia="it-IT"/>
              </w:rPr>
              <w:t>28%</w:t>
            </w:r>
          </w:p>
        </w:tc>
        <w:tc>
          <w:tcPr>
            <w:tcW w:w="1099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:rsidR="00B06E25" w:rsidRPr="00CD1BC6" w:rsidRDefault="00B06E25" w:rsidP="00B0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CD1BC6">
              <w:rPr>
                <w:rFonts w:ascii="Calibri" w:eastAsia="Times New Roman" w:hAnsi="Calibri" w:cs="Calibri"/>
                <w:color w:val="9C0006"/>
                <w:lang w:eastAsia="it-IT"/>
              </w:rPr>
              <w:t>40%</w:t>
            </w:r>
          </w:p>
        </w:tc>
      </w:tr>
      <w:tr w:rsidR="00B06E25" w:rsidRPr="00CD1BC6" w:rsidTr="00B06E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096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:rsidR="00B06E25" w:rsidRPr="00CD1BC6" w:rsidRDefault="00B06E25" w:rsidP="00B0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D1BC6">
              <w:rPr>
                <w:rFonts w:ascii="Calibri" w:eastAsia="Times New Roman" w:hAnsi="Calibri" w:cs="Calibri"/>
                <w:color w:val="000000"/>
                <w:lang w:eastAsia="it-IT"/>
              </w:rPr>
              <w:t>Umbria</w:t>
            </w:r>
          </w:p>
        </w:tc>
        <w:tc>
          <w:tcPr>
            <w:tcW w:w="1026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noWrap/>
            <w:vAlign w:val="center"/>
            <w:hideMark/>
          </w:tcPr>
          <w:p w:rsidR="00B06E25" w:rsidRPr="00CD1BC6" w:rsidRDefault="00B06E25" w:rsidP="00B0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CD1BC6">
              <w:rPr>
                <w:rFonts w:ascii="Calibri" w:eastAsia="Times New Roman" w:hAnsi="Calibri" w:cs="Calibri"/>
                <w:color w:val="006100"/>
                <w:lang w:eastAsia="it-IT"/>
              </w:rPr>
              <w:t>679</w:t>
            </w:r>
          </w:p>
        </w:tc>
        <w:tc>
          <w:tcPr>
            <w:tcW w:w="762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:rsidR="00B06E25" w:rsidRDefault="00B06E25" w:rsidP="00B06E25">
            <w:pPr>
              <w:spacing w:after="0"/>
              <w:jc w:val="center"/>
              <w:rPr>
                <w:rFonts w:ascii="Calibri" w:hAnsi="Calibri" w:cs="Calibri"/>
                <w:color w:val="006100"/>
              </w:rPr>
            </w:pPr>
            <w:r>
              <w:rPr>
                <w:rFonts w:ascii="Calibri" w:hAnsi="Calibri" w:cs="Calibri"/>
                <w:color w:val="006100"/>
              </w:rPr>
              <w:t>-10,4%</w:t>
            </w:r>
          </w:p>
        </w:tc>
        <w:tc>
          <w:tcPr>
            <w:tcW w:w="1017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:rsidR="00B06E25" w:rsidRPr="00CD1BC6" w:rsidRDefault="00B06E25" w:rsidP="00B0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CD1BC6">
              <w:rPr>
                <w:rFonts w:ascii="Calibri" w:eastAsia="Times New Roman" w:hAnsi="Calibri" w:cs="Calibri"/>
                <w:color w:val="9C0006"/>
                <w:lang w:eastAsia="it-IT"/>
              </w:rPr>
              <w:t>4</w:t>
            </w:r>
            <w:r>
              <w:rPr>
                <w:rFonts w:ascii="Calibri" w:eastAsia="Times New Roman" w:hAnsi="Calibri" w:cs="Calibri"/>
                <w:color w:val="9C0006"/>
                <w:lang w:eastAsia="it-IT"/>
              </w:rPr>
              <w:t>7</w:t>
            </w:r>
            <w:r w:rsidRPr="00CD1BC6">
              <w:rPr>
                <w:rFonts w:ascii="Calibri" w:eastAsia="Times New Roman" w:hAnsi="Calibri" w:cs="Calibri"/>
                <w:color w:val="9C0006"/>
                <w:lang w:eastAsia="it-IT"/>
              </w:rPr>
              <w:t>%</w:t>
            </w:r>
          </w:p>
        </w:tc>
        <w:tc>
          <w:tcPr>
            <w:tcW w:w="1099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:rsidR="00B06E25" w:rsidRPr="00CD1BC6" w:rsidRDefault="00B06E25" w:rsidP="00B0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>
              <w:rPr>
                <w:rFonts w:ascii="Calibri" w:eastAsia="Times New Roman" w:hAnsi="Calibri" w:cs="Calibri"/>
                <w:color w:val="9C0006"/>
                <w:lang w:eastAsia="it-IT"/>
              </w:rPr>
              <w:t>56</w:t>
            </w:r>
            <w:r w:rsidRPr="00CD1BC6">
              <w:rPr>
                <w:rFonts w:ascii="Calibri" w:eastAsia="Times New Roman" w:hAnsi="Calibri" w:cs="Calibri"/>
                <w:color w:val="9C0006"/>
                <w:lang w:eastAsia="it-IT"/>
              </w:rPr>
              <w:t>%</w:t>
            </w:r>
          </w:p>
        </w:tc>
      </w:tr>
      <w:tr w:rsidR="00B06E25" w:rsidRPr="00CD1BC6" w:rsidTr="00B06E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096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:rsidR="00B06E25" w:rsidRPr="00CD1BC6" w:rsidRDefault="00B06E25" w:rsidP="00B0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D1BC6">
              <w:rPr>
                <w:rFonts w:ascii="Calibri" w:eastAsia="Times New Roman" w:hAnsi="Calibri" w:cs="Calibri"/>
                <w:color w:val="000000"/>
                <w:lang w:eastAsia="it-IT"/>
              </w:rPr>
              <w:t>Valle D'Aosta</w:t>
            </w:r>
          </w:p>
        </w:tc>
        <w:tc>
          <w:tcPr>
            <w:tcW w:w="1026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noWrap/>
            <w:vAlign w:val="center"/>
            <w:hideMark/>
          </w:tcPr>
          <w:p w:rsidR="00B06E25" w:rsidRPr="00CD1BC6" w:rsidRDefault="00B06E25" w:rsidP="00B0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CD1BC6">
              <w:rPr>
                <w:rFonts w:ascii="Calibri" w:eastAsia="Times New Roman" w:hAnsi="Calibri" w:cs="Calibri"/>
                <w:color w:val="9C0006"/>
                <w:lang w:eastAsia="it-IT"/>
              </w:rPr>
              <w:t>276</w:t>
            </w:r>
          </w:p>
        </w:tc>
        <w:tc>
          <w:tcPr>
            <w:tcW w:w="762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:rsidR="00B06E25" w:rsidRDefault="00B06E25" w:rsidP="00B06E25">
            <w:pPr>
              <w:spacing w:after="0"/>
              <w:jc w:val="center"/>
              <w:rPr>
                <w:rFonts w:ascii="Calibri" w:hAnsi="Calibri" w:cs="Calibri"/>
                <w:color w:val="9C0006"/>
              </w:rPr>
            </w:pPr>
            <w:r>
              <w:rPr>
                <w:rFonts w:ascii="Calibri" w:hAnsi="Calibri" w:cs="Calibri"/>
                <w:color w:val="9C0006"/>
              </w:rPr>
              <w:t>114,6%</w:t>
            </w:r>
          </w:p>
        </w:tc>
        <w:tc>
          <w:tcPr>
            <w:tcW w:w="1017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:rsidR="00B06E25" w:rsidRPr="00CD1BC6" w:rsidRDefault="00B06E25" w:rsidP="00B0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>
              <w:rPr>
                <w:rFonts w:ascii="Calibri" w:eastAsia="Times New Roman" w:hAnsi="Calibri" w:cs="Calibri"/>
                <w:color w:val="006100"/>
                <w:lang w:eastAsia="it-IT"/>
              </w:rPr>
              <w:t>6</w:t>
            </w:r>
            <w:r w:rsidRPr="00CD1BC6">
              <w:rPr>
                <w:rFonts w:ascii="Calibri" w:eastAsia="Times New Roman" w:hAnsi="Calibri" w:cs="Calibri"/>
                <w:color w:val="006100"/>
                <w:lang w:eastAsia="it-IT"/>
              </w:rPr>
              <w:t>%</w:t>
            </w:r>
          </w:p>
        </w:tc>
        <w:tc>
          <w:tcPr>
            <w:tcW w:w="1099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:rsidR="00B06E25" w:rsidRPr="00CD1BC6" w:rsidRDefault="00B06E25" w:rsidP="00B0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CD1BC6">
              <w:rPr>
                <w:rFonts w:ascii="Calibri" w:eastAsia="Times New Roman" w:hAnsi="Calibri" w:cs="Calibri"/>
                <w:color w:val="006100"/>
                <w:lang w:eastAsia="it-IT"/>
              </w:rPr>
              <w:t>15%</w:t>
            </w:r>
          </w:p>
        </w:tc>
      </w:tr>
      <w:tr w:rsidR="00B06E25" w:rsidRPr="00CD1BC6" w:rsidTr="00B06E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096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center"/>
            <w:hideMark/>
          </w:tcPr>
          <w:p w:rsidR="00B06E25" w:rsidRPr="00CD1BC6" w:rsidRDefault="00B06E25" w:rsidP="00B06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D1BC6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1026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noWrap/>
            <w:vAlign w:val="center"/>
            <w:hideMark/>
          </w:tcPr>
          <w:p w:rsidR="00B06E25" w:rsidRPr="00CD1BC6" w:rsidRDefault="00B06E25" w:rsidP="00B0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CD1BC6">
              <w:rPr>
                <w:rFonts w:ascii="Calibri" w:eastAsia="Times New Roman" w:hAnsi="Calibri" w:cs="Calibri"/>
                <w:color w:val="9C0006"/>
                <w:lang w:eastAsia="it-IT"/>
              </w:rPr>
              <w:t>732</w:t>
            </w:r>
          </w:p>
        </w:tc>
        <w:tc>
          <w:tcPr>
            <w:tcW w:w="762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:rsidR="00B06E25" w:rsidRDefault="00B06E25" w:rsidP="00B06E25">
            <w:pPr>
              <w:spacing w:after="0"/>
              <w:jc w:val="center"/>
              <w:rPr>
                <w:rFonts w:ascii="Calibri" w:hAnsi="Calibri" w:cs="Calibri"/>
                <w:color w:val="9C0006"/>
              </w:rPr>
            </w:pPr>
            <w:r>
              <w:rPr>
                <w:rFonts w:ascii="Calibri" w:hAnsi="Calibri" w:cs="Calibri"/>
                <w:color w:val="9C0006"/>
              </w:rPr>
              <w:t>29</w:t>
            </w:r>
            <w:bookmarkStart w:id="0" w:name="_GoBack"/>
            <w:bookmarkEnd w:id="0"/>
            <w:r>
              <w:rPr>
                <w:rFonts w:ascii="Calibri" w:hAnsi="Calibri" w:cs="Calibri"/>
                <w:color w:val="9C0006"/>
              </w:rPr>
              <w:t>,6%</w:t>
            </w:r>
          </w:p>
        </w:tc>
        <w:tc>
          <w:tcPr>
            <w:tcW w:w="1017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:rsidR="00B06E25" w:rsidRPr="00CD1BC6" w:rsidRDefault="00B06E25" w:rsidP="00B0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>
              <w:rPr>
                <w:rFonts w:ascii="Calibri" w:eastAsia="Times New Roman" w:hAnsi="Calibri" w:cs="Calibri"/>
                <w:color w:val="006100"/>
                <w:lang w:eastAsia="it-IT"/>
              </w:rPr>
              <w:t>21</w:t>
            </w:r>
            <w:r w:rsidRPr="00CD1BC6">
              <w:rPr>
                <w:rFonts w:ascii="Calibri" w:eastAsia="Times New Roman" w:hAnsi="Calibri" w:cs="Calibri"/>
                <w:color w:val="006100"/>
                <w:lang w:eastAsia="it-IT"/>
              </w:rPr>
              <w:t>%</w:t>
            </w:r>
          </w:p>
        </w:tc>
        <w:tc>
          <w:tcPr>
            <w:tcW w:w="1099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:rsidR="00B06E25" w:rsidRPr="00CD1BC6" w:rsidRDefault="00B06E25" w:rsidP="00B0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 w:rsidRPr="00CD1BC6">
              <w:rPr>
                <w:rFonts w:ascii="Calibri" w:eastAsia="Times New Roman" w:hAnsi="Calibri" w:cs="Calibri"/>
                <w:color w:val="006100"/>
                <w:lang w:eastAsia="it-IT"/>
              </w:rPr>
              <w:t>19%</w:t>
            </w:r>
          </w:p>
        </w:tc>
      </w:tr>
      <w:tr w:rsidR="00B06E25" w:rsidRPr="00CD1BC6" w:rsidTr="00B06E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096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BFBFBF"/>
            <w:noWrap/>
            <w:vAlign w:val="center"/>
            <w:hideMark/>
          </w:tcPr>
          <w:p w:rsidR="00B06E25" w:rsidRPr="00CD1BC6" w:rsidRDefault="00B06E25" w:rsidP="00B06E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D1B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ITALIA</w:t>
            </w:r>
          </w:p>
        </w:tc>
        <w:tc>
          <w:tcPr>
            <w:tcW w:w="1026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noWrap/>
            <w:vAlign w:val="center"/>
            <w:hideMark/>
          </w:tcPr>
          <w:p w:rsidR="00B06E25" w:rsidRPr="00CD1BC6" w:rsidRDefault="00B06E25" w:rsidP="00B0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C0006"/>
                <w:lang w:eastAsia="it-IT"/>
              </w:rPr>
            </w:pPr>
            <w:r w:rsidRPr="00CD1BC6">
              <w:rPr>
                <w:rFonts w:ascii="Calibri" w:eastAsia="Times New Roman" w:hAnsi="Calibri" w:cs="Calibri"/>
                <w:b/>
                <w:bCs/>
                <w:color w:val="9C0006"/>
                <w:lang w:eastAsia="it-IT"/>
              </w:rPr>
              <w:t>899</w:t>
            </w:r>
          </w:p>
        </w:tc>
        <w:tc>
          <w:tcPr>
            <w:tcW w:w="762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:rsidR="00B06E25" w:rsidRPr="00B06E25" w:rsidRDefault="00B06E25" w:rsidP="00B06E25">
            <w:pPr>
              <w:spacing w:after="0"/>
              <w:jc w:val="center"/>
              <w:rPr>
                <w:rFonts w:ascii="Calibri" w:hAnsi="Calibri" w:cs="Calibri"/>
                <w:b/>
                <w:color w:val="9C0006"/>
              </w:rPr>
            </w:pPr>
            <w:r w:rsidRPr="00B06E25">
              <w:rPr>
                <w:rFonts w:ascii="Calibri" w:hAnsi="Calibri" w:cs="Calibri"/>
                <w:b/>
                <w:color w:val="9C0006"/>
              </w:rPr>
              <w:t>8,3%</w:t>
            </w:r>
          </w:p>
        </w:tc>
        <w:tc>
          <w:tcPr>
            <w:tcW w:w="1017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center"/>
            <w:hideMark/>
          </w:tcPr>
          <w:p w:rsidR="00B06E25" w:rsidRPr="001A54CF" w:rsidRDefault="00B06E25" w:rsidP="00B0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6100"/>
                <w:lang w:eastAsia="it-IT"/>
              </w:rPr>
            </w:pPr>
            <w:r w:rsidRPr="001A54CF">
              <w:rPr>
                <w:rFonts w:ascii="Calibri" w:eastAsia="Times New Roman" w:hAnsi="Calibri" w:cs="Calibri"/>
                <w:b/>
                <w:color w:val="006100"/>
                <w:lang w:eastAsia="it-IT"/>
              </w:rPr>
              <w:t>40%</w:t>
            </w:r>
          </w:p>
        </w:tc>
        <w:tc>
          <w:tcPr>
            <w:tcW w:w="1099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center"/>
            <w:hideMark/>
          </w:tcPr>
          <w:p w:rsidR="00B06E25" w:rsidRPr="001A54CF" w:rsidRDefault="00B06E25" w:rsidP="00B06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9C0006"/>
                <w:lang w:eastAsia="it-IT"/>
              </w:rPr>
            </w:pPr>
            <w:r w:rsidRPr="001A54CF">
              <w:rPr>
                <w:rFonts w:ascii="Calibri" w:eastAsia="Times New Roman" w:hAnsi="Calibri" w:cs="Calibri"/>
                <w:b/>
                <w:color w:val="9C0006"/>
                <w:lang w:eastAsia="it-IT"/>
              </w:rPr>
              <w:t>36%</w:t>
            </w:r>
          </w:p>
        </w:tc>
      </w:tr>
      <w:tr w:rsidR="00CD1BC6" w:rsidRPr="00F240C0" w:rsidTr="001A54CF">
        <w:trPr>
          <w:trHeight w:val="624"/>
        </w:trPr>
        <w:tc>
          <w:tcPr>
            <w:tcW w:w="5000" w:type="pct"/>
            <w:gridSpan w:val="5"/>
            <w:tcBorders>
              <w:top w:val="single" w:sz="4" w:space="0" w:color="00457D"/>
            </w:tcBorders>
            <w:shd w:val="clear" w:color="auto" w:fill="auto"/>
            <w:noWrap/>
            <w:vAlign w:val="center"/>
          </w:tcPr>
          <w:p w:rsidR="00CD1BC6" w:rsidRDefault="00CD1BC6" w:rsidP="00D03EC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1"/>
              </w:rPr>
            </w:pPr>
            <w:r w:rsidRPr="00EF1256">
              <w:rPr>
                <w:rFonts w:eastAsia="Times New Roman" w:cstheme="minorHAnsi"/>
                <w:bCs/>
                <w:color w:val="000000"/>
                <w:sz w:val="20"/>
                <w:szCs w:val="21"/>
              </w:rPr>
              <w:t>Nota: nell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1"/>
              </w:rPr>
              <w:t xml:space="preserve">a prima colonna </w:t>
            </w:r>
            <w:r w:rsidRPr="00EF1256">
              <w:rPr>
                <w:rFonts w:eastAsia="Times New Roman" w:cstheme="minorHAnsi"/>
                <w:bCs/>
                <w:color w:val="000000"/>
                <w:sz w:val="20"/>
                <w:szCs w:val="21"/>
              </w:rPr>
              <w:t xml:space="preserve">rosso e verde indicano rispettivamente una performance regionale in peggioramento, o in miglioramento, rispetto alla settimana 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1"/>
              </w:rPr>
              <w:t>precedente.</w:t>
            </w:r>
          </w:p>
          <w:p w:rsidR="00CD1BC6" w:rsidRPr="009B1700" w:rsidRDefault="00CD1BC6" w:rsidP="00D03EC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1"/>
              </w:rPr>
            </w:pPr>
            <w:r w:rsidRPr="00804B85">
              <w:rPr>
                <w:rFonts w:eastAsia="Times New Roman" w:cstheme="minorHAnsi"/>
                <w:bCs/>
                <w:sz w:val="20"/>
                <w:szCs w:val="21"/>
              </w:rPr>
              <w:t>Nella seconda colonna rosso e verde indicano rispettivamente un aumento o una diminuzione di nuovi casi rispetto alla settimana precedente.</w:t>
            </w:r>
            <w:r w:rsidRPr="00804B85">
              <w:rPr>
                <w:rFonts w:eastAsia="Times New Roman" w:cstheme="minorHAnsi"/>
                <w:bCs/>
                <w:sz w:val="20"/>
                <w:szCs w:val="21"/>
              </w:rPr>
              <w:br/>
            </w:r>
            <w:r>
              <w:rPr>
                <w:rFonts w:eastAsia="Times New Roman" w:cstheme="minorHAnsi"/>
                <w:bCs/>
                <w:color w:val="000000"/>
                <w:sz w:val="20"/>
                <w:szCs w:val="21"/>
              </w:rPr>
              <w:t>N</w:t>
            </w:r>
            <w:r w:rsidRPr="00EF1256">
              <w:rPr>
                <w:rFonts w:eastAsia="Times New Roman" w:cstheme="minorHAnsi"/>
                <w:bCs/>
                <w:color w:val="000000"/>
                <w:sz w:val="20"/>
                <w:szCs w:val="21"/>
              </w:rPr>
              <w:t>elle ultime 2 colonne rosso e verde indicano il superamento, o meno, della soglia di saturazione del 40% per l’area medica e del 30% per le terapie intensive (dati Agenas).</w:t>
            </w:r>
          </w:p>
        </w:tc>
      </w:tr>
    </w:tbl>
    <w:p w:rsidR="00F76612" w:rsidRDefault="00F76612">
      <w:pPr>
        <w:rPr>
          <w:b/>
          <w:color w:val="00457D"/>
          <w:spacing w:val="-4"/>
          <w:sz w:val="24"/>
        </w:rPr>
      </w:pPr>
    </w:p>
    <w:sectPr w:rsidR="00F76612" w:rsidSect="00961639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7F4" w:rsidRDefault="002647F4">
      <w:pPr>
        <w:spacing w:after="0" w:line="240" w:lineRule="auto"/>
      </w:pPr>
      <w:r>
        <w:separator/>
      </w:r>
    </w:p>
  </w:endnote>
  <w:endnote w:type="continuationSeparator" w:id="1">
    <w:p w:rsidR="002647F4" w:rsidRDefault="00264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7F4" w:rsidRDefault="002647F4">
      <w:pPr>
        <w:spacing w:after="0" w:line="240" w:lineRule="auto"/>
      </w:pPr>
      <w:r>
        <w:separator/>
      </w:r>
    </w:p>
  </w:footnote>
  <w:footnote w:type="continuationSeparator" w:id="1">
    <w:p w:rsidR="002647F4" w:rsidRDefault="002647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7213F"/>
    <w:multiLevelType w:val="hybridMultilevel"/>
    <w:tmpl w:val="6FBA9D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311F2"/>
    <w:multiLevelType w:val="hybridMultilevel"/>
    <w:tmpl w:val="36A6CC0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7D28AB"/>
    <w:multiLevelType w:val="hybridMultilevel"/>
    <w:tmpl w:val="CDD4D67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E513AB3"/>
    <w:multiLevelType w:val="hybridMultilevel"/>
    <w:tmpl w:val="16E0E5BE"/>
    <w:lvl w:ilvl="0" w:tplc="BA0E2B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F45FF"/>
    <w:multiLevelType w:val="hybridMultilevel"/>
    <w:tmpl w:val="6F84A354"/>
    <w:lvl w:ilvl="0" w:tplc="3A3EC9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B93F44"/>
    <w:multiLevelType w:val="hybridMultilevel"/>
    <w:tmpl w:val="9D9C0B5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61119EF"/>
    <w:multiLevelType w:val="hybridMultilevel"/>
    <w:tmpl w:val="580C59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8D23CF"/>
    <w:multiLevelType w:val="hybridMultilevel"/>
    <w:tmpl w:val="EFDC4A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AA5987"/>
    <w:multiLevelType w:val="hybridMultilevel"/>
    <w:tmpl w:val="D796371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EBC0E7D"/>
    <w:multiLevelType w:val="hybridMultilevel"/>
    <w:tmpl w:val="F5C086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F84CFA"/>
    <w:multiLevelType w:val="hybridMultilevel"/>
    <w:tmpl w:val="A85683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AE7BDE"/>
    <w:multiLevelType w:val="hybridMultilevel"/>
    <w:tmpl w:val="9C54C9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ED4DC0"/>
    <w:multiLevelType w:val="multilevel"/>
    <w:tmpl w:val="F086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1C01F8F"/>
    <w:multiLevelType w:val="hybridMultilevel"/>
    <w:tmpl w:val="AC084D6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66F346F"/>
    <w:multiLevelType w:val="hybridMultilevel"/>
    <w:tmpl w:val="FFB6875A"/>
    <w:lvl w:ilvl="0" w:tplc="C242DA3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A13898"/>
    <w:multiLevelType w:val="hybridMultilevel"/>
    <w:tmpl w:val="8E00214E"/>
    <w:lvl w:ilvl="0" w:tplc="A6EEA2B6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9B7EAA"/>
    <w:multiLevelType w:val="hybridMultilevel"/>
    <w:tmpl w:val="3DC28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C81715"/>
    <w:multiLevelType w:val="hybridMultilevel"/>
    <w:tmpl w:val="51B049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901458"/>
    <w:multiLevelType w:val="hybridMultilevel"/>
    <w:tmpl w:val="685E6CC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8"/>
  </w:num>
  <w:num w:numId="5">
    <w:abstractNumId w:val="18"/>
  </w:num>
  <w:num w:numId="6">
    <w:abstractNumId w:val="9"/>
  </w:num>
  <w:num w:numId="7">
    <w:abstractNumId w:val="0"/>
  </w:num>
  <w:num w:numId="8">
    <w:abstractNumId w:val="16"/>
  </w:num>
  <w:num w:numId="9">
    <w:abstractNumId w:val="6"/>
  </w:num>
  <w:num w:numId="10">
    <w:abstractNumId w:val="10"/>
  </w:num>
  <w:num w:numId="11">
    <w:abstractNumId w:val="5"/>
  </w:num>
  <w:num w:numId="12">
    <w:abstractNumId w:val="13"/>
  </w:num>
  <w:num w:numId="13">
    <w:abstractNumId w:val="17"/>
  </w:num>
  <w:num w:numId="14">
    <w:abstractNumId w:val="11"/>
  </w:num>
  <w:num w:numId="15">
    <w:abstractNumId w:val="7"/>
  </w:num>
  <w:num w:numId="16">
    <w:abstractNumId w:val="12"/>
  </w:num>
  <w:num w:numId="17">
    <w:abstractNumId w:val="14"/>
  </w:num>
  <w:num w:numId="18">
    <w:abstractNumId w:val="1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283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BC1DF4"/>
    <w:rsid w:val="00002087"/>
    <w:rsid w:val="0000219C"/>
    <w:rsid w:val="0000329A"/>
    <w:rsid w:val="0000481E"/>
    <w:rsid w:val="0000756B"/>
    <w:rsid w:val="00010037"/>
    <w:rsid w:val="00010725"/>
    <w:rsid w:val="00014416"/>
    <w:rsid w:val="00014656"/>
    <w:rsid w:val="000149BF"/>
    <w:rsid w:val="00014DD9"/>
    <w:rsid w:val="00015381"/>
    <w:rsid w:val="00015FA4"/>
    <w:rsid w:val="00016A93"/>
    <w:rsid w:val="000215A2"/>
    <w:rsid w:val="0002277E"/>
    <w:rsid w:val="00022E16"/>
    <w:rsid w:val="000244BD"/>
    <w:rsid w:val="00025494"/>
    <w:rsid w:val="000265B1"/>
    <w:rsid w:val="00027266"/>
    <w:rsid w:val="00030315"/>
    <w:rsid w:val="00030E3E"/>
    <w:rsid w:val="0003110F"/>
    <w:rsid w:val="00033CB3"/>
    <w:rsid w:val="00033F82"/>
    <w:rsid w:val="0003447B"/>
    <w:rsid w:val="00037345"/>
    <w:rsid w:val="0004012A"/>
    <w:rsid w:val="000414F2"/>
    <w:rsid w:val="00042777"/>
    <w:rsid w:val="00042F53"/>
    <w:rsid w:val="00043D06"/>
    <w:rsid w:val="00044062"/>
    <w:rsid w:val="00044EEF"/>
    <w:rsid w:val="00050361"/>
    <w:rsid w:val="00051608"/>
    <w:rsid w:val="00053E14"/>
    <w:rsid w:val="00055E82"/>
    <w:rsid w:val="00056307"/>
    <w:rsid w:val="00062A06"/>
    <w:rsid w:val="000702BE"/>
    <w:rsid w:val="00074190"/>
    <w:rsid w:val="000751E0"/>
    <w:rsid w:val="000764D8"/>
    <w:rsid w:val="00077F18"/>
    <w:rsid w:val="00080306"/>
    <w:rsid w:val="00081517"/>
    <w:rsid w:val="0008306E"/>
    <w:rsid w:val="00084054"/>
    <w:rsid w:val="000847A3"/>
    <w:rsid w:val="000854F3"/>
    <w:rsid w:val="000877C3"/>
    <w:rsid w:val="000901C1"/>
    <w:rsid w:val="00090386"/>
    <w:rsid w:val="0009175F"/>
    <w:rsid w:val="0009326E"/>
    <w:rsid w:val="000936E0"/>
    <w:rsid w:val="00097055"/>
    <w:rsid w:val="00097CE0"/>
    <w:rsid w:val="000A3147"/>
    <w:rsid w:val="000A3435"/>
    <w:rsid w:val="000A3B30"/>
    <w:rsid w:val="000A3B5F"/>
    <w:rsid w:val="000A4599"/>
    <w:rsid w:val="000A4DBA"/>
    <w:rsid w:val="000A6134"/>
    <w:rsid w:val="000B00A6"/>
    <w:rsid w:val="000B0D4B"/>
    <w:rsid w:val="000B0FF3"/>
    <w:rsid w:val="000B178F"/>
    <w:rsid w:val="000B1EE4"/>
    <w:rsid w:val="000B4627"/>
    <w:rsid w:val="000B5683"/>
    <w:rsid w:val="000C1E61"/>
    <w:rsid w:val="000C1F3E"/>
    <w:rsid w:val="000C2099"/>
    <w:rsid w:val="000C26B7"/>
    <w:rsid w:val="000C27FD"/>
    <w:rsid w:val="000C2834"/>
    <w:rsid w:val="000C4771"/>
    <w:rsid w:val="000C59B4"/>
    <w:rsid w:val="000C646F"/>
    <w:rsid w:val="000C6FC9"/>
    <w:rsid w:val="000C7991"/>
    <w:rsid w:val="000D06B3"/>
    <w:rsid w:val="000D3317"/>
    <w:rsid w:val="000D5E97"/>
    <w:rsid w:val="000D721C"/>
    <w:rsid w:val="000E29C4"/>
    <w:rsid w:val="000E3BE8"/>
    <w:rsid w:val="000E3ED7"/>
    <w:rsid w:val="000E41E9"/>
    <w:rsid w:val="000E5BCB"/>
    <w:rsid w:val="000F018C"/>
    <w:rsid w:val="000F0F04"/>
    <w:rsid w:val="000F27A9"/>
    <w:rsid w:val="000F3DDA"/>
    <w:rsid w:val="000F447C"/>
    <w:rsid w:val="000F5112"/>
    <w:rsid w:val="000F6D92"/>
    <w:rsid w:val="000F76E4"/>
    <w:rsid w:val="001019D5"/>
    <w:rsid w:val="001023EE"/>
    <w:rsid w:val="00103D26"/>
    <w:rsid w:val="00104433"/>
    <w:rsid w:val="00111F8F"/>
    <w:rsid w:val="00112298"/>
    <w:rsid w:val="00112674"/>
    <w:rsid w:val="00112B21"/>
    <w:rsid w:val="00115E64"/>
    <w:rsid w:val="0011670E"/>
    <w:rsid w:val="00121465"/>
    <w:rsid w:val="0012269C"/>
    <w:rsid w:val="00123A9E"/>
    <w:rsid w:val="0012563F"/>
    <w:rsid w:val="00125DF9"/>
    <w:rsid w:val="001264C0"/>
    <w:rsid w:val="00126CDD"/>
    <w:rsid w:val="0013168B"/>
    <w:rsid w:val="001332F1"/>
    <w:rsid w:val="00136B5E"/>
    <w:rsid w:val="00143250"/>
    <w:rsid w:val="00146E5B"/>
    <w:rsid w:val="00147A32"/>
    <w:rsid w:val="00147AF6"/>
    <w:rsid w:val="0015074D"/>
    <w:rsid w:val="00150F61"/>
    <w:rsid w:val="00151830"/>
    <w:rsid w:val="00152CEF"/>
    <w:rsid w:val="001534EC"/>
    <w:rsid w:val="00156BB9"/>
    <w:rsid w:val="00157C36"/>
    <w:rsid w:val="001612AB"/>
    <w:rsid w:val="00162841"/>
    <w:rsid w:val="00164885"/>
    <w:rsid w:val="0016690B"/>
    <w:rsid w:val="0017044E"/>
    <w:rsid w:val="0017053B"/>
    <w:rsid w:val="00171513"/>
    <w:rsid w:val="001719D3"/>
    <w:rsid w:val="001719F9"/>
    <w:rsid w:val="00171BE9"/>
    <w:rsid w:val="00171F91"/>
    <w:rsid w:val="00172E8A"/>
    <w:rsid w:val="0017688D"/>
    <w:rsid w:val="00182A0F"/>
    <w:rsid w:val="0018467E"/>
    <w:rsid w:val="0018536B"/>
    <w:rsid w:val="00185C94"/>
    <w:rsid w:val="001861AD"/>
    <w:rsid w:val="00186BD2"/>
    <w:rsid w:val="00190DBF"/>
    <w:rsid w:val="001913FB"/>
    <w:rsid w:val="00191C3B"/>
    <w:rsid w:val="0019296A"/>
    <w:rsid w:val="00192FB7"/>
    <w:rsid w:val="00195A7C"/>
    <w:rsid w:val="001A0514"/>
    <w:rsid w:val="001A0EAB"/>
    <w:rsid w:val="001A54CF"/>
    <w:rsid w:val="001A54DB"/>
    <w:rsid w:val="001A6875"/>
    <w:rsid w:val="001B05A8"/>
    <w:rsid w:val="001B0898"/>
    <w:rsid w:val="001B10AE"/>
    <w:rsid w:val="001B114E"/>
    <w:rsid w:val="001B3B86"/>
    <w:rsid w:val="001B724F"/>
    <w:rsid w:val="001C22D9"/>
    <w:rsid w:val="001C4EB4"/>
    <w:rsid w:val="001C6CAC"/>
    <w:rsid w:val="001C7BDC"/>
    <w:rsid w:val="001D0F3D"/>
    <w:rsid w:val="001D1CBC"/>
    <w:rsid w:val="001D225C"/>
    <w:rsid w:val="001D32D2"/>
    <w:rsid w:val="001D5CA7"/>
    <w:rsid w:val="001D62CC"/>
    <w:rsid w:val="001D7EEB"/>
    <w:rsid w:val="001E053F"/>
    <w:rsid w:val="001E0F52"/>
    <w:rsid w:val="001E1552"/>
    <w:rsid w:val="001E1E0B"/>
    <w:rsid w:val="001E2B2E"/>
    <w:rsid w:val="001E2FDD"/>
    <w:rsid w:val="001E3154"/>
    <w:rsid w:val="001E5687"/>
    <w:rsid w:val="001E5B81"/>
    <w:rsid w:val="001E6F54"/>
    <w:rsid w:val="001F0B30"/>
    <w:rsid w:val="001F0EED"/>
    <w:rsid w:val="001F1EA0"/>
    <w:rsid w:val="001F44B5"/>
    <w:rsid w:val="001F583F"/>
    <w:rsid w:val="001F5B4B"/>
    <w:rsid w:val="0020023F"/>
    <w:rsid w:val="0020140C"/>
    <w:rsid w:val="00202C99"/>
    <w:rsid w:val="00204374"/>
    <w:rsid w:val="00205DB0"/>
    <w:rsid w:val="002078BB"/>
    <w:rsid w:val="00207C8C"/>
    <w:rsid w:val="002107F1"/>
    <w:rsid w:val="0021161E"/>
    <w:rsid w:val="002123FE"/>
    <w:rsid w:val="00213C28"/>
    <w:rsid w:val="00214711"/>
    <w:rsid w:val="00217C04"/>
    <w:rsid w:val="00222503"/>
    <w:rsid w:val="002242D1"/>
    <w:rsid w:val="0022493F"/>
    <w:rsid w:val="00224F6A"/>
    <w:rsid w:val="00225D6F"/>
    <w:rsid w:val="002274EF"/>
    <w:rsid w:val="00227FF4"/>
    <w:rsid w:val="0023054A"/>
    <w:rsid w:val="00232016"/>
    <w:rsid w:val="002336AE"/>
    <w:rsid w:val="002337E8"/>
    <w:rsid w:val="002377AB"/>
    <w:rsid w:val="002405B2"/>
    <w:rsid w:val="00244408"/>
    <w:rsid w:val="00244ADB"/>
    <w:rsid w:val="0024541B"/>
    <w:rsid w:val="00246D6A"/>
    <w:rsid w:val="00246F91"/>
    <w:rsid w:val="002479F5"/>
    <w:rsid w:val="00250514"/>
    <w:rsid w:val="00252C1E"/>
    <w:rsid w:val="0025377F"/>
    <w:rsid w:val="00256270"/>
    <w:rsid w:val="002564BA"/>
    <w:rsid w:val="00264158"/>
    <w:rsid w:val="002647F4"/>
    <w:rsid w:val="00271E3F"/>
    <w:rsid w:val="002720C2"/>
    <w:rsid w:val="0027264F"/>
    <w:rsid w:val="002757FE"/>
    <w:rsid w:val="00276D46"/>
    <w:rsid w:val="00277B97"/>
    <w:rsid w:val="00277F11"/>
    <w:rsid w:val="002806D4"/>
    <w:rsid w:val="0028108C"/>
    <w:rsid w:val="0028299B"/>
    <w:rsid w:val="00282B9A"/>
    <w:rsid w:val="00284459"/>
    <w:rsid w:val="00286B18"/>
    <w:rsid w:val="002902AF"/>
    <w:rsid w:val="002919F0"/>
    <w:rsid w:val="00291B4A"/>
    <w:rsid w:val="002920FA"/>
    <w:rsid w:val="0029239B"/>
    <w:rsid w:val="0029362B"/>
    <w:rsid w:val="002967EE"/>
    <w:rsid w:val="00297217"/>
    <w:rsid w:val="00297818"/>
    <w:rsid w:val="002A05A1"/>
    <w:rsid w:val="002A0983"/>
    <w:rsid w:val="002A1295"/>
    <w:rsid w:val="002A3B09"/>
    <w:rsid w:val="002A64A7"/>
    <w:rsid w:val="002A6E9D"/>
    <w:rsid w:val="002A7736"/>
    <w:rsid w:val="002B097C"/>
    <w:rsid w:val="002B1493"/>
    <w:rsid w:val="002B26D7"/>
    <w:rsid w:val="002B3E89"/>
    <w:rsid w:val="002B4579"/>
    <w:rsid w:val="002B461E"/>
    <w:rsid w:val="002B491F"/>
    <w:rsid w:val="002B4D30"/>
    <w:rsid w:val="002B6906"/>
    <w:rsid w:val="002B6BDD"/>
    <w:rsid w:val="002B6F24"/>
    <w:rsid w:val="002C009A"/>
    <w:rsid w:val="002C3478"/>
    <w:rsid w:val="002C435F"/>
    <w:rsid w:val="002C43EA"/>
    <w:rsid w:val="002C4EC3"/>
    <w:rsid w:val="002C55AE"/>
    <w:rsid w:val="002D0E17"/>
    <w:rsid w:val="002D13C3"/>
    <w:rsid w:val="002D16D8"/>
    <w:rsid w:val="002D208F"/>
    <w:rsid w:val="002D3E5C"/>
    <w:rsid w:val="002D477A"/>
    <w:rsid w:val="002D5C08"/>
    <w:rsid w:val="002D76C2"/>
    <w:rsid w:val="002D79E7"/>
    <w:rsid w:val="002E101F"/>
    <w:rsid w:val="002E2E95"/>
    <w:rsid w:val="002E4784"/>
    <w:rsid w:val="002E4E66"/>
    <w:rsid w:val="002E4F15"/>
    <w:rsid w:val="002E5D7E"/>
    <w:rsid w:val="002E63C4"/>
    <w:rsid w:val="002E66BD"/>
    <w:rsid w:val="002E7EA4"/>
    <w:rsid w:val="002F1115"/>
    <w:rsid w:val="002F2004"/>
    <w:rsid w:val="002F2889"/>
    <w:rsid w:val="002F32D4"/>
    <w:rsid w:val="002F3CCD"/>
    <w:rsid w:val="002F414A"/>
    <w:rsid w:val="002F4912"/>
    <w:rsid w:val="002F59ED"/>
    <w:rsid w:val="002F68CB"/>
    <w:rsid w:val="002F6D8D"/>
    <w:rsid w:val="003026F8"/>
    <w:rsid w:val="00302764"/>
    <w:rsid w:val="00302C76"/>
    <w:rsid w:val="00303389"/>
    <w:rsid w:val="00305030"/>
    <w:rsid w:val="00305325"/>
    <w:rsid w:val="00305CBE"/>
    <w:rsid w:val="00312D4A"/>
    <w:rsid w:val="00315C07"/>
    <w:rsid w:val="00315D8F"/>
    <w:rsid w:val="00317E2A"/>
    <w:rsid w:val="00320D88"/>
    <w:rsid w:val="003227F6"/>
    <w:rsid w:val="00322977"/>
    <w:rsid w:val="00322AE1"/>
    <w:rsid w:val="00322C4E"/>
    <w:rsid w:val="00324D4D"/>
    <w:rsid w:val="00325217"/>
    <w:rsid w:val="00325E11"/>
    <w:rsid w:val="00326B4D"/>
    <w:rsid w:val="003300B9"/>
    <w:rsid w:val="00330D3C"/>
    <w:rsid w:val="00330DD4"/>
    <w:rsid w:val="00330F76"/>
    <w:rsid w:val="0033163F"/>
    <w:rsid w:val="00332A52"/>
    <w:rsid w:val="00332B22"/>
    <w:rsid w:val="00333001"/>
    <w:rsid w:val="00333902"/>
    <w:rsid w:val="00337CF1"/>
    <w:rsid w:val="0034402E"/>
    <w:rsid w:val="00345891"/>
    <w:rsid w:val="003460F8"/>
    <w:rsid w:val="003479DA"/>
    <w:rsid w:val="003506E3"/>
    <w:rsid w:val="003526D2"/>
    <w:rsid w:val="00357A60"/>
    <w:rsid w:val="00357ECF"/>
    <w:rsid w:val="00360C96"/>
    <w:rsid w:val="003614DE"/>
    <w:rsid w:val="003616D7"/>
    <w:rsid w:val="0036341F"/>
    <w:rsid w:val="00363717"/>
    <w:rsid w:val="00364A15"/>
    <w:rsid w:val="003658BF"/>
    <w:rsid w:val="00365B9F"/>
    <w:rsid w:val="0037110D"/>
    <w:rsid w:val="00372037"/>
    <w:rsid w:val="00372416"/>
    <w:rsid w:val="00373342"/>
    <w:rsid w:val="0037525D"/>
    <w:rsid w:val="00376F7D"/>
    <w:rsid w:val="00377C28"/>
    <w:rsid w:val="00380880"/>
    <w:rsid w:val="00380E8F"/>
    <w:rsid w:val="00381903"/>
    <w:rsid w:val="0038317C"/>
    <w:rsid w:val="00383627"/>
    <w:rsid w:val="00383854"/>
    <w:rsid w:val="00384F5E"/>
    <w:rsid w:val="003850E9"/>
    <w:rsid w:val="00391963"/>
    <w:rsid w:val="00392DC9"/>
    <w:rsid w:val="00393475"/>
    <w:rsid w:val="00394A3D"/>
    <w:rsid w:val="0039571D"/>
    <w:rsid w:val="00395926"/>
    <w:rsid w:val="00395C32"/>
    <w:rsid w:val="00396280"/>
    <w:rsid w:val="003A1196"/>
    <w:rsid w:val="003A1EC2"/>
    <w:rsid w:val="003A227C"/>
    <w:rsid w:val="003A22CB"/>
    <w:rsid w:val="003A2863"/>
    <w:rsid w:val="003A6723"/>
    <w:rsid w:val="003A67B3"/>
    <w:rsid w:val="003A7C0B"/>
    <w:rsid w:val="003B2DD0"/>
    <w:rsid w:val="003B3025"/>
    <w:rsid w:val="003B3399"/>
    <w:rsid w:val="003B773B"/>
    <w:rsid w:val="003C022C"/>
    <w:rsid w:val="003C3FCF"/>
    <w:rsid w:val="003C4ADD"/>
    <w:rsid w:val="003C6A9C"/>
    <w:rsid w:val="003C7E31"/>
    <w:rsid w:val="003D00E4"/>
    <w:rsid w:val="003D19DA"/>
    <w:rsid w:val="003D28BD"/>
    <w:rsid w:val="003D5139"/>
    <w:rsid w:val="003D5FD9"/>
    <w:rsid w:val="003D6D1E"/>
    <w:rsid w:val="003E2FDF"/>
    <w:rsid w:val="003F0212"/>
    <w:rsid w:val="003F2406"/>
    <w:rsid w:val="003F491E"/>
    <w:rsid w:val="003F62A0"/>
    <w:rsid w:val="0040065C"/>
    <w:rsid w:val="00400CBA"/>
    <w:rsid w:val="0040276F"/>
    <w:rsid w:val="004033F4"/>
    <w:rsid w:val="00403B01"/>
    <w:rsid w:val="00404F0C"/>
    <w:rsid w:val="0041287E"/>
    <w:rsid w:val="0041299C"/>
    <w:rsid w:val="0041465A"/>
    <w:rsid w:val="00414C67"/>
    <w:rsid w:val="0041630D"/>
    <w:rsid w:val="00417A4E"/>
    <w:rsid w:val="00421216"/>
    <w:rsid w:val="0042168A"/>
    <w:rsid w:val="00421966"/>
    <w:rsid w:val="004225D1"/>
    <w:rsid w:val="00422F0E"/>
    <w:rsid w:val="0042487D"/>
    <w:rsid w:val="00424E79"/>
    <w:rsid w:val="004268AE"/>
    <w:rsid w:val="00430CD8"/>
    <w:rsid w:val="004325D0"/>
    <w:rsid w:val="00433B01"/>
    <w:rsid w:val="00433C5C"/>
    <w:rsid w:val="00433F24"/>
    <w:rsid w:val="004343F2"/>
    <w:rsid w:val="00434436"/>
    <w:rsid w:val="00434F8A"/>
    <w:rsid w:val="00435365"/>
    <w:rsid w:val="00436512"/>
    <w:rsid w:val="00436FB5"/>
    <w:rsid w:val="0044116C"/>
    <w:rsid w:val="00442FA4"/>
    <w:rsid w:val="0044406E"/>
    <w:rsid w:val="00444F16"/>
    <w:rsid w:val="0044519B"/>
    <w:rsid w:val="004465B8"/>
    <w:rsid w:val="00447160"/>
    <w:rsid w:val="004475DF"/>
    <w:rsid w:val="00447AB4"/>
    <w:rsid w:val="0045033A"/>
    <w:rsid w:val="004504DB"/>
    <w:rsid w:val="00451CFC"/>
    <w:rsid w:val="004527A8"/>
    <w:rsid w:val="00454850"/>
    <w:rsid w:val="004548A4"/>
    <w:rsid w:val="004557A4"/>
    <w:rsid w:val="00455B33"/>
    <w:rsid w:val="00460BA5"/>
    <w:rsid w:val="00461566"/>
    <w:rsid w:val="00461611"/>
    <w:rsid w:val="00462D64"/>
    <w:rsid w:val="004633A2"/>
    <w:rsid w:val="00464713"/>
    <w:rsid w:val="00464A4C"/>
    <w:rsid w:val="004671F7"/>
    <w:rsid w:val="00467211"/>
    <w:rsid w:val="004678CF"/>
    <w:rsid w:val="004714E5"/>
    <w:rsid w:val="00473644"/>
    <w:rsid w:val="00473D7C"/>
    <w:rsid w:val="00473F58"/>
    <w:rsid w:val="0047605F"/>
    <w:rsid w:val="0047675C"/>
    <w:rsid w:val="00481B3A"/>
    <w:rsid w:val="0048364E"/>
    <w:rsid w:val="00484538"/>
    <w:rsid w:val="004852ED"/>
    <w:rsid w:val="004877CE"/>
    <w:rsid w:val="00490150"/>
    <w:rsid w:val="00492777"/>
    <w:rsid w:val="00493151"/>
    <w:rsid w:val="004940CF"/>
    <w:rsid w:val="00494474"/>
    <w:rsid w:val="00494ED5"/>
    <w:rsid w:val="00495983"/>
    <w:rsid w:val="0049641D"/>
    <w:rsid w:val="0049694D"/>
    <w:rsid w:val="00496E42"/>
    <w:rsid w:val="00497201"/>
    <w:rsid w:val="004974B5"/>
    <w:rsid w:val="004977C2"/>
    <w:rsid w:val="00497ED9"/>
    <w:rsid w:val="004A050C"/>
    <w:rsid w:val="004A097F"/>
    <w:rsid w:val="004A0EAB"/>
    <w:rsid w:val="004A25EE"/>
    <w:rsid w:val="004A4A67"/>
    <w:rsid w:val="004B0F5C"/>
    <w:rsid w:val="004B25B3"/>
    <w:rsid w:val="004B2760"/>
    <w:rsid w:val="004B51A2"/>
    <w:rsid w:val="004B5575"/>
    <w:rsid w:val="004B6C4E"/>
    <w:rsid w:val="004B794E"/>
    <w:rsid w:val="004C0660"/>
    <w:rsid w:val="004C14FC"/>
    <w:rsid w:val="004C17D9"/>
    <w:rsid w:val="004C2A48"/>
    <w:rsid w:val="004C33D3"/>
    <w:rsid w:val="004C374A"/>
    <w:rsid w:val="004C46BF"/>
    <w:rsid w:val="004C4E94"/>
    <w:rsid w:val="004C7C37"/>
    <w:rsid w:val="004D2523"/>
    <w:rsid w:val="004D3FE0"/>
    <w:rsid w:val="004D45D4"/>
    <w:rsid w:val="004D5541"/>
    <w:rsid w:val="004D5F43"/>
    <w:rsid w:val="004E1DF3"/>
    <w:rsid w:val="004E2D62"/>
    <w:rsid w:val="004E3563"/>
    <w:rsid w:val="004E3B9A"/>
    <w:rsid w:val="004E494D"/>
    <w:rsid w:val="004E6116"/>
    <w:rsid w:val="004E6F1A"/>
    <w:rsid w:val="004E7ADF"/>
    <w:rsid w:val="004F08CA"/>
    <w:rsid w:val="004F219B"/>
    <w:rsid w:val="004F34CC"/>
    <w:rsid w:val="004F4B00"/>
    <w:rsid w:val="004F6026"/>
    <w:rsid w:val="004F651C"/>
    <w:rsid w:val="00501BAB"/>
    <w:rsid w:val="00502656"/>
    <w:rsid w:val="00502A16"/>
    <w:rsid w:val="00502A36"/>
    <w:rsid w:val="00502E96"/>
    <w:rsid w:val="00503A30"/>
    <w:rsid w:val="005041F6"/>
    <w:rsid w:val="00510B45"/>
    <w:rsid w:val="00512389"/>
    <w:rsid w:val="00514010"/>
    <w:rsid w:val="00515C10"/>
    <w:rsid w:val="00517030"/>
    <w:rsid w:val="005171B5"/>
    <w:rsid w:val="00517B85"/>
    <w:rsid w:val="00520B96"/>
    <w:rsid w:val="00521AB3"/>
    <w:rsid w:val="00521C6C"/>
    <w:rsid w:val="00522A69"/>
    <w:rsid w:val="00523628"/>
    <w:rsid w:val="00523AB0"/>
    <w:rsid w:val="0052520C"/>
    <w:rsid w:val="00530D1B"/>
    <w:rsid w:val="005313C0"/>
    <w:rsid w:val="0053593D"/>
    <w:rsid w:val="00535C52"/>
    <w:rsid w:val="00535FAC"/>
    <w:rsid w:val="005419F5"/>
    <w:rsid w:val="00541B2E"/>
    <w:rsid w:val="00542950"/>
    <w:rsid w:val="00544E3F"/>
    <w:rsid w:val="00545801"/>
    <w:rsid w:val="00546DBB"/>
    <w:rsid w:val="005475BC"/>
    <w:rsid w:val="00551058"/>
    <w:rsid w:val="0055213D"/>
    <w:rsid w:val="00553D46"/>
    <w:rsid w:val="0055490E"/>
    <w:rsid w:val="005561C3"/>
    <w:rsid w:val="005606E0"/>
    <w:rsid w:val="00560894"/>
    <w:rsid w:val="00563E25"/>
    <w:rsid w:val="00563F37"/>
    <w:rsid w:val="005662B7"/>
    <w:rsid w:val="0056772D"/>
    <w:rsid w:val="005769CD"/>
    <w:rsid w:val="00576D1E"/>
    <w:rsid w:val="00576FD6"/>
    <w:rsid w:val="00580EA0"/>
    <w:rsid w:val="005826AA"/>
    <w:rsid w:val="00584859"/>
    <w:rsid w:val="00585010"/>
    <w:rsid w:val="00587789"/>
    <w:rsid w:val="00587992"/>
    <w:rsid w:val="005924B8"/>
    <w:rsid w:val="0059450B"/>
    <w:rsid w:val="005960FD"/>
    <w:rsid w:val="005969D5"/>
    <w:rsid w:val="005A0B2B"/>
    <w:rsid w:val="005A1668"/>
    <w:rsid w:val="005A1D1C"/>
    <w:rsid w:val="005A3E71"/>
    <w:rsid w:val="005A55AC"/>
    <w:rsid w:val="005A590D"/>
    <w:rsid w:val="005A6508"/>
    <w:rsid w:val="005B100E"/>
    <w:rsid w:val="005B30F9"/>
    <w:rsid w:val="005B3931"/>
    <w:rsid w:val="005B4B6D"/>
    <w:rsid w:val="005B7A59"/>
    <w:rsid w:val="005C0B33"/>
    <w:rsid w:val="005C0BA8"/>
    <w:rsid w:val="005C15C2"/>
    <w:rsid w:val="005C303C"/>
    <w:rsid w:val="005C3A01"/>
    <w:rsid w:val="005C3ED7"/>
    <w:rsid w:val="005C4301"/>
    <w:rsid w:val="005C745E"/>
    <w:rsid w:val="005C7641"/>
    <w:rsid w:val="005C7C7D"/>
    <w:rsid w:val="005D18CE"/>
    <w:rsid w:val="005D2DA6"/>
    <w:rsid w:val="005D37C7"/>
    <w:rsid w:val="005D5D64"/>
    <w:rsid w:val="005D7ACF"/>
    <w:rsid w:val="005E0ECA"/>
    <w:rsid w:val="005E2420"/>
    <w:rsid w:val="005E3640"/>
    <w:rsid w:val="005E400E"/>
    <w:rsid w:val="005E6255"/>
    <w:rsid w:val="005E63FE"/>
    <w:rsid w:val="005E7A1F"/>
    <w:rsid w:val="005F039B"/>
    <w:rsid w:val="005F092D"/>
    <w:rsid w:val="005F21F2"/>
    <w:rsid w:val="005F77BC"/>
    <w:rsid w:val="00600306"/>
    <w:rsid w:val="006014D0"/>
    <w:rsid w:val="0060580B"/>
    <w:rsid w:val="0061156D"/>
    <w:rsid w:val="00614B6A"/>
    <w:rsid w:val="006175B2"/>
    <w:rsid w:val="006175C3"/>
    <w:rsid w:val="006222F6"/>
    <w:rsid w:val="00622554"/>
    <w:rsid w:val="006233B8"/>
    <w:rsid w:val="006246B8"/>
    <w:rsid w:val="00624752"/>
    <w:rsid w:val="0062606E"/>
    <w:rsid w:val="006272E8"/>
    <w:rsid w:val="006301E1"/>
    <w:rsid w:val="00631FFD"/>
    <w:rsid w:val="00632E17"/>
    <w:rsid w:val="006346C9"/>
    <w:rsid w:val="00635A99"/>
    <w:rsid w:val="006402D5"/>
    <w:rsid w:val="00640AA2"/>
    <w:rsid w:val="00640BA6"/>
    <w:rsid w:val="006420E1"/>
    <w:rsid w:val="0064353A"/>
    <w:rsid w:val="00645B44"/>
    <w:rsid w:val="00645B6C"/>
    <w:rsid w:val="00646E69"/>
    <w:rsid w:val="00647295"/>
    <w:rsid w:val="0065183A"/>
    <w:rsid w:val="0065201B"/>
    <w:rsid w:val="0065204D"/>
    <w:rsid w:val="00652384"/>
    <w:rsid w:val="006532DA"/>
    <w:rsid w:val="00654956"/>
    <w:rsid w:val="006553CF"/>
    <w:rsid w:val="0065595A"/>
    <w:rsid w:val="00655E95"/>
    <w:rsid w:val="00656359"/>
    <w:rsid w:val="00660864"/>
    <w:rsid w:val="00661A34"/>
    <w:rsid w:val="00662090"/>
    <w:rsid w:val="00662B0B"/>
    <w:rsid w:val="00662E10"/>
    <w:rsid w:val="00664B80"/>
    <w:rsid w:val="00665201"/>
    <w:rsid w:val="00665534"/>
    <w:rsid w:val="00665B2D"/>
    <w:rsid w:val="00667AFA"/>
    <w:rsid w:val="00671BDA"/>
    <w:rsid w:val="00673153"/>
    <w:rsid w:val="00673282"/>
    <w:rsid w:val="00676890"/>
    <w:rsid w:val="00676CA2"/>
    <w:rsid w:val="0067739A"/>
    <w:rsid w:val="006775DF"/>
    <w:rsid w:val="006800DF"/>
    <w:rsid w:val="00680605"/>
    <w:rsid w:val="00683296"/>
    <w:rsid w:val="00684411"/>
    <w:rsid w:val="0068582D"/>
    <w:rsid w:val="006868F5"/>
    <w:rsid w:val="0068717D"/>
    <w:rsid w:val="00691FD4"/>
    <w:rsid w:val="00695FF6"/>
    <w:rsid w:val="006A046A"/>
    <w:rsid w:val="006A04DC"/>
    <w:rsid w:val="006A0C4B"/>
    <w:rsid w:val="006A1F0B"/>
    <w:rsid w:val="006A42BE"/>
    <w:rsid w:val="006A48C8"/>
    <w:rsid w:val="006A4D37"/>
    <w:rsid w:val="006A50C1"/>
    <w:rsid w:val="006A7064"/>
    <w:rsid w:val="006B1B1F"/>
    <w:rsid w:val="006B2EF2"/>
    <w:rsid w:val="006B436F"/>
    <w:rsid w:val="006B499B"/>
    <w:rsid w:val="006B6251"/>
    <w:rsid w:val="006C208A"/>
    <w:rsid w:val="006C413A"/>
    <w:rsid w:val="006D09A9"/>
    <w:rsid w:val="006D138E"/>
    <w:rsid w:val="006D284B"/>
    <w:rsid w:val="006D37D5"/>
    <w:rsid w:val="006D5A19"/>
    <w:rsid w:val="006D641C"/>
    <w:rsid w:val="006D64ED"/>
    <w:rsid w:val="006D6999"/>
    <w:rsid w:val="006D69BF"/>
    <w:rsid w:val="006E15B8"/>
    <w:rsid w:val="006E1EFE"/>
    <w:rsid w:val="006E23F8"/>
    <w:rsid w:val="006E2614"/>
    <w:rsid w:val="006E30A8"/>
    <w:rsid w:val="006E3EE0"/>
    <w:rsid w:val="006E51B3"/>
    <w:rsid w:val="006E5825"/>
    <w:rsid w:val="006E66D0"/>
    <w:rsid w:val="006E6B0F"/>
    <w:rsid w:val="006F03EA"/>
    <w:rsid w:val="006F17C1"/>
    <w:rsid w:val="006F2324"/>
    <w:rsid w:val="006F26F7"/>
    <w:rsid w:val="006F385D"/>
    <w:rsid w:val="006F43E4"/>
    <w:rsid w:val="006F6C3C"/>
    <w:rsid w:val="007000C2"/>
    <w:rsid w:val="00700F4A"/>
    <w:rsid w:val="0070357D"/>
    <w:rsid w:val="0070462C"/>
    <w:rsid w:val="00706D0C"/>
    <w:rsid w:val="00707A47"/>
    <w:rsid w:val="007114CD"/>
    <w:rsid w:val="0071151E"/>
    <w:rsid w:val="00714791"/>
    <w:rsid w:val="007157EE"/>
    <w:rsid w:val="0071584F"/>
    <w:rsid w:val="00717E0A"/>
    <w:rsid w:val="00720648"/>
    <w:rsid w:val="00722B56"/>
    <w:rsid w:val="0072336F"/>
    <w:rsid w:val="007243CB"/>
    <w:rsid w:val="00724582"/>
    <w:rsid w:val="0072508E"/>
    <w:rsid w:val="00726A50"/>
    <w:rsid w:val="00726C66"/>
    <w:rsid w:val="007275BA"/>
    <w:rsid w:val="007328C0"/>
    <w:rsid w:val="00732B65"/>
    <w:rsid w:val="007406DE"/>
    <w:rsid w:val="00740AE2"/>
    <w:rsid w:val="0074108E"/>
    <w:rsid w:val="007410FC"/>
    <w:rsid w:val="00741440"/>
    <w:rsid w:val="00742994"/>
    <w:rsid w:val="00743C5D"/>
    <w:rsid w:val="00744718"/>
    <w:rsid w:val="0074565B"/>
    <w:rsid w:val="00745A63"/>
    <w:rsid w:val="00754AA4"/>
    <w:rsid w:val="00755FD2"/>
    <w:rsid w:val="007623CD"/>
    <w:rsid w:val="00762BD6"/>
    <w:rsid w:val="00763E2F"/>
    <w:rsid w:val="00764154"/>
    <w:rsid w:val="007657E7"/>
    <w:rsid w:val="0076690C"/>
    <w:rsid w:val="007669D6"/>
    <w:rsid w:val="00767B52"/>
    <w:rsid w:val="00771329"/>
    <w:rsid w:val="00772119"/>
    <w:rsid w:val="00774CEB"/>
    <w:rsid w:val="00776CC7"/>
    <w:rsid w:val="00777EFD"/>
    <w:rsid w:val="007805E4"/>
    <w:rsid w:val="007810F4"/>
    <w:rsid w:val="007817F9"/>
    <w:rsid w:val="0078235D"/>
    <w:rsid w:val="007905A8"/>
    <w:rsid w:val="00791028"/>
    <w:rsid w:val="007919D2"/>
    <w:rsid w:val="007A0C8D"/>
    <w:rsid w:val="007A3A69"/>
    <w:rsid w:val="007A46FF"/>
    <w:rsid w:val="007A48A6"/>
    <w:rsid w:val="007B0F7C"/>
    <w:rsid w:val="007B2AFA"/>
    <w:rsid w:val="007B4631"/>
    <w:rsid w:val="007B5D05"/>
    <w:rsid w:val="007B7159"/>
    <w:rsid w:val="007B7C93"/>
    <w:rsid w:val="007C0034"/>
    <w:rsid w:val="007C0280"/>
    <w:rsid w:val="007C1D4A"/>
    <w:rsid w:val="007C5E0A"/>
    <w:rsid w:val="007C6B20"/>
    <w:rsid w:val="007C6B29"/>
    <w:rsid w:val="007D1484"/>
    <w:rsid w:val="007D1821"/>
    <w:rsid w:val="007D4088"/>
    <w:rsid w:val="007D4616"/>
    <w:rsid w:val="007D478D"/>
    <w:rsid w:val="007D5213"/>
    <w:rsid w:val="007D6C08"/>
    <w:rsid w:val="007D719B"/>
    <w:rsid w:val="007D7A65"/>
    <w:rsid w:val="007E2BC9"/>
    <w:rsid w:val="007E3126"/>
    <w:rsid w:val="007E3CDD"/>
    <w:rsid w:val="007E3E1D"/>
    <w:rsid w:val="007E44D5"/>
    <w:rsid w:val="007E778C"/>
    <w:rsid w:val="007F083A"/>
    <w:rsid w:val="007F16E1"/>
    <w:rsid w:val="007F1BAF"/>
    <w:rsid w:val="007F323C"/>
    <w:rsid w:val="007F352C"/>
    <w:rsid w:val="007F356B"/>
    <w:rsid w:val="007F38A0"/>
    <w:rsid w:val="007F4250"/>
    <w:rsid w:val="007F5E48"/>
    <w:rsid w:val="007F7064"/>
    <w:rsid w:val="007F7694"/>
    <w:rsid w:val="007F7ECD"/>
    <w:rsid w:val="00800D3C"/>
    <w:rsid w:val="008010D0"/>
    <w:rsid w:val="00803193"/>
    <w:rsid w:val="00803B55"/>
    <w:rsid w:val="008049E8"/>
    <w:rsid w:val="00804B85"/>
    <w:rsid w:val="00805C78"/>
    <w:rsid w:val="008062DC"/>
    <w:rsid w:val="00810B31"/>
    <w:rsid w:val="00810D75"/>
    <w:rsid w:val="00812409"/>
    <w:rsid w:val="0081331D"/>
    <w:rsid w:val="0081358E"/>
    <w:rsid w:val="00813AA9"/>
    <w:rsid w:val="00814607"/>
    <w:rsid w:val="008164C5"/>
    <w:rsid w:val="0081707B"/>
    <w:rsid w:val="00817B3A"/>
    <w:rsid w:val="008208C4"/>
    <w:rsid w:val="00820A63"/>
    <w:rsid w:val="00821778"/>
    <w:rsid w:val="00824053"/>
    <w:rsid w:val="008254C0"/>
    <w:rsid w:val="0082729C"/>
    <w:rsid w:val="0082791D"/>
    <w:rsid w:val="00827B14"/>
    <w:rsid w:val="00832559"/>
    <w:rsid w:val="00834942"/>
    <w:rsid w:val="00834C73"/>
    <w:rsid w:val="008363F9"/>
    <w:rsid w:val="00840C36"/>
    <w:rsid w:val="00841125"/>
    <w:rsid w:val="0084235D"/>
    <w:rsid w:val="00842B0C"/>
    <w:rsid w:val="0084427C"/>
    <w:rsid w:val="008449E6"/>
    <w:rsid w:val="008468ED"/>
    <w:rsid w:val="00846A25"/>
    <w:rsid w:val="00846AF3"/>
    <w:rsid w:val="00846B3A"/>
    <w:rsid w:val="00851D72"/>
    <w:rsid w:val="00851DF8"/>
    <w:rsid w:val="0085279C"/>
    <w:rsid w:val="00854933"/>
    <w:rsid w:val="00855C4B"/>
    <w:rsid w:val="00856349"/>
    <w:rsid w:val="008564F9"/>
    <w:rsid w:val="00856537"/>
    <w:rsid w:val="00856EB0"/>
    <w:rsid w:val="0085762E"/>
    <w:rsid w:val="00860E57"/>
    <w:rsid w:val="00861EDC"/>
    <w:rsid w:val="00863776"/>
    <w:rsid w:val="00864173"/>
    <w:rsid w:val="00864360"/>
    <w:rsid w:val="00865051"/>
    <w:rsid w:val="0086537E"/>
    <w:rsid w:val="00874C95"/>
    <w:rsid w:val="00880E0F"/>
    <w:rsid w:val="0088105A"/>
    <w:rsid w:val="0088304C"/>
    <w:rsid w:val="0088378C"/>
    <w:rsid w:val="00884344"/>
    <w:rsid w:val="008859D4"/>
    <w:rsid w:val="008868CF"/>
    <w:rsid w:val="00890C22"/>
    <w:rsid w:val="00891920"/>
    <w:rsid w:val="00891F25"/>
    <w:rsid w:val="008923F9"/>
    <w:rsid w:val="00894045"/>
    <w:rsid w:val="00895F6B"/>
    <w:rsid w:val="008962C0"/>
    <w:rsid w:val="0089679F"/>
    <w:rsid w:val="0089761A"/>
    <w:rsid w:val="008A0715"/>
    <w:rsid w:val="008A0F94"/>
    <w:rsid w:val="008A18D1"/>
    <w:rsid w:val="008A49DB"/>
    <w:rsid w:val="008A5047"/>
    <w:rsid w:val="008A7867"/>
    <w:rsid w:val="008A7D99"/>
    <w:rsid w:val="008B1E0C"/>
    <w:rsid w:val="008B2ADA"/>
    <w:rsid w:val="008B2B2A"/>
    <w:rsid w:val="008B2B4F"/>
    <w:rsid w:val="008B2BF2"/>
    <w:rsid w:val="008B65D5"/>
    <w:rsid w:val="008B6F3B"/>
    <w:rsid w:val="008B7559"/>
    <w:rsid w:val="008B777E"/>
    <w:rsid w:val="008C0126"/>
    <w:rsid w:val="008C0895"/>
    <w:rsid w:val="008C18F8"/>
    <w:rsid w:val="008C1D88"/>
    <w:rsid w:val="008C268D"/>
    <w:rsid w:val="008C4B89"/>
    <w:rsid w:val="008D0F17"/>
    <w:rsid w:val="008D0F92"/>
    <w:rsid w:val="008D1296"/>
    <w:rsid w:val="008D1428"/>
    <w:rsid w:val="008D2A81"/>
    <w:rsid w:val="008D40AD"/>
    <w:rsid w:val="008D7D40"/>
    <w:rsid w:val="008E01D0"/>
    <w:rsid w:val="008E0846"/>
    <w:rsid w:val="008E257E"/>
    <w:rsid w:val="008E5395"/>
    <w:rsid w:val="008E6566"/>
    <w:rsid w:val="008E6D2D"/>
    <w:rsid w:val="008E7D1D"/>
    <w:rsid w:val="008F1086"/>
    <w:rsid w:val="008F1189"/>
    <w:rsid w:val="008F11EE"/>
    <w:rsid w:val="008F1E86"/>
    <w:rsid w:val="008F3B4E"/>
    <w:rsid w:val="008F4ECB"/>
    <w:rsid w:val="008F7E11"/>
    <w:rsid w:val="00900787"/>
    <w:rsid w:val="00900A1E"/>
    <w:rsid w:val="00901CED"/>
    <w:rsid w:val="0090230D"/>
    <w:rsid w:val="00902B0A"/>
    <w:rsid w:val="00902F18"/>
    <w:rsid w:val="009051B8"/>
    <w:rsid w:val="0091049C"/>
    <w:rsid w:val="00910D83"/>
    <w:rsid w:val="00912BE2"/>
    <w:rsid w:val="00914624"/>
    <w:rsid w:val="00914E7C"/>
    <w:rsid w:val="0091502A"/>
    <w:rsid w:val="00916D33"/>
    <w:rsid w:val="0091701B"/>
    <w:rsid w:val="009177D4"/>
    <w:rsid w:val="0091786E"/>
    <w:rsid w:val="00917B0F"/>
    <w:rsid w:val="00921CF0"/>
    <w:rsid w:val="00921EF3"/>
    <w:rsid w:val="00923BF6"/>
    <w:rsid w:val="00926168"/>
    <w:rsid w:val="00926A00"/>
    <w:rsid w:val="00930490"/>
    <w:rsid w:val="00930A07"/>
    <w:rsid w:val="00930FAE"/>
    <w:rsid w:val="00931B25"/>
    <w:rsid w:val="009322CA"/>
    <w:rsid w:val="009356E4"/>
    <w:rsid w:val="00937A9A"/>
    <w:rsid w:val="00937AC4"/>
    <w:rsid w:val="00937CEC"/>
    <w:rsid w:val="00937F52"/>
    <w:rsid w:val="00937FEE"/>
    <w:rsid w:val="00941138"/>
    <w:rsid w:val="00943563"/>
    <w:rsid w:val="0094547C"/>
    <w:rsid w:val="009456F6"/>
    <w:rsid w:val="00947FE2"/>
    <w:rsid w:val="009505CA"/>
    <w:rsid w:val="00953132"/>
    <w:rsid w:val="009549DB"/>
    <w:rsid w:val="00956566"/>
    <w:rsid w:val="009607B9"/>
    <w:rsid w:val="00960B19"/>
    <w:rsid w:val="00961639"/>
    <w:rsid w:val="00962DE6"/>
    <w:rsid w:val="009641E5"/>
    <w:rsid w:val="0096617D"/>
    <w:rsid w:val="00967303"/>
    <w:rsid w:val="00967375"/>
    <w:rsid w:val="00967586"/>
    <w:rsid w:val="00967599"/>
    <w:rsid w:val="00970677"/>
    <w:rsid w:val="009707AA"/>
    <w:rsid w:val="00972DD8"/>
    <w:rsid w:val="00972F58"/>
    <w:rsid w:val="00973AD2"/>
    <w:rsid w:val="00975324"/>
    <w:rsid w:val="009757B8"/>
    <w:rsid w:val="0097722F"/>
    <w:rsid w:val="009806E6"/>
    <w:rsid w:val="00981818"/>
    <w:rsid w:val="00982042"/>
    <w:rsid w:val="00983CF3"/>
    <w:rsid w:val="00984D23"/>
    <w:rsid w:val="00985EAC"/>
    <w:rsid w:val="00987875"/>
    <w:rsid w:val="00987D30"/>
    <w:rsid w:val="00987FCD"/>
    <w:rsid w:val="00991147"/>
    <w:rsid w:val="009947F3"/>
    <w:rsid w:val="00995EA7"/>
    <w:rsid w:val="0099708D"/>
    <w:rsid w:val="00997463"/>
    <w:rsid w:val="00997C35"/>
    <w:rsid w:val="009A0FAE"/>
    <w:rsid w:val="009A1531"/>
    <w:rsid w:val="009A26D0"/>
    <w:rsid w:val="009A2CBE"/>
    <w:rsid w:val="009A4536"/>
    <w:rsid w:val="009A5FA4"/>
    <w:rsid w:val="009B04FA"/>
    <w:rsid w:val="009B1700"/>
    <w:rsid w:val="009B5503"/>
    <w:rsid w:val="009B691C"/>
    <w:rsid w:val="009C33AE"/>
    <w:rsid w:val="009C6060"/>
    <w:rsid w:val="009C7DD5"/>
    <w:rsid w:val="009D084A"/>
    <w:rsid w:val="009D18C8"/>
    <w:rsid w:val="009D20E6"/>
    <w:rsid w:val="009D28B1"/>
    <w:rsid w:val="009D35F0"/>
    <w:rsid w:val="009D4865"/>
    <w:rsid w:val="009D4C48"/>
    <w:rsid w:val="009D502B"/>
    <w:rsid w:val="009D6E34"/>
    <w:rsid w:val="009D6F7A"/>
    <w:rsid w:val="009E018E"/>
    <w:rsid w:val="009E1F7B"/>
    <w:rsid w:val="009E2267"/>
    <w:rsid w:val="009E52ED"/>
    <w:rsid w:val="009F10C9"/>
    <w:rsid w:val="009F1173"/>
    <w:rsid w:val="009F46EE"/>
    <w:rsid w:val="009F5399"/>
    <w:rsid w:val="009F6E41"/>
    <w:rsid w:val="009F741A"/>
    <w:rsid w:val="00A01924"/>
    <w:rsid w:val="00A01B3D"/>
    <w:rsid w:val="00A01DC5"/>
    <w:rsid w:val="00A0374B"/>
    <w:rsid w:val="00A04D71"/>
    <w:rsid w:val="00A05641"/>
    <w:rsid w:val="00A06B19"/>
    <w:rsid w:val="00A1093F"/>
    <w:rsid w:val="00A11BE1"/>
    <w:rsid w:val="00A14A01"/>
    <w:rsid w:val="00A15478"/>
    <w:rsid w:val="00A17C7D"/>
    <w:rsid w:val="00A20837"/>
    <w:rsid w:val="00A20B18"/>
    <w:rsid w:val="00A2359B"/>
    <w:rsid w:val="00A238DE"/>
    <w:rsid w:val="00A23FB4"/>
    <w:rsid w:val="00A24D2A"/>
    <w:rsid w:val="00A274D0"/>
    <w:rsid w:val="00A27B61"/>
    <w:rsid w:val="00A3023B"/>
    <w:rsid w:val="00A30388"/>
    <w:rsid w:val="00A3344F"/>
    <w:rsid w:val="00A334E8"/>
    <w:rsid w:val="00A34964"/>
    <w:rsid w:val="00A34AAC"/>
    <w:rsid w:val="00A41A3A"/>
    <w:rsid w:val="00A41F64"/>
    <w:rsid w:val="00A426F1"/>
    <w:rsid w:val="00A42E47"/>
    <w:rsid w:val="00A43384"/>
    <w:rsid w:val="00A4621C"/>
    <w:rsid w:val="00A46397"/>
    <w:rsid w:val="00A47649"/>
    <w:rsid w:val="00A504EC"/>
    <w:rsid w:val="00A536F4"/>
    <w:rsid w:val="00A5376B"/>
    <w:rsid w:val="00A537B5"/>
    <w:rsid w:val="00A53D93"/>
    <w:rsid w:val="00A545AF"/>
    <w:rsid w:val="00A54D11"/>
    <w:rsid w:val="00A54D23"/>
    <w:rsid w:val="00A55F06"/>
    <w:rsid w:val="00A5768D"/>
    <w:rsid w:val="00A60460"/>
    <w:rsid w:val="00A6123F"/>
    <w:rsid w:val="00A624FA"/>
    <w:rsid w:val="00A63877"/>
    <w:rsid w:val="00A63BF3"/>
    <w:rsid w:val="00A642ED"/>
    <w:rsid w:val="00A6474C"/>
    <w:rsid w:val="00A664F6"/>
    <w:rsid w:val="00A6659C"/>
    <w:rsid w:val="00A72A02"/>
    <w:rsid w:val="00A74534"/>
    <w:rsid w:val="00A752A8"/>
    <w:rsid w:val="00A76D83"/>
    <w:rsid w:val="00A77115"/>
    <w:rsid w:val="00A779B7"/>
    <w:rsid w:val="00A77CA5"/>
    <w:rsid w:val="00A807CA"/>
    <w:rsid w:val="00A8355F"/>
    <w:rsid w:val="00A84C9C"/>
    <w:rsid w:val="00A85364"/>
    <w:rsid w:val="00A86C0D"/>
    <w:rsid w:val="00A87EDC"/>
    <w:rsid w:val="00A87FEF"/>
    <w:rsid w:val="00A90F98"/>
    <w:rsid w:val="00A93660"/>
    <w:rsid w:val="00A93D2D"/>
    <w:rsid w:val="00A943D5"/>
    <w:rsid w:val="00A96100"/>
    <w:rsid w:val="00A961DF"/>
    <w:rsid w:val="00AA06EC"/>
    <w:rsid w:val="00AA083E"/>
    <w:rsid w:val="00AA0925"/>
    <w:rsid w:val="00AA0CD5"/>
    <w:rsid w:val="00AA0D9F"/>
    <w:rsid w:val="00AA42AF"/>
    <w:rsid w:val="00AA5415"/>
    <w:rsid w:val="00AA58B2"/>
    <w:rsid w:val="00AB0658"/>
    <w:rsid w:val="00AB2A21"/>
    <w:rsid w:val="00AB428F"/>
    <w:rsid w:val="00AB4771"/>
    <w:rsid w:val="00AB5F4A"/>
    <w:rsid w:val="00AB6578"/>
    <w:rsid w:val="00AB68F3"/>
    <w:rsid w:val="00AB6C73"/>
    <w:rsid w:val="00AB6ED5"/>
    <w:rsid w:val="00AB7C3C"/>
    <w:rsid w:val="00AB7F31"/>
    <w:rsid w:val="00AC16F6"/>
    <w:rsid w:val="00AC23F7"/>
    <w:rsid w:val="00AC3512"/>
    <w:rsid w:val="00AC3F26"/>
    <w:rsid w:val="00AC418C"/>
    <w:rsid w:val="00AC4A7F"/>
    <w:rsid w:val="00AC4DAA"/>
    <w:rsid w:val="00AC4EA2"/>
    <w:rsid w:val="00AC6E15"/>
    <w:rsid w:val="00AD0D60"/>
    <w:rsid w:val="00AD0D70"/>
    <w:rsid w:val="00AD3FE4"/>
    <w:rsid w:val="00AD4596"/>
    <w:rsid w:val="00AD5AA6"/>
    <w:rsid w:val="00AD7AF9"/>
    <w:rsid w:val="00AE1466"/>
    <w:rsid w:val="00AE2551"/>
    <w:rsid w:val="00AE2BFD"/>
    <w:rsid w:val="00AE462E"/>
    <w:rsid w:val="00AE57BD"/>
    <w:rsid w:val="00AE6F3F"/>
    <w:rsid w:val="00AF209F"/>
    <w:rsid w:val="00AF2E22"/>
    <w:rsid w:val="00AF3316"/>
    <w:rsid w:val="00AF36AE"/>
    <w:rsid w:val="00AF5E7F"/>
    <w:rsid w:val="00AF737C"/>
    <w:rsid w:val="00B00EB8"/>
    <w:rsid w:val="00B0266C"/>
    <w:rsid w:val="00B04782"/>
    <w:rsid w:val="00B06E25"/>
    <w:rsid w:val="00B07900"/>
    <w:rsid w:val="00B07B64"/>
    <w:rsid w:val="00B10078"/>
    <w:rsid w:val="00B10186"/>
    <w:rsid w:val="00B1040A"/>
    <w:rsid w:val="00B104B9"/>
    <w:rsid w:val="00B130AB"/>
    <w:rsid w:val="00B17BF2"/>
    <w:rsid w:val="00B17ECA"/>
    <w:rsid w:val="00B22B44"/>
    <w:rsid w:val="00B2301D"/>
    <w:rsid w:val="00B306EF"/>
    <w:rsid w:val="00B30802"/>
    <w:rsid w:val="00B32191"/>
    <w:rsid w:val="00B322F1"/>
    <w:rsid w:val="00B3285B"/>
    <w:rsid w:val="00B33749"/>
    <w:rsid w:val="00B3393D"/>
    <w:rsid w:val="00B3587D"/>
    <w:rsid w:val="00B36E29"/>
    <w:rsid w:val="00B37F01"/>
    <w:rsid w:val="00B40D83"/>
    <w:rsid w:val="00B41BEF"/>
    <w:rsid w:val="00B41BF2"/>
    <w:rsid w:val="00B42707"/>
    <w:rsid w:val="00B441C2"/>
    <w:rsid w:val="00B447D9"/>
    <w:rsid w:val="00B46B1E"/>
    <w:rsid w:val="00B47E22"/>
    <w:rsid w:val="00B47F0C"/>
    <w:rsid w:val="00B50EE2"/>
    <w:rsid w:val="00B57E54"/>
    <w:rsid w:val="00B6049D"/>
    <w:rsid w:val="00B60FF4"/>
    <w:rsid w:val="00B61B2B"/>
    <w:rsid w:val="00B622A2"/>
    <w:rsid w:val="00B62631"/>
    <w:rsid w:val="00B632D9"/>
    <w:rsid w:val="00B63331"/>
    <w:rsid w:val="00B638CD"/>
    <w:rsid w:val="00B66B9C"/>
    <w:rsid w:val="00B66EC9"/>
    <w:rsid w:val="00B708DC"/>
    <w:rsid w:val="00B72729"/>
    <w:rsid w:val="00B72F58"/>
    <w:rsid w:val="00B7399C"/>
    <w:rsid w:val="00B73FB6"/>
    <w:rsid w:val="00B74374"/>
    <w:rsid w:val="00B75CC0"/>
    <w:rsid w:val="00B76C0E"/>
    <w:rsid w:val="00B81C1F"/>
    <w:rsid w:val="00B85C11"/>
    <w:rsid w:val="00B85C7D"/>
    <w:rsid w:val="00B85E3D"/>
    <w:rsid w:val="00B85F90"/>
    <w:rsid w:val="00B90999"/>
    <w:rsid w:val="00B90F3C"/>
    <w:rsid w:val="00B910F1"/>
    <w:rsid w:val="00B919AE"/>
    <w:rsid w:val="00B93ECC"/>
    <w:rsid w:val="00B9420B"/>
    <w:rsid w:val="00B94ECD"/>
    <w:rsid w:val="00B9666E"/>
    <w:rsid w:val="00B9687D"/>
    <w:rsid w:val="00B96A35"/>
    <w:rsid w:val="00BA087E"/>
    <w:rsid w:val="00BA3057"/>
    <w:rsid w:val="00BA345A"/>
    <w:rsid w:val="00BA5DFA"/>
    <w:rsid w:val="00BA63C7"/>
    <w:rsid w:val="00BA65F0"/>
    <w:rsid w:val="00BA7603"/>
    <w:rsid w:val="00BA7AB2"/>
    <w:rsid w:val="00BB03DA"/>
    <w:rsid w:val="00BB2247"/>
    <w:rsid w:val="00BB27C9"/>
    <w:rsid w:val="00BB4E0D"/>
    <w:rsid w:val="00BB5A09"/>
    <w:rsid w:val="00BB70C9"/>
    <w:rsid w:val="00BC1DF4"/>
    <w:rsid w:val="00BC2336"/>
    <w:rsid w:val="00BC2961"/>
    <w:rsid w:val="00BC35CB"/>
    <w:rsid w:val="00BC5BE1"/>
    <w:rsid w:val="00BC5C13"/>
    <w:rsid w:val="00BC5C81"/>
    <w:rsid w:val="00BC640E"/>
    <w:rsid w:val="00BC77F7"/>
    <w:rsid w:val="00BD020A"/>
    <w:rsid w:val="00BD085B"/>
    <w:rsid w:val="00BD0873"/>
    <w:rsid w:val="00BD2A97"/>
    <w:rsid w:val="00BD30FF"/>
    <w:rsid w:val="00BD325C"/>
    <w:rsid w:val="00BD4273"/>
    <w:rsid w:val="00BD4F05"/>
    <w:rsid w:val="00BD6107"/>
    <w:rsid w:val="00BD78F6"/>
    <w:rsid w:val="00BE06AB"/>
    <w:rsid w:val="00BE2657"/>
    <w:rsid w:val="00BE372C"/>
    <w:rsid w:val="00BE473C"/>
    <w:rsid w:val="00BE672E"/>
    <w:rsid w:val="00BE711D"/>
    <w:rsid w:val="00BF06D4"/>
    <w:rsid w:val="00BF0F19"/>
    <w:rsid w:val="00BF2342"/>
    <w:rsid w:val="00BF6DF7"/>
    <w:rsid w:val="00C02A76"/>
    <w:rsid w:val="00C068EB"/>
    <w:rsid w:val="00C0707E"/>
    <w:rsid w:val="00C11B2E"/>
    <w:rsid w:val="00C12B16"/>
    <w:rsid w:val="00C12C1E"/>
    <w:rsid w:val="00C12E35"/>
    <w:rsid w:val="00C140E5"/>
    <w:rsid w:val="00C209E4"/>
    <w:rsid w:val="00C21406"/>
    <w:rsid w:val="00C2348A"/>
    <w:rsid w:val="00C25015"/>
    <w:rsid w:val="00C25572"/>
    <w:rsid w:val="00C258FD"/>
    <w:rsid w:val="00C26852"/>
    <w:rsid w:val="00C30361"/>
    <w:rsid w:val="00C3224E"/>
    <w:rsid w:val="00C34BE2"/>
    <w:rsid w:val="00C353BD"/>
    <w:rsid w:val="00C3548D"/>
    <w:rsid w:val="00C36F95"/>
    <w:rsid w:val="00C3707C"/>
    <w:rsid w:val="00C37637"/>
    <w:rsid w:val="00C377D1"/>
    <w:rsid w:val="00C40648"/>
    <w:rsid w:val="00C40B1D"/>
    <w:rsid w:val="00C40B5B"/>
    <w:rsid w:val="00C426AB"/>
    <w:rsid w:val="00C44E61"/>
    <w:rsid w:val="00C4562E"/>
    <w:rsid w:val="00C45C0F"/>
    <w:rsid w:val="00C46733"/>
    <w:rsid w:val="00C46D9C"/>
    <w:rsid w:val="00C51D73"/>
    <w:rsid w:val="00C54B34"/>
    <w:rsid w:val="00C55820"/>
    <w:rsid w:val="00C5668C"/>
    <w:rsid w:val="00C57176"/>
    <w:rsid w:val="00C60F41"/>
    <w:rsid w:val="00C638A0"/>
    <w:rsid w:val="00C63B0F"/>
    <w:rsid w:val="00C65ED7"/>
    <w:rsid w:val="00C702FB"/>
    <w:rsid w:val="00C70B26"/>
    <w:rsid w:val="00C714E4"/>
    <w:rsid w:val="00C719A4"/>
    <w:rsid w:val="00C71C0B"/>
    <w:rsid w:val="00C73FB5"/>
    <w:rsid w:val="00C74555"/>
    <w:rsid w:val="00C74A3D"/>
    <w:rsid w:val="00C74BA8"/>
    <w:rsid w:val="00C75DD0"/>
    <w:rsid w:val="00C76B41"/>
    <w:rsid w:val="00C7709B"/>
    <w:rsid w:val="00C77FE4"/>
    <w:rsid w:val="00C80125"/>
    <w:rsid w:val="00C836EE"/>
    <w:rsid w:val="00C83903"/>
    <w:rsid w:val="00C83917"/>
    <w:rsid w:val="00C848E3"/>
    <w:rsid w:val="00C84DBD"/>
    <w:rsid w:val="00C902FA"/>
    <w:rsid w:val="00C9127B"/>
    <w:rsid w:val="00C92671"/>
    <w:rsid w:val="00C92C21"/>
    <w:rsid w:val="00C93A99"/>
    <w:rsid w:val="00C93D4C"/>
    <w:rsid w:val="00C9436D"/>
    <w:rsid w:val="00C96AC2"/>
    <w:rsid w:val="00CA111B"/>
    <w:rsid w:val="00CA49A2"/>
    <w:rsid w:val="00CB27DE"/>
    <w:rsid w:val="00CB3114"/>
    <w:rsid w:val="00CB4848"/>
    <w:rsid w:val="00CB6272"/>
    <w:rsid w:val="00CB7A36"/>
    <w:rsid w:val="00CC1730"/>
    <w:rsid w:val="00CC237C"/>
    <w:rsid w:val="00CC4F46"/>
    <w:rsid w:val="00CC5620"/>
    <w:rsid w:val="00CC7664"/>
    <w:rsid w:val="00CC7F3C"/>
    <w:rsid w:val="00CD1BC6"/>
    <w:rsid w:val="00CD4356"/>
    <w:rsid w:val="00CE0EEB"/>
    <w:rsid w:val="00CE1819"/>
    <w:rsid w:val="00CE3AF1"/>
    <w:rsid w:val="00CE6295"/>
    <w:rsid w:val="00CF09B0"/>
    <w:rsid w:val="00CF25F1"/>
    <w:rsid w:val="00CF4C2E"/>
    <w:rsid w:val="00CF56E7"/>
    <w:rsid w:val="00CF572C"/>
    <w:rsid w:val="00CF5C65"/>
    <w:rsid w:val="00CF744D"/>
    <w:rsid w:val="00CF7D97"/>
    <w:rsid w:val="00D010B9"/>
    <w:rsid w:val="00D024D6"/>
    <w:rsid w:val="00D03ABB"/>
    <w:rsid w:val="00D03B3E"/>
    <w:rsid w:val="00D03EC9"/>
    <w:rsid w:val="00D0444B"/>
    <w:rsid w:val="00D046E8"/>
    <w:rsid w:val="00D05630"/>
    <w:rsid w:val="00D05D1A"/>
    <w:rsid w:val="00D069DA"/>
    <w:rsid w:val="00D06A41"/>
    <w:rsid w:val="00D07D4C"/>
    <w:rsid w:val="00D1095E"/>
    <w:rsid w:val="00D113B9"/>
    <w:rsid w:val="00D11FE1"/>
    <w:rsid w:val="00D12520"/>
    <w:rsid w:val="00D13522"/>
    <w:rsid w:val="00D13DD9"/>
    <w:rsid w:val="00D14A44"/>
    <w:rsid w:val="00D153C5"/>
    <w:rsid w:val="00D1615D"/>
    <w:rsid w:val="00D200D1"/>
    <w:rsid w:val="00D2275A"/>
    <w:rsid w:val="00D22FF2"/>
    <w:rsid w:val="00D235F5"/>
    <w:rsid w:val="00D31C1D"/>
    <w:rsid w:val="00D32F0B"/>
    <w:rsid w:val="00D33712"/>
    <w:rsid w:val="00D34EE3"/>
    <w:rsid w:val="00D40DB4"/>
    <w:rsid w:val="00D4145C"/>
    <w:rsid w:val="00D43760"/>
    <w:rsid w:val="00D43CFA"/>
    <w:rsid w:val="00D43DF2"/>
    <w:rsid w:val="00D4576B"/>
    <w:rsid w:val="00D47ACC"/>
    <w:rsid w:val="00D50202"/>
    <w:rsid w:val="00D502A3"/>
    <w:rsid w:val="00D50606"/>
    <w:rsid w:val="00D5076F"/>
    <w:rsid w:val="00D50A8D"/>
    <w:rsid w:val="00D5113F"/>
    <w:rsid w:val="00D52BB6"/>
    <w:rsid w:val="00D544E7"/>
    <w:rsid w:val="00D54631"/>
    <w:rsid w:val="00D558BD"/>
    <w:rsid w:val="00D60996"/>
    <w:rsid w:val="00D61815"/>
    <w:rsid w:val="00D64061"/>
    <w:rsid w:val="00D65131"/>
    <w:rsid w:val="00D65E57"/>
    <w:rsid w:val="00D665DE"/>
    <w:rsid w:val="00D6672D"/>
    <w:rsid w:val="00D66A73"/>
    <w:rsid w:val="00D73372"/>
    <w:rsid w:val="00D74C4B"/>
    <w:rsid w:val="00D74DD5"/>
    <w:rsid w:val="00D75C76"/>
    <w:rsid w:val="00D808F4"/>
    <w:rsid w:val="00D815E5"/>
    <w:rsid w:val="00D82AF4"/>
    <w:rsid w:val="00D83A79"/>
    <w:rsid w:val="00D8501B"/>
    <w:rsid w:val="00D860C4"/>
    <w:rsid w:val="00D86DE6"/>
    <w:rsid w:val="00D875DD"/>
    <w:rsid w:val="00D876B9"/>
    <w:rsid w:val="00D901E0"/>
    <w:rsid w:val="00D911D0"/>
    <w:rsid w:val="00D9266D"/>
    <w:rsid w:val="00D9305A"/>
    <w:rsid w:val="00D9363E"/>
    <w:rsid w:val="00D94A71"/>
    <w:rsid w:val="00D9740E"/>
    <w:rsid w:val="00D97E19"/>
    <w:rsid w:val="00DA0FEC"/>
    <w:rsid w:val="00DA1148"/>
    <w:rsid w:val="00DA3A09"/>
    <w:rsid w:val="00DA5834"/>
    <w:rsid w:val="00DB0B67"/>
    <w:rsid w:val="00DB19C7"/>
    <w:rsid w:val="00DB1C2A"/>
    <w:rsid w:val="00DB21D0"/>
    <w:rsid w:val="00DB35D1"/>
    <w:rsid w:val="00DB3E72"/>
    <w:rsid w:val="00DB3ED9"/>
    <w:rsid w:val="00DC14E4"/>
    <w:rsid w:val="00DC16E6"/>
    <w:rsid w:val="00DC2605"/>
    <w:rsid w:val="00DC2FCC"/>
    <w:rsid w:val="00DC667A"/>
    <w:rsid w:val="00DC769F"/>
    <w:rsid w:val="00DD06C1"/>
    <w:rsid w:val="00DD10FA"/>
    <w:rsid w:val="00DD2BC5"/>
    <w:rsid w:val="00DD2C89"/>
    <w:rsid w:val="00DD2CA2"/>
    <w:rsid w:val="00DD415B"/>
    <w:rsid w:val="00DD475B"/>
    <w:rsid w:val="00DD4DA8"/>
    <w:rsid w:val="00DD6AE2"/>
    <w:rsid w:val="00DD70A4"/>
    <w:rsid w:val="00DD78E4"/>
    <w:rsid w:val="00DD7EC3"/>
    <w:rsid w:val="00DE03E4"/>
    <w:rsid w:val="00DE0778"/>
    <w:rsid w:val="00DE19CB"/>
    <w:rsid w:val="00DE1AC1"/>
    <w:rsid w:val="00DE28FA"/>
    <w:rsid w:val="00DE5203"/>
    <w:rsid w:val="00DE5AA8"/>
    <w:rsid w:val="00DE5F57"/>
    <w:rsid w:val="00DE605D"/>
    <w:rsid w:val="00DF03F8"/>
    <w:rsid w:val="00DF0817"/>
    <w:rsid w:val="00DF0DCD"/>
    <w:rsid w:val="00DF3835"/>
    <w:rsid w:val="00DF3889"/>
    <w:rsid w:val="00DF4341"/>
    <w:rsid w:val="00DF4FE3"/>
    <w:rsid w:val="00DF53EB"/>
    <w:rsid w:val="00DF62C3"/>
    <w:rsid w:val="00DF638B"/>
    <w:rsid w:val="00DF7B3E"/>
    <w:rsid w:val="00E029E6"/>
    <w:rsid w:val="00E04C26"/>
    <w:rsid w:val="00E10CFF"/>
    <w:rsid w:val="00E1150F"/>
    <w:rsid w:val="00E12150"/>
    <w:rsid w:val="00E14723"/>
    <w:rsid w:val="00E14F34"/>
    <w:rsid w:val="00E14F49"/>
    <w:rsid w:val="00E15711"/>
    <w:rsid w:val="00E15715"/>
    <w:rsid w:val="00E1571D"/>
    <w:rsid w:val="00E159E2"/>
    <w:rsid w:val="00E15F7A"/>
    <w:rsid w:val="00E17B9E"/>
    <w:rsid w:val="00E2012E"/>
    <w:rsid w:val="00E2064C"/>
    <w:rsid w:val="00E20F46"/>
    <w:rsid w:val="00E272EE"/>
    <w:rsid w:val="00E27586"/>
    <w:rsid w:val="00E31390"/>
    <w:rsid w:val="00E320A1"/>
    <w:rsid w:val="00E33C69"/>
    <w:rsid w:val="00E33E15"/>
    <w:rsid w:val="00E36C9A"/>
    <w:rsid w:val="00E4152D"/>
    <w:rsid w:val="00E41FE9"/>
    <w:rsid w:val="00E42262"/>
    <w:rsid w:val="00E428DA"/>
    <w:rsid w:val="00E4312E"/>
    <w:rsid w:val="00E43640"/>
    <w:rsid w:val="00E43CEF"/>
    <w:rsid w:val="00E44A15"/>
    <w:rsid w:val="00E459D8"/>
    <w:rsid w:val="00E45B36"/>
    <w:rsid w:val="00E47410"/>
    <w:rsid w:val="00E50120"/>
    <w:rsid w:val="00E510C2"/>
    <w:rsid w:val="00E51205"/>
    <w:rsid w:val="00E513FA"/>
    <w:rsid w:val="00E5414B"/>
    <w:rsid w:val="00E54826"/>
    <w:rsid w:val="00E54F6B"/>
    <w:rsid w:val="00E55508"/>
    <w:rsid w:val="00E56489"/>
    <w:rsid w:val="00E57F9E"/>
    <w:rsid w:val="00E63723"/>
    <w:rsid w:val="00E638F9"/>
    <w:rsid w:val="00E649A2"/>
    <w:rsid w:val="00E64F03"/>
    <w:rsid w:val="00E6509D"/>
    <w:rsid w:val="00E66179"/>
    <w:rsid w:val="00E669F2"/>
    <w:rsid w:val="00E731D1"/>
    <w:rsid w:val="00E73B56"/>
    <w:rsid w:val="00E74C92"/>
    <w:rsid w:val="00E76775"/>
    <w:rsid w:val="00E768A7"/>
    <w:rsid w:val="00E7732C"/>
    <w:rsid w:val="00E805E4"/>
    <w:rsid w:val="00E80F5B"/>
    <w:rsid w:val="00E814D0"/>
    <w:rsid w:val="00E824EA"/>
    <w:rsid w:val="00E82C9F"/>
    <w:rsid w:val="00E83DF4"/>
    <w:rsid w:val="00E847F5"/>
    <w:rsid w:val="00E85F44"/>
    <w:rsid w:val="00E902FA"/>
    <w:rsid w:val="00E91FCC"/>
    <w:rsid w:val="00E92276"/>
    <w:rsid w:val="00E9245E"/>
    <w:rsid w:val="00E92A4C"/>
    <w:rsid w:val="00E92B03"/>
    <w:rsid w:val="00E9487B"/>
    <w:rsid w:val="00E968AB"/>
    <w:rsid w:val="00E978EF"/>
    <w:rsid w:val="00EA1431"/>
    <w:rsid w:val="00EA42E5"/>
    <w:rsid w:val="00EA4534"/>
    <w:rsid w:val="00EA72B7"/>
    <w:rsid w:val="00EB2D57"/>
    <w:rsid w:val="00EB2D6E"/>
    <w:rsid w:val="00EB2F07"/>
    <w:rsid w:val="00EB2F44"/>
    <w:rsid w:val="00EB3EAD"/>
    <w:rsid w:val="00EB55D9"/>
    <w:rsid w:val="00EB58FA"/>
    <w:rsid w:val="00EB71F0"/>
    <w:rsid w:val="00EB74BD"/>
    <w:rsid w:val="00EC2D2A"/>
    <w:rsid w:val="00EC3D9F"/>
    <w:rsid w:val="00EC5180"/>
    <w:rsid w:val="00EC5313"/>
    <w:rsid w:val="00EC5D1B"/>
    <w:rsid w:val="00EC696C"/>
    <w:rsid w:val="00EC7592"/>
    <w:rsid w:val="00EC7986"/>
    <w:rsid w:val="00EC7BA5"/>
    <w:rsid w:val="00ED1184"/>
    <w:rsid w:val="00ED1498"/>
    <w:rsid w:val="00ED21FB"/>
    <w:rsid w:val="00ED2B69"/>
    <w:rsid w:val="00ED39CE"/>
    <w:rsid w:val="00ED3A59"/>
    <w:rsid w:val="00ED45C5"/>
    <w:rsid w:val="00ED5F0E"/>
    <w:rsid w:val="00ED6EEA"/>
    <w:rsid w:val="00ED7241"/>
    <w:rsid w:val="00ED7273"/>
    <w:rsid w:val="00EE04AB"/>
    <w:rsid w:val="00EE242C"/>
    <w:rsid w:val="00EE2A97"/>
    <w:rsid w:val="00EE36FD"/>
    <w:rsid w:val="00EE45FC"/>
    <w:rsid w:val="00EE56AE"/>
    <w:rsid w:val="00EF0ADC"/>
    <w:rsid w:val="00EF2137"/>
    <w:rsid w:val="00EF2B20"/>
    <w:rsid w:val="00EF587B"/>
    <w:rsid w:val="00F00843"/>
    <w:rsid w:val="00F00EB9"/>
    <w:rsid w:val="00F019A8"/>
    <w:rsid w:val="00F04FE0"/>
    <w:rsid w:val="00F05197"/>
    <w:rsid w:val="00F063A9"/>
    <w:rsid w:val="00F0717D"/>
    <w:rsid w:val="00F10875"/>
    <w:rsid w:val="00F11380"/>
    <w:rsid w:val="00F1269E"/>
    <w:rsid w:val="00F146E9"/>
    <w:rsid w:val="00F14F02"/>
    <w:rsid w:val="00F14F07"/>
    <w:rsid w:val="00F15A96"/>
    <w:rsid w:val="00F165A1"/>
    <w:rsid w:val="00F17853"/>
    <w:rsid w:val="00F17B77"/>
    <w:rsid w:val="00F21DC7"/>
    <w:rsid w:val="00F2476D"/>
    <w:rsid w:val="00F24CAB"/>
    <w:rsid w:val="00F2554D"/>
    <w:rsid w:val="00F25F6B"/>
    <w:rsid w:val="00F27ABA"/>
    <w:rsid w:val="00F30354"/>
    <w:rsid w:val="00F30605"/>
    <w:rsid w:val="00F315EE"/>
    <w:rsid w:val="00F33270"/>
    <w:rsid w:val="00F3433F"/>
    <w:rsid w:val="00F365DB"/>
    <w:rsid w:val="00F4158A"/>
    <w:rsid w:val="00F437CC"/>
    <w:rsid w:val="00F442EE"/>
    <w:rsid w:val="00F44550"/>
    <w:rsid w:val="00F44B29"/>
    <w:rsid w:val="00F45B7D"/>
    <w:rsid w:val="00F45DA9"/>
    <w:rsid w:val="00F47275"/>
    <w:rsid w:val="00F47C66"/>
    <w:rsid w:val="00F51108"/>
    <w:rsid w:val="00F530A0"/>
    <w:rsid w:val="00F5371A"/>
    <w:rsid w:val="00F545E4"/>
    <w:rsid w:val="00F54C87"/>
    <w:rsid w:val="00F56292"/>
    <w:rsid w:val="00F607DD"/>
    <w:rsid w:val="00F61218"/>
    <w:rsid w:val="00F62820"/>
    <w:rsid w:val="00F62E90"/>
    <w:rsid w:val="00F63D92"/>
    <w:rsid w:val="00F643C6"/>
    <w:rsid w:val="00F65097"/>
    <w:rsid w:val="00F66C8B"/>
    <w:rsid w:val="00F67395"/>
    <w:rsid w:val="00F6760C"/>
    <w:rsid w:val="00F67A73"/>
    <w:rsid w:val="00F70189"/>
    <w:rsid w:val="00F727FC"/>
    <w:rsid w:val="00F7292C"/>
    <w:rsid w:val="00F73BE8"/>
    <w:rsid w:val="00F74140"/>
    <w:rsid w:val="00F747A7"/>
    <w:rsid w:val="00F7492A"/>
    <w:rsid w:val="00F76612"/>
    <w:rsid w:val="00F91DF0"/>
    <w:rsid w:val="00F92802"/>
    <w:rsid w:val="00F94BB5"/>
    <w:rsid w:val="00F95E29"/>
    <w:rsid w:val="00FA0E1D"/>
    <w:rsid w:val="00FA1864"/>
    <w:rsid w:val="00FA2FF3"/>
    <w:rsid w:val="00FA3CD2"/>
    <w:rsid w:val="00FA5200"/>
    <w:rsid w:val="00FA678D"/>
    <w:rsid w:val="00FA77D6"/>
    <w:rsid w:val="00FB0974"/>
    <w:rsid w:val="00FB19C4"/>
    <w:rsid w:val="00FB1A70"/>
    <w:rsid w:val="00FB4000"/>
    <w:rsid w:val="00FB405E"/>
    <w:rsid w:val="00FB4D5D"/>
    <w:rsid w:val="00FB6DC2"/>
    <w:rsid w:val="00FB6FBC"/>
    <w:rsid w:val="00FB7BF6"/>
    <w:rsid w:val="00FC1D5D"/>
    <w:rsid w:val="00FC3FE2"/>
    <w:rsid w:val="00FC45DB"/>
    <w:rsid w:val="00FC4E6E"/>
    <w:rsid w:val="00FC510D"/>
    <w:rsid w:val="00FC5F1F"/>
    <w:rsid w:val="00FC6958"/>
    <w:rsid w:val="00FD1B14"/>
    <w:rsid w:val="00FD1D3E"/>
    <w:rsid w:val="00FD4367"/>
    <w:rsid w:val="00FD7E13"/>
    <w:rsid w:val="00FE422B"/>
    <w:rsid w:val="00FE7212"/>
    <w:rsid w:val="00FE7E95"/>
    <w:rsid w:val="00FE7F34"/>
    <w:rsid w:val="00FF22AD"/>
    <w:rsid w:val="00FF3D28"/>
    <w:rsid w:val="00FF52DD"/>
    <w:rsid w:val="00FF5B09"/>
    <w:rsid w:val="00FF5B51"/>
    <w:rsid w:val="00FF5F4C"/>
    <w:rsid w:val="00FF626F"/>
    <w:rsid w:val="00FF7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01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7B7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3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3BE8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7D408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D408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D408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D408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D4088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115E64"/>
    <w:rPr>
      <w:color w:val="0563C1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115E64"/>
    <w:pPr>
      <w:tabs>
        <w:tab w:val="center" w:pos="4819"/>
        <w:tab w:val="right" w:pos="9638"/>
      </w:tabs>
      <w:spacing w:after="0" w:line="240" w:lineRule="auto"/>
    </w:pPr>
    <w:rPr>
      <w:rFonts w:eastAsiaTheme="minorEastAsia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E64"/>
    <w:rPr>
      <w:rFonts w:eastAsiaTheme="minorEastAsia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03B3E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FA2F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2FF3"/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35C5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B2BF2"/>
    <w:rPr>
      <w:color w:val="954F72" w:themeColor="followedHyperlink"/>
      <w:u w:val="single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6D64ED"/>
    <w:rPr>
      <w:color w:val="605E5C"/>
      <w:shd w:val="clear" w:color="auto" w:fill="E1DFDD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6578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9746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97463"/>
    <w:rPr>
      <w:sz w:val="20"/>
      <w:szCs w:val="20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7B7159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F62E90"/>
    <w:rPr>
      <w:color w:val="605E5C"/>
      <w:shd w:val="clear" w:color="auto" w:fill="E1DFDD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1019D5"/>
    <w:pPr>
      <w:spacing w:after="0" w:line="240" w:lineRule="auto"/>
    </w:pPr>
    <w:rPr>
      <w:rFonts w:ascii="Calibri" w:hAnsi="Calibri"/>
      <w:color w:val="00457D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1019D5"/>
    <w:rPr>
      <w:rFonts w:ascii="Calibri" w:hAnsi="Calibri"/>
      <w:color w:val="00457D"/>
      <w:szCs w:val="21"/>
    </w:rPr>
  </w:style>
  <w:style w:type="paragraph" w:styleId="Revisione">
    <w:name w:val="Revision"/>
    <w:hidden/>
    <w:uiPriority w:val="99"/>
    <w:semiHidden/>
    <w:rsid w:val="001019D5"/>
    <w:pPr>
      <w:spacing w:after="0" w:line="240" w:lineRule="auto"/>
    </w:p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5D2DA6"/>
    <w:rPr>
      <w:color w:val="605E5C"/>
      <w:shd w:val="clear" w:color="auto" w:fill="E1DFDD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D05630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741440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563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91049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136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7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099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0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47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7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57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607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09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31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277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06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87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6866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6556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34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991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0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3671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161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661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649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342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9698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9960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816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504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058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4115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4221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6557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5057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0587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0601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985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103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686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0055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0704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0557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3814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5414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7064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415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761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3919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456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4594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0377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9894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312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6365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851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15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963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6918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145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5567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081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3759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7586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77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635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472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054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5499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7235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8351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9145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1453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166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444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9749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351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0284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964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2401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9874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0182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803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96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860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05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7786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1854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0488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8996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9658952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4202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single" w:sz="6" w:space="9" w:color="DFE1E5"/>
                <w:right w:val="none" w:sz="0" w:space="0" w:color="auto"/>
              </w:divBdr>
              <w:divsChild>
                <w:div w:id="150674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9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74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6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87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96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756049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804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20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3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6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mailto:ufficio.stampa@gimbe.o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oronavirus.gimbe.org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9656C-D02D-4D22-A17F-4A38AEA3C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Gili</dc:creator>
  <cp:lastModifiedBy>Luca Bellusci</cp:lastModifiedBy>
  <cp:revision>13</cp:revision>
  <cp:lastPrinted>2021-02-16T16:57:00Z</cp:lastPrinted>
  <dcterms:created xsi:type="dcterms:W3CDTF">2021-03-18T07:40:00Z</dcterms:created>
  <dcterms:modified xsi:type="dcterms:W3CDTF">2021-03-29T07:54:00Z</dcterms:modified>
</cp:coreProperties>
</file>