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637EFB" w:rsidRPr="00637EFB" w:rsidRDefault="0080704D" w:rsidP="00BF7AD5">
      <w:pPr>
        <w:spacing w:after="120"/>
        <w:jc w:val="center"/>
        <w:rPr>
          <w:b/>
          <w:sz w:val="34"/>
          <w:szCs w:val="34"/>
          <w:lang w:eastAsia="it-IT"/>
        </w:rPr>
      </w:pPr>
      <w:r>
        <w:rPr>
          <w:b/>
          <w:sz w:val="34"/>
          <w:szCs w:val="34"/>
          <w:lang w:eastAsia="it-IT"/>
        </w:rPr>
        <w:t xml:space="preserve">CORONAVIRUS: </w:t>
      </w:r>
      <w:r w:rsidR="00D51B40">
        <w:rPr>
          <w:b/>
          <w:sz w:val="34"/>
          <w:szCs w:val="34"/>
          <w:lang w:eastAsia="it-IT"/>
        </w:rPr>
        <w:t xml:space="preserve">AUMENTANO I CASI </w:t>
      </w:r>
      <w:r w:rsidR="00BF7AD5">
        <w:rPr>
          <w:b/>
          <w:sz w:val="34"/>
          <w:szCs w:val="34"/>
          <w:lang w:eastAsia="it-IT"/>
        </w:rPr>
        <w:t>N</w:t>
      </w:r>
      <w:r w:rsidR="00341741">
        <w:rPr>
          <w:b/>
          <w:sz w:val="34"/>
          <w:szCs w:val="34"/>
          <w:lang w:eastAsia="it-IT"/>
        </w:rPr>
        <w:t>E</w:t>
      </w:r>
      <w:r w:rsidR="00BF7AD5">
        <w:rPr>
          <w:b/>
          <w:sz w:val="34"/>
          <w:szCs w:val="34"/>
          <w:lang w:eastAsia="it-IT"/>
        </w:rPr>
        <w:t>LL’ULTIMA SETTIMANA</w:t>
      </w:r>
      <w:r w:rsidR="008F0A5C">
        <w:rPr>
          <w:b/>
          <w:sz w:val="34"/>
          <w:szCs w:val="34"/>
          <w:lang w:eastAsia="it-IT"/>
        </w:rPr>
        <w:t xml:space="preserve">. </w:t>
      </w:r>
      <w:r w:rsidR="00341741">
        <w:rPr>
          <w:b/>
          <w:sz w:val="34"/>
          <w:szCs w:val="34"/>
          <w:lang w:eastAsia="it-IT"/>
        </w:rPr>
        <w:t xml:space="preserve">RENDERE PUBBLICI </w:t>
      </w:r>
      <w:r w:rsidR="00BF7AD5">
        <w:rPr>
          <w:b/>
          <w:sz w:val="34"/>
          <w:szCs w:val="34"/>
          <w:lang w:eastAsia="it-IT"/>
        </w:rPr>
        <w:t xml:space="preserve">TUTTI I </w:t>
      </w:r>
      <w:r w:rsidR="005A3752">
        <w:rPr>
          <w:b/>
          <w:sz w:val="34"/>
          <w:szCs w:val="34"/>
          <w:lang w:eastAsia="it-IT"/>
        </w:rPr>
        <w:t>DA</w:t>
      </w:r>
      <w:bookmarkStart w:id="0" w:name="_GoBack"/>
      <w:bookmarkEnd w:id="0"/>
      <w:r w:rsidR="005A3752">
        <w:rPr>
          <w:b/>
          <w:sz w:val="34"/>
          <w:szCs w:val="34"/>
          <w:lang w:eastAsia="it-IT"/>
        </w:rPr>
        <w:t>TI</w:t>
      </w:r>
      <w:r w:rsidR="00BF7AD5">
        <w:rPr>
          <w:b/>
          <w:sz w:val="34"/>
          <w:szCs w:val="34"/>
          <w:lang w:eastAsia="it-IT"/>
        </w:rPr>
        <w:t xml:space="preserve"> </w:t>
      </w:r>
      <w:r w:rsidR="00914A26">
        <w:rPr>
          <w:b/>
          <w:sz w:val="34"/>
          <w:szCs w:val="34"/>
          <w:lang w:eastAsia="it-IT"/>
        </w:rPr>
        <w:t>PER COMPRENDERE IL FENOMENO</w:t>
      </w:r>
    </w:p>
    <w:p w:rsidR="00C64990" w:rsidRDefault="008D4DF1" w:rsidP="00A9490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NEGLI ULTIMI 7 GIORNI </w:t>
      </w:r>
      <w:r w:rsidR="0080704D">
        <w:rPr>
          <w:b/>
          <w:sz w:val="23"/>
          <w:szCs w:val="23"/>
          <w:lang w:eastAsia="it-IT"/>
        </w:rPr>
        <w:t xml:space="preserve">IL MONITORAGGIO INDIPENDENTE DELLA </w:t>
      </w:r>
      <w:r w:rsidR="00B74102">
        <w:rPr>
          <w:b/>
          <w:sz w:val="23"/>
          <w:szCs w:val="23"/>
          <w:lang w:eastAsia="it-IT"/>
        </w:rPr>
        <w:t xml:space="preserve">FONDAZIONE GIMBE </w:t>
      </w:r>
      <w:r w:rsidR="00341741">
        <w:rPr>
          <w:b/>
          <w:sz w:val="23"/>
          <w:szCs w:val="23"/>
          <w:lang w:eastAsia="it-IT"/>
        </w:rPr>
        <w:t>RILEVA</w:t>
      </w:r>
      <w:r w:rsidR="00D51B40" w:rsidRPr="00D51B40">
        <w:rPr>
          <w:b/>
          <w:sz w:val="23"/>
          <w:szCs w:val="23"/>
          <w:lang w:eastAsia="it-IT"/>
        </w:rPr>
        <w:t xml:space="preserve"> </w:t>
      </w:r>
      <w:r w:rsidR="00F6381A" w:rsidRPr="00F6381A">
        <w:rPr>
          <w:b/>
          <w:sz w:val="23"/>
          <w:szCs w:val="23"/>
          <w:lang w:eastAsia="it-IT"/>
        </w:rPr>
        <w:t>UN INCREMENTO DI 2.294 NUOVI CASI, RISPETTO AI 1.927 DELLA SETTIMANA PRECEDENTE</w:t>
      </w:r>
      <w:r w:rsidR="00F6381A">
        <w:rPr>
          <w:b/>
          <w:sz w:val="23"/>
          <w:szCs w:val="23"/>
          <w:lang w:eastAsia="it-IT"/>
        </w:rPr>
        <w:t xml:space="preserve">. </w:t>
      </w:r>
      <w:r w:rsidR="00852CA1">
        <w:rPr>
          <w:b/>
          <w:sz w:val="23"/>
          <w:szCs w:val="23"/>
          <w:lang w:eastAsia="it-IT"/>
        </w:rPr>
        <w:t xml:space="preserve">I </w:t>
      </w:r>
      <w:r w:rsidR="00602DF1">
        <w:rPr>
          <w:b/>
          <w:sz w:val="23"/>
          <w:szCs w:val="23"/>
          <w:lang w:eastAsia="it-IT"/>
        </w:rPr>
        <w:t xml:space="preserve">461 NUOVI CASI </w:t>
      </w:r>
      <w:r w:rsidR="00852CA1">
        <w:rPr>
          <w:b/>
          <w:sz w:val="23"/>
          <w:szCs w:val="23"/>
          <w:lang w:eastAsia="it-IT"/>
        </w:rPr>
        <w:t xml:space="preserve">SONO RIPORTATI </w:t>
      </w:r>
      <w:r w:rsidR="00D51B40">
        <w:rPr>
          <w:b/>
          <w:sz w:val="23"/>
          <w:szCs w:val="23"/>
          <w:lang w:eastAsia="it-IT"/>
        </w:rPr>
        <w:t>IN 11 REGIONI</w:t>
      </w:r>
      <w:r w:rsidR="00F8554D">
        <w:rPr>
          <w:b/>
          <w:sz w:val="23"/>
          <w:szCs w:val="23"/>
          <w:lang w:eastAsia="it-IT"/>
        </w:rPr>
        <w:t xml:space="preserve">, DI CUI </w:t>
      </w:r>
      <w:r w:rsidR="00AA2F2F">
        <w:rPr>
          <w:b/>
          <w:sz w:val="23"/>
          <w:szCs w:val="23"/>
          <w:lang w:eastAsia="it-IT"/>
        </w:rPr>
        <w:t>L’</w:t>
      </w:r>
      <w:r w:rsidR="00341741">
        <w:rPr>
          <w:b/>
          <w:sz w:val="23"/>
          <w:szCs w:val="23"/>
          <w:lang w:eastAsia="it-IT"/>
        </w:rPr>
        <w:t>83% IN LOMBARDIA</w:t>
      </w:r>
      <w:r w:rsidR="000A5D42">
        <w:rPr>
          <w:b/>
          <w:sz w:val="23"/>
          <w:szCs w:val="23"/>
          <w:lang w:eastAsia="it-IT"/>
        </w:rPr>
        <w:t>, DOVE SI ATTESTA UN MODESTO POTENZIAMENTO DEL</w:t>
      </w:r>
      <w:r w:rsidR="00F8554D">
        <w:rPr>
          <w:b/>
          <w:sz w:val="23"/>
          <w:szCs w:val="23"/>
          <w:lang w:eastAsia="it-IT"/>
        </w:rPr>
        <w:t>L’ATTIVITÀ DI TESTING</w:t>
      </w:r>
      <w:r w:rsidR="008F675F">
        <w:rPr>
          <w:b/>
          <w:sz w:val="23"/>
          <w:szCs w:val="23"/>
          <w:lang w:eastAsia="it-IT"/>
        </w:rPr>
        <w:t>.</w:t>
      </w:r>
      <w:r w:rsidR="00602DF1">
        <w:rPr>
          <w:b/>
          <w:sz w:val="23"/>
          <w:szCs w:val="23"/>
          <w:lang w:eastAsia="it-IT"/>
        </w:rPr>
        <w:t xml:space="preserve"> </w:t>
      </w:r>
      <w:r w:rsidR="00BE4CBF">
        <w:rPr>
          <w:b/>
          <w:sz w:val="23"/>
          <w:szCs w:val="23"/>
          <w:lang w:eastAsia="it-IT"/>
        </w:rPr>
        <w:t xml:space="preserve">LA FONDAZIONE GIMBE RILEVA ALTRESÌ CHE </w:t>
      </w:r>
      <w:r w:rsidR="00AA2F2F">
        <w:rPr>
          <w:b/>
          <w:sz w:val="23"/>
          <w:szCs w:val="23"/>
          <w:lang w:eastAsia="it-IT"/>
        </w:rPr>
        <w:t>DE</w:t>
      </w:r>
      <w:r w:rsidR="00BF7AD5">
        <w:rPr>
          <w:b/>
          <w:sz w:val="23"/>
          <w:szCs w:val="23"/>
          <w:lang w:eastAsia="it-IT"/>
        </w:rPr>
        <w:t xml:space="preserve">I </w:t>
      </w:r>
      <w:r w:rsidR="00341741">
        <w:rPr>
          <w:b/>
          <w:sz w:val="23"/>
          <w:szCs w:val="23"/>
          <w:lang w:eastAsia="it-IT"/>
        </w:rPr>
        <w:t xml:space="preserve">21 </w:t>
      </w:r>
      <w:r w:rsidR="00BE4CBF">
        <w:rPr>
          <w:b/>
          <w:sz w:val="23"/>
          <w:szCs w:val="23"/>
          <w:lang w:eastAsia="it-IT"/>
        </w:rPr>
        <w:t xml:space="preserve">INDICATORI DEFINITI DAL DECRETO </w:t>
      </w:r>
      <w:r w:rsidR="004374D6">
        <w:rPr>
          <w:b/>
          <w:sz w:val="23"/>
          <w:szCs w:val="23"/>
          <w:lang w:eastAsia="it-IT"/>
        </w:rPr>
        <w:t xml:space="preserve">DEL MINISTERO DELLA SALUTE DEL </w:t>
      </w:r>
      <w:r w:rsidR="00BE4CBF">
        <w:rPr>
          <w:b/>
          <w:sz w:val="23"/>
          <w:szCs w:val="23"/>
          <w:lang w:eastAsia="it-IT"/>
        </w:rPr>
        <w:t xml:space="preserve">30 APRILE 2020 </w:t>
      </w:r>
      <w:r>
        <w:rPr>
          <w:b/>
          <w:sz w:val="23"/>
          <w:szCs w:val="23"/>
          <w:lang w:eastAsia="it-IT"/>
        </w:rPr>
        <w:t>PER IL MONITORAGGIO DELL’EPIDEMIA</w:t>
      </w:r>
      <w:r w:rsidR="00341741">
        <w:rPr>
          <w:b/>
          <w:sz w:val="23"/>
          <w:szCs w:val="23"/>
          <w:lang w:eastAsia="it-IT"/>
        </w:rPr>
        <w:t xml:space="preserve"> </w:t>
      </w:r>
      <w:r w:rsidR="00914A26">
        <w:rPr>
          <w:b/>
          <w:sz w:val="23"/>
          <w:szCs w:val="23"/>
          <w:lang w:eastAsia="it-IT"/>
        </w:rPr>
        <w:t>S</w:t>
      </w:r>
      <w:r w:rsidR="000A5D42">
        <w:rPr>
          <w:b/>
          <w:sz w:val="23"/>
          <w:szCs w:val="23"/>
          <w:lang w:eastAsia="it-IT"/>
        </w:rPr>
        <w:t xml:space="preserve">ONO NOTI </w:t>
      </w:r>
      <w:r w:rsidR="00BE4CBF">
        <w:rPr>
          <w:b/>
          <w:sz w:val="23"/>
          <w:szCs w:val="23"/>
          <w:lang w:eastAsia="it-IT"/>
        </w:rPr>
        <w:t xml:space="preserve">SOLO 3 DEI 9 </w:t>
      </w:r>
      <w:r w:rsidR="00341741">
        <w:rPr>
          <w:b/>
          <w:sz w:val="23"/>
          <w:szCs w:val="23"/>
          <w:lang w:eastAsia="it-IT"/>
        </w:rPr>
        <w:t xml:space="preserve">INDICATORI </w:t>
      </w:r>
      <w:r w:rsidR="00BE4CBF">
        <w:rPr>
          <w:b/>
          <w:sz w:val="23"/>
          <w:szCs w:val="23"/>
          <w:lang w:eastAsia="it-IT"/>
        </w:rPr>
        <w:t>DI ESITO</w:t>
      </w:r>
      <w:r w:rsidR="00914A26">
        <w:rPr>
          <w:b/>
          <w:sz w:val="23"/>
          <w:szCs w:val="23"/>
          <w:lang w:eastAsia="it-IT"/>
        </w:rPr>
        <w:t xml:space="preserve"> E NESSUNO DEI 12 INDICATORI DI PROCESSO</w:t>
      </w:r>
      <w:r w:rsidR="00BE4CBF">
        <w:rPr>
          <w:b/>
          <w:sz w:val="23"/>
          <w:szCs w:val="23"/>
          <w:lang w:eastAsia="it-IT"/>
        </w:rPr>
        <w:t xml:space="preserve">. </w:t>
      </w:r>
    </w:p>
    <w:p w:rsidR="00B443D8" w:rsidRDefault="001767BB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giugno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1238A" w:rsidRDefault="00FF53EC" w:rsidP="00FF53EC">
      <w:pPr>
        <w:spacing w:after="120"/>
        <w:jc w:val="both"/>
        <w:rPr>
          <w:lang w:eastAsia="it-IT"/>
        </w:rPr>
      </w:pPr>
      <w:r w:rsidRPr="00E51040">
        <w:t>«</w:t>
      </w:r>
      <w:r w:rsidR="004A7DB9">
        <w:t xml:space="preserve">Nella settimana </w:t>
      </w:r>
      <w:r w:rsidR="006E488E">
        <w:t>11-17</w:t>
      </w:r>
      <w:r w:rsidR="004A7DB9">
        <w:t xml:space="preserve"> giugno</w:t>
      </w:r>
      <w:r w:rsidR="004A7DB9">
        <w:rPr>
          <w:lang w:eastAsia="it-IT"/>
        </w:rPr>
        <w:t xml:space="preserve"> </w:t>
      </w:r>
      <w:r w:rsidR="004A7DB9">
        <w:t xml:space="preserve">il </w:t>
      </w:r>
      <w:r w:rsidR="00AB35BB">
        <w:t xml:space="preserve">monitoraggio indipendente della Fondazione GIMBE </w:t>
      </w:r>
      <w:r w:rsidRPr="00A24080">
        <w:rPr>
          <w:lang w:eastAsia="it-IT"/>
        </w:rPr>
        <w:t>–</w:t>
      </w:r>
      <w:r>
        <w:t xml:space="preserve"> </w:t>
      </w:r>
      <w:r>
        <w:rPr>
          <w:lang w:eastAsia="it-IT"/>
        </w:rPr>
        <w:t xml:space="preserve">afferma </w:t>
      </w:r>
      <w:r w:rsidR="00AB35BB">
        <w:rPr>
          <w:lang w:eastAsia="it-IT"/>
        </w:rPr>
        <w:t xml:space="preserve">il Presidente </w:t>
      </w:r>
      <w:r>
        <w:rPr>
          <w:lang w:eastAsia="it-IT"/>
        </w:rPr>
        <w:t>Nino Cartabellotta</w:t>
      </w:r>
      <w:r w:rsidR="00AB35BB">
        <w:rPr>
          <w:lang w:eastAsia="it-IT"/>
        </w:rPr>
        <w:t xml:space="preserve">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</w:t>
      </w:r>
      <w:r w:rsidR="00AB35BB">
        <w:rPr>
          <w:lang w:eastAsia="it-IT"/>
        </w:rPr>
        <w:t xml:space="preserve">conferma </w:t>
      </w:r>
      <w:r w:rsidR="0013167A">
        <w:rPr>
          <w:lang w:eastAsia="it-IT"/>
        </w:rPr>
        <w:t xml:space="preserve">rispetto alla settimana precedente </w:t>
      </w:r>
      <w:r>
        <w:rPr>
          <w:lang w:eastAsia="it-IT"/>
        </w:rPr>
        <w:t xml:space="preserve">la </w:t>
      </w:r>
      <w:r w:rsidR="00A5468C">
        <w:rPr>
          <w:lang w:eastAsia="it-IT"/>
        </w:rPr>
        <w:t xml:space="preserve">costante </w:t>
      </w:r>
      <w:r w:rsidR="0013167A">
        <w:rPr>
          <w:lang w:eastAsia="it-IT"/>
        </w:rPr>
        <w:t>riduzione dei pazienti ricoverati</w:t>
      </w:r>
      <w:r w:rsidR="00ED248D">
        <w:rPr>
          <w:lang w:eastAsia="it-IT"/>
        </w:rPr>
        <w:t xml:space="preserve"> </w:t>
      </w:r>
      <w:r w:rsidR="0013167A">
        <w:rPr>
          <w:lang w:eastAsia="it-IT"/>
        </w:rPr>
        <w:t>con sintomi e in t</w:t>
      </w:r>
      <w:r w:rsidR="00A5468C">
        <w:rPr>
          <w:lang w:eastAsia="it-IT"/>
        </w:rPr>
        <w:t xml:space="preserve">erapia intensiva e </w:t>
      </w:r>
      <w:r w:rsidR="0013167A">
        <w:rPr>
          <w:lang w:eastAsia="it-IT"/>
        </w:rPr>
        <w:t>l’</w:t>
      </w:r>
      <w:r w:rsidR="00AB3446">
        <w:rPr>
          <w:lang w:eastAsia="it-IT"/>
        </w:rPr>
        <w:t xml:space="preserve">ulteriore </w:t>
      </w:r>
      <w:r w:rsidR="0095608C">
        <w:rPr>
          <w:lang w:eastAsia="it-IT"/>
        </w:rPr>
        <w:t xml:space="preserve">rallentamento </w:t>
      </w:r>
      <w:r w:rsidR="00717187">
        <w:rPr>
          <w:lang w:eastAsia="it-IT"/>
        </w:rPr>
        <w:t xml:space="preserve">sul fronte </w:t>
      </w:r>
      <w:r w:rsidR="0095608C">
        <w:rPr>
          <w:lang w:eastAsia="it-IT"/>
        </w:rPr>
        <w:t xml:space="preserve">dei </w:t>
      </w:r>
      <w:r>
        <w:rPr>
          <w:lang w:eastAsia="it-IT"/>
        </w:rPr>
        <w:t>decessi</w:t>
      </w:r>
      <w:r w:rsidR="0013167A">
        <w:rPr>
          <w:lang w:eastAsia="it-IT"/>
        </w:rPr>
        <w:t xml:space="preserve">. </w:t>
      </w:r>
      <w:r w:rsidR="00717187">
        <w:rPr>
          <w:lang w:eastAsia="it-IT"/>
        </w:rPr>
        <w:t xml:space="preserve">Relativamente ai </w:t>
      </w:r>
      <w:r w:rsidR="0013167A">
        <w:rPr>
          <w:lang w:eastAsia="it-IT"/>
        </w:rPr>
        <w:t>casi totali</w:t>
      </w:r>
      <w:r w:rsidR="00FF6B22">
        <w:rPr>
          <w:lang w:eastAsia="it-IT"/>
        </w:rPr>
        <w:t xml:space="preserve">, </w:t>
      </w:r>
      <w:r w:rsidR="0013167A">
        <w:rPr>
          <w:lang w:eastAsia="it-IT"/>
        </w:rPr>
        <w:t xml:space="preserve">si </w:t>
      </w:r>
      <w:r w:rsidR="00FF6B22">
        <w:rPr>
          <w:lang w:eastAsia="it-IT"/>
        </w:rPr>
        <w:t>rileva</w:t>
      </w:r>
      <w:r w:rsidR="00644B51">
        <w:rPr>
          <w:lang w:eastAsia="it-IT"/>
        </w:rPr>
        <w:t xml:space="preserve"> </w:t>
      </w:r>
      <w:r w:rsidR="0013167A">
        <w:rPr>
          <w:lang w:eastAsia="it-IT"/>
        </w:rPr>
        <w:t xml:space="preserve">un lieve </w:t>
      </w:r>
      <w:r w:rsidR="00341741">
        <w:rPr>
          <w:lang w:eastAsia="it-IT"/>
        </w:rPr>
        <w:t>incremento percentuale rispetto alla settimana precedente</w:t>
      </w:r>
      <w:r w:rsidRPr="00A24080">
        <w:rPr>
          <w:rFonts w:cstheme="minorHAnsi"/>
        </w:rPr>
        <w:t>»</w:t>
      </w:r>
      <w:r>
        <w:rPr>
          <w:lang w:eastAsia="it-IT"/>
        </w:rPr>
        <w:t>. In sintesi:</w:t>
      </w:r>
    </w:p>
    <w:p w:rsidR="00F1238A" w:rsidRDefault="00F1238A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>
        <w:t>Casi totali: +2.065 (+0,9%)</w:t>
      </w:r>
    </w:p>
    <w:p w:rsidR="00F1238A" w:rsidRDefault="00F1238A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>
        <w:t>Decessi: + 334 (+1,0%)</w:t>
      </w:r>
    </w:p>
    <w:p w:rsidR="00F1238A" w:rsidRDefault="00F1238A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>
        <w:t>Ricoverati con sintomi: -1.207 (-27,9%)</w:t>
      </w:r>
    </w:p>
    <w:p w:rsidR="00F1238A" w:rsidRDefault="00F1238A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>
        <w:t>Terapia intensiva -86 (-34,5%)</w:t>
      </w:r>
    </w:p>
    <w:p w:rsidR="00FF6B22" w:rsidRDefault="00FF6B22" w:rsidP="00FF6B22">
      <w:pPr>
        <w:pStyle w:val="Paragrafoelenco"/>
        <w:spacing w:line="276" w:lineRule="auto"/>
        <w:ind w:left="360"/>
        <w:jc w:val="both"/>
      </w:pPr>
    </w:p>
    <w:p w:rsidR="00914A26" w:rsidRDefault="00FF6B22" w:rsidP="00FF6B22">
      <w:pPr>
        <w:jc w:val="both"/>
      </w:pPr>
      <w:r w:rsidRPr="00145AFE">
        <w:t>«</w:t>
      </w:r>
      <w:r>
        <w:t xml:space="preserve">Considerato </w:t>
      </w:r>
      <w:r w:rsidR="00914A26">
        <w:t xml:space="preserve">il maggior </w:t>
      </w:r>
      <w:r>
        <w:t xml:space="preserve">incremento dei casi </w:t>
      </w:r>
      <w:r w:rsidR="00914A26">
        <w:t xml:space="preserve">totali </w:t>
      </w:r>
      <w:r>
        <w:t>negli ultimi 7 giorni</w:t>
      </w:r>
      <w:r w:rsidR="00914A26">
        <w:t xml:space="preserve"> rispetto alla settimana precedente</w:t>
      </w:r>
      <w:r>
        <w:t xml:space="preserve"> </w:t>
      </w:r>
      <w:r w:rsidRPr="00145AFE">
        <w:t xml:space="preserve">– </w:t>
      </w:r>
      <w:r>
        <w:t>spiega</w:t>
      </w:r>
      <w:r w:rsidRPr="00145AFE">
        <w:t xml:space="preserve"> Cartabellotta –</w:t>
      </w:r>
      <w:r>
        <w:t xml:space="preserve"> </w:t>
      </w:r>
      <w:r w:rsidR="00B01F54">
        <w:t xml:space="preserve">la nostra </w:t>
      </w:r>
      <w:r w:rsidR="00341741">
        <w:t>analisi</w:t>
      </w:r>
      <w:r w:rsidR="00B01F54">
        <w:t xml:space="preserve"> si è concentrata su due aspetti: </w:t>
      </w:r>
      <w:r w:rsidR="00493007">
        <w:t xml:space="preserve">la </w:t>
      </w:r>
      <w:r w:rsidR="00B01F54">
        <w:t xml:space="preserve">variazione </w:t>
      </w:r>
      <w:r w:rsidR="000D64BB">
        <w:t xml:space="preserve">regionale </w:t>
      </w:r>
      <w:r w:rsidR="00B01F54">
        <w:t xml:space="preserve">dei nuovi casi e </w:t>
      </w:r>
      <w:r w:rsidR="00584F34">
        <w:t xml:space="preserve">dei </w:t>
      </w:r>
      <w:r>
        <w:t>tamponi diagnostici</w:t>
      </w:r>
      <w:r w:rsidR="008D4DF1">
        <w:t>, ovvero i</w:t>
      </w:r>
      <w:r w:rsidR="000D64BB">
        <w:t xml:space="preserve"> cosiddetti “casi testati” secondo la denominazione utilizzata dalla Protezione Civile</w:t>
      </w:r>
      <w:r w:rsidRPr="00145AFE">
        <w:t>».</w:t>
      </w:r>
    </w:p>
    <w:p w:rsidR="00493007" w:rsidRDefault="007B2D95" w:rsidP="003925EF">
      <w:pPr>
        <w:jc w:val="both"/>
      </w:pPr>
      <w:r>
        <w:rPr>
          <w:b/>
        </w:rPr>
        <w:t>Variazione</w:t>
      </w:r>
      <w:r w:rsidR="00B01F54">
        <w:rPr>
          <w:b/>
        </w:rPr>
        <w:t xml:space="preserve"> dei nuovi casi</w:t>
      </w:r>
      <w:r w:rsidR="00FF6B22">
        <w:t xml:space="preserve">. </w:t>
      </w:r>
      <w:r w:rsidR="007A3025">
        <w:t>Negli ultimi 7 giorni</w:t>
      </w:r>
      <w:r w:rsidR="00714DD1">
        <w:t xml:space="preserve"> si registra</w:t>
      </w:r>
      <w:r w:rsidR="003D530D">
        <w:t xml:space="preserve"> un incremento di</w:t>
      </w:r>
      <w:r w:rsidR="00714DD1">
        <w:t xml:space="preserve"> </w:t>
      </w:r>
      <w:r w:rsidR="004C60DC">
        <w:t>2.294 nuovi casi</w:t>
      </w:r>
      <w:r w:rsidR="003D530D">
        <w:t xml:space="preserve">, </w:t>
      </w:r>
      <w:r w:rsidR="007A3025">
        <w:t xml:space="preserve">rispetto </w:t>
      </w:r>
      <w:r w:rsidR="004C60DC">
        <w:t>ai 1.927</w:t>
      </w:r>
      <w:r w:rsidR="003D530D">
        <w:t xml:space="preserve"> della settimana precedente</w:t>
      </w:r>
      <w:r w:rsidR="007620F2">
        <w:t xml:space="preserve">. </w:t>
      </w:r>
      <w:r w:rsidR="004C60DC">
        <w:t xml:space="preserve">11 Regioni </w:t>
      </w:r>
      <w:r w:rsidR="003D530D">
        <w:t xml:space="preserve">hanno </w:t>
      </w:r>
      <w:r w:rsidR="004C60DC">
        <w:t xml:space="preserve">un incremento </w:t>
      </w:r>
      <w:r w:rsidR="007620F2">
        <w:t xml:space="preserve">complessivo </w:t>
      </w:r>
      <w:r w:rsidR="004C60DC">
        <w:t xml:space="preserve">di 461 </w:t>
      </w:r>
      <w:r w:rsidR="007A3025">
        <w:t>casi</w:t>
      </w:r>
      <w:r w:rsidR="00493007">
        <w:t xml:space="preserve"> di cui 3</w:t>
      </w:r>
      <w:r w:rsidR="00914A26">
        <w:t>8</w:t>
      </w:r>
      <w:r w:rsidR="00493007">
        <w:t>4 (</w:t>
      </w:r>
      <w:r w:rsidR="007620F2">
        <w:t>8</w:t>
      </w:r>
      <w:r w:rsidR="00CB71D2">
        <w:t>3</w:t>
      </w:r>
      <w:r w:rsidR="001348C4">
        <w:t>%</w:t>
      </w:r>
      <w:r w:rsidR="00493007">
        <w:t>)</w:t>
      </w:r>
      <w:r w:rsidR="001348C4">
        <w:t xml:space="preserve"> </w:t>
      </w:r>
      <w:r w:rsidR="007A3025">
        <w:t xml:space="preserve">in </w:t>
      </w:r>
      <w:r w:rsidR="001348C4">
        <w:t>Lombardia</w:t>
      </w:r>
      <w:r w:rsidR="00714DD1">
        <w:t xml:space="preserve">; a seguire </w:t>
      </w:r>
      <w:r w:rsidR="001348C4">
        <w:t>Piemonte (33</w:t>
      </w:r>
      <w:r>
        <w:t>),</w:t>
      </w:r>
      <w:r w:rsidR="004C60DC">
        <w:t xml:space="preserve"> </w:t>
      </w:r>
      <w:r w:rsidR="001348C4">
        <w:t>Toscana (</w:t>
      </w:r>
      <w:r>
        <w:t xml:space="preserve">18), </w:t>
      </w:r>
      <w:r w:rsidR="001348C4">
        <w:t xml:space="preserve">Emilia Romagna </w:t>
      </w:r>
      <w:r>
        <w:t xml:space="preserve">(13), </w:t>
      </w:r>
      <w:r w:rsidR="001348C4">
        <w:t xml:space="preserve">Prov. Aut. di Trento (4), Friuli Venezia Giulia (3), </w:t>
      </w:r>
      <w:r w:rsidR="007A3025">
        <w:t xml:space="preserve">Calabria (2), </w:t>
      </w:r>
      <w:r w:rsidR="001348C4">
        <w:t xml:space="preserve">Prov. Aut. </w:t>
      </w:r>
      <w:r w:rsidR="005A7071">
        <w:t xml:space="preserve">di </w:t>
      </w:r>
      <w:r w:rsidR="001348C4">
        <w:t>Bolzano</w:t>
      </w:r>
      <w:r w:rsidR="007A3025">
        <w:t xml:space="preserve"> (1)</w:t>
      </w:r>
      <w:r w:rsidR="001348C4">
        <w:t>, Abruzzo</w:t>
      </w:r>
      <w:r w:rsidR="007A3025">
        <w:t xml:space="preserve"> (1)</w:t>
      </w:r>
      <w:r w:rsidR="001348C4">
        <w:t>, Sardegna</w:t>
      </w:r>
      <w:r w:rsidR="007A3025">
        <w:t xml:space="preserve"> (1)</w:t>
      </w:r>
      <w:r w:rsidR="001348C4">
        <w:t>, Veneto</w:t>
      </w:r>
      <w:r w:rsidR="007A3025">
        <w:t xml:space="preserve"> (1)</w:t>
      </w:r>
      <w:r w:rsidR="001348C4">
        <w:t>.</w:t>
      </w:r>
      <w:r w:rsidR="007A3025">
        <w:t xml:space="preserve"> </w:t>
      </w:r>
      <w:r w:rsidR="007620F2">
        <w:t>Le altre 10 Regioni fanno registrare complessivamente 94 nuovi casi in meno rispetto alla settimana precedente con</w:t>
      </w:r>
      <w:r w:rsidR="007A3025">
        <w:t xml:space="preserve"> </w:t>
      </w:r>
      <w:r>
        <w:t xml:space="preserve">minime </w:t>
      </w:r>
      <w:r w:rsidR="007A3025">
        <w:t xml:space="preserve">variazioni negative, ad eccezione della Liguria (-61 casi). </w:t>
      </w:r>
      <w:r w:rsidR="00676036">
        <w:t>L</w:t>
      </w:r>
      <w:r>
        <w:t xml:space="preserve">e variazioni </w:t>
      </w:r>
      <w:r w:rsidR="007620F2">
        <w:t xml:space="preserve">dei nuovi casi </w:t>
      </w:r>
      <w:r>
        <w:t xml:space="preserve">per 100.000 </w:t>
      </w:r>
      <w:r w:rsidR="007620F2">
        <w:t>abitanti oscillano da +3,8 della Lombardia a</w:t>
      </w:r>
      <w:r>
        <w:t xml:space="preserve"> -3,9 della Liguria</w:t>
      </w:r>
      <w:r w:rsidR="00676036">
        <w:t xml:space="preserve"> (</w:t>
      </w:r>
      <w:r w:rsidR="00676036" w:rsidRPr="00676036">
        <w:rPr>
          <w:highlight w:val="yellow"/>
        </w:rPr>
        <w:t>figura 1</w:t>
      </w:r>
      <w:r w:rsidR="00676036">
        <w:t>)</w:t>
      </w:r>
      <w:r>
        <w:t>.</w:t>
      </w:r>
    </w:p>
    <w:p w:rsidR="00812DAD" w:rsidRDefault="002705E8" w:rsidP="003925EF">
      <w:pPr>
        <w:jc w:val="both"/>
      </w:pPr>
      <w:r>
        <w:rPr>
          <w:b/>
        </w:rPr>
        <w:t xml:space="preserve">Relazione </w:t>
      </w:r>
      <w:r w:rsidRPr="002705E8">
        <w:rPr>
          <w:b/>
        </w:rPr>
        <w:t>n° tamponi dia</w:t>
      </w:r>
      <w:r>
        <w:rPr>
          <w:b/>
        </w:rPr>
        <w:t>gnostici e incidenza nuovi casi</w:t>
      </w:r>
      <w:r>
        <w:t xml:space="preserve">. </w:t>
      </w:r>
      <w:r w:rsidR="002409AC">
        <w:t>Nell’ultima settimana</w:t>
      </w:r>
      <w:r w:rsidR="000D64BB">
        <w:t xml:space="preserve">, </w:t>
      </w:r>
      <w:r w:rsidR="002409AC">
        <w:t>rispetto alla precedente</w:t>
      </w:r>
      <w:r w:rsidR="000D64BB">
        <w:t>,</w:t>
      </w:r>
      <w:r w:rsidR="002409AC">
        <w:t xml:space="preserve"> </w:t>
      </w:r>
      <w:r w:rsidR="000D64BB">
        <w:t>i</w:t>
      </w:r>
      <w:r w:rsidR="00F8554D">
        <w:t xml:space="preserve"> </w:t>
      </w:r>
      <w:r w:rsidR="00480CC3">
        <w:t xml:space="preserve">tamponi </w:t>
      </w:r>
      <w:r w:rsidR="002409AC">
        <w:t xml:space="preserve">per </w:t>
      </w:r>
      <w:r w:rsidR="00480CC3">
        <w:t>diagnosticare nuovi casi (cd. “casi testati”)</w:t>
      </w:r>
      <w:r w:rsidR="002409AC">
        <w:t xml:space="preserve"> </w:t>
      </w:r>
      <w:r w:rsidR="000D64BB">
        <w:t xml:space="preserve">sono aumentati solo </w:t>
      </w:r>
      <w:r w:rsidR="002409AC">
        <w:t xml:space="preserve">in </w:t>
      </w:r>
      <w:r w:rsidR="00F8554D">
        <w:t xml:space="preserve">Emilia </w:t>
      </w:r>
      <w:r w:rsidR="00F8554D" w:rsidRPr="002409AC">
        <w:t>Romagna (+</w:t>
      </w:r>
      <w:r w:rsidR="007A2B7E" w:rsidRPr="002409AC">
        <w:t>7.819</w:t>
      </w:r>
      <w:r w:rsidR="002409AC">
        <w:t xml:space="preserve">), </w:t>
      </w:r>
      <w:r w:rsidR="00F8554D" w:rsidRPr="002409AC">
        <w:t>Lombardia (+</w:t>
      </w:r>
      <w:r w:rsidR="007A2B7E" w:rsidRPr="002409AC">
        <w:t>1.821</w:t>
      </w:r>
      <w:r w:rsidR="00F8554D" w:rsidRPr="002409AC">
        <w:t>)</w:t>
      </w:r>
      <w:r w:rsidR="002409AC" w:rsidRPr="002409AC">
        <w:t>,</w:t>
      </w:r>
      <w:r w:rsidR="002409AC">
        <w:rPr>
          <w:b/>
        </w:rPr>
        <w:t xml:space="preserve"> </w:t>
      </w:r>
      <w:r w:rsidR="00F8554D" w:rsidRPr="00F8554D">
        <w:t>Lazio</w:t>
      </w:r>
      <w:r w:rsidR="007A2B7E">
        <w:t xml:space="preserve"> (+1.389)</w:t>
      </w:r>
      <w:r w:rsidR="00F8554D" w:rsidRPr="00F8554D">
        <w:t>, Campania</w:t>
      </w:r>
      <w:r w:rsidR="007A2B7E">
        <w:t xml:space="preserve"> (+1.087)</w:t>
      </w:r>
      <w:r w:rsidR="002409AC">
        <w:t xml:space="preserve">, </w:t>
      </w:r>
      <w:r w:rsidR="00F8554D" w:rsidRPr="00F8554D">
        <w:t>Prov. Aut. di Trento</w:t>
      </w:r>
      <w:r w:rsidR="00480CC3">
        <w:t xml:space="preserve"> </w:t>
      </w:r>
      <w:r w:rsidR="007A2B7E">
        <w:t>(+834)</w:t>
      </w:r>
      <w:r w:rsidR="002409AC">
        <w:t xml:space="preserve"> e Valle D’Aosta (+76)</w:t>
      </w:r>
      <w:r w:rsidR="000D64BB">
        <w:t xml:space="preserve">. Nelle </w:t>
      </w:r>
      <w:r w:rsidR="00AB6F51">
        <w:t xml:space="preserve">rimanenti </w:t>
      </w:r>
      <w:r w:rsidR="000D64BB">
        <w:t xml:space="preserve">Regioni sono invece diminuiti, auspicabilmente per la situazione epidemiologica </w:t>
      </w:r>
      <w:r w:rsidR="00AB6F51">
        <w:t xml:space="preserve">e per </w:t>
      </w:r>
      <w:r w:rsidR="000D64BB">
        <w:t xml:space="preserve">l’utilizzo sempre più esteso di test sierologici </w:t>
      </w:r>
      <w:r w:rsidR="00AB6F51">
        <w:t xml:space="preserve">di </w:t>
      </w:r>
      <w:r w:rsidR="000D64BB">
        <w:t xml:space="preserve">screening </w:t>
      </w:r>
      <w:r w:rsidR="00C34525">
        <w:t>(</w:t>
      </w:r>
      <w:r w:rsidR="00C34525" w:rsidRPr="0054649D">
        <w:rPr>
          <w:highlight w:val="yellow"/>
        </w:rPr>
        <w:t>figura 2</w:t>
      </w:r>
      <w:r w:rsidR="00C34525">
        <w:t>)</w:t>
      </w:r>
      <w:r w:rsidR="000D64BB">
        <w:t xml:space="preserve">. </w:t>
      </w:r>
    </w:p>
    <w:p w:rsidR="00CE0186" w:rsidRDefault="00BE4CBF" w:rsidP="003925EF">
      <w:pPr>
        <w:jc w:val="both"/>
      </w:pPr>
      <w:r w:rsidRPr="00145AFE">
        <w:t>«</w:t>
      </w:r>
      <w:r w:rsidR="00B635C6">
        <w:t xml:space="preserve">Considerato che </w:t>
      </w:r>
      <w:r w:rsidR="003D530D">
        <w:t xml:space="preserve">in questa fase dell’epidemia </w:t>
      </w:r>
      <w:r w:rsidR="003D530D" w:rsidRPr="00145AFE">
        <w:t>–</w:t>
      </w:r>
      <w:r w:rsidR="003D530D">
        <w:t xml:space="preserve"> continua il Presidente </w:t>
      </w:r>
      <w:r w:rsidR="003D530D" w:rsidRPr="00145AFE">
        <w:t>–</w:t>
      </w:r>
      <w:r w:rsidR="003D530D">
        <w:t xml:space="preserve"> è indispensabile uno stretto </w:t>
      </w:r>
      <w:r w:rsidR="005F0188">
        <w:t>monitor</w:t>
      </w:r>
      <w:r w:rsidR="00552D44">
        <w:t>aggio</w:t>
      </w:r>
      <w:r w:rsidR="005F0188" w:rsidRPr="00145AFE">
        <w:t xml:space="preserve"> </w:t>
      </w:r>
      <w:r>
        <w:t xml:space="preserve">la Fondazione GIMBE ha verificato la disponibilità pubblica dei 21 indicatori che le Regioni </w:t>
      </w:r>
      <w:r>
        <w:lastRenderedPageBreak/>
        <w:t>dovrebbero trasmettere</w:t>
      </w:r>
      <w:r w:rsidR="00BF7AD5">
        <w:t xml:space="preserve"> </w:t>
      </w:r>
      <w:r>
        <w:t>secondo quanto</w:t>
      </w:r>
      <w:r w:rsidR="00BF7AD5">
        <w:t xml:space="preserve"> previsto dal Decreto</w:t>
      </w:r>
      <w:r w:rsidR="004374D6">
        <w:t xml:space="preserve"> del Ministero della Salute</w:t>
      </w:r>
      <w:r w:rsidR="00BF7AD5">
        <w:t xml:space="preserve"> 30 aprile</w:t>
      </w:r>
      <w:r w:rsidR="00113554">
        <w:t xml:space="preserve"> 2020</w:t>
      </w:r>
      <w:r w:rsidRPr="00145AFE">
        <w:t>».</w:t>
      </w:r>
      <w:r>
        <w:t xml:space="preserve"> </w:t>
      </w:r>
      <w:r w:rsidR="00AB6F51">
        <w:t>N</w:t>
      </w:r>
      <w:r w:rsidR="00AC55D6">
        <w:t>essuno dei 12 i</w:t>
      </w:r>
      <w:r w:rsidR="00AC55D6" w:rsidRPr="00AC55D6">
        <w:t xml:space="preserve">ndicatori di processo </w:t>
      </w:r>
      <w:r w:rsidR="00AC55D6">
        <w:t xml:space="preserve">(6 </w:t>
      </w:r>
      <w:r w:rsidR="0023472D">
        <w:t xml:space="preserve">relativi alla </w:t>
      </w:r>
      <w:r w:rsidR="00AC55D6" w:rsidRPr="00AC55D6">
        <w:t>capacità di monitoraggio</w:t>
      </w:r>
      <w:r w:rsidR="00AC55D6">
        <w:t xml:space="preserve">, 6 </w:t>
      </w:r>
      <w:r w:rsidR="0023472D">
        <w:t>a quella di</w:t>
      </w:r>
      <w:r w:rsidR="00AC55D6" w:rsidRPr="00AC55D6">
        <w:t xml:space="preserve"> accertamento diagnostico, indagine e di gestione dei contatti</w:t>
      </w:r>
      <w:r w:rsidR="00AC55D6">
        <w:t>)</w:t>
      </w:r>
      <w:r w:rsidR="00AB6F51">
        <w:t xml:space="preserve"> è pubblicamente disponibile </w:t>
      </w:r>
      <w:r w:rsidR="005F0188">
        <w:t xml:space="preserve">per </w:t>
      </w:r>
      <w:r w:rsidR="00AB6F51">
        <w:t>cittadini e ricercatori</w:t>
      </w:r>
      <w:r w:rsidR="00AC55D6">
        <w:t xml:space="preserve">. Dei 9 indicatori di esito solo 3 </w:t>
      </w:r>
      <w:r w:rsidR="00AB6F51">
        <w:t xml:space="preserve">vengono pubblicati </w:t>
      </w:r>
      <w:r w:rsidR="00AC55D6">
        <w:t>(tabella).</w:t>
      </w:r>
    </w:p>
    <w:tbl>
      <w:tblPr>
        <w:tblStyle w:val="Grigliatabella"/>
        <w:tblW w:w="9781" w:type="dxa"/>
        <w:tblInd w:w="108" w:type="dxa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2409AC" w:rsidRPr="002409AC" w:rsidTr="002409AC">
        <w:tc>
          <w:tcPr>
            <w:tcW w:w="6379" w:type="dxa"/>
            <w:shd w:val="clear" w:color="auto" w:fill="00457D"/>
          </w:tcPr>
          <w:p w:rsidR="00CE0186" w:rsidRPr="002409AC" w:rsidRDefault="0044462E" w:rsidP="002409AC">
            <w:pPr>
              <w:spacing w:before="60" w:after="60"/>
              <w:jc w:val="both"/>
              <w:rPr>
                <w:b/>
                <w:color w:val="FFFFFF" w:themeColor="background1"/>
                <w:sz w:val="20"/>
              </w:rPr>
            </w:pPr>
            <w:r w:rsidRPr="002409AC">
              <w:rPr>
                <w:b/>
                <w:color w:val="FFFFFF" w:themeColor="background1"/>
                <w:sz w:val="20"/>
              </w:rPr>
              <w:t>Indicatore di esito</w:t>
            </w:r>
          </w:p>
        </w:tc>
        <w:tc>
          <w:tcPr>
            <w:tcW w:w="3402" w:type="dxa"/>
            <w:shd w:val="clear" w:color="auto" w:fill="00457D"/>
          </w:tcPr>
          <w:p w:rsidR="00CE0186" w:rsidRPr="002409AC" w:rsidRDefault="0044462E" w:rsidP="002409AC">
            <w:pPr>
              <w:spacing w:before="60" w:after="60"/>
              <w:jc w:val="both"/>
              <w:rPr>
                <w:b/>
                <w:color w:val="FFFFFF" w:themeColor="background1"/>
                <w:sz w:val="20"/>
              </w:rPr>
            </w:pPr>
            <w:r w:rsidRPr="002409AC">
              <w:rPr>
                <w:b/>
                <w:color w:val="FFFFFF" w:themeColor="background1"/>
                <w:sz w:val="20"/>
              </w:rPr>
              <w:t>Disponibilità pubblica</w:t>
            </w:r>
          </w:p>
        </w:tc>
      </w:tr>
      <w:tr w:rsidR="00CE0186" w:rsidRPr="0044462E" w:rsidTr="007202C9">
        <w:tc>
          <w:tcPr>
            <w:tcW w:w="6379" w:type="dxa"/>
          </w:tcPr>
          <w:p w:rsidR="00CE0186" w:rsidRPr="0044462E" w:rsidRDefault="00CE0186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 xml:space="preserve">3.1. </w:t>
            </w:r>
            <w:r w:rsidR="00376334">
              <w:rPr>
                <w:sz w:val="20"/>
              </w:rPr>
              <w:t>Numero di casi riportati alla P</w:t>
            </w:r>
            <w:r w:rsidRPr="0044462E">
              <w:rPr>
                <w:sz w:val="20"/>
              </w:rPr>
              <w:t>rotezion</w:t>
            </w:r>
            <w:r w:rsidR="00376334">
              <w:rPr>
                <w:sz w:val="20"/>
              </w:rPr>
              <w:t>e C</w:t>
            </w:r>
            <w:r w:rsidRPr="0044462E">
              <w:rPr>
                <w:sz w:val="20"/>
              </w:rPr>
              <w:t>ivile negli ultimi 14 giorni</w:t>
            </w:r>
          </w:p>
        </w:tc>
        <w:tc>
          <w:tcPr>
            <w:tcW w:w="3402" w:type="dxa"/>
            <w:vAlign w:val="center"/>
          </w:tcPr>
          <w:p w:rsidR="00CE0186" w:rsidRPr="0044462E" w:rsidRDefault="0044462E" w:rsidP="007202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Sì</w:t>
            </w:r>
            <w:r w:rsidR="00376334">
              <w:rPr>
                <w:sz w:val="20"/>
              </w:rPr>
              <w:t xml:space="preserve">: </w:t>
            </w:r>
            <w:r w:rsidR="002B7A9C">
              <w:rPr>
                <w:sz w:val="20"/>
              </w:rPr>
              <w:t xml:space="preserve">bollettino sorveglianza integrata </w:t>
            </w:r>
            <w:r w:rsidR="00376334">
              <w:rPr>
                <w:sz w:val="20"/>
              </w:rPr>
              <w:t>ISS, dati Protezione Civile</w:t>
            </w:r>
          </w:p>
        </w:tc>
      </w:tr>
      <w:tr w:rsidR="00CE0186" w:rsidRPr="0044462E" w:rsidTr="007202C9">
        <w:tc>
          <w:tcPr>
            <w:tcW w:w="6379" w:type="dxa"/>
          </w:tcPr>
          <w:p w:rsidR="00CE0186" w:rsidRPr="0044462E" w:rsidRDefault="00CE0186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 xml:space="preserve">3.2. Rt calcolato sulla base della sorveglianza integrata ISS </w:t>
            </w:r>
          </w:p>
        </w:tc>
        <w:tc>
          <w:tcPr>
            <w:tcW w:w="3402" w:type="dxa"/>
            <w:vAlign w:val="center"/>
          </w:tcPr>
          <w:p w:rsidR="00CE0186" w:rsidRPr="002409AC" w:rsidRDefault="0044462E" w:rsidP="007202C9">
            <w:pPr>
              <w:spacing w:before="60" w:after="60"/>
              <w:rPr>
                <w:spacing w:val="-2"/>
                <w:sz w:val="20"/>
              </w:rPr>
            </w:pPr>
            <w:r w:rsidRPr="002409AC">
              <w:rPr>
                <w:spacing w:val="-2"/>
                <w:sz w:val="20"/>
              </w:rPr>
              <w:t>Sì</w:t>
            </w:r>
            <w:r w:rsidR="00376334" w:rsidRPr="002409AC">
              <w:rPr>
                <w:spacing w:val="-2"/>
                <w:sz w:val="20"/>
              </w:rPr>
              <w:t xml:space="preserve">: </w:t>
            </w:r>
            <w:r w:rsidR="002B7A9C" w:rsidRPr="002409AC">
              <w:rPr>
                <w:spacing w:val="-2"/>
                <w:sz w:val="20"/>
              </w:rPr>
              <w:t>bollettino sorveglianza integrata ISS</w:t>
            </w:r>
            <w:r w:rsidR="00BE4CBF" w:rsidRPr="002409AC">
              <w:rPr>
                <w:spacing w:val="-2"/>
                <w:sz w:val="20"/>
              </w:rPr>
              <w:t>*</w:t>
            </w:r>
          </w:p>
        </w:tc>
      </w:tr>
      <w:tr w:rsidR="00CE0186" w:rsidRPr="0044462E" w:rsidTr="007202C9">
        <w:tc>
          <w:tcPr>
            <w:tcW w:w="6379" w:type="dxa"/>
          </w:tcPr>
          <w:p w:rsidR="00CE0186" w:rsidRPr="0044462E" w:rsidRDefault="00CE0186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>3.3</w:t>
            </w:r>
            <w:r w:rsidR="0044462E" w:rsidRPr="0044462E">
              <w:rPr>
                <w:sz w:val="20"/>
              </w:rPr>
              <w:t>.</w:t>
            </w:r>
            <w:r w:rsidR="0044462E">
              <w:rPr>
                <w:sz w:val="20"/>
              </w:rPr>
              <w:t xml:space="preserve"> </w:t>
            </w:r>
            <w:r w:rsidRPr="0044462E">
              <w:rPr>
                <w:sz w:val="20"/>
              </w:rPr>
              <w:t>Numero di casi riportati alla sorveglianza sentinella COVID-net per settimana</w:t>
            </w:r>
            <w:r w:rsidR="0044462E" w:rsidRPr="0044462E">
              <w:rPr>
                <w:sz w:val="20"/>
              </w:rPr>
              <w:t xml:space="preserve"> (</w:t>
            </w:r>
            <w:r w:rsidR="0044462E" w:rsidRPr="0044462E">
              <w:rPr>
                <w:i/>
                <w:sz w:val="20"/>
              </w:rPr>
              <w:t>opzionale</w:t>
            </w:r>
            <w:r w:rsidR="0044462E" w:rsidRPr="0044462E">
              <w:rPr>
                <w:sz w:val="20"/>
              </w:rPr>
              <w:t>)</w:t>
            </w:r>
            <w:r w:rsidR="0044462E" w:rsidRPr="0044462E">
              <w:rPr>
                <w:sz w:val="20"/>
              </w:rPr>
              <w:tab/>
            </w:r>
          </w:p>
        </w:tc>
        <w:tc>
          <w:tcPr>
            <w:tcW w:w="3402" w:type="dxa"/>
            <w:vAlign w:val="center"/>
          </w:tcPr>
          <w:p w:rsidR="00CE0186" w:rsidRPr="0044462E" w:rsidRDefault="0044462E" w:rsidP="007202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E0186" w:rsidRPr="0044462E" w:rsidTr="007202C9">
        <w:tc>
          <w:tcPr>
            <w:tcW w:w="6379" w:type="dxa"/>
          </w:tcPr>
          <w:p w:rsidR="00CE0186" w:rsidRPr="0044462E" w:rsidRDefault="00CE0186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>3.4</w:t>
            </w:r>
            <w:r w:rsidR="0044462E" w:rsidRPr="0044462E">
              <w:rPr>
                <w:sz w:val="20"/>
              </w:rPr>
              <w:t xml:space="preserve">. </w:t>
            </w:r>
            <w:r w:rsidRPr="0044462E">
              <w:rPr>
                <w:sz w:val="20"/>
              </w:rPr>
              <w:t>Numero di casi per data diagnosi e per data inizio sintomi riportati alla sorveglianza integrata COVID-19 per giorno</w:t>
            </w:r>
          </w:p>
        </w:tc>
        <w:tc>
          <w:tcPr>
            <w:tcW w:w="3402" w:type="dxa"/>
            <w:vAlign w:val="center"/>
          </w:tcPr>
          <w:p w:rsidR="00CE0186" w:rsidRPr="0044462E" w:rsidRDefault="0044462E" w:rsidP="007202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Sì</w:t>
            </w:r>
            <w:r w:rsidR="00376334">
              <w:rPr>
                <w:sz w:val="20"/>
              </w:rPr>
              <w:t xml:space="preserve">: </w:t>
            </w:r>
            <w:r w:rsidR="002B7A9C">
              <w:rPr>
                <w:sz w:val="20"/>
              </w:rPr>
              <w:t>bollettino sorveglianza integrata ISS</w:t>
            </w:r>
            <w:r w:rsidR="00BE4CBF">
              <w:rPr>
                <w:sz w:val="20"/>
              </w:rPr>
              <w:t>*</w:t>
            </w:r>
            <w:r w:rsidR="002B7A9C">
              <w:rPr>
                <w:sz w:val="20"/>
              </w:rPr>
              <w:t xml:space="preserve"> (</w:t>
            </w:r>
            <w:r w:rsidR="00376334">
              <w:rPr>
                <w:sz w:val="20"/>
              </w:rPr>
              <w:t xml:space="preserve">appendice con </w:t>
            </w:r>
            <w:r w:rsidR="00ED248D">
              <w:rPr>
                <w:sz w:val="20"/>
              </w:rPr>
              <w:t>dettagli regionali</w:t>
            </w:r>
            <w:r w:rsidR="002B7A9C">
              <w:rPr>
                <w:sz w:val="20"/>
              </w:rPr>
              <w:t>)</w:t>
            </w:r>
          </w:p>
        </w:tc>
      </w:tr>
      <w:tr w:rsidR="00CE0186" w:rsidRPr="0044462E" w:rsidTr="007202C9">
        <w:tc>
          <w:tcPr>
            <w:tcW w:w="6379" w:type="dxa"/>
          </w:tcPr>
          <w:p w:rsidR="00CE0186" w:rsidRPr="0044462E" w:rsidRDefault="0044462E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 xml:space="preserve">3.5. </w:t>
            </w:r>
            <w:r w:rsidR="00CE0186" w:rsidRPr="0044462E">
              <w:rPr>
                <w:sz w:val="20"/>
              </w:rPr>
              <w:t xml:space="preserve">Numero di nuovi </w:t>
            </w:r>
            <w:r>
              <w:rPr>
                <w:sz w:val="20"/>
              </w:rPr>
              <w:t xml:space="preserve">focolai di trasmissione </w:t>
            </w:r>
            <w:r w:rsidR="00CE0186" w:rsidRPr="0044462E">
              <w:rPr>
                <w:sz w:val="20"/>
              </w:rPr>
              <w:t>(2 o più</w:t>
            </w:r>
            <w:r>
              <w:rPr>
                <w:sz w:val="20"/>
              </w:rPr>
              <w:t xml:space="preserve"> casi </w:t>
            </w:r>
            <w:r w:rsidR="00CE0186" w:rsidRPr="0044462E">
              <w:rPr>
                <w:sz w:val="20"/>
              </w:rPr>
              <w:t>epidemiologicamente collegati tra loro o un aumento inatteso nel numero di casi in un tempo e luogo definito)</w:t>
            </w:r>
          </w:p>
        </w:tc>
        <w:tc>
          <w:tcPr>
            <w:tcW w:w="3402" w:type="dxa"/>
            <w:vAlign w:val="center"/>
          </w:tcPr>
          <w:p w:rsidR="00CE0186" w:rsidRPr="0044462E" w:rsidRDefault="0044462E" w:rsidP="007202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E0186" w:rsidRPr="0044462E" w:rsidTr="007202C9">
        <w:tc>
          <w:tcPr>
            <w:tcW w:w="6379" w:type="dxa"/>
          </w:tcPr>
          <w:p w:rsidR="00CE0186" w:rsidRPr="0044462E" w:rsidRDefault="0044462E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 xml:space="preserve">3.6. </w:t>
            </w:r>
            <w:r w:rsidR="00CE0186" w:rsidRPr="0044462E">
              <w:rPr>
                <w:sz w:val="20"/>
              </w:rPr>
              <w:t>Numero di nuovi casi di infezione confermata da SARS-CoV-2 per Regione non associati a catene di trasmissione note</w:t>
            </w:r>
          </w:p>
        </w:tc>
        <w:tc>
          <w:tcPr>
            <w:tcW w:w="3402" w:type="dxa"/>
            <w:vAlign w:val="center"/>
          </w:tcPr>
          <w:p w:rsidR="00CE0186" w:rsidRPr="0044462E" w:rsidRDefault="0044462E" w:rsidP="007202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E0186" w:rsidRPr="0044462E" w:rsidTr="007202C9">
        <w:tc>
          <w:tcPr>
            <w:tcW w:w="6379" w:type="dxa"/>
          </w:tcPr>
          <w:p w:rsidR="00CE0186" w:rsidRPr="0044462E" w:rsidRDefault="00CE0186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>3.7</w:t>
            </w:r>
            <w:r w:rsidR="0044462E" w:rsidRPr="0044462E">
              <w:rPr>
                <w:sz w:val="20"/>
              </w:rPr>
              <w:t xml:space="preserve">. </w:t>
            </w:r>
            <w:r w:rsidRPr="0044462E">
              <w:rPr>
                <w:sz w:val="20"/>
              </w:rPr>
              <w:t>Numero di accessi al PS con classificazione ICD-9 compatibile con quadri sindromici riconducibili a COVID-19</w:t>
            </w:r>
            <w:r w:rsidR="0044462E" w:rsidRPr="0044462E">
              <w:rPr>
                <w:sz w:val="20"/>
              </w:rPr>
              <w:t xml:space="preserve"> (</w:t>
            </w:r>
            <w:r w:rsidR="0044462E" w:rsidRPr="0044462E">
              <w:rPr>
                <w:i/>
                <w:sz w:val="20"/>
              </w:rPr>
              <w:t>opzionale</w:t>
            </w:r>
            <w:r w:rsidR="0044462E" w:rsidRPr="0044462E">
              <w:rPr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CE0186" w:rsidRPr="0044462E" w:rsidRDefault="0044462E" w:rsidP="007202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202C9" w:rsidRPr="0044462E" w:rsidTr="007202C9">
        <w:tc>
          <w:tcPr>
            <w:tcW w:w="6379" w:type="dxa"/>
          </w:tcPr>
          <w:p w:rsidR="007202C9" w:rsidRPr="0044462E" w:rsidRDefault="007202C9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>3.8. Tasso di occupazione dei posti letto totali in Terapia Intensiva (codice 49) per pazienti COVID-19</w:t>
            </w:r>
          </w:p>
        </w:tc>
        <w:tc>
          <w:tcPr>
            <w:tcW w:w="3402" w:type="dxa"/>
            <w:vMerge w:val="restart"/>
            <w:vAlign w:val="center"/>
          </w:tcPr>
          <w:p w:rsidR="007202C9" w:rsidRPr="0044462E" w:rsidRDefault="007202C9" w:rsidP="007202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 (riportata nel comunicato stampa  “</w:t>
            </w:r>
            <w:r w:rsidRPr="007202C9">
              <w:rPr>
                <w:sz w:val="20"/>
              </w:rPr>
              <w:t>assenza di segnali di sovracc</w:t>
            </w:r>
            <w:r>
              <w:rPr>
                <w:sz w:val="20"/>
              </w:rPr>
              <w:t>arico dei servizi assistenziali”)</w:t>
            </w:r>
          </w:p>
        </w:tc>
      </w:tr>
      <w:tr w:rsidR="007202C9" w:rsidRPr="0044462E" w:rsidTr="002409AC">
        <w:tc>
          <w:tcPr>
            <w:tcW w:w="6379" w:type="dxa"/>
          </w:tcPr>
          <w:p w:rsidR="007202C9" w:rsidRPr="0044462E" w:rsidRDefault="007202C9" w:rsidP="002409AC">
            <w:pPr>
              <w:spacing w:before="60" w:after="60"/>
              <w:rPr>
                <w:sz w:val="20"/>
              </w:rPr>
            </w:pPr>
            <w:r w:rsidRPr="0044462E">
              <w:rPr>
                <w:sz w:val="20"/>
              </w:rPr>
              <w:t>3.9. Tasso di occupazione dei posti letto totali di Area Medica per pazienti COVID-19</w:t>
            </w:r>
          </w:p>
        </w:tc>
        <w:tc>
          <w:tcPr>
            <w:tcW w:w="3402" w:type="dxa"/>
            <w:vMerge/>
          </w:tcPr>
          <w:p w:rsidR="007202C9" w:rsidRPr="0044462E" w:rsidRDefault="007202C9" w:rsidP="002409AC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BE4CBF" w:rsidRPr="00BE4CBF" w:rsidTr="002409AC">
        <w:tc>
          <w:tcPr>
            <w:tcW w:w="9781" w:type="dxa"/>
            <w:gridSpan w:val="2"/>
          </w:tcPr>
          <w:p w:rsidR="00BE4CBF" w:rsidRPr="00BE4CBF" w:rsidRDefault="00BE4CBF" w:rsidP="002409AC">
            <w:pPr>
              <w:spacing w:before="60" w:after="60"/>
              <w:jc w:val="both"/>
              <w:rPr>
                <w:sz w:val="18"/>
              </w:rPr>
            </w:pPr>
            <w:r w:rsidRPr="00BE4CBF">
              <w:rPr>
                <w:sz w:val="18"/>
              </w:rPr>
              <w:t>* Nel report del 9 giugno non disponibili per tutte le Regioni</w:t>
            </w:r>
          </w:p>
        </w:tc>
      </w:tr>
    </w:tbl>
    <w:p w:rsidR="00341741" w:rsidRDefault="00341741" w:rsidP="003925EF">
      <w:pPr>
        <w:jc w:val="both"/>
      </w:pPr>
    </w:p>
    <w:p w:rsidR="00BF7AD5" w:rsidRDefault="003C28C9" w:rsidP="003925EF">
      <w:pPr>
        <w:jc w:val="both"/>
      </w:pPr>
      <w:r w:rsidRPr="00145AFE">
        <w:t>«</w:t>
      </w:r>
      <w:r w:rsidR="00AB6F51">
        <w:t>I</w:t>
      </w:r>
      <w:r w:rsidR="00BF7AD5">
        <w:t xml:space="preserve"> dati forniti dalla Protezione Civile </w:t>
      </w:r>
      <w:r w:rsidRPr="00145AFE">
        <w:t>–</w:t>
      </w:r>
      <w:r>
        <w:t xml:space="preserve"> </w:t>
      </w:r>
      <w:r w:rsidR="009F4108" w:rsidRPr="00145AFE">
        <w:t>conclude Cartabellotta –</w:t>
      </w:r>
      <w:r w:rsidR="003D530D">
        <w:t xml:space="preserve"> documentano</w:t>
      </w:r>
      <w:r w:rsidR="00AB6F51">
        <w:t xml:space="preserve"> </w:t>
      </w:r>
      <w:r w:rsidR="000D64BB">
        <w:t xml:space="preserve">un lieve incremento dei casi nell’ultima settimana rispetto alla precedente, </w:t>
      </w:r>
      <w:r w:rsidR="00AB6F51">
        <w:t xml:space="preserve">ma </w:t>
      </w:r>
      <w:r w:rsidR="00BF7AD5">
        <w:t xml:space="preserve">non permettono </w:t>
      </w:r>
      <w:r w:rsidR="003D530D">
        <w:t xml:space="preserve">alcun </w:t>
      </w:r>
      <w:r w:rsidR="00BF7AD5">
        <w:t>monitoraggio</w:t>
      </w:r>
      <w:r w:rsidR="00AE0068">
        <w:t xml:space="preserve"> </w:t>
      </w:r>
      <w:r w:rsidR="003D530D">
        <w:t xml:space="preserve">accurato </w:t>
      </w:r>
      <w:r w:rsidR="00AE0068">
        <w:t>in questa fase dell’epidemia</w:t>
      </w:r>
      <w:r w:rsidR="00BF7AD5">
        <w:t xml:space="preserve">. Considerato che </w:t>
      </w:r>
      <w:r w:rsidR="007202C9">
        <w:t xml:space="preserve">le fonti ufficiali riportano </w:t>
      </w:r>
      <w:r w:rsidR="00BF7AD5">
        <w:t xml:space="preserve">solo 3 dei 21 indicatori previsti dal sistema di monitoraggio nazionale, la Fondazione GIMBE invita le Regioni a trasmettere tutti i dati richiesti e chiede al Ministero della Salute di renderli pubblici, sia in formato open per i ricercatori, sia </w:t>
      </w:r>
      <w:r w:rsidR="00341741">
        <w:t xml:space="preserve">in un formato </w:t>
      </w:r>
      <w:r w:rsidR="007A2B7E">
        <w:t xml:space="preserve">di facile </w:t>
      </w:r>
      <w:r w:rsidR="00AE0068">
        <w:t>comprensione</w:t>
      </w:r>
      <w:r w:rsidR="007A2B7E">
        <w:t xml:space="preserve"> </w:t>
      </w:r>
      <w:r w:rsidR="00341741">
        <w:t xml:space="preserve">per </w:t>
      </w:r>
      <w:r w:rsidR="00BF7AD5">
        <w:t>i cittadini</w:t>
      </w:r>
      <w:r w:rsidR="00080943" w:rsidRPr="00145AFE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B01F54" w:rsidRPr="000D64BB" w:rsidRDefault="00B01F54" w:rsidP="00B01F5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bookmarkStart w:id="1" w:name="_Hlk41543015"/>
      <w:bookmarkStart w:id="2" w:name="_Hlk41542964"/>
      <w:r w:rsidRPr="000D64BB">
        <w:rPr>
          <w:b/>
        </w:rPr>
        <w:t xml:space="preserve">Figura 1. Variazione nuovi casi per 100.000 abitanti nella settimana 11-17 giugno </w:t>
      </w:r>
      <w:r w:rsidRPr="000D64BB">
        <w:rPr>
          <w:rStyle w:val="Collegamentoipertestuale"/>
          <w:b/>
          <w:noProof/>
          <w:color w:val="auto"/>
          <w:u w:val="none"/>
          <w:lang w:eastAsia="it-IT"/>
        </w:rPr>
        <w:t>vs 4-10 giugno</w:t>
      </w:r>
    </w:p>
    <w:bookmarkEnd w:id="1"/>
    <w:p w:rsidR="00035405" w:rsidRPr="002705E8" w:rsidRDefault="007620F2" w:rsidP="002705E8">
      <w:pPr>
        <w:spacing w:after="120"/>
        <w:jc w:val="center"/>
        <w:rPr>
          <w:b/>
        </w:rPr>
      </w:pPr>
      <w:r>
        <w:rPr>
          <w:b/>
          <w:noProof/>
          <w:lang w:eastAsia="it-IT"/>
        </w:rPr>
        <w:lastRenderedPageBreak/>
        <w:drawing>
          <wp:inline distT="0" distB="0" distL="0" distR="0" wp14:anchorId="5969C001" wp14:editId="48F7C705">
            <wp:extent cx="4680000" cy="411664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116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4A4" w:rsidRPr="00F273A2" w:rsidRDefault="003F24A4" w:rsidP="003F24A4">
      <w:pPr>
        <w:spacing w:after="120"/>
        <w:jc w:val="center"/>
        <w:rPr>
          <w:rStyle w:val="Collegamentoipertestuale"/>
          <w:b/>
          <w:noProof/>
          <w:color w:val="auto"/>
          <w:sz w:val="20"/>
          <w:u w:val="none"/>
          <w:lang w:eastAsia="it-IT"/>
        </w:rPr>
      </w:pPr>
      <w:r w:rsidRPr="00F273A2">
        <w:rPr>
          <w:rStyle w:val="Collegamentoipertestuale"/>
          <w:b/>
          <w:noProof/>
          <w:color w:val="auto"/>
          <w:sz w:val="20"/>
          <w:u w:val="none"/>
          <w:lang w:eastAsia="it-IT"/>
        </w:rPr>
        <w:t xml:space="preserve">Figura </w:t>
      </w:r>
      <w:r w:rsidR="00F273A2">
        <w:rPr>
          <w:rStyle w:val="Collegamentoipertestuale"/>
          <w:b/>
          <w:noProof/>
          <w:color w:val="auto"/>
          <w:sz w:val="20"/>
          <w:u w:val="none"/>
          <w:lang w:eastAsia="it-IT"/>
        </w:rPr>
        <w:t>2</w:t>
      </w:r>
      <w:r w:rsidRPr="00F273A2">
        <w:rPr>
          <w:rStyle w:val="Collegamentoipertestuale"/>
          <w:b/>
          <w:noProof/>
          <w:color w:val="auto"/>
          <w:sz w:val="20"/>
          <w:u w:val="none"/>
          <w:lang w:eastAsia="it-IT"/>
        </w:rPr>
        <w:t xml:space="preserve">. </w:t>
      </w:r>
      <w:r w:rsidR="00FE4674" w:rsidRPr="00F273A2">
        <w:rPr>
          <w:rStyle w:val="Collegamentoipertestuale"/>
          <w:b/>
          <w:noProof/>
          <w:color w:val="auto"/>
          <w:sz w:val="20"/>
          <w:u w:val="none"/>
          <w:lang w:eastAsia="it-IT"/>
        </w:rPr>
        <w:t xml:space="preserve">Variazioni </w:t>
      </w:r>
      <w:r w:rsidR="00C55BF6">
        <w:rPr>
          <w:rStyle w:val="Collegamentoipertestuale"/>
          <w:b/>
          <w:noProof/>
          <w:color w:val="auto"/>
          <w:sz w:val="20"/>
          <w:u w:val="none"/>
          <w:lang w:eastAsia="it-IT"/>
        </w:rPr>
        <w:t>n</w:t>
      </w:r>
      <w:r w:rsidR="00FE4674" w:rsidRPr="00F273A2">
        <w:rPr>
          <w:rStyle w:val="Collegamentoipertestuale"/>
          <w:b/>
          <w:noProof/>
          <w:color w:val="auto"/>
          <w:sz w:val="20"/>
          <w:u w:val="none"/>
          <w:lang w:eastAsia="it-IT"/>
        </w:rPr>
        <w:t xml:space="preserve">° tamponi diagnostici e incidenza nuovi casi nella settimana 11-17 giugno vs 4-10 giugno </w:t>
      </w:r>
    </w:p>
    <w:bookmarkEnd w:id="2"/>
    <w:p w:rsidR="003F24A4" w:rsidRDefault="000D64BB" w:rsidP="002705E8">
      <w:pPr>
        <w:spacing w:after="120"/>
        <w:jc w:val="center"/>
        <w:rPr>
          <w:b/>
          <w:noProof/>
          <w:lang w:eastAsia="it-IT"/>
        </w:rPr>
      </w:pPr>
      <w:r>
        <w:rPr>
          <w:noProof/>
          <w:color w:val="00457D"/>
          <w:lang w:eastAsia="it-IT"/>
        </w:rPr>
        <w:drawing>
          <wp:inline distT="0" distB="0" distL="0" distR="0" wp14:anchorId="649AF0CB" wp14:editId="27147DC1">
            <wp:extent cx="4680000" cy="3934543"/>
            <wp:effectExtent l="0" t="0" r="6350" b="8890"/>
            <wp:docPr id="2" name="Immagine 2" descr="cid:image001.png@01D64501.6DCCA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64501.6DCCA3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3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4A4" w:rsidSect="00637EFB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55" w:rsidRDefault="009F7355">
      <w:pPr>
        <w:spacing w:after="0" w:line="240" w:lineRule="auto"/>
      </w:pPr>
      <w:r>
        <w:separator/>
      </w:r>
    </w:p>
  </w:endnote>
  <w:endnote w:type="continuationSeparator" w:id="0">
    <w:p w:rsidR="009F7355" w:rsidRDefault="009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Default="00AC1D69">
    <w:pPr>
      <w:pStyle w:val="Pidipagina"/>
    </w:pPr>
  </w:p>
  <w:p w:rsidR="00AC1D69" w:rsidRDefault="00AC1D69">
    <w:pPr>
      <w:pStyle w:val="Pidipagina"/>
    </w:pPr>
  </w:p>
  <w:p w:rsidR="00AC1D69" w:rsidRDefault="00AC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55" w:rsidRDefault="009F7355">
      <w:pPr>
        <w:spacing w:after="0" w:line="240" w:lineRule="auto"/>
      </w:pPr>
      <w:r>
        <w:separator/>
      </w:r>
    </w:p>
  </w:footnote>
  <w:footnote w:type="continuationSeparator" w:id="0">
    <w:p w:rsidR="009F7355" w:rsidRDefault="009F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Pr="007F63C2" w:rsidRDefault="00AC1D69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8253A0"/>
    <w:multiLevelType w:val="hybridMultilevel"/>
    <w:tmpl w:val="EE3CF3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7"/>
  </w:num>
  <w:num w:numId="4">
    <w:abstractNumId w:val="12"/>
  </w:num>
  <w:num w:numId="5">
    <w:abstractNumId w:val="34"/>
  </w:num>
  <w:num w:numId="6">
    <w:abstractNumId w:val="6"/>
  </w:num>
  <w:num w:numId="7">
    <w:abstractNumId w:val="10"/>
  </w:num>
  <w:num w:numId="8">
    <w:abstractNumId w:val="29"/>
  </w:num>
  <w:num w:numId="9">
    <w:abstractNumId w:val="8"/>
  </w:num>
  <w:num w:numId="10">
    <w:abstractNumId w:val="24"/>
  </w:num>
  <w:num w:numId="11">
    <w:abstractNumId w:val="15"/>
  </w:num>
  <w:num w:numId="12">
    <w:abstractNumId w:val="23"/>
  </w:num>
  <w:num w:numId="13">
    <w:abstractNumId w:val="5"/>
  </w:num>
  <w:num w:numId="14">
    <w:abstractNumId w:val="22"/>
  </w:num>
  <w:num w:numId="15">
    <w:abstractNumId w:val="1"/>
  </w:num>
  <w:num w:numId="16">
    <w:abstractNumId w:val="2"/>
  </w:num>
  <w:num w:numId="17">
    <w:abstractNumId w:val="28"/>
  </w:num>
  <w:num w:numId="18">
    <w:abstractNumId w:val="9"/>
  </w:num>
  <w:num w:numId="19">
    <w:abstractNumId w:val="33"/>
  </w:num>
  <w:num w:numId="20">
    <w:abstractNumId w:val="7"/>
  </w:num>
  <w:num w:numId="21">
    <w:abstractNumId w:val="32"/>
  </w:num>
  <w:num w:numId="22">
    <w:abstractNumId w:val="35"/>
  </w:num>
  <w:num w:numId="23">
    <w:abstractNumId w:val="37"/>
  </w:num>
  <w:num w:numId="24">
    <w:abstractNumId w:val="13"/>
  </w:num>
  <w:num w:numId="25">
    <w:abstractNumId w:val="17"/>
  </w:num>
  <w:num w:numId="26">
    <w:abstractNumId w:val="26"/>
  </w:num>
  <w:num w:numId="27">
    <w:abstractNumId w:val="36"/>
  </w:num>
  <w:num w:numId="28">
    <w:abstractNumId w:val="11"/>
  </w:num>
  <w:num w:numId="29">
    <w:abstractNumId w:val="30"/>
  </w:num>
  <w:num w:numId="30">
    <w:abstractNumId w:val="21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504"/>
    <w:rsid w:val="00002908"/>
    <w:rsid w:val="00007E2D"/>
    <w:rsid w:val="00010AEF"/>
    <w:rsid w:val="00012955"/>
    <w:rsid w:val="000171CE"/>
    <w:rsid w:val="000177CD"/>
    <w:rsid w:val="000179EC"/>
    <w:rsid w:val="000200E1"/>
    <w:rsid w:val="00023F18"/>
    <w:rsid w:val="00026DC0"/>
    <w:rsid w:val="000328C9"/>
    <w:rsid w:val="00035405"/>
    <w:rsid w:val="0004029D"/>
    <w:rsid w:val="00043A85"/>
    <w:rsid w:val="000529FD"/>
    <w:rsid w:val="000548AC"/>
    <w:rsid w:val="0005649A"/>
    <w:rsid w:val="00057675"/>
    <w:rsid w:val="00060A3C"/>
    <w:rsid w:val="000648AF"/>
    <w:rsid w:val="000650A3"/>
    <w:rsid w:val="00066FEB"/>
    <w:rsid w:val="0007007A"/>
    <w:rsid w:val="000713E0"/>
    <w:rsid w:val="00071F3F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A5D42"/>
    <w:rsid w:val="000A7474"/>
    <w:rsid w:val="000B0330"/>
    <w:rsid w:val="000B1503"/>
    <w:rsid w:val="000B23AC"/>
    <w:rsid w:val="000B2A0D"/>
    <w:rsid w:val="000B6E50"/>
    <w:rsid w:val="000C1558"/>
    <w:rsid w:val="000C1EDD"/>
    <w:rsid w:val="000C22C6"/>
    <w:rsid w:val="000D1769"/>
    <w:rsid w:val="000D1D78"/>
    <w:rsid w:val="000D64BB"/>
    <w:rsid w:val="000D6AC6"/>
    <w:rsid w:val="000E2B65"/>
    <w:rsid w:val="000E4C32"/>
    <w:rsid w:val="000E5CDA"/>
    <w:rsid w:val="000F136B"/>
    <w:rsid w:val="000F23C9"/>
    <w:rsid w:val="000F2E5C"/>
    <w:rsid w:val="000F381E"/>
    <w:rsid w:val="000F41B1"/>
    <w:rsid w:val="000F4E69"/>
    <w:rsid w:val="000F655E"/>
    <w:rsid w:val="000F6B97"/>
    <w:rsid w:val="000F7D28"/>
    <w:rsid w:val="000F7EE8"/>
    <w:rsid w:val="00103E7D"/>
    <w:rsid w:val="00104759"/>
    <w:rsid w:val="0010550E"/>
    <w:rsid w:val="001059AD"/>
    <w:rsid w:val="00113053"/>
    <w:rsid w:val="00113554"/>
    <w:rsid w:val="00123005"/>
    <w:rsid w:val="0012440D"/>
    <w:rsid w:val="00124E32"/>
    <w:rsid w:val="00126676"/>
    <w:rsid w:val="001305E0"/>
    <w:rsid w:val="0013167A"/>
    <w:rsid w:val="001320B9"/>
    <w:rsid w:val="00133E24"/>
    <w:rsid w:val="001341D8"/>
    <w:rsid w:val="001348C4"/>
    <w:rsid w:val="00136710"/>
    <w:rsid w:val="001408D2"/>
    <w:rsid w:val="00143377"/>
    <w:rsid w:val="00143BB8"/>
    <w:rsid w:val="00145AFE"/>
    <w:rsid w:val="00146588"/>
    <w:rsid w:val="001509C3"/>
    <w:rsid w:val="00153115"/>
    <w:rsid w:val="00156186"/>
    <w:rsid w:val="00166D9E"/>
    <w:rsid w:val="0017590C"/>
    <w:rsid w:val="001767BB"/>
    <w:rsid w:val="00183566"/>
    <w:rsid w:val="00183F81"/>
    <w:rsid w:val="00186CF1"/>
    <w:rsid w:val="001A0964"/>
    <w:rsid w:val="001A25A5"/>
    <w:rsid w:val="001A3813"/>
    <w:rsid w:val="001A3EC6"/>
    <w:rsid w:val="001A642A"/>
    <w:rsid w:val="001C07D8"/>
    <w:rsid w:val="001C3871"/>
    <w:rsid w:val="001D0755"/>
    <w:rsid w:val="001D1D83"/>
    <w:rsid w:val="001D59FE"/>
    <w:rsid w:val="001D6AC1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F06CD"/>
    <w:rsid w:val="001F2345"/>
    <w:rsid w:val="001F69E0"/>
    <w:rsid w:val="00204E2D"/>
    <w:rsid w:val="0020632D"/>
    <w:rsid w:val="00210F6C"/>
    <w:rsid w:val="00213097"/>
    <w:rsid w:val="002149D9"/>
    <w:rsid w:val="00217534"/>
    <w:rsid w:val="00217C7C"/>
    <w:rsid w:val="002205C9"/>
    <w:rsid w:val="00223CBF"/>
    <w:rsid w:val="00223FDE"/>
    <w:rsid w:val="0022503B"/>
    <w:rsid w:val="002273E1"/>
    <w:rsid w:val="0023472D"/>
    <w:rsid w:val="0023571B"/>
    <w:rsid w:val="002409AC"/>
    <w:rsid w:val="00240B0E"/>
    <w:rsid w:val="002419BE"/>
    <w:rsid w:val="00241BC8"/>
    <w:rsid w:val="002442BE"/>
    <w:rsid w:val="00246085"/>
    <w:rsid w:val="00252E88"/>
    <w:rsid w:val="0025387F"/>
    <w:rsid w:val="00255F11"/>
    <w:rsid w:val="0025799B"/>
    <w:rsid w:val="00260A99"/>
    <w:rsid w:val="002666F4"/>
    <w:rsid w:val="002705E8"/>
    <w:rsid w:val="00272F32"/>
    <w:rsid w:val="00275D83"/>
    <w:rsid w:val="00276946"/>
    <w:rsid w:val="00280213"/>
    <w:rsid w:val="002813A7"/>
    <w:rsid w:val="002815AC"/>
    <w:rsid w:val="0028323F"/>
    <w:rsid w:val="002837E8"/>
    <w:rsid w:val="00284702"/>
    <w:rsid w:val="00287EB2"/>
    <w:rsid w:val="00292F53"/>
    <w:rsid w:val="00296100"/>
    <w:rsid w:val="00297824"/>
    <w:rsid w:val="002A2099"/>
    <w:rsid w:val="002A4E8D"/>
    <w:rsid w:val="002A59D9"/>
    <w:rsid w:val="002A5FA2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63E0"/>
    <w:rsid w:val="002D7694"/>
    <w:rsid w:val="002D76E0"/>
    <w:rsid w:val="002E0DAB"/>
    <w:rsid w:val="002E182B"/>
    <w:rsid w:val="002F1137"/>
    <w:rsid w:val="002F1666"/>
    <w:rsid w:val="002F70DB"/>
    <w:rsid w:val="00300FDE"/>
    <w:rsid w:val="00304BC8"/>
    <w:rsid w:val="00306D88"/>
    <w:rsid w:val="00317538"/>
    <w:rsid w:val="00320449"/>
    <w:rsid w:val="00325971"/>
    <w:rsid w:val="00326A22"/>
    <w:rsid w:val="00327AF6"/>
    <w:rsid w:val="00327D55"/>
    <w:rsid w:val="00327D6B"/>
    <w:rsid w:val="00330B57"/>
    <w:rsid w:val="0033740A"/>
    <w:rsid w:val="00341741"/>
    <w:rsid w:val="00343D23"/>
    <w:rsid w:val="00345D05"/>
    <w:rsid w:val="0034652C"/>
    <w:rsid w:val="003515F5"/>
    <w:rsid w:val="003522D4"/>
    <w:rsid w:val="00352733"/>
    <w:rsid w:val="00352A02"/>
    <w:rsid w:val="00355D9B"/>
    <w:rsid w:val="003573F0"/>
    <w:rsid w:val="003624F9"/>
    <w:rsid w:val="00363CCA"/>
    <w:rsid w:val="0037366F"/>
    <w:rsid w:val="00375555"/>
    <w:rsid w:val="00376334"/>
    <w:rsid w:val="00376B13"/>
    <w:rsid w:val="00384F8E"/>
    <w:rsid w:val="00387426"/>
    <w:rsid w:val="003925EF"/>
    <w:rsid w:val="003944F4"/>
    <w:rsid w:val="0039540D"/>
    <w:rsid w:val="003A0175"/>
    <w:rsid w:val="003B4B8E"/>
    <w:rsid w:val="003B7ED5"/>
    <w:rsid w:val="003C28C9"/>
    <w:rsid w:val="003C3A9A"/>
    <w:rsid w:val="003C545F"/>
    <w:rsid w:val="003C6EB4"/>
    <w:rsid w:val="003D1749"/>
    <w:rsid w:val="003D2181"/>
    <w:rsid w:val="003D3898"/>
    <w:rsid w:val="003D530D"/>
    <w:rsid w:val="003D5C6D"/>
    <w:rsid w:val="003E228A"/>
    <w:rsid w:val="003E318E"/>
    <w:rsid w:val="003E62A0"/>
    <w:rsid w:val="003F24A4"/>
    <w:rsid w:val="003F4964"/>
    <w:rsid w:val="003F5E91"/>
    <w:rsid w:val="003F66ED"/>
    <w:rsid w:val="003F7AAD"/>
    <w:rsid w:val="00400B49"/>
    <w:rsid w:val="00406927"/>
    <w:rsid w:val="00410301"/>
    <w:rsid w:val="00410F0D"/>
    <w:rsid w:val="00412031"/>
    <w:rsid w:val="0041302D"/>
    <w:rsid w:val="004173E1"/>
    <w:rsid w:val="00417C1C"/>
    <w:rsid w:val="004207EF"/>
    <w:rsid w:val="00420C20"/>
    <w:rsid w:val="00420CC8"/>
    <w:rsid w:val="004214E3"/>
    <w:rsid w:val="00423ED3"/>
    <w:rsid w:val="00425C3A"/>
    <w:rsid w:val="00427B58"/>
    <w:rsid w:val="00435198"/>
    <w:rsid w:val="004374D6"/>
    <w:rsid w:val="00437BB8"/>
    <w:rsid w:val="00441414"/>
    <w:rsid w:val="004421F3"/>
    <w:rsid w:val="0044462E"/>
    <w:rsid w:val="004534C0"/>
    <w:rsid w:val="004549CB"/>
    <w:rsid w:val="00455B93"/>
    <w:rsid w:val="00455F70"/>
    <w:rsid w:val="00456FB9"/>
    <w:rsid w:val="00460478"/>
    <w:rsid w:val="0046399E"/>
    <w:rsid w:val="004640C3"/>
    <w:rsid w:val="004642D0"/>
    <w:rsid w:val="00467C46"/>
    <w:rsid w:val="004703BD"/>
    <w:rsid w:val="0047278C"/>
    <w:rsid w:val="00476735"/>
    <w:rsid w:val="00476F10"/>
    <w:rsid w:val="004805BB"/>
    <w:rsid w:val="00480CC3"/>
    <w:rsid w:val="00487CA2"/>
    <w:rsid w:val="00487DFA"/>
    <w:rsid w:val="00490381"/>
    <w:rsid w:val="00493007"/>
    <w:rsid w:val="00494318"/>
    <w:rsid w:val="00494885"/>
    <w:rsid w:val="0049718B"/>
    <w:rsid w:val="004A0133"/>
    <w:rsid w:val="004A574D"/>
    <w:rsid w:val="004A6E52"/>
    <w:rsid w:val="004A7DB9"/>
    <w:rsid w:val="004B2FB3"/>
    <w:rsid w:val="004B3D68"/>
    <w:rsid w:val="004C12A9"/>
    <w:rsid w:val="004C3A9A"/>
    <w:rsid w:val="004C41A8"/>
    <w:rsid w:val="004C50A7"/>
    <w:rsid w:val="004C60DC"/>
    <w:rsid w:val="004D26DF"/>
    <w:rsid w:val="004D3220"/>
    <w:rsid w:val="004D3455"/>
    <w:rsid w:val="004D5A05"/>
    <w:rsid w:val="004D6BE7"/>
    <w:rsid w:val="004E1A67"/>
    <w:rsid w:val="004E1AC9"/>
    <w:rsid w:val="004E7D1A"/>
    <w:rsid w:val="004F173B"/>
    <w:rsid w:val="004F2759"/>
    <w:rsid w:val="004F29CC"/>
    <w:rsid w:val="004F61AA"/>
    <w:rsid w:val="00500FEB"/>
    <w:rsid w:val="0050196C"/>
    <w:rsid w:val="00502A03"/>
    <w:rsid w:val="00503976"/>
    <w:rsid w:val="005052B2"/>
    <w:rsid w:val="005127EB"/>
    <w:rsid w:val="005165ED"/>
    <w:rsid w:val="00521CAE"/>
    <w:rsid w:val="00523087"/>
    <w:rsid w:val="0052545F"/>
    <w:rsid w:val="00526F9F"/>
    <w:rsid w:val="005356F3"/>
    <w:rsid w:val="00535B99"/>
    <w:rsid w:val="005378EA"/>
    <w:rsid w:val="00541FCE"/>
    <w:rsid w:val="0054575E"/>
    <w:rsid w:val="00546091"/>
    <w:rsid w:val="0054649D"/>
    <w:rsid w:val="00547577"/>
    <w:rsid w:val="00552D44"/>
    <w:rsid w:val="005531F6"/>
    <w:rsid w:val="00557FAC"/>
    <w:rsid w:val="00563171"/>
    <w:rsid w:val="00565896"/>
    <w:rsid w:val="00565B01"/>
    <w:rsid w:val="005721B6"/>
    <w:rsid w:val="00572631"/>
    <w:rsid w:val="00573CE1"/>
    <w:rsid w:val="00582B47"/>
    <w:rsid w:val="00584F34"/>
    <w:rsid w:val="005850C4"/>
    <w:rsid w:val="005879F9"/>
    <w:rsid w:val="00595C29"/>
    <w:rsid w:val="00596FA8"/>
    <w:rsid w:val="005A3752"/>
    <w:rsid w:val="005A4C86"/>
    <w:rsid w:val="005A69DC"/>
    <w:rsid w:val="005A7071"/>
    <w:rsid w:val="005B1421"/>
    <w:rsid w:val="005B1EBE"/>
    <w:rsid w:val="005B6533"/>
    <w:rsid w:val="005B67AE"/>
    <w:rsid w:val="005C08B9"/>
    <w:rsid w:val="005C092C"/>
    <w:rsid w:val="005C5D3F"/>
    <w:rsid w:val="005D08B3"/>
    <w:rsid w:val="005D2F9E"/>
    <w:rsid w:val="005D38E6"/>
    <w:rsid w:val="005E053F"/>
    <w:rsid w:val="005E3CCE"/>
    <w:rsid w:val="005E4864"/>
    <w:rsid w:val="005E6366"/>
    <w:rsid w:val="005E6613"/>
    <w:rsid w:val="005E6C0B"/>
    <w:rsid w:val="005F0188"/>
    <w:rsid w:val="005F5D57"/>
    <w:rsid w:val="005F6212"/>
    <w:rsid w:val="005F7A93"/>
    <w:rsid w:val="00602DF1"/>
    <w:rsid w:val="00604DAE"/>
    <w:rsid w:val="006074AF"/>
    <w:rsid w:val="00612F59"/>
    <w:rsid w:val="00615B1C"/>
    <w:rsid w:val="0062113D"/>
    <w:rsid w:val="00622F59"/>
    <w:rsid w:val="00631EE7"/>
    <w:rsid w:val="00632682"/>
    <w:rsid w:val="006344FF"/>
    <w:rsid w:val="006347C6"/>
    <w:rsid w:val="00637EFB"/>
    <w:rsid w:val="0064233C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6B65"/>
    <w:rsid w:val="006602C7"/>
    <w:rsid w:val="00661625"/>
    <w:rsid w:val="00664F08"/>
    <w:rsid w:val="00672099"/>
    <w:rsid w:val="00674F78"/>
    <w:rsid w:val="00676036"/>
    <w:rsid w:val="006876EB"/>
    <w:rsid w:val="00690ACD"/>
    <w:rsid w:val="00691E9D"/>
    <w:rsid w:val="006A3B33"/>
    <w:rsid w:val="006B2769"/>
    <w:rsid w:val="006B6C0F"/>
    <w:rsid w:val="006C0A61"/>
    <w:rsid w:val="006C22E4"/>
    <w:rsid w:val="006C3FBD"/>
    <w:rsid w:val="006C458D"/>
    <w:rsid w:val="006C61CF"/>
    <w:rsid w:val="006D0D40"/>
    <w:rsid w:val="006D127C"/>
    <w:rsid w:val="006D28FA"/>
    <w:rsid w:val="006D4E98"/>
    <w:rsid w:val="006D696D"/>
    <w:rsid w:val="006E02A4"/>
    <w:rsid w:val="006E2575"/>
    <w:rsid w:val="006E488E"/>
    <w:rsid w:val="006E5D20"/>
    <w:rsid w:val="006F20F9"/>
    <w:rsid w:val="006F24CB"/>
    <w:rsid w:val="006F6445"/>
    <w:rsid w:val="007006C3"/>
    <w:rsid w:val="00706AE0"/>
    <w:rsid w:val="00711A1B"/>
    <w:rsid w:val="00712DE3"/>
    <w:rsid w:val="00714DD1"/>
    <w:rsid w:val="00716462"/>
    <w:rsid w:val="00716D6F"/>
    <w:rsid w:val="00716E9B"/>
    <w:rsid w:val="00717187"/>
    <w:rsid w:val="007202C9"/>
    <w:rsid w:val="00723A22"/>
    <w:rsid w:val="0072783E"/>
    <w:rsid w:val="00732E2F"/>
    <w:rsid w:val="0073695C"/>
    <w:rsid w:val="00742B69"/>
    <w:rsid w:val="00743648"/>
    <w:rsid w:val="0074492B"/>
    <w:rsid w:val="007456CB"/>
    <w:rsid w:val="007476C5"/>
    <w:rsid w:val="00753608"/>
    <w:rsid w:val="0075480B"/>
    <w:rsid w:val="00755114"/>
    <w:rsid w:val="00757AB3"/>
    <w:rsid w:val="00757E7A"/>
    <w:rsid w:val="0076048C"/>
    <w:rsid w:val="007606A9"/>
    <w:rsid w:val="007607AB"/>
    <w:rsid w:val="007620F2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87494"/>
    <w:rsid w:val="007934E9"/>
    <w:rsid w:val="00797683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C2BCE"/>
    <w:rsid w:val="007C3065"/>
    <w:rsid w:val="007C48EB"/>
    <w:rsid w:val="007C62A1"/>
    <w:rsid w:val="007D0C94"/>
    <w:rsid w:val="007D1284"/>
    <w:rsid w:val="007D21EE"/>
    <w:rsid w:val="007D7805"/>
    <w:rsid w:val="007E1F0A"/>
    <w:rsid w:val="007E2BA6"/>
    <w:rsid w:val="007E2C64"/>
    <w:rsid w:val="007E6483"/>
    <w:rsid w:val="007F276F"/>
    <w:rsid w:val="007F3F63"/>
    <w:rsid w:val="007F6282"/>
    <w:rsid w:val="008006DB"/>
    <w:rsid w:val="00801134"/>
    <w:rsid w:val="00802724"/>
    <w:rsid w:val="00805F05"/>
    <w:rsid w:val="0080704D"/>
    <w:rsid w:val="00807B71"/>
    <w:rsid w:val="00811C30"/>
    <w:rsid w:val="00812008"/>
    <w:rsid w:val="00812DAD"/>
    <w:rsid w:val="00813DA2"/>
    <w:rsid w:val="00813FAA"/>
    <w:rsid w:val="008141B0"/>
    <w:rsid w:val="00815132"/>
    <w:rsid w:val="00816B69"/>
    <w:rsid w:val="00822659"/>
    <w:rsid w:val="0082682D"/>
    <w:rsid w:val="0083016D"/>
    <w:rsid w:val="00834413"/>
    <w:rsid w:val="00835264"/>
    <w:rsid w:val="008376AC"/>
    <w:rsid w:val="0084002B"/>
    <w:rsid w:val="00840E9B"/>
    <w:rsid w:val="0084133F"/>
    <w:rsid w:val="0084753A"/>
    <w:rsid w:val="008505F6"/>
    <w:rsid w:val="00851073"/>
    <w:rsid w:val="008515EF"/>
    <w:rsid w:val="00852832"/>
    <w:rsid w:val="00852CA1"/>
    <w:rsid w:val="00854B36"/>
    <w:rsid w:val="00855916"/>
    <w:rsid w:val="00856676"/>
    <w:rsid w:val="008613A9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57D2"/>
    <w:rsid w:val="008A55F7"/>
    <w:rsid w:val="008A5BA9"/>
    <w:rsid w:val="008A6587"/>
    <w:rsid w:val="008A7176"/>
    <w:rsid w:val="008A7D9C"/>
    <w:rsid w:val="008B0811"/>
    <w:rsid w:val="008B1878"/>
    <w:rsid w:val="008B791C"/>
    <w:rsid w:val="008D2367"/>
    <w:rsid w:val="008D2AAD"/>
    <w:rsid w:val="008D4DF1"/>
    <w:rsid w:val="008E086F"/>
    <w:rsid w:val="008E5187"/>
    <w:rsid w:val="008E5D9E"/>
    <w:rsid w:val="008E6971"/>
    <w:rsid w:val="008E7910"/>
    <w:rsid w:val="008F0A5C"/>
    <w:rsid w:val="008F1612"/>
    <w:rsid w:val="008F4115"/>
    <w:rsid w:val="008F50B0"/>
    <w:rsid w:val="008F675F"/>
    <w:rsid w:val="00900D84"/>
    <w:rsid w:val="00901A6B"/>
    <w:rsid w:val="00902148"/>
    <w:rsid w:val="0090383F"/>
    <w:rsid w:val="009049BC"/>
    <w:rsid w:val="00906C3E"/>
    <w:rsid w:val="00911CAF"/>
    <w:rsid w:val="00911D2E"/>
    <w:rsid w:val="0091396B"/>
    <w:rsid w:val="00913C78"/>
    <w:rsid w:val="00914A26"/>
    <w:rsid w:val="00921D60"/>
    <w:rsid w:val="00924455"/>
    <w:rsid w:val="009249AB"/>
    <w:rsid w:val="00925D82"/>
    <w:rsid w:val="00932B6D"/>
    <w:rsid w:val="0093426F"/>
    <w:rsid w:val="00936453"/>
    <w:rsid w:val="009369B6"/>
    <w:rsid w:val="00940309"/>
    <w:rsid w:val="00941121"/>
    <w:rsid w:val="009435DE"/>
    <w:rsid w:val="00943DE0"/>
    <w:rsid w:val="00944EF6"/>
    <w:rsid w:val="00945A20"/>
    <w:rsid w:val="00945E9B"/>
    <w:rsid w:val="00946221"/>
    <w:rsid w:val="00947579"/>
    <w:rsid w:val="009475F0"/>
    <w:rsid w:val="00954287"/>
    <w:rsid w:val="00955E2A"/>
    <w:rsid w:val="0095608C"/>
    <w:rsid w:val="00956331"/>
    <w:rsid w:val="00967957"/>
    <w:rsid w:val="00974EC8"/>
    <w:rsid w:val="00975612"/>
    <w:rsid w:val="00984DF6"/>
    <w:rsid w:val="00990E18"/>
    <w:rsid w:val="009956AF"/>
    <w:rsid w:val="009970D3"/>
    <w:rsid w:val="009A1612"/>
    <w:rsid w:val="009A33DB"/>
    <w:rsid w:val="009A64A5"/>
    <w:rsid w:val="009B0507"/>
    <w:rsid w:val="009B1C75"/>
    <w:rsid w:val="009B314F"/>
    <w:rsid w:val="009B7B66"/>
    <w:rsid w:val="009C113E"/>
    <w:rsid w:val="009C6BF7"/>
    <w:rsid w:val="009D34A4"/>
    <w:rsid w:val="009D4A19"/>
    <w:rsid w:val="009D5834"/>
    <w:rsid w:val="009E0E19"/>
    <w:rsid w:val="009E1E52"/>
    <w:rsid w:val="009E35CB"/>
    <w:rsid w:val="009E6748"/>
    <w:rsid w:val="009F2B01"/>
    <w:rsid w:val="009F4108"/>
    <w:rsid w:val="009F7355"/>
    <w:rsid w:val="009F7BF1"/>
    <w:rsid w:val="00A05149"/>
    <w:rsid w:val="00A05DA4"/>
    <w:rsid w:val="00A061E7"/>
    <w:rsid w:val="00A07778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202F"/>
    <w:rsid w:val="00A32A97"/>
    <w:rsid w:val="00A33EF5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BA1"/>
    <w:rsid w:val="00A5468C"/>
    <w:rsid w:val="00A54F2C"/>
    <w:rsid w:val="00A57EE9"/>
    <w:rsid w:val="00A60230"/>
    <w:rsid w:val="00A63180"/>
    <w:rsid w:val="00A651A2"/>
    <w:rsid w:val="00A6607A"/>
    <w:rsid w:val="00A67218"/>
    <w:rsid w:val="00A67B4E"/>
    <w:rsid w:val="00A73BBD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2F2F"/>
    <w:rsid w:val="00AA3B9C"/>
    <w:rsid w:val="00AA7482"/>
    <w:rsid w:val="00AB0CE2"/>
    <w:rsid w:val="00AB3446"/>
    <w:rsid w:val="00AB35BB"/>
    <w:rsid w:val="00AB3B81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510C"/>
    <w:rsid w:val="00AD7137"/>
    <w:rsid w:val="00AE0068"/>
    <w:rsid w:val="00AE3EA3"/>
    <w:rsid w:val="00AF55DD"/>
    <w:rsid w:val="00AF71E2"/>
    <w:rsid w:val="00B01615"/>
    <w:rsid w:val="00B01F54"/>
    <w:rsid w:val="00B021EA"/>
    <w:rsid w:val="00B04792"/>
    <w:rsid w:val="00B050EF"/>
    <w:rsid w:val="00B11737"/>
    <w:rsid w:val="00B17140"/>
    <w:rsid w:val="00B23F66"/>
    <w:rsid w:val="00B241CC"/>
    <w:rsid w:val="00B24821"/>
    <w:rsid w:val="00B27A9C"/>
    <w:rsid w:val="00B3670B"/>
    <w:rsid w:val="00B41CDA"/>
    <w:rsid w:val="00B443D8"/>
    <w:rsid w:val="00B45494"/>
    <w:rsid w:val="00B47F95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6857"/>
    <w:rsid w:val="00B812D1"/>
    <w:rsid w:val="00B82B20"/>
    <w:rsid w:val="00B82FEA"/>
    <w:rsid w:val="00B8711E"/>
    <w:rsid w:val="00B92D75"/>
    <w:rsid w:val="00B95C5D"/>
    <w:rsid w:val="00B97121"/>
    <w:rsid w:val="00BA08BE"/>
    <w:rsid w:val="00BA095D"/>
    <w:rsid w:val="00BA3DDE"/>
    <w:rsid w:val="00BA5083"/>
    <w:rsid w:val="00BA798E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C7AAD"/>
    <w:rsid w:val="00BD12F3"/>
    <w:rsid w:val="00BD2441"/>
    <w:rsid w:val="00BD618E"/>
    <w:rsid w:val="00BD689A"/>
    <w:rsid w:val="00BE2807"/>
    <w:rsid w:val="00BE4CBF"/>
    <w:rsid w:val="00BF0218"/>
    <w:rsid w:val="00BF22E3"/>
    <w:rsid w:val="00BF55EA"/>
    <w:rsid w:val="00BF656A"/>
    <w:rsid w:val="00BF7AD5"/>
    <w:rsid w:val="00C01B35"/>
    <w:rsid w:val="00C024D8"/>
    <w:rsid w:val="00C075E0"/>
    <w:rsid w:val="00C1065A"/>
    <w:rsid w:val="00C12018"/>
    <w:rsid w:val="00C15FCE"/>
    <w:rsid w:val="00C249E7"/>
    <w:rsid w:val="00C276DD"/>
    <w:rsid w:val="00C34525"/>
    <w:rsid w:val="00C3563E"/>
    <w:rsid w:val="00C41C75"/>
    <w:rsid w:val="00C44FA0"/>
    <w:rsid w:val="00C4623F"/>
    <w:rsid w:val="00C50340"/>
    <w:rsid w:val="00C552C3"/>
    <w:rsid w:val="00C55BF6"/>
    <w:rsid w:val="00C56E82"/>
    <w:rsid w:val="00C57B75"/>
    <w:rsid w:val="00C6226B"/>
    <w:rsid w:val="00C64990"/>
    <w:rsid w:val="00C71643"/>
    <w:rsid w:val="00C7252C"/>
    <w:rsid w:val="00C83CAC"/>
    <w:rsid w:val="00C90BDE"/>
    <w:rsid w:val="00C91496"/>
    <w:rsid w:val="00C9165C"/>
    <w:rsid w:val="00C93E25"/>
    <w:rsid w:val="00C95A2F"/>
    <w:rsid w:val="00C97145"/>
    <w:rsid w:val="00C977DF"/>
    <w:rsid w:val="00CA3BC7"/>
    <w:rsid w:val="00CA461A"/>
    <w:rsid w:val="00CA71BA"/>
    <w:rsid w:val="00CB5127"/>
    <w:rsid w:val="00CB71D2"/>
    <w:rsid w:val="00CB7EB6"/>
    <w:rsid w:val="00CC3BE0"/>
    <w:rsid w:val="00CC4F6E"/>
    <w:rsid w:val="00CC6930"/>
    <w:rsid w:val="00CC76C8"/>
    <w:rsid w:val="00CD019A"/>
    <w:rsid w:val="00CD173C"/>
    <w:rsid w:val="00CD2388"/>
    <w:rsid w:val="00CE0186"/>
    <w:rsid w:val="00CE02BB"/>
    <w:rsid w:val="00CE10AB"/>
    <w:rsid w:val="00CE1598"/>
    <w:rsid w:val="00CE6335"/>
    <w:rsid w:val="00CE71FC"/>
    <w:rsid w:val="00CF1F59"/>
    <w:rsid w:val="00CF475E"/>
    <w:rsid w:val="00CF4849"/>
    <w:rsid w:val="00CF77FD"/>
    <w:rsid w:val="00D021F1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60482"/>
    <w:rsid w:val="00D648FE"/>
    <w:rsid w:val="00D67259"/>
    <w:rsid w:val="00D67E77"/>
    <w:rsid w:val="00D70181"/>
    <w:rsid w:val="00D7556D"/>
    <w:rsid w:val="00D75B91"/>
    <w:rsid w:val="00D76D04"/>
    <w:rsid w:val="00D77456"/>
    <w:rsid w:val="00D80343"/>
    <w:rsid w:val="00D81C78"/>
    <w:rsid w:val="00D8486C"/>
    <w:rsid w:val="00D8626A"/>
    <w:rsid w:val="00D8774A"/>
    <w:rsid w:val="00D90AB3"/>
    <w:rsid w:val="00D914F7"/>
    <w:rsid w:val="00D932BA"/>
    <w:rsid w:val="00D93C9B"/>
    <w:rsid w:val="00D94B97"/>
    <w:rsid w:val="00D96620"/>
    <w:rsid w:val="00DA1BAE"/>
    <w:rsid w:val="00DC0CA0"/>
    <w:rsid w:val="00DC3221"/>
    <w:rsid w:val="00DC4DE7"/>
    <w:rsid w:val="00DD0598"/>
    <w:rsid w:val="00DD24D5"/>
    <w:rsid w:val="00DD5296"/>
    <w:rsid w:val="00DE42BF"/>
    <w:rsid w:val="00DE6438"/>
    <w:rsid w:val="00DF1142"/>
    <w:rsid w:val="00DF26C3"/>
    <w:rsid w:val="00DF33AF"/>
    <w:rsid w:val="00DF4924"/>
    <w:rsid w:val="00DF7EF2"/>
    <w:rsid w:val="00E0214D"/>
    <w:rsid w:val="00E025AE"/>
    <w:rsid w:val="00E02ACD"/>
    <w:rsid w:val="00E04696"/>
    <w:rsid w:val="00E101A8"/>
    <w:rsid w:val="00E1162E"/>
    <w:rsid w:val="00E12171"/>
    <w:rsid w:val="00E15139"/>
    <w:rsid w:val="00E153B6"/>
    <w:rsid w:val="00E2044B"/>
    <w:rsid w:val="00E23B0B"/>
    <w:rsid w:val="00E23DCC"/>
    <w:rsid w:val="00E243CC"/>
    <w:rsid w:val="00E244E2"/>
    <w:rsid w:val="00E256CA"/>
    <w:rsid w:val="00E25F3D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3E33"/>
    <w:rsid w:val="00E6154F"/>
    <w:rsid w:val="00E61AF4"/>
    <w:rsid w:val="00E74431"/>
    <w:rsid w:val="00E751C2"/>
    <w:rsid w:val="00E766DD"/>
    <w:rsid w:val="00E81093"/>
    <w:rsid w:val="00E81B54"/>
    <w:rsid w:val="00E83D64"/>
    <w:rsid w:val="00E861DE"/>
    <w:rsid w:val="00E92498"/>
    <w:rsid w:val="00E92D33"/>
    <w:rsid w:val="00E97258"/>
    <w:rsid w:val="00EA2F90"/>
    <w:rsid w:val="00EA4E3A"/>
    <w:rsid w:val="00EA5993"/>
    <w:rsid w:val="00EA6343"/>
    <w:rsid w:val="00EB3915"/>
    <w:rsid w:val="00EC3C73"/>
    <w:rsid w:val="00EC7463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29A0"/>
    <w:rsid w:val="00EF50D7"/>
    <w:rsid w:val="00EF6DF5"/>
    <w:rsid w:val="00F02F06"/>
    <w:rsid w:val="00F072AF"/>
    <w:rsid w:val="00F10001"/>
    <w:rsid w:val="00F1238A"/>
    <w:rsid w:val="00F16223"/>
    <w:rsid w:val="00F25F97"/>
    <w:rsid w:val="00F273A2"/>
    <w:rsid w:val="00F302CB"/>
    <w:rsid w:val="00F348D4"/>
    <w:rsid w:val="00F37E81"/>
    <w:rsid w:val="00F4306A"/>
    <w:rsid w:val="00F432D2"/>
    <w:rsid w:val="00F434A1"/>
    <w:rsid w:val="00F43895"/>
    <w:rsid w:val="00F544A5"/>
    <w:rsid w:val="00F60151"/>
    <w:rsid w:val="00F6381A"/>
    <w:rsid w:val="00F66FD8"/>
    <w:rsid w:val="00F70C6F"/>
    <w:rsid w:val="00F71726"/>
    <w:rsid w:val="00F72378"/>
    <w:rsid w:val="00F768CD"/>
    <w:rsid w:val="00F769EE"/>
    <w:rsid w:val="00F839F8"/>
    <w:rsid w:val="00F84B69"/>
    <w:rsid w:val="00F8519A"/>
    <w:rsid w:val="00F8554D"/>
    <w:rsid w:val="00F8568B"/>
    <w:rsid w:val="00F86095"/>
    <w:rsid w:val="00F8697E"/>
    <w:rsid w:val="00F876F6"/>
    <w:rsid w:val="00F90893"/>
    <w:rsid w:val="00F90BF9"/>
    <w:rsid w:val="00F94702"/>
    <w:rsid w:val="00F95A9B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D4603"/>
    <w:rsid w:val="00FD6645"/>
    <w:rsid w:val="00FE25D1"/>
    <w:rsid w:val="00FE3A84"/>
    <w:rsid w:val="00FE4674"/>
    <w:rsid w:val="00FE4936"/>
    <w:rsid w:val="00FE6830"/>
    <w:rsid w:val="00FE6E72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2682"/>
  <w15:docId w15:val="{A54CF12F-627A-4724-8F03-4CDDC0E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64501.6DCCA3E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9FC7-F057-4CF8-B066-FCFAF214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10</cp:revision>
  <dcterms:created xsi:type="dcterms:W3CDTF">2020-06-18T06:41:00Z</dcterms:created>
  <dcterms:modified xsi:type="dcterms:W3CDTF">2020-06-18T08:06:00Z</dcterms:modified>
</cp:coreProperties>
</file>