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0E4" w:rsidRDefault="000E781A" w:rsidP="001F00E4">
      <w:pPr>
        <w:spacing w:after="0" w:line="276" w:lineRule="auto"/>
        <w:jc w:val="center"/>
        <w:rPr>
          <w:b/>
          <w:bCs/>
          <w:color w:val="FF0000"/>
          <w:sz w:val="30"/>
          <w:szCs w:val="30"/>
        </w:rPr>
      </w:pPr>
      <w:r w:rsidRPr="00D73C20">
        <w:rPr>
          <w:b/>
          <w:bCs/>
          <w:color w:val="auto"/>
          <w:sz w:val="32"/>
          <w:szCs w:val="31"/>
        </w:rPr>
        <w:t>COMUNICATO STAMPA</w:t>
      </w:r>
      <w:r w:rsidRPr="00D73C20">
        <w:rPr>
          <w:b/>
          <w:bCs/>
          <w:color w:val="auto"/>
          <w:sz w:val="32"/>
          <w:szCs w:val="31"/>
        </w:rPr>
        <w:br/>
      </w:r>
      <w:r w:rsidR="001F00E4" w:rsidRPr="008E5C3F">
        <w:rPr>
          <w:b/>
          <w:bCs/>
          <w:color w:val="auto"/>
          <w:sz w:val="30"/>
          <w:szCs w:val="30"/>
        </w:rPr>
        <w:t>CORONAVIRUS:</w:t>
      </w:r>
      <w:r w:rsidR="007B06BC">
        <w:rPr>
          <w:b/>
          <w:bCs/>
          <w:color w:val="auto"/>
          <w:sz w:val="30"/>
          <w:szCs w:val="30"/>
        </w:rPr>
        <w:t xml:space="preserve"> NEGLI ULTIMI 7 GIORNI RALLENTA </w:t>
      </w:r>
      <w:r w:rsidR="001F00E4" w:rsidRPr="008E5C3F">
        <w:rPr>
          <w:b/>
          <w:bCs/>
          <w:color w:val="auto"/>
          <w:sz w:val="30"/>
          <w:szCs w:val="30"/>
        </w:rPr>
        <w:t xml:space="preserve">LA DISCESA </w:t>
      </w:r>
      <w:r w:rsidR="007B06BC" w:rsidRPr="008E5C3F">
        <w:rPr>
          <w:b/>
          <w:bCs/>
          <w:color w:val="auto"/>
          <w:sz w:val="30"/>
          <w:szCs w:val="30"/>
        </w:rPr>
        <w:t>D</w:t>
      </w:r>
      <w:r w:rsidR="007B06BC">
        <w:rPr>
          <w:b/>
          <w:bCs/>
          <w:color w:val="auto"/>
          <w:sz w:val="30"/>
          <w:szCs w:val="30"/>
        </w:rPr>
        <w:t>EI</w:t>
      </w:r>
      <w:r w:rsidR="007B06BC" w:rsidRPr="008E5C3F">
        <w:rPr>
          <w:b/>
          <w:bCs/>
          <w:color w:val="auto"/>
          <w:sz w:val="30"/>
          <w:szCs w:val="30"/>
        </w:rPr>
        <w:t xml:space="preserve"> </w:t>
      </w:r>
      <w:r w:rsidR="001F00E4" w:rsidRPr="008E5C3F">
        <w:rPr>
          <w:b/>
          <w:bCs/>
          <w:color w:val="auto"/>
          <w:sz w:val="30"/>
          <w:szCs w:val="30"/>
        </w:rPr>
        <w:t>CONTAGI (-</w:t>
      </w:r>
      <w:r w:rsidR="001F00E4">
        <w:rPr>
          <w:b/>
          <w:bCs/>
          <w:color w:val="auto"/>
          <w:sz w:val="30"/>
          <w:szCs w:val="30"/>
        </w:rPr>
        <w:t>14,8</w:t>
      </w:r>
      <w:r w:rsidR="007B06BC" w:rsidRPr="008E5C3F">
        <w:rPr>
          <w:b/>
          <w:bCs/>
          <w:color w:val="auto"/>
          <w:sz w:val="30"/>
          <w:szCs w:val="30"/>
        </w:rPr>
        <w:t>%)</w:t>
      </w:r>
      <w:r w:rsidR="007B06BC">
        <w:rPr>
          <w:b/>
          <w:bCs/>
          <w:color w:val="auto"/>
          <w:sz w:val="30"/>
          <w:szCs w:val="30"/>
        </w:rPr>
        <w:t>.</w:t>
      </w:r>
      <w:r w:rsidR="007B06BC" w:rsidRPr="008E5C3F">
        <w:rPr>
          <w:b/>
          <w:bCs/>
          <w:color w:val="auto"/>
          <w:sz w:val="30"/>
          <w:szCs w:val="30"/>
        </w:rPr>
        <w:t xml:space="preserve"> </w:t>
      </w:r>
      <w:r w:rsidR="007B06BC">
        <w:rPr>
          <w:b/>
          <w:bCs/>
          <w:color w:val="auto"/>
          <w:sz w:val="30"/>
          <w:szCs w:val="30"/>
        </w:rPr>
        <w:t xml:space="preserve">GIÙ </w:t>
      </w:r>
      <w:r w:rsidR="001F00E4" w:rsidRPr="008E5C3F">
        <w:rPr>
          <w:b/>
          <w:bCs/>
          <w:color w:val="auto"/>
          <w:sz w:val="30"/>
          <w:szCs w:val="30"/>
        </w:rPr>
        <w:t>TERAPIE INTENSIVE (-</w:t>
      </w:r>
      <w:r w:rsidR="001F00E4">
        <w:rPr>
          <w:b/>
          <w:bCs/>
          <w:color w:val="auto"/>
          <w:sz w:val="30"/>
          <w:szCs w:val="30"/>
        </w:rPr>
        <w:t>5,9</w:t>
      </w:r>
      <w:r w:rsidR="001F00E4" w:rsidRPr="008E5C3F">
        <w:rPr>
          <w:b/>
          <w:bCs/>
          <w:color w:val="auto"/>
          <w:sz w:val="30"/>
          <w:szCs w:val="30"/>
        </w:rPr>
        <w:t>%), RICOVERI ORDINARI (-</w:t>
      </w:r>
      <w:r w:rsidR="001F00E4">
        <w:rPr>
          <w:b/>
          <w:bCs/>
          <w:color w:val="auto"/>
          <w:sz w:val="30"/>
          <w:szCs w:val="30"/>
        </w:rPr>
        <w:t>13</w:t>
      </w:r>
      <w:r w:rsidR="001F00E4" w:rsidRPr="008E5C3F">
        <w:rPr>
          <w:b/>
          <w:bCs/>
          <w:color w:val="auto"/>
          <w:sz w:val="30"/>
          <w:szCs w:val="30"/>
        </w:rPr>
        <w:t>%) E DECESSI (-</w:t>
      </w:r>
      <w:r w:rsidR="001F00E4">
        <w:rPr>
          <w:b/>
          <w:bCs/>
          <w:color w:val="auto"/>
          <w:sz w:val="30"/>
          <w:szCs w:val="30"/>
        </w:rPr>
        <w:t>9,4</w:t>
      </w:r>
      <w:r w:rsidR="001F00E4" w:rsidRPr="008E5C3F">
        <w:rPr>
          <w:b/>
          <w:bCs/>
          <w:color w:val="auto"/>
          <w:sz w:val="30"/>
          <w:szCs w:val="30"/>
        </w:rPr>
        <w:t>%)</w:t>
      </w:r>
      <w:r w:rsidR="007B06BC">
        <w:rPr>
          <w:b/>
          <w:bCs/>
          <w:color w:val="auto"/>
          <w:sz w:val="30"/>
          <w:szCs w:val="30"/>
        </w:rPr>
        <w:t>.</w:t>
      </w:r>
    </w:p>
    <w:p w:rsidR="00092022" w:rsidRDefault="00092022" w:rsidP="001F00E4">
      <w:pPr>
        <w:spacing w:after="0" w:line="276" w:lineRule="auto"/>
        <w:jc w:val="center"/>
        <w:rPr>
          <w:b/>
          <w:bCs/>
          <w:color w:val="auto"/>
          <w:sz w:val="30"/>
          <w:szCs w:val="30"/>
        </w:rPr>
      </w:pPr>
      <w:r>
        <w:rPr>
          <w:b/>
          <w:bCs/>
          <w:color w:val="auto"/>
          <w:sz w:val="30"/>
          <w:szCs w:val="30"/>
        </w:rPr>
        <w:t xml:space="preserve">CALO EFFICACIA TERZA DOSE: AUMENTANO </w:t>
      </w:r>
      <w:r w:rsidRPr="00BF161D">
        <w:rPr>
          <w:b/>
          <w:bCs/>
          <w:color w:val="auto"/>
          <w:sz w:val="30"/>
          <w:szCs w:val="30"/>
        </w:rPr>
        <w:t>I DECESSI NEGLI ANZIANI</w:t>
      </w:r>
      <w:r>
        <w:rPr>
          <w:b/>
          <w:bCs/>
          <w:color w:val="auto"/>
          <w:sz w:val="30"/>
          <w:szCs w:val="30"/>
        </w:rPr>
        <w:t xml:space="preserve">. </w:t>
      </w:r>
    </w:p>
    <w:p w:rsidR="001F00E4" w:rsidRDefault="00092022" w:rsidP="001F00E4">
      <w:pPr>
        <w:spacing w:after="0" w:line="276" w:lineRule="auto"/>
        <w:jc w:val="center"/>
        <w:rPr>
          <w:b/>
          <w:bCs/>
          <w:color w:val="auto"/>
          <w:sz w:val="30"/>
          <w:szCs w:val="30"/>
        </w:rPr>
      </w:pPr>
      <w:r>
        <w:rPr>
          <w:b/>
          <w:bCs/>
          <w:color w:val="auto"/>
          <w:sz w:val="30"/>
          <w:szCs w:val="30"/>
        </w:rPr>
        <w:t xml:space="preserve">FLOP </w:t>
      </w:r>
      <w:r w:rsidR="007B06BC">
        <w:rPr>
          <w:b/>
          <w:bCs/>
          <w:color w:val="auto"/>
          <w:sz w:val="30"/>
          <w:szCs w:val="30"/>
        </w:rPr>
        <w:t>QUARTA DOSE</w:t>
      </w:r>
      <w:r w:rsidR="001F00E4" w:rsidRPr="00AA40E4">
        <w:rPr>
          <w:b/>
          <w:bCs/>
          <w:color w:val="auto"/>
          <w:sz w:val="30"/>
          <w:szCs w:val="30"/>
        </w:rPr>
        <w:t xml:space="preserve">: </w:t>
      </w:r>
      <w:r w:rsidR="00904C80">
        <w:rPr>
          <w:b/>
          <w:bCs/>
          <w:color w:val="auto"/>
          <w:sz w:val="30"/>
          <w:szCs w:val="30"/>
        </w:rPr>
        <w:t xml:space="preserve">PROTETTA </w:t>
      </w:r>
      <w:r>
        <w:rPr>
          <w:b/>
          <w:bCs/>
          <w:color w:val="auto"/>
          <w:sz w:val="30"/>
          <w:szCs w:val="30"/>
        </w:rPr>
        <w:t>SOL</w:t>
      </w:r>
      <w:bookmarkStart w:id="0" w:name="_GoBack"/>
      <w:bookmarkEnd w:id="0"/>
      <w:r>
        <w:rPr>
          <w:b/>
          <w:bCs/>
          <w:color w:val="auto"/>
          <w:sz w:val="30"/>
          <w:szCs w:val="30"/>
        </w:rPr>
        <w:t xml:space="preserve">O </w:t>
      </w:r>
      <w:r w:rsidR="00904C80">
        <w:rPr>
          <w:b/>
          <w:bCs/>
          <w:color w:val="auto"/>
          <w:sz w:val="30"/>
          <w:szCs w:val="30"/>
        </w:rPr>
        <w:t xml:space="preserve">1 PERSONA </w:t>
      </w:r>
      <w:r w:rsidR="001F00E4" w:rsidRPr="00C572C1">
        <w:rPr>
          <w:b/>
          <w:bCs/>
          <w:color w:val="auto"/>
          <w:sz w:val="30"/>
          <w:szCs w:val="30"/>
        </w:rPr>
        <w:t>IMMUNOCOMPROMESS</w:t>
      </w:r>
      <w:r w:rsidR="00904C80">
        <w:rPr>
          <w:b/>
          <w:bCs/>
          <w:color w:val="auto"/>
          <w:sz w:val="30"/>
          <w:szCs w:val="30"/>
        </w:rPr>
        <w:t>A SU 4</w:t>
      </w:r>
      <w:r w:rsidR="00C0045A">
        <w:rPr>
          <w:b/>
          <w:bCs/>
          <w:color w:val="auto"/>
          <w:sz w:val="30"/>
          <w:szCs w:val="30"/>
        </w:rPr>
        <w:t>, COPERTURA ALL</w:t>
      </w:r>
      <w:r w:rsidR="001F00E4" w:rsidRPr="00C572C1">
        <w:rPr>
          <w:b/>
          <w:bCs/>
          <w:color w:val="auto"/>
          <w:sz w:val="30"/>
          <w:szCs w:val="30"/>
        </w:rPr>
        <w:t xml:space="preserve">’11,5% </w:t>
      </w:r>
      <w:r w:rsidR="00C0045A">
        <w:rPr>
          <w:b/>
          <w:bCs/>
          <w:color w:val="auto"/>
          <w:sz w:val="30"/>
          <w:szCs w:val="30"/>
        </w:rPr>
        <w:t xml:space="preserve">PER GLI </w:t>
      </w:r>
      <w:r w:rsidR="001F00E4" w:rsidRPr="00C572C1">
        <w:rPr>
          <w:b/>
          <w:bCs/>
          <w:color w:val="auto"/>
          <w:sz w:val="30"/>
          <w:szCs w:val="30"/>
        </w:rPr>
        <w:t xml:space="preserve">ALTRI FRAGILI. </w:t>
      </w:r>
    </w:p>
    <w:p w:rsidR="00092022" w:rsidRDefault="00092022" w:rsidP="001F00E4">
      <w:pPr>
        <w:spacing w:after="0" w:line="276" w:lineRule="auto"/>
        <w:jc w:val="center"/>
        <w:rPr>
          <w:b/>
          <w:bCs/>
          <w:color w:val="auto"/>
          <w:sz w:val="30"/>
          <w:szCs w:val="30"/>
        </w:rPr>
      </w:pPr>
      <w:r>
        <w:rPr>
          <w:b/>
          <w:bCs/>
          <w:color w:val="auto"/>
          <w:sz w:val="30"/>
          <w:szCs w:val="30"/>
        </w:rPr>
        <w:t xml:space="preserve">INDISPENSABILE </w:t>
      </w:r>
      <w:r w:rsidR="00516521">
        <w:rPr>
          <w:b/>
          <w:bCs/>
          <w:color w:val="auto"/>
          <w:sz w:val="30"/>
          <w:szCs w:val="30"/>
        </w:rPr>
        <w:t xml:space="preserve">ACCELERARE </w:t>
      </w:r>
      <w:r w:rsidR="00C0045A">
        <w:rPr>
          <w:b/>
          <w:bCs/>
          <w:color w:val="auto"/>
          <w:sz w:val="30"/>
          <w:szCs w:val="30"/>
        </w:rPr>
        <w:t xml:space="preserve">SOMMINISTRAZIONI </w:t>
      </w:r>
      <w:r w:rsidR="00C92230">
        <w:rPr>
          <w:b/>
          <w:bCs/>
          <w:color w:val="auto"/>
          <w:sz w:val="30"/>
          <w:szCs w:val="30"/>
        </w:rPr>
        <w:t xml:space="preserve">IN TUTTE LE </w:t>
      </w:r>
      <w:r w:rsidR="00516521">
        <w:rPr>
          <w:b/>
          <w:bCs/>
          <w:color w:val="auto"/>
          <w:sz w:val="30"/>
          <w:szCs w:val="30"/>
        </w:rPr>
        <w:t>PERSONE VULNERABILI.</w:t>
      </w:r>
    </w:p>
    <w:p w:rsidR="001F00E4" w:rsidRPr="00925643" w:rsidRDefault="001F00E4" w:rsidP="001F00E4">
      <w:pPr>
        <w:spacing w:after="200" w:line="276" w:lineRule="auto"/>
        <w:jc w:val="both"/>
        <w:rPr>
          <w:b/>
          <w:bCs/>
          <w:color w:val="FF0000"/>
          <w:sz w:val="24"/>
          <w:szCs w:val="24"/>
        </w:rPr>
      </w:pPr>
      <w:r w:rsidRPr="004760C4">
        <w:rPr>
          <w:b/>
          <w:bCs/>
          <w:color w:val="auto"/>
          <w:sz w:val="24"/>
          <w:szCs w:val="24"/>
        </w:rPr>
        <w:t xml:space="preserve">IL MONITORAGGIO DELLA FONDAZIONE GIMBE RILEVA, NELLA SETTIMANA 11-17 MAGGIO, UNA DIMINUZIONE DEI NUOVI CASI (243.932) </w:t>
      </w:r>
      <w:r w:rsidR="00516521">
        <w:rPr>
          <w:b/>
          <w:bCs/>
          <w:color w:val="auto"/>
          <w:sz w:val="24"/>
          <w:szCs w:val="24"/>
        </w:rPr>
        <w:t xml:space="preserve">IN </w:t>
      </w:r>
      <w:r w:rsidRPr="004760C4">
        <w:rPr>
          <w:b/>
          <w:bCs/>
          <w:color w:val="auto"/>
          <w:sz w:val="24"/>
          <w:szCs w:val="24"/>
        </w:rPr>
        <w:t>QUASI TUTTE LE PROVINCE</w:t>
      </w:r>
      <w:r w:rsidR="00516521">
        <w:rPr>
          <w:b/>
          <w:bCs/>
          <w:color w:val="auto"/>
          <w:sz w:val="24"/>
          <w:szCs w:val="24"/>
        </w:rPr>
        <w:t xml:space="preserve">. </w:t>
      </w:r>
      <w:r w:rsidR="00DD32EC">
        <w:rPr>
          <w:b/>
          <w:bCs/>
          <w:color w:val="auto"/>
          <w:sz w:val="24"/>
          <w:szCs w:val="24"/>
        </w:rPr>
        <w:t>SOLO</w:t>
      </w:r>
      <w:r w:rsidR="00DD32EC" w:rsidRPr="004760C4">
        <w:rPr>
          <w:b/>
          <w:bCs/>
          <w:color w:val="auto"/>
          <w:sz w:val="24"/>
          <w:szCs w:val="24"/>
        </w:rPr>
        <w:t xml:space="preserve"> </w:t>
      </w:r>
      <w:r w:rsidRPr="004760C4">
        <w:rPr>
          <w:b/>
          <w:bCs/>
          <w:color w:val="auto"/>
          <w:sz w:val="24"/>
          <w:szCs w:val="24"/>
        </w:rPr>
        <w:t xml:space="preserve">17 </w:t>
      </w:r>
      <w:r w:rsidR="00DD32EC">
        <w:rPr>
          <w:b/>
          <w:bCs/>
          <w:color w:val="auto"/>
          <w:sz w:val="24"/>
          <w:szCs w:val="24"/>
        </w:rPr>
        <w:t>REGISTRANO</w:t>
      </w:r>
      <w:r w:rsidRPr="004760C4">
        <w:rPr>
          <w:b/>
          <w:bCs/>
          <w:color w:val="auto"/>
          <w:sz w:val="24"/>
          <w:szCs w:val="24"/>
        </w:rPr>
        <w:t xml:space="preserve"> INCIDENZA SUPERIORE A 500 CASI PER 100.000 ABITANTI. IN DISCESA GLI INDICATORI OSPEDALIERI E I DECESSI (763).</w:t>
      </w:r>
      <w:r w:rsidRPr="00C572C1">
        <w:rPr>
          <w:b/>
          <w:bCs/>
          <w:color w:val="auto"/>
          <w:sz w:val="24"/>
          <w:szCs w:val="24"/>
        </w:rPr>
        <w:t xml:space="preserve"> FERME LE PERCENTUALI DI CHI HA RICEVUTO ALMENO UNA DOSE DI VACCINO (88,1% DELLA PLATEA) E DI CHI HA COMPLETATO IL CICLO VACCINALE (86,5%</w:t>
      </w:r>
      <w:r w:rsidR="00515A0B">
        <w:rPr>
          <w:b/>
          <w:bCs/>
          <w:color w:val="auto"/>
          <w:sz w:val="24"/>
          <w:szCs w:val="24"/>
        </w:rPr>
        <w:t xml:space="preserve"> DELLA PLATEA</w:t>
      </w:r>
      <w:r w:rsidRPr="00C572C1">
        <w:rPr>
          <w:b/>
          <w:bCs/>
          <w:color w:val="auto"/>
          <w:sz w:val="24"/>
          <w:szCs w:val="24"/>
        </w:rPr>
        <w:t xml:space="preserve">). 6,87 MILIONI I NON VACCINATI, DI CUI 2,85 MILIONI DI GUARITI PROTETTI SOLO TEMPORANEAMENTE. 8,22 MILIONI </w:t>
      </w:r>
      <w:r w:rsidR="00C0045A">
        <w:rPr>
          <w:b/>
          <w:bCs/>
          <w:color w:val="auto"/>
          <w:sz w:val="24"/>
          <w:szCs w:val="24"/>
        </w:rPr>
        <w:t xml:space="preserve">DI </w:t>
      </w:r>
      <w:r w:rsidRPr="00C572C1">
        <w:rPr>
          <w:b/>
          <w:bCs/>
          <w:color w:val="auto"/>
          <w:sz w:val="24"/>
          <w:szCs w:val="24"/>
        </w:rPr>
        <w:t xml:space="preserve">PERSONE NON HANNO ANCORA RICEVUTO LA TERZA DOSE, DI CUI 4,81 MILIONI DI GUARITI CHE NON POSSONO RICEVERLA NELL’IMMEDIATO. NETTE DIFFERENZE REGIONALI PER LA COPERTURA CON QUARTE DOSI DEGLI IMMUNOCOMPROMESSI (DAL 4,5% DEL MOLISE AL 94,3% DEL PIEMONTE) E DEGLI ALTRI FRAGILI (DAL 3,2% DELLA CALABRIA AL 24,7% DEL PIEMONTE). </w:t>
      </w:r>
      <w:r>
        <w:rPr>
          <w:b/>
          <w:bCs/>
          <w:color w:val="auto"/>
          <w:sz w:val="24"/>
          <w:szCs w:val="24"/>
        </w:rPr>
        <w:t>DA METÀ FEBBRAIO</w:t>
      </w:r>
      <w:r w:rsidRPr="003A2FD2">
        <w:rPr>
          <w:b/>
          <w:bCs/>
          <w:color w:val="auto"/>
          <w:sz w:val="24"/>
          <w:szCs w:val="24"/>
        </w:rPr>
        <w:t xml:space="preserve"> PROGRESSIVO AUMENTO DEL TA</w:t>
      </w:r>
      <w:r>
        <w:rPr>
          <w:b/>
          <w:bCs/>
          <w:color w:val="auto"/>
          <w:sz w:val="24"/>
          <w:szCs w:val="24"/>
        </w:rPr>
        <w:t xml:space="preserve">SSO DI MORTALITÀ NEGLI OVER 80 </w:t>
      </w:r>
      <w:r w:rsidRPr="003A2FD2">
        <w:rPr>
          <w:b/>
          <w:bCs/>
          <w:color w:val="auto"/>
          <w:sz w:val="24"/>
          <w:szCs w:val="24"/>
        </w:rPr>
        <w:t>E NELLA FASCIA 60-79</w:t>
      </w:r>
      <w:r w:rsidR="00515A0B">
        <w:rPr>
          <w:b/>
          <w:bCs/>
          <w:color w:val="auto"/>
          <w:sz w:val="24"/>
          <w:szCs w:val="24"/>
        </w:rPr>
        <w:t xml:space="preserve"> ANNI</w:t>
      </w:r>
      <w:r>
        <w:rPr>
          <w:b/>
          <w:bCs/>
          <w:color w:val="auto"/>
          <w:sz w:val="24"/>
          <w:szCs w:val="24"/>
        </w:rPr>
        <w:t>:</w:t>
      </w:r>
      <w:r w:rsidRPr="003A2FD2">
        <w:rPr>
          <w:b/>
          <w:bCs/>
          <w:color w:val="auto"/>
          <w:sz w:val="24"/>
          <w:szCs w:val="24"/>
        </w:rPr>
        <w:t xml:space="preserve"> </w:t>
      </w:r>
      <w:r w:rsidRPr="00DD6689">
        <w:rPr>
          <w:b/>
          <w:bCs/>
          <w:color w:val="auto"/>
          <w:sz w:val="24"/>
          <w:szCs w:val="24"/>
        </w:rPr>
        <w:t>L’</w:t>
      </w:r>
      <w:r>
        <w:rPr>
          <w:b/>
          <w:bCs/>
          <w:color w:val="auto"/>
          <w:sz w:val="24"/>
          <w:szCs w:val="24"/>
        </w:rPr>
        <w:t>I</w:t>
      </w:r>
      <w:r w:rsidRPr="00DD6689">
        <w:rPr>
          <w:b/>
          <w:bCs/>
          <w:color w:val="auto"/>
          <w:sz w:val="24"/>
          <w:szCs w:val="24"/>
        </w:rPr>
        <w:t xml:space="preserve">NSUFFICIENTE </w:t>
      </w:r>
      <w:r w:rsidR="00516521">
        <w:rPr>
          <w:b/>
          <w:bCs/>
          <w:color w:val="auto"/>
          <w:sz w:val="24"/>
          <w:szCs w:val="24"/>
        </w:rPr>
        <w:t xml:space="preserve">COPERTURA CON </w:t>
      </w:r>
      <w:r w:rsidRPr="00DD6689">
        <w:rPr>
          <w:b/>
          <w:bCs/>
          <w:color w:val="auto"/>
          <w:sz w:val="24"/>
          <w:szCs w:val="24"/>
        </w:rPr>
        <w:t xml:space="preserve">LA QUARTA DOSE IN DIVERSE REGIONI </w:t>
      </w:r>
      <w:r w:rsidR="00515A0B">
        <w:rPr>
          <w:b/>
          <w:bCs/>
          <w:color w:val="auto"/>
          <w:sz w:val="24"/>
          <w:szCs w:val="24"/>
        </w:rPr>
        <w:t>IMPONE DI PASSARE ALLA CHIAMATA ATTIVA SU TUTTO IL TERRITORIO NAZIONALE</w:t>
      </w:r>
      <w:r w:rsidR="00516521">
        <w:rPr>
          <w:b/>
          <w:bCs/>
          <w:color w:val="auto"/>
          <w:sz w:val="24"/>
          <w:szCs w:val="24"/>
        </w:rPr>
        <w:t>, COINVOLGENDO I MEDICI DI FAMIGLIA.</w:t>
      </w:r>
    </w:p>
    <w:p w:rsidR="001F00E4" w:rsidRPr="00853E22" w:rsidRDefault="001F00E4" w:rsidP="001F00E4">
      <w:pPr>
        <w:spacing w:line="276" w:lineRule="auto"/>
        <w:jc w:val="center"/>
        <w:rPr>
          <w:b/>
          <w:bCs/>
          <w:color w:val="auto"/>
          <w:spacing w:val="-2"/>
          <w:sz w:val="32"/>
          <w:szCs w:val="32"/>
        </w:rPr>
      </w:pPr>
      <w:r>
        <w:rPr>
          <w:rFonts w:cs="Calibri"/>
          <w:b/>
          <w:bCs/>
          <w:color w:val="auto"/>
        </w:rPr>
        <w:t>19 maggio</w:t>
      </w:r>
      <w:r w:rsidRPr="00853E22">
        <w:rPr>
          <w:rFonts w:cs="Calibri"/>
          <w:b/>
          <w:bCs/>
          <w:color w:val="auto"/>
        </w:rPr>
        <w:t xml:space="preserve"> 2022 - Fondazione GIMBE, Bologna</w:t>
      </w:r>
    </w:p>
    <w:p w:rsidR="00F459BA" w:rsidRPr="00F459BA" w:rsidRDefault="00F459BA" w:rsidP="006404C6">
      <w:pPr>
        <w:spacing w:after="0" w:line="276" w:lineRule="auto"/>
        <w:jc w:val="both"/>
        <w:rPr>
          <w:color w:val="auto"/>
        </w:rPr>
      </w:pPr>
      <w:r w:rsidRPr="00F459BA">
        <w:rPr>
          <w:color w:val="auto"/>
        </w:rPr>
        <w:t>Il monitoraggio indipendente della Fondazione GIMBE rileva nella settimana 11-17 maggio 2022, rispetto alla precedente, una diminuzione di nuovi casi (243.932 vs 286.350) (</w:t>
      </w:r>
      <w:r w:rsidRPr="00F459BA">
        <w:rPr>
          <w:color w:val="auto"/>
          <w:highlight w:val="yellow"/>
        </w:rPr>
        <w:t>figura 1</w:t>
      </w:r>
      <w:r w:rsidRPr="00F459BA">
        <w:rPr>
          <w:color w:val="auto"/>
        </w:rPr>
        <w:t>) e dei decessi (763 vs 842) (</w:t>
      </w:r>
      <w:r w:rsidRPr="00F459BA">
        <w:rPr>
          <w:color w:val="auto"/>
          <w:highlight w:val="yellow"/>
        </w:rPr>
        <w:t>figura 2</w:t>
      </w:r>
      <w:r w:rsidRPr="00F459BA">
        <w:rPr>
          <w:color w:val="auto"/>
        </w:rPr>
        <w:t>). In calo anche i casi attualmente positivi (967.401 vs 1.082.972), le persone in isolamento domiciliare (959.599 vs 1.074.035), i ricoveri con sintomi (7.465 vs 8.579) e le terapie intensive (337 vs 358) (</w:t>
      </w:r>
      <w:r w:rsidRPr="00F459BA">
        <w:rPr>
          <w:color w:val="auto"/>
          <w:highlight w:val="yellow"/>
        </w:rPr>
        <w:t>figura 3</w:t>
      </w:r>
      <w:r w:rsidRPr="00F459BA">
        <w:rPr>
          <w:color w:val="auto"/>
        </w:rPr>
        <w:t>). In dettaglio, rispetto alla settimana precedente, si registrano le seguenti variazioni:</w:t>
      </w:r>
    </w:p>
    <w:p w:rsidR="00F459BA" w:rsidRPr="00F459BA" w:rsidRDefault="00F459BA" w:rsidP="00F459BA">
      <w:pPr>
        <w:pStyle w:val="Paragrafoelenco"/>
        <w:numPr>
          <w:ilvl w:val="0"/>
          <w:numId w:val="3"/>
        </w:numPr>
        <w:spacing w:after="0" w:line="276" w:lineRule="auto"/>
        <w:ind w:left="357" w:hanging="357"/>
        <w:jc w:val="both"/>
        <w:rPr>
          <w:color w:val="auto"/>
        </w:rPr>
      </w:pPr>
      <w:r>
        <w:rPr>
          <w:color w:val="auto"/>
        </w:rPr>
        <w:t>Decessi: 763 (</w:t>
      </w:r>
      <w:r w:rsidRPr="00F459BA">
        <w:rPr>
          <w:color w:val="auto"/>
        </w:rPr>
        <w:t>-9,4%), di cui 38 riferiti a periodi precedenti</w:t>
      </w:r>
    </w:p>
    <w:p w:rsidR="00F459BA" w:rsidRPr="00F459BA" w:rsidRDefault="00F459BA" w:rsidP="00F459BA">
      <w:pPr>
        <w:pStyle w:val="Paragrafoelenco"/>
        <w:numPr>
          <w:ilvl w:val="0"/>
          <w:numId w:val="3"/>
        </w:numPr>
        <w:spacing w:after="0" w:line="276" w:lineRule="auto"/>
        <w:ind w:left="357" w:hanging="357"/>
        <w:jc w:val="both"/>
        <w:rPr>
          <w:color w:val="auto"/>
        </w:rPr>
      </w:pPr>
      <w:r w:rsidRPr="00F459BA">
        <w:rPr>
          <w:color w:val="auto"/>
        </w:rPr>
        <w:t>Terapia intensiva: -21 (-5,9%)</w:t>
      </w:r>
    </w:p>
    <w:p w:rsidR="00F459BA" w:rsidRPr="00F459BA" w:rsidRDefault="00F459BA" w:rsidP="00F459BA">
      <w:pPr>
        <w:pStyle w:val="Paragrafoelenco"/>
        <w:numPr>
          <w:ilvl w:val="0"/>
          <w:numId w:val="3"/>
        </w:numPr>
        <w:spacing w:after="0" w:line="276" w:lineRule="auto"/>
        <w:ind w:left="357" w:hanging="357"/>
        <w:jc w:val="both"/>
        <w:rPr>
          <w:color w:val="auto"/>
        </w:rPr>
      </w:pPr>
      <w:r w:rsidRPr="00F459BA">
        <w:rPr>
          <w:color w:val="auto"/>
        </w:rPr>
        <w:t>Ricoverati con sintomi: -1.114 (-13%)</w:t>
      </w:r>
    </w:p>
    <w:p w:rsidR="00F459BA" w:rsidRPr="00F459BA" w:rsidRDefault="00F459BA" w:rsidP="00F459BA">
      <w:pPr>
        <w:pStyle w:val="Paragrafoelenco"/>
        <w:numPr>
          <w:ilvl w:val="0"/>
          <w:numId w:val="3"/>
        </w:numPr>
        <w:spacing w:after="0" w:line="276" w:lineRule="auto"/>
        <w:ind w:left="357" w:hanging="357"/>
        <w:jc w:val="both"/>
        <w:rPr>
          <w:color w:val="auto"/>
        </w:rPr>
      </w:pPr>
      <w:r w:rsidRPr="00F459BA">
        <w:rPr>
          <w:color w:val="auto"/>
        </w:rPr>
        <w:t>Isolamento domiciliare: -114.436 (-10,7%)</w:t>
      </w:r>
    </w:p>
    <w:p w:rsidR="00F459BA" w:rsidRPr="00F459BA" w:rsidRDefault="00F459BA" w:rsidP="00F459BA">
      <w:pPr>
        <w:pStyle w:val="Paragrafoelenco"/>
        <w:numPr>
          <w:ilvl w:val="0"/>
          <w:numId w:val="3"/>
        </w:numPr>
        <w:spacing w:after="0" w:line="276" w:lineRule="auto"/>
        <w:ind w:left="357" w:hanging="357"/>
        <w:jc w:val="both"/>
        <w:rPr>
          <w:color w:val="auto"/>
        </w:rPr>
      </w:pPr>
      <w:r w:rsidRPr="00F459BA">
        <w:rPr>
          <w:color w:val="auto"/>
        </w:rPr>
        <w:t>Nuovi casi: 243.932 (-14,8%)</w:t>
      </w:r>
    </w:p>
    <w:p w:rsidR="00F459BA" w:rsidRPr="00F459BA" w:rsidRDefault="00F459BA" w:rsidP="00F459BA">
      <w:pPr>
        <w:pStyle w:val="Paragrafoelenco"/>
        <w:numPr>
          <w:ilvl w:val="0"/>
          <w:numId w:val="3"/>
        </w:numPr>
        <w:spacing w:line="276" w:lineRule="auto"/>
        <w:jc w:val="both"/>
        <w:rPr>
          <w:color w:val="auto"/>
        </w:rPr>
      </w:pPr>
      <w:r w:rsidRPr="00F459BA">
        <w:rPr>
          <w:color w:val="auto"/>
        </w:rPr>
        <w:t>Casi attualmente positivi: -115.571 (-10,7%)</w:t>
      </w:r>
    </w:p>
    <w:p w:rsidR="005D5E08" w:rsidRPr="00014C7B" w:rsidRDefault="00FA4320" w:rsidP="00014C7B">
      <w:pPr>
        <w:spacing w:line="276" w:lineRule="auto"/>
        <w:jc w:val="both"/>
      </w:pPr>
      <w:r w:rsidRPr="003E6E27">
        <w:rPr>
          <w:b/>
          <w:color w:val="auto"/>
        </w:rPr>
        <w:t xml:space="preserve">Nuovi casi. </w:t>
      </w:r>
      <w:r w:rsidRPr="003E6E27">
        <w:rPr>
          <w:color w:val="auto"/>
        </w:rPr>
        <w:t>«</w:t>
      </w:r>
      <w:r w:rsidR="007B06BC">
        <w:rPr>
          <w:color w:val="auto"/>
        </w:rPr>
        <w:t>Rallenta</w:t>
      </w:r>
      <w:r w:rsidR="007B06BC" w:rsidRPr="003E6E27">
        <w:rPr>
          <w:color w:val="auto"/>
        </w:rPr>
        <w:t xml:space="preserve"> </w:t>
      </w:r>
      <w:r w:rsidR="00FB5602" w:rsidRPr="003E6E27">
        <w:rPr>
          <w:color w:val="auto"/>
        </w:rPr>
        <w:t xml:space="preserve">la discesa dei </w:t>
      </w:r>
      <w:r w:rsidR="005200F6" w:rsidRPr="003E6E27">
        <w:rPr>
          <w:color w:val="auto"/>
        </w:rPr>
        <w:t>nuovi casi settimanali</w:t>
      </w:r>
      <w:r w:rsidR="00A16713" w:rsidRPr="003E6E27">
        <w:rPr>
          <w:color w:val="auto"/>
        </w:rPr>
        <w:t xml:space="preserve"> </w:t>
      </w:r>
      <w:r w:rsidR="00B84259" w:rsidRPr="003E6E27">
        <w:rPr>
          <w:color w:val="auto"/>
        </w:rPr>
        <w:t>(</w:t>
      </w:r>
      <w:r w:rsidR="00FB5602" w:rsidRPr="003E6E27">
        <w:rPr>
          <w:color w:val="auto"/>
        </w:rPr>
        <w:t>-</w:t>
      </w:r>
      <w:r w:rsidR="003E6E27" w:rsidRPr="003E6E27">
        <w:rPr>
          <w:color w:val="auto"/>
        </w:rPr>
        <w:t>14</w:t>
      </w:r>
      <w:r w:rsidR="00FB5602" w:rsidRPr="003E6E27">
        <w:rPr>
          <w:color w:val="auto"/>
        </w:rPr>
        <w:t>,</w:t>
      </w:r>
      <w:r w:rsidR="003E6E27" w:rsidRPr="003E6E27">
        <w:rPr>
          <w:color w:val="auto"/>
        </w:rPr>
        <w:t>8</w:t>
      </w:r>
      <w:r w:rsidR="00774A36" w:rsidRPr="003E6E27">
        <w:rPr>
          <w:color w:val="auto"/>
        </w:rPr>
        <w:t>%</w:t>
      </w:r>
      <w:r w:rsidR="000A0920">
        <w:rPr>
          <w:color w:val="auto"/>
        </w:rPr>
        <w:t xml:space="preserve"> rispetto a -27,5% della settimana precedente</w:t>
      </w:r>
      <w:r w:rsidR="00B84259" w:rsidRPr="003E6E27">
        <w:rPr>
          <w:color w:val="auto"/>
        </w:rPr>
        <w:t>)</w:t>
      </w:r>
      <w:r w:rsidR="00D67E77" w:rsidRPr="003E6E27">
        <w:rPr>
          <w:color w:val="auto"/>
        </w:rPr>
        <w:t xml:space="preserve"> – dichiara Nino Cartabellotta, Presidente della Fondazione GIMBE –</w:t>
      </w:r>
      <w:r w:rsidR="00B84259" w:rsidRPr="003E6E27">
        <w:rPr>
          <w:color w:val="auto"/>
        </w:rPr>
        <w:t xml:space="preserve"> </w:t>
      </w:r>
      <w:r w:rsidR="00881A83" w:rsidRPr="003E6E27">
        <w:rPr>
          <w:color w:val="auto"/>
        </w:rPr>
        <w:t xml:space="preserve">che </w:t>
      </w:r>
      <w:r w:rsidR="00C6227B" w:rsidRPr="003E6E27">
        <w:rPr>
          <w:color w:val="auto"/>
        </w:rPr>
        <w:t xml:space="preserve">si attestano </w:t>
      </w:r>
      <w:r w:rsidRPr="003E6E27">
        <w:rPr>
          <w:color w:val="auto"/>
        </w:rPr>
        <w:t xml:space="preserve">a </w:t>
      </w:r>
      <w:r w:rsidR="00DB70BE" w:rsidRPr="003E6E27">
        <w:rPr>
          <w:color w:val="auto"/>
        </w:rPr>
        <w:t xml:space="preserve">quota </w:t>
      </w:r>
      <w:r w:rsidR="003E6E27" w:rsidRPr="003E6E27">
        <w:rPr>
          <w:color w:val="auto"/>
        </w:rPr>
        <w:t>244</w:t>
      </w:r>
      <w:r w:rsidR="00B92911" w:rsidRPr="003E6E27">
        <w:rPr>
          <w:color w:val="auto"/>
        </w:rPr>
        <w:t xml:space="preserve"> mila</w:t>
      </w:r>
      <w:r w:rsidR="00881A83" w:rsidRPr="003E6E27">
        <w:rPr>
          <w:color w:val="auto"/>
        </w:rPr>
        <w:t xml:space="preserve"> </w:t>
      </w:r>
      <w:r w:rsidR="004D0641" w:rsidRPr="003E6E27">
        <w:rPr>
          <w:color w:val="auto"/>
        </w:rPr>
        <w:t>con</w:t>
      </w:r>
      <w:r w:rsidRPr="003E6E27">
        <w:rPr>
          <w:color w:val="auto"/>
        </w:rPr>
        <w:t xml:space="preserve"> una media mobile a 7 giorni </w:t>
      </w:r>
      <w:r w:rsidR="00D67E77" w:rsidRPr="003E6E27">
        <w:rPr>
          <w:color w:val="auto"/>
        </w:rPr>
        <w:t>che sfiora i</w:t>
      </w:r>
      <w:r w:rsidR="00FB5602" w:rsidRPr="003E6E27">
        <w:rPr>
          <w:color w:val="auto"/>
        </w:rPr>
        <w:t xml:space="preserve"> </w:t>
      </w:r>
      <w:r w:rsidR="003E6E27" w:rsidRPr="003E6E27">
        <w:rPr>
          <w:color w:val="auto"/>
        </w:rPr>
        <w:t>35</w:t>
      </w:r>
      <w:r w:rsidR="00C15EB5" w:rsidRPr="003E6E27">
        <w:rPr>
          <w:color w:val="auto"/>
        </w:rPr>
        <w:t xml:space="preserve"> </w:t>
      </w:r>
      <w:r w:rsidR="008E50A0" w:rsidRPr="003E6E27">
        <w:rPr>
          <w:color w:val="auto"/>
        </w:rPr>
        <w:t>mila</w:t>
      </w:r>
      <w:r w:rsidR="00C13A5D" w:rsidRPr="003E6E27">
        <w:rPr>
          <w:color w:val="auto"/>
        </w:rPr>
        <w:t xml:space="preserve"> casi</w:t>
      </w:r>
      <w:r w:rsidR="00C15EB5" w:rsidRPr="003E6E27">
        <w:rPr>
          <w:color w:val="auto"/>
        </w:rPr>
        <w:t xml:space="preserve"> giornalieri</w:t>
      </w:r>
      <w:r w:rsidRPr="003E6E27">
        <w:rPr>
          <w:color w:val="auto"/>
        </w:rPr>
        <w:t>»</w:t>
      </w:r>
      <w:r w:rsidR="003D7565" w:rsidRPr="003E6E27">
        <w:rPr>
          <w:color w:val="auto"/>
        </w:rPr>
        <w:t xml:space="preserve"> </w:t>
      </w:r>
      <w:r w:rsidRPr="003E6E27">
        <w:rPr>
          <w:color w:val="auto"/>
        </w:rPr>
        <w:t>(</w:t>
      </w:r>
      <w:r w:rsidRPr="003E6E27">
        <w:rPr>
          <w:color w:val="auto"/>
          <w:highlight w:val="yellow"/>
        </w:rPr>
        <w:t>figura 4</w:t>
      </w:r>
      <w:r w:rsidRPr="003E6E27">
        <w:rPr>
          <w:color w:val="auto"/>
        </w:rPr>
        <w:t>).</w:t>
      </w:r>
      <w:r w:rsidR="00557ACD" w:rsidRPr="003E6E27">
        <w:rPr>
          <w:color w:val="auto"/>
        </w:rPr>
        <w:t xml:space="preserve"> N</w:t>
      </w:r>
      <w:r w:rsidR="00AC37CB" w:rsidRPr="003E6E27">
        <w:rPr>
          <w:color w:val="auto"/>
        </w:rPr>
        <w:t xml:space="preserve">ella </w:t>
      </w:r>
      <w:r w:rsidR="008568BE" w:rsidRPr="003E6E27">
        <w:rPr>
          <w:color w:val="auto"/>
        </w:rPr>
        <w:t xml:space="preserve">settimana </w:t>
      </w:r>
      <w:r w:rsidR="003E6E27" w:rsidRPr="003E6E27">
        <w:rPr>
          <w:color w:val="auto"/>
        </w:rPr>
        <w:t>11-17</w:t>
      </w:r>
      <w:r w:rsidR="00C15EB5" w:rsidRPr="003E6E27">
        <w:rPr>
          <w:color w:val="auto"/>
        </w:rPr>
        <w:t xml:space="preserve"> maggio </w:t>
      </w:r>
      <w:r w:rsidR="003E4620" w:rsidRPr="003E6E27">
        <w:rPr>
          <w:color w:val="auto"/>
        </w:rPr>
        <w:t xml:space="preserve">si </w:t>
      </w:r>
      <w:r w:rsidR="00811762" w:rsidRPr="003E6E27">
        <w:rPr>
          <w:color w:val="auto"/>
        </w:rPr>
        <w:t xml:space="preserve">rileva </w:t>
      </w:r>
      <w:r w:rsidR="005F1AA6" w:rsidRPr="003E6E27">
        <w:rPr>
          <w:color w:val="auto"/>
        </w:rPr>
        <w:t>un</w:t>
      </w:r>
      <w:r w:rsidR="00D16AD8" w:rsidRPr="003E6E27">
        <w:rPr>
          <w:color w:val="auto"/>
        </w:rPr>
        <w:t>a riduzione</w:t>
      </w:r>
      <w:r w:rsidR="005F1AA6" w:rsidRPr="003E6E27">
        <w:rPr>
          <w:color w:val="auto"/>
        </w:rPr>
        <w:t xml:space="preserve"> </w:t>
      </w:r>
      <w:r w:rsidR="008568BE" w:rsidRPr="003E6E27">
        <w:rPr>
          <w:color w:val="auto"/>
        </w:rPr>
        <w:t>p</w:t>
      </w:r>
      <w:r w:rsidR="00ED6992" w:rsidRPr="003E6E27">
        <w:rPr>
          <w:color w:val="auto"/>
        </w:rPr>
        <w:t>ercentuale dei nuovi casi</w:t>
      </w:r>
      <w:r w:rsidR="0082308F">
        <w:rPr>
          <w:color w:val="auto"/>
        </w:rPr>
        <w:t xml:space="preserve"> </w:t>
      </w:r>
      <w:r w:rsidR="0082308F" w:rsidRPr="003E6E27">
        <w:rPr>
          <w:color w:val="auto"/>
        </w:rPr>
        <w:t>in tutte le Regioni</w:t>
      </w:r>
      <w:r w:rsidR="00FB5602" w:rsidRPr="003E6E27">
        <w:rPr>
          <w:color w:val="auto"/>
        </w:rPr>
        <w:t xml:space="preserve">: </w:t>
      </w:r>
      <w:r w:rsidR="00C6227B" w:rsidRPr="003E6E27">
        <w:rPr>
          <w:color w:val="auto"/>
        </w:rPr>
        <w:t xml:space="preserve">dal </w:t>
      </w:r>
      <w:r w:rsidR="00C15EB5" w:rsidRPr="003E6E27">
        <w:rPr>
          <w:color w:val="auto"/>
        </w:rPr>
        <w:t>-</w:t>
      </w:r>
      <w:r w:rsidR="003E6E27" w:rsidRPr="003E6E27">
        <w:rPr>
          <w:color w:val="auto"/>
        </w:rPr>
        <w:t>0,1</w:t>
      </w:r>
      <w:r w:rsidR="00FB5602" w:rsidRPr="003E6E27">
        <w:rPr>
          <w:color w:val="auto"/>
        </w:rPr>
        <w:t xml:space="preserve">% </w:t>
      </w:r>
      <w:r w:rsidR="003E6E27" w:rsidRPr="003E6E27">
        <w:rPr>
          <w:color w:val="auto"/>
        </w:rPr>
        <w:t>della Sardegna</w:t>
      </w:r>
      <w:r w:rsidR="00FB5602" w:rsidRPr="003E6E27">
        <w:rPr>
          <w:color w:val="auto"/>
        </w:rPr>
        <w:t xml:space="preserve"> </w:t>
      </w:r>
      <w:r w:rsidR="00C15EB5" w:rsidRPr="003E6E27">
        <w:rPr>
          <w:color w:val="auto"/>
        </w:rPr>
        <w:t>al -</w:t>
      </w:r>
      <w:r w:rsidR="003E6E27" w:rsidRPr="003E6E27">
        <w:rPr>
          <w:color w:val="auto"/>
        </w:rPr>
        <w:t>2</w:t>
      </w:r>
      <w:r w:rsidR="00FB5602" w:rsidRPr="003E6E27">
        <w:rPr>
          <w:color w:val="auto"/>
        </w:rPr>
        <w:t>2,</w:t>
      </w:r>
      <w:r w:rsidR="003E6E27" w:rsidRPr="003E6E27">
        <w:rPr>
          <w:color w:val="auto"/>
        </w:rPr>
        <w:t>7</w:t>
      </w:r>
      <w:r w:rsidR="00C15EB5" w:rsidRPr="003E6E27">
        <w:rPr>
          <w:color w:val="auto"/>
        </w:rPr>
        <w:t>% del</w:t>
      </w:r>
      <w:r w:rsidR="00FB5602" w:rsidRPr="003E6E27">
        <w:rPr>
          <w:color w:val="auto"/>
        </w:rPr>
        <w:t xml:space="preserve">la </w:t>
      </w:r>
      <w:r w:rsidR="003E6E27" w:rsidRPr="003E6E27">
        <w:rPr>
          <w:color w:val="auto"/>
        </w:rPr>
        <w:t>Calabria</w:t>
      </w:r>
      <w:r w:rsidR="00FB5602" w:rsidRPr="003E6E27">
        <w:rPr>
          <w:color w:val="auto"/>
        </w:rPr>
        <w:t xml:space="preserve"> </w:t>
      </w:r>
      <w:r w:rsidR="008568BE" w:rsidRPr="003E6E27">
        <w:rPr>
          <w:color w:val="auto"/>
        </w:rPr>
        <w:t>(</w:t>
      </w:r>
      <w:r w:rsidR="008568BE" w:rsidRPr="003E6E27">
        <w:rPr>
          <w:color w:val="auto"/>
          <w:highlight w:val="yellow"/>
        </w:rPr>
        <w:t>tabella 1</w:t>
      </w:r>
      <w:r w:rsidR="008568BE" w:rsidRPr="003E6E27">
        <w:rPr>
          <w:color w:val="auto"/>
        </w:rPr>
        <w:t>).</w:t>
      </w:r>
      <w:r w:rsidR="00D74F90" w:rsidRPr="003E6E27">
        <w:rPr>
          <w:color w:val="auto"/>
        </w:rPr>
        <w:t xml:space="preserve"> </w:t>
      </w:r>
      <w:r w:rsidR="001647A3" w:rsidRPr="003E6E27">
        <w:rPr>
          <w:color w:val="auto"/>
        </w:rPr>
        <w:t xml:space="preserve">Rispetto alla settimana precedente, </w:t>
      </w:r>
      <w:r w:rsidR="00D1612B" w:rsidRPr="003E6E27">
        <w:rPr>
          <w:color w:val="auto"/>
        </w:rPr>
        <w:t>in</w:t>
      </w:r>
      <w:r w:rsidR="00553106" w:rsidRPr="003E6E27">
        <w:rPr>
          <w:color w:val="auto"/>
        </w:rPr>
        <w:t xml:space="preserve"> </w:t>
      </w:r>
      <w:r w:rsidR="003E6E27" w:rsidRPr="003E6E27">
        <w:rPr>
          <w:color w:val="auto"/>
        </w:rPr>
        <w:t>4</w:t>
      </w:r>
      <w:r w:rsidR="00FB5602" w:rsidRPr="003E6E27">
        <w:rPr>
          <w:color w:val="auto"/>
        </w:rPr>
        <w:t xml:space="preserve"> </w:t>
      </w:r>
      <w:r w:rsidR="001647A3" w:rsidRPr="003E6E27">
        <w:rPr>
          <w:color w:val="auto"/>
        </w:rPr>
        <w:t xml:space="preserve">Province </w:t>
      </w:r>
      <w:r w:rsidR="00FB5602" w:rsidRPr="003E6E27">
        <w:rPr>
          <w:color w:val="auto"/>
        </w:rPr>
        <w:t>si rileva un</w:t>
      </w:r>
      <w:r w:rsidR="003E6E27" w:rsidRPr="003E6E27">
        <w:rPr>
          <w:color w:val="auto"/>
        </w:rPr>
        <w:t xml:space="preserve"> incremento percentuale dei nuovi casi</w:t>
      </w:r>
      <w:r w:rsidR="00014C7B">
        <w:rPr>
          <w:color w:val="auto"/>
        </w:rPr>
        <w:t xml:space="preserve"> (</w:t>
      </w:r>
      <w:r w:rsidR="00014C7B">
        <w:t>Rimini +0,4</w:t>
      </w:r>
      <w:r w:rsidR="00C0045A">
        <w:t xml:space="preserve">%; </w:t>
      </w:r>
      <w:r w:rsidR="00014C7B">
        <w:t>Biella +1,7%</w:t>
      </w:r>
      <w:r w:rsidR="00C0045A">
        <w:t>;</w:t>
      </w:r>
      <w:r w:rsidR="00014C7B">
        <w:t xml:space="preserve"> Bologna +3,2%</w:t>
      </w:r>
      <w:r w:rsidR="00C0045A">
        <w:t>;</w:t>
      </w:r>
      <w:r w:rsidR="00014C7B">
        <w:t xml:space="preserve"> Nuoro +32,7%</w:t>
      </w:r>
      <w:r w:rsidR="00014C7B">
        <w:rPr>
          <w:color w:val="auto"/>
        </w:rPr>
        <w:t>)</w:t>
      </w:r>
      <w:r w:rsidR="003E6E27" w:rsidRPr="003E6E27">
        <w:rPr>
          <w:color w:val="auto"/>
        </w:rPr>
        <w:t xml:space="preserve">, in 103 una </w:t>
      </w:r>
      <w:r w:rsidR="00FB5602" w:rsidRPr="003E6E27">
        <w:rPr>
          <w:color w:val="auto"/>
        </w:rPr>
        <w:t xml:space="preserve">riduzione (dal </w:t>
      </w:r>
      <w:r w:rsidR="00014C7B">
        <w:rPr>
          <w:color w:val="auto"/>
        </w:rPr>
        <w:t xml:space="preserve">-1,6% di Cuneo al </w:t>
      </w:r>
      <w:r w:rsidR="00FB5602" w:rsidRPr="003E6E27">
        <w:rPr>
          <w:color w:val="auto"/>
        </w:rPr>
        <w:t>-</w:t>
      </w:r>
      <w:r w:rsidR="003E6E27" w:rsidRPr="003E6E27">
        <w:rPr>
          <w:color w:val="auto"/>
        </w:rPr>
        <w:t>39</w:t>
      </w:r>
      <w:r w:rsidR="00FB5602" w:rsidRPr="003E6E27">
        <w:rPr>
          <w:color w:val="auto"/>
        </w:rPr>
        <w:t>,</w:t>
      </w:r>
      <w:r w:rsidR="003E6E27" w:rsidRPr="003E6E27">
        <w:rPr>
          <w:color w:val="auto"/>
        </w:rPr>
        <w:t>1</w:t>
      </w:r>
      <w:r w:rsidR="00FB5602" w:rsidRPr="003E6E27">
        <w:rPr>
          <w:color w:val="auto"/>
        </w:rPr>
        <w:t xml:space="preserve">% di </w:t>
      </w:r>
      <w:r w:rsidR="003E6E27" w:rsidRPr="003E6E27">
        <w:rPr>
          <w:color w:val="auto"/>
        </w:rPr>
        <w:t>Vibo Valentia</w:t>
      </w:r>
      <w:r w:rsidR="00FB5602" w:rsidRPr="003E6E27">
        <w:rPr>
          <w:color w:val="auto"/>
        </w:rPr>
        <w:t>)</w:t>
      </w:r>
      <w:r w:rsidR="00D1612B" w:rsidRPr="003E6E27">
        <w:rPr>
          <w:color w:val="auto"/>
        </w:rPr>
        <w:t xml:space="preserve">. </w:t>
      </w:r>
      <w:r w:rsidR="00EC02BE" w:rsidRPr="003E6E27">
        <w:rPr>
          <w:color w:val="auto"/>
        </w:rPr>
        <w:t xml:space="preserve">L’incidenza supera i 500 casi per 100.000 abitanti </w:t>
      </w:r>
      <w:r w:rsidR="001047B6">
        <w:rPr>
          <w:color w:val="auto"/>
        </w:rPr>
        <w:t xml:space="preserve">solo </w:t>
      </w:r>
      <w:r w:rsidR="00EC02BE" w:rsidRPr="003E6E27">
        <w:rPr>
          <w:color w:val="auto"/>
        </w:rPr>
        <w:t>in</w:t>
      </w:r>
      <w:r w:rsidR="00774A36" w:rsidRPr="003E6E27">
        <w:rPr>
          <w:color w:val="auto"/>
        </w:rPr>
        <w:t xml:space="preserve"> </w:t>
      </w:r>
      <w:r w:rsidR="003E6E27" w:rsidRPr="003E6E27">
        <w:rPr>
          <w:color w:val="auto"/>
        </w:rPr>
        <w:t>17</w:t>
      </w:r>
      <w:r w:rsidR="00EC02BE" w:rsidRPr="003E6E27">
        <w:rPr>
          <w:color w:val="auto"/>
        </w:rPr>
        <w:t xml:space="preserve"> </w:t>
      </w:r>
      <w:r w:rsidR="005F1AA6" w:rsidRPr="003E6E27">
        <w:rPr>
          <w:color w:val="auto"/>
        </w:rPr>
        <w:lastRenderedPageBreak/>
        <w:t>Province</w:t>
      </w:r>
      <w:r w:rsidR="00FB5602" w:rsidRPr="003E6E27">
        <w:rPr>
          <w:color w:val="auto"/>
        </w:rPr>
        <w:t xml:space="preserve">: </w:t>
      </w:r>
      <w:r w:rsidR="003E6E27" w:rsidRPr="003E6E27">
        <w:rPr>
          <w:color w:val="auto"/>
        </w:rPr>
        <w:t xml:space="preserve">Chieti (741), Salerno (647), Nuoro (640), Pescara (638), Sud Sardegna (620), Ascoli Piceno (605), Crotone (603), Cagliari (600), Teramo (594), Avellino (588), Oristano (571), Campobasso (571), Benevento (559), Terni (543), Bologna (537), L'Aquila (531) e Fermo (518) </w:t>
      </w:r>
      <w:r w:rsidR="00C13A5D" w:rsidRPr="003E6E27">
        <w:rPr>
          <w:color w:val="auto"/>
        </w:rPr>
        <w:t>(</w:t>
      </w:r>
      <w:r w:rsidR="00C13A5D" w:rsidRPr="003E6E27">
        <w:rPr>
          <w:color w:val="auto"/>
          <w:highlight w:val="yellow"/>
        </w:rPr>
        <w:t>tabella 2</w:t>
      </w:r>
      <w:r w:rsidR="00C13A5D" w:rsidRPr="003E6E27">
        <w:rPr>
          <w:color w:val="auto"/>
        </w:rPr>
        <w:t>).</w:t>
      </w:r>
    </w:p>
    <w:p w:rsidR="006C32BF" w:rsidRPr="00E54DBD" w:rsidRDefault="006C32BF" w:rsidP="006C32BF">
      <w:pPr>
        <w:spacing w:line="276" w:lineRule="auto"/>
        <w:jc w:val="both"/>
        <w:rPr>
          <w:color w:val="auto"/>
        </w:rPr>
      </w:pPr>
      <w:r w:rsidRPr="00E54DBD">
        <w:rPr>
          <w:b/>
          <w:color w:val="auto"/>
        </w:rPr>
        <w:t>Nuove varianti.</w:t>
      </w:r>
      <w:r w:rsidRPr="00E54DBD">
        <w:rPr>
          <w:color w:val="auto"/>
        </w:rPr>
        <w:t xml:space="preserve"> </w:t>
      </w:r>
      <w:proofErr w:type="gramStart"/>
      <w:r w:rsidR="00904C80">
        <w:rPr>
          <w:color w:val="auto"/>
        </w:rPr>
        <w:t xml:space="preserve">La </w:t>
      </w:r>
      <w:r>
        <w:rPr>
          <w:color w:val="auto"/>
        </w:rPr>
        <w:t>flash</w:t>
      </w:r>
      <w:proofErr w:type="gramEnd"/>
      <w:r>
        <w:rPr>
          <w:color w:val="auto"/>
        </w:rPr>
        <w:t xml:space="preserve"> survey </w:t>
      </w:r>
      <w:r w:rsidRPr="00E54DBD">
        <w:rPr>
          <w:color w:val="auto"/>
        </w:rPr>
        <w:t xml:space="preserve">dell’Istituto Superiore di Sanità </w:t>
      </w:r>
      <w:r w:rsidR="00114A78">
        <w:rPr>
          <w:color w:val="auto"/>
        </w:rPr>
        <w:t xml:space="preserve">(ISS) </w:t>
      </w:r>
      <w:r w:rsidRPr="00E54DBD">
        <w:rPr>
          <w:color w:val="auto"/>
        </w:rPr>
        <w:t>sui campioni notificati il 3 maggio 2022</w:t>
      </w:r>
      <w:r>
        <w:rPr>
          <w:color w:val="auto"/>
        </w:rPr>
        <w:t xml:space="preserve"> ha documentato </w:t>
      </w:r>
      <w:r w:rsidR="006404C6">
        <w:rPr>
          <w:color w:val="auto"/>
        </w:rPr>
        <w:t xml:space="preserve">nel nostro Paese </w:t>
      </w:r>
      <w:r>
        <w:rPr>
          <w:color w:val="auto"/>
        </w:rPr>
        <w:t>la netta prevalenza della sotto-variante Omicron BA.2 (93,8</w:t>
      </w:r>
      <w:r w:rsidRPr="00E60261">
        <w:rPr>
          <w:color w:val="auto"/>
        </w:rPr>
        <w:t>%</w:t>
      </w:r>
      <w:r>
        <w:rPr>
          <w:color w:val="auto"/>
        </w:rPr>
        <w:t xml:space="preserve"> - range 65,6-100</w:t>
      </w:r>
      <w:r w:rsidRPr="00E60261">
        <w:rPr>
          <w:color w:val="auto"/>
        </w:rPr>
        <w:t>%)</w:t>
      </w:r>
      <w:r w:rsidRPr="00E54DBD">
        <w:rPr>
          <w:color w:val="auto"/>
        </w:rPr>
        <w:t xml:space="preserve"> </w:t>
      </w:r>
      <w:r>
        <w:rPr>
          <w:color w:val="auto"/>
        </w:rPr>
        <w:t xml:space="preserve">che </w:t>
      </w:r>
      <w:r w:rsidRPr="00E54DBD">
        <w:rPr>
          <w:color w:val="auto"/>
        </w:rPr>
        <w:t>ha quasi completamente soppiantato la BA.1</w:t>
      </w:r>
      <w:r>
        <w:rPr>
          <w:color w:val="auto"/>
        </w:rPr>
        <w:t xml:space="preserve"> (</w:t>
      </w:r>
      <w:r w:rsidRPr="00E60261">
        <w:rPr>
          <w:color w:val="auto"/>
        </w:rPr>
        <w:t xml:space="preserve">3,52% </w:t>
      </w:r>
      <w:r>
        <w:rPr>
          <w:color w:val="auto"/>
        </w:rPr>
        <w:t>- range 0-</w:t>
      </w:r>
      <w:r w:rsidRPr="00E60261">
        <w:rPr>
          <w:color w:val="auto"/>
        </w:rPr>
        <w:t>12,9%)</w:t>
      </w:r>
      <w:r w:rsidR="001047B6">
        <w:rPr>
          <w:color w:val="auto"/>
        </w:rPr>
        <w:t>. L</w:t>
      </w:r>
      <w:r>
        <w:rPr>
          <w:color w:val="auto"/>
        </w:rPr>
        <w:t>e nuove sotto-varianti BA.4 e BA.5 si attestano rispettivamente a</w:t>
      </w:r>
      <w:r w:rsidR="006404C6">
        <w:rPr>
          <w:color w:val="auto"/>
        </w:rPr>
        <w:t>llo</w:t>
      </w:r>
      <w:r>
        <w:rPr>
          <w:color w:val="auto"/>
        </w:rPr>
        <w:t xml:space="preserve"> 0,47% </w:t>
      </w:r>
      <w:r w:rsidRPr="00E60261">
        <w:rPr>
          <w:color w:val="auto"/>
        </w:rPr>
        <w:t>(</w:t>
      </w:r>
      <w:r>
        <w:rPr>
          <w:color w:val="auto"/>
        </w:rPr>
        <w:t>range 0</w:t>
      </w:r>
      <w:r w:rsidRPr="00E60261">
        <w:rPr>
          <w:color w:val="auto"/>
        </w:rPr>
        <w:t>-</w:t>
      </w:r>
      <w:r>
        <w:rPr>
          <w:color w:val="auto"/>
        </w:rPr>
        <w:t>4</w:t>
      </w:r>
      <w:r w:rsidRPr="00E60261">
        <w:rPr>
          <w:color w:val="auto"/>
        </w:rPr>
        <w:t xml:space="preserve">%) </w:t>
      </w:r>
      <w:r>
        <w:rPr>
          <w:color w:val="auto"/>
        </w:rPr>
        <w:t>e a</w:t>
      </w:r>
      <w:r w:rsidR="006404C6">
        <w:rPr>
          <w:color w:val="auto"/>
        </w:rPr>
        <w:t>llo</w:t>
      </w:r>
      <w:r>
        <w:rPr>
          <w:color w:val="auto"/>
        </w:rPr>
        <w:t xml:space="preserve"> </w:t>
      </w:r>
      <w:r w:rsidRPr="00E60261">
        <w:rPr>
          <w:color w:val="auto"/>
        </w:rPr>
        <w:t xml:space="preserve">0,41% </w:t>
      </w:r>
      <w:r>
        <w:rPr>
          <w:color w:val="auto"/>
        </w:rPr>
        <w:t xml:space="preserve">(range 0-5,6%). </w:t>
      </w:r>
      <w:r w:rsidRPr="00E54DBD">
        <w:rPr>
          <w:color w:val="auto"/>
        </w:rPr>
        <w:t xml:space="preserve">Allo stato attuale delle conoscenze </w:t>
      </w:r>
      <w:r>
        <w:rPr>
          <w:color w:val="auto"/>
        </w:rPr>
        <w:t xml:space="preserve">BA.4 e BA.5 </w:t>
      </w:r>
      <w:r w:rsidR="001047B6">
        <w:rPr>
          <w:color w:val="auto"/>
        </w:rPr>
        <w:t xml:space="preserve">hanno </w:t>
      </w:r>
      <w:r w:rsidRPr="00E54DBD">
        <w:rPr>
          <w:color w:val="auto"/>
        </w:rPr>
        <w:t xml:space="preserve">una trasmissibilità </w:t>
      </w:r>
      <w:r w:rsidR="001047B6">
        <w:rPr>
          <w:color w:val="auto"/>
        </w:rPr>
        <w:t xml:space="preserve">del 12-13% </w:t>
      </w:r>
      <w:r w:rsidR="006404C6">
        <w:rPr>
          <w:color w:val="auto"/>
        </w:rPr>
        <w:t>superiore</w:t>
      </w:r>
      <w:r w:rsidR="006404C6" w:rsidRPr="00E54DBD">
        <w:rPr>
          <w:color w:val="auto"/>
        </w:rPr>
        <w:t xml:space="preserve"> rispetto a BA.2</w:t>
      </w:r>
      <w:r w:rsidR="006404C6">
        <w:rPr>
          <w:color w:val="auto"/>
        </w:rPr>
        <w:t>; presentano inoltre</w:t>
      </w:r>
      <w:r w:rsidR="001047B6">
        <w:rPr>
          <w:color w:val="auto"/>
        </w:rPr>
        <w:t xml:space="preserve"> </w:t>
      </w:r>
      <w:r w:rsidRPr="00E54DBD">
        <w:rPr>
          <w:color w:val="auto"/>
        </w:rPr>
        <w:t>una maggior capacità di evadere la protezione immunitaria</w:t>
      </w:r>
      <w:r>
        <w:rPr>
          <w:color w:val="auto"/>
        </w:rPr>
        <w:t xml:space="preserve"> </w:t>
      </w:r>
      <w:r w:rsidR="000B47B9">
        <w:rPr>
          <w:color w:val="auto"/>
        </w:rPr>
        <w:t>–</w:t>
      </w:r>
      <w:r>
        <w:rPr>
          <w:color w:val="auto"/>
        </w:rPr>
        <w:t xml:space="preserve"> </w:t>
      </w:r>
      <w:r w:rsidRPr="00E54DBD">
        <w:rPr>
          <w:color w:val="auto"/>
        </w:rPr>
        <w:t>sia da vaccino</w:t>
      </w:r>
      <w:r>
        <w:rPr>
          <w:color w:val="auto"/>
        </w:rPr>
        <w:t xml:space="preserve"> che </w:t>
      </w:r>
      <w:r w:rsidRPr="00E54DBD">
        <w:rPr>
          <w:color w:val="auto"/>
        </w:rPr>
        <w:t>da pregressa infezione</w:t>
      </w:r>
      <w:r>
        <w:rPr>
          <w:color w:val="auto"/>
        </w:rPr>
        <w:t xml:space="preserve"> – aumentando l</w:t>
      </w:r>
      <w:r w:rsidRPr="00E54DBD">
        <w:rPr>
          <w:color w:val="auto"/>
        </w:rPr>
        <w:t>a probabilità di reinfezione</w:t>
      </w:r>
      <w:r>
        <w:rPr>
          <w:color w:val="auto"/>
        </w:rPr>
        <w:t xml:space="preserve"> e determinando </w:t>
      </w:r>
      <w:r w:rsidRPr="00E54DBD">
        <w:rPr>
          <w:color w:val="auto"/>
        </w:rPr>
        <w:t>una maggiore resistenza agli anticorpi monoclonali.</w:t>
      </w:r>
      <w:r>
        <w:rPr>
          <w:color w:val="auto"/>
        </w:rPr>
        <w:t xml:space="preserve"> Queste caratteristiche hanno indotto </w:t>
      </w:r>
      <w:r w:rsidR="006404C6" w:rsidRPr="00904C80">
        <w:t>lo scorso 13 maggio</w:t>
      </w:r>
      <w:r w:rsidR="00C0045A">
        <w:t xml:space="preserve"> </w:t>
      </w:r>
      <w:r>
        <w:rPr>
          <w:color w:val="auto"/>
        </w:rPr>
        <w:t>l’</w:t>
      </w:r>
      <w:hyperlink r:id="rId8" w:history="1">
        <w:r w:rsidRPr="006404C6">
          <w:rPr>
            <w:rStyle w:val="Collegamentoipertestuale"/>
            <w:i/>
          </w:rPr>
          <w:t>European Centre for Disease Prevention Control</w:t>
        </w:r>
      </w:hyperlink>
      <w:r w:rsidRPr="007C31C9">
        <w:rPr>
          <w:i/>
          <w:color w:val="auto"/>
        </w:rPr>
        <w:t xml:space="preserve"> </w:t>
      </w:r>
      <w:r>
        <w:rPr>
          <w:color w:val="auto"/>
        </w:rPr>
        <w:t xml:space="preserve">(ECDC) a classificare BA.4 e BA.5 come “varianti di preoccupazione”. </w:t>
      </w:r>
      <w:r>
        <w:rPr>
          <w:rFonts w:cs="Calibri"/>
          <w:color w:val="auto"/>
        </w:rPr>
        <w:t>«</w:t>
      </w:r>
      <w:r>
        <w:rPr>
          <w:color w:val="auto"/>
        </w:rPr>
        <w:t xml:space="preserve">L’ECDC ha altresì dichiarato – spiega </w:t>
      </w:r>
      <w:r w:rsidR="006404C6">
        <w:rPr>
          <w:color w:val="auto"/>
        </w:rPr>
        <w:t xml:space="preserve">il Presidente </w:t>
      </w:r>
      <w:r>
        <w:rPr>
          <w:color w:val="auto"/>
        </w:rPr>
        <w:t xml:space="preserve">– che le </w:t>
      </w:r>
      <w:r w:rsidRPr="00302E7D">
        <w:rPr>
          <w:color w:val="auto"/>
        </w:rPr>
        <w:t>nuove sub-varianti non sembrano causare una</w:t>
      </w:r>
      <w:r w:rsidR="0093662D">
        <w:rPr>
          <w:color w:val="auto"/>
        </w:rPr>
        <w:t xml:space="preserve"> maggior gravità della malattia; tuttavia, </w:t>
      </w:r>
      <w:r w:rsidRPr="00302E7D">
        <w:rPr>
          <w:color w:val="auto"/>
        </w:rPr>
        <w:t xml:space="preserve">un </w:t>
      </w:r>
      <w:r w:rsidR="0093662D">
        <w:rPr>
          <w:color w:val="auto"/>
        </w:rPr>
        <w:t xml:space="preserve">rilevante </w:t>
      </w:r>
      <w:r w:rsidRPr="00302E7D">
        <w:rPr>
          <w:color w:val="auto"/>
        </w:rPr>
        <w:t xml:space="preserve">aumento dei casi nelle prossime settimane/mesi potrebbe </w:t>
      </w:r>
      <w:r w:rsidR="000B47B9">
        <w:rPr>
          <w:color w:val="auto"/>
        </w:rPr>
        <w:t>avere</w:t>
      </w:r>
      <w:r w:rsidR="000B47B9" w:rsidRPr="00302E7D">
        <w:rPr>
          <w:color w:val="auto"/>
        </w:rPr>
        <w:t xml:space="preserve"> </w:t>
      </w:r>
      <w:r w:rsidRPr="00302E7D">
        <w:rPr>
          <w:color w:val="auto"/>
        </w:rPr>
        <w:t>un impatto rilevante sui ricoveri ospedalieri</w:t>
      </w:r>
      <w:r w:rsidRPr="00302E7D">
        <w:rPr>
          <w:rFonts w:cs="Calibri"/>
          <w:color w:val="auto"/>
        </w:rPr>
        <w:t>».</w:t>
      </w:r>
    </w:p>
    <w:p w:rsidR="006C32BF" w:rsidRDefault="006C32BF" w:rsidP="006C32BF">
      <w:pPr>
        <w:spacing w:before="200" w:line="276" w:lineRule="auto"/>
        <w:jc w:val="both"/>
        <w:rPr>
          <w:color w:val="auto"/>
        </w:rPr>
      </w:pPr>
      <w:r>
        <w:rPr>
          <w:b/>
          <w:color w:val="auto"/>
        </w:rPr>
        <w:t>Reinfezioni</w:t>
      </w:r>
      <w:r>
        <w:rPr>
          <w:color w:val="auto"/>
        </w:rPr>
        <w:t xml:space="preserve">. Secondo </w:t>
      </w:r>
      <w:hyperlink r:id="rId9" w:history="1">
        <w:r>
          <w:rPr>
            <w:rStyle w:val="Collegamentoipertestuale"/>
          </w:rPr>
          <w:t>l’ultimo report dell’I</w:t>
        </w:r>
        <w:r w:rsidR="00114A78">
          <w:rPr>
            <w:rStyle w:val="Collegamentoipertestuale"/>
          </w:rPr>
          <w:t>SS,</w:t>
        </w:r>
      </w:hyperlink>
      <w:r>
        <w:rPr>
          <w:color w:val="auto"/>
        </w:rPr>
        <w:t xml:space="preserve"> nel periodo 24 agosto 2021</w:t>
      </w:r>
      <w:r w:rsidR="00114A78">
        <w:rPr>
          <w:color w:val="auto"/>
        </w:rPr>
        <w:t>-</w:t>
      </w:r>
      <w:r>
        <w:rPr>
          <w:color w:val="auto"/>
        </w:rPr>
        <w:t xml:space="preserve">11 maggio 2022 sono state </w:t>
      </w:r>
      <w:r w:rsidR="00114A78">
        <w:rPr>
          <w:color w:val="auto"/>
        </w:rPr>
        <w:t xml:space="preserve">registrate </w:t>
      </w:r>
      <w:r>
        <w:rPr>
          <w:color w:val="auto"/>
        </w:rPr>
        <w:t xml:space="preserve">in Italia oltre 438 mila reinfezioni, pari al 3,6% del totale dei casi. </w:t>
      </w:r>
      <w:r w:rsidR="00D27153">
        <w:rPr>
          <w:color w:val="auto"/>
        </w:rPr>
        <w:t>L</w:t>
      </w:r>
      <w:r>
        <w:rPr>
          <w:color w:val="auto"/>
        </w:rPr>
        <w:t>a loro incidenza settimanale, stabile intorno all’1% fino ai primi di dicembre</w:t>
      </w:r>
      <w:r w:rsidR="006404C6">
        <w:rPr>
          <w:color w:val="auto"/>
        </w:rPr>
        <w:t xml:space="preserve"> 2021</w:t>
      </w:r>
      <w:r>
        <w:rPr>
          <w:color w:val="auto"/>
        </w:rPr>
        <w:t xml:space="preserve">, con la diffusione della variante Omicron è rapidamente salita al 3% </w:t>
      </w:r>
      <w:r w:rsidR="006404C6">
        <w:rPr>
          <w:color w:val="auto"/>
        </w:rPr>
        <w:t>nei primi giorni del</w:t>
      </w:r>
      <w:r>
        <w:rPr>
          <w:color w:val="auto"/>
        </w:rPr>
        <w:t xml:space="preserve"> 2022 mantenendosi su questo valore sino a fine marzo. Quindi ha ripreso a crescere, e nelle ultime tre settimane sempre più rapidamente, </w:t>
      </w:r>
      <w:r w:rsidR="00C0045A">
        <w:rPr>
          <w:color w:val="auto"/>
        </w:rPr>
        <w:t>passando</w:t>
      </w:r>
      <w:r>
        <w:rPr>
          <w:color w:val="auto"/>
        </w:rPr>
        <w:t xml:space="preserve"> dal 4,5% al 5,8%</w:t>
      </w:r>
      <w:r w:rsidR="00114A78">
        <w:rPr>
          <w:color w:val="auto"/>
        </w:rPr>
        <w:t xml:space="preserve"> (n.</w:t>
      </w:r>
      <w:r w:rsidR="006404C6">
        <w:rPr>
          <w:color w:val="auto"/>
        </w:rPr>
        <w:t xml:space="preserve"> </w:t>
      </w:r>
      <w:r>
        <w:rPr>
          <w:color w:val="auto"/>
        </w:rPr>
        <w:t>60.740 reinfezioni</w:t>
      </w:r>
      <w:r w:rsidR="00114A78">
        <w:rPr>
          <w:color w:val="auto"/>
        </w:rPr>
        <w:t>)</w:t>
      </w:r>
      <w:r>
        <w:rPr>
          <w:color w:val="auto"/>
        </w:rPr>
        <w:t xml:space="preserve">. </w:t>
      </w:r>
      <w:r>
        <w:rPr>
          <w:rFonts w:cs="Calibri"/>
          <w:color w:val="auto"/>
        </w:rPr>
        <w:t>«</w:t>
      </w:r>
      <w:r>
        <w:rPr>
          <w:color w:val="auto"/>
        </w:rPr>
        <w:t xml:space="preserve">Secondo le analisi dell’ISS – spiega </w:t>
      </w:r>
      <w:r w:rsidR="006404C6">
        <w:rPr>
          <w:color w:val="auto"/>
        </w:rPr>
        <w:t>Cartabellotta –</w:t>
      </w:r>
      <w:r>
        <w:rPr>
          <w:color w:val="auto"/>
        </w:rPr>
        <w:t xml:space="preserve"> alcune categorie</w:t>
      </w:r>
      <w:r w:rsidR="0082308F">
        <w:rPr>
          <w:color w:val="auto"/>
        </w:rPr>
        <w:t xml:space="preserve"> presentano un maggior rischio di reinfezione</w:t>
      </w:r>
      <w:r>
        <w:rPr>
          <w:color w:val="auto"/>
        </w:rPr>
        <w:t xml:space="preserve">: </w:t>
      </w:r>
      <w:r w:rsidR="00C0045A">
        <w:rPr>
          <w:color w:val="auto"/>
        </w:rPr>
        <w:t xml:space="preserve">persone </w:t>
      </w:r>
      <w:r>
        <w:rPr>
          <w:color w:val="auto"/>
        </w:rPr>
        <w:t>d’età 12-49 anni rispetto agli over 50, donne rispetto agli uomini, persone con prima diagnosi di COVID-19 notificata da oltre 210 giorni, persone non vaccinate o vaccinate con almeno una dose da oltre 120 giorni, operatori sanitari rispetto al resto della popolazione</w:t>
      </w:r>
      <w:r>
        <w:rPr>
          <w:rFonts w:cs="Calibri"/>
          <w:color w:val="auto"/>
        </w:rPr>
        <w:t>»</w:t>
      </w:r>
      <w:r>
        <w:rPr>
          <w:color w:val="auto"/>
        </w:rPr>
        <w:t>.</w:t>
      </w:r>
    </w:p>
    <w:p w:rsidR="003E6E27" w:rsidRPr="003E6E27" w:rsidRDefault="003E6E27" w:rsidP="008D2843">
      <w:pPr>
        <w:spacing w:line="276" w:lineRule="auto"/>
        <w:jc w:val="both"/>
        <w:rPr>
          <w:color w:val="auto"/>
        </w:rPr>
      </w:pPr>
      <w:r w:rsidRPr="003E6E27">
        <w:rPr>
          <w:b/>
          <w:color w:val="auto"/>
        </w:rPr>
        <w:t>Testing.</w:t>
      </w:r>
      <w:r w:rsidRPr="003E6E27">
        <w:rPr>
          <w:color w:val="auto"/>
        </w:rPr>
        <w:t xml:space="preserve"> Si registra un calo del numero dei tamponi totali (-12,4%): da 1.971.656 della settimana 4-10 maggio a 1.727.246 della settimana 11-17 maggio. In particolare i tamponi rapidi sono diminuiti del 13,8% (-209.315), mentre quelli molecolari</w:t>
      </w:r>
      <w:r>
        <w:rPr>
          <w:color w:val="auto"/>
        </w:rPr>
        <w:t xml:space="preserve"> </w:t>
      </w:r>
      <w:r w:rsidRPr="003E6E27">
        <w:rPr>
          <w:color w:val="auto"/>
        </w:rPr>
        <w:t>del 7,8% (-35.095) (</w:t>
      </w:r>
      <w:r w:rsidRPr="003E6E27">
        <w:rPr>
          <w:color w:val="auto"/>
          <w:highlight w:val="yellow"/>
        </w:rPr>
        <w:t>figura 5</w:t>
      </w:r>
      <w:r w:rsidRPr="003E6E27">
        <w:rPr>
          <w:color w:val="auto"/>
        </w:rPr>
        <w:t xml:space="preserve">). La media mobile a 7 giorni del tasso di positività </w:t>
      </w:r>
      <w:r>
        <w:rPr>
          <w:color w:val="auto"/>
        </w:rPr>
        <w:t xml:space="preserve">è sostanzialmente stabile sia </w:t>
      </w:r>
      <w:r w:rsidRPr="003E6E27">
        <w:rPr>
          <w:color w:val="auto"/>
        </w:rPr>
        <w:t xml:space="preserve">per i tamponi molecolari </w:t>
      </w:r>
      <w:r>
        <w:rPr>
          <w:color w:val="auto"/>
        </w:rPr>
        <w:t>(dall’8,2% all’</w:t>
      </w:r>
      <w:r w:rsidRPr="003E6E27">
        <w:rPr>
          <w:color w:val="auto"/>
        </w:rPr>
        <w:t>8%</w:t>
      </w:r>
      <w:r>
        <w:rPr>
          <w:color w:val="auto"/>
        </w:rPr>
        <w:t>) che per gli antigenici rapidi (</w:t>
      </w:r>
      <w:r w:rsidRPr="003E6E27">
        <w:rPr>
          <w:color w:val="auto"/>
        </w:rPr>
        <w:t xml:space="preserve">dal </w:t>
      </w:r>
      <w:r>
        <w:rPr>
          <w:color w:val="auto"/>
        </w:rPr>
        <w:t>16% al 16,1</w:t>
      </w:r>
      <w:r w:rsidRPr="003E6E27">
        <w:rPr>
          <w:color w:val="auto"/>
        </w:rPr>
        <w:t>%</w:t>
      </w:r>
      <w:r>
        <w:rPr>
          <w:color w:val="auto"/>
        </w:rPr>
        <w:t>)</w:t>
      </w:r>
      <w:r w:rsidRPr="003E6E27">
        <w:rPr>
          <w:color w:val="auto"/>
        </w:rPr>
        <w:t xml:space="preserve"> (</w:t>
      </w:r>
      <w:r w:rsidRPr="003E6E27">
        <w:rPr>
          <w:color w:val="auto"/>
          <w:highlight w:val="yellow"/>
        </w:rPr>
        <w:t>figura 6</w:t>
      </w:r>
      <w:r w:rsidRPr="003E6E27">
        <w:rPr>
          <w:color w:val="auto"/>
        </w:rPr>
        <w:t>).</w:t>
      </w:r>
    </w:p>
    <w:p w:rsidR="00EF109A" w:rsidRPr="00014C7B" w:rsidRDefault="00C27708" w:rsidP="00F27F03">
      <w:pPr>
        <w:spacing w:line="276" w:lineRule="auto"/>
        <w:jc w:val="both"/>
        <w:rPr>
          <w:color w:val="auto"/>
        </w:rPr>
      </w:pPr>
      <w:bookmarkStart w:id="1" w:name="_Hlk85025666"/>
      <w:r w:rsidRPr="00014C7B">
        <w:rPr>
          <w:b/>
          <w:color w:val="auto"/>
        </w:rPr>
        <w:t xml:space="preserve">Ospedalizzazioni. </w:t>
      </w:r>
      <w:r w:rsidR="002348FC" w:rsidRPr="00014C7B">
        <w:rPr>
          <w:color w:val="auto"/>
        </w:rPr>
        <w:t>«</w:t>
      </w:r>
      <w:r w:rsidR="003120AF" w:rsidRPr="00014C7B">
        <w:rPr>
          <w:color w:val="auto"/>
        </w:rPr>
        <w:t>Sul fronte degli</w:t>
      </w:r>
      <w:r w:rsidR="00932E57" w:rsidRPr="00014C7B">
        <w:rPr>
          <w:color w:val="auto"/>
        </w:rPr>
        <w:t xml:space="preserve"> </w:t>
      </w:r>
      <w:r w:rsidR="002723FF" w:rsidRPr="00014C7B">
        <w:rPr>
          <w:color w:val="auto"/>
        </w:rPr>
        <w:t>ospedali</w:t>
      </w:r>
      <w:r w:rsidR="00974518" w:rsidRPr="00014C7B">
        <w:rPr>
          <w:color w:val="auto"/>
        </w:rPr>
        <w:t xml:space="preserve"> </w:t>
      </w:r>
      <w:r w:rsidR="00582BAE" w:rsidRPr="00014C7B">
        <w:rPr>
          <w:color w:val="auto"/>
        </w:rPr>
        <w:t xml:space="preserve">– </w:t>
      </w:r>
      <w:r w:rsidR="002348FC" w:rsidRPr="00014C7B">
        <w:rPr>
          <w:color w:val="auto"/>
        </w:rPr>
        <w:t xml:space="preserve">afferma </w:t>
      </w:r>
      <w:r w:rsidR="004222A8" w:rsidRPr="00014C7B">
        <w:rPr>
          <w:color w:val="auto"/>
        </w:rPr>
        <w:t xml:space="preserve">Marco Mosti, Direttore Operativo della Fondazione GIMBE </w:t>
      </w:r>
      <w:r w:rsidR="00B813D5" w:rsidRPr="00014C7B">
        <w:rPr>
          <w:color w:val="auto"/>
        </w:rPr>
        <w:t>–</w:t>
      </w:r>
      <w:r w:rsidR="004D0641" w:rsidRPr="00014C7B">
        <w:rPr>
          <w:color w:val="auto"/>
        </w:rPr>
        <w:t xml:space="preserve"> </w:t>
      </w:r>
      <w:r w:rsidR="004222A8" w:rsidRPr="00014C7B">
        <w:rPr>
          <w:color w:val="auto"/>
        </w:rPr>
        <w:t>il numero</w:t>
      </w:r>
      <w:r w:rsidR="00396D1B" w:rsidRPr="00014C7B">
        <w:rPr>
          <w:color w:val="auto"/>
        </w:rPr>
        <w:t xml:space="preserve"> </w:t>
      </w:r>
      <w:r w:rsidR="004222A8" w:rsidRPr="00014C7B">
        <w:rPr>
          <w:color w:val="auto"/>
        </w:rPr>
        <w:t xml:space="preserve">dei </w:t>
      </w:r>
      <w:r w:rsidR="00894BA6" w:rsidRPr="00014C7B">
        <w:rPr>
          <w:color w:val="auto"/>
        </w:rPr>
        <w:t xml:space="preserve">posti letto occupati da pazienti COVID </w:t>
      </w:r>
      <w:r w:rsidR="000D67CD" w:rsidRPr="00014C7B">
        <w:rPr>
          <w:color w:val="auto"/>
        </w:rPr>
        <w:t xml:space="preserve">registra </w:t>
      </w:r>
      <w:r w:rsidR="006404C6" w:rsidRPr="00014C7B">
        <w:rPr>
          <w:color w:val="auto"/>
        </w:rPr>
        <w:t>un</w:t>
      </w:r>
      <w:r w:rsidR="006404C6">
        <w:rPr>
          <w:color w:val="auto"/>
        </w:rPr>
        <w:t>’</w:t>
      </w:r>
      <w:r w:rsidR="000814F9" w:rsidRPr="00014C7B">
        <w:rPr>
          <w:color w:val="auto"/>
        </w:rPr>
        <w:t xml:space="preserve">ulteriore </w:t>
      </w:r>
      <w:r w:rsidR="000D67CD" w:rsidRPr="00014C7B">
        <w:rPr>
          <w:color w:val="auto"/>
        </w:rPr>
        <w:t>flessione</w:t>
      </w:r>
      <w:r w:rsidR="00FD0B13" w:rsidRPr="00014C7B">
        <w:rPr>
          <w:color w:val="auto"/>
        </w:rPr>
        <w:t xml:space="preserve"> </w:t>
      </w:r>
      <w:r w:rsidR="000814F9" w:rsidRPr="00014C7B">
        <w:rPr>
          <w:color w:val="auto"/>
        </w:rPr>
        <w:t xml:space="preserve">sia </w:t>
      </w:r>
      <w:r w:rsidR="00297DEB" w:rsidRPr="00014C7B">
        <w:rPr>
          <w:color w:val="auto"/>
        </w:rPr>
        <w:t xml:space="preserve">in </w:t>
      </w:r>
      <w:r w:rsidR="00A51B01" w:rsidRPr="00014C7B">
        <w:rPr>
          <w:color w:val="auto"/>
        </w:rPr>
        <w:t>terapia intensiva</w:t>
      </w:r>
      <w:r w:rsidR="00396D1B" w:rsidRPr="00014C7B">
        <w:rPr>
          <w:color w:val="auto"/>
        </w:rPr>
        <w:t xml:space="preserve"> (</w:t>
      </w:r>
      <w:r w:rsidR="00B43A83" w:rsidRPr="00014C7B">
        <w:rPr>
          <w:color w:val="auto"/>
        </w:rPr>
        <w:t>-</w:t>
      </w:r>
      <w:r w:rsidR="000814F9" w:rsidRPr="00014C7B">
        <w:rPr>
          <w:color w:val="auto"/>
        </w:rPr>
        <w:t>5,9</w:t>
      </w:r>
      <w:r w:rsidR="00385142" w:rsidRPr="00014C7B">
        <w:rPr>
          <w:color w:val="auto"/>
        </w:rPr>
        <w:t>%)</w:t>
      </w:r>
      <w:r w:rsidR="00074E5F" w:rsidRPr="00014C7B">
        <w:rPr>
          <w:color w:val="auto"/>
        </w:rPr>
        <w:t xml:space="preserve"> </w:t>
      </w:r>
      <w:r w:rsidR="000814F9" w:rsidRPr="00014C7B">
        <w:rPr>
          <w:color w:val="auto"/>
        </w:rPr>
        <w:t xml:space="preserve">che </w:t>
      </w:r>
      <w:r w:rsidR="000D67CD" w:rsidRPr="00014C7B">
        <w:rPr>
          <w:color w:val="auto"/>
        </w:rPr>
        <w:t xml:space="preserve">in </w:t>
      </w:r>
      <w:r w:rsidR="00074E5F" w:rsidRPr="00014C7B">
        <w:rPr>
          <w:color w:val="auto"/>
        </w:rPr>
        <w:t xml:space="preserve">area medica </w:t>
      </w:r>
      <w:r w:rsidR="003F28D2" w:rsidRPr="00014C7B">
        <w:rPr>
          <w:color w:val="auto"/>
        </w:rPr>
        <w:t>(</w:t>
      </w:r>
      <w:r w:rsidR="00074E5F" w:rsidRPr="00014C7B">
        <w:rPr>
          <w:color w:val="auto"/>
        </w:rPr>
        <w:t>-</w:t>
      </w:r>
      <w:r w:rsidR="000D67CD" w:rsidRPr="00014C7B">
        <w:rPr>
          <w:color w:val="auto"/>
        </w:rPr>
        <w:t>1</w:t>
      </w:r>
      <w:r w:rsidR="000814F9" w:rsidRPr="00014C7B">
        <w:rPr>
          <w:color w:val="auto"/>
        </w:rPr>
        <w:t>3</w:t>
      </w:r>
      <w:r w:rsidR="002B0A30" w:rsidRPr="00014C7B">
        <w:rPr>
          <w:color w:val="auto"/>
        </w:rPr>
        <w:t>%)</w:t>
      </w:r>
      <w:r w:rsidR="00A51B01" w:rsidRPr="00014C7B">
        <w:rPr>
          <w:color w:val="auto"/>
        </w:rPr>
        <w:t>»</w:t>
      </w:r>
      <w:r w:rsidR="000A422E" w:rsidRPr="00014C7B">
        <w:rPr>
          <w:color w:val="auto"/>
        </w:rPr>
        <w:t xml:space="preserve">. </w:t>
      </w:r>
      <w:r w:rsidR="008751B7" w:rsidRPr="00014C7B">
        <w:rPr>
          <w:color w:val="auto"/>
        </w:rPr>
        <w:t xml:space="preserve">In </w:t>
      </w:r>
      <w:r w:rsidR="00E70AB7" w:rsidRPr="0043242C">
        <w:rPr>
          <w:color w:val="auto"/>
        </w:rPr>
        <w:t>dettaglio</w:t>
      </w:r>
      <w:r w:rsidR="006404C6" w:rsidRPr="0043242C">
        <w:rPr>
          <w:color w:val="auto"/>
        </w:rPr>
        <w:t>,</w:t>
      </w:r>
      <w:r w:rsidR="008751B7" w:rsidRPr="0043242C">
        <w:rPr>
          <w:color w:val="auto"/>
        </w:rPr>
        <w:t xml:space="preserve"> in area critica</w:t>
      </w:r>
      <w:r w:rsidR="000C4285" w:rsidRPr="0043242C">
        <w:rPr>
          <w:color w:val="auto"/>
        </w:rPr>
        <w:t xml:space="preserve"> </w:t>
      </w:r>
      <w:r w:rsidR="00557ACD" w:rsidRPr="0043242C">
        <w:rPr>
          <w:color w:val="auto"/>
        </w:rPr>
        <w:t xml:space="preserve">al </w:t>
      </w:r>
      <w:r w:rsidR="000814F9" w:rsidRPr="00904C80">
        <w:rPr>
          <w:color w:val="auto"/>
        </w:rPr>
        <w:t>17</w:t>
      </w:r>
      <w:r w:rsidR="000D67CD" w:rsidRPr="00904C80">
        <w:rPr>
          <w:color w:val="auto"/>
        </w:rPr>
        <w:t xml:space="preserve"> </w:t>
      </w:r>
      <w:r w:rsidR="00074E5F" w:rsidRPr="00904C80">
        <w:rPr>
          <w:color w:val="auto"/>
        </w:rPr>
        <w:t>maggio</w:t>
      </w:r>
      <w:r w:rsidR="003E1BA0" w:rsidRPr="00904C80">
        <w:rPr>
          <w:color w:val="auto"/>
        </w:rPr>
        <w:t xml:space="preserve"> </w:t>
      </w:r>
      <w:r w:rsidR="00432864" w:rsidRPr="0043242C">
        <w:rPr>
          <w:color w:val="auto"/>
        </w:rPr>
        <w:t xml:space="preserve">si registrano </w:t>
      </w:r>
      <w:r w:rsidR="000814F9" w:rsidRPr="0043242C">
        <w:rPr>
          <w:color w:val="auto"/>
        </w:rPr>
        <w:t>337</w:t>
      </w:r>
      <w:r w:rsidR="008751B7" w:rsidRPr="0043242C">
        <w:rPr>
          <w:color w:val="auto"/>
        </w:rPr>
        <w:t xml:space="preserve"> </w:t>
      </w:r>
      <w:r w:rsidR="004D0641" w:rsidRPr="0043242C">
        <w:rPr>
          <w:color w:val="auto"/>
        </w:rPr>
        <w:t>posti letto occupati</w:t>
      </w:r>
      <w:r w:rsidR="008751B7" w:rsidRPr="0043242C">
        <w:rPr>
          <w:color w:val="auto"/>
        </w:rPr>
        <w:t xml:space="preserve">; in area medica, </w:t>
      </w:r>
      <w:r w:rsidR="00F27F03" w:rsidRPr="0043242C">
        <w:rPr>
          <w:color w:val="auto"/>
        </w:rPr>
        <w:t xml:space="preserve">invece, dopo il picco di 10.328 </w:t>
      </w:r>
      <w:r w:rsidR="00811762" w:rsidRPr="0043242C">
        <w:rPr>
          <w:color w:val="auto"/>
        </w:rPr>
        <w:t xml:space="preserve">registrato </w:t>
      </w:r>
      <w:r w:rsidR="00F27F03" w:rsidRPr="0043242C">
        <w:rPr>
          <w:color w:val="auto"/>
        </w:rPr>
        <w:t xml:space="preserve">il 26 aprile, i posti letto COVID sono scesi a quota </w:t>
      </w:r>
      <w:r w:rsidR="000814F9" w:rsidRPr="0043242C">
        <w:rPr>
          <w:color w:val="auto"/>
        </w:rPr>
        <w:t>7.465</w:t>
      </w:r>
      <w:r w:rsidR="000D67CD" w:rsidRPr="0043242C">
        <w:rPr>
          <w:color w:val="auto"/>
        </w:rPr>
        <w:t xml:space="preserve"> </w:t>
      </w:r>
      <w:r w:rsidR="00F27F03" w:rsidRPr="0043242C">
        <w:rPr>
          <w:color w:val="auto"/>
        </w:rPr>
        <w:t xml:space="preserve">il </w:t>
      </w:r>
      <w:r w:rsidR="000814F9" w:rsidRPr="00904C80">
        <w:rPr>
          <w:color w:val="auto"/>
        </w:rPr>
        <w:t>17</w:t>
      </w:r>
      <w:r w:rsidR="00F27F03" w:rsidRPr="00904C80">
        <w:rPr>
          <w:color w:val="auto"/>
        </w:rPr>
        <w:t xml:space="preserve"> maggio </w:t>
      </w:r>
      <w:r w:rsidR="008751B7" w:rsidRPr="0043242C">
        <w:rPr>
          <w:color w:val="auto"/>
        </w:rPr>
        <w:t>(</w:t>
      </w:r>
      <w:r w:rsidR="008751B7" w:rsidRPr="0043242C">
        <w:rPr>
          <w:color w:val="auto"/>
          <w:highlight w:val="yellow"/>
        </w:rPr>
        <w:t>figura 7</w:t>
      </w:r>
      <w:r w:rsidR="008751B7" w:rsidRPr="0043242C">
        <w:rPr>
          <w:color w:val="auto"/>
        </w:rPr>
        <w:t xml:space="preserve">). </w:t>
      </w:r>
      <w:r w:rsidR="00913182" w:rsidRPr="0043242C">
        <w:rPr>
          <w:color w:val="auto"/>
        </w:rPr>
        <w:t xml:space="preserve">Al </w:t>
      </w:r>
      <w:r w:rsidR="000814F9" w:rsidRPr="00904C80">
        <w:rPr>
          <w:color w:val="auto"/>
        </w:rPr>
        <w:t>17</w:t>
      </w:r>
      <w:r w:rsidR="00074E5F" w:rsidRPr="00904C80">
        <w:rPr>
          <w:color w:val="auto"/>
        </w:rPr>
        <w:t xml:space="preserve"> maggio</w:t>
      </w:r>
      <w:r w:rsidR="00894BA6" w:rsidRPr="00904C80">
        <w:rPr>
          <w:color w:val="auto"/>
        </w:rPr>
        <w:t xml:space="preserve"> </w:t>
      </w:r>
      <w:r w:rsidR="002348FC" w:rsidRPr="0043242C">
        <w:rPr>
          <w:color w:val="auto"/>
        </w:rPr>
        <w:t xml:space="preserve">il tasso </w:t>
      </w:r>
      <w:r w:rsidR="00894BA6" w:rsidRPr="0043242C">
        <w:rPr>
          <w:color w:val="auto"/>
        </w:rPr>
        <w:t xml:space="preserve">nazionale </w:t>
      </w:r>
      <w:r w:rsidR="002348FC" w:rsidRPr="0043242C">
        <w:rPr>
          <w:color w:val="auto"/>
        </w:rPr>
        <w:t xml:space="preserve">di occupazione </w:t>
      </w:r>
      <w:r w:rsidR="004C18D7" w:rsidRPr="00014C7B">
        <w:rPr>
          <w:color w:val="auto"/>
        </w:rPr>
        <w:t xml:space="preserve">da parte di pazienti COVID </w:t>
      </w:r>
      <w:r w:rsidR="00074E5F" w:rsidRPr="00014C7B">
        <w:rPr>
          <w:color w:val="auto"/>
        </w:rPr>
        <w:t xml:space="preserve">è </w:t>
      </w:r>
      <w:r w:rsidR="00C0045A" w:rsidRPr="00014C7B">
        <w:rPr>
          <w:color w:val="auto"/>
        </w:rPr>
        <w:t>del</w:t>
      </w:r>
      <w:r w:rsidR="00C0045A">
        <w:rPr>
          <w:color w:val="auto"/>
        </w:rPr>
        <w:t>l’</w:t>
      </w:r>
      <w:r w:rsidR="00074E5F" w:rsidRPr="00014C7B">
        <w:rPr>
          <w:color w:val="auto"/>
        </w:rPr>
        <w:t>1</w:t>
      </w:r>
      <w:r w:rsidR="00014C7B" w:rsidRPr="00014C7B">
        <w:rPr>
          <w:color w:val="auto"/>
        </w:rPr>
        <w:t>1</w:t>
      </w:r>
      <w:r w:rsidR="00310449" w:rsidRPr="00014C7B">
        <w:rPr>
          <w:color w:val="auto"/>
        </w:rPr>
        <w:t>,</w:t>
      </w:r>
      <w:r w:rsidR="00014C7B" w:rsidRPr="00014C7B">
        <w:rPr>
          <w:color w:val="auto"/>
        </w:rPr>
        <w:t>6</w:t>
      </w:r>
      <w:r w:rsidR="002E37EA" w:rsidRPr="00014C7B">
        <w:rPr>
          <w:color w:val="auto"/>
        </w:rPr>
        <w:t>% in area medica e</w:t>
      </w:r>
      <w:r w:rsidR="000D67CD" w:rsidRPr="00014C7B">
        <w:rPr>
          <w:color w:val="auto"/>
        </w:rPr>
        <w:t xml:space="preserve"> del</w:t>
      </w:r>
      <w:r w:rsidR="002E37EA" w:rsidRPr="00014C7B">
        <w:rPr>
          <w:color w:val="auto"/>
        </w:rPr>
        <w:t xml:space="preserve"> </w:t>
      </w:r>
      <w:r w:rsidR="00074E5F" w:rsidRPr="00014C7B">
        <w:rPr>
          <w:color w:val="auto"/>
        </w:rPr>
        <w:t>3,</w:t>
      </w:r>
      <w:r w:rsidR="00014C7B" w:rsidRPr="00014C7B">
        <w:rPr>
          <w:color w:val="auto"/>
        </w:rPr>
        <w:t>6</w:t>
      </w:r>
      <w:r w:rsidR="002348FC" w:rsidRPr="00014C7B">
        <w:rPr>
          <w:color w:val="auto"/>
        </w:rPr>
        <w:t>% in area critica</w:t>
      </w:r>
      <w:bookmarkEnd w:id="1"/>
      <w:r w:rsidR="00C97388" w:rsidRPr="00014C7B">
        <w:rPr>
          <w:color w:val="auto"/>
        </w:rPr>
        <w:t>.</w:t>
      </w:r>
      <w:r w:rsidR="00341691" w:rsidRPr="00014C7B">
        <w:rPr>
          <w:color w:val="auto"/>
        </w:rPr>
        <w:t xml:space="preserve"> </w:t>
      </w:r>
      <w:r w:rsidR="00014C7B" w:rsidRPr="00014C7B">
        <w:rPr>
          <w:color w:val="auto"/>
        </w:rPr>
        <w:t>5</w:t>
      </w:r>
      <w:r w:rsidR="00C26FE5" w:rsidRPr="00014C7B">
        <w:rPr>
          <w:color w:val="auto"/>
        </w:rPr>
        <w:t xml:space="preserve"> Regioni </w:t>
      </w:r>
      <w:r w:rsidR="00341691" w:rsidRPr="00014C7B">
        <w:rPr>
          <w:color w:val="auto"/>
        </w:rPr>
        <w:t>superano la soglia del 15% in area medica</w:t>
      </w:r>
      <w:r w:rsidR="00B80EAA" w:rsidRPr="00014C7B">
        <w:rPr>
          <w:color w:val="auto"/>
        </w:rPr>
        <w:t>,</w:t>
      </w:r>
      <w:r w:rsidR="00913182" w:rsidRPr="00014C7B">
        <w:rPr>
          <w:color w:val="auto"/>
        </w:rPr>
        <w:t xml:space="preserve"> con </w:t>
      </w:r>
      <w:r w:rsidR="00FB7CD8" w:rsidRPr="00014C7B">
        <w:rPr>
          <w:color w:val="auto"/>
        </w:rPr>
        <w:t>l’</w:t>
      </w:r>
      <w:r w:rsidR="00B43A83" w:rsidRPr="00014C7B">
        <w:rPr>
          <w:color w:val="auto"/>
        </w:rPr>
        <w:t>Umbria</w:t>
      </w:r>
      <w:r w:rsidR="003874D0" w:rsidRPr="00014C7B">
        <w:rPr>
          <w:color w:val="auto"/>
        </w:rPr>
        <w:t xml:space="preserve"> che </w:t>
      </w:r>
      <w:r w:rsidR="004D0641" w:rsidRPr="00014C7B">
        <w:rPr>
          <w:color w:val="auto"/>
        </w:rPr>
        <w:t>raggiunge</w:t>
      </w:r>
      <w:r w:rsidR="00A16713" w:rsidRPr="00014C7B">
        <w:rPr>
          <w:color w:val="auto"/>
        </w:rPr>
        <w:t xml:space="preserve"> </w:t>
      </w:r>
      <w:r w:rsidR="004D0641" w:rsidRPr="00014C7B">
        <w:rPr>
          <w:color w:val="auto"/>
        </w:rPr>
        <w:t xml:space="preserve">il </w:t>
      </w:r>
      <w:r w:rsidR="00014C7B" w:rsidRPr="00014C7B">
        <w:rPr>
          <w:color w:val="auto"/>
        </w:rPr>
        <w:t>27</w:t>
      </w:r>
      <w:r w:rsidR="00C26FE5" w:rsidRPr="00014C7B">
        <w:rPr>
          <w:color w:val="auto"/>
        </w:rPr>
        <w:t>,</w:t>
      </w:r>
      <w:r w:rsidR="00014C7B" w:rsidRPr="00014C7B">
        <w:rPr>
          <w:color w:val="auto"/>
        </w:rPr>
        <w:t>5</w:t>
      </w:r>
      <w:r w:rsidR="00913182" w:rsidRPr="00014C7B">
        <w:rPr>
          <w:color w:val="auto"/>
        </w:rPr>
        <w:t>%</w:t>
      </w:r>
      <w:r w:rsidR="00E70AB7" w:rsidRPr="00014C7B">
        <w:rPr>
          <w:color w:val="auto"/>
        </w:rPr>
        <w:t xml:space="preserve">, </w:t>
      </w:r>
      <w:r w:rsidR="00CD3234" w:rsidRPr="00014C7B">
        <w:rPr>
          <w:color w:val="auto"/>
        </w:rPr>
        <w:t>mentre tutte le Regioni si collocano sotto la</w:t>
      </w:r>
      <w:r w:rsidR="00341691" w:rsidRPr="00014C7B">
        <w:rPr>
          <w:color w:val="auto"/>
        </w:rPr>
        <w:t xml:space="preserve"> soglia del 10% </w:t>
      </w:r>
      <w:r w:rsidR="000C4285" w:rsidRPr="00014C7B">
        <w:rPr>
          <w:color w:val="auto"/>
        </w:rPr>
        <w:t>per l’area critica</w:t>
      </w:r>
      <w:r w:rsidR="007F1FA7" w:rsidRPr="00014C7B">
        <w:rPr>
          <w:color w:val="auto"/>
        </w:rPr>
        <w:t xml:space="preserve"> </w:t>
      </w:r>
      <w:r w:rsidR="004B6DC2" w:rsidRPr="00014C7B">
        <w:rPr>
          <w:color w:val="auto"/>
        </w:rPr>
        <w:t>(</w:t>
      </w:r>
      <w:r w:rsidR="004B6DC2" w:rsidRPr="00014C7B">
        <w:rPr>
          <w:color w:val="auto"/>
          <w:highlight w:val="yellow"/>
        </w:rPr>
        <w:t xml:space="preserve">figura </w:t>
      </w:r>
      <w:r w:rsidR="008751B7" w:rsidRPr="00014C7B">
        <w:rPr>
          <w:color w:val="auto"/>
          <w:highlight w:val="yellow"/>
        </w:rPr>
        <w:t>8</w:t>
      </w:r>
      <w:r w:rsidR="004B6DC2" w:rsidRPr="00014C7B">
        <w:rPr>
          <w:color w:val="auto"/>
        </w:rPr>
        <w:t>)</w:t>
      </w:r>
      <w:r w:rsidR="00341691" w:rsidRPr="00014C7B">
        <w:rPr>
          <w:color w:val="auto"/>
        </w:rPr>
        <w:t>.</w:t>
      </w:r>
      <w:r w:rsidR="008D2843" w:rsidRPr="00014C7B">
        <w:rPr>
          <w:color w:val="auto"/>
        </w:rPr>
        <w:t xml:space="preserve"> </w:t>
      </w:r>
      <w:r w:rsidR="00BD67DE" w:rsidRPr="00014C7B">
        <w:rPr>
          <w:color w:val="auto"/>
        </w:rPr>
        <w:t>«</w:t>
      </w:r>
      <w:r w:rsidR="0093662D">
        <w:rPr>
          <w:color w:val="auto"/>
        </w:rPr>
        <w:t xml:space="preserve">Rimane </w:t>
      </w:r>
      <w:r w:rsidR="000814F9" w:rsidRPr="00014C7B">
        <w:rPr>
          <w:color w:val="auto"/>
        </w:rPr>
        <w:t xml:space="preserve">stabile </w:t>
      </w:r>
      <w:r w:rsidR="00D1612B" w:rsidRPr="00014C7B">
        <w:rPr>
          <w:color w:val="auto"/>
        </w:rPr>
        <w:t xml:space="preserve">– </w:t>
      </w:r>
      <w:r w:rsidR="00451468" w:rsidRPr="00014C7B">
        <w:rPr>
          <w:color w:val="auto"/>
        </w:rPr>
        <w:t>puntualizza Mosti</w:t>
      </w:r>
      <w:r w:rsidR="00931C11" w:rsidRPr="00014C7B">
        <w:rPr>
          <w:color w:val="auto"/>
        </w:rPr>
        <w:t xml:space="preserve"> </w:t>
      </w:r>
      <w:r w:rsidR="00451468" w:rsidRPr="00014C7B">
        <w:rPr>
          <w:color w:val="auto"/>
        </w:rPr>
        <w:t>–</w:t>
      </w:r>
      <w:r w:rsidR="00CA4A08" w:rsidRPr="00014C7B">
        <w:rPr>
          <w:color w:val="auto"/>
        </w:rPr>
        <w:t xml:space="preserve"> </w:t>
      </w:r>
      <w:r w:rsidR="0093662D" w:rsidRPr="00014C7B">
        <w:rPr>
          <w:color w:val="auto"/>
        </w:rPr>
        <w:t>il numero di ingressi giornalieri in terapia intensiva</w:t>
      </w:r>
      <w:r w:rsidR="0093662D">
        <w:rPr>
          <w:color w:val="auto"/>
        </w:rPr>
        <w:t>:</w:t>
      </w:r>
      <w:r w:rsidR="0093662D" w:rsidRPr="00014C7B">
        <w:rPr>
          <w:color w:val="auto"/>
        </w:rPr>
        <w:t xml:space="preserve"> </w:t>
      </w:r>
      <w:r w:rsidR="0093662D">
        <w:rPr>
          <w:color w:val="auto"/>
        </w:rPr>
        <w:t xml:space="preserve">la </w:t>
      </w:r>
      <w:r w:rsidR="00BD67DE" w:rsidRPr="00014C7B">
        <w:rPr>
          <w:color w:val="auto"/>
        </w:rPr>
        <w:t xml:space="preserve">media mobile a 7 giorni </w:t>
      </w:r>
      <w:r w:rsidR="0093662D">
        <w:rPr>
          <w:color w:val="auto"/>
        </w:rPr>
        <w:t xml:space="preserve">è </w:t>
      </w:r>
      <w:r w:rsidR="00074E5F" w:rsidRPr="00014C7B">
        <w:rPr>
          <w:color w:val="auto"/>
        </w:rPr>
        <w:t xml:space="preserve">di </w:t>
      </w:r>
      <w:r w:rsidR="00557ACD" w:rsidRPr="00014C7B">
        <w:rPr>
          <w:color w:val="auto"/>
        </w:rPr>
        <w:t>3</w:t>
      </w:r>
      <w:r w:rsidR="000814F9" w:rsidRPr="00014C7B">
        <w:rPr>
          <w:color w:val="auto"/>
        </w:rPr>
        <w:t>5</w:t>
      </w:r>
      <w:r w:rsidR="000D67CD" w:rsidRPr="00014C7B">
        <w:rPr>
          <w:color w:val="auto"/>
        </w:rPr>
        <w:t xml:space="preserve"> </w:t>
      </w:r>
      <w:r w:rsidR="00547F28" w:rsidRPr="00014C7B">
        <w:rPr>
          <w:color w:val="auto"/>
        </w:rPr>
        <w:t>ingressi/die</w:t>
      </w:r>
      <w:r w:rsidR="000D67CD" w:rsidRPr="00014C7B">
        <w:rPr>
          <w:color w:val="auto"/>
        </w:rPr>
        <w:t xml:space="preserve"> rispetto ai 3</w:t>
      </w:r>
      <w:r w:rsidR="000814F9" w:rsidRPr="00014C7B">
        <w:rPr>
          <w:color w:val="auto"/>
        </w:rPr>
        <w:t>3</w:t>
      </w:r>
      <w:r w:rsidR="000D67CD" w:rsidRPr="00014C7B">
        <w:rPr>
          <w:color w:val="auto"/>
        </w:rPr>
        <w:t xml:space="preserve"> della settimana precedente</w:t>
      </w:r>
      <w:r w:rsidR="00D42AAE" w:rsidRPr="00014C7B">
        <w:rPr>
          <w:color w:val="auto"/>
        </w:rPr>
        <w:t>»</w:t>
      </w:r>
      <w:r w:rsidR="00BD67DE" w:rsidRPr="00014C7B">
        <w:rPr>
          <w:color w:val="auto"/>
        </w:rPr>
        <w:t xml:space="preserve"> (</w:t>
      </w:r>
      <w:r w:rsidR="00BD67DE" w:rsidRPr="00014C7B">
        <w:rPr>
          <w:color w:val="auto"/>
          <w:highlight w:val="yellow"/>
        </w:rPr>
        <w:t>figura</w:t>
      </w:r>
      <w:r w:rsidR="00C91686" w:rsidRPr="00014C7B">
        <w:rPr>
          <w:color w:val="auto"/>
          <w:highlight w:val="yellow"/>
        </w:rPr>
        <w:t xml:space="preserve"> </w:t>
      </w:r>
      <w:r w:rsidR="008751B7" w:rsidRPr="00014C7B">
        <w:rPr>
          <w:color w:val="auto"/>
          <w:highlight w:val="yellow"/>
        </w:rPr>
        <w:t>9</w:t>
      </w:r>
      <w:r w:rsidR="00BD67DE" w:rsidRPr="00014C7B">
        <w:rPr>
          <w:color w:val="auto"/>
        </w:rPr>
        <w:t>).</w:t>
      </w:r>
    </w:p>
    <w:p w:rsidR="003E6E27" w:rsidRPr="003E6E27" w:rsidRDefault="003E6E27" w:rsidP="00927630">
      <w:pPr>
        <w:jc w:val="both"/>
        <w:rPr>
          <w:color w:val="auto"/>
        </w:rPr>
      </w:pPr>
      <w:r w:rsidRPr="003E6E27">
        <w:rPr>
          <w:b/>
          <w:color w:val="auto"/>
        </w:rPr>
        <w:t xml:space="preserve">Decessi. </w:t>
      </w:r>
      <w:r w:rsidRPr="003E6E27">
        <w:rPr>
          <w:color w:val="auto"/>
        </w:rPr>
        <w:t>Diminuiscono</w:t>
      </w:r>
      <w:r>
        <w:rPr>
          <w:color w:val="auto"/>
        </w:rPr>
        <w:t xml:space="preserve"> ancora</w:t>
      </w:r>
      <w:r w:rsidRPr="003E6E27">
        <w:rPr>
          <w:color w:val="auto"/>
        </w:rPr>
        <w:t xml:space="preserve"> i decessi: 763 negli ultimi 7 giorni (di cui 38 riferiti a periodi precedenti), con una media di 109 al giorno rispetto ai 120 della settimana precedente.</w:t>
      </w:r>
    </w:p>
    <w:p w:rsidR="004939F2" w:rsidRPr="004939F2" w:rsidRDefault="004939F2" w:rsidP="00124C08">
      <w:pPr>
        <w:spacing w:line="276" w:lineRule="auto"/>
        <w:jc w:val="both"/>
        <w:rPr>
          <w:color w:val="auto"/>
        </w:rPr>
      </w:pPr>
      <w:r w:rsidRPr="004939F2">
        <w:rPr>
          <w:b/>
          <w:color w:val="auto"/>
        </w:rPr>
        <w:t>Vaccini: somministrazioni.</w:t>
      </w:r>
      <w:r w:rsidRPr="004939F2">
        <w:rPr>
          <w:color w:val="auto"/>
        </w:rPr>
        <w:t xml:space="preserve"> Al 18 ma</w:t>
      </w:r>
      <w:r>
        <w:rPr>
          <w:color w:val="auto"/>
        </w:rPr>
        <w:t xml:space="preserve">ggio (aggiornamento ore 06.16) </w:t>
      </w:r>
      <w:r w:rsidRPr="004939F2">
        <w:rPr>
          <w:color w:val="auto"/>
        </w:rPr>
        <w:t>l</w:t>
      </w:r>
      <w:r>
        <w:rPr>
          <w:color w:val="auto"/>
        </w:rPr>
        <w:t>’</w:t>
      </w:r>
      <w:r w:rsidRPr="004939F2">
        <w:rPr>
          <w:color w:val="auto"/>
        </w:rPr>
        <w:t>88,1% della platea (n. 50.775.813) ha ricevuto almeno una dose di vaccino (+5.645 rispetto alla settimana precedente) e l</w:t>
      </w:r>
      <w:r>
        <w:rPr>
          <w:color w:val="auto"/>
        </w:rPr>
        <w:t>’</w:t>
      </w:r>
      <w:r w:rsidRPr="004939F2">
        <w:rPr>
          <w:color w:val="auto"/>
        </w:rPr>
        <w:t>86,5% (n. 49.883.242) ha completato il ciclo vaccinale (+10.262 rispetto alla settimana precedente).</w:t>
      </w:r>
    </w:p>
    <w:p w:rsidR="00014C7B" w:rsidRPr="00014C7B" w:rsidRDefault="004939F2" w:rsidP="00014C7B">
      <w:pPr>
        <w:jc w:val="both"/>
        <w:rPr>
          <w:color w:val="auto"/>
        </w:rPr>
      </w:pPr>
      <w:r w:rsidRPr="004939F2">
        <w:rPr>
          <w:b/>
          <w:color w:val="auto"/>
        </w:rPr>
        <w:t>Vaccini: nuovi vaccinati.</w:t>
      </w:r>
      <w:r w:rsidRPr="004939F2">
        <w:rPr>
          <w:color w:val="auto"/>
        </w:rPr>
        <w:t xml:space="preserve"> Nella settimana 11-17 maggio </w:t>
      </w:r>
      <w:r>
        <w:rPr>
          <w:color w:val="auto"/>
        </w:rPr>
        <w:t>si riduce ulteriormente</w:t>
      </w:r>
      <w:r w:rsidRPr="004939F2">
        <w:rPr>
          <w:color w:val="auto"/>
        </w:rPr>
        <w:t xml:space="preserve"> </w:t>
      </w:r>
      <w:r>
        <w:rPr>
          <w:color w:val="auto"/>
        </w:rPr>
        <w:t>il numero d</w:t>
      </w:r>
      <w:r w:rsidRPr="004939F2">
        <w:rPr>
          <w:color w:val="auto"/>
        </w:rPr>
        <w:t>i nuovi vaccinati: 4.494 rispetto ai 5.209 della settimana precedente (-13,7%). Di questi il 39,7% è rappresentato dalla fascia 5-</w:t>
      </w:r>
      <w:r w:rsidRPr="004939F2">
        <w:rPr>
          <w:color w:val="auto"/>
        </w:rPr>
        <w:lastRenderedPageBreak/>
        <w:t>11</w:t>
      </w:r>
      <w:r>
        <w:rPr>
          <w:color w:val="auto"/>
        </w:rPr>
        <w:t xml:space="preserve">: 1.784, con una riduzione del </w:t>
      </w:r>
      <w:r w:rsidRPr="004939F2">
        <w:rPr>
          <w:color w:val="auto"/>
        </w:rPr>
        <w:t>6% rispetto alla settimana precedente. Continua a scendere tra gli over 50, più a rischio di malattia grave, il numero di nuovi vaccinati che si attesta a quota 1.061 (-19,3% rispetto alla settimana precedente) (</w:t>
      </w:r>
      <w:r w:rsidRPr="004939F2">
        <w:rPr>
          <w:color w:val="auto"/>
          <w:highlight w:val="yellow"/>
        </w:rPr>
        <w:t>figura 10</w:t>
      </w:r>
      <w:r w:rsidRPr="004939F2">
        <w:rPr>
          <w:color w:val="auto"/>
        </w:rPr>
        <w:t>).</w:t>
      </w:r>
    </w:p>
    <w:p w:rsidR="004939F2" w:rsidRDefault="004939F2" w:rsidP="00014C7B">
      <w:pPr>
        <w:jc w:val="both"/>
        <w:rPr>
          <w:color w:val="auto"/>
        </w:rPr>
      </w:pPr>
      <w:r w:rsidRPr="004939F2">
        <w:rPr>
          <w:b/>
          <w:color w:val="auto"/>
        </w:rPr>
        <w:t>Vaccini: persone non vaccinate.</w:t>
      </w:r>
      <w:r w:rsidRPr="004939F2">
        <w:rPr>
          <w:color w:val="auto"/>
        </w:rPr>
        <w:t xml:space="preserve"> Al 18 maggio (aggiornamento ore 06.16) sono 6,87 milioni le persone di età superiore a 5 anni che non hanno ricevuto nemmeno una dose di vaccino</w:t>
      </w:r>
      <w:r>
        <w:rPr>
          <w:color w:val="auto"/>
        </w:rPr>
        <w:t xml:space="preserve"> </w:t>
      </w:r>
      <w:r w:rsidRPr="004939F2">
        <w:rPr>
          <w:color w:val="auto"/>
        </w:rPr>
        <w:t>(</w:t>
      </w:r>
      <w:r w:rsidRPr="004939F2">
        <w:rPr>
          <w:color w:val="auto"/>
          <w:highlight w:val="yellow"/>
        </w:rPr>
        <w:t>figure 11 e 12</w:t>
      </w:r>
      <w:r w:rsidRPr="004939F2">
        <w:rPr>
          <w:color w:val="auto"/>
        </w:rPr>
        <w:t>)</w:t>
      </w:r>
      <w:r>
        <w:rPr>
          <w:color w:val="auto"/>
        </w:rPr>
        <w:t>, di cui</w:t>
      </w:r>
      <w:r w:rsidRPr="004939F2">
        <w:rPr>
          <w:color w:val="auto"/>
        </w:rPr>
        <w:t>:</w:t>
      </w:r>
    </w:p>
    <w:p w:rsidR="004939F2" w:rsidRPr="004939F2" w:rsidRDefault="004939F2" w:rsidP="00EF6D1F">
      <w:pPr>
        <w:pStyle w:val="Paragrafoelenco"/>
        <w:numPr>
          <w:ilvl w:val="0"/>
          <w:numId w:val="12"/>
        </w:numPr>
        <w:ind w:left="357" w:hanging="357"/>
        <w:contextualSpacing/>
        <w:jc w:val="both"/>
        <w:rPr>
          <w:color w:val="auto"/>
        </w:rPr>
      </w:pPr>
      <w:r w:rsidRPr="004939F2">
        <w:rPr>
          <w:color w:val="auto"/>
        </w:rPr>
        <w:t>4,03 milioni attualmente vaccinabili</w:t>
      </w:r>
      <w:r w:rsidR="00C0045A">
        <w:rPr>
          <w:color w:val="auto"/>
        </w:rPr>
        <w:t xml:space="preserve">, pari al </w:t>
      </w:r>
      <w:r w:rsidRPr="004939F2">
        <w:rPr>
          <w:color w:val="auto"/>
        </w:rPr>
        <w:t>7% della platea con nette di</w:t>
      </w:r>
      <w:r>
        <w:rPr>
          <w:color w:val="auto"/>
        </w:rPr>
        <w:t>fferenze regionali</w:t>
      </w:r>
      <w:r w:rsidR="00C92230">
        <w:rPr>
          <w:color w:val="auto"/>
        </w:rPr>
        <w:t>:</w:t>
      </w:r>
      <w:r>
        <w:rPr>
          <w:color w:val="auto"/>
        </w:rPr>
        <w:t xml:space="preserve"> dal 4% della </w:t>
      </w:r>
      <w:r w:rsidRPr="004939F2">
        <w:rPr>
          <w:color w:val="auto"/>
        </w:rPr>
        <w:t>Prov</w:t>
      </w:r>
      <w:r>
        <w:rPr>
          <w:color w:val="auto"/>
        </w:rPr>
        <w:t>incia</w:t>
      </w:r>
      <w:r w:rsidRPr="004939F2">
        <w:rPr>
          <w:color w:val="auto"/>
        </w:rPr>
        <w:t xml:space="preserve"> Aut</w:t>
      </w:r>
      <w:r>
        <w:rPr>
          <w:color w:val="auto"/>
        </w:rPr>
        <w:t xml:space="preserve">onoma di </w:t>
      </w:r>
      <w:r w:rsidRPr="004939F2">
        <w:rPr>
          <w:color w:val="auto"/>
        </w:rPr>
        <w:t>Trento al 10,2% del</w:t>
      </w:r>
      <w:r w:rsidR="00C92230">
        <w:rPr>
          <w:color w:val="auto"/>
        </w:rPr>
        <w:t>la Calabria</w:t>
      </w:r>
      <w:r>
        <w:rPr>
          <w:color w:val="auto"/>
        </w:rPr>
        <w:t>;</w:t>
      </w:r>
    </w:p>
    <w:p w:rsidR="004939F2" w:rsidRPr="004939F2" w:rsidRDefault="004939F2" w:rsidP="004939F2">
      <w:pPr>
        <w:pStyle w:val="Paragrafoelenco"/>
        <w:numPr>
          <w:ilvl w:val="0"/>
          <w:numId w:val="12"/>
        </w:numPr>
        <w:jc w:val="both"/>
        <w:rPr>
          <w:color w:val="auto"/>
        </w:rPr>
      </w:pPr>
      <w:r w:rsidRPr="004939F2">
        <w:rPr>
          <w:color w:val="auto"/>
        </w:rPr>
        <w:t>2,85 milioni temporaneamente protette in quanto guarite da</w:t>
      </w:r>
      <w:r>
        <w:rPr>
          <w:color w:val="auto"/>
        </w:rPr>
        <w:t xml:space="preserve"> COVID-19 da meno di 180 giorni, pari al </w:t>
      </w:r>
      <w:r w:rsidRPr="004939F2">
        <w:rPr>
          <w:color w:val="auto"/>
        </w:rPr>
        <w:t>4,9% della platea con nette differenze regionali</w:t>
      </w:r>
      <w:r w:rsidR="00CB6BE6">
        <w:rPr>
          <w:color w:val="auto"/>
        </w:rPr>
        <w:t xml:space="preserve">: </w:t>
      </w:r>
      <w:r w:rsidRPr="004939F2">
        <w:rPr>
          <w:color w:val="auto"/>
        </w:rPr>
        <w:t xml:space="preserve">dal 2,9% del Molise al </w:t>
      </w:r>
      <w:r>
        <w:rPr>
          <w:color w:val="auto"/>
        </w:rPr>
        <w:t>10,7% della</w:t>
      </w:r>
      <w:r w:rsidRPr="004939F2">
        <w:rPr>
          <w:color w:val="auto"/>
        </w:rPr>
        <w:t xml:space="preserve"> Prov</w:t>
      </w:r>
      <w:r>
        <w:rPr>
          <w:color w:val="auto"/>
        </w:rPr>
        <w:t>incia</w:t>
      </w:r>
      <w:r w:rsidRPr="004939F2">
        <w:rPr>
          <w:color w:val="auto"/>
        </w:rPr>
        <w:t xml:space="preserve"> Aut</w:t>
      </w:r>
      <w:r>
        <w:rPr>
          <w:color w:val="auto"/>
        </w:rPr>
        <w:t>onoma di Bolzano.</w:t>
      </w:r>
    </w:p>
    <w:p w:rsidR="00014C7B" w:rsidRPr="00014C7B" w:rsidRDefault="004939F2" w:rsidP="00014C7B">
      <w:pPr>
        <w:jc w:val="both"/>
        <w:rPr>
          <w:color w:val="auto"/>
        </w:rPr>
      </w:pPr>
      <w:r w:rsidRPr="004939F2">
        <w:rPr>
          <w:b/>
          <w:color w:val="auto"/>
        </w:rPr>
        <w:t>Vaccini: fascia 5-11 anni.</w:t>
      </w:r>
      <w:r w:rsidRPr="004939F2">
        <w:rPr>
          <w:color w:val="auto"/>
        </w:rPr>
        <w:t xml:space="preserve"> Al 18 maggio (aggiornamento ore 06.16) nella fascia 5-11 anni sono state somministrate 2.571.861 dosi: 1.388.835 hanno ricevuto almeno 1 dose di vaccino (di cui 1.261.878 hanno completato il ciclo vaccinale), con un tasso di copertura n</w:t>
      </w:r>
      <w:r>
        <w:rPr>
          <w:color w:val="auto"/>
        </w:rPr>
        <w:t>azionale al 38</w:t>
      </w:r>
      <w:r w:rsidRPr="004939F2">
        <w:rPr>
          <w:color w:val="auto"/>
        </w:rPr>
        <w:t>% con nette differenze regionali: dal 20,7% della Prov</w:t>
      </w:r>
      <w:r>
        <w:rPr>
          <w:color w:val="auto"/>
        </w:rPr>
        <w:t>incia</w:t>
      </w:r>
      <w:r w:rsidRPr="004939F2">
        <w:rPr>
          <w:color w:val="auto"/>
        </w:rPr>
        <w:t xml:space="preserve"> Aut</w:t>
      </w:r>
      <w:r>
        <w:rPr>
          <w:color w:val="auto"/>
        </w:rPr>
        <w:t>onoma di</w:t>
      </w:r>
      <w:r w:rsidRPr="004939F2">
        <w:rPr>
          <w:color w:val="auto"/>
        </w:rPr>
        <w:t xml:space="preserve"> Bolzano al 53,7% della Puglia (</w:t>
      </w:r>
      <w:r w:rsidRPr="004939F2">
        <w:rPr>
          <w:color w:val="auto"/>
          <w:highlight w:val="yellow"/>
        </w:rPr>
        <w:t>figura 13</w:t>
      </w:r>
      <w:r w:rsidRPr="004939F2">
        <w:rPr>
          <w:color w:val="auto"/>
        </w:rPr>
        <w:t>).</w:t>
      </w:r>
    </w:p>
    <w:p w:rsidR="00EF6D1F" w:rsidRDefault="004939F2" w:rsidP="00014C7B">
      <w:pPr>
        <w:jc w:val="both"/>
        <w:rPr>
          <w:color w:val="auto"/>
        </w:rPr>
      </w:pPr>
      <w:r w:rsidRPr="004939F2">
        <w:rPr>
          <w:b/>
          <w:color w:val="auto"/>
        </w:rPr>
        <w:t>Vaccini: terza dose.</w:t>
      </w:r>
      <w:r w:rsidRPr="004939F2">
        <w:rPr>
          <w:color w:val="auto"/>
        </w:rPr>
        <w:t xml:space="preserve"> Al 18 maggio (aggiornamento ore 06.16) sono state somministrate 39.483.137 terze dosi con una media mobile a 7 giorni di 7.795 somministrazioni al giorno. In base </w:t>
      </w:r>
      <w:r w:rsidRPr="00EF6D1F">
        <w:rPr>
          <w:color w:val="auto"/>
        </w:rPr>
        <w:t xml:space="preserve">alla </w:t>
      </w:r>
      <w:hyperlink r:id="rId10" w:history="1">
        <w:r w:rsidRPr="00EF6D1F">
          <w:rPr>
            <w:rStyle w:val="Collegamentoipertestuale"/>
            <w:color w:val="auto"/>
          </w:rPr>
          <w:t>platea ufficiale</w:t>
        </w:r>
      </w:hyperlink>
      <w:r w:rsidRPr="00EF6D1F">
        <w:rPr>
          <w:color w:val="auto"/>
        </w:rPr>
        <w:t xml:space="preserve"> (n. 47.703.593), aggiornata al 6 maggio</w:t>
      </w:r>
      <w:r w:rsidR="00CB6BE6">
        <w:rPr>
          <w:color w:val="auto"/>
        </w:rPr>
        <w:t>,</w:t>
      </w:r>
      <w:r w:rsidRPr="00EF6D1F">
        <w:rPr>
          <w:color w:val="auto"/>
        </w:rPr>
        <w:t xml:space="preserve"> il tasso di copertura na</w:t>
      </w:r>
      <w:r w:rsidR="00EF6D1F" w:rsidRPr="00EF6D1F">
        <w:rPr>
          <w:color w:val="auto"/>
        </w:rPr>
        <w:t>zionale per le terze dosi è dell’</w:t>
      </w:r>
      <w:r w:rsidRPr="00EF6D1F">
        <w:rPr>
          <w:color w:val="auto"/>
        </w:rPr>
        <w:t xml:space="preserve">82,8% con nette </w:t>
      </w:r>
      <w:r w:rsidRPr="004939F2">
        <w:rPr>
          <w:color w:val="auto"/>
        </w:rPr>
        <w:t>differenze regionali: dal 77,2% della Sicilia al</w:t>
      </w:r>
      <w:r w:rsidR="00EF6D1F">
        <w:rPr>
          <w:color w:val="auto"/>
        </w:rPr>
        <w:t>l’</w:t>
      </w:r>
      <w:r w:rsidRPr="004939F2">
        <w:rPr>
          <w:color w:val="auto"/>
        </w:rPr>
        <w:t>86,8% della Valle D</w:t>
      </w:r>
      <w:r w:rsidR="00234AD6">
        <w:rPr>
          <w:color w:val="auto"/>
        </w:rPr>
        <w:t>’</w:t>
      </w:r>
      <w:r w:rsidRPr="004939F2">
        <w:rPr>
          <w:color w:val="auto"/>
        </w:rPr>
        <w:t xml:space="preserve">Aosta. Sono 8,22 milioni le persone che non hanno ancora ricevuto la dose </w:t>
      </w:r>
      <w:r w:rsidRPr="00EF6D1F">
        <w:rPr>
          <w:i/>
          <w:color w:val="auto"/>
        </w:rPr>
        <w:t>booster</w:t>
      </w:r>
      <w:r w:rsidR="00EF6D1F">
        <w:rPr>
          <w:i/>
          <w:color w:val="auto"/>
        </w:rPr>
        <w:t xml:space="preserve"> </w:t>
      </w:r>
      <w:r w:rsidR="00EF6D1F" w:rsidRPr="00EF6D1F">
        <w:rPr>
          <w:color w:val="auto"/>
        </w:rPr>
        <w:t>(</w:t>
      </w:r>
      <w:r w:rsidR="00EF6D1F" w:rsidRPr="00C92230">
        <w:rPr>
          <w:color w:val="auto"/>
          <w:highlight w:val="yellow"/>
        </w:rPr>
        <w:t>figure 14 e 15</w:t>
      </w:r>
      <w:r w:rsidR="00EF6D1F" w:rsidRPr="00EF6D1F">
        <w:rPr>
          <w:color w:val="auto"/>
        </w:rPr>
        <w:t>)</w:t>
      </w:r>
      <w:r w:rsidR="00EF6D1F">
        <w:rPr>
          <w:color w:val="auto"/>
        </w:rPr>
        <w:t>, di cui</w:t>
      </w:r>
      <w:r w:rsidRPr="004939F2">
        <w:rPr>
          <w:color w:val="auto"/>
        </w:rPr>
        <w:t xml:space="preserve">: </w:t>
      </w:r>
    </w:p>
    <w:p w:rsidR="00EF6D1F" w:rsidRDefault="004939F2" w:rsidP="00EF6D1F">
      <w:pPr>
        <w:pStyle w:val="Paragrafoelenco"/>
        <w:numPr>
          <w:ilvl w:val="0"/>
          <w:numId w:val="13"/>
        </w:numPr>
        <w:ind w:left="357" w:hanging="357"/>
        <w:contextualSpacing/>
        <w:jc w:val="both"/>
        <w:rPr>
          <w:color w:val="auto"/>
        </w:rPr>
      </w:pPr>
      <w:r w:rsidRPr="00EF6D1F">
        <w:rPr>
          <w:color w:val="auto"/>
        </w:rPr>
        <w:t>3,41 milioni possono riceverla subito</w:t>
      </w:r>
      <w:r w:rsidR="00EF6D1F">
        <w:rPr>
          <w:color w:val="auto"/>
        </w:rPr>
        <w:t xml:space="preserve">, pari al </w:t>
      </w:r>
      <w:r w:rsidRPr="00EF6D1F">
        <w:rPr>
          <w:color w:val="auto"/>
        </w:rPr>
        <w:t>7,1% della platea con nette differenze regionali</w:t>
      </w:r>
      <w:r w:rsidR="00234AD6">
        <w:rPr>
          <w:color w:val="auto"/>
        </w:rPr>
        <w:t xml:space="preserve"> (</w:t>
      </w:r>
      <w:r w:rsidRPr="00EF6D1F">
        <w:rPr>
          <w:color w:val="auto"/>
        </w:rPr>
        <w:t>dal 3,8% del</w:t>
      </w:r>
      <w:r w:rsidR="00EF6D1F">
        <w:rPr>
          <w:color w:val="auto"/>
        </w:rPr>
        <w:t>l’Abruzzo all’</w:t>
      </w:r>
      <w:r w:rsidRPr="00EF6D1F">
        <w:rPr>
          <w:color w:val="auto"/>
        </w:rPr>
        <w:t>11,4% del</w:t>
      </w:r>
      <w:r w:rsidR="00EF6D1F">
        <w:rPr>
          <w:color w:val="auto"/>
        </w:rPr>
        <w:t>la Sicilia)</w:t>
      </w:r>
      <w:r w:rsidR="00234AD6">
        <w:rPr>
          <w:color w:val="auto"/>
        </w:rPr>
        <w:t>;</w:t>
      </w:r>
    </w:p>
    <w:p w:rsidR="00014C7B" w:rsidRPr="00EF6D1F" w:rsidRDefault="004939F2" w:rsidP="00EF6D1F">
      <w:pPr>
        <w:pStyle w:val="Paragrafoelenco"/>
        <w:numPr>
          <w:ilvl w:val="0"/>
          <w:numId w:val="13"/>
        </w:numPr>
        <w:jc w:val="both"/>
        <w:rPr>
          <w:color w:val="auto"/>
        </w:rPr>
      </w:pPr>
      <w:r w:rsidRPr="00EF6D1F">
        <w:rPr>
          <w:color w:val="auto"/>
        </w:rPr>
        <w:t>4,81 milioni non possono riceverla nell’immediato</w:t>
      </w:r>
      <w:r w:rsidR="00EF6D1F">
        <w:rPr>
          <w:color w:val="auto"/>
        </w:rPr>
        <w:t xml:space="preserve"> in quanto guarite </w:t>
      </w:r>
      <w:r w:rsidR="00EF6D1F" w:rsidRPr="00EF6D1F">
        <w:rPr>
          <w:color w:val="auto"/>
        </w:rPr>
        <w:t>da meno di 120 gior</w:t>
      </w:r>
      <w:r w:rsidR="00EF6D1F">
        <w:rPr>
          <w:color w:val="auto"/>
        </w:rPr>
        <w:t>ni, pari al</w:t>
      </w:r>
      <w:r w:rsidRPr="00EF6D1F">
        <w:rPr>
          <w:color w:val="auto"/>
        </w:rPr>
        <w:t xml:space="preserve"> 10,1% della platea con nette differenze regionali </w:t>
      </w:r>
      <w:r w:rsidR="00234AD6">
        <w:rPr>
          <w:color w:val="auto"/>
        </w:rPr>
        <w:t>(</w:t>
      </w:r>
      <w:r w:rsidRPr="00EF6D1F">
        <w:rPr>
          <w:color w:val="auto"/>
        </w:rPr>
        <w:t>dal 6,7% del</w:t>
      </w:r>
      <w:r w:rsidR="00EF6D1F">
        <w:rPr>
          <w:color w:val="auto"/>
        </w:rPr>
        <w:t>la</w:t>
      </w:r>
      <w:r w:rsidRPr="00EF6D1F">
        <w:rPr>
          <w:color w:val="auto"/>
        </w:rPr>
        <w:t xml:space="preserve"> Valle D</w:t>
      </w:r>
      <w:r w:rsidR="00234AD6">
        <w:rPr>
          <w:color w:val="auto"/>
        </w:rPr>
        <w:t>’</w:t>
      </w:r>
      <w:r w:rsidRPr="00EF6D1F">
        <w:rPr>
          <w:color w:val="auto"/>
        </w:rPr>
        <w:t>Aosta al 12,8% del</w:t>
      </w:r>
      <w:r w:rsidR="00EF6D1F">
        <w:rPr>
          <w:color w:val="auto"/>
        </w:rPr>
        <w:t>l’Abruzzo</w:t>
      </w:r>
      <w:r w:rsidR="00234AD6">
        <w:rPr>
          <w:color w:val="auto"/>
        </w:rPr>
        <w:t>)</w:t>
      </w:r>
      <w:r w:rsidRPr="00EF6D1F">
        <w:rPr>
          <w:color w:val="auto"/>
        </w:rPr>
        <w:t>.</w:t>
      </w:r>
    </w:p>
    <w:p w:rsidR="00014C7B" w:rsidRPr="00EF6D1F" w:rsidRDefault="00EF6D1F" w:rsidP="00014C7B">
      <w:pPr>
        <w:jc w:val="both"/>
        <w:rPr>
          <w:color w:val="auto"/>
        </w:rPr>
      </w:pPr>
      <w:r w:rsidRPr="00EF6D1F">
        <w:rPr>
          <w:b/>
          <w:color w:val="auto"/>
        </w:rPr>
        <w:t>Vaccini: quarta dose persone immunocompromesse.</w:t>
      </w:r>
      <w:r w:rsidRPr="00EF6D1F">
        <w:rPr>
          <w:color w:val="auto"/>
        </w:rPr>
        <w:t xml:space="preserve"> Al 18 maggio (aggiornamento ore 06.16) sono state somministrate </w:t>
      </w:r>
      <w:r w:rsidR="00092022">
        <w:rPr>
          <w:color w:val="auto"/>
        </w:rPr>
        <w:t xml:space="preserve">solo </w:t>
      </w:r>
      <w:r w:rsidRPr="00EF6D1F">
        <w:rPr>
          <w:color w:val="auto"/>
        </w:rPr>
        <w:t xml:space="preserve">203.944 quarte dosi. In base alla </w:t>
      </w:r>
      <w:hyperlink r:id="rId11" w:history="1">
        <w:r w:rsidRPr="00EF6D1F">
          <w:rPr>
            <w:rStyle w:val="Collegamentoipertestuale"/>
            <w:color w:val="auto"/>
          </w:rPr>
          <w:t>platea ufficiale</w:t>
        </w:r>
      </w:hyperlink>
      <w:r w:rsidRPr="00EF6D1F">
        <w:rPr>
          <w:color w:val="auto"/>
        </w:rPr>
        <w:t xml:space="preserve"> (n. 791.376), aggiornata al 9 marzo, il tasso di copertura nazionale per le quarte dosi è del 25,8% con nette differenze regionali: dal 4,5% del Molise al 94,3% del Piemonte (</w:t>
      </w:r>
      <w:r w:rsidRPr="00EF6D1F">
        <w:rPr>
          <w:color w:val="auto"/>
          <w:highlight w:val="yellow"/>
        </w:rPr>
        <w:t>figura 16</w:t>
      </w:r>
      <w:r w:rsidRPr="00EF6D1F">
        <w:rPr>
          <w:color w:val="auto"/>
        </w:rPr>
        <w:t>).</w:t>
      </w:r>
    </w:p>
    <w:p w:rsidR="00014C7B" w:rsidRPr="00EF6D1F" w:rsidRDefault="00EF6D1F" w:rsidP="00014C7B">
      <w:pPr>
        <w:jc w:val="both"/>
        <w:rPr>
          <w:color w:val="auto"/>
        </w:rPr>
      </w:pPr>
      <w:r w:rsidRPr="00EF6D1F">
        <w:rPr>
          <w:b/>
          <w:color w:val="auto"/>
        </w:rPr>
        <w:t>Vaccini: quarta dose over 80, fragili (60-79 anni) e ospiti RSA.</w:t>
      </w:r>
      <w:r w:rsidRPr="00EF6D1F">
        <w:rPr>
          <w:color w:val="auto"/>
        </w:rPr>
        <w:t xml:space="preserve">  Al 18 maggio (aggiornamento ore 06.16) sono state somministrate </w:t>
      </w:r>
      <w:r w:rsidR="00092022">
        <w:rPr>
          <w:color w:val="auto"/>
        </w:rPr>
        <w:t xml:space="preserve">solo </w:t>
      </w:r>
      <w:r w:rsidRPr="00EF6D1F">
        <w:rPr>
          <w:color w:val="auto"/>
        </w:rPr>
        <w:t xml:space="preserve">509.480 quarte dosi. In base alla </w:t>
      </w:r>
      <w:hyperlink r:id="rId12" w:history="1">
        <w:r w:rsidRPr="00EF6D1F">
          <w:rPr>
            <w:rStyle w:val="Collegamentoipertestuale"/>
            <w:color w:val="auto"/>
          </w:rPr>
          <w:t>platea ufficiale</w:t>
        </w:r>
      </w:hyperlink>
      <w:r w:rsidRPr="00EF6D1F">
        <w:rPr>
          <w:color w:val="auto"/>
        </w:rPr>
        <w:t xml:space="preserve"> (n. 4.422.597 di cui 2.795.910 over 80, 1.538.588 pazienti fragili di età 60-79</w:t>
      </w:r>
      <w:r w:rsidR="00C01D45">
        <w:rPr>
          <w:color w:val="auto"/>
        </w:rPr>
        <w:t xml:space="preserve"> anni</w:t>
      </w:r>
      <w:r w:rsidRPr="00EF6D1F">
        <w:rPr>
          <w:color w:val="auto"/>
        </w:rPr>
        <w:t xml:space="preserve"> e 88.099 ospiti delle RSA che non </w:t>
      </w:r>
      <w:r w:rsidR="0093662D">
        <w:rPr>
          <w:color w:val="auto"/>
        </w:rPr>
        <w:t>rientrano</w:t>
      </w:r>
      <w:r w:rsidRPr="00EF6D1F">
        <w:rPr>
          <w:color w:val="auto"/>
        </w:rPr>
        <w:t xml:space="preserve"> nelle categorie precedenti), aggiornata al 19 aprile, il tasso di copertura nazionale per le quarte dosi è </w:t>
      </w:r>
      <w:r w:rsidR="00C01D45" w:rsidRPr="00EF6D1F">
        <w:rPr>
          <w:color w:val="auto"/>
        </w:rPr>
        <w:t>del</w:t>
      </w:r>
      <w:r w:rsidR="00C01D45">
        <w:rPr>
          <w:color w:val="auto"/>
        </w:rPr>
        <w:t>l’</w:t>
      </w:r>
      <w:r w:rsidRPr="00EF6D1F">
        <w:rPr>
          <w:color w:val="auto"/>
        </w:rPr>
        <w:t>11,5% con nette differenze regionali: dal 3,2% della Calabria al 24,7% del Piemonte (</w:t>
      </w:r>
      <w:r w:rsidRPr="00EF6D1F">
        <w:rPr>
          <w:color w:val="auto"/>
          <w:highlight w:val="yellow"/>
        </w:rPr>
        <w:t>figura 17</w:t>
      </w:r>
      <w:r w:rsidRPr="00EF6D1F">
        <w:rPr>
          <w:color w:val="auto"/>
        </w:rPr>
        <w:t>).</w:t>
      </w:r>
    </w:p>
    <w:p w:rsidR="003A149B" w:rsidRPr="00925643" w:rsidRDefault="00372B2C" w:rsidP="007101B3">
      <w:p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jc w:val="both"/>
        <w:rPr>
          <w:color w:val="auto"/>
        </w:rPr>
      </w:pPr>
      <w:r w:rsidRPr="00925643">
        <w:rPr>
          <w:rFonts w:eastAsia="Times New Roman"/>
          <w:b/>
          <w:color w:val="auto"/>
        </w:rPr>
        <w:t>Vaccini: efficacia.</w:t>
      </w:r>
      <w:r w:rsidRPr="00925643">
        <w:rPr>
          <w:rFonts w:eastAsia="Times New Roman"/>
          <w:color w:val="auto"/>
        </w:rPr>
        <w:t xml:space="preserve"> I </w:t>
      </w:r>
      <w:hyperlink r:id="rId13" w:history="1">
        <w:r w:rsidRPr="00925643">
          <w:rPr>
            <w:rStyle w:val="Collegamentoipertestuale"/>
            <w:color w:val="auto"/>
          </w:rPr>
          <w:t>dati dell’Istituto Superiore di Sanità</w:t>
        </w:r>
      </w:hyperlink>
      <w:r w:rsidR="00945FDF" w:rsidRPr="00925643">
        <w:rPr>
          <w:color w:val="auto"/>
        </w:rPr>
        <w:t xml:space="preserve"> dimostrano </w:t>
      </w:r>
      <w:r w:rsidR="00820300" w:rsidRPr="00925643">
        <w:rPr>
          <w:color w:val="auto"/>
        </w:rPr>
        <w:t>che</w:t>
      </w:r>
      <w:r w:rsidR="003A149B" w:rsidRPr="00925643">
        <w:rPr>
          <w:color w:val="auto"/>
        </w:rPr>
        <w:t>:</w:t>
      </w:r>
    </w:p>
    <w:p w:rsidR="003A149B" w:rsidRPr="00925643" w:rsidRDefault="003A149B" w:rsidP="003A149B">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925643">
        <w:rPr>
          <w:color w:val="auto"/>
        </w:rPr>
        <w:t xml:space="preserve">l’efficacia sulla diagnosi </w:t>
      </w:r>
      <w:r w:rsidR="00956F70" w:rsidRPr="00925643">
        <w:rPr>
          <w:color w:val="auto"/>
        </w:rPr>
        <w:t xml:space="preserve">rimane </w:t>
      </w:r>
      <w:r w:rsidRPr="00925643">
        <w:rPr>
          <w:color w:val="auto"/>
        </w:rPr>
        <w:t xml:space="preserve">sostanzialmente stabile dal </w:t>
      </w:r>
      <w:r w:rsidR="00925643" w:rsidRPr="00925643">
        <w:rPr>
          <w:color w:val="auto"/>
        </w:rPr>
        <w:t>39</w:t>
      </w:r>
      <w:r w:rsidR="008F4656" w:rsidRPr="00925643">
        <w:rPr>
          <w:color w:val="auto"/>
        </w:rPr>
        <w:t>,</w:t>
      </w:r>
      <w:r w:rsidR="004D1763" w:rsidRPr="00925643">
        <w:rPr>
          <w:color w:val="auto"/>
        </w:rPr>
        <w:t>5</w:t>
      </w:r>
      <w:r w:rsidRPr="00925643">
        <w:rPr>
          <w:color w:val="auto"/>
        </w:rPr>
        <w:t>% per i vaccinati con</w:t>
      </w:r>
      <w:r w:rsidR="008751B7" w:rsidRPr="00925643">
        <w:rPr>
          <w:color w:val="auto"/>
        </w:rPr>
        <w:t xml:space="preserve"> due dosi entro 90 giorni al </w:t>
      </w:r>
      <w:r w:rsidR="008F4656" w:rsidRPr="00925643">
        <w:rPr>
          <w:color w:val="auto"/>
        </w:rPr>
        <w:t>4</w:t>
      </w:r>
      <w:r w:rsidR="004D1763" w:rsidRPr="00925643">
        <w:rPr>
          <w:color w:val="auto"/>
        </w:rPr>
        <w:t>3</w:t>
      </w:r>
      <w:r w:rsidR="00713F55" w:rsidRPr="00925643">
        <w:rPr>
          <w:color w:val="auto"/>
        </w:rPr>
        <w:t>,</w:t>
      </w:r>
      <w:r w:rsidR="00925643" w:rsidRPr="00925643">
        <w:rPr>
          <w:color w:val="auto"/>
        </w:rPr>
        <w:t>6</w:t>
      </w:r>
      <w:r w:rsidRPr="00925643">
        <w:rPr>
          <w:color w:val="auto"/>
        </w:rPr>
        <w:t>% per i vaccinati da più di 120 giorni</w:t>
      </w:r>
      <w:r w:rsidR="00956F70" w:rsidRPr="00925643">
        <w:rPr>
          <w:color w:val="auto"/>
        </w:rPr>
        <w:t>, per poi salire</w:t>
      </w:r>
      <w:r w:rsidRPr="00925643">
        <w:rPr>
          <w:color w:val="auto"/>
        </w:rPr>
        <w:t xml:space="preserve"> al </w:t>
      </w:r>
      <w:r w:rsidR="004D1763" w:rsidRPr="00925643">
        <w:rPr>
          <w:color w:val="auto"/>
        </w:rPr>
        <w:t>57</w:t>
      </w:r>
      <w:r w:rsidRPr="00925643">
        <w:rPr>
          <w:color w:val="auto"/>
        </w:rPr>
        <w:t xml:space="preserve">% dopo il richiamo; </w:t>
      </w:r>
    </w:p>
    <w:p w:rsidR="003A149B" w:rsidRPr="00925643" w:rsidRDefault="003A149B" w:rsidP="004D1763">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925643">
        <w:rPr>
          <w:color w:val="auto"/>
        </w:rPr>
        <w:t xml:space="preserve">l’efficacia sulla malattia severa </w:t>
      </w:r>
      <w:r w:rsidR="00956F70" w:rsidRPr="00925643">
        <w:rPr>
          <w:color w:val="auto"/>
        </w:rPr>
        <w:t xml:space="preserve">rimane </w:t>
      </w:r>
      <w:r w:rsidRPr="00925643">
        <w:rPr>
          <w:color w:val="auto"/>
        </w:rPr>
        <w:t xml:space="preserve">sostanzialmente stabile dal </w:t>
      </w:r>
      <w:r w:rsidR="008751B7" w:rsidRPr="00925643">
        <w:rPr>
          <w:color w:val="auto"/>
        </w:rPr>
        <w:t>7</w:t>
      </w:r>
      <w:r w:rsidR="004D1763" w:rsidRPr="00925643">
        <w:rPr>
          <w:color w:val="auto"/>
        </w:rPr>
        <w:t>0,</w:t>
      </w:r>
      <w:r w:rsidR="00925643" w:rsidRPr="00925643">
        <w:rPr>
          <w:color w:val="auto"/>
        </w:rPr>
        <w:t>6</w:t>
      </w:r>
      <w:r w:rsidRPr="00925643">
        <w:rPr>
          <w:color w:val="auto"/>
        </w:rPr>
        <w:t>% per i vaccinati con due dosi entro 90 giorni al 7</w:t>
      </w:r>
      <w:r w:rsidR="004D1763" w:rsidRPr="00925643">
        <w:rPr>
          <w:color w:val="auto"/>
        </w:rPr>
        <w:t>1</w:t>
      </w:r>
      <w:r w:rsidR="00925643" w:rsidRPr="00925643">
        <w:rPr>
          <w:color w:val="auto"/>
        </w:rPr>
        <w:t>,6</w:t>
      </w:r>
      <w:r w:rsidRPr="00925643">
        <w:rPr>
          <w:color w:val="auto"/>
        </w:rPr>
        <w:t xml:space="preserve">% per i </w:t>
      </w:r>
      <w:r w:rsidR="00820300" w:rsidRPr="00925643">
        <w:rPr>
          <w:color w:val="auto"/>
        </w:rPr>
        <w:t>vaccinati da più di 120 giorni</w:t>
      </w:r>
      <w:r w:rsidR="00956F70" w:rsidRPr="00925643">
        <w:rPr>
          <w:color w:val="auto"/>
        </w:rPr>
        <w:t>, per poi salire</w:t>
      </w:r>
      <w:r w:rsidR="00820300" w:rsidRPr="00925643">
        <w:rPr>
          <w:color w:val="auto"/>
        </w:rPr>
        <w:t xml:space="preserve"> </w:t>
      </w:r>
      <w:r w:rsidRPr="00925643">
        <w:rPr>
          <w:color w:val="auto"/>
        </w:rPr>
        <w:t>al</w:t>
      </w:r>
      <w:r w:rsidR="00F8392B" w:rsidRPr="00925643">
        <w:rPr>
          <w:color w:val="auto"/>
        </w:rPr>
        <w:t>l’</w:t>
      </w:r>
      <w:r w:rsidR="008F4656" w:rsidRPr="00925643">
        <w:rPr>
          <w:color w:val="auto"/>
        </w:rPr>
        <w:t>8</w:t>
      </w:r>
      <w:r w:rsidR="004D1763" w:rsidRPr="00925643">
        <w:rPr>
          <w:color w:val="auto"/>
        </w:rPr>
        <w:t>8,</w:t>
      </w:r>
      <w:r w:rsidR="00925643" w:rsidRPr="00925643">
        <w:rPr>
          <w:color w:val="auto"/>
        </w:rPr>
        <w:t>2</w:t>
      </w:r>
      <w:r w:rsidRPr="00925643">
        <w:rPr>
          <w:color w:val="auto"/>
        </w:rPr>
        <w:t>% dopo il richiamo.</w:t>
      </w:r>
    </w:p>
    <w:p w:rsidR="00D27153" w:rsidRDefault="00925643" w:rsidP="0004577B">
      <w:pPr>
        <w:spacing w:line="276" w:lineRule="auto"/>
        <w:jc w:val="both"/>
        <w:rPr>
          <w:color w:val="auto"/>
        </w:rPr>
      </w:pPr>
      <w:r w:rsidRPr="00925643">
        <w:rPr>
          <w:color w:val="auto"/>
        </w:rPr>
        <w:t xml:space="preserve">Complessivamente nelle persone vaccinate con ciclo completo (più eventuale dose di richiamo), rispetto a quelle non vaccinate, nelle varie fasce d’età si riduce l’incidenza di diagnosi (del </w:t>
      </w:r>
      <w:r>
        <w:rPr>
          <w:color w:val="auto"/>
        </w:rPr>
        <w:t>16,8</w:t>
      </w:r>
      <w:r w:rsidRPr="00925643">
        <w:rPr>
          <w:color w:val="auto"/>
        </w:rPr>
        <w:t>-48,2%): fa</w:t>
      </w:r>
      <w:r>
        <w:rPr>
          <w:color w:val="auto"/>
        </w:rPr>
        <w:t>nno</w:t>
      </w:r>
      <w:r w:rsidRPr="00925643">
        <w:rPr>
          <w:color w:val="auto"/>
        </w:rPr>
        <w:t xml:space="preserve"> eccezione la fascia 5-11 anni per la quale le diagnosi tra i vaccinati segnano un +33,9% rispetto ai non vaccinati</w:t>
      </w:r>
      <w:r>
        <w:rPr>
          <w:color w:val="auto"/>
        </w:rPr>
        <w:t xml:space="preserve"> e la fascia 40-59 con un +0,5%</w:t>
      </w:r>
      <w:r w:rsidRPr="00925643">
        <w:rPr>
          <w:color w:val="auto"/>
        </w:rPr>
        <w:t>. In tutte le fasce di età si riduce soprattutto l</w:t>
      </w:r>
      <w:r w:rsidR="00C01D45">
        <w:rPr>
          <w:color w:val="auto"/>
        </w:rPr>
        <w:t>’</w:t>
      </w:r>
      <w:r w:rsidRPr="00925643">
        <w:rPr>
          <w:color w:val="auto"/>
        </w:rPr>
        <w:t>incidenza di malattia grave (del 27,4-78,9% per ricoveri ordinari; del 45,8-78,5% per le terapie intensive) e decesso (del 47,1-100%) (</w:t>
      </w:r>
      <w:r w:rsidRPr="00925643">
        <w:rPr>
          <w:color w:val="auto"/>
          <w:highlight w:val="yellow"/>
        </w:rPr>
        <w:t>figura 18</w:t>
      </w:r>
      <w:r>
        <w:rPr>
          <w:color w:val="auto"/>
        </w:rPr>
        <w:t>).</w:t>
      </w:r>
    </w:p>
    <w:p w:rsidR="00D27153" w:rsidRDefault="00C01D45" w:rsidP="00D27153">
      <w:pPr>
        <w:spacing w:line="276" w:lineRule="auto"/>
        <w:jc w:val="both"/>
        <w:rPr>
          <w:rFonts w:cs="Calibri"/>
          <w:color w:val="auto"/>
        </w:rPr>
      </w:pPr>
      <w:r>
        <w:rPr>
          <w:rFonts w:cs="Calibri"/>
          <w:color w:val="auto"/>
        </w:rPr>
        <w:t>A fronte di questi dati</w:t>
      </w:r>
      <w:r w:rsidR="00D27153">
        <w:rPr>
          <w:rFonts w:cs="Calibri"/>
          <w:color w:val="auto"/>
        </w:rPr>
        <w:t xml:space="preserve">, le </w:t>
      </w:r>
      <w:r w:rsidR="00D27153" w:rsidRPr="006B2137">
        <w:rPr>
          <w:rFonts w:cs="Calibri"/>
          <w:color w:val="auto"/>
        </w:rPr>
        <w:t xml:space="preserve">evidenze scientifiche internazionali dimostrano </w:t>
      </w:r>
      <w:r>
        <w:rPr>
          <w:rFonts w:cs="Calibri"/>
          <w:color w:val="auto"/>
        </w:rPr>
        <w:t xml:space="preserve">tuttavia </w:t>
      </w:r>
      <w:r w:rsidR="00D27153" w:rsidRPr="006B2137">
        <w:rPr>
          <w:rFonts w:cs="Calibri"/>
          <w:color w:val="auto"/>
        </w:rPr>
        <w:t xml:space="preserve">che la protezione vaccinale nei confronti della malattia grave inizia a calare dopo 120 giorni dalla somministrazione del </w:t>
      </w:r>
      <w:r w:rsidR="00D27153" w:rsidRPr="006B2137">
        <w:rPr>
          <w:rFonts w:cs="Calibri"/>
          <w:i/>
          <w:color w:val="auto"/>
        </w:rPr>
        <w:t>booster</w:t>
      </w:r>
      <w:r w:rsidR="00D27153" w:rsidRPr="006B2137">
        <w:rPr>
          <w:rFonts w:cs="Calibri"/>
          <w:color w:val="auto"/>
        </w:rPr>
        <w:t xml:space="preserve">. </w:t>
      </w:r>
      <w:r w:rsidR="005F5521">
        <w:rPr>
          <w:rFonts w:cs="Calibri"/>
          <w:color w:val="auto"/>
        </w:rPr>
        <w:t xml:space="preserve">Sebbene </w:t>
      </w:r>
      <w:r>
        <w:rPr>
          <w:rFonts w:cs="Calibri"/>
          <w:color w:val="auto"/>
        </w:rPr>
        <w:t>questo dato no</w:t>
      </w:r>
      <w:r w:rsidR="00904C80">
        <w:rPr>
          <w:rFonts w:cs="Calibri"/>
          <w:color w:val="auto"/>
        </w:rPr>
        <w:t xml:space="preserve">n sia mai stato enfatizzato dai report </w:t>
      </w:r>
      <w:r>
        <w:rPr>
          <w:rFonts w:cs="Calibri"/>
          <w:color w:val="auto"/>
        </w:rPr>
        <w:t>istituzionali, i</w:t>
      </w:r>
      <w:r w:rsidR="00D27153" w:rsidRPr="006B2137">
        <w:rPr>
          <w:rFonts w:cs="Calibri"/>
          <w:color w:val="auto"/>
        </w:rPr>
        <w:t xml:space="preserve">n Italia, a partire da metà febbraio, si rileva </w:t>
      </w:r>
      <w:r w:rsidR="00D27153" w:rsidRPr="006B2137">
        <w:rPr>
          <w:rFonts w:cs="Calibri"/>
          <w:color w:val="auto"/>
        </w:rPr>
        <w:lastRenderedPageBreak/>
        <w:t>un progressivo aumento del tasso di mortalità negli over 80 (da 28,8 a 40,1 decessi per 100 mila persone) e</w:t>
      </w:r>
      <w:r w:rsidR="00D27153">
        <w:rPr>
          <w:rFonts w:cs="Calibri"/>
          <w:color w:val="auto"/>
        </w:rPr>
        <w:t xml:space="preserve"> - seppure</w:t>
      </w:r>
      <w:r w:rsidR="00D27153" w:rsidRPr="006B2137">
        <w:rPr>
          <w:rFonts w:cs="Calibri"/>
          <w:color w:val="auto"/>
        </w:rPr>
        <w:t xml:space="preserve"> in misura minore</w:t>
      </w:r>
      <w:r w:rsidR="00D27153">
        <w:rPr>
          <w:rFonts w:cs="Calibri"/>
          <w:color w:val="auto"/>
        </w:rPr>
        <w:t xml:space="preserve"> -</w:t>
      </w:r>
      <w:r w:rsidR="00D27153" w:rsidRPr="006B2137">
        <w:rPr>
          <w:rFonts w:cs="Calibri"/>
          <w:color w:val="auto"/>
        </w:rPr>
        <w:t xml:space="preserve"> nella fascia 60-79 </w:t>
      </w:r>
      <w:r w:rsidR="005F5521">
        <w:rPr>
          <w:rFonts w:cs="Calibri"/>
          <w:color w:val="auto"/>
        </w:rPr>
        <w:t xml:space="preserve">anni </w:t>
      </w:r>
      <w:r w:rsidR="00D27153" w:rsidRPr="006B2137">
        <w:rPr>
          <w:rFonts w:cs="Calibri"/>
          <w:color w:val="auto"/>
        </w:rPr>
        <w:t>(da 3,4 a 4,9 decessi per 100 mila persone</w:t>
      </w:r>
      <w:r w:rsidRPr="006B2137">
        <w:rPr>
          <w:rFonts w:cs="Calibri"/>
          <w:color w:val="auto"/>
        </w:rPr>
        <w:t>)</w:t>
      </w:r>
      <w:r>
        <w:rPr>
          <w:rFonts w:cs="Calibri"/>
          <w:color w:val="auto"/>
        </w:rPr>
        <w:t xml:space="preserve">, con conseguente </w:t>
      </w:r>
      <w:r w:rsidR="00D27153" w:rsidRPr="006B2137">
        <w:rPr>
          <w:rFonts w:cs="Calibri"/>
          <w:color w:val="auto"/>
        </w:rPr>
        <w:t xml:space="preserve">numero assoluto di decessi </w:t>
      </w:r>
      <w:r>
        <w:rPr>
          <w:rFonts w:cs="Calibri"/>
          <w:color w:val="auto"/>
        </w:rPr>
        <w:t xml:space="preserve">molto elevato </w:t>
      </w:r>
      <w:r w:rsidR="00D27153" w:rsidRPr="006B2137">
        <w:rPr>
          <w:rFonts w:cs="Calibri"/>
          <w:color w:val="auto"/>
        </w:rPr>
        <w:t>nelle fasce più anziane della popolazione, in particolare negli over 80</w:t>
      </w:r>
      <w:r w:rsidR="00830F30">
        <w:rPr>
          <w:rFonts w:cs="Calibri"/>
          <w:color w:val="auto"/>
        </w:rPr>
        <w:t xml:space="preserve"> </w:t>
      </w:r>
      <w:r w:rsidR="00D27153">
        <w:rPr>
          <w:rFonts w:cs="Calibri"/>
          <w:color w:val="auto"/>
        </w:rPr>
        <w:t>(</w:t>
      </w:r>
      <w:r w:rsidR="00D27153" w:rsidRPr="006B2137">
        <w:rPr>
          <w:rFonts w:cs="Calibri"/>
          <w:color w:val="auto"/>
          <w:highlight w:val="yellow"/>
        </w:rPr>
        <w:t>tabella</w:t>
      </w:r>
      <w:r w:rsidR="00D27153">
        <w:rPr>
          <w:rFonts w:cs="Calibri"/>
          <w:color w:val="auto"/>
        </w:rPr>
        <w:t>)</w:t>
      </w:r>
      <w:r w:rsidR="00D27153" w:rsidRPr="006B2137">
        <w:rPr>
          <w:rFonts w:cs="Calibri"/>
          <w:color w:val="auto"/>
        </w:rPr>
        <w:t xml:space="preserve">. </w:t>
      </w:r>
    </w:p>
    <w:p w:rsidR="00692DB1" w:rsidRPr="006B2137" w:rsidRDefault="00692DB1" w:rsidP="00692DB1">
      <w:pPr>
        <w:spacing w:line="276" w:lineRule="auto"/>
        <w:jc w:val="center"/>
        <w:rPr>
          <w:rFonts w:cs="Calibri"/>
          <w:color w:val="auto"/>
        </w:rPr>
      </w:pPr>
      <w:r>
        <w:rPr>
          <w:rFonts w:cs="Calibri"/>
          <w:noProof/>
          <w:color w:val="auto"/>
        </w:rPr>
        <w:drawing>
          <wp:inline distT="0" distB="0" distL="0" distR="0">
            <wp:extent cx="5413034" cy="3142055"/>
            <wp:effectExtent l="0" t="0" r="0"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ella_tasso_mortalita_decessi_20220519.png"/>
                    <pic:cNvPicPr/>
                  </pic:nvPicPr>
                  <pic:blipFill>
                    <a:blip r:embed="rId14">
                      <a:extLst>
                        <a:ext uri="{28A0092B-C50C-407E-A947-70E740481C1C}">
                          <a14:useLocalDpi xmlns:a14="http://schemas.microsoft.com/office/drawing/2010/main" val="0"/>
                        </a:ext>
                      </a:extLst>
                    </a:blip>
                    <a:stretch>
                      <a:fillRect/>
                    </a:stretch>
                  </pic:blipFill>
                  <pic:spPr>
                    <a:xfrm>
                      <a:off x="0" y="0"/>
                      <a:ext cx="5459129" cy="3168811"/>
                    </a:xfrm>
                    <a:prstGeom prst="rect">
                      <a:avLst/>
                    </a:prstGeom>
                  </pic:spPr>
                </pic:pic>
              </a:graphicData>
            </a:graphic>
          </wp:inline>
        </w:drawing>
      </w:r>
    </w:p>
    <w:p w:rsidR="00925643" w:rsidRPr="0048430C" w:rsidRDefault="00D27153" w:rsidP="00E079E0">
      <w:pPr>
        <w:spacing w:before="160" w:line="276" w:lineRule="auto"/>
        <w:jc w:val="both"/>
        <w:rPr>
          <w:rFonts w:cs="Calibri"/>
          <w:color w:val="auto"/>
        </w:rPr>
      </w:pPr>
      <w:r w:rsidRPr="006B2137">
        <w:rPr>
          <w:rFonts w:cs="Calibri"/>
          <w:color w:val="auto"/>
        </w:rPr>
        <w:t>«</w:t>
      </w:r>
      <w:r w:rsidRPr="00C86D05">
        <w:rPr>
          <w:rFonts w:cs="Calibri"/>
          <w:color w:val="auto"/>
        </w:rPr>
        <w:t>Questi dati –</w:t>
      </w:r>
      <w:r w:rsidR="00C92230">
        <w:rPr>
          <w:rFonts w:cs="Calibri"/>
          <w:color w:val="auto"/>
        </w:rPr>
        <w:t xml:space="preserve"> conclude </w:t>
      </w:r>
      <w:r w:rsidRPr="00C86D05">
        <w:rPr>
          <w:rFonts w:cs="Calibri"/>
          <w:color w:val="auto"/>
        </w:rPr>
        <w:t xml:space="preserve">Cartabellotta – confermano </w:t>
      </w:r>
      <w:r w:rsidR="00904C80">
        <w:rPr>
          <w:rFonts w:cs="Calibri"/>
          <w:color w:val="auto"/>
        </w:rPr>
        <w:t xml:space="preserve">oltre ogni ragionevole </w:t>
      </w:r>
      <w:r w:rsidR="00E76EAD">
        <w:rPr>
          <w:rFonts w:cs="Calibri"/>
          <w:color w:val="auto"/>
        </w:rPr>
        <w:t xml:space="preserve">dubbio </w:t>
      </w:r>
      <w:r w:rsidR="0048430C">
        <w:rPr>
          <w:rFonts w:cs="Calibri"/>
          <w:color w:val="auto"/>
        </w:rPr>
        <w:t xml:space="preserve">che </w:t>
      </w:r>
      <w:r w:rsidR="0048430C" w:rsidRPr="00C86D05">
        <w:rPr>
          <w:rFonts w:cs="Calibri"/>
          <w:color w:val="auto"/>
        </w:rPr>
        <w:t>aspettare l’autunno</w:t>
      </w:r>
      <w:r w:rsidR="0048430C">
        <w:rPr>
          <w:rFonts w:cs="Calibri"/>
          <w:color w:val="auto"/>
        </w:rPr>
        <w:t xml:space="preserve"> per effettuare la quarta dose con vaccini “aggiornati” è molto </w:t>
      </w:r>
      <w:r w:rsidR="00E76EAD">
        <w:rPr>
          <w:rFonts w:cs="Calibri"/>
          <w:color w:val="auto"/>
        </w:rPr>
        <w:t xml:space="preserve">rischioso </w:t>
      </w:r>
      <w:r w:rsidR="0048430C">
        <w:rPr>
          <w:rFonts w:cs="Calibri"/>
          <w:color w:val="auto"/>
        </w:rPr>
        <w:t xml:space="preserve">per le persone vulnerabili che, </w:t>
      </w:r>
      <w:r w:rsidR="00E76EAD">
        <w:rPr>
          <w:rFonts w:cs="Calibri"/>
          <w:color w:val="auto"/>
        </w:rPr>
        <w:t>al contrario</w:t>
      </w:r>
      <w:r w:rsidR="0048430C">
        <w:rPr>
          <w:rFonts w:cs="Calibri"/>
          <w:color w:val="auto"/>
        </w:rPr>
        <w:t xml:space="preserve">, devono ricevere l’ulteriore </w:t>
      </w:r>
      <w:r w:rsidR="0048430C">
        <w:rPr>
          <w:rFonts w:cs="Calibri"/>
          <w:i/>
          <w:color w:val="auto"/>
        </w:rPr>
        <w:t xml:space="preserve">booster </w:t>
      </w:r>
      <w:r w:rsidRPr="00C86D05">
        <w:rPr>
          <w:rFonts w:cs="Calibri"/>
          <w:color w:val="auto"/>
        </w:rPr>
        <w:t>a 120 giorni dal</w:t>
      </w:r>
      <w:r w:rsidR="0048430C">
        <w:rPr>
          <w:rFonts w:cs="Calibri"/>
          <w:color w:val="auto"/>
        </w:rPr>
        <w:t>la terza dose, come ribadito dal documento “</w:t>
      </w:r>
      <w:hyperlink r:id="rId15" w:history="1">
        <w:r w:rsidR="0048430C" w:rsidRPr="00267FC6">
          <w:rPr>
            <w:rStyle w:val="Collegamentoipertestuale"/>
            <w:rFonts w:cs="Calibri"/>
          </w:rPr>
          <w:t>Completamento delle schedule v</w:t>
        </w:r>
        <w:r w:rsidR="0082308F" w:rsidRPr="00267FC6">
          <w:rPr>
            <w:rStyle w:val="Collegamentoipertestuale"/>
            <w:rFonts w:cs="Calibri"/>
          </w:rPr>
          <w:t>accinali anti-</w:t>
        </w:r>
        <w:r w:rsidR="0048430C" w:rsidRPr="00267FC6">
          <w:rPr>
            <w:rStyle w:val="Collegamentoipertestuale"/>
            <w:rFonts w:cs="Calibri"/>
          </w:rPr>
          <w:t>S</w:t>
        </w:r>
        <w:r w:rsidR="0082308F" w:rsidRPr="00267FC6">
          <w:rPr>
            <w:rStyle w:val="Collegamentoipertestuale"/>
            <w:rFonts w:cs="Calibri"/>
          </w:rPr>
          <w:t>ARS-</w:t>
        </w:r>
        <w:r w:rsidR="0048430C" w:rsidRPr="00267FC6">
          <w:rPr>
            <w:rStyle w:val="Collegamentoipertestuale"/>
            <w:rFonts w:cs="Calibri"/>
          </w:rPr>
          <w:t>CoV</w:t>
        </w:r>
        <w:r w:rsidR="0082308F" w:rsidRPr="00267FC6">
          <w:rPr>
            <w:rStyle w:val="Collegamentoipertestuale"/>
            <w:rFonts w:cs="Calibri"/>
          </w:rPr>
          <w:t>-</w:t>
        </w:r>
        <w:r w:rsidR="0048430C" w:rsidRPr="00267FC6">
          <w:rPr>
            <w:rStyle w:val="Collegamentoipertestuale"/>
            <w:rFonts w:cs="Calibri"/>
          </w:rPr>
          <w:t>2 in soggetti vulnerabili</w:t>
        </w:r>
      </w:hyperlink>
      <w:r w:rsidR="0048430C">
        <w:rPr>
          <w:rFonts w:cs="Calibri"/>
          <w:color w:val="auto"/>
        </w:rPr>
        <w:t>”</w:t>
      </w:r>
      <w:r>
        <w:rPr>
          <w:rFonts w:cs="Calibri"/>
          <w:color w:val="auto"/>
        </w:rPr>
        <w:t xml:space="preserve"> </w:t>
      </w:r>
      <w:r w:rsidR="0048430C">
        <w:rPr>
          <w:rFonts w:cs="Calibri"/>
          <w:color w:val="auto"/>
        </w:rPr>
        <w:t>dell’U</w:t>
      </w:r>
      <w:r w:rsidR="0048430C" w:rsidRPr="0048430C">
        <w:rPr>
          <w:rFonts w:cs="Calibri"/>
          <w:color w:val="auto"/>
        </w:rPr>
        <w:t>nità per il completamento della campagna vaccinale</w:t>
      </w:r>
      <w:r w:rsidR="0048430C">
        <w:rPr>
          <w:rFonts w:cs="Calibri"/>
          <w:color w:val="auto"/>
        </w:rPr>
        <w:t xml:space="preserve">. </w:t>
      </w:r>
      <w:r>
        <w:rPr>
          <w:rFonts w:cs="Calibri"/>
          <w:color w:val="auto"/>
        </w:rPr>
        <w:t xml:space="preserve">Infatti, </w:t>
      </w:r>
      <w:r w:rsidRPr="006B2137">
        <w:rPr>
          <w:rFonts w:cs="Calibri"/>
          <w:color w:val="auto"/>
        </w:rPr>
        <w:t>il calo dell’efficacia vaccinale nei confronti della malattia grave sta determinando un netto aumento della mortalità nelle fasce più anziane della popolazione, già vaccinate con tre dosi</w:t>
      </w:r>
      <w:r>
        <w:rPr>
          <w:rFonts w:cs="Calibri"/>
          <w:color w:val="auto"/>
        </w:rPr>
        <w:t xml:space="preserve">, </w:t>
      </w:r>
      <w:r w:rsidR="00F1758E">
        <w:rPr>
          <w:rFonts w:cs="Calibri"/>
          <w:color w:val="auto"/>
        </w:rPr>
        <w:t xml:space="preserve">mentre si stanno sempre più consolidando </w:t>
      </w:r>
      <w:r>
        <w:rPr>
          <w:rFonts w:cs="Calibri"/>
          <w:color w:val="auto"/>
        </w:rPr>
        <w:t xml:space="preserve">le evidenze scientifiche sull’efficacia del secondo </w:t>
      </w:r>
      <w:r w:rsidRPr="00F10F65">
        <w:rPr>
          <w:rFonts w:cs="Calibri"/>
          <w:i/>
          <w:color w:val="auto"/>
        </w:rPr>
        <w:t>booster</w:t>
      </w:r>
      <w:r>
        <w:rPr>
          <w:rFonts w:cs="Calibri"/>
          <w:color w:val="auto"/>
        </w:rPr>
        <w:t xml:space="preserve"> nel ridurre ospedalizzazioni e decessi. In tal senso, </w:t>
      </w:r>
      <w:r>
        <w:rPr>
          <w:color w:val="auto"/>
        </w:rPr>
        <w:t>l</w:t>
      </w:r>
      <w:r w:rsidRPr="00D27153">
        <w:rPr>
          <w:color w:val="auto"/>
        </w:rPr>
        <w:t xml:space="preserve">e inaccettabili disuguaglianze regionali sulle coperture con le quarte dosi </w:t>
      </w:r>
      <w:r w:rsidR="005F5521">
        <w:rPr>
          <w:color w:val="auto"/>
        </w:rPr>
        <w:t>parlano chiaro:</w:t>
      </w:r>
      <w:r w:rsidRPr="00D27153">
        <w:rPr>
          <w:color w:val="auto"/>
        </w:rPr>
        <w:t xml:space="preserve"> </w:t>
      </w:r>
      <w:r w:rsidR="00F1758E">
        <w:rPr>
          <w:color w:val="auto"/>
        </w:rPr>
        <w:t xml:space="preserve">occorre passare ovunque a </w:t>
      </w:r>
      <w:r w:rsidRPr="00D27153">
        <w:rPr>
          <w:color w:val="auto"/>
        </w:rPr>
        <w:t>strategie di chiamata attiva</w:t>
      </w:r>
      <w:r w:rsidR="00F1758E">
        <w:rPr>
          <w:color w:val="auto"/>
        </w:rPr>
        <w:t xml:space="preserve">, </w:t>
      </w:r>
      <w:r w:rsidRPr="00D27153">
        <w:rPr>
          <w:color w:val="auto"/>
        </w:rPr>
        <w:t>molto più efficaci della prenotazione volontaria</w:t>
      </w:r>
      <w:r w:rsidR="00F1758E">
        <w:rPr>
          <w:color w:val="auto"/>
        </w:rPr>
        <w:t>, con un auspicabile coinvolgimento dei medici di famiglia</w:t>
      </w:r>
      <w:r w:rsidRPr="006B2137">
        <w:rPr>
          <w:rFonts w:cs="Calibri"/>
          <w:color w:val="auto"/>
        </w:rPr>
        <w:t>»</w:t>
      </w:r>
      <w:r>
        <w:rPr>
          <w:rFonts w:cs="Calibri"/>
          <w:color w:val="auto"/>
        </w:rPr>
        <w:t>.</w:t>
      </w:r>
    </w:p>
    <w:p w:rsidR="00E23CF9" w:rsidRDefault="00666867" w:rsidP="00BD67DE">
      <w:pPr>
        <w:spacing w:after="120" w:line="276" w:lineRule="auto"/>
        <w:rPr>
          <w:rStyle w:val="Hyperlink0"/>
        </w:rPr>
      </w:pPr>
      <w:r w:rsidRPr="00234B97">
        <w:rPr>
          <w:i/>
          <w:iCs/>
        </w:rPr>
        <w:t>Il</w:t>
      </w:r>
      <w:r w:rsidR="00CE577D" w:rsidRPr="00234B97">
        <w:rPr>
          <w:i/>
          <w:iCs/>
        </w:rPr>
        <w:t xml:space="preserve"> monitoraggio GIMBE dell'epidemia COVID-19 è disponibile a: </w:t>
      </w:r>
      <w:hyperlink r:id="rId16" w:history="1">
        <w:r w:rsidR="00CE577D" w:rsidRPr="00234B97">
          <w:rPr>
            <w:rStyle w:val="Hyperlink0"/>
          </w:rPr>
          <w:t>https://coronavirus.gimbe.org</w:t>
        </w:r>
      </w:hyperlink>
    </w:p>
    <w:p w:rsidR="009B392C" w:rsidRDefault="009B392C" w:rsidP="00BD67DE">
      <w:pPr>
        <w:spacing w:after="120" w:line="276" w:lineRule="auto"/>
        <w:rPr>
          <w:rStyle w:val="Hyperlink0"/>
        </w:rPr>
      </w:pPr>
    </w:p>
    <w:p w:rsidR="00044ABB" w:rsidRPr="00C46A82" w:rsidRDefault="00CE577D" w:rsidP="00C46A82">
      <w:pPr>
        <w:spacing w:after="120"/>
        <w:rPr>
          <w:rFonts w:eastAsia="Calibri" w:cs="Calibri"/>
          <w:color w:val="0563C1"/>
          <w:sz w:val="20"/>
          <w:szCs w:val="20"/>
          <w:u w:val="single" w:color="0563C1"/>
        </w:rPr>
      </w:pPr>
      <w:r w:rsidRPr="00234B97">
        <w:rPr>
          <w:b/>
          <w:bCs/>
        </w:rPr>
        <w:t>CONTATTI</w:t>
      </w:r>
      <w:r w:rsidRPr="00234B97">
        <w:rPr>
          <w:i/>
          <w:iCs/>
        </w:rPr>
        <w:br/>
      </w:r>
      <w:r w:rsidRPr="00234B97">
        <w:rPr>
          <w:b/>
          <w:bCs/>
        </w:rPr>
        <w:t>Fondazione GIMBE</w:t>
      </w:r>
      <w:r w:rsidRPr="00234B97">
        <w:rPr>
          <w:i/>
          <w:iCs/>
          <w:color w:val="0563C1"/>
          <w:u w:val="single" w:color="0563C1"/>
        </w:rPr>
        <w:br/>
      </w:r>
      <w:r w:rsidRPr="00234B97">
        <w:rPr>
          <w:sz w:val="20"/>
          <w:szCs w:val="20"/>
        </w:rPr>
        <w:t>Via Amendola 2 - 40121 Bologna</w:t>
      </w:r>
      <w:r w:rsidRPr="00234B97">
        <w:rPr>
          <w:sz w:val="20"/>
          <w:szCs w:val="20"/>
        </w:rPr>
        <w:br/>
        <w:t>Tel. 051 5883920 - Fax 051 4075774</w:t>
      </w:r>
      <w:r w:rsidRPr="00234B97">
        <w:rPr>
          <w:sz w:val="20"/>
          <w:szCs w:val="20"/>
        </w:rPr>
        <w:br/>
        <w:t xml:space="preserve">E-mail: </w:t>
      </w:r>
      <w:hyperlink r:id="rId17" w:history="1">
        <w:r w:rsidRPr="00234B97">
          <w:rPr>
            <w:rStyle w:val="Hyperlink1"/>
          </w:rPr>
          <w:t>ufficio.stampa@gimbe.org</w:t>
        </w:r>
      </w:hyperlink>
    </w:p>
    <w:p w:rsidR="00F43DFC" w:rsidRDefault="001203E4" w:rsidP="00D304E2">
      <w:pPr>
        <w:spacing w:after="0" w:line="240" w:lineRule="auto"/>
        <w:jc w:val="center"/>
        <w:rPr>
          <w:b/>
          <w:bCs/>
          <w:color w:val="00457D"/>
          <w:sz w:val="24"/>
          <w:szCs w:val="24"/>
          <w:u w:color="00457D"/>
        </w:rPr>
      </w:pPr>
      <w:r>
        <w:rPr>
          <w:b/>
          <w:bCs/>
          <w:color w:val="00457D"/>
          <w:sz w:val="24"/>
          <w:szCs w:val="24"/>
          <w:u w:color="00457D"/>
        </w:rPr>
        <w:br w:type="page"/>
      </w:r>
      <w:r w:rsidR="00CE577D" w:rsidRPr="008E7049">
        <w:rPr>
          <w:b/>
          <w:bCs/>
          <w:color w:val="00457D"/>
          <w:sz w:val="24"/>
          <w:szCs w:val="24"/>
          <w:u w:color="00457D"/>
        </w:rPr>
        <w:lastRenderedPageBreak/>
        <w:t>Figura 1</w:t>
      </w:r>
    </w:p>
    <w:p w:rsidR="00F43DFC" w:rsidRPr="00234B97" w:rsidRDefault="003E6E27">
      <w:pPr>
        <w:jc w:val="center"/>
        <w:rPr>
          <w:b/>
          <w:bCs/>
          <w:color w:val="00457D"/>
          <w:sz w:val="24"/>
          <w:szCs w:val="24"/>
          <w:u w:color="00457D"/>
        </w:rPr>
      </w:pPr>
      <w:r>
        <w:rPr>
          <w:b/>
          <w:bCs/>
          <w:noProof/>
          <w:color w:val="00457D"/>
          <w:sz w:val="24"/>
          <w:szCs w:val="24"/>
          <w:u w:color="00457D"/>
        </w:rPr>
        <w:drawing>
          <wp:inline distT="0" distB="0" distL="0" distR="0" wp14:anchorId="3BEA2579" wp14:editId="20AC5CEA">
            <wp:extent cx="5760000" cy="3193390"/>
            <wp:effectExtent l="0" t="0" r="0" b="762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234B97" w:rsidRDefault="00266D51">
      <w:pPr>
        <w:jc w:val="center"/>
        <w:rPr>
          <w:b/>
          <w:bCs/>
          <w:color w:val="00457D"/>
          <w:sz w:val="24"/>
          <w:szCs w:val="24"/>
          <w:u w:color="00457D"/>
        </w:rPr>
      </w:pPr>
    </w:p>
    <w:p w:rsidR="007B682B" w:rsidRPr="00234B97" w:rsidRDefault="00CE577D">
      <w:pPr>
        <w:jc w:val="center"/>
        <w:rPr>
          <w:b/>
          <w:bCs/>
          <w:color w:val="00457D"/>
          <w:sz w:val="24"/>
          <w:szCs w:val="24"/>
          <w:u w:color="00457D"/>
        </w:rPr>
      </w:pPr>
      <w:r w:rsidRPr="008E7049">
        <w:rPr>
          <w:b/>
          <w:bCs/>
          <w:color w:val="00457D"/>
          <w:sz w:val="24"/>
          <w:szCs w:val="24"/>
          <w:u w:color="00457D"/>
        </w:rPr>
        <w:t>Figura 2</w:t>
      </w:r>
      <w:r w:rsidRPr="00234B97">
        <w:rPr>
          <w:b/>
          <w:bCs/>
          <w:color w:val="00457D"/>
          <w:sz w:val="24"/>
          <w:szCs w:val="24"/>
          <w:u w:color="00457D"/>
        </w:rPr>
        <w:br/>
      </w:r>
      <w:r w:rsidR="003E6E27">
        <w:rPr>
          <w:b/>
          <w:bCs/>
          <w:noProof/>
          <w:color w:val="00457D"/>
          <w:sz w:val="24"/>
          <w:szCs w:val="24"/>
          <w:u w:color="00457D"/>
        </w:rPr>
        <w:drawing>
          <wp:inline distT="0" distB="0" distL="0" distR="0" wp14:anchorId="0F753B34" wp14:editId="1F6CE43A">
            <wp:extent cx="5760000" cy="3192521"/>
            <wp:effectExtent l="0" t="0" r="0"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3192521"/>
                    </a:xfrm>
                    <a:prstGeom prst="rect">
                      <a:avLst/>
                    </a:prstGeom>
                    <a:noFill/>
                  </pic:spPr>
                </pic:pic>
              </a:graphicData>
            </a:graphic>
          </wp:inline>
        </w:drawing>
      </w:r>
    </w:p>
    <w:p w:rsidR="000E770E" w:rsidRDefault="000E770E">
      <w:pPr>
        <w:jc w:val="center"/>
        <w:rPr>
          <w:b/>
          <w:bCs/>
          <w:color w:val="00457D"/>
          <w:sz w:val="24"/>
          <w:szCs w:val="24"/>
          <w:u w:color="00457D"/>
        </w:rPr>
      </w:pPr>
    </w:p>
    <w:p w:rsidR="007B682B" w:rsidRPr="00234B97" w:rsidRDefault="00CE577D">
      <w:pPr>
        <w:jc w:val="center"/>
        <w:sectPr w:rsidR="007B682B" w:rsidRPr="00234B97" w:rsidSect="005B4AE1">
          <w:pgSz w:w="11900" w:h="16840"/>
          <w:pgMar w:top="993" w:right="1134" w:bottom="709" w:left="1134" w:header="709" w:footer="709" w:gutter="0"/>
          <w:cols w:space="720"/>
        </w:sectPr>
      </w:pPr>
      <w:r w:rsidRPr="00234B97">
        <w:rPr>
          <w:b/>
          <w:bCs/>
          <w:color w:val="00457D"/>
          <w:sz w:val="24"/>
          <w:szCs w:val="24"/>
          <w:u w:color="00457D"/>
        </w:rPr>
        <w:br/>
      </w:r>
    </w:p>
    <w:p w:rsidR="007B682B" w:rsidRDefault="00CE577D" w:rsidP="00466C2D">
      <w:pPr>
        <w:spacing w:after="0" w:line="360" w:lineRule="auto"/>
        <w:jc w:val="center"/>
        <w:rPr>
          <w:b/>
          <w:bCs/>
          <w:color w:val="00457D"/>
          <w:sz w:val="24"/>
          <w:szCs w:val="24"/>
          <w:u w:color="00457D"/>
        </w:rPr>
      </w:pPr>
      <w:r w:rsidRPr="00234B97">
        <w:rPr>
          <w:b/>
          <w:bCs/>
          <w:color w:val="00457D"/>
          <w:sz w:val="24"/>
          <w:szCs w:val="24"/>
          <w:u w:color="00457D"/>
        </w:rPr>
        <w:lastRenderedPageBreak/>
        <w:t>Figura 3</w:t>
      </w:r>
    </w:p>
    <w:p w:rsidR="00333BB6" w:rsidRPr="00234B97" w:rsidRDefault="003E6E27" w:rsidP="00466C2D">
      <w:pPr>
        <w:spacing w:after="0" w:line="360" w:lineRule="auto"/>
        <w:jc w:val="center"/>
        <w:rPr>
          <w:b/>
          <w:bCs/>
          <w:color w:val="00457D"/>
          <w:sz w:val="24"/>
          <w:szCs w:val="24"/>
          <w:u w:color="00457D"/>
        </w:rPr>
      </w:pPr>
      <w:r>
        <w:rPr>
          <w:b/>
          <w:bCs/>
          <w:noProof/>
          <w:color w:val="00457D"/>
          <w:sz w:val="24"/>
          <w:szCs w:val="24"/>
          <w:u w:color="00457D"/>
        </w:rPr>
        <w:drawing>
          <wp:inline distT="0" distB="0" distL="0" distR="0" wp14:anchorId="2F7C5099" wp14:editId="4F2CDB04">
            <wp:extent cx="9360000" cy="4810624"/>
            <wp:effectExtent l="0" t="0" r="0"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7B682B" w:rsidRPr="00234B97" w:rsidRDefault="007B682B">
      <w:pPr>
        <w:spacing w:after="0" w:line="360" w:lineRule="auto"/>
        <w:jc w:val="center"/>
        <w:sectPr w:rsidR="007B682B" w:rsidRPr="00234B97" w:rsidSect="005B4AE1">
          <w:pgSz w:w="16840" w:h="11900" w:orient="landscape"/>
          <w:pgMar w:top="992" w:right="1134" w:bottom="709" w:left="1134" w:header="709" w:footer="709" w:gutter="0"/>
          <w:cols w:space="720"/>
          <w:docGrid w:linePitch="299"/>
        </w:sectPr>
      </w:pPr>
    </w:p>
    <w:p w:rsidR="00184E2C" w:rsidRDefault="00E10DC3" w:rsidP="00E10DC3">
      <w:pPr>
        <w:spacing w:after="0"/>
        <w:jc w:val="center"/>
        <w:rPr>
          <w:b/>
          <w:bCs/>
          <w:color w:val="00457D"/>
          <w:sz w:val="24"/>
          <w:szCs w:val="24"/>
          <w:u w:color="00457D"/>
        </w:rPr>
      </w:pPr>
      <w:r>
        <w:rPr>
          <w:b/>
          <w:bCs/>
          <w:color w:val="00457D"/>
          <w:sz w:val="24"/>
          <w:szCs w:val="24"/>
          <w:u w:color="00457D"/>
        </w:rPr>
        <w:lastRenderedPageBreak/>
        <w:t>Figura 4</w:t>
      </w:r>
    </w:p>
    <w:p w:rsidR="00FB6128" w:rsidRDefault="00F459BA" w:rsidP="00E10DC3">
      <w:pPr>
        <w:spacing w:after="0"/>
        <w:jc w:val="center"/>
        <w:rPr>
          <w:color w:val="auto"/>
        </w:rPr>
      </w:pPr>
      <w:r>
        <w:rPr>
          <w:noProof/>
          <w:color w:val="auto"/>
        </w:rPr>
        <w:drawing>
          <wp:inline distT="0" distB="0" distL="0" distR="0" wp14:anchorId="06DB15B4" wp14:editId="1DDC476D">
            <wp:extent cx="5760000" cy="2814192"/>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Default="00FB6128" w:rsidP="00E10DC3">
      <w:pPr>
        <w:spacing w:after="0"/>
        <w:jc w:val="center"/>
        <w:rPr>
          <w:color w:val="auto"/>
        </w:rPr>
      </w:pPr>
    </w:p>
    <w:p w:rsidR="00FB6128" w:rsidRPr="00FB6128" w:rsidRDefault="00FB6128" w:rsidP="00FB6128">
      <w:pPr>
        <w:spacing w:after="0"/>
        <w:jc w:val="center"/>
        <w:rPr>
          <w:b/>
          <w:bCs/>
          <w:color w:val="00457D"/>
          <w:sz w:val="24"/>
          <w:szCs w:val="24"/>
          <w:u w:color="00457D"/>
        </w:rPr>
      </w:pPr>
      <w:r w:rsidRPr="00234B97">
        <w:rPr>
          <w:b/>
          <w:bCs/>
          <w:color w:val="00457D"/>
          <w:sz w:val="24"/>
          <w:szCs w:val="24"/>
          <w:u w:color="00457D"/>
        </w:rPr>
        <w:t xml:space="preserve">Figura </w:t>
      </w:r>
      <w:r>
        <w:rPr>
          <w:b/>
          <w:bCs/>
          <w:color w:val="00457D"/>
          <w:sz w:val="24"/>
          <w:szCs w:val="24"/>
          <w:u w:color="00457D"/>
        </w:rPr>
        <w:t>5</w:t>
      </w:r>
    </w:p>
    <w:p w:rsidR="00184E2C" w:rsidRDefault="00F459BA" w:rsidP="000E770E">
      <w:pPr>
        <w:spacing w:after="0" w:line="276" w:lineRule="auto"/>
        <w:jc w:val="center"/>
        <w:rPr>
          <w:color w:val="auto"/>
        </w:rPr>
      </w:pPr>
      <w:r>
        <w:rPr>
          <w:noProof/>
          <w:color w:val="auto"/>
        </w:rPr>
        <w:drawing>
          <wp:inline distT="0" distB="0" distL="0" distR="0" wp14:anchorId="26ACDA72" wp14:editId="50450395">
            <wp:extent cx="5760000" cy="3118094"/>
            <wp:effectExtent l="0" t="0" r="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Default="000E770E" w:rsidP="00626103">
      <w:pPr>
        <w:spacing w:after="0"/>
        <w:jc w:val="center"/>
        <w:rPr>
          <w:b/>
          <w:bCs/>
          <w:color w:val="00457D"/>
          <w:sz w:val="24"/>
          <w:szCs w:val="24"/>
          <w:u w:color="00457D"/>
        </w:rPr>
      </w:pPr>
    </w:p>
    <w:p w:rsidR="00FB6128" w:rsidRDefault="00FB6128">
      <w:pPr>
        <w:spacing w:after="0" w:line="240" w:lineRule="auto"/>
        <w:rPr>
          <w:b/>
          <w:bCs/>
          <w:color w:val="00457D"/>
          <w:sz w:val="24"/>
          <w:szCs w:val="24"/>
          <w:u w:color="00457D"/>
        </w:rPr>
      </w:pPr>
      <w:r>
        <w:rPr>
          <w:b/>
          <w:bCs/>
          <w:color w:val="00457D"/>
          <w:sz w:val="24"/>
          <w:szCs w:val="24"/>
          <w:u w:color="00457D"/>
        </w:rPr>
        <w:br w:type="page"/>
      </w:r>
    </w:p>
    <w:p w:rsidR="00D93FAE" w:rsidRDefault="00D93FAE" w:rsidP="00D93FAE">
      <w:pPr>
        <w:spacing w:after="0"/>
        <w:jc w:val="center"/>
        <w:rPr>
          <w:b/>
          <w:bCs/>
          <w:color w:val="00457D"/>
          <w:sz w:val="24"/>
          <w:szCs w:val="24"/>
          <w:u w:color="00457D"/>
        </w:rPr>
      </w:pPr>
      <w:r w:rsidRPr="00234B97">
        <w:rPr>
          <w:b/>
          <w:bCs/>
          <w:color w:val="00457D"/>
          <w:sz w:val="24"/>
          <w:szCs w:val="24"/>
          <w:u w:color="00457D"/>
        </w:rPr>
        <w:lastRenderedPageBreak/>
        <w:t xml:space="preserve">Figura </w:t>
      </w:r>
      <w:r>
        <w:rPr>
          <w:b/>
          <w:bCs/>
          <w:color w:val="00457D"/>
          <w:sz w:val="24"/>
          <w:szCs w:val="24"/>
          <w:u w:color="00457D"/>
        </w:rPr>
        <w:t>6</w:t>
      </w:r>
    </w:p>
    <w:p w:rsidR="00D93FAE" w:rsidRPr="00FB6128" w:rsidRDefault="00F459BA"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02A73F81" wp14:editId="653BD934">
            <wp:extent cx="5760000" cy="307239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0" cy="3072390"/>
                    </a:xfrm>
                    <a:prstGeom prst="rect">
                      <a:avLst/>
                    </a:prstGeom>
                    <a:noFill/>
                  </pic:spPr>
                </pic:pic>
              </a:graphicData>
            </a:graphic>
          </wp:inline>
        </w:drawing>
      </w:r>
    </w:p>
    <w:p w:rsidR="00D93FAE" w:rsidRPr="00F9470A" w:rsidRDefault="00D93FAE" w:rsidP="00D93FAE">
      <w:pPr>
        <w:spacing w:after="0" w:line="240" w:lineRule="auto"/>
        <w:jc w:val="center"/>
        <w:rPr>
          <w:b/>
          <w:bCs/>
          <w:color w:val="00457D"/>
          <w:sz w:val="8"/>
          <w:szCs w:val="14"/>
          <w:u w:color="00457D"/>
        </w:rPr>
      </w:pPr>
    </w:p>
    <w:p w:rsidR="00061647" w:rsidRDefault="00061647">
      <w:pPr>
        <w:spacing w:after="0" w:line="240" w:lineRule="auto"/>
        <w:rPr>
          <w:b/>
          <w:bCs/>
          <w:color w:val="00457D"/>
          <w:sz w:val="24"/>
          <w:szCs w:val="24"/>
          <w:u w:color="00457D"/>
        </w:rPr>
      </w:pPr>
    </w:p>
    <w:p w:rsidR="00A03AAC" w:rsidRDefault="00D93FAE" w:rsidP="00D93FAE">
      <w:pPr>
        <w:spacing w:after="0"/>
        <w:jc w:val="center"/>
        <w:rPr>
          <w:b/>
          <w:bCs/>
          <w:color w:val="00457D"/>
          <w:sz w:val="24"/>
          <w:szCs w:val="24"/>
          <w:u w:color="00457D"/>
        </w:rPr>
      </w:pPr>
      <w:r>
        <w:rPr>
          <w:b/>
          <w:bCs/>
          <w:color w:val="00457D"/>
          <w:sz w:val="24"/>
          <w:szCs w:val="24"/>
          <w:u w:color="00457D"/>
        </w:rPr>
        <w:t xml:space="preserve">Figura </w:t>
      </w:r>
      <w:r w:rsidR="001E3B61">
        <w:rPr>
          <w:b/>
          <w:bCs/>
          <w:color w:val="00457D"/>
          <w:sz w:val="24"/>
          <w:szCs w:val="24"/>
          <w:u w:color="00457D"/>
        </w:rPr>
        <w:t>7</w:t>
      </w:r>
    </w:p>
    <w:p w:rsidR="008751B7" w:rsidRDefault="00F459BA"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44089994" wp14:editId="18F88CA6">
            <wp:extent cx="5760000" cy="2885919"/>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2885919"/>
                    </a:xfrm>
                    <a:prstGeom prst="rect">
                      <a:avLst/>
                    </a:prstGeom>
                    <a:noFill/>
                  </pic:spPr>
                </pic:pic>
              </a:graphicData>
            </a:graphic>
          </wp:inline>
        </w:drawing>
      </w:r>
    </w:p>
    <w:p w:rsidR="008751B7" w:rsidRDefault="008751B7" w:rsidP="008751B7">
      <w:pPr>
        <w:spacing w:after="0"/>
        <w:jc w:val="center"/>
        <w:rPr>
          <w:b/>
          <w:bCs/>
          <w:color w:val="00457D"/>
          <w:sz w:val="24"/>
          <w:szCs w:val="24"/>
          <w:u w:color="00457D"/>
        </w:rPr>
      </w:pP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8751B7" w:rsidRPr="00014C7B" w:rsidRDefault="008751B7" w:rsidP="008751B7">
      <w:pPr>
        <w:spacing w:after="0"/>
        <w:jc w:val="center"/>
        <w:rPr>
          <w:b/>
          <w:bCs/>
          <w:color w:val="00457D"/>
          <w:sz w:val="24"/>
          <w:szCs w:val="24"/>
          <w:u w:color="00457D"/>
        </w:rPr>
      </w:pPr>
      <w:r w:rsidRPr="00014C7B">
        <w:rPr>
          <w:b/>
          <w:bCs/>
          <w:color w:val="00457D"/>
          <w:sz w:val="24"/>
          <w:szCs w:val="24"/>
          <w:u w:color="00457D"/>
        </w:rPr>
        <w:lastRenderedPageBreak/>
        <w:t>Figura 8</w:t>
      </w:r>
    </w:p>
    <w:p w:rsidR="00D93FAE" w:rsidRPr="00D93FAE" w:rsidRDefault="00014C7B"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12387388" wp14:editId="1AB4D6DD">
            <wp:extent cx="5760000" cy="5353661"/>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rsidR="002879EE" w:rsidRPr="002879EE" w:rsidRDefault="002879EE">
      <w:pPr>
        <w:spacing w:after="0"/>
        <w:jc w:val="center"/>
        <w:rPr>
          <w:b/>
          <w:bCs/>
          <w:color w:val="00457D"/>
          <w:sz w:val="10"/>
          <w:szCs w:val="12"/>
          <w:u w:color="00457D"/>
        </w:rPr>
      </w:pPr>
    </w:p>
    <w:p w:rsidR="00184E2C" w:rsidRDefault="00CE577D">
      <w:pPr>
        <w:spacing w:after="0"/>
        <w:jc w:val="center"/>
        <w:rPr>
          <w:b/>
          <w:bCs/>
          <w:color w:val="00457D"/>
          <w:sz w:val="24"/>
          <w:szCs w:val="24"/>
          <w:u w:color="00457D"/>
        </w:rPr>
      </w:pPr>
      <w:r w:rsidRPr="00542585">
        <w:rPr>
          <w:b/>
          <w:bCs/>
          <w:color w:val="00457D"/>
          <w:sz w:val="24"/>
          <w:szCs w:val="24"/>
          <w:u w:color="00457D"/>
        </w:rPr>
        <w:t>Figura</w:t>
      </w:r>
      <w:r w:rsidR="00E10DC3">
        <w:rPr>
          <w:b/>
          <w:bCs/>
          <w:color w:val="00457D"/>
          <w:sz w:val="24"/>
          <w:szCs w:val="24"/>
          <w:u w:color="00457D"/>
        </w:rPr>
        <w:t xml:space="preserve"> </w:t>
      </w:r>
      <w:r w:rsidR="008751B7">
        <w:rPr>
          <w:b/>
          <w:bCs/>
          <w:color w:val="00457D"/>
          <w:sz w:val="24"/>
          <w:szCs w:val="24"/>
          <w:u w:color="00457D"/>
        </w:rPr>
        <w:t>9</w:t>
      </w:r>
    </w:p>
    <w:p w:rsidR="003274E5" w:rsidRDefault="00F459BA"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26A3A771" wp14:editId="6F5B54A4">
            <wp:extent cx="5760000" cy="2792940"/>
            <wp:effectExtent l="0" t="0" r="0" b="762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1B3764" w:rsidRPr="00BF670A" w:rsidRDefault="00736C14" w:rsidP="00DB1360">
      <w:pPr>
        <w:spacing w:after="0" w:line="240" w:lineRule="auto"/>
        <w:jc w:val="center"/>
        <w:rPr>
          <w:b/>
          <w:bCs/>
          <w:color w:val="FF0000"/>
          <w:sz w:val="24"/>
          <w:szCs w:val="24"/>
          <w:u w:color="00457D"/>
        </w:rPr>
      </w:pPr>
      <w:r>
        <w:rPr>
          <w:b/>
          <w:bCs/>
          <w:color w:val="00457D"/>
          <w:sz w:val="24"/>
          <w:szCs w:val="24"/>
          <w:u w:color="00457D"/>
        </w:rPr>
        <w:lastRenderedPageBreak/>
        <w:t>Figura 1</w:t>
      </w:r>
      <w:r w:rsidR="00030535">
        <w:rPr>
          <w:b/>
          <w:bCs/>
          <w:color w:val="00457D"/>
          <w:sz w:val="24"/>
          <w:szCs w:val="24"/>
          <w:u w:color="00457D"/>
        </w:rPr>
        <w:t>0</w:t>
      </w:r>
    </w:p>
    <w:p w:rsidR="001B3764" w:rsidRPr="00466C2D" w:rsidRDefault="00014C7B"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DCB196E" wp14:editId="139B6290">
            <wp:extent cx="5760000" cy="3657340"/>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8751B7" w:rsidRDefault="008751B7">
      <w:pPr>
        <w:spacing w:after="0" w:line="240" w:lineRule="auto"/>
        <w:rPr>
          <w:b/>
          <w:bCs/>
          <w:color w:val="00457D"/>
          <w:sz w:val="24"/>
          <w:szCs w:val="24"/>
          <w:u w:color="00457D"/>
        </w:rPr>
      </w:pPr>
    </w:p>
    <w:p w:rsidR="00211923" w:rsidRPr="00211923" w:rsidRDefault="00211923" w:rsidP="00211923">
      <w:pPr>
        <w:spacing w:after="0" w:line="240" w:lineRule="auto"/>
        <w:jc w:val="center"/>
        <w:rPr>
          <w:b/>
          <w:bCs/>
          <w:color w:val="00457D"/>
          <w:sz w:val="24"/>
          <w:szCs w:val="24"/>
          <w:u w:color="00457D"/>
        </w:rPr>
      </w:pPr>
      <w:r w:rsidRPr="008049CF">
        <w:rPr>
          <w:b/>
          <w:bCs/>
          <w:color w:val="00457D"/>
          <w:sz w:val="24"/>
          <w:szCs w:val="24"/>
          <w:u w:color="00457D"/>
        </w:rPr>
        <w:t xml:space="preserve">Figura </w:t>
      </w:r>
      <w:r w:rsidR="00D022C4" w:rsidRPr="008049CF">
        <w:rPr>
          <w:b/>
          <w:bCs/>
          <w:color w:val="00457D"/>
          <w:sz w:val="24"/>
          <w:szCs w:val="24"/>
          <w:u w:color="00457D"/>
        </w:rPr>
        <w:t>1</w:t>
      </w:r>
      <w:r w:rsidR="00D54DDF">
        <w:rPr>
          <w:b/>
          <w:bCs/>
          <w:color w:val="00457D"/>
          <w:sz w:val="24"/>
          <w:szCs w:val="24"/>
          <w:u w:color="00457D"/>
        </w:rPr>
        <w:t>1</w:t>
      </w:r>
    </w:p>
    <w:p w:rsidR="00A15BB4" w:rsidRDefault="00014C7B" w:rsidP="00012B67">
      <w:pPr>
        <w:spacing w:line="276" w:lineRule="auto"/>
        <w:jc w:val="center"/>
        <w:rPr>
          <w:color w:val="FF0000"/>
        </w:rPr>
      </w:pPr>
      <w:r>
        <w:rPr>
          <w:noProof/>
          <w:color w:val="FF0000"/>
        </w:rPr>
        <w:drawing>
          <wp:inline distT="0" distB="0" distL="0" distR="0" wp14:anchorId="4B20DA5F" wp14:editId="466640DC">
            <wp:extent cx="5760000" cy="3634133"/>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E03BC7" w:rsidRDefault="00E03BC7">
      <w:pPr>
        <w:spacing w:after="0" w:line="240" w:lineRule="auto"/>
        <w:rPr>
          <w:b/>
          <w:bCs/>
          <w:color w:val="00457D"/>
          <w:sz w:val="24"/>
          <w:szCs w:val="24"/>
          <w:u w:color="00457D"/>
        </w:rPr>
      </w:pPr>
    </w:p>
    <w:p w:rsidR="00D54DDF" w:rsidRDefault="00D54DDF">
      <w:pPr>
        <w:spacing w:after="0" w:line="240" w:lineRule="auto"/>
        <w:rPr>
          <w:b/>
          <w:bCs/>
          <w:color w:val="00457D"/>
          <w:sz w:val="24"/>
          <w:szCs w:val="24"/>
          <w:u w:color="00457D"/>
        </w:rPr>
      </w:pPr>
      <w:r>
        <w:rPr>
          <w:b/>
          <w:bCs/>
          <w:color w:val="00457D"/>
          <w:sz w:val="24"/>
          <w:szCs w:val="24"/>
          <w:u w:color="00457D"/>
        </w:rPr>
        <w:br w:type="page"/>
      </w:r>
    </w:p>
    <w:p w:rsidR="00D54DDF" w:rsidRDefault="00D54DDF" w:rsidP="004B6DC2">
      <w:pPr>
        <w:spacing w:after="0" w:line="240" w:lineRule="auto"/>
        <w:jc w:val="center"/>
        <w:rPr>
          <w:b/>
          <w:bCs/>
          <w:color w:val="00457D"/>
          <w:sz w:val="24"/>
          <w:szCs w:val="24"/>
          <w:u w:color="00457D"/>
        </w:rPr>
      </w:pPr>
      <w:r>
        <w:rPr>
          <w:b/>
          <w:bCs/>
          <w:color w:val="00457D"/>
          <w:sz w:val="24"/>
          <w:szCs w:val="24"/>
          <w:u w:color="00457D"/>
        </w:rPr>
        <w:lastRenderedPageBreak/>
        <w:t>Figura 12</w:t>
      </w:r>
    </w:p>
    <w:p w:rsidR="00D54DDF" w:rsidRDefault="00014C7B" w:rsidP="004B6DC2">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5BD3034C" wp14:editId="49327079">
            <wp:extent cx="5616000" cy="4224587"/>
            <wp:effectExtent l="0" t="0" r="381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6000" cy="4224587"/>
                    </a:xfrm>
                    <a:prstGeom prst="rect">
                      <a:avLst/>
                    </a:prstGeom>
                    <a:noFill/>
                  </pic:spPr>
                </pic:pic>
              </a:graphicData>
            </a:graphic>
          </wp:inline>
        </w:drawing>
      </w:r>
    </w:p>
    <w:p w:rsidR="00BE48B0" w:rsidRPr="00BE48B0" w:rsidRDefault="00BE48B0" w:rsidP="004B6DC2">
      <w:pPr>
        <w:spacing w:after="0" w:line="240" w:lineRule="auto"/>
        <w:jc w:val="center"/>
        <w:rPr>
          <w:b/>
          <w:bCs/>
          <w:color w:val="00457D"/>
          <w:sz w:val="12"/>
          <w:szCs w:val="12"/>
          <w:u w:color="00457D"/>
        </w:rPr>
      </w:pPr>
    </w:p>
    <w:p w:rsidR="004B6DC2" w:rsidRDefault="004B6DC2" w:rsidP="004B6DC2">
      <w:pPr>
        <w:spacing w:after="0" w:line="240" w:lineRule="auto"/>
        <w:jc w:val="center"/>
        <w:rPr>
          <w:b/>
          <w:bCs/>
          <w:color w:val="00457D"/>
          <w:sz w:val="24"/>
          <w:szCs w:val="24"/>
          <w:u w:color="00457D"/>
        </w:rPr>
      </w:pPr>
      <w:r w:rsidRPr="00466C2D">
        <w:rPr>
          <w:b/>
          <w:bCs/>
          <w:color w:val="00457D"/>
          <w:sz w:val="24"/>
          <w:szCs w:val="24"/>
          <w:u w:color="00457D"/>
        </w:rPr>
        <w:t xml:space="preserve">Figura </w:t>
      </w:r>
      <w:r w:rsidR="001E3B61">
        <w:rPr>
          <w:b/>
          <w:bCs/>
          <w:color w:val="00457D"/>
          <w:sz w:val="24"/>
          <w:szCs w:val="24"/>
          <w:u w:color="00457D"/>
        </w:rPr>
        <w:t>1</w:t>
      </w:r>
      <w:r w:rsidR="00D54DDF">
        <w:rPr>
          <w:b/>
          <w:bCs/>
          <w:color w:val="00457D"/>
          <w:sz w:val="24"/>
          <w:szCs w:val="24"/>
          <w:u w:color="00457D"/>
        </w:rPr>
        <w:t>3</w:t>
      </w:r>
    </w:p>
    <w:p w:rsidR="00061647" w:rsidRDefault="00014C7B"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F11A115" wp14:editId="525D7546">
            <wp:extent cx="5616000" cy="4231827"/>
            <wp:effectExtent l="0" t="0" r="381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000" cy="4231827"/>
                    </a:xfrm>
                    <a:prstGeom prst="rect">
                      <a:avLst/>
                    </a:prstGeom>
                    <a:noFill/>
                  </pic:spPr>
                </pic:pic>
              </a:graphicData>
            </a:graphic>
          </wp:inline>
        </w:drawing>
      </w:r>
    </w:p>
    <w:p w:rsidR="00C359C9" w:rsidRDefault="00C359C9" w:rsidP="00BE48B0">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D54DDF">
        <w:rPr>
          <w:b/>
          <w:bCs/>
          <w:color w:val="00457D"/>
          <w:sz w:val="24"/>
          <w:szCs w:val="24"/>
          <w:u w:color="00457D"/>
        </w:rPr>
        <w:t>4</w:t>
      </w:r>
    </w:p>
    <w:p w:rsidR="006E14AA" w:rsidRDefault="00014C7B"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668E5AE" wp14:editId="61402996">
            <wp:extent cx="5760000" cy="349031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rsidR="006E14AA" w:rsidRDefault="006E14AA" w:rsidP="00C359C9">
      <w:pPr>
        <w:spacing w:after="0" w:line="240" w:lineRule="auto"/>
        <w:jc w:val="center"/>
        <w:rPr>
          <w:b/>
          <w:bCs/>
          <w:color w:val="00457D"/>
          <w:sz w:val="24"/>
          <w:szCs w:val="24"/>
          <w:u w:color="00457D"/>
        </w:rPr>
      </w:pPr>
    </w:p>
    <w:p w:rsidR="00D54DDF" w:rsidRDefault="00BE48B0" w:rsidP="00BE48B0">
      <w:pPr>
        <w:spacing w:after="0" w:line="240" w:lineRule="auto"/>
        <w:jc w:val="center"/>
        <w:rPr>
          <w:b/>
          <w:bCs/>
          <w:color w:val="00457D"/>
          <w:sz w:val="24"/>
          <w:szCs w:val="24"/>
          <w:u w:color="00457D"/>
        </w:rPr>
      </w:pPr>
      <w:r>
        <w:rPr>
          <w:b/>
          <w:bCs/>
          <w:color w:val="00457D"/>
          <w:sz w:val="24"/>
          <w:szCs w:val="24"/>
          <w:u w:color="00457D"/>
        </w:rPr>
        <w:t>Figura 15</w:t>
      </w:r>
    </w:p>
    <w:p w:rsidR="00D54DDF" w:rsidRDefault="00014C7B"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7588567A" wp14:editId="0A6A713F">
            <wp:extent cx="5760000" cy="4336952"/>
            <wp:effectExtent l="0" t="0" r="0" b="698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4336952"/>
                    </a:xfrm>
                    <a:prstGeom prst="rect">
                      <a:avLst/>
                    </a:prstGeom>
                    <a:noFill/>
                  </pic:spPr>
                </pic:pic>
              </a:graphicData>
            </a:graphic>
          </wp:inline>
        </w:drawing>
      </w:r>
    </w:p>
    <w:p w:rsidR="008751B7" w:rsidRDefault="008751B7">
      <w:pPr>
        <w:spacing w:after="0" w:line="240" w:lineRule="auto"/>
        <w:rPr>
          <w:b/>
          <w:bCs/>
          <w:color w:val="00457D"/>
          <w:sz w:val="24"/>
          <w:szCs w:val="24"/>
          <w:u w:color="00457D"/>
        </w:rPr>
      </w:pPr>
      <w:r>
        <w:rPr>
          <w:b/>
          <w:bCs/>
          <w:color w:val="00457D"/>
          <w:sz w:val="24"/>
          <w:szCs w:val="24"/>
          <w:u w:color="00457D"/>
        </w:rPr>
        <w:br w:type="page"/>
      </w:r>
    </w:p>
    <w:p w:rsidR="006E14AA" w:rsidRDefault="006E14AA" w:rsidP="006E14AA">
      <w:pPr>
        <w:spacing w:after="0" w:line="240" w:lineRule="auto"/>
        <w:jc w:val="center"/>
        <w:rPr>
          <w:b/>
          <w:bCs/>
          <w:color w:val="00457D"/>
          <w:sz w:val="24"/>
          <w:szCs w:val="24"/>
          <w:u w:color="00457D"/>
        </w:rPr>
      </w:pPr>
      <w:r w:rsidRPr="00D001BF">
        <w:rPr>
          <w:b/>
          <w:bCs/>
          <w:color w:val="00457D"/>
          <w:sz w:val="24"/>
          <w:szCs w:val="24"/>
          <w:u w:color="00457D"/>
        </w:rPr>
        <w:lastRenderedPageBreak/>
        <w:t>Figura</w:t>
      </w:r>
      <w:r>
        <w:rPr>
          <w:b/>
          <w:bCs/>
          <w:color w:val="00457D"/>
          <w:sz w:val="24"/>
          <w:szCs w:val="24"/>
          <w:u w:color="00457D"/>
        </w:rPr>
        <w:t xml:space="preserve"> </w:t>
      </w:r>
      <w:r w:rsidR="001E3B61">
        <w:rPr>
          <w:b/>
          <w:bCs/>
          <w:color w:val="00457D"/>
          <w:sz w:val="24"/>
          <w:szCs w:val="24"/>
          <w:u w:color="00457D"/>
        </w:rPr>
        <w:t>1</w:t>
      </w:r>
      <w:r w:rsidR="00BE48B0">
        <w:rPr>
          <w:b/>
          <w:bCs/>
          <w:color w:val="00457D"/>
          <w:sz w:val="24"/>
          <w:szCs w:val="24"/>
          <w:u w:color="00457D"/>
        </w:rPr>
        <w:t>6</w:t>
      </w:r>
    </w:p>
    <w:p w:rsidR="007E1AAC" w:rsidRDefault="00014C7B"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0873928" wp14:editId="4EA88102">
            <wp:extent cx="5616000" cy="4231827"/>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6000" cy="4231827"/>
                    </a:xfrm>
                    <a:prstGeom prst="rect">
                      <a:avLst/>
                    </a:prstGeom>
                    <a:noFill/>
                  </pic:spPr>
                </pic:pic>
              </a:graphicData>
            </a:graphic>
          </wp:inline>
        </w:drawing>
      </w:r>
    </w:p>
    <w:p w:rsidR="00D71401" w:rsidRPr="00D71401" w:rsidRDefault="00D71401" w:rsidP="006E14AA">
      <w:pPr>
        <w:spacing w:after="0" w:line="240" w:lineRule="auto"/>
        <w:jc w:val="center"/>
        <w:rPr>
          <w:b/>
          <w:bCs/>
          <w:color w:val="00457D"/>
          <w:sz w:val="16"/>
          <w:szCs w:val="24"/>
          <w:u w:color="00457D"/>
        </w:rPr>
      </w:pPr>
    </w:p>
    <w:p w:rsidR="00D71401" w:rsidRDefault="00D71401" w:rsidP="001A2F1B">
      <w:pPr>
        <w:spacing w:after="0" w:line="240" w:lineRule="auto"/>
        <w:jc w:val="center"/>
        <w:rPr>
          <w:b/>
          <w:bCs/>
          <w:color w:val="00457D"/>
          <w:sz w:val="24"/>
          <w:szCs w:val="24"/>
          <w:u w:color="00457D"/>
        </w:rPr>
      </w:pPr>
      <w:r>
        <w:rPr>
          <w:b/>
          <w:bCs/>
          <w:color w:val="00457D"/>
          <w:sz w:val="24"/>
          <w:szCs w:val="24"/>
          <w:u w:color="00457D"/>
        </w:rPr>
        <w:t>Figura 1</w:t>
      </w:r>
      <w:r w:rsidR="00BE48B0">
        <w:rPr>
          <w:b/>
          <w:bCs/>
          <w:color w:val="00457D"/>
          <w:sz w:val="24"/>
          <w:szCs w:val="24"/>
          <w:u w:color="00457D"/>
        </w:rPr>
        <w:t>7</w:t>
      </w:r>
    </w:p>
    <w:p w:rsidR="00D71401" w:rsidRDefault="00014C7B"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169FC86" wp14:editId="4A096F81">
            <wp:extent cx="5616000" cy="4231827"/>
            <wp:effectExtent l="0" t="0" r="381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6000" cy="4231827"/>
                    </a:xfrm>
                    <a:prstGeom prst="rect">
                      <a:avLst/>
                    </a:prstGeom>
                    <a:noFill/>
                  </pic:spPr>
                </pic:pic>
              </a:graphicData>
            </a:graphic>
          </wp:inline>
        </w:drawing>
      </w:r>
    </w:p>
    <w:p w:rsidR="00C359C9" w:rsidRDefault="00C359C9" w:rsidP="00E03BC7">
      <w:pPr>
        <w:spacing w:after="0" w:line="240" w:lineRule="auto"/>
        <w:jc w:val="center"/>
        <w:rPr>
          <w:b/>
          <w:bCs/>
          <w:color w:val="00457D"/>
          <w:sz w:val="24"/>
          <w:szCs w:val="24"/>
          <w:u w:color="00457D"/>
        </w:rPr>
        <w:sectPr w:rsidR="00C359C9" w:rsidSect="005B4AE1">
          <w:pgSz w:w="11900" w:h="16840"/>
          <w:pgMar w:top="1134" w:right="1134" w:bottom="1418" w:left="1134" w:header="709" w:footer="709" w:gutter="0"/>
          <w:cols w:space="720"/>
        </w:sectPr>
      </w:pPr>
    </w:p>
    <w:p w:rsidR="00F8392B" w:rsidRDefault="00775180" w:rsidP="00C46585">
      <w:pPr>
        <w:spacing w:line="240" w:lineRule="auto"/>
        <w:jc w:val="center"/>
        <w:rPr>
          <w:b/>
          <w:bCs/>
          <w:color w:val="00457D"/>
          <w:sz w:val="24"/>
          <w:szCs w:val="24"/>
          <w:u w:color="00457D"/>
        </w:rPr>
      </w:pPr>
      <w:r w:rsidRPr="00F26C68">
        <w:rPr>
          <w:b/>
          <w:bCs/>
          <w:color w:val="00457D"/>
          <w:sz w:val="24"/>
          <w:szCs w:val="24"/>
          <w:u w:color="00457D"/>
        </w:rPr>
        <w:lastRenderedPageBreak/>
        <w:t xml:space="preserve">Figura </w:t>
      </w:r>
      <w:r w:rsidR="00BE48B0">
        <w:rPr>
          <w:b/>
          <w:bCs/>
          <w:color w:val="00457D"/>
          <w:sz w:val="24"/>
          <w:szCs w:val="24"/>
          <w:u w:color="00457D"/>
        </w:rPr>
        <w:t>18</w:t>
      </w:r>
    </w:p>
    <w:p w:rsidR="004066D0" w:rsidRDefault="00925643" w:rsidP="00F8392B">
      <w:pPr>
        <w:spacing w:line="240" w:lineRule="auto"/>
        <w:ind w:left="-426"/>
        <w:jc w:val="center"/>
        <w:rPr>
          <w:b/>
          <w:bCs/>
          <w:color w:val="00457D"/>
          <w:sz w:val="24"/>
          <w:szCs w:val="24"/>
          <w:u w:color="00457D"/>
        </w:rPr>
      </w:pPr>
      <w:r>
        <w:rPr>
          <w:b/>
          <w:bCs/>
          <w:noProof/>
          <w:color w:val="00457D"/>
          <w:sz w:val="24"/>
          <w:szCs w:val="24"/>
          <w:u w:color="00457D"/>
        </w:rPr>
        <w:drawing>
          <wp:inline distT="0" distB="0" distL="0" distR="0" wp14:anchorId="670784FF" wp14:editId="26862260">
            <wp:extent cx="9357995" cy="53403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57995" cy="5340350"/>
                    </a:xfrm>
                    <a:prstGeom prst="rect">
                      <a:avLst/>
                    </a:prstGeom>
                    <a:noFill/>
                  </pic:spPr>
                </pic:pic>
              </a:graphicData>
            </a:graphic>
          </wp:inline>
        </w:drawing>
      </w:r>
    </w:p>
    <w:p w:rsidR="00AC2737" w:rsidRDefault="00AC2737" w:rsidP="004B6DC2">
      <w:pPr>
        <w:spacing w:line="240" w:lineRule="auto"/>
        <w:jc w:val="center"/>
        <w:rPr>
          <w:b/>
          <w:bCs/>
          <w:color w:val="00457D"/>
          <w:sz w:val="24"/>
          <w:szCs w:val="24"/>
          <w:u w:color="00457D"/>
        </w:rPr>
        <w:sectPr w:rsidR="00AC2737" w:rsidSect="005B4AE1">
          <w:pgSz w:w="16840" w:h="11900" w:orient="landscape"/>
          <w:pgMar w:top="1134" w:right="1134" w:bottom="1134" w:left="1418" w:header="709" w:footer="709" w:gutter="0"/>
          <w:cols w:space="720"/>
          <w:docGrid w:linePitch="299"/>
        </w:sectPr>
      </w:pPr>
    </w:p>
    <w:p w:rsidR="00014C7B" w:rsidRDefault="004D16FF" w:rsidP="00014C7B">
      <w:pPr>
        <w:spacing w:after="60" w:line="276" w:lineRule="auto"/>
        <w:jc w:val="center"/>
      </w:pPr>
      <w:r w:rsidRPr="00524CDB">
        <w:rPr>
          <w:b/>
          <w:bCs/>
          <w:color w:val="00457D"/>
          <w:sz w:val="24"/>
          <w:szCs w:val="24"/>
          <w:u w:color="00457D"/>
        </w:rPr>
        <w:lastRenderedPageBreak/>
        <w:t xml:space="preserve">Tabella 1. Indicatori regionali: settimana </w:t>
      </w:r>
      <w:r w:rsidR="00014C7B">
        <w:rPr>
          <w:b/>
          <w:bCs/>
          <w:color w:val="00457D"/>
          <w:sz w:val="24"/>
          <w:szCs w:val="24"/>
          <w:u w:color="00457D"/>
        </w:rPr>
        <w:t>11-17</w:t>
      </w:r>
      <w:r w:rsidR="006013F1" w:rsidRPr="00524CDB">
        <w:rPr>
          <w:b/>
          <w:bCs/>
          <w:color w:val="00457D"/>
          <w:sz w:val="24"/>
          <w:szCs w:val="24"/>
          <w:u w:color="00457D"/>
        </w:rPr>
        <w:t xml:space="preserve"> maggio</w:t>
      </w:r>
      <w:r w:rsidRPr="00524CDB">
        <w:rPr>
          <w:b/>
          <w:bCs/>
          <w:color w:val="00457D"/>
          <w:sz w:val="24"/>
          <w:szCs w:val="24"/>
          <w:u w:color="00457D"/>
        </w:rPr>
        <w:t xml:space="preserve"> 2022</w:t>
      </w:r>
    </w:p>
    <w:tbl>
      <w:tblPr>
        <w:tblW w:w="9781" w:type="dxa"/>
        <w:tblInd w:w="-5" w:type="dxa"/>
        <w:tblCellMar>
          <w:left w:w="70" w:type="dxa"/>
          <w:right w:w="70" w:type="dxa"/>
        </w:tblCellMar>
        <w:tblLook w:val="04A0" w:firstRow="1" w:lastRow="0" w:firstColumn="1" w:lastColumn="0" w:noHBand="0" w:noVBand="1"/>
      </w:tblPr>
      <w:tblGrid>
        <w:gridCol w:w="2127"/>
        <w:gridCol w:w="1660"/>
        <w:gridCol w:w="1316"/>
        <w:gridCol w:w="2268"/>
        <w:gridCol w:w="2410"/>
      </w:tblGrid>
      <w:tr w:rsidR="00014C7B" w:rsidRPr="00014C7B" w:rsidTr="00014C7B">
        <w:trPr>
          <w:trHeight w:val="907"/>
        </w:trPr>
        <w:tc>
          <w:tcPr>
            <w:tcW w:w="2127"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014C7B">
              <w:rPr>
                <w:rFonts w:eastAsia="Times New Roman" w:cs="Calibri"/>
                <w:b/>
                <w:bCs/>
                <w:color w:val="FFFFFF"/>
                <w:bdr w:val="none" w:sz="0" w:space="0" w:color="auto"/>
              </w:rPr>
              <w:t>Regione</w:t>
            </w:r>
          </w:p>
        </w:tc>
        <w:tc>
          <w:tcPr>
            <w:tcW w:w="1660" w:type="dxa"/>
            <w:tcBorders>
              <w:top w:val="single" w:sz="4" w:space="0" w:color="00457D"/>
              <w:left w:val="nil"/>
              <w:bottom w:val="single" w:sz="4" w:space="0" w:color="00457D"/>
              <w:right w:val="single" w:sz="4" w:space="0" w:color="FFFFFF"/>
            </w:tcBorders>
            <w:shd w:val="clear" w:color="000000" w:fill="00457D"/>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sz w:val="21"/>
                <w:szCs w:val="21"/>
                <w:bdr w:val="none" w:sz="0" w:space="0" w:color="auto"/>
              </w:rPr>
            </w:pPr>
            <w:r w:rsidRPr="00014C7B">
              <w:rPr>
                <w:rFonts w:eastAsia="Times New Roman" w:cs="Calibri"/>
                <w:b/>
                <w:bCs/>
                <w:color w:val="FFFFFF"/>
                <w:sz w:val="21"/>
                <w:szCs w:val="21"/>
                <w:bdr w:val="none" w:sz="0" w:space="0" w:color="auto"/>
              </w:rPr>
              <w:t>Casi attualmente positivi per 100.000 abitanti</w:t>
            </w:r>
          </w:p>
        </w:tc>
        <w:tc>
          <w:tcPr>
            <w:tcW w:w="1316" w:type="dxa"/>
            <w:tcBorders>
              <w:top w:val="single" w:sz="4" w:space="0" w:color="00457D"/>
              <w:left w:val="nil"/>
              <w:bottom w:val="single" w:sz="4" w:space="0" w:color="00457D"/>
              <w:right w:val="single" w:sz="4" w:space="0" w:color="FFFFFF"/>
            </w:tcBorders>
            <w:shd w:val="clear" w:color="000000" w:fill="00457D"/>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014C7B">
              <w:rPr>
                <w:rFonts w:eastAsia="Times New Roman" w:cs="Calibri"/>
                <w:b/>
                <w:bCs/>
                <w:color w:val="FFFFFF"/>
                <w:bdr w:val="none" w:sz="0" w:space="0" w:color="auto"/>
              </w:rPr>
              <w:t xml:space="preserve">Variazione </w:t>
            </w:r>
            <w:r w:rsidRPr="00014C7B">
              <w:rPr>
                <w:rFonts w:eastAsia="Times New Roman" w:cs="Calibri"/>
                <w:b/>
                <w:bCs/>
                <w:color w:val="FFFFFF"/>
                <w:bdr w:val="none" w:sz="0" w:space="0" w:color="auto"/>
              </w:rPr>
              <w:br/>
              <w:t>% nuovi casi</w:t>
            </w:r>
          </w:p>
        </w:tc>
        <w:tc>
          <w:tcPr>
            <w:tcW w:w="2268" w:type="dxa"/>
            <w:tcBorders>
              <w:top w:val="single" w:sz="4" w:space="0" w:color="00457D"/>
              <w:left w:val="nil"/>
              <w:bottom w:val="single" w:sz="4" w:space="0" w:color="00457D"/>
              <w:right w:val="single" w:sz="4" w:space="0" w:color="FFFFFF"/>
            </w:tcBorders>
            <w:shd w:val="clear" w:color="000000" w:fill="00457D"/>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014C7B">
              <w:rPr>
                <w:rFonts w:eastAsia="Times New Roman" w:cs="Calibri"/>
                <w:b/>
                <w:bCs/>
                <w:color w:val="FFFFFF"/>
                <w:bdr w:val="none" w:sz="0" w:space="0" w:color="auto"/>
              </w:rPr>
              <w:t>Posti letto in area medica occupati da pazienti COVID−19</w:t>
            </w:r>
          </w:p>
        </w:tc>
        <w:tc>
          <w:tcPr>
            <w:tcW w:w="2410" w:type="dxa"/>
            <w:tcBorders>
              <w:top w:val="single" w:sz="4" w:space="0" w:color="00457D"/>
              <w:left w:val="nil"/>
              <w:bottom w:val="single" w:sz="4" w:space="0" w:color="00457D"/>
              <w:right w:val="single" w:sz="4" w:space="0" w:color="00457D"/>
            </w:tcBorders>
            <w:shd w:val="clear" w:color="000000" w:fill="00457D"/>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FFFFFF"/>
                <w:bdr w:val="none" w:sz="0" w:space="0" w:color="auto"/>
              </w:rPr>
            </w:pPr>
            <w:r w:rsidRPr="00014C7B">
              <w:rPr>
                <w:rFonts w:eastAsia="Times New Roman" w:cs="Calibri"/>
                <w:b/>
                <w:bCs/>
                <w:color w:val="FFFFFF"/>
                <w:bdr w:val="none" w:sz="0" w:space="0" w:color="auto"/>
              </w:rPr>
              <w:t xml:space="preserve">Posti letto in terapia intensiva occupati da </w:t>
            </w:r>
            <w:r w:rsidRPr="00014C7B">
              <w:rPr>
                <w:rFonts w:eastAsia="Times New Roman" w:cs="Calibri"/>
                <w:b/>
                <w:bCs/>
                <w:color w:val="FFFFFF"/>
                <w:bdr w:val="none" w:sz="0" w:space="0" w:color="auto"/>
              </w:rPr>
              <w:br/>
              <w:t>pazienti COVID−19</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Abruzzo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2.420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-18,6%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20,4%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5,5%</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Basilicata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5.310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-21,6%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20,6%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2,5%</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Calabria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3.410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-22,7%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18,3%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5,7%</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Campania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2.597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-16,0%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14,0%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6,0%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Emilia Romagna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793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12,7%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3,5%</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Friuli Venezia Giulia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1.895</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-14,6%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11,7%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1,1%</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Lazio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2.487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-10,3%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12,5%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5,6%</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Liguria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751</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13,9%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Lombardia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1.301</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Marche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316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-19,2%</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11,0%</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1,7%</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Molise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2.942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-16,7%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13,1%</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5,1%</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Piemonte</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818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-10,9%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7,8%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3,7%</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Prov. Aut. Bolzano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577</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-10,7%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0,0%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Prov. Aut. Trento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488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-12,8%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9,9%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4,4%</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Puglia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2.232</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-20,1%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14,9%</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5,6%</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Sardegna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1.513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-0,1%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14,7%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4,9%</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Sicilia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1.973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-21,6%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17,7%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4,6%</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Toscana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1.015</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-13,9%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2,8%</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Umbria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1.086</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-14,3%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27,5%</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1,2%</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Valle D'Aosta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998</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-8,1%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9C0006"/>
                <w:bdr w:val="none" w:sz="0" w:space="0" w:color="auto"/>
              </w:rPr>
            </w:pPr>
            <w:r w:rsidRPr="00014C7B">
              <w:rPr>
                <w:rFonts w:eastAsia="Times New Roman" w:cs="Calibri"/>
                <w:color w:val="9C0006"/>
                <w:bdr w:val="none" w:sz="0" w:space="0" w:color="auto"/>
              </w:rPr>
              <w:t>14,7%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0,0%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auto" w:fill="auto"/>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dr w:val="none" w:sz="0" w:space="0" w:color="auto"/>
              </w:rPr>
            </w:pPr>
            <w:r w:rsidRPr="00014C7B">
              <w:rPr>
                <w:rFonts w:eastAsia="Times New Roman" w:cs="Calibri"/>
                <w:bdr w:val="none" w:sz="0" w:space="0" w:color="auto"/>
              </w:rPr>
              <w:t>Veneto</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960</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-21,3%</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7,3%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color w:val="006100"/>
                <w:bdr w:val="none" w:sz="0" w:space="0" w:color="auto"/>
              </w:rPr>
            </w:pPr>
            <w:r w:rsidRPr="00014C7B">
              <w:rPr>
                <w:rFonts w:eastAsia="Times New Roman" w:cs="Calibri"/>
                <w:color w:val="006100"/>
                <w:bdr w:val="none" w:sz="0" w:space="0" w:color="auto"/>
              </w:rPr>
              <w:t>2,0%</w:t>
            </w:r>
          </w:p>
        </w:tc>
      </w:tr>
      <w:tr w:rsidR="00014C7B" w:rsidRPr="00014C7B" w:rsidTr="00014C7B">
        <w:trPr>
          <w:trHeight w:val="340"/>
        </w:trPr>
        <w:tc>
          <w:tcPr>
            <w:tcW w:w="2127" w:type="dxa"/>
            <w:tcBorders>
              <w:top w:val="nil"/>
              <w:left w:val="single" w:sz="4" w:space="0" w:color="00457D"/>
              <w:bottom w:val="single" w:sz="4" w:space="0" w:color="00457D"/>
              <w:right w:val="single" w:sz="4" w:space="0" w:color="00457D"/>
            </w:tcBorders>
            <w:shd w:val="clear" w:color="000000" w:fill="00457D"/>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b/>
                <w:bCs/>
                <w:color w:val="FFFFFF"/>
                <w:bdr w:val="none" w:sz="0" w:space="0" w:color="auto"/>
              </w:rPr>
            </w:pPr>
            <w:r w:rsidRPr="00014C7B">
              <w:rPr>
                <w:rFonts w:eastAsia="Times New Roman" w:cs="Calibri"/>
                <w:b/>
                <w:bCs/>
                <w:color w:val="FFFFFF"/>
                <w:bdr w:val="none" w:sz="0" w:space="0" w:color="auto"/>
              </w:rPr>
              <w:t>ITALIA</w:t>
            </w:r>
          </w:p>
        </w:tc>
        <w:tc>
          <w:tcPr>
            <w:tcW w:w="1660"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014C7B">
              <w:rPr>
                <w:rFonts w:eastAsia="Times New Roman" w:cs="Calibri"/>
                <w:b/>
                <w:bCs/>
                <w:color w:val="006100"/>
                <w:bdr w:val="none" w:sz="0" w:space="0" w:color="auto"/>
              </w:rPr>
              <w:t>1.633</w:t>
            </w:r>
          </w:p>
        </w:tc>
        <w:tc>
          <w:tcPr>
            <w:tcW w:w="1316"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014C7B">
              <w:rPr>
                <w:rFonts w:eastAsia="Times New Roman" w:cs="Calibri"/>
                <w:b/>
                <w:bCs/>
                <w:color w:val="006100"/>
                <w:bdr w:val="none" w:sz="0" w:space="0" w:color="auto"/>
              </w:rPr>
              <w:t>-14,8%</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014C7B">
              <w:rPr>
                <w:rFonts w:eastAsia="Times New Roman" w:cs="Calibri"/>
                <w:b/>
                <w:bCs/>
                <w:color w:val="006100"/>
                <w:bdr w:val="none" w:sz="0" w:space="0" w:color="auto"/>
              </w:rPr>
              <w:t>11,6%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Calibri"/>
                <w:b/>
                <w:bCs/>
                <w:color w:val="006100"/>
                <w:bdr w:val="none" w:sz="0" w:space="0" w:color="auto"/>
              </w:rPr>
            </w:pPr>
            <w:r w:rsidRPr="00014C7B">
              <w:rPr>
                <w:rFonts w:eastAsia="Times New Roman" w:cs="Calibri"/>
                <w:b/>
                <w:bCs/>
                <w:color w:val="006100"/>
                <w:bdr w:val="none" w:sz="0" w:space="0" w:color="auto"/>
              </w:rPr>
              <w:t>3,6%</w:t>
            </w:r>
          </w:p>
        </w:tc>
      </w:tr>
      <w:tr w:rsidR="00014C7B" w:rsidRPr="00014C7B" w:rsidTr="00014C7B">
        <w:trPr>
          <w:trHeight w:val="1928"/>
        </w:trPr>
        <w:tc>
          <w:tcPr>
            <w:tcW w:w="9781"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8C1577">
              <w:rPr>
                <w:rFonts w:eastAsia="Times New Roman" w:cs="Calibri"/>
                <w:color w:val="auto"/>
                <w:sz w:val="20"/>
                <w:szCs w:val="20"/>
                <w:bdr w:val="none" w:sz="0" w:space="0" w:color="auto"/>
              </w:rPr>
              <w:t xml:space="preserve">Nota: </w:t>
            </w:r>
            <w:r>
              <w:rPr>
                <w:rFonts w:eastAsia="Times New Roman" w:cs="Calibri"/>
                <w:color w:val="auto"/>
                <w:sz w:val="20"/>
                <w:szCs w:val="20"/>
                <w:bdr w:val="none" w:sz="0" w:space="0" w:color="auto"/>
              </w:rPr>
              <w:t>i dati della Regione Sicilia risentono di ricalcoli avvenuti nell’ultima settimana.</w:t>
            </w:r>
          </w:p>
          <w:p w:rsidR="00014C7B" w:rsidRPr="00014C7B" w:rsidRDefault="00014C7B" w:rsidP="00014C7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Pr>
                <w:rFonts w:eastAsia="Times New Roman" w:cs="Calibri"/>
                <w:color w:val="auto"/>
                <w:sz w:val="20"/>
                <w:szCs w:val="20"/>
                <w:bdr w:val="none" w:sz="0" w:space="0" w:color="auto"/>
              </w:rPr>
              <w:t>N</w:t>
            </w:r>
            <w:r w:rsidRPr="00524CDB">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524CDB">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524CDB">
              <w:rPr>
                <w:rFonts w:eastAsia="Times New Roman" w:cs="Calibri"/>
                <w:color w:val="auto"/>
                <w:sz w:val="20"/>
                <w:szCs w:val="20"/>
                <w:bdr w:val="none" w:sz="0" w:space="0" w:color="auto"/>
              </w:rPr>
              <w:br/>
              <w:t>Nelle ultime 2 colonne i colori rosso e verde indicano rispettivamente un valore superiore o inferiore rispetto alla media nazionale (dati Agenas).</w:t>
            </w:r>
          </w:p>
        </w:tc>
      </w:tr>
    </w:tbl>
    <w:p w:rsidR="004D16FF" w:rsidRDefault="004D16FF" w:rsidP="004D16FF">
      <w:pPr>
        <w:spacing w:after="0" w:line="240" w:lineRule="auto"/>
      </w:pPr>
      <w:r>
        <w:br w:type="page"/>
      </w:r>
    </w:p>
    <w:p w:rsidR="004D16FF" w:rsidRPr="008955B7" w:rsidRDefault="004D16FF" w:rsidP="008955B7">
      <w:pPr>
        <w:spacing w:after="80" w:line="240" w:lineRule="auto"/>
        <w:jc w:val="center"/>
        <w:rPr>
          <w:b/>
          <w:bCs/>
          <w:color w:val="00457D"/>
          <w:sz w:val="24"/>
          <w:szCs w:val="24"/>
          <w:u w:color="00457D"/>
        </w:rPr>
      </w:pPr>
      <w:r w:rsidRPr="00F441F1">
        <w:rPr>
          <w:b/>
          <w:bCs/>
          <w:color w:val="00457D"/>
          <w:sz w:val="24"/>
          <w:szCs w:val="24"/>
          <w:u w:color="00457D"/>
        </w:rPr>
        <w:lastRenderedPageBreak/>
        <w:t>Tabella 2. Nuovi casi nell’ultima se</w:t>
      </w:r>
      <w:r w:rsidR="008955B7">
        <w:rPr>
          <w:b/>
          <w:bCs/>
          <w:color w:val="00457D"/>
          <w:sz w:val="24"/>
          <w:szCs w:val="24"/>
          <w:u w:color="00457D"/>
        </w:rPr>
        <w:t>ttimana suddivisi per provincia</w:t>
      </w:r>
    </w:p>
    <w:tbl>
      <w:tblPr>
        <w:tblStyle w:val="TableNormal"/>
        <w:tblW w:w="80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00"/>
        <w:gridCol w:w="1727"/>
      </w:tblGrid>
      <w:tr w:rsidR="00745BD1" w:rsidRPr="005672CD" w:rsidTr="004150D5">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5672CD" w:rsidRDefault="00745BD1" w:rsidP="00775550">
            <w:pPr>
              <w:spacing w:after="0" w:line="240" w:lineRule="auto"/>
              <w:rPr>
                <w:rFonts w:cs="Calibri"/>
                <w:szCs w:val="20"/>
              </w:rPr>
            </w:pPr>
            <w:r w:rsidRPr="005672CD">
              <w:rPr>
                <w:rFonts w:cs="Calibri"/>
                <w:b/>
                <w:bCs/>
                <w:color w:val="FFFFFF"/>
                <w:szCs w:val="20"/>
                <w:u w:color="FFFFFF"/>
              </w:rPr>
              <w:t>Provincia</w:t>
            </w:r>
          </w:p>
        </w:tc>
        <w:tc>
          <w:tcPr>
            <w:tcW w:w="210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5672CD" w:rsidRDefault="00745BD1" w:rsidP="004150D5">
            <w:pPr>
              <w:spacing w:after="0" w:line="240" w:lineRule="auto"/>
              <w:jc w:val="center"/>
              <w:rPr>
                <w:rFonts w:cs="Calibri"/>
                <w:szCs w:val="20"/>
              </w:rPr>
            </w:pPr>
            <w:r w:rsidRPr="005672CD">
              <w:rPr>
                <w:rFonts w:cs="Calibri"/>
                <w:b/>
                <w:bCs/>
                <w:color w:val="FFFFFF"/>
                <w:szCs w:val="20"/>
                <w:u w:color="FFFFFF"/>
              </w:rPr>
              <w:t xml:space="preserve">Nuovi casi per </w:t>
            </w:r>
            <w:r w:rsidR="00936C2E">
              <w:rPr>
                <w:rFonts w:cs="Calibri"/>
                <w:b/>
                <w:bCs/>
                <w:color w:val="FFFFFF"/>
                <w:szCs w:val="20"/>
                <w:u w:color="FFFFFF"/>
              </w:rPr>
              <w:br/>
            </w:r>
            <w:r w:rsidRPr="005672CD">
              <w:rPr>
                <w:rFonts w:cs="Calibri"/>
                <w:b/>
                <w:bCs/>
                <w:color w:val="FFFFFF"/>
                <w:szCs w:val="20"/>
                <w:u w:color="FFFFFF"/>
              </w:rPr>
              <w:t xml:space="preserve">100.000 abitanti </w:t>
            </w:r>
            <w:r>
              <w:rPr>
                <w:rFonts w:cs="Calibri"/>
                <w:b/>
                <w:bCs/>
                <w:color w:val="FFFFFF"/>
                <w:szCs w:val="20"/>
                <w:u w:color="FFFFFF"/>
              </w:rPr>
              <w:br/>
            </w:r>
            <w:r w:rsidR="004150D5">
              <w:rPr>
                <w:rFonts w:cs="Calibri"/>
                <w:b/>
                <w:bCs/>
                <w:color w:val="FFFFFF"/>
                <w:szCs w:val="20"/>
                <w:u w:color="FFFFFF"/>
              </w:rPr>
              <w:t>11-17</w:t>
            </w:r>
            <w:r w:rsidR="006013F1">
              <w:rPr>
                <w:rFonts w:cs="Calibri"/>
                <w:b/>
                <w:bCs/>
                <w:color w:val="FFFFFF"/>
                <w:szCs w:val="20"/>
                <w:u w:color="FFFFFF"/>
              </w:rPr>
              <w:t xml:space="preserve"> maggio</w:t>
            </w:r>
            <w:r>
              <w:rPr>
                <w:rFonts w:cs="Calibri"/>
                <w:b/>
                <w:bCs/>
                <w:color w:val="FFFFFF"/>
                <w:szCs w:val="20"/>
                <w:u w:color="FFFFFF"/>
              </w:rPr>
              <w:t xml:space="preserve"> 2022</w:t>
            </w:r>
          </w:p>
        </w:tc>
        <w:tc>
          <w:tcPr>
            <w:tcW w:w="172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5672CD" w:rsidRDefault="00745BD1" w:rsidP="006013F1">
            <w:pPr>
              <w:spacing w:after="0" w:line="240" w:lineRule="auto"/>
              <w:jc w:val="center"/>
              <w:rPr>
                <w:rFonts w:cs="Calibri"/>
                <w:b/>
                <w:bCs/>
                <w:color w:val="FFFFFF"/>
                <w:szCs w:val="20"/>
                <w:u w:color="FFFFFF"/>
              </w:rPr>
            </w:pPr>
            <w:r>
              <w:rPr>
                <w:rFonts w:cs="Calibri"/>
                <w:b/>
                <w:bCs/>
                <w:color w:val="FFFFFF"/>
                <w:szCs w:val="20"/>
                <w:u w:color="FFFFFF"/>
              </w:rPr>
              <w:t>Variazione % nuovi casi</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Chieti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741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-17,4%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Pescara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638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-18,5%</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Teramo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594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-22,6%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L'Aquila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531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-12,3%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Potenza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478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-20,8%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Matera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-23,1%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Crotone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603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-10,4%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Catanzaro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497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-29,0%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Cosenza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406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-22,9%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Reggio di Calabria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336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-18,2%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Vibo Valentia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-39,1%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Salerno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647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-3,3%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Avellino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588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Benevento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559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Caserta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479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Napoli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399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Bologna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537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150D5" w:rsidRDefault="004150D5" w:rsidP="004150D5">
            <w:pPr>
              <w:spacing w:after="0" w:line="240" w:lineRule="auto"/>
              <w:contextualSpacing/>
              <w:jc w:val="center"/>
              <w:rPr>
                <w:rFonts w:cs="Calibri"/>
                <w:color w:val="9C0006"/>
              </w:rPr>
            </w:pPr>
            <w:r>
              <w:rPr>
                <w:rFonts w:cs="Calibri"/>
                <w:color w:val="9C0006"/>
              </w:rPr>
              <w:t>3,2%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Parma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480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-6,8%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Reggio nell'Emilia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462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-14,1%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Ravenna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452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Modena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449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-18,0%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Rimini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420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150D5" w:rsidRDefault="004150D5" w:rsidP="004150D5">
            <w:pPr>
              <w:spacing w:after="0" w:line="240" w:lineRule="auto"/>
              <w:contextualSpacing/>
              <w:jc w:val="center"/>
              <w:rPr>
                <w:rFonts w:cs="Calibri"/>
                <w:color w:val="9C0006"/>
              </w:rPr>
            </w:pPr>
            <w:r>
              <w:rPr>
                <w:rFonts w:cs="Calibri"/>
                <w:color w:val="9C0006"/>
              </w:rPr>
              <w:t>0,4%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Forlì-Cesena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419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Ferrara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379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-16,0%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Piacenza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303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Udine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-11,6%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Trieste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-13,6%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Gorizia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306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-25,4%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Pordenone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279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-16,5%</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486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-8,7%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Frosinone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455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Latina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426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-20,9%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Roma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407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-7,2%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Viterbo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259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-24,4%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La Spezia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442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-25,9%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Imperia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385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-10,6%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Genova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363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Savona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245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-28,6%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Monza e della Brianza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366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-7,0%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Lecco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362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-23,6%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Pavia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360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-13,8%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Como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-7,4%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Brescia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-8,2%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Mantova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345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-13,3%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Milano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339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-4,6%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Lodi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-8,7%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Sondrio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315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-30,1%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Varese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298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-7,6%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Bergamo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288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-4,4%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Cremona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258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-28,1%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Ascoli Piceno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-26,0%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518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-17,2%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Macerata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498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-18,0%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Ancona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464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Pesaro e Urbino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383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-20,3%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Campobasso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-13,0%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Isernia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-26,1%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Bolzano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-10,9%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Trento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-12,8%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Biella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480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150D5" w:rsidRDefault="004150D5" w:rsidP="004150D5">
            <w:pPr>
              <w:spacing w:after="0" w:line="240" w:lineRule="auto"/>
              <w:contextualSpacing/>
              <w:jc w:val="center"/>
              <w:rPr>
                <w:rFonts w:cs="Calibri"/>
                <w:color w:val="9C0006"/>
              </w:rPr>
            </w:pPr>
            <w:r>
              <w:rPr>
                <w:rFonts w:cs="Calibri"/>
                <w:color w:val="9C0006"/>
              </w:rPr>
              <w:t>1,7%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Verbano-Cusio-Ossola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396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Vercelli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Cuneo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Torino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-10,3%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Alessandria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305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Asti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-27,4%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Novara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255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472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Lecce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444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-11,1%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Taranto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-27,0%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Brindisi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396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-27,2%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Foggia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Barletta-Andria-Trani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247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Nuoro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640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150D5" w:rsidRDefault="004150D5" w:rsidP="004150D5">
            <w:pPr>
              <w:spacing w:after="0" w:line="240" w:lineRule="auto"/>
              <w:contextualSpacing/>
              <w:jc w:val="center"/>
              <w:rPr>
                <w:rFonts w:cs="Calibri"/>
                <w:color w:val="9C0006"/>
              </w:rPr>
            </w:pPr>
            <w:r>
              <w:rPr>
                <w:rFonts w:cs="Calibri"/>
                <w:color w:val="9C0006"/>
              </w:rPr>
              <w:t>32,7%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Sud Sardegna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620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-6,2%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Cagliari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600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-3,2%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Oristano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-7,7%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Sassari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347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Siracusa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453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-18,0%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Caltanissetta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-14,2%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Ragusa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422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Messina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411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Agrigento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389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Trapani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345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-28,6%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Catania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341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-15,5%</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Palermo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-29,6%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232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-28,1%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Siena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464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-10,9%</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Massa Carrara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402</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-5,5%</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Livorno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395</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384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Grosseto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-12,8%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Lucca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369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-9,7%</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Firenze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350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-12,1%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Pistoia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347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Arezzo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337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-11,4%</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Prato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326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-16,2%</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Terni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543</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-3,3%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Perugia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494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-19,1%</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Aosta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319</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-9,6%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Padova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486</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-22,0%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Vicenza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484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-22,6%</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Treviso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438</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-23,8%</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Verona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434</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-17,3%</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430</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-21,5%</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Rovigo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427</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-25,0%</w:t>
            </w:r>
          </w:p>
        </w:tc>
      </w:tr>
      <w:tr w:rsidR="004150D5" w:rsidRPr="000D67CD" w:rsidTr="004150D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rPr>
                <w:rFonts w:cs="Calibri"/>
              </w:rPr>
            </w:pPr>
            <w:r>
              <w:rPr>
                <w:rFonts w:cs="Calibri"/>
              </w:rPr>
              <w:t>Belluno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150D5" w:rsidRDefault="004150D5" w:rsidP="004150D5">
            <w:pPr>
              <w:spacing w:after="0" w:line="240" w:lineRule="auto"/>
              <w:contextualSpacing/>
              <w:jc w:val="center"/>
              <w:rPr>
                <w:rFonts w:cs="Calibri"/>
              </w:rPr>
            </w:pPr>
            <w:r>
              <w:rPr>
                <w:rFonts w:cs="Calibri"/>
              </w:rPr>
              <w:t>371</w:t>
            </w:r>
          </w:p>
        </w:tc>
        <w:tc>
          <w:tcPr>
            <w:tcW w:w="1727" w:type="dxa"/>
            <w:tcBorders>
              <w:top w:val="single" w:sz="4" w:space="0" w:color="00457D"/>
              <w:left w:val="single" w:sz="4" w:space="0" w:color="00457D"/>
              <w:bottom w:val="single" w:sz="4" w:space="0" w:color="00457D"/>
              <w:right w:val="single" w:sz="4" w:space="0" w:color="00457D"/>
            </w:tcBorders>
            <w:shd w:val="clear" w:color="auto" w:fill="C6EFCE"/>
            <w:vAlign w:val="bottom"/>
          </w:tcPr>
          <w:p w:rsidR="004150D5" w:rsidRDefault="004150D5" w:rsidP="004150D5">
            <w:pPr>
              <w:spacing w:after="0" w:line="240" w:lineRule="auto"/>
              <w:contextualSpacing/>
              <w:jc w:val="center"/>
              <w:rPr>
                <w:rFonts w:cs="Calibri"/>
                <w:color w:val="006100"/>
              </w:rPr>
            </w:pPr>
            <w:r>
              <w:rPr>
                <w:rFonts w:cs="Calibri"/>
                <w:color w:val="006100"/>
              </w:rPr>
              <w:t>-15,6%</w:t>
            </w:r>
          </w:p>
        </w:tc>
      </w:tr>
      <w:tr w:rsidR="00D91289" w:rsidRPr="005672CD" w:rsidTr="004150D5">
        <w:tblPrEx>
          <w:shd w:val="clear" w:color="auto" w:fill="CDD4E9"/>
        </w:tblPrEx>
        <w:trPr>
          <w:trHeight w:val="567"/>
          <w:jc w:val="center"/>
        </w:trPr>
        <w:tc>
          <w:tcPr>
            <w:tcW w:w="8075"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rsidR="00D91289" w:rsidRDefault="002B5E81" w:rsidP="006013F1">
            <w:pPr>
              <w:spacing w:after="0" w:line="240" w:lineRule="auto"/>
              <w:contextualSpacing/>
              <w:rPr>
                <w:rFonts w:cs="Calibri"/>
              </w:rPr>
            </w:pPr>
            <w:r w:rsidRPr="00120F46">
              <w:rPr>
                <w:rFonts w:eastAsia="Times New Roman" w:cs="Calibri"/>
                <w:color w:val="auto"/>
                <w:sz w:val="20"/>
                <w:szCs w:val="20"/>
                <w:bdr w:val="none" w:sz="0" w:space="0" w:color="auto"/>
              </w:rPr>
              <w:t xml:space="preserve">Nella </w:t>
            </w:r>
            <w:r>
              <w:rPr>
                <w:rFonts w:eastAsia="Times New Roman" w:cs="Calibri"/>
                <w:color w:val="auto"/>
                <w:sz w:val="20"/>
                <w:szCs w:val="20"/>
                <w:bdr w:val="none" w:sz="0" w:space="0" w:color="auto"/>
              </w:rPr>
              <w:t>quarta</w:t>
            </w:r>
            <w:r w:rsidRPr="00120F46">
              <w:rPr>
                <w:rFonts w:eastAsia="Times New Roman" w:cs="Calibri"/>
                <w:color w:val="auto"/>
                <w:sz w:val="20"/>
                <w:szCs w:val="20"/>
                <w:bdr w:val="none" w:sz="0" w:space="0" w:color="auto"/>
              </w:rPr>
              <w:t xml:space="preserve"> colonna </w:t>
            </w:r>
            <w:r>
              <w:rPr>
                <w:rFonts w:eastAsia="Times New Roman" w:cs="Calibri"/>
                <w:color w:val="auto"/>
                <w:sz w:val="20"/>
                <w:szCs w:val="20"/>
                <w:bdr w:val="none" w:sz="0" w:space="0" w:color="auto"/>
              </w:rPr>
              <w:t xml:space="preserve">i colori </w:t>
            </w:r>
            <w:r w:rsidRPr="00120F46">
              <w:rPr>
                <w:rFonts w:eastAsia="Times New Roman" w:cs="Calibri"/>
                <w:color w:val="auto"/>
                <w:sz w:val="20"/>
                <w:szCs w:val="20"/>
                <w:bdr w:val="none" w:sz="0" w:space="0" w:color="auto"/>
              </w:rPr>
              <w:t>rosso e verde indicano rispettivamente un aumento o una diminuzione</w:t>
            </w:r>
            <w:r>
              <w:rPr>
                <w:rFonts w:eastAsia="Times New Roman" w:cs="Calibri"/>
                <w:color w:val="auto"/>
                <w:sz w:val="20"/>
                <w:szCs w:val="20"/>
                <w:bdr w:val="none" w:sz="0" w:space="0" w:color="auto"/>
              </w:rPr>
              <w:t xml:space="preserve"> percentuale dei</w:t>
            </w:r>
            <w:r w:rsidRPr="00120F46">
              <w:rPr>
                <w:rFonts w:eastAsia="Times New Roman" w:cs="Calibri"/>
                <w:color w:val="auto"/>
                <w:sz w:val="20"/>
                <w:szCs w:val="20"/>
                <w:bdr w:val="none" w:sz="0" w:space="0" w:color="auto"/>
              </w:rPr>
              <w:t xml:space="preserve"> nuovi casi rispetto alla settimana precedente.</w:t>
            </w:r>
          </w:p>
        </w:tc>
      </w:tr>
    </w:tbl>
    <w:p w:rsidR="0080409E" w:rsidRPr="00234B97" w:rsidRDefault="0080409E" w:rsidP="004D16FF"/>
    <w:p w:rsidR="00764162" w:rsidRPr="005672CD" w:rsidRDefault="00764162"/>
    <w:p w:rsidR="005E38B7" w:rsidRDefault="005E38B7" w:rsidP="005E38B7">
      <w:pPr>
        <w:widowControl w:val="0"/>
        <w:spacing w:after="80" w:line="240" w:lineRule="auto"/>
        <w:jc w:val="center"/>
      </w:pPr>
    </w:p>
    <w:p w:rsidR="005E38B7" w:rsidRPr="00234B97" w:rsidRDefault="005E38B7"/>
    <w:sectPr w:rsidR="005E38B7" w:rsidRPr="00234B97" w:rsidSect="005B4AE1">
      <w:pgSz w:w="11900" w:h="16840"/>
      <w:pgMar w:top="1134" w:right="1134" w:bottom="1418" w:left="1134" w:header="709" w:footer="709"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ED600" w16cex:dateUtc="2022-03-30T10:09:00Z"/>
  <w16cex:commentExtensible w16cex:durableId="25EED934" w16cex:dateUtc="2022-03-30T11:27:00Z"/>
  <w16cex:commentExtensible w16cex:durableId="25EED601" w16cex:dateUtc="2022-03-30T10:20:00Z"/>
  <w16cex:commentExtensible w16cex:durableId="25EED969" w16cex:dateUtc="2022-03-30T11:28:00Z"/>
  <w16cex:commentExtensible w16cex:durableId="25EED602" w16cex:dateUtc="2022-03-30T10:11:00Z"/>
  <w16cex:commentExtensible w16cex:durableId="25EED991" w16cex:dateUtc="2022-03-30T11:28:00Z"/>
  <w16cex:commentExtensible w16cex:durableId="25EED603" w16cex:dateUtc="2022-03-30T10:11:00Z"/>
  <w16cex:commentExtensible w16cex:durableId="25EED9B7" w16cex:dateUtc="2022-03-30T11:29:00Z"/>
  <w16cex:commentExtensible w16cex:durableId="25EEDA89" w16cex:dateUtc="2022-03-30T11:32:00Z"/>
  <w16cex:commentExtensible w16cex:durableId="25EED604" w16cex:dateUtc="2022-03-30T09:56:00Z"/>
  <w16cex:commentExtensible w16cex:durableId="25EEDAD0" w16cex:dateUtc="2022-03-30T11:34:00Z"/>
  <w16cex:commentExtensible w16cex:durableId="25EED605" w16cex:dateUtc="2022-03-30T10:29:00Z"/>
  <w16cex:commentExtensible w16cex:durableId="25EED606" w16cex:dateUtc="2022-03-30T10:13:00Z"/>
  <w16cex:commentExtensible w16cex:durableId="25EEDAF7" w16cex:dateUtc="2022-03-30T11:34:00Z"/>
  <w16cex:commentExtensible w16cex:durableId="25EED607" w16cex:dateUtc="2022-03-30T10:15:00Z"/>
  <w16cex:commentExtensible w16cex:durableId="25EEDB0A" w16cex:dateUtc="2022-03-30T11:35:00Z"/>
  <w16cex:commentExtensible w16cex:durableId="25EED608" w16cex:dateUtc="2022-03-30T11:09:00Z"/>
  <w16cex:commentExtensible w16cex:durableId="25EED609" w16cex:dateUtc="2022-03-30T11:04:00Z"/>
  <w16cex:commentExtensible w16cex:durableId="25EED60A" w16cex:dateUtc="2022-03-30T11:01:00Z"/>
  <w16cex:commentExtensible w16cex:durableId="25EEDB30" w16cex:dateUtc="2022-03-30T11: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56" w:rsidRDefault="008A7F56">
      <w:pPr>
        <w:spacing w:after="0" w:line="240" w:lineRule="auto"/>
      </w:pPr>
      <w:r>
        <w:separator/>
      </w:r>
    </w:p>
  </w:endnote>
  <w:endnote w:type="continuationSeparator" w:id="0">
    <w:p w:rsidR="008A7F56" w:rsidRDefault="008A7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56" w:rsidRDefault="008A7F56">
      <w:pPr>
        <w:spacing w:after="0" w:line="240" w:lineRule="auto"/>
      </w:pPr>
      <w:r>
        <w:separator/>
      </w:r>
    </w:p>
  </w:footnote>
  <w:footnote w:type="continuationSeparator" w:id="0">
    <w:p w:rsidR="008A7F56" w:rsidRDefault="008A7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10"/>
  </w:num>
  <w:num w:numId="5">
    <w:abstractNumId w:val="3"/>
  </w:num>
  <w:num w:numId="6">
    <w:abstractNumId w:val="6"/>
  </w:num>
  <w:num w:numId="7">
    <w:abstractNumId w:val="2"/>
  </w:num>
  <w:num w:numId="8">
    <w:abstractNumId w:val="8"/>
  </w:num>
  <w:num w:numId="9">
    <w:abstractNumId w:val="9"/>
  </w:num>
  <w:num w:numId="10">
    <w:abstractNumId w:val="7"/>
  </w:num>
  <w:num w:numId="11">
    <w:abstractNumId w:val="5"/>
  </w:num>
  <w:num w:numId="12">
    <w:abstractNumId w:val="11"/>
  </w:num>
  <w:num w:numId="1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4385"/>
    <w:rsid w:val="00014C7B"/>
    <w:rsid w:val="00015574"/>
    <w:rsid w:val="00015BAE"/>
    <w:rsid w:val="00016690"/>
    <w:rsid w:val="00017890"/>
    <w:rsid w:val="0002043C"/>
    <w:rsid w:val="000206F4"/>
    <w:rsid w:val="0002125E"/>
    <w:rsid w:val="00021C19"/>
    <w:rsid w:val="000222A5"/>
    <w:rsid w:val="00023784"/>
    <w:rsid w:val="00024C2D"/>
    <w:rsid w:val="0002522B"/>
    <w:rsid w:val="00026518"/>
    <w:rsid w:val="00026849"/>
    <w:rsid w:val="00027033"/>
    <w:rsid w:val="000276DE"/>
    <w:rsid w:val="000300C2"/>
    <w:rsid w:val="00030535"/>
    <w:rsid w:val="0003144B"/>
    <w:rsid w:val="00031CD6"/>
    <w:rsid w:val="00032112"/>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E7E"/>
    <w:rsid w:val="00043C39"/>
    <w:rsid w:val="00044665"/>
    <w:rsid w:val="00044ABB"/>
    <w:rsid w:val="00044C9B"/>
    <w:rsid w:val="00044EB9"/>
    <w:rsid w:val="000453E7"/>
    <w:rsid w:val="0004577B"/>
    <w:rsid w:val="00046B65"/>
    <w:rsid w:val="00047BCE"/>
    <w:rsid w:val="0005001A"/>
    <w:rsid w:val="00051038"/>
    <w:rsid w:val="0005206B"/>
    <w:rsid w:val="000523C5"/>
    <w:rsid w:val="00052578"/>
    <w:rsid w:val="000531D1"/>
    <w:rsid w:val="000542D3"/>
    <w:rsid w:val="0005433B"/>
    <w:rsid w:val="00054A26"/>
    <w:rsid w:val="00054D1D"/>
    <w:rsid w:val="000552E2"/>
    <w:rsid w:val="0005670B"/>
    <w:rsid w:val="00056C03"/>
    <w:rsid w:val="000572F4"/>
    <w:rsid w:val="00057324"/>
    <w:rsid w:val="0005772C"/>
    <w:rsid w:val="00057C36"/>
    <w:rsid w:val="00057E5F"/>
    <w:rsid w:val="00057F3D"/>
    <w:rsid w:val="0006040F"/>
    <w:rsid w:val="00060FAC"/>
    <w:rsid w:val="00061647"/>
    <w:rsid w:val="00061D4E"/>
    <w:rsid w:val="00062223"/>
    <w:rsid w:val="000625F5"/>
    <w:rsid w:val="00063092"/>
    <w:rsid w:val="00063723"/>
    <w:rsid w:val="0006525F"/>
    <w:rsid w:val="000653E7"/>
    <w:rsid w:val="0006599B"/>
    <w:rsid w:val="00065C95"/>
    <w:rsid w:val="00066602"/>
    <w:rsid w:val="0006669C"/>
    <w:rsid w:val="00067039"/>
    <w:rsid w:val="000673B6"/>
    <w:rsid w:val="00067B8B"/>
    <w:rsid w:val="00071568"/>
    <w:rsid w:val="00071A13"/>
    <w:rsid w:val="00071C3B"/>
    <w:rsid w:val="0007243C"/>
    <w:rsid w:val="00072AFD"/>
    <w:rsid w:val="00072C04"/>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4F9"/>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9B8"/>
    <w:rsid w:val="000A422E"/>
    <w:rsid w:val="000A57A1"/>
    <w:rsid w:val="000A6581"/>
    <w:rsid w:val="000A6DB2"/>
    <w:rsid w:val="000A72BA"/>
    <w:rsid w:val="000A7DDA"/>
    <w:rsid w:val="000A7E95"/>
    <w:rsid w:val="000A7EA7"/>
    <w:rsid w:val="000B0339"/>
    <w:rsid w:val="000B0548"/>
    <w:rsid w:val="000B0AC0"/>
    <w:rsid w:val="000B119C"/>
    <w:rsid w:val="000B1B66"/>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7B4"/>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A1A"/>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14E8"/>
    <w:rsid w:val="00101803"/>
    <w:rsid w:val="00101EE1"/>
    <w:rsid w:val="00102089"/>
    <w:rsid w:val="001022BC"/>
    <w:rsid w:val="00102EF5"/>
    <w:rsid w:val="00103B2C"/>
    <w:rsid w:val="0010442F"/>
    <w:rsid w:val="001047B6"/>
    <w:rsid w:val="00104974"/>
    <w:rsid w:val="00104B88"/>
    <w:rsid w:val="00104DDA"/>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E10"/>
    <w:rsid w:val="001203E4"/>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938"/>
    <w:rsid w:val="00126C0E"/>
    <w:rsid w:val="00127096"/>
    <w:rsid w:val="00127307"/>
    <w:rsid w:val="00127892"/>
    <w:rsid w:val="001304B0"/>
    <w:rsid w:val="0013062E"/>
    <w:rsid w:val="0013077F"/>
    <w:rsid w:val="00130B71"/>
    <w:rsid w:val="00131B77"/>
    <w:rsid w:val="00131B83"/>
    <w:rsid w:val="00131BD2"/>
    <w:rsid w:val="001324D5"/>
    <w:rsid w:val="00132966"/>
    <w:rsid w:val="00132BF8"/>
    <w:rsid w:val="001343AE"/>
    <w:rsid w:val="00134D05"/>
    <w:rsid w:val="00135006"/>
    <w:rsid w:val="00135D77"/>
    <w:rsid w:val="00135DBC"/>
    <w:rsid w:val="00136581"/>
    <w:rsid w:val="001367B8"/>
    <w:rsid w:val="001378AD"/>
    <w:rsid w:val="0014031D"/>
    <w:rsid w:val="001410D3"/>
    <w:rsid w:val="0014184C"/>
    <w:rsid w:val="00141D1E"/>
    <w:rsid w:val="00141E72"/>
    <w:rsid w:val="00141F0A"/>
    <w:rsid w:val="00141F2F"/>
    <w:rsid w:val="00142677"/>
    <w:rsid w:val="001429C0"/>
    <w:rsid w:val="001434A9"/>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7CBE"/>
    <w:rsid w:val="00157E6E"/>
    <w:rsid w:val="00157F8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234"/>
    <w:rsid w:val="00176590"/>
    <w:rsid w:val="00176B1E"/>
    <w:rsid w:val="00177874"/>
    <w:rsid w:val="001803BE"/>
    <w:rsid w:val="0018079D"/>
    <w:rsid w:val="00181994"/>
    <w:rsid w:val="00181F5C"/>
    <w:rsid w:val="00182713"/>
    <w:rsid w:val="0018288F"/>
    <w:rsid w:val="00183B21"/>
    <w:rsid w:val="00183FA3"/>
    <w:rsid w:val="00184068"/>
    <w:rsid w:val="00184E2C"/>
    <w:rsid w:val="00185D5F"/>
    <w:rsid w:val="00186142"/>
    <w:rsid w:val="00186853"/>
    <w:rsid w:val="00186E2D"/>
    <w:rsid w:val="00186FBE"/>
    <w:rsid w:val="001876F5"/>
    <w:rsid w:val="00187EBF"/>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7237"/>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F73"/>
    <w:rsid w:val="001B51CC"/>
    <w:rsid w:val="001B5BA0"/>
    <w:rsid w:val="001B71EA"/>
    <w:rsid w:val="001B723C"/>
    <w:rsid w:val="001B75D8"/>
    <w:rsid w:val="001C0240"/>
    <w:rsid w:val="001C0EBF"/>
    <w:rsid w:val="001C167C"/>
    <w:rsid w:val="001C3537"/>
    <w:rsid w:val="001C3B3C"/>
    <w:rsid w:val="001C3D01"/>
    <w:rsid w:val="001C3E66"/>
    <w:rsid w:val="001C5BEA"/>
    <w:rsid w:val="001C6ED6"/>
    <w:rsid w:val="001C70B3"/>
    <w:rsid w:val="001C7926"/>
    <w:rsid w:val="001C7E16"/>
    <w:rsid w:val="001D0234"/>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FB2"/>
    <w:rsid w:val="001E2196"/>
    <w:rsid w:val="001E2453"/>
    <w:rsid w:val="001E297F"/>
    <w:rsid w:val="001E3B61"/>
    <w:rsid w:val="001E4641"/>
    <w:rsid w:val="001E4724"/>
    <w:rsid w:val="001E481E"/>
    <w:rsid w:val="001E49E6"/>
    <w:rsid w:val="001E509A"/>
    <w:rsid w:val="001E5259"/>
    <w:rsid w:val="001E5653"/>
    <w:rsid w:val="001E5977"/>
    <w:rsid w:val="001E6262"/>
    <w:rsid w:val="001E7AB9"/>
    <w:rsid w:val="001E7D8F"/>
    <w:rsid w:val="001F00E4"/>
    <w:rsid w:val="001F0985"/>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68D"/>
    <w:rsid w:val="001F67CE"/>
    <w:rsid w:val="001F6835"/>
    <w:rsid w:val="001F7135"/>
    <w:rsid w:val="001F7366"/>
    <w:rsid w:val="001F7612"/>
    <w:rsid w:val="00200400"/>
    <w:rsid w:val="002006FB"/>
    <w:rsid w:val="002008E2"/>
    <w:rsid w:val="00200DB8"/>
    <w:rsid w:val="00201768"/>
    <w:rsid w:val="00201D62"/>
    <w:rsid w:val="0020223B"/>
    <w:rsid w:val="00202793"/>
    <w:rsid w:val="00202D0A"/>
    <w:rsid w:val="00204993"/>
    <w:rsid w:val="00204D79"/>
    <w:rsid w:val="002059AE"/>
    <w:rsid w:val="00205B01"/>
    <w:rsid w:val="0020699D"/>
    <w:rsid w:val="00207D85"/>
    <w:rsid w:val="00207EFE"/>
    <w:rsid w:val="00210040"/>
    <w:rsid w:val="002101D9"/>
    <w:rsid w:val="00210AF9"/>
    <w:rsid w:val="00211923"/>
    <w:rsid w:val="00211CA6"/>
    <w:rsid w:val="002122FF"/>
    <w:rsid w:val="002127CE"/>
    <w:rsid w:val="002127D1"/>
    <w:rsid w:val="00212F66"/>
    <w:rsid w:val="00213464"/>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AD6"/>
    <w:rsid w:val="00234B97"/>
    <w:rsid w:val="00234E8A"/>
    <w:rsid w:val="002351A0"/>
    <w:rsid w:val="00235552"/>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535"/>
    <w:rsid w:val="00243949"/>
    <w:rsid w:val="0024483B"/>
    <w:rsid w:val="00244983"/>
    <w:rsid w:val="00245030"/>
    <w:rsid w:val="00245DC3"/>
    <w:rsid w:val="00246244"/>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613"/>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549"/>
    <w:rsid w:val="002A264E"/>
    <w:rsid w:val="002A2883"/>
    <w:rsid w:val="002A300B"/>
    <w:rsid w:val="002A35BD"/>
    <w:rsid w:val="002A407A"/>
    <w:rsid w:val="002A4098"/>
    <w:rsid w:val="002A4857"/>
    <w:rsid w:val="002A50E7"/>
    <w:rsid w:val="002A53C2"/>
    <w:rsid w:val="002A62EC"/>
    <w:rsid w:val="002A6F90"/>
    <w:rsid w:val="002A7BEE"/>
    <w:rsid w:val="002B0423"/>
    <w:rsid w:val="002B0A30"/>
    <w:rsid w:val="002B0ADF"/>
    <w:rsid w:val="002B20E2"/>
    <w:rsid w:val="002B2371"/>
    <w:rsid w:val="002B2CCB"/>
    <w:rsid w:val="002B3E49"/>
    <w:rsid w:val="002B3EF3"/>
    <w:rsid w:val="002B47C0"/>
    <w:rsid w:val="002B4F83"/>
    <w:rsid w:val="002B50C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4065"/>
    <w:rsid w:val="002F4AE2"/>
    <w:rsid w:val="002F5606"/>
    <w:rsid w:val="002F58DD"/>
    <w:rsid w:val="002F6010"/>
    <w:rsid w:val="002F60B6"/>
    <w:rsid w:val="002F6277"/>
    <w:rsid w:val="002F6530"/>
    <w:rsid w:val="002F6D59"/>
    <w:rsid w:val="002F6DDF"/>
    <w:rsid w:val="002F76B6"/>
    <w:rsid w:val="002F7E69"/>
    <w:rsid w:val="002F7EF9"/>
    <w:rsid w:val="00300770"/>
    <w:rsid w:val="00301555"/>
    <w:rsid w:val="00301A05"/>
    <w:rsid w:val="00301F67"/>
    <w:rsid w:val="00302173"/>
    <w:rsid w:val="00302774"/>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817"/>
    <w:rsid w:val="00320D4F"/>
    <w:rsid w:val="00320D92"/>
    <w:rsid w:val="00321347"/>
    <w:rsid w:val="00321CCA"/>
    <w:rsid w:val="00321D29"/>
    <w:rsid w:val="00322491"/>
    <w:rsid w:val="00322631"/>
    <w:rsid w:val="00322C39"/>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D4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ED4"/>
    <w:rsid w:val="0036518B"/>
    <w:rsid w:val="00365280"/>
    <w:rsid w:val="0036535A"/>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87ED6"/>
    <w:rsid w:val="003908B8"/>
    <w:rsid w:val="00390F8F"/>
    <w:rsid w:val="00391515"/>
    <w:rsid w:val="00391BD8"/>
    <w:rsid w:val="00391D3F"/>
    <w:rsid w:val="00392041"/>
    <w:rsid w:val="003920FB"/>
    <w:rsid w:val="0039217B"/>
    <w:rsid w:val="0039246E"/>
    <w:rsid w:val="003924CD"/>
    <w:rsid w:val="003932D6"/>
    <w:rsid w:val="0039345B"/>
    <w:rsid w:val="0039365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53A4"/>
    <w:rsid w:val="003B5F29"/>
    <w:rsid w:val="003B632B"/>
    <w:rsid w:val="003B6B24"/>
    <w:rsid w:val="003B6F85"/>
    <w:rsid w:val="003B720F"/>
    <w:rsid w:val="003C0321"/>
    <w:rsid w:val="003C0756"/>
    <w:rsid w:val="003C0BF8"/>
    <w:rsid w:val="003C0C5D"/>
    <w:rsid w:val="003C1341"/>
    <w:rsid w:val="003C17AF"/>
    <w:rsid w:val="003C186F"/>
    <w:rsid w:val="003C1BE8"/>
    <w:rsid w:val="003C1DF7"/>
    <w:rsid w:val="003C2801"/>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B8"/>
    <w:rsid w:val="003E5D4D"/>
    <w:rsid w:val="003E5E24"/>
    <w:rsid w:val="003E609A"/>
    <w:rsid w:val="003E6288"/>
    <w:rsid w:val="003E6CDA"/>
    <w:rsid w:val="003E6CFB"/>
    <w:rsid w:val="003E6E27"/>
    <w:rsid w:val="003E6F3B"/>
    <w:rsid w:val="003E77B8"/>
    <w:rsid w:val="003F042E"/>
    <w:rsid w:val="003F07EE"/>
    <w:rsid w:val="003F0B7E"/>
    <w:rsid w:val="003F0EDE"/>
    <w:rsid w:val="003F1259"/>
    <w:rsid w:val="003F1D57"/>
    <w:rsid w:val="003F1E58"/>
    <w:rsid w:val="003F2282"/>
    <w:rsid w:val="003F23CF"/>
    <w:rsid w:val="003F26A1"/>
    <w:rsid w:val="003F28D2"/>
    <w:rsid w:val="003F2987"/>
    <w:rsid w:val="003F2CF1"/>
    <w:rsid w:val="003F3D44"/>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BFD"/>
    <w:rsid w:val="0043242C"/>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264D"/>
    <w:rsid w:val="004428D2"/>
    <w:rsid w:val="00442D9F"/>
    <w:rsid w:val="00443A0B"/>
    <w:rsid w:val="00443AF2"/>
    <w:rsid w:val="00443F5B"/>
    <w:rsid w:val="004445AB"/>
    <w:rsid w:val="00444814"/>
    <w:rsid w:val="00444CD7"/>
    <w:rsid w:val="00444DCE"/>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2A52"/>
    <w:rsid w:val="00463915"/>
    <w:rsid w:val="004642E7"/>
    <w:rsid w:val="004649D9"/>
    <w:rsid w:val="00464CCF"/>
    <w:rsid w:val="00465094"/>
    <w:rsid w:val="00465213"/>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70F1"/>
    <w:rsid w:val="0047724F"/>
    <w:rsid w:val="00477725"/>
    <w:rsid w:val="0047778D"/>
    <w:rsid w:val="004777C6"/>
    <w:rsid w:val="00477B91"/>
    <w:rsid w:val="00477E2C"/>
    <w:rsid w:val="00477F83"/>
    <w:rsid w:val="0048071C"/>
    <w:rsid w:val="00480E53"/>
    <w:rsid w:val="004813DC"/>
    <w:rsid w:val="00481B8E"/>
    <w:rsid w:val="00481C78"/>
    <w:rsid w:val="004821B7"/>
    <w:rsid w:val="004824DB"/>
    <w:rsid w:val="0048254D"/>
    <w:rsid w:val="0048276B"/>
    <w:rsid w:val="00482785"/>
    <w:rsid w:val="00482E79"/>
    <w:rsid w:val="0048371B"/>
    <w:rsid w:val="00483722"/>
    <w:rsid w:val="00483C7A"/>
    <w:rsid w:val="00483FB7"/>
    <w:rsid w:val="0048430C"/>
    <w:rsid w:val="0048493A"/>
    <w:rsid w:val="00484A42"/>
    <w:rsid w:val="00485372"/>
    <w:rsid w:val="00485811"/>
    <w:rsid w:val="004858C1"/>
    <w:rsid w:val="004865A6"/>
    <w:rsid w:val="004867DF"/>
    <w:rsid w:val="00486DBE"/>
    <w:rsid w:val="0048730A"/>
    <w:rsid w:val="0048747E"/>
    <w:rsid w:val="004875F7"/>
    <w:rsid w:val="0048771D"/>
    <w:rsid w:val="00490739"/>
    <w:rsid w:val="00490CAB"/>
    <w:rsid w:val="0049135C"/>
    <w:rsid w:val="00491484"/>
    <w:rsid w:val="004919DD"/>
    <w:rsid w:val="004920AE"/>
    <w:rsid w:val="0049213B"/>
    <w:rsid w:val="0049218A"/>
    <w:rsid w:val="004921A6"/>
    <w:rsid w:val="0049267B"/>
    <w:rsid w:val="004929EF"/>
    <w:rsid w:val="00492A5B"/>
    <w:rsid w:val="00492C7A"/>
    <w:rsid w:val="00493216"/>
    <w:rsid w:val="004939F2"/>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AA5"/>
    <w:rsid w:val="004B102C"/>
    <w:rsid w:val="004B1639"/>
    <w:rsid w:val="004B1E0F"/>
    <w:rsid w:val="004B248A"/>
    <w:rsid w:val="004B316D"/>
    <w:rsid w:val="004B3E0A"/>
    <w:rsid w:val="004B3EBB"/>
    <w:rsid w:val="004B4ECE"/>
    <w:rsid w:val="004B512D"/>
    <w:rsid w:val="004B5C6E"/>
    <w:rsid w:val="004B5CB6"/>
    <w:rsid w:val="004B6438"/>
    <w:rsid w:val="004B6A39"/>
    <w:rsid w:val="004B6B3C"/>
    <w:rsid w:val="004B6DC2"/>
    <w:rsid w:val="004B7A79"/>
    <w:rsid w:val="004C0E6D"/>
    <w:rsid w:val="004C18D7"/>
    <w:rsid w:val="004C3357"/>
    <w:rsid w:val="004C465D"/>
    <w:rsid w:val="004C59D8"/>
    <w:rsid w:val="004C62E3"/>
    <w:rsid w:val="004C68B9"/>
    <w:rsid w:val="004C70BD"/>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A97"/>
    <w:rsid w:val="004D2E6B"/>
    <w:rsid w:val="004D3112"/>
    <w:rsid w:val="004D39E9"/>
    <w:rsid w:val="004D3C41"/>
    <w:rsid w:val="004D3CD7"/>
    <w:rsid w:val="004D3DFD"/>
    <w:rsid w:val="004D49EC"/>
    <w:rsid w:val="004D4C65"/>
    <w:rsid w:val="004D52D6"/>
    <w:rsid w:val="004D5525"/>
    <w:rsid w:val="004D562D"/>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506C"/>
    <w:rsid w:val="004E555F"/>
    <w:rsid w:val="004E6084"/>
    <w:rsid w:val="004E61A3"/>
    <w:rsid w:val="004E6816"/>
    <w:rsid w:val="004E6C61"/>
    <w:rsid w:val="004E7F6E"/>
    <w:rsid w:val="004F00F6"/>
    <w:rsid w:val="004F0669"/>
    <w:rsid w:val="004F07A7"/>
    <w:rsid w:val="004F0A9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6825"/>
    <w:rsid w:val="0050695E"/>
    <w:rsid w:val="00506BF3"/>
    <w:rsid w:val="00507572"/>
    <w:rsid w:val="00510F4E"/>
    <w:rsid w:val="005110E4"/>
    <w:rsid w:val="00511BFE"/>
    <w:rsid w:val="00512377"/>
    <w:rsid w:val="00513024"/>
    <w:rsid w:val="00513780"/>
    <w:rsid w:val="00514887"/>
    <w:rsid w:val="00514F57"/>
    <w:rsid w:val="00515A0B"/>
    <w:rsid w:val="00516521"/>
    <w:rsid w:val="00516F1E"/>
    <w:rsid w:val="00517884"/>
    <w:rsid w:val="005200F6"/>
    <w:rsid w:val="005200FB"/>
    <w:rsid w:val="005206D7"/>
    <w:rsid w:val="005207B1"/>
    <w:rsid w:val="00520CC0"/>
    <w:rsid w:val="00521427"/>
    <w:rsid w:val="00521485"/>
    <w:rsid w:val="005216C3"/>
    <w:rsid w:val="005223FE"/>
    <w:rsid w:val="005236EA"/>
    <w:rsid w:val="005239E5"/>
    <w:rsid w:val="00524CDB"/>
    <w:rsid w:val="00525431"/>
    <w:rsid w:val="005265EC"/>
    <w:rsid w:val="005268E4"/>
    <w:rsid w:val="00526970"/>
    <w:rsid w:val="00526D10"/>
    <w:rsid w:val="00526D94"/>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26"/>
    <w:rsid w:val="00536DC0"/>
    <w:rsid w:val="00537521"/>
    <w:rsid w:val="005378B1"/>
    <w:rsid w:val="00540EB3"/>
    <w:rsid w:val="005416FD"/>
    <w:rsid w:val="0054238C"/>
    <w:rsid w:val="00542585"/>
    <w:rsid w:val="0054316E"/>
    <w:rsid w:val="00544321"/>
    <w:rsid w:val="00544794"/>
    <w:rsid w:val="00544A7D"/>
    <w:rsid w:val="00545404"/>
    <w:rsid w:val="005455CA"/>
    <w:rsid w:val="00547203"/>
    <w:rsid w:val="00547B69"/>
    <w:rsid w:val="00547F28"/>
    <w:rsid w:val="00550D02"/>
    <w:rsid w:val="00551283"/>
    <w:rsid w:val="00551C90"/>
    <w:rsid w:val="005521C0"/>
    <w:rsid w:val="00552753"/>
    <w:rsid w:val="00553106"/>
    <w:rsid w:val="00553823"/>
    <w:rsid w:val="00553D22"/>
    <w:rsid w:val="00553FF4"/>
    <w:rsid w:val="005549FE"/>
    <w:rsid w:val="00554C0B"/>
    <w:rsid w:val="00554F5B"/>
    <w:rsid w:val="00555BDA"/>
    <w:rsid w:val="00555D82"/>
    <w:rsid w:val="005568AB"/>
    <w:rsid w:val="00557000"/>
    <w:rsid w:val="005574C5"/>
    <w:rsid w:val="0055798A"/>
    <w:rsid w:val="00557ACD"/>
    <w:rsid w:val="00557FA5"/>
    <w:rsid w:val="0056003D"/>
    <w:rsid w:val="00560DC0"/>
    <w:rsid w:val="00561D9B"/>
    <w:rsid w:val="00562977"/>
    <w:rsid w:val="0056300B"/>
    <w:rsid w:val="00563184"/>
    <w:rsid w:val="005644D5"/>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BAE"/>
    <w:rsid w:val="00583951"/>
    <w:rsid w:val="00584564"/>
    <w:rsid w:val="00584F59"/>
    <w:rsid w:val="0058585F"/>
    <w:rsid w:val="00585ADD"/>
    <w:rsid w:val="00585B70"/>
    <w:rsid w:val="005862A2"/>
    <w:rsid w:val="0058640B"/>
    <w:rsid w:val="00586DA6"/>
    <w:rsid w:val="005870B9"/>
    <w:rsid w:val="0058746E"/>
    <w:rsid w:val="00587698"/>
    <w:rsid w:val="0058785D"/>
    <w:rsid w:val="00590266"/>
    <w:rsid w:val="005906F8"/>
    <w:rsid w:val="005912B5"/>
    <w:rsid w:val="005913E3"/>
    <w:rsid w:val="00592B6E"/>
    <w:rsid w:val="0059338C"/>
    <w:rsid w:val="00594286"/>
    <w:rsid w:val="005943D6"/>
    <w:rsid w:val="00594D45"/>
    <w:rsid w:val="00594D89"/>
    <w:rsid w:val="00594FA3"/>
    <w:rsid w:val="0059524A"/>
    <w:rsid w:val="00595E1C"/>
    <w:rsid w:val="00595E53"/>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1496"/>
    <w:rsid w:val="005D1676"/>
    <w:rsid w:val="005D18C9"/>
    <w:rsid w:val="005D1A29"/>
    <w:rsid w:val="005D1D1E"/>
    <w:rsid w:val="005D1E21"/>
    <w:rsid w:val="005D214D"/>
    <w:rsid w:val="005D3686"/>
    <w:rsid w:val="005D5B02"/>
    <w:rsid w:val="005D5D21"/>
    <w:rsid w:val="005D5E08"/>
    <w:rsid w:val="005D5E18"/>
    <w:rsid w:val="005D63FA"/>
    <w:rsid w:val="005D750D"/>
    <w:rsid w:val="005E0753"/>
    <w:rsid w:val="005E0815"/>
    <w:rsid w:val="005E0EA1"/>
    <w:rsid w:val="005E19B1"/>
    <w:rsid w:val="005E19F0"/>
    <w:rsid w:val="005E1B40"/>
    <w:rsid w:val="005E236E"/>
    <w:rsid w:val="005E23F3"/>
    <w:rsid w:val="005E26E5"/>
    <w:rsid w:val="005E375E"/>
    <w:rsid w:val="005E38B7"/>
    <w:rsid w:val="005E3BF0"/>
    <w:rsid w:val="005E3CC5"/>
    <w:rsid w:val="005E411F"/>
    <w:rsid w:val="005E4188"/>
    <w:rsid w:val="005E5FFA"/>
    <w:rsid w:val="005E7D0A"/>
    <w:rsid w:val="005E7ECA"/>
    <w:rsid w:val="005E7EE5"/>
    <w:rsid w:val="005F08A7"/>
    <w:rsid w:val="005F14E1"/>
    <w:rsid w:val="005F1683"/>
    <w:rsid w:val="005F172A"/>
    <w:rsid w:val="005F1AA6"/>
    <w:rsid w:val="005F1BEA"/>
    <w:rsid w:val="005F1C90"/>
    <w:rsid w:val="005F25FD"/>
    <w:rsid w:val="005F2C47"/>
    <w:rsid w:val="005F3757"/>
    <w:rsid w:val="005F423E"/>
    <w:rsid w:val="005F43B2"/>
    <w:rsid w:val="005F47B7"/>
    <w:rsid w:val="005F493D"/>
    <w:rsid w:val="005F4AAD"/>
    <w:rsid w:val="005F5079"/>
    <w:rsid w:val="005F5521"/>
    <w:rsid w:val="005F57E7"/>
    <w:rsid w:val="005F5920"/>
    <w:rsid w:val="005F5E37"/>
    <w:rsid w:val="005F69C0"/>
    <w:rsid w:val="005F766B"/>
    <w:rsid w:val="00600184"/>
    <w:rsid w:val="00601177"/>
    <w:rsid w:val="006013F1"/>
    <w:rsid w:val="006026F8"/>
    <w:rsid w:val="00602E7A"/>
    <w:rsid w:val="00603956"/>
    <w:rsid w:val="006042E7"/>
    <w:rsid w:val="006049EE"/>
    <w:rsid w:val="00605B30"/>
    <w:rsid w:val="00605F09"/>
    <w:rsid w:val="0060713D"/>
    <w:rsid w:val="00607BE6"/>
    <w:rsid w:val="00607C48"/>
    <w:rsid w:val="00610E6C"/>
    <w:rsid w:val="00611AD3"/>
    <w:rsid w:val="00612146"/>
    <w:rsid w:val="0061216F"/>
    <w:rsid w:val="006121D4"/>
    <w:rsid w:val="006126F6"/>
    <w:rsid w:val="0061375F"/>
    <w:rsid w:val="00613848"/>
    <w:rsid w:val="006140B8"/>
    <w:rsid w:val="00614210"/>
    <w:rsid w:val="006147A5"/>
    <w:rsid w:val="00614835"/>
    <w:rsid w:val="00614FDF"/>
    <w:rsid w:val="0061581B"/>
    <w:rsid w:val="0061588C"/>
    <w:rsid w:val="00615BC9"/>
    <w:rsid w:val="00615C81"/>
    <w:rsid w:val="00615DC1"/>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BE3"/>
    <w:rsid w:val="00672C34"/>
    <w:rsid w:val="00672F5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E7E"/>
    <w:rsid w:val="006927A5"/>
    <w:rsid w:val="00692A2C"/>
    <w:rsid w:val="00692CF0"/>
    <w:rsid w:val="00692DB1"/>
    <w:rsid w:val="006934A7"/>
    <w:rsid w:val="00693BF3"/>
    <w:rsid w:val="00694315"/>
    <w:rsid w:val="00694ABC"/>
    <w:rsid w:val="00694C16"/>
    <w:rsid w:val="00694C54"/>
    <w:rsid w:val="00694C8E"/>
    <w:rsid w:val="00695005"/>
    <w:rsid w:val="0069612A"/>
    <w:rsid w:val="00696746"/>
    <w:rsid w:val="00696979"/>
    <w:rsid w:val="00697E35"/>
    <w:rsid w:val="006A03AB"/>
    <w:rsid w:val="006A145D"/>
    <w:rsid w:val="006A164A"/>
    <w:rsid w:val="006A2040"/>
    <w:rsid w:val="006A204B"/>
    <w:rsid w:val="006A22DD"/>
    <w:rsid w:val="006A2366"/>
    <w:rsid w:val="006A305E"/>
    <w:rsid w:val="006A37A7"/>
    <w:rsid w:val="006A3AEF"/>
    <w:rsid w:val="006A3F3C"/>
    <w:rsid w:val="006A4C22"/>
    <w:rsid w:val="006A5D49"/>
    <w:rsid w:val="006A6A5C"/>
    <w:rsid w:val="006A7099"/>
    <w:rsid w:val="006A7F61"/>
    <w:rsid w:val="006B0B88"/>
    <w:rsid w:val="006B0D74"/>
    <w:rsid w:val="006B1CCB"/>
    <w:rsid w:val="006B2137"/>
    <w:rsid w:val="006B344A"/>
    <w:rsid w:val="006B3522"/>
    <w:rsid w:val="006B365C"/>
    <w:rsid w:val="006B3B7F"/>
    <w:rsid w:val="006B4376"/>
    <w:rsid w:val="006B627D"/>
    <w:rsid w:val="006B6E29"/>
    <w:rsid w:val="006B7129"/>
    <w:rsid w:val="006B75AC"/>
    <w:rsid w:val="006B77FA"/>
    <w:rsid w:val="006C08D3"/>
    <w:rsid w:val="006C142C"/>
    <w:rsid w:val="006C147D"/>
    <w:rsid w:val="006C178A"/>
    <w:rsid w:val="006C1992"/>
    <w:rsid w:val="006C1AB3"/>
    <w:rsid w:val="006C1B58"/>
    <w:rsid w:val="006C2126"/>
    <w:rsid w:val="006C2782"/>
    <w:rsid w:val="006C2933"/>
    <w:rsid w:val="006C2BF6"/>
    <w:rsid w:val="006C2C82"/>
    <w:rsid w:val="006C2FDF"/>
    <w:rsid w:val="006C322E"/>
    <w:rsid w:val="006C324F"/>
    <w:rsid w:val="006C32BF"/>
    <w:rsid w:val="006C3678"/>
    <w:rsid w:val="006C3703"/>
    <w:rsid w:val="006C3F83"/>
    <w:rsid w:val="006C45F4"/>
    <w:rsid w:val="006C515D"/>
    <w:rsid w:val="006C7761"/>
    <w:rsid w:val="006C78E5"/>
    <w:rsid w:val="006C79D4"/>
    <w:rsid w:val="006D0DB7"/>
    <w:rsid w:val="006D1931"/>
    <w:rsid w:val="006D20F2"/>
    <w:rsid w:val="006D26E1"/>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B0"/>
    <w:rsid w:val="006F5A3D"/>
    <w:rsid w:val="006F626D"/>
    <w:rsid w:val="006F6446"/>
    <w:rsid w:val="006F6B3E"/>
    <w:rsid w:val="006F7494"/>
    <w:rsid w:val="006F7DB6"/>
    <w:rsid w:val="00701098"/>
    <w:rsid w:val="007013E8"/>
    <w:rsid w:val="00701FEB"/>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103C"/>
    <w:rsid w:val="00721048"/>
    <w:rsid w:val="00721D49"/>
    <w:rsid w:val="007230A4"/>
    <w:rsid w:val="007232FF"/>
    <w:rsid w:val="007237EA"/>
    <w:rsid w:val="007243DC"/>
    <w:rsid w:val="00724FE4"/>
    <w:rsid w:val="00725AE5"/>
    <w:rsid w:val="00726D38"/>
    <w:rsid w:val="00726EE0"/>
    <w:rsid w:val="00727126"/>
    <w:rsid w:val="007273EF"/>
    <w:rsid w:val="007275D3"/>
    <w:rsid w:val="00727B91"/>
    <w:rsid w:val="00730711"/>
    <w:rsid w:val="00731284"/>
    <w:rsid w:val="00731555"/>
    <w:rsid w:val="0073276E"/>
    <w:rsid w:val="007328D1"/>
    <w:rsid w:val="00732E1A"/>
    <w:rsid w:val="00733177"/>
    <w:rsid w:val="007334AB"/>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894"/>
    <w:rsid w:val="007575B8"/>
    <w:rsid w:val="00757965"/>
    <w:rsid w:val="00757CE0"/>
    <w:rsid w:val="00760751"/>
    <w:rsid w:val="00760CD8"/>
    <w:rsid w:val="00760FA9"/>
    <w:rsid w:val="0076144A"/>
    <w:rsid w:val="007627B7"/>
    <w:rsid w:val="00763128"/>
    <w:rsid w:val="007631BC"/>
    <w:rsid w:val="007633D4"/>
    <w:rsid w:val="007634C0"/>
    <w:rsid w:val="00763956"/>
    <w:rsid w:val="00763B97"/>
    <w:rsid w:val="00764162"/>
    <w:rsid w:val="0076453A"/>
    <w:rsid w:val="0076460C"/>
    <w:rsid w:val="00764772"/>
    <w:rsid w:val="007649D3"/>
    <w:rsid w:val="00765343"/>
    <w:rsid w:val="007654A2"/>
    <w:rsid w:val="007654DA"/>
    <w:rsid w:val="00765C16"/>
    <w:rsid w:val="007663B3"/>
    <w:rsid w:val="00766C89"/>
    <w:rsid w:val="007672F4"/>
    <w:rsid w:val="007700E8"/>
    <w:rsid w:val="007702E4"/>
    <w:rsid w:val="00770441"/>
    <w:rsid w:val="00770468"/>
    <w:rsid w:val="00770A60"/>
    <w:rsid w:val="007713D9"/>
    <w:rsid w:val="00772548"/>
    <w:rsid w:val="007726C7"/>
    <w:rsid w:val="00774250"/>
    <w:rsid w:val="00774A36"/>
    <w:rsid w:val="00775180"/>
    <w:rsid w:val="00775550"/>
    <w:rsid w:val="007756ED"/>
    <w:rsid w:val="00775DC3"/>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E8B"/>
    <w:rsid w:val="007A4810"/>
    <w:rsid w:val="007A4C12"/>
    <w:rsid w:val="007A5044"/>
    <w:rsid w:val="007A602C"/>
    <w:rsid w:val="007A6242"/>
    <w:rsid w:val="007A69F8"/>
    <w:rsid w:val="007A6C37"/>
    <w:rsid w:val="007A6E24"/>
    <w:rsid w:val="007A7FFB"/>
    <w:rsid w:val="007B0611"/>
    <w:rsid w:val="007B06BC"/>
    <w:rsid w:val="007B0A1A"/>
    <w:rsid w:val="007B1735"/>
    <w:rsid w:val="007B1C55"/>
    <w:rsid w:val="007B2AD3"/>
    <w:rsid w:val="007B2B6D"/>
    <w:rsid w:val="007B2CD4"/>
    <w:rsid w:val="007B33B7"/>
    <w:rsid w:val="007B36FD"/>
    <w:rsid w:val="007B398D"/>
    <w:rsid w:val="007B43CC"/>
    <w:rsid w:val="007B4655"/>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E8F"/>
    <w:rsid w:val="007E73DE"/>
    <w:rsid w:val="007E79D7"/>
    <w:rsid w:val="007F1012"/>
    <w:rsid w:val="007F139F"/>
    <w:rsid w:val="007F1BAD"/>
    <w:rsid w:val="007F1FA7"/>
    <w:rsid w:val="007F2079"/>
    <w:rsid w:val="007F3431"/>
    <w:rsid w:val="007F368C"/>
    <w:rsid w:val="007F391B"/>
    <w:rsid w:val="007F4CB5"/>
    <w:rsid w:val="007F4E31"/>
    <w:rsid w:val="007F4EC6"/>
    <w:rsid w:val="007F5B75"/>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9CF"/>
    <w:rsid w:val="00804F16"/>
    <w:rsid w:val="0080523E"/>
    <w:rsid w:val="008061EC"/>
    <w:rsid w:val="00806579"/>
    <w:rsid w:val="00806876"/>
    <w:rsid w:val="00811174"/>
    <w:rsid w:val="00811762"/>
    <w:rsid w:val="008119C5"/>
    <w:rsid w:val="00811B49"/>
    <w:rsid w:val="00811CBC"/>
    <w:rsid w:val="00812023"/>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308F"/>
    <w:rsid w:val="00824DF6"/>
    <w:rsid w:val="0082558A"/>
    <w:rsid w:val="00825C99"/>
    <w:rsid w:val="00826C47"/>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CE"/>
    <w:rsid w:val="00874C62"/>
    <w:rsid w:val="00874C6D"/>
    <w:rsid w:val="008751B7"/>
    <w:rsid w:val="00875B0E"/>
    <w:rsid w:val="00875CFB"/>
    <w:rsid w:val="00875EAF"/>
    <w:rsid w:val="00875ED5"/>
    <w:rsid w:val="00876CA0"/>
    <w:rsid w:val="00876E0A"/>
    <w:rsid w:val="00877372"/>
    <w:rsid w:val="008777DB"/>
    <w:rsid w:val="008807AE"/>
    <w:rsid w:val="0088094C"/>
    <w:rsid w:val="00880B59"/>
    <w:rsid w:val="00880B5D"/>
    <w:rsid w:val="00880C14"/>
    <w:rsid w:val="0088142A"/>
    <w:rsid w:val="00881788"/>
    <w:rsid w:val="00881A83"/>
    <w:rsid w:val="008823A3"/>
    <w:rsid w:val="0088256B"/>
    <w:rsid w:val="008828C6"/>
    <w:rsid w:val="008828FB"/>
    <w:rsid w:val="00883915"/>
    <w:rsid w:val="00884B82"/>
    <w:rsid w:val="00885CF3"/>
    <w:rsid w:val="00885D48"/>
    <w:rsid w:val="00885FFC"/>
    <w:rsid w:val="008864FB"/>
    <w:rsid w:val="008866A2"/>
    <w:rsid w:val="008867EF"/>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7927"/>
    <w:rsid w:val="008A7B7E"/>
    <w:rsid w:val="008A7F56"/>
    <w:rsid w:val="008B0CE2"/>
    <w:rsid w:val="008B1464"/>
    <w:rsid w:val="008B15D8"/>
    <w:rsid w:val="008B1D8F"/>
    <w:rsid w:val="008B22E8"/>
    <w:rsid w:val="008B2AAF"/>
    <w:rsid w:val="008B33A7"/>
    <w:rsid w:val="008B3468"/>
    <w:rsid w:val="008B3B5E"/>
    <w:rsid w:val="008B3E08"/>
    <w:rsid w:val="008B4CFE"/>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FCD"/>
    <w:rsid w:val="0090300F"/>
    <w:rsid w:val="00903588"/>
    <w:rsid w:val="009039F1"/>
    <w:rsid w:val="00903B7D"/>
    <w:rsid w:val="00903DE5"/>
    <w:rsid w:val="009041E2"/>
    <w:rsid w:val="00904498"/>
    <w:rsid w:val="00904C80"/>
    <w:rsid w:val="00905176"/>
    <w:rsid w:val="009057D9"/>
    <w:rsid w:val="009057E2"/>
    <w:rsid w:val="00905FCC"/>
    <w:rsid w:val="009061FE"/>
    <w:rsid w:val="00906BDB"/>
    <w:rsid w:val="00906FB7"/>
    <w:rsid w:val="00907463"/>
    <w:rsid w:val="00907D11"/>
    <w:rsid w:val="00910EAA"/>
    <w:rsid w:val="00910F5F"/>
    <w:rsid w:val="0091168C"/>
    <w:rsid w:val="00911864"/>
    <w:rsid w:val="00912454"/>
    <w:rsid w:val="00912637"/>
    <w:rsid w:val="009129F1"/>
    <w:rsid w:val="00913182"/>
    <w:rsid w:val="00913ACC"/>
    <w:rsid w:val="00913BEB"/>
    <w:rsid w:val="00913E30"/>
    <w:rsid w:val="00914317"/>
    <w:rsid w:val="00914EEE"/>
    <w:rsid w:val="009152C6"/>
    <w:rsid w:val="00916DF2"/>
    <w:rsid w:val="00917B70"/>
    <w:rsid w:val="00920965"/>
    <w:rsid w:val="00921171"/>
    <w:rsid w:val="009216B6"/>
    <w:rsid w:val="00922A53"/>
    <w:rsid w:val="0092307C"/>
    <w:rsid w:val="009231D3"/>
    <w:rsid w:val="0092344C"/>
    <w:rsid w:val="00924945"/>
    <w:rsid w:val="00924D28"/>
    <w:rsid w:val="00924D62"/>
    <w:rsid w:val="00925643"/>
    <w:rsid w:val="0092593F"/>
    <w:rsid w:val="009260B9"/>
    <w:rsid w:val="009269C8"/>
    <w:rsid w:val="00927630"/>
    <w:rsid w:val="00927D5F"/>
    <w:rsid w:val="00930098"/>
    <w:rsid w:val="00930D8E"/>
    <w:rsid w:val="00931814"/>
    <w:rsid w:val="00931C11"/>
    <w:rsid w:val="0093219B"/>
    <w:rsid w:val="009322D3"/>
    <w:rsid w:val="009326A6"/>
    <w:rsid w:val="00932D7B"/>
    <w:rsid w:val="00932E57"/>
    <w:rsid w:val="009332D3"/>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D24"/>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D34"/>
    <w:rsid w:val="00962F4F"/>
    <w:rsid w:val="009630F6"/>
    <w:rsid w:val="009643C6"/>
    <w:rsid w:val="0096573D"/>
    <w:rsid w:val="00966416"/>
    <w:rsid w:val="0096654A"/>
    <w:rsid w:val="009670AB"/>
    <w:rsid w:val="00967927"/>
    <w:rsid w:val="00970EC3"/>
    <w:rsid w:val="00971726"/>
    <w:rsid w:val="00971802"/>
    <w:rsid w:val="00971D6F"/>
    <w:rsid w:val="009726A7"/>
    <w:rsid w:val="00972DD8"/>
    <w:rsid w:val="00973EE1"/>
    <w:rsid w:val="00974518"/>
    <w:rsid w:val="0097494A"/>
    <w:rsid w:val="00975A2D"/>
    <w:rsid w:val="00975FC3"/>
    <w:rsid w:val="009762C3"/>
    <w:rsid w:val="00977496"/>
    <w:rsid w:val="009775C7"/>
    <w:rsid w:val="0097785F"/>
    <w:rsid w:val="00977923"/>
    <w:rsid w:val="00977E03"/>
    <w:rsid w:val="009809FC"/>
    <w:rsid w:val="00980BB4"/>
    <w:rsid w:val="00981E1A"/>
    <w:rsid w:val="0098244A"/>
    <w:rsid w:val="0098299E"/>
    <w:rsid w:val="00982AA4"/>
    <w:rsid w:val="00982C0A"/>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8C9"/>
    <w:rsid w:val="009C4904"/>
    <w:rsid w:val="009C7A93"/>
    <w:rsid w:val="009D052A"/>
    <w:rsid w:val="009D0C36"/>
    <w:rsid w:val="009D1699"/>
    <w:rsid w:val="009D2A6C"/>
    <w:rsid w:val="009D348E"/>
    <w:rsid w:val="009D4A03"/>
    <w:rsid w:val="009D4FEE"/>
    <w:rsid w:val="009D5082"/>
    <w:rsid w:val="009D560A"/>
    <w:rsid w:val="009D710A"/>
    <w:rsid w:val="009D726A"/>
    <w:rsid w:val="009D74BC"/>
    <w:rsid w:val="009E0CAE"/>
    <w:rsid w:val="009E269C"/>
    <w:rsid w:val="009E2750"/>
    <w:rsid w:val="009E27B4"/>
    <w:rsid w:val="009E40E3"/>
    <w:rsid w:val="009E41F3"/>
    <w:rsid w:val="009E42F7"/>
    <w:rsid w:val="009E4CC9"/>
    <w:rsid w:val="009E53C6"/>
    <w:rsid w:val="009E6B01"/>
    <w:rsid w:val="009E6CF1"/>
    <w:rsid w:val="009E7E3F"/>
    <w:rsid w:val="009F0FD6"/>
    <w:rsid w:val="009F18AC"/>
    <w:rsid w:val="009F2420"/>
    <w:rsid w:val="009F3002"/>
    <w:rsid w:val="009F31F4"/>
    <w:rsid w:val="009F33ED"/>
    <w:rsid w:val="009F4D03"/>
    <w:rsid w:val="009F5279"/>
    <w:rsid w:val="009F5E07"/>
    <w:rsid w:val="009F5E5D"/>
    <w:rsid w:val="009F5E8D"/>
    <w:rsid w:val="009F73FD"/>
    <w:rsid w:val="009F764A"/>
    <w:rsid w:val="009F7725"/>
    <w:rsid w:val="009F77A2"/>
    <w:rsid w:val="009F7F37"/>
    <w:rsid w:val="00A00F54"/>
    <w:rsid w:val="00A014E1"/>
    <w:rsid w:val="00A01528"/>
    <w:rsid w:val="00A02710"/>
    <w:rsid w:val="00A02B6E"/>
    <w:rsid w:val="00A02FE6"/>
    <w:rsid w:val="00A0358E"/>
    <w:rsid w:val="00A03998"/>
    <w:rsid w:val="00A03AAC"/>
    <w:rsid w:val="00A03F9C"/>
    <w:rsid w:val="00A0466D"/>
    <w:rsid w:val="00A047C6"/>
    <w:rsid w:val="00A058D9"/>
    <w:rsid w:val="00A06A84"/>
    <w:rsid w:val="00A06C04"/>
    <w:rsid w:val="00A06D49"/>
    <w:rsid w:val="00A07987"/>
    <w:rsid w:val="00A10167"/>
    <w:rsid w:val="00A108BA"/>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42D"/>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DD"/>
    <w:rsid w:val="00A359A1"/>
    <w:rsid w:val="00A36909"/>
    <w:rsid w:val="00A3777A"/>
    <w:rsid w:val="00A37905"/>
    <w:rsid w:val="00A37F61"/>
    <w:rsid w:val="00A40F01"/>
    <w:rsid w:val="00A42390"/>
    <w:rsid w:val="00A4253C"/>
    <w:rsid w:val="00A42754"/>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4725"/>
    <w:rsid w:val="00A64FB3"/>
    <w:rsid w:val="00A65245"/>
    <w:rsid w:val="00A65462"/>
    <w:rsid w:val="00A6754C"/>
    <w:rsid w:val="00A700EF"/>
    <w:rsid w:val="00A701A5"/>
    <w:rsid w:val="00A702A7"/>
    <w:rsid w:val="00A703E5"/>
    <w:rsid w:val="00A7130A"/>
    <w:rsid w:val="00A72492"/>
    <w:rsid w:val="00A73635"/>
    <w:rsid w:val="00A73C5F"/>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64F4"/>
    <w:rsid w:val="00A86B88"/>
    <w:rsid w:val="00A86CE3"/>
    <w:rsid w:val="00A8700B"/>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62A8"/>
    <w:rsid w:val="00AC6CE2"/>
    <w:rsid w:val="00AD0D1E"/>
    <w:rsid w:val="00AD1316"/>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F91"/>
    <w:rsid w:val="00AE54C6"/>
    <w:rsid w:val="00AE5586"/>
    <w:rsid w:val="00AE5B4A"/>
    <w:rsid w:val="00AE5F52"/>
    <w:rsid w:val="00AE61EF"/>
    <w:rsid w:val="00AE6245"/>
    <w:rsid w:val="00AE6A72"/>
    <w:rsid w:val="00AE7D92"/>
    <w:rsid w:val="00AF00A2"/>
    <w:rsid w:val="00AF0139"/>
    <w:rsid w:val="00AF0411"/>
    <w:rsid w:val="00AF08E9"/>
    <w:rsid w:val="00AF0F8E"/>
    <w:rsid w:val="00AF1020"/>
    <w:rsid w:val="00AF12C3"/>
    <w:rsid w:val="00AF16A2"/>
    <w:rsid w:val="00AF1AC2"/>
    <w:rsid w:val="00AF20A2"/>
    <w:rsid w:val="00AF2607"/>
    <w:rsid w:val="00AF2C65"/>
    <w:rsid w:val="00AF30DA"/>
    <w:rsid w:val="00AF32CC"/>
    <w:rsid w:val="00AF398B"/>
    <w:rsid w:val="00AF3E34"/>
    <w:rsid w:val="00AF3F59"/>
    <w:rsid w:val="00AF40DE"/>
    <w:rsid w:val="00AF47DF"/>
    <w:rsid w:val="00AF5D96"/>
    <w:rsid w:val="00AF6AB2"/>
    <w:rsid w:val="00AF6DD7"/>
    <w:rsid w:val="00AF7B6E"/>
    <w:rsid w:val="00B00C4C"/>
    <w:rsid w:val="00B00E7E"/>
    <w:rsid w:val="00B00F13"/>
    <w:rsid w:val="00B018B9"/>
    <w:rsid w:val="00B01FE0"/>
    <w:rsid w:val="00B02692"/>
    <w:rsid w:val="00B02719"/>
    <w:rsid w:val="00B03E87"/>
    <w:rsid w:val="00B03FFD"/>
    <w:rsid w:val="00B043C1"/>
    <w:rsid w:val="00B0473F"/>
    <w:rsid w:val="00B04959"/>
    <w:rsid w:val="00B05121"/>
    <w:rsid w:val="00B054AB"/>
    <w:rsid w:val="00B063E2"/>
    <w:rsid w:val="00B06841"/>
    <w:rsid w:val="00B06EDB"/>
    <w:rsid w:val="00B07331"/>
    <w:rsid w:val="00B07EF4"/>
    <w:rsid w:val="00B10419"/>
    <w:rsid w:val="00B10EED"/>
    <w:rsid w:val="00B11517"/>
    <w:rsid w:val="00B12111"/>
    <w:rsid w:val="00B127CC"/>
    <w:rsid w:val="00B128AE"/>
    <w:rsid w:val="00B12B0E"/>
    <w:rsid w:val="00B12B5D"/>
    <w:rsid w:val="00B132E7"/>
    <w:rsid w:val="00B1353C"/>
    <w:rsid w:val="00B137B8"/>
    <w:rsid w:val="00B13FB6"/>
    <w:rsid w:val="00B140FC"/>
    <w:rsid w:val="00B14D76"/>
    <w:rsid w:val="00B14DCD"/>
    <w:rsid w:val="00B153B3"/>
    <w:rsid w:val="00B157BD"/>
    <w:rsid w:val="00B16FB1"/>
    <w:rsid w:val="00B17440"/>
    <w:rsid w:val="00B17820"/>
    <w:rsid w:val="00B17958"/>
    <w:rsid w:val="00B17F0A"/>
    <w:rsid w:val="00B243A0"/>
    <w:rsid w:val="00B24DAE"/>
    <w:rsid w:val="00B25129"/>
    <w:rsid w:val="00B254AD"/>
    <w:rsid w:val="00B25A89"/>
    <w:rsid w:val="00B261CF"/>
    <w:rsid w:val="00B26205"/>
    <w:rsid w:val="00B26784"/>
    <w:rsid w:val="00B278E3"/>
    <w:rsid w:val="00B305F0"/>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6516"/>
    <w:rsid w:val="00B36A58"/>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61D7"/>
    <w:rsid w:val="00B56876"/>
    <w:rsid w:val="00B570A6"/>
    <w:rsid w:val="00B60BF7"/>
    <w:rsid w:val="00B61E79"/>
    <w:rsid w:val="00B6203D"/>
    <w:rsid w:val="00B620E7"/>
    <w:rsid w:val="00B635A4"/>
    <w:rsid w:val="00B64004"/>
    <w:rsid w:val="00B649F9"/>
    <w:rsid w:val="00B655B5"/>
    <w:rsid w:val="00B66203"/>
    <w:rsid w:val="00B667E8"/>
    <w:rsid w:val="00B668A8"/>
    <w:rsid w:val="00B672EA"/>
    <w:rsid w:val="00B67538"/>
    <w:rsid w:val="00B67F5D"/>
    <w:rsid w:val="00B70699"/>
    <w:rsid w:val="00B70759"/>
    <w:rsid w:val="00B7174B"/>
    <w:rsid w:val="00B7198E"/>
    <w:rsid w:val="00B71C79"/>
    <w:rsid w:val="00B7201F"/>
    <w:rsid w:val="00B7225F"/>
    <w:rsid w:val="00B72828"/>
    <w:rsid w:val="00B7322A"/>
    <w:rsid w:val="00B740D8"/>
    <w:rsid w:val="00B7494F"/>
    <w:rsid w:val="00B74CE2"/>
    <w:rsid w:val="00B74EC4"/>
    <w:rsid w:val="00B74FCA"/>
    <w:rsid w:val="00B75208"/>
    <w:rsid w:val="00B75A29"/>
    <w:rsid w:val="00B75A9C"/>
    <w:rsid w:val="00B76193"/>
    <w:rsid w:val="00B7657B"/>
    <w:rsid w:val="00B77E16"/>
    <w:rsid w:val="00B802E1"/>
    <w:rsid w:val="00B806DD"/>
    <w:rsid w:val="00B80C2A"/>
    <w:rsid w:val="00B80EAA"/>
    <w:rsid w:val="00B81071"/>
    <w:rsid w:val="00B813D5"/>
    <w:rsid w:val="00B8174F"/>
    <w:rsid w:val="00B81B08"/>
    <w:rsid w:val="00B81F4F"/>
    <w:rsid w:val="00B82920"/>
    <w:rsid w:val="00B8321C"/>
    <w:rsid w:val="00B8370F"/>
    <w:rsid w:val="00B83727"/>
    <w:rsid w:val="00B84259"/>
    <w:rsid w:val="00B842A4"/>
    <w:rsid w:val="00B85577"/>
    <w:rsid w:val="00B85EBA"/>
    <w:rsid w:val="00B85EE3"/>
    <w:rsid w:val="00B869A2"/>
    <w:rsid w:val="00B86D74"/>
    <w:rsid w:val="00B86D95"/>
    <w:rsid w:val="00B86DE1"/>
    <w:rsid w:val="00B87C59"/>
    <w:rsid w:val="00B87F5E"/>
    <w:rsid w:val="00B90481"/>
    <w:rsid w:val="00B90BF4"/>
    <w:rsid w:val="00B90D08"/>
    <w:rsid w:val="00B91091"/>
    <w:rsid w:val="00B91A74"/>
    <w:rsid w:val="00B91F2F"/>
    <w:rsid w:val="00B91F34"/>
    <w:rsid w:val="00B922F0"/>
    <w:rsid w:val="00B92843"/>
    <w:rsid w:val="00B92911"/>
    <w:rsid w:val="00B92CB4"/>
    <w:rsid w:val="00B933EC"/>
    <w:rsid w:val="00B935C1"/>
    <w:rsid w:val="00B94292"/>
    <w:rsid w:val="00B9485B"/>
    <w:rsid w:val="00B9490A"/>
    <w:rsid w:val="00B9495B"/>
    <w:rsid w:val="00B950D8"/>
    <w:rsid w:val="00B951CE"/>
    <w:rsid w:val="00B951EB"/>
    <w:rsid w:val="00B952E3"/>
    <w:rsid w:val="00B95D69"/>
    <w:rsid w:val="00B97239"/>
    <w:rsid w:val="00BA0010"/>
    <w:rsid w:val="00BA058F"/>
    <w:rsid w:val="00BA061F"/>
    <w:rsid w:val="00BA0BFE"/>
    <w:rsid w:val="00BA0E9E"/>
    <w:rsid w:val="00BA17CB"/>
    <w:rsid w:val="00BA184B"/>
    <w:rsid w:val="00BA1894"/>
    <w:rsid w:val="00BA19EE"/>
    <w:rsid w:val="00BA213A"/>
    <w:rsid w:val="00BA21DB"/>
    <w:rsid w:val="00BA2557"/>
    <w:rsid w:val="00BA25F4"/>
    <w:rsid w:val="00BA26D5"/>
    <w:rsid w:val="00BA2A77"/>
    <w:rsid w:val="00BA34FE"/>
    <w:rsid w:val="00BA37C0"/>
    <w:rsid w:val="00BA43D6"/>
    <w:rsid w:val="00BA4618"/>
    <w:rsid w:val="00BA51F3"/>
    <w:rsid w:val="00BA58BF"/>
    <w:rsid w:val="00BA64F7"/>
    <w:rsid w:val="00BA66B2"/>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4719"/>
    <w:rsid w:val="00BD4CEC"/>
    <w:rsid w:val="00BD4F61"/>
    <w:rsid w:val="00BD5050"/>
    <w:rsid w:val="00BD50D0"/>
    <w:rsid w:val="00BD58A3"/>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EA8"/>
    <w:rsid w:val="00BF469C"/>
    <w:rsid w:val="00BF55B6"/>
    <w:rsid w:val="00BF5C23"/>
    <w:rsid w:val="00BF670A"/>
    <w:rsid w:val="00BF6782"/>
    <w:rsid w:val="00BF7794"/>
    <w:rsid w:val="00BF7A2F"/>
    <w:rsid w:val="00C001EF"/>
    <w:rsid w:val="00C001FD"/>
    <w:rsid w:val="00C0045A"/>
    <w:rsid w:val="00C00927"/>
    <w:rsid w:val="00C00CFE"/>
    <w:rsid w:val="00C01D45"/>
    <w:rsid w:val="00C02CEF"/>
    <w:rsid w:val="00C02E02"/>
    <w:rsid w:val="00C03625"/>
    <w:rsid w:val="00C0383E"/>
    <w:rsid w:val="00C0446E"/>
    <w:rsid w:val="00C045B2"/>
    <w:rsid w:val="00C049FB"/>
    <w:rsid w:val="00C04A14"/>
    <w:rsid w:val="00C07B82"/>
    <w:rsid w:val="00C10293"/>
    <w:rsid w:val="00C10469"/>
    <w:rsid w:val="00C10693"/>
    <w:rsid w:val="00C11059"/>
    <w:rsid w:val="00C1172E"/>
    <w:rsid w:val="00C1245A"/>
    <w:rsid w:val="00C12AB9"/>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5270"/>
    <w:rsid w:val="00C356F9"/>
    <w:rsid w:val="00C359C9"/>
    <w:rsid w:val="00C36726"/>
    <w:rsid w:val="00C3740F"/>
    <w:rsid w:val="00C40581"/>
    <w:rsid w:val="00C40A92"/>
    <w:rsid w:val="00C41089"/>
    <w:rsid w:val="00C41B42"/>
    <w:rsid w:val="00C42751"/>
    <w:rsid w:val="00C4313A"/>
    <w:rsid w:val="00C43985"/>
    <w:rsid w:val="00C43BFF"/>
    <w:rsid w:val="00C44288"/>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78EB"/>
    <w:rsid w:val="00C67DF9"/>
    <w:rsid w:val="00C70295"/>
    <w:rsid w:val="00C702F9"/>
    <w:rsid w:val="00C706E5"/>
    <w:rsid w:val="00C71231"/>
    <w:rsid w:val="00C718CD"/>
    <w:rsid w:val="00C71BE9"/>
    <w:rsid w:val="00C721C9"/>
    <w:rsid w:val="00C73150"/>
    <w:rsid w:val="00C744C9"/>
    <w:rsid w:val="00C75102"/>
    <w:rsid w:val="00C75EC4"/>
    <w:rsid w:val="00C760F3"/>
    <w:rsid w:val="00C761A9"/>
    <w:rsid w:val="00C76A43"/>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339"/>
    <w:rsid w:val="00C86A59"/>
    <w:rsid w:val="00C86D05"/>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4A08"/>
    <w:rsid w:val="00CA5502"/>
    <w:rsid w:val="00CA5C35"/>
    <w:rsid w:val="00CA6ACC"/>
    <w:rsid w:val="00CA73D7"/>
    <w:rsid w:val="00CA7733"/>
    <w:rsid w:val="00CA7ACB"/>
    <w:rsid w:val="00CB0E1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C0AB4"/>
    <w:rsid w:val="00CC0DB4"/>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9E6"/>
    <w:rsid w:val="00CE0F85"/>
    <w:rsid w:val="00CE119C"/>
    <w:rsid w:val="00CE26B3"/>
    <w:rsid w:val="00CE3EAA"/>
    <w:rsid w:val="00CE4B95"/>
    <w:rsid w:val="00CE52BD"/>
    <w:rsid w:val="00CE547E"/>
    <w:rsid w:val="00CE577D"/>
    <w:rsid w:val="00CE58E8"/>
    <w:rsid w:val="00CE5B08"/>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4AB1"/>
    <w:rsid w:val="00D14F46"/>
    <w:rsid w:val="00D1563D"/>
    <w:rsid w:val="00D15B52"/>
    <w:rsid w:val="00D1612B"/>
    <w:rsid w:val="00D1624F"/>
    <w:rsid w:val="00D162C6"/>
    <w:rsid w:val="00D16975"/>
    <w:rsid w:val="00D16AD8"/>
    <w:rsid w:val="00D16E7A"/>
    <w:rsid w:val="00D17415"/>
    <w:rsid w:val="00D175C4"/>
    <w:rsid w:val="00D203E1"/>
    <w:rsid w:val="00D205CA"/>
    <w:rsid w:val="00D20A66"/>
    <w:rsid w:val="00D21777"/>
    <w:rsid w:val="00D21D64"/>
    <w:rsid w:val="00D225B0"/>
    <w:rsid w:val="00D22854"/>
    <w:rsid w:val="00D22D28"/>
    <w:rsid w:val="00D23836"/>
    <w:rsid w:val="00D241E2"/>
    <w:rsid w:val="00D2445C"/>
    <w:rsid w:val="00D24941"/>
    <w:rsid w:val="00D25531"/>
    <w:rsid w:val="00D257A4"/>
    <w:rsid w:val="00D25F6D"/>
    <w:rsid w:val="00D2625C"/>
    <w:rsid w:val="00D26A8F"/>
    <w:rsid w:val="00D27153"/>
    <w:rsid w:val="00D30329"/>
    <w:rsid w:val="00D304E2"/>
    <w:rsid w:val="00D3059A"/>
    <w:rsid w:val="00D30930"/>
    <w:rsid w:val="00D30B78"/>
    <w:rsid w:val="00D3124D"/>
    <w:rsid w:val="00D325D0"/>
    <w:rsid w:val="00D33951"/>
    <w:rsid w:val="00D34004"/>
    <w:rsid w:val="00D34302"/>
    <w:rsid w:val="00D3433F"/>
    <w:rsid w:val="00D34C6A"/>
    <w:rsid w:val="00D34DF9"/>
    <w:rsid w:val="00D3512D"/>
    <w:rsid w:val="00D353C6"/>
    <w:rsid w:val="00D35DA8"/>
    <w:rsid w:val="00D36B44"/>
    <w:rsid w:val="00D379DD"/>
    <w:rsid w:val="00D37DB1"/>
    <w:rsid w:val="00D405F9"/>
    <w:rsid w:val="00D405FC"/>
    <w:rsid w:val="00D4139A"/>
    <w:rsid w:val="00D41BA2"/>
    <w:rsid w:val="00D42384"/>
    <w:rsid w:val="00D42875"/>
    <w:rsid w:val="00D42AAE"/>
    <w:rsid w:val="00D43896"/>
    <w:rsid w:val="00D439F8"/>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4DDF"/>
    <w:rsid w:val="00D55046"/>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677"/>
    <w:rsid w:val="00D6718E"/>
    <w:rsid w:val="00D67E77"/>
    <w:rsid w:val="00D707B3"/>
    <w:rsid w:val="00D71401"/>
    <w:rsid w:val="00D718F5"/>
    <w:rsid w:val="00D71F7F"/>
    <w:rsid w:val="00D722CE"/>
    <w:rsid w:val="00D72919"/>
    <w:rsid w:val="00D729A6"/>
    <w:rsid w:val="00D73279"/>
    <w:rsid w:val="00D744AC"/>
    <w:rsid w:val="00D74F90"/>
    <w:rsid w:val="00D75179"/>
    <w:rsid w:val="00D757EC"/>
    <w:rsid w:val="00D758FA"/>
    <w:rsid w:val="00D76765"/>
    <w:rsid w:val="00D7724D"/>
    <w:rsid w:val="00D77446"/>
    <w:rsid w:val="00D7796E"/>
    <w:rsid w:val="00D77BFB"/>
    <w:rsid w:val="00D77D4F"/>
    <w:rsid w:val="00D77EAE"/>
    <w:rsid w:val="00D80DD9"/>
    <w:rsid w:val="00D8144D"/>
    <w:rsid w:val="00D81615"/>
    <w:rsid w:val="00D82264"/>
    <w:rsid w:val="00D8240D"/>
    <w:rsid w:val="00D828A0"/>
    <w:rsid w:val="00D82A51"/>
    <w:rsid w:val="00D82F01"/>
    <w:rsid w:val="00D82FAF"/>
    <w:rsid w:val="00D83353"/>
    <w:rsid w:val="00D8437D"/>
    <w:rsid w:val="00D84781"/>
    <w:rsid w:val="00D84790"/>
    <w:rsid w:val="00D8485D"/>
    <w:rsid w:val="00D8565C"/>
    <w:rsid w:val="00D85BD3"/>
    <w:rsid w:val="00D86017"/>
    <w:rsid w:val="00D87040"/>
    <w:rsid w:val="00D8764F"/>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33DB"/>
    <w:rsid w:val="00DA3756"/>
    <w:rsid w:val="00DA39C5"/>
    <w:rsid w:val="00DA3D5D"/>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A15"/>
    <w:rsid w:val="00DB70BE"/>
    <w:rsid w:val="00DB7EB6"/>
    <w:rsid w:val="00DB7F67"/>
    <w:rsid w:val="00DC0FBB"/>
    <w:rsid w:val="00DC12BC"/>
    <w:rsid w:val="00DC12E1"/>
    <w:rsid w:val="00DC15CF"/>
    <w:rsid w:val="00DC15ED"/>
    <w:rsid w:val="00DC2022"/>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D0F99"/>
    <w:rsid w:val="00DD1090"/>
    <w:rsid w:val="00DD132F"/>
    <w:rsid w:val="00DD2ADA"/>
    <w:rsid w:val="00DD30B2"/>
    <w:rsid w:val="00DD32EC"/>
    <w:rsid w:val="00DD3438"/>
    <w:rsid w:val="00DD3D7F"/>
    <w:rsid w:val="00DD59AA"/>
    <w:rsid w:val="00DD5C2C"/>
    <w:rsid w:val="00DD62D9"/>
    <w:rsid w:val="00DD6C04"/>
    <w:rsid w:val="00DD6DE7"/>
    <w:rsid w:val="00DD6E0E"/>
    <w:rsid w:val="00DD73D5"/>
    <w:rsid w:val="00DD78C8"/>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7201"/>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8E8"/>
    <w:rsid w:val="00E17C28"/>
    <w:rsid w:val="00E20002"/>
    <w:rsid w:val="00E2010C"/>
    <w:rsid w:val="00E2042C"/>
    <w:rsid w:val="00E2044B"/>
    <w:rsid w:val="00E20806"/>
    <w:rsid w:val="00E2195C"/>
    <w:rsid w:val="00E21BD0"/>
    <w:rsid w:val="00E21E4A"/>
    <w:rsid w:val="00E2256F"/>
    <w:rsid w:val="00E22C11"/>
    <w:rsid w:val="00E23CF9"/>
    <w:rsid w:val="00E23DC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D2E"/>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21C"/>
    <w:rsid w:val="00E77426"/>
    <w:rsid w:val="00E77B0B"/>
    <w:rsid w:val="00E800DE"/>
    <w:rsid w:val="00E802A1"/>
    <w:rsid w:val="00E80699"/>
    <w:rsid w:val="00E80725"/>
    <w:rsid w:val="00E81FD3"/>
    <w:rsid w:val="00E82446"/>
    <w:rsid w:val="00E82708"/>
    <w:rsid w:val="00E82977"/>
    <w:rsid w:val="00E82C39"/>
    <w:rsid w:val="00E83335"/>
    <w:rsid w:val="00E83634"/>
    <w:rsid w:val="00E83882"/>
    <w:rsid w:val="00E838BE"/>
    <w:rsid w:val="00E84324"/>
    <w:rsid w:val="00E85820"/>
    <w:rsid w:val="00E858E0"/>
    <w:rsid w:val="00E85B74"/>
    <w:rsid w:val="00E8692F"/>
    <w:rsid w:val="00E86BBB"/>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606"/>
    <w:rsid w:val="00ED47EC"/>
    <w:rsid w:val="00ED48D3"/>
    <w:rsid w:val="00ED52C8"/>
    <w:rsid w:val="00ED6992"/>
    <w:rsid w:val="00ED69DE"/>
    <w:rsid w:val="00ED6B96"/>
    <w:rsid w:val="00ED709C"/>
    <w:rsid w:val="00ED7456"/>
    <w:rsid w:val="00ED74BA"/>
    <w:rsid w:val="00ED786F"/>
    <w:rsid w:val="00ED7B5B"/>
    <w:rsid w:val="00ED7F42"/>
    <w:rsid w:val="00EE0C19"/>
    <w:rsid w:val="00EE1262"/>
    <w:rsid w:val="00EE1385"/>
    <w:rsid w:val="00EE265E"/>
    <w:rsid w:val="00EE280D"/>
    <w:rsid w:val="00EE2EC9"/>
    <w:rsid w:val="00EE3046"/>
    <w:rsid w:val="00EE385A"/>
    <w:rsid w:val="00EE3E16"/>
    <w:rsid w:val="00EE417D"/>
    <w:rsid w:val="00EE489D"/>
    <w:rsid w:val="00EE5241"/>
    <w:rsid w:val="00EE53A4"/>
    <w:rsid w:val="00EE55C6"/>
    <w:rsid w:val="00EE5687"/>
    <w:rsid w:val="00EE5E14"/>
    <w:rsid w:val="00EE6330"/>
    <w:rsid w:val="00EE6829"/>
    <w:rsid w:val="00EE6872"/>
    <w:rsid w:val="00EE6AFC"/>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4A8B"/>
    <w:rsid w:val="00EF64BE"/>
    <w:rsid w:val="00EF6C6E"/>
    <w:rsid w:val="00EF6CF6"/>
    <w:rsid w:val="00EF6D1F"/>
    <w:rsid w:val="00EF6DC3"/>
    <w:rsid w:val="00F00978"/>
    <w:rsid w:val="00F01E45"/>
    <w:rsid w:val="00F02206"/>
    <w:rsid w:val="00F02A69"/>
    <w:rsid w:val="00F02B02"/>
    <w:rsid w:val="00F03DC7"/>
    <w:rsid w:val="00F04192"/>
    <w:rsid w:val="00F04383"/>
    <w:rsid w:val="00F047AA"/>
    <w:rsid w:val="00F0509D"/>
    <w:rsid w:val="00F0538C"/>
    <w:rsid w:val="00F05E94"/>
    <w:rsid w:val="00F065A4"/>
    <w:rsid w:val="00F072BC"/>
    <w:rsid w:val="00F07317"/>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58E"/>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03"/>
    <w:rsid w:val="00F27FC0"/>
    <w:rsid w:val="00F304F2"/>
    <w:rsid w:val="00F305D9"/>
    <w:rsid w:val="00F317C1"/>
    <w:rsid w:val="00F31B40"/>
    <w:rsid w:val="00F3221C"/>
    <w:rsid w:val="00F32FC8"/>
    <w:rsid w:val="00F3347A"/>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D77"/>
    <w:rsid w:val="00F470D4"/>
    <w:rsid w:val="00F47218"/>
    <w:rsid w:val="00F4754E"/>
    <w:rsid w:val="00F510E2"/>
    <w:rsid w:val="00F51467"/>
    <w:rsid w:val="00F519BE"/>
    <w:rsid w:val="00F51F39"/>
    <w:rsid w:val="00F52330"/>
    <w:rsid w:val="00F529F2"/>
    <w:rsid w:val="00F52DDA"/>
    <w:rsid w:val="00F53962"/>
    <w:rsid w:val="00F54086"/>
    <w:rsid w:val="00F54427"/>
    <w:rsid w:val="00F54572"/>
    <w:rsid w:val="00F546D2"/>
    <w:rsid w:val="00F54E5C"/>
    <w:rsid w:val="00F551FA"/>
    <w:rsid w:val="00F55396"/>
    <w:rsid w:val="00F553EF"/>
    <w:rsid w:val="00F555F0"/>
    <w:rsid w:val="00F55CE8"/>
    <w:rsid w:val="00F5685E"/>
    <w:rsid w:val="00F56C0A"/>
    <w:rsid w:val="00F5709F"/>
    <w:rsid w:val="00F575A4"/>
    <w:rsid w:val="00F577C1"/>
    <w:rsid w:val="00F604BA"/>
    <w:rsid w:val="00F606BE"/>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628"/>
    <w:rsid w:val="00FA3CF5"/>
    <w:rsid w:val="00FA3F2B"/>
    <w:rsid w:val="00FA3FEB"/>
    <w:rsid w:val="00FA4212"/>
    <w:rsid w:val="00FA4320"/>
    <w:rsid w:val="00FA445A"/>
    <w:rsid w:val="00FA5053"/>
    <w:rsid w:val="00FA59F5"/>
    <w:rsid w:val="00FA709B"/>
    <w:rsid w:val="00FA791F"/>
    <w:rsid w:val="00FA79F8"/>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FD9"/>
    <w:rsid w:val="00FD03FA"/>
    <w:rsid w:val="00FD0462"/>
    <w:rsid w:val="00FD07CB"/>
    <w:rsid w:val="00FD0889"/>
    <w:rsid w:val="00FD0B13"/>
    <w:rsid w:val="00FD0D93"/>
    <w:rsid w:val="00FD1441"/>
    <w:rsid w:val="00FD15C5"/>
    <w:rsid w:val="00FD1924"/>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F83"/>
    <w:rsid w:val="00FF138C"/>
    <w:rsid w:val="00FF1F55"/>
    <w:rsid w:val="00FF200B"/>
    <w:rsid w:val="00FF2418"/>
    <w:rsid w:val="00FF2742"/>
    <w:rsid w:val="00FF2D69"/>
    <w:rsid w:val="00FF32D9"/>
    <w:rsid w:val="00FF4047"/>
    <w:rsid w:val="00FF42E8"/>
    <w:rsid w:val="00FF44EA"/>
    <w:rsid w:val="00FF4B84"/>
    <w:rsid w:val="00FF504D"/>
    <w:rsid w:val="00FF5664"/>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014C7B"/>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icentro.iss.it/coronavirus/bollettino/Bollettino-sorveglianza-integrata-COVID-19_11-maggio-2022.pdf"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hyperlink" Target="mailto:ufficio.stampa@gimbe.org" TargetMode="Externa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coronavirus.gimbe.org"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booster-immunocompromessi.csv"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coronavirus.gimbe.org/var/contenuti/covid-19/CSEC19RM_AECA3DA_REG2022_1002061.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hyperlink" Target="https://github.com/italia/covid19-opendata-vaccini/blob/master/dati/platea-dose-addizionale-booster.csv"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epicentro.iss.it/coronavirus/bollettino/Bollettino-sorveglianza-integrata-COVID-19_11-maggio-2022.pdf"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https://www.ecdc.europa.eu/en/news-events/epidemiological-update-sars-cov-2-omicron-sub-lineages-ba4-and-ba5"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A4B5-71AD-486B-AE12-9C51C1173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2979</Words>
  <Characters>16982</Characters>
  <Application>Microsoft Office Word</Application>
  <DocSecurity>0</DocSecurity>
  <Lines>141</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Cartabellotta</dc:creator>
  <cp:lastModifiedBy>Roberto Luceri</cp:lastModifiedBy>
  <cp:revision>4</cp:revision>
  <cp:lastPrinted>2022-05-04T09:11:00Z</cp:lastPrinted>
  <dcterms:created xsi:type="dcterms:W3CDTF">2022-05-18T11:28:00Z</dcterms:created>
  <dcterms:modified xsi:type="dcterms:W3CDTF">2022-05-19T07:20:00Z</dcterms:modified>
</cp:coreProperties>
</file>