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CD8" w:rsidRPr="003D05A8" w:rsidRDefault="00760CD8" w:rsidP="00760CD8">
      <w:pPr>
        <w:spacing w:after="0" w:line="276" w:lineRule="auto"/>
        <w:jc w:val="center"/>
        <w:rPr>
          <w:b/>
          <w:bCs/>
          <w:color w:val="auto"/>
          <w:spacing w:val="-2"/>
          <w:sz w:val="36"/>
          <w:szCs w:val="36"/>
        </w:rPr>
      </w:pPr>
      <w:r w:rsidRPr="003D05A8">
        <w:rPr>
          <w:b/>
          <w:bCs/>
          <w:color w:val="auto"/>
          <w:spacing w:val="-2"/>
          <w:sz w:val="36"/>
          <w:szCs w:val="36"/>
        </w:rPr>
        <w:t>COMUNICATO STAMPA</w:t>
      </w:r>
    </w:p>
    <w:p w:rsidR="00760CD8" w:rsidRDefault="00760CD8" w:rsidP="005A2F89">
      <w:pPr>
        <w:shd w:val="clear" w:color="auto" w:fill="FFFFFF"/>
        <w:spacing w:after="0" w:line="276" w:lineRule="auto"/>
        <w:jc w:val="center"/>
        <w:rPr>
          <w:rFonts w:eastAsia="Times New Roman" w:cs="Calibri"/>
          <w:b/>
          <w:bCs/>
          <w:color w:val="auto"/>
          <w:sz w:val="31"/>
          <w:szCs w:val="31"/>
        </w:rPr>
      </w:pPr>
      <w:r w:rsidRPr="00B23A1C">
        <w:rPr>
          <w:rFonts w:eastAsia="Times New Roman" w:cs="Calibri"/>
          <w:b/>
          <w:bCs/>
          <w:color w:val="auto"/>
          <w:sz w:val="31"/>
          <w:szCs w:val="31"/>
        </w:rPr>
        <w:t xml:space="preserve">CORONAVIRUS: </w:t>
      </w:r>
      <w:r w:rsidR="007C27F4">
        <w:rPr>
          <w:rFonts w:eastAsia="Times New Roman" w:cs="Calibri"/>
          <w:b/>
          <w:bCs/>
          <w:color w:val="auto"/>
          <w:sz w:val="31"/>
          <w:szCs w:val="31"/>
        </w:rPr>
        <w:t xml:space="preserve">FRENA L’INCREMENTO DEI CASI (+3%), </w:t>
      </w:r>
      <w:r w:rsidR="007C5375">
        <w:rPr>
          <w:rFonts w:eastAsia="Times New Roman" w:cs="Calibri"/>
          <w:b/>
          <w:bCs/>
          <w:color w:val="auto"/>
          <w:sz w:val="31"/>
          <w:szCs w:val="31"/>
        </w:rPr>
        <w:br/>
      </w:r>
      <w:r w:rsidR="007C27F4">
        <w:rPr>
          <w:rFonts w:eastAsia="Times New Roman" w:cs="Calibri"/>
          <w:b/>
          <w:bCs/>
          <w:color w:val="auto"/>
          <w:sz w:val="31"/>
          <w:szCs w:val="31"/>
        </w:rPr>
        <w:t xml:space="preserve">MA </w:t>
      </w:r>
      <w:r w:rsidR="007C5375">
        <w:rPr>
          <w:rFonts w:eastAsia="Times New Roman" w:cs="Calibri"/>
          <w:b/>
          <w:bCs/>
          <w:color w:val="auto"/>
          <w:sz w:val="31"/>
          <w:szCs w:val="31"/>
        </w:rPr>
        <w:t xml:space="preserve">I DECESSI AUMENTANO DEL </w:t>
      </w:r>
      <w:r w:rsidR="005A2F89">
        <w:rPr>
          <w:rFonts w:eastAsia="Times New Roman" w:cs="Calibri"/>
          <w:b/>
          <w:bCs/>
          <w:color w:val="auto"/>
          <w:sz w:val="31"/>
          <w:szCs w:val="31"/>
        </w:rPr>
        <w:t xml:space="preserve">49,7% </w:t>
      </w:r>
      <w:r w:rsidR="007C27F4">
        <w:rPr>
          <w:rFonts w:eastAsia="Times New Roman" w:cs="Calibri"/>
          <w:b/>
          <w:bCs/>
          <w:color w:val="auto"/>
          <w:sz w:val="31"/>
          <w:szCs w:val="31"/>
        </w:rPr>
        <w:t>IN 7 GIORNI</w:t>
      </w:r>
      <w:r w:rsidR="005A2F89">
        <w:rPr>
          <w:rFonts w:eastAsia="Times New Roman" w:cs="Calibri"/>
          <w:b/>
          <w:bCs/>
          <w:color w:val="auto"/>
          <w:sz w:val="31"/>
          <w:szCs w:val="31"/>
        </w:rPr>
        <w:t xml:space="preserve">. </w:t>
      </w:r>
      <w:r w:rsidR="005A2F89">
        <w:rPr>
          <w:rFonts w:eastAsia="Times New Roman" w:cs="Calibri"/>
          <w:b/>
          <w:bCs/>
          <w:color w:val="auto"/>
          <w:sz w:val="31"/>
          <w:szCs w:val="31"/>
        </w:rPr>
        <w:br/>
      </w:r>
      <w:r w:rsidR="009152C6">
        <w:rPr>
          <w:rFonts w:eastAsia="Times New Roman" w:cs="Calibri"/>
          <w:b/>
          <w:bCs/>
          <w:color w:val="auto"/>
          <w:sz w:val="31"/>
          <w:szCs w:val="31"/>
        </w:rPr>
        <w:t xml:space="preserve">RALLENTA </w:t>
      </w:r>
      <w:r w:rsidRPr="00B23A1C">
        <w:rPr>
          <w:rFonts w:eastAsia="Times New Roman" w:cs="Calibri"/>
          <w:b/>
          <w:bCs/>
          <w:color w:val="auto"/>
          <w:sz w:val="31"/>
          <w:szCs w:val="31"/>
        </w:rPr>
        <w:t>L’</w:t>
      </w:r>
      <w:r w:rsidR="00EF0408">
        <w:rPr>
          <w:rFonts w:eastAsia="Times New Roman" w:cs="Calibri"/>
          <w:b/>
          <w:bCs/>
          <w:color w:val="auto"/>
          <w:sz w:val="31"/>
          <w:szCs w:val="31"/>
        </w:rPr>
        <w:t xml:space="preserve">AUMENTO </w:t>
      </w:r>
      <w:r w:rsidRPr="00B23A1C">
        <w:rPr>
          <w:rFonts w:eastAsia="Times New Roman" w:cs="Calibri"/>
          <w:b/>
          <w:bCs/>
          <w:color w:val="auto"/>
          <w:sz w:val="31"/>
          <w:szCs w:val="31"/>
        </w:rPr>
        <w:t xml:space="preserve">DI RICOVERI (+14%) </w:t>
      </w:r>
      <w:r w:rsidR="009152C6">
        <w:rPr>
          <w:rFonts w:eastAsia="Times New Roman" w:cs="Calibri"/>
          <w:b/>
          <w:bCs/>
          <w:color w:val="auto"/>
          <w:sz w:val="31"/>
          <w:szCs w:val="31"/>
        </w:rPr>
        <w:t xml:space="preserve">E </w:t>
      </w:r>
      <w:r w:rsidRPr="00B23A1C">
        <w:rPr>
          <w:rFonts w:eastAsia="Times New Roman" w:cs="Calibri"/>
          <w:b/>
          <w:bCs/>
          <w:color w:val="auto"/>
          <w:sz w:val="31"/>
          <w:szCs w:val="31"/>
        </w:rPr>
        <w:t>TERAPIE INTENSIVE</w:t>
      </w:r>
      <w:r w:rsidR="009152C6">
        <w:rPr>
          <w:rFonts w:eastAsia="Times New Roman" w:cs="Calibri"/>
          <w:b/>
          <w:bCs/>
          <w:color w:val="auto"/>
          <w:sz w:val="31"/>
          <w:szCs w:val="31"/>
        </w:rPr>
        <w:t xml:space="preserve"> (+2,3%), </w:t>
      </w:r>
      <w:r>
        <w:rPr>
          <w:rFonts w:eastAsia="Times New Roman" w:cs="Calibri"/>
          <w:b/>
          <w:bCs/>
          <w:color w:val="auto"/>
          <w:sz w:val="31"/>
          <w:szCs w:val="31"/>
        </w:rPr>
        <w:t xml:space="preserve">MA OSPEDALI </w:t>
      </w:r>
      <w:r w:rsidR="00E76C33">
        <w:rPr>
          <w:rFonts w:eastAsia="Times New Roman" w:cs="Calibri"/>
          <w:b/>
          <w:bCs/>
          <w:color w:val="auto"/>
          <w:sz w:val="31"/>
          <w:szCs w:val="31"/>
        </w:rPr>
        <w:t xml:space="preserve">ANCORA </w:t>
      </w:r>
      <w:r>
        <w:rPr>
          <w:rFonts w:eastAsia="Times New Roman" w:cs="Calibri"/>
          <w:b/>
          <w:bCs/>
          <w:color w:val="auto"/>
          <w:sz w:val="31"/>
          <w:szCs w:val="31"/>
        </w:rPr>
        <w:t>SOTTO PRESSIONE</w:t>
      </w:r>
      <w:r w:rsidRPr="00B23A1C">
        <w:rPr>
          <w:rFonts w:eastAsia="Times New Roman" w:cs="Calibri"/>
          <w:b/>
          <w:bCs/>
          <w:color w:val="auto"/>
          <w:sz w:val="31"/>
          <w:szCs w:val="31"/>
        </w:rPr>
        <w:t>.</w:t>
      </w:r>
      <w:r>
        <w:rPr>
          <w:rFonts w:eastAsia="Times New Roman" w:cs="Calibri"/>
          <w:b/>
          <w:bCs/>
          <w:color w:val="auto"/>
          <w:sz w:val="31"/>
          <w:szCs w:val="31"/>
        </w:rPr>
        <w:t xml:space="preserve"> </w:t>
      </w:r>
    </w:p>
    <w:p w:rsidR="00760CD8" w:rsidRPr="00C723FA" w:rsidRDefault="00760CD8" w:rsidP="00760CD8">
      <w:pPr>
        <w:shd w:val="clear" w:color="auto" w:fill="FFFFFF"/>
        <w:spacing w:after="0" w:line="276" w:lineRule="auto"/>
        <w:jc w:val="center"/>
        <w:rPr>
          <w:rFonts w:eastAsia="Times New Roman" w:cs="Calibri"/>
          <w:b/>
          <w:bCs/>
          <w:color w:val="auto"/>
          <w:sz w:val="31"/>
          <w:szCs w:val="31"/>
        </w:rPr>
      </w:pPr>
      <w:r w:rsidRPr="00C723FA">
        <w:rPr>
          <w:rFonts w:eastAsia="Times New Roman" w:cs="Calibri"/>
          <w:b/>
          <w:bCs/>
          <w:color w:val="auto"/>
          <w:sz w:val="31"/>
          <w:szCs w:val="31"/>
        </w:rPr>
        <w:t xml:space="preserve">VACCINI: </w:t>
      </w:r>
      <w:r>
        <w:rPr>
          <w:rFonts w:eastAsia="Times New Roman" w:cs="Calibri"/>
          <w:b/>
          <w:bCs/>
          <w:color w:val="auto"/>
          <w:sz w:val="31"/>
          <w:szCs w:val="31"/>
        </w:rPr>
        <w:t>L’OBBLIGO SPINGE LE PRIME DOSI DEGLI OVER 50 (+28,1%</w:t>
      </w:r>
      <w:r w:rsidR="00BD3048">
        <w:rPr>
          <w:rFonts w:eastAsia="Times New Roman" w:cs="Calibri"/>
          <w:b/>
          <w:bCs/>
          <w:color w:val="auto"/>
          <w:sz w:val="31"/>
          <w:szCs w:val="31"/>
        </w:rPr>
        <w:t>)</w:t>
      </w:r>
      <w:r w:rsidR="007C27F4">
        <w:rPr>
          <w:rFonts w:eastAsia="Times New Roman" w:cs="Calibri"/>
          <w:b/>
          <w:bCs/>
          <w:color w:val="auto"/>
          <w:sz w:val="31"/>
          <w:szCs w:val="31"/>
        </w:rPr>
        <w:t>.</w:t>
      </w:r>
    </w:p>
    <w:p w:rsidR="00AD7144" w:rsidRPr="00B75A29" w:rsidRDefault="007C5375" w:rsidP="00AD7144">
      <w:pPr>
        <w:shd w:val="clear" w:color="auto" w:fill="FFFFFF"/>
        <w:spacing w:after="0" w:line="276" w:lineRule="auto"/>
        <w:jc w:val="center"/>
        <w:rPr>
          <w:rFonts w:eastAsia="Times New Roman" w:cs="Calibri"/>
          <w:b/>
          <w:bCs/>
          <w:color w:val="FF0000"/>
          <w:sz w:val="32"/>
          <w:szCs w:val="32"/>
        </w:rPr>
      </w:pPr>
      <w:r>
        <w:rPr>
          <w:rFonts w:eastAsia="Times New Roman" w:cs="Calibri"/>
          <w:b/>
          <w:bCs/>
          <w:color w:val="auto"/>
          <w:sz w:val="31"/>
          <w:szCs w:val="31"/>
        </w:rPr>
        <w:t xml:space="preserve">PROPOSTE DELLE REGIONI SU </w:t>
      </w:r>
      <w:r w:rsidR="007C27F4">
        <w:rPr>
          <w:rFonts w:eastAsia="Times New Roman" w:cs="Calibri"/>
          <w:b/>
          <w:bCs/>
          <w:color w:val="auto"/>
          <w:sz w:val="31"/>
          <w:szCs w:val="31"/>
        </w:rPr>
        <w:t xml:space="preserve">GESTIONE PANDEMIA: </w:t>
      </w:r>
      <w:r>
        <w:rPr>
          <w:rFonts w:eastAsia="Times New Roman" w:cs="Calibri"/>
          <w:b/>
          <w:bCs/>
          <w:color w:val="auto"/>
          <w:sz w:val="31"/>
          <w:szCs w:val="31"/>
        </w:rPr>
        <w:t xml:space="preserve">ALCUNE </w:t>
      </w:r>
      <w:r w:rsidR="00DA2B04">
        <w:rPr>
          <w:rFonts w:eastAsia="Times New Roman" w:cs="Calibri"/>
          <w:b/>
          <w:bCs/>
          <w:color w:val="auto"/>
          <w:sz w:val="31"/>
          <w:szCs w:val="31"/>
        </w:rPr>
        <w:t>INAPPLICABILI</w:t>
      </w:r>
      <w:r>
        <w:rPr>
          <w:rFonts w:eastAsia="Times New Roman" w:cs="Calibri"/>
          <w:b/>
          <w:bCs/>
          <w:color w:val="auto"/>
          <w:sz w:val="31"/>
          <w:szCs w:val="31"/>
        </w:rPr>
        <w:t xml:space="preserve"> E RISCHIOSE, ALTRE CONDIVISIBILI MA DA INTEGRARE</w:t>
      </w:r>
      <w:r w:rsidR="00AD7144" w:rsidRPr="00213592">
        <w:rPr>
          <w:rFonts w:eastAsia="Times New Roman" w:cs="Calibri"/>
          <w:b/>
          <w:bCs/>
          <w:color w:val="auto"/>
          <w:sz w:val="31"/>
          <w:szCs w:val="31"/>
        </w:rPr>
        <w:t xml:space="preserve"> </w:t>
      </w:r>
    </w:p>
    <w:p w:rsidR="00AD7144" w:rsidRPr="00213592" w:rsidRDefault="00760CD8" w:rsidP="00AD7144">
      <w:pPr>
        <w:shd w:val="clear" w:color="auto" w:fill="FFFFFF"/>
        <w:spacing w:after="200" w:line="276" w:lineRule="auto"/>
        <w:jc w:val="both"/>
        <w:rPr>
          <w:rFonts w:eastAsia="Times New Roman" w:cs="Calibri"/>
          <w:b/>
          <w:bCs/>
          <w:color w:val="auto"/>
          <w:sz w:val="24"/>
          <w:szCs w:val="24"/>
        </w:rPr>
      </w:pPr>
      <w:r w:rsidRPr="00C723FA">
        <w:rPr>
          <w:rFonts w:eastAsia="Times New Roman" w:cs="Calibri"/>
          <w:b/>
          <w:bCs/>
          <w:color w:val="auto"/>
          <w:sz w:val="24"/>
          <w:szCs w:val="24"/>
        </w:rPr>
        <w:t>IL MONITORAGGIO DELLA FONDAZIONE GIMBE RILEVA, NELLA SETTIMANA 12-18 GENNAIO, UNA STABILIZZAZIONE DEI NUOVI CASI A QUOTA 1,2 MILIONI</w:t>
      </w:r>
      <w:r>
        <w:rPr>
          <w:rFonts w:eastAsia="Times New Roman" w:cs="Calibri"/>
          <w:b/>
          <w:bCs/>
          <w:color w:val="auto"/>
          <w:sz w:val="24"/>
          <w:szCs w:val="24"/>
        </w:rPr>
        <w:t xml:space="preserve"> </w:t>
      </w:r>
      <w:r w:rsidR="00EF0408">
        <w:rPr>
          <w:rFonts w:eastAsia="Times New Roman" w:cs="Calibri"/>
          <w:b/>
          <w:bCs/>
          <w:color w:val="auto"/>
          <w:sz w:val="24"/>
          <w:szCs w:val="24"/>
        </w:rPr>
        <w:t>E UN AUMENTO DEL</w:t>
      </w:r>
      <w:r w:rsidR="007C27F4">
        <w:rPr>
          <w:rFonts w:eastAsia="Times New Roman" w:cs="Calibri"/>
          <w:b/>
          <w:bCs/>
          <w:color w:val="auto"/>
          <w:sz w:val="24"/>
          <w:szCs w:val="24"/>
        </w:rPr>
        <w:t>LE</w:t>
      </w:r>
      <w:r w:rsidRPr="00760CD8">
        <w:rPr>
          <w:rFonts w:eastAsia="Times New Roman" w:cs="Calibri"/>
          <w:b/>
          <w:bCs/>
          <w:color w:val="auto"/>
          <w:sz w:val="24"/>
          <w:szCs w:val="24"/>
        </w:rPr>
        <w:t xml:space="preserve"> OSPEDALIZZAZIONI</w:t>
      </w:r>
      <w:r w:rsidR="00EF0408">
        <w:rPr>
          <w:rFonts w:eastAsia="Times New Roman" w:cs="Calibri"/>
          <w:b/>
          <w:bCs/>
          <w:color w:val="auto"/>
          <w:sz w:val="24"/>
          <w:szCs w:val="24"/>
        </w:rPr>
        <w:t>:</w:t>
      </w:r>
      <w:r w:rsidR="00BD3048">
        <w:rPr>
          <w:rFonts w:eastAsia="Times New Roman" w:cs="Calibri"/>
          <w:b/>
          <w:bCs/>
          <w:color w:val="auto"/>
          <w:sz w:val="24"/>
          <w:szCs w:val="24"/>
        </w:rPr>
        <w:t xml:space="preserve"> +</w:t>
      </w:r>
      <w:r w:rsidRPr="000C38B6">
        <w:rPr>
          <w:rFonts w:eastAsia="Times New Roman" w:cs="Calibri"/>
          <w:b/>
          <w:bCs/>
          <w:color w:val="auto"/>
          <w:sz w:val="24"/>
          <w:szCs w:val="24"/>
        </w:rPr>
        <w:t>2.381</w:t>
      </w:r>
      <w:r w:rsidR="00BD3048">
        <w:rPr>
          <w:rFonts w:eastAsia="Times New Roman" w:cs="Calibri"/>
          <w:b/>
          <w:bCs/>
          <w:color w:val="auto"/>
          <w:sz w:val="24"/>
          <w:szCs w:val="24"/>
        </w:rPr>
        <w:t xml:space="preserve"> PAZIENTI IN AREA MEDICA, +38 </w:t>
      </w:r>
      <w:r w:rsidRPr="000C38B6">
        <w:rPr>
          <w:rFonts w:eastAsia="Times New Roman" w:cs="Calibri"/>
          <w:b/>
          <w:bCs/>
          <w:color w:val="auto"/>
          <w:sz w:val="24"/>
          <w:szCs w:val="24"/>
        </w:rPr>
        <w:t xml:space="preserve">IN TERAPIA INTENSIVA. </w:t>
      </w:r>
      <w:r w:rsidRPr="00C723FA">
        <w:rPr>
          <w:rFonts w:eastAsia="Times New Roman" w:cs="Calibri"/>
          <w:b/>
          <w:bCs/>
          <w:color w:val="auto"/>
          <w:sz w:val="24"/>
          <w:szCs w:val="24"/>
        </w:rPr>
        <w:t xml:space="preserve"> </w:t>
      </w:r>
      <w:r>
        <w:rPr>
          <w:rFonts w:eastAsia="Times New Roman" w:cs="Calibri"/>
          <w:b/>
          <w:bCs/>
          <w:color w:val="auto"/>
          <w:sz w:val="24"/>
          <w:szCs w:val="24"/>
        </w:rPr>
        <w:t>L’</w:t>
      </w:r>
      <w:r w:rsidRPr="000C38B6">
        <w:rPr>
          <w:rFonts w:eastAsia="Times New Roman" w:cs="Calibri"/>
          <w:b/>
          <w:bCs/>
          <w:color w:val="auto"/>
          <w:sz w:val="24"/>
          <w:szCs w:val="24"/>
        </w:rPr>
        <w:t xml:space="preserve">INCIDENZA SUPERA I 2.000 </w:t>
      </w:r>
      <w:r w:rsidR="00BD3048">
        <w:rPr>
          <w:rFonts w:eastAsia="Times New Roman" w:cs="Calibri"/>
          <w:b/>
          <w:bCs/>
          <w:color w:val="auto"/>
          <w:sz w:val="24"/>
          <w:szCs w:val="24"/>
        </w:rPr>
        <w:t xml:space="preserve">CASI </w:t>
      </w:r>
      <w:r w:rsidRPr="000C38B6">
        <w:rPr>
          <w:rFonts w:eastAsia="Times New Roman" w:cs="Calibri"/>
          <w:b/>
          <w:bCs/>
          <w:color w:val="auto"/>
          <w:sz w:val="24"/>
          <w:szCs w:val="24"/>
        </w:rPr>
        <w:t xml:space="preserve">PER 100.000 ABITANTI IN 58 PROVINCE. </w:t>
      </w:r>
      <w:r>
        <w:rPr>
          <w:rFonts w:eastAsia="Times New Roman" w:cs="Calibri"/>
          <w:b/>
          <w:bCs/>
          <w:color w:val="auto"/>
          <w:sz w:val="24"/>
          <w:szCs w:val="24"/>
        </w:rPr>
        <w:t>L’</w:t>
      </w:r>
      <w:r w:rsidRPr="000C38B6">
        <w:rPr>
          <w:rFonts w:eastAsia="Times New Roman" w:cs="Calibri"/>
          <w:b/>
          <w:bCs/>
          <w:color w:val="auto"/>
          <w:sz w:val="24"/>
          <w:szCs w:val="24"/>
        </w:rPr>
        <w:t>83,7% DELLA POPOLAZIONE HA RICEVUTO ALMENO UNA DOSE DI VACCINO</w:t>
      </w:r>
      <w:r>
        <w:rPr>
          <w:rFonts w:eastAsia="Times New Roman" w:cs="Calibri"/>
          <w:b/>
          <w:bCs/>
          <w:color w:val="auto"/>
          <w:sz w:val="24"/>
          <w:szCs w:val="24"/>
        </w:rPr>
        <w:t xml:space="preserve"> </w:t>
      </w:r>
      <w:r w:rsidRPr="000C38B6">
        <w:rPr>
          <w:rFonts w:eastAsia="Times New Roman" w:cs="Calibri"/>
          <w:b/>
          <w:bCs/>
          <w:color w:val="auto"/>
          <w:sz w:val="24"/>
          <w:szCs w:val="24"/>
        </w:rPr>
        <w:t>E IL 79,6% HA COMPLETATO IL CICLO VACCINALE</w:t>
      </w:r>
      <w:r>
        <w:rPr>
          <w:rFonts w:eastAsia="Times New Roman" w:cs="Calibri"/>
          <w:b/>
          <w:bCs/>
          <w:color w:val="auto"/>
          <w:sz w:val="24"/>
          <w:szCs w:val="24"/>
        </w:rPr>
        <w:t xml:space="preserve">. NEGLI ULTIMI 7 GIORNI, </w:t>
      </w:r>
      <w:r w:rsidRPr="000C38B6">
        <w:rPr>
          <w:rFonts w:eastAsia="Times New Roman" w:cs="Calibri"/>
          <w:b/>
          <w:bCs/>
          <w:color w:val="auto"/>
          <w:sz w:val="24"/>
          <w:szCs w:val="24"/>
        </w:rPr>
        <w:t>STABIL</w:t>
      </w:r>
      <w:r>
        <w:rPr>
          <w:rFonts w:eastAsia="Times New Roman" w:cs="Calibri"/>
          <w:b/>
          <w:bCs/>
          <w:color w:val="auto"/>
          <w:sz w:val="24"/>
          <w:szCs w:val="24"/>
        </w:rPr>
        <w:t>I LE NUOVE VACCINAZIONI NEL</w:t>
      </w:r>
      <w:r w:rsidRPr="000C38B6">
        <w:rPr>
          <w:rFonts w:eastAsia="Times New Roman" w:cs="Calibri"/>
          <w:b/>
          <w:bCs/>
          <w:color w:val="auto"/>
          <w:sz w:val="24"/>
          <w:szCs w:val="24"/>
        </w:rPr>
        <w:t>LA FASCIA 5-11 (240.920) CHE RAPPRESENTA</w:t>
      </w:r>
      <w:r w:rsidR="00BD3048">
        <w:rPr>
          <w:rFonts w:eastAsia="Times New Roman" w:cs="Calibri"/>
          <w:b/>
          <w:bCs/>
          <w:color w:val="auto"/>
          <w:sz w:val="24"/>
          <w:szCs w:val="24"/>
        </w:rPr>
        <w:t>NO</w:t>
      </w:r>
      <w:r w:rsidRPr="000C38B6">
        <w:rPr>
          <w:rFonts w:eastAsia="Times New Roman" w:cs="Calibri"/>
          <w:b/>
          <w:bCs/>
          <w:color w:val="auto"/>
          <w:sz w:val="24"/>
          <w:szCs w:val="24"/>
        </w:rPr>
        <w:t xml:space="preserve"> QUASI METÀ </w:t>
      </w:r>
      <w:r>
        <w:rPr>
          <w:rFonts w:eastAsia="Times New Roman" w:cs="Calibri"/>
          <w:b/>
          <w:bCs/>
          <w:color w:val="auto"/>
          <w:sz w:val="24"/>
          <w:szCs w:val="24"/>
        </w:rPr>
        <w:t>DELLE PRIME DOSI.</w:t>
      </w:r>
      <w:r w:rsidRPr="000C38B6">
        <w:rPr>
          <w:b/>
        </w:rPr>
        <w:t xml:space="preserve"> </w:t>
      </w:r>
      <w:r w:rsidRPr="000C38B6">
        <w:rPr>
          <w:rFonts w:eastAsia="Times New Roman" w:cs="Calibri"/>
          <w:b/>
          <w:bCs/>
          <w:color w:val="auto"/>
          <w:sz w:val="24"/>
          <w:szCs w:val="24"/>
        </w:rPr>
        <w:t xml:space="preserve">ANCORA </w:t>
      </w:r>
      <w:r w:rsidR="007C27F4" w:rsidRPr="000C38B6">
        <w:rPr>
          <w:rFonts w:eastAsia="Times New Roman" w:cs="Calibri"/>
          <w:b/>
          <w:bCs/>
          <w:color w:val="auto"/>
          <w:sz w:val="24"/>
          <w:szCs w:val="24"/>
        </w:rPr>
        <w:t>SCOPERT</w:t>
      </w:r>
      <w:r w:rsidR="007C27F4">
        <w:rPr>
          <w:rFonts w:eastAsia="Times New Roman" w:cs="Calibri"/>
          <w:b/>
          <w:bCs/>
          <w:color w:val="auto"/>
          <w:sz w:val="24"/>
          <w:szCs w:val="24"/>
        </w:rPr>
        <w:t>E 8,1 MILIONI DI PERSONE DI CUI</w:t>
      </w:r>
      <w:r w:rsidR="007C27F4" w:rsidRPr="000C38B6">
        <w:rPr>
          <w:rFonts w:eastAsia="Times New Roman" w:cs="Calibri"/>
          <w:b/>
          <w:bCs/>
          <w:color w:val="auto"/>
          <w:sz w:val="24"/>
          <w:szCs w:val="24"/>
        </w:rPr>
        <w:t xml:space="preserve"> </w:t>
      </w:r>
      <w:r>
        <w:rPr>
          <w:rFonts w:eastAsia="Times New Roman" w:cs="Calibri"/>
          <w:b/>
          <w:bCs/>
          <w:color w:val="auto"/>
          <w:sz w:val="24"/>
          <w:szCs w:val="24"/>
        </w:rPr>
        <w:t>OLTRE 2</w:t>
      </w:r>
      <w:r w:rsidRPr="000C38B6">
        <w:rPr>
          <w:rFonts w:eastAsia="Times New Roman" w:cs="Calibri"/>
          <w:b/>
          <w:bCs/>
          <w:color w:val="auto"/>
          <w:sz w:val="24"/>
          <w:szCs w:val="24"/>
        </w:rPr>
        <w:t xml:space="preserve"> MILIONI DI OVER 50 AD ELEVATO RISCHIO DI MALATTIA GRAVE E OSPEDALIZZAZIONE</w:t>
      </w:r>
      <w:r>
        <w:rPr>
          <w:rFonts w:eastAsia="Times New Roman" w:cs="Calibri"/>
          <w:b/>
          <w:bCs/>
          <w:color w:val="auto"/>
          <w:sz w:val="24"/>
          <w:szCs w:val="24"/>
        </w:rPr>
        <w:t xml:space="preserve">. TERZE DOSI: </w:t>
      </w:r>
      <w:r w:rsidRPr="003F43ED">
        <w:rPr>
          <w:rFonts w:eastAsia="Times New Roman" w:cs="Calibri"/>
          <w:b/>
          <w:bCs/>
          <w:color w:val="auto"/>
          <w:sz w:val="24"/>
          <w:szCs w:val="24"/>
        </w:rPr>
        <w:t xml:space="preserve">TASSO DI COPERTURA </w:t>
      </w:r>
      <w:r>
        <w:rPr>
          <w:rFonts w:eastAsia="Times New Roman" w:cs="Calibri"/>
          <w:b/>
          <w:bCs/>
          <w:color w:val="auto"/>
          <w:sz w:val="24"/>
          <w:szCs w:val="24"/>
        </w:rPr>
        <w:t>AL</w:t>
      </w:r>
      <w:r w:rsidRPr="003F43ED">
        <w:rPr>
          <w:rFonts w:eastAsia="Times New Roman" w:cs="Calibri"/>
          <w:b/>
          <w:bCs/>
          <w:color w:val="auto"/>
          <w:sz w:val="24"/>
          <w:szCs w:val="24"/>
        </w:rPr>
        <w:t xml:space="preserve"> 70,8% CON NETTE DIFFERENZE REGIONALI</w:t>
      </w:r>
      <w:r>
        <w:rPr>
          <w:rFonts w:eastAsia="Times New Roman" w:cs="Calibri"/>
          <w:b/>
          <w:bCs/>
          <w:color w:val="auto"/>
          <w:sz w:val="24"/>
          <w:szCs w:val="24"/>
        </w:rPr>
        <w:t xml:space="preserve">. </w:t>
      </w:r>
      <w:r w:rsidR="00AD7144" w:rsidRPr="00E76C33">
        <w:rPr>
          <w:rFonts w:eastAsia="Times New Roman" w:cs="Calibri"/>
          <w:b/>
          <w:bCs/>
          <w:color w:val="auto"/>
          <w:sz w:val="24"/>
          <w:szCs w:val="24"/>
        </w:rPr>
        <w:t xml:space="preserve">INAPPLICABILI </w:t>
      </w:r>
      <w:r w:rsidR="00E76C33" w:rsidRPr="00E76C33">
        <w:rPr>
          <w:rFonts w:eastAsia="Times New Roman" w:cs="Calibri"/>
          <w:b/>
          <w:bCs/>
          <w:color w:val="auto"/>
          <w:sz w:val="24"/>
          <w:szCs w:val="24"/>
        </w:rPr>
        <w:t xml:space="preserve">E RISCHIOSE </w:t>
      </w:r>
      <w:r w:rsidR="00AD7144" w:rsidRPr="00E76C33">
        <w:rPr>
          <w:rFonts w:eastAsia="Times New Roman" w:cs="Calibri"/>
          <w:b/>
          <w:bCs/>
          <w:color w:val="auto"/>
          <w:sz w:val="24"/>
          <w:szCs w:val="24"/>
        </w:rPr>
        <w:t>LE RICHIESTE DELLE REGIONI DI MODIFIC</w:t>
      </w:r>
      <w:r w:rsidR="007C27F4">
        <w:rPr>
          <w:rFonts w:eastAsia="Times New Roman" w:cs="Calibri"/>
          <w:b/>
          <w:bCs/>
          <w:color w:val="auto"/>
          <w:sz w:val="24"/>
          <w:szCs w:val="24"/>
        </w:rPr>
        <w:t>ARE</w:t>
      </w:r>
      <w:r w:rsidR="00AD7144" w:rsidRPr="00E76C33">
        <w:rPr>
          <w:rFonts w:eastAsia="Times New Roman" w:cs="Calibri"/>
          <w:b/>
          <w:bCs/>
          <w:color w:val="auto"/>
          <w:sz w:val="24"/>
          <w:szCs w:val="24"/>
        </w:rPr>
        <w:t xml:space="preserve"> LE DEFINIZIONI DI CASO E RICOVERO COVID-19 E </w:t>
      </w:r>
      <w:r w:rsidR="007C27F4">
        <w:rPr>
          <w:rFonts w:eastAsia="Times New Roman" w:cs="Calibri"/>
          <w:b/>
          <w:bCs/>
          <w:color w:val="auto"/>
          <w:sz w:val="24"/>
          <w:szCs w:val="24"/>
        </w:rPr>
        <w:t>DI MANTENERE IN SERVIZIO G</w:t>
      </w:r>
      <w:r w:rsidR="00AD7144" w:rsidRPr="00E76C33">
        <w:rPr>
          <w:rFonts w:eastAsia="Times New Roman" w:cs="Calibri"/>
          <w:b/>
          <w:bCs/>
          <w:color w:val="auto"/>
          <w:sz w:val="24"/>
          <w:szCs w:val="24"/>
        </w:rPr>
        <w:t>LI OPERATORI SANITARI POSITIVI</w:t>
      </w:r>
      <w:r w:rsidR="00E76C33" w:rsidRPr="00E76C33">
        <w:rPr>
          <w:rFonts w:eastAsia="Times New Roman" w:cs="Calibri"/>
          <w:b/>
          <w:bCs/>
          <w:color w:val="auto"/>
          <w:sz w:val="24"/>
          <w:szCs w:val="24"/>
        </w:rPr>
        <w:t xml:space="preserve">. </w:t>
      </w:r>
      <w:r w:rsidR="007C27F4">
        <w:rPr>
          <w:rFonts w:eastAsia="Times New Roman" w:cs="Calibri"/>
          <w:b/>
          <w:bCs/>
          <w:color w:val="auto"/>
          <w:sz w:val="24"/>
          <w:szCs w:val="24"/>
        </w:rPr>
        <w:t>CONDIVISIBILI</w:t>
      </w:r>
      <w:r w:rsidR="00EF0408">
        <w:rPr>
          <w:rFonts w:eastAsia="Times New Roman" w:cs="Calibri"/>
          <w:b/>
          <w:bCs/>
          <w:color w:val="auto"/>
          <w:sz w:val="24"/>
          <w:szCs w:val="24"/>
        </w:rPr>
        <w:t>,</w:t>
      </w:r>
      <w:r w:rsidR="007C27F4" w:rsidRPr="00E76C33">
        <w:rPr>
          <w:rFonts w:eastAsia="Times New Roman" w:cs="Calibri"/>
          <w:b/>
          <w:bCs/>
          <w:color w:val="auto"/>
          <w:sz w:val="24"/>
          <w:szCs w:val="24"/>
        </w:rPr>
        <w:t xml:space="preserve"> </w:t>
      </w:r>
      <w:r w:rsidR="007C27F4">
        <w:rPr>
          <w:rFonts w:eastAsia="Times New Roman" w:cs="Calibri"/>
          <w:b/>
          <w:bCs/>
          <w:color w:val="auto"/>
          <w:sz w:val="24"/>
          <w:szCs w:val="24"/>
        </w:rPr>
        <w:t>MA DA INTEGRARE</w:t>
      </w:r>
      <w:r w:rsidR="00EF0408">
        <w:rPr>
          <w:rFonts w:eastAsia="Times New Roman" w:cs="Calibri"/>
          <w:b/>
          <w:bCs/>
          <w:color w:val="auto"/>
          <w:sz w:val="24"/>
          <w:szCs w:val="24"/>
        </w:rPr>
        <w:t>,</w:t>
      </w:r>
      <w:r w:rsidR="007C27F4">
        <w:rPr>
          <w:rFonts w:eastAsia="Times New Roman" w:cs="Calibri"/>
          <w:b/>
          <w:bCs/>
          <w:color w:val="auto"/>
          <w:sz w:val="24"/>
          <w:szCs w:val="24"/>
        </w:rPr>
        <w:t xml:space="preserve"> </w:t>
      </w:r>
      <w:r w:rsidR="00B75A29" w:rsidRPr="00E76C33">
        <w:rPr>
          <w:rFonts w:eastAsia="Times New Roman" w:cs="Calibri"/>
          <w:b/>
          <w:bCs/>
          <w:color w:val="auto"/>
          <w:sz w:val="24"/>
          <w:szCs w:val="24"/>
        </w:rPr>
        <w:t xml:space="preserve">QUELLE </w:t>
      </w:r>
      <w:r w:rsidR="00AD7144" w:rsidRPr="00E76C33">
        <w:rPr>
          <w:rFonts w:eastAsia="Times New Roman" w:cs="Calibri"/>
          <w:b/>
          <w:bCs/>
          <w:color w:val="auto"/>
          <w:sz w:val="24"/>
          <w:szCs w:val="24"/>
        </w:rPr>
        <w:t>RELATIVE AL CONTACT TRACING E ALLE SCUOLE PRIMARIE</w:t>
      </w:r>
      <w:r w:rsidR="007C27F4">
        <w:rPr>
          <w:rFonts w:eastAsia="Times New Roman" w:cs="Calibri"/>
          <w:b/>
          <w:bCs/>
          <w:color w:val="auto"/>
          <w:sz w:val="24"/>
          <w:szCs w:val="24"/>
        </w:rPr>
        <w:t>.</w:t>
      </w:r>
    </w:p>
    <w:p w:rsidR="006C1992" w:rsidRPr="00916DF2" w:rsidRDefault="00D8764F" w:rsidP="0064366A">
      <w:pPr>
        <w:spacing w:after="200" w:line="276" w:lineRule="auto"/>
        <w:jc w:val="center"/>
        <w:rPr>
          <w:b/>
          <w:bCs/>
          <w:color w:val="auto"/>
          <w:spacing w:val="-2"/>
          <w:sz w:val="32"/>
          <w:szCs w:val="32"/>
        </w:rPr>
      </w:pPr>
      <w:r>
        <w:rPr>
          <w:rFonts w:cs="Calibri"/>
          <w:b/>
          <w:bCs/>
          <w:color w:val="auto"/>
        </w:rPr>
        <w:t>20</w:t>
      </w:r>
      <w:r w:rsidR="007D79B3">
        <w:rPr>
          <w:rFonts w:cs="Calibri"/>
          <w:b/>
          <w:bCs/>
          <w:color w:val="auto"/>
        </w:rPr>
        <w:t xml:space="preserve"> gennaio</w:t>
      </w:r>
      <w:r w:rsidR="0041483C">
        <w:rPr>
          <w:rFonts w:cs="Calibri"/>
          <w:b/>
          <w:bCs/>
          <w:color w:val="auto"/>
        </w:rPr>
        <w:t xml:space="preserve"> </w:t>
      </w:r>
      <w:r w:rsidR="007D79B3">
        <w:rPr>
          <w:rFonts w:cs="Calibri"/>
          <w:b/>
          <w:bCs/>
          <w:color w:val="auto"/>
        </w:rPr>
        <w:t>2022</w:t>
      </w:r>
      <w:r w:rsidR="00B514EF" w:rsidRPr="00916DF2">
        <w:rPr>
          <w:rFonts w:cs="Calibri"/>
          <w:b/>
          <w:bCs/>
          <w:color w:val="auto"/>
        </w:rPr>
        <w:t xml:space="preserve"> - Fondazione GIMBE, Bologna</w:t>
      </w:r>
    </w:p>
    <w:p w:rsidR="0064366A" w:rsidRDefault="0064366A" w:rsidP="00DB3A64">
      <w:pPr>
        <w:spacing w:line="276" w:lineRule="auto"/>
        <w:jc w:val="both"/>
        <w:rPr>
          <w:color w:val="auto"/>
        </w:rPr>
      </w:pPr>
      <w:r w:rsidRPr="0064366A">
        <w:rPr>
          <w:color w:val="auto"/>
        </w:rPr>
        <w:t>Il monitoraggio indipendente della Fondazione GIMBE rileva nella settimana 12-18 gennaio 202</w:t>
      </w:r>
      <w:r>
        <w:rPr>
          <w:color w:val="auto"/>
        </w:rPr>
        <w:t xml:space="preserve">2, rispetto alla precedente, una stabilizzazione </w:t>
      </w:r>
      <w:r w:rsidR="004B6A39">
        <w:rPr>
          <w:color w:val="auto"/>
        </w:rPr>
        <w:t>del numero di</w:t>
      </w:r>
      <w:r w:rsidR="004B6A39" w:rsidRPr="0064366A">
        <w:rPr>
          <w:color w:val="auto"/>
        </w:rPr>
        <w:t xml:space="preserve"> </w:t>
      </w:r>
      <w:r w:rsidRPr="0064366A">
        <w:rPr>
          <w:color w:val="auto"/>
        </w:rPr>
        <w:t>nuovi casi (1.243.789 vs 1.207.689) (</w:t>
      </w:r>
      <w:r w:rsidRPr="0064366A">
        <w:rPr>
          <w:color w:val="auto"/>
          <w:highlight w:val="yellow"/>
        </w:rPr>
        <w:t>figura 1</w:t>
      </w:r>
      <w:r w:rsidRPr="0064366A">
        <w:rPr>
          <w:color w:val="auto"/>
        </w:rPr>
        <w:t>) e un aumento dei decessi (2.266 vs 1.514) (</w:t>
      </w:r>
      <w:r w:rsidRPr="0064366A">
        <w:rPr>
          <w:color w:val="auto"/>
          <w:highlight w:val="yellow"/>
        </w:rPr>
        <w:t>figura 2</w:t>
      </w:r>
      <w:r w:rsidRPr="0064366A">
        <w:rPr>
          <w:color w:val="auto"/>
        </w:rPr>
        <w:t xml:space="preserve">). </w:t>
      </w:r>
      <w:r w:rsidR="00036D6B">
        <w:rPr>
          <w:color w:val="auto"/>
        </w:rPr>
        <w:t xml:space="preserve">Crescono </w:t>
      </w:r>
      <w:r w:rsidRPr="0064366A">
        <w:rPr>
          <w:color w:val="auto"/>
        </w:rPr>
        <w:t>anche i casi attualmente positivi (2.562.156 vs 2.134.139), le persone in isolamento domic</w:t>
      </w:r>
      <w:r w:rsidR="00036D6B">
        <w:rPr>
          <w:color w:val="auto"/>
        </w:rPr>
        <w:t xml:space="preserve">iliare (2.540.993 vs 2.115.395), </w:t>
      </w:r>
      <w:r w:rsidRPr="0064366A">
        <w:rPr>
          <w:color w:val="auto"/>
        </w:rPr>
        <w:t>i ricoveri con sintomi (19.448 vs 17.067) e</w:t>
      </w:r>
      <w:r w:rsidR="00036D6B">
        <w:rPr>
          <w:color w:val="auto"/>
        </w:rPr>
        <w:t xml:space="preserve">, in misura minore, </w:t>
      </w:r>
      <w:r w:rsidRPr="0064366A">
        <w:rPr>
          <w:color w:val="auto"/>
        </w:rPr>
        <w:t>le terapie intensive (1.715 vs 1.677) (</w:t>
      </w:r>
      <w:r w:rsidRPr="0064366A">
        <w:rPr>
          <w:color w:val="auto"/>
          <w:highlight w:val="yellow"/>
        </w:rPr>
        <w:t>figura 3</w:t>
      </w:r>
      <w:r w:rsidRPr="0064366A">
        <w:rPr>
          <w:color w:val="auto"/>
        </w:rPr>
        <w:t>). In dettaglio, rispetto alla settimana precedente, si registrano le seguenti variazioni:</w:t>
      </w:r>
    </w:p>
    <w:p w:rsidR="0064366A" w:rsidRPr="0064366A" w:rsidRDefault="0064366A" w:rsidP="0064366A">
      <w:pPr>
        <w:pStyle w:val="Paragrafoelenco"/>
        <w:numPr>
          <w:ilvl w:val="0"/>
          <w:numId w:val="39"/>
        </w:numPr>
        <w:spacing w:after="0" w:line="276" w:lineRule="auto"/>
        <w:ind w:left="357" w:hanging="357"/>
        <w:jc w:val="both"/>
        <w:rPr>
          <w:color w:val="auto"/>
        </w:rPr>
      </w:pPr>
      <w:r w:rsidRPr="0064366A">
        <w:rPr>
          <w:color w:val="auto"/>
        </w:rPr>
        <w:t>Decessi: 2.266 (+49,7%), di cui 158 riferiti a periodi precedenti</w:t>
      </w:r>
    </w:p>
    <w:p w:rsidR="0064366A" w:rsidRPr="0064366A" w:rsidRDefault="0064366A" w:rsidP="0064366A">
      <w:pPr>
        <w:pStyle w:val="Paragrafoelenco"/>
        <w:numPr>
          <w:ilvl w:val="0"/>
          <w:numId w:val="39"/>
        </w:numPr>
        <w:spacing w:after="0" w:line="276" w:lineRule="auto"/>
        <w:ind w:left="357" w:hanging="357"/>
        <w:jc w:val="both"/>
        <w:rPr>
          <w:color w:val="auto"/>
        </w:rPr>
      </w:pPr>
      <w:r w:rsidRPr="0064366A">
        <w:rPr>
          <w:color w:val="auto"/>
        </w:rPr>
        <w:t>Terapia intensiva: +38 (+2,3%)</w:t>
      </w:r>
    </w:p>
    <w:p w:rsidR="0064366A" w:rsidRPr="0064366A" w:rsidRDefault="0064366A" w:rsidP="0064366A">
      <w:pPr>
        <w:pStyle w:val="Paragrafoelenco"/>
        <w:numPr>
          <w:ilvl w:val="0"/>
          <w:numId w:val="39"/>
        </w:numPr>
        <w:spacing w:after="0" w:line="276" w:lineRule="auto"/>
        <w:ind w:left="357" w:hanging="357"/>
        <w:jc w:val="both"/>
        <w:rPr>
          <w:color w:val="auto"/>
        </w:rPr>
      </w:pPr>
      <w:r w:rsidRPr="0064366A">
        <w:rPr>
          <w:color w:val="auto"/>
        </w:rPr>
        <w:t>Ricoverati con sintomi: +2.381 (+14%)</w:t>
      </w:r>
    </w:p>
    <w:p w:rsidR="0064366A" w:rsidRPr="0064366A" w:rsidRDefault="0064366A" w:rsidP="0064366A">
      <w:pPr>
        <w:pStyle w:val="Paragrafoelenco"/>
        <w:numPr>
          <w:ilvl w:val="0"/>
          <w:numId w:val="39"/>
        </w:numPr>
        <w:spacing w:after="0" w:line="276" w:lineRule="auto"/>
        <w:ind w:left="357" w:hanging="357"/>
        <w:jc w:val="both"/>
        <w:rPr>
          <w:color w:val="auto"/>
        </w:rPr>
      </w:pPr>
      <w:r w:rsidRPr="0064366A">
        <w:rPr>
          <w:color w:val="auto"/>
        </w:rPr>
        <w:t>Isolamento domiciliare: +425.598 (+20,1%)</w:t>
      </w:r>
    </w:p>
    <w:p w:rsidR="0064366A" w:rsidRPr="0064366A" w:rsidRDefault="0064366A" w:rsidP="0064366A">
      <w:pPr>
        <w:pStyle w:val="Paragrafoelenco"/>
        <w:numPr>
          <w:ilvl w:val="0"/>
          <w:numId w:val="39"/>
        </w:numPr>
        <w:spacing w:after="0" w:line="276" w:lineRule="auto"/>
        <w:ind w:left="357" w:hanging="357"/>
        <w:jc w:val="both"/>
        <w:rPr>
          <w:color w:val="auto"/>
        </w:rPr>
      </w:pPr>
      <w:r>
        <w:rPr>
          <w:color w:val="auto"/>
        </w:rPr>
        <w:t>Nuovi casi: 1.243.789 (+</w:t>
      </w:r>
      <w:r w:rsidRPr="0064366A">
        <w:rPr>
          <w:color w:val="auto"/>
        </w:rPr>
        <w:t>3%)</w:t>
      </w:r>
    </w:p>
    <w:p w:rsidR="0064366A" w:rsidRPr="0064366A" w:rsidRDefault="0064366A" w:rsidP="0064366A">
      <w:pPr>
        <w:pStyle w:val="Paragrafoelenco"/>
        <w:numPr>
          <w:ilvl w:val="0"/>
          <w:numId w:val="39"/>
        </w:numPr>
        <w:spacing w:line="276" w:lineRule="auto"/>
        <w:jc w:val="both"/>
        <w:rPr>
          <w:color w:val="auto"/>
        </w:rPr>
      </w:pPr>
      <w:r w:rsidRPr="0064366A">
        <w:rPr>
          <w:color w:val="auto"/>
        </w:rPr>
        <w:t>Casi attualmente positivi: +428.017 (+20,1%)</w:t>
      </w:r>
    </w:p>
    <w:p w:rsidR="002879EE" w:rsidRPr="0064366A" w:rsidRDefault="008568BE" w:rsidP="005D63FA">
      <w:pPr>
        <w:spacing w:line="276" w:lineRule="auto"/>
        <w:jc w:val="both"/>
        <w:rPr>
          <w:color w:val="auto"/>
        </w:rPr>
      </w:pPr>
      <w:r w:rsidRPr="0064366A">
        <w:rPr>
          <w:b/>
          <w:color w:val="auto"/>
        </w:rPr>
        <w:t xml:space="preserve">Nuovi casi. </w:t>
      </w:r>
      <w:r w:rsidR="00797AB7" w:rsidRPr="0064366A">
        <w:rPr>
          <w:color w:val="auto"/>
        </w:rPr>
        <w:t>«</w:t>
      </w:r>
      <w:r w:rsidR="006A145D" w:rsidRPr="0064366A">
        <w:rPr>
          <w:color w:val="auto"/>
        </w:rPr>
        <w:t xml:space="preserve">Nell’ultima settimana </w:t>
      </w:r>
      <w:r w:rsidR="0042340E" w:rsidRPr="0064366A">
        <w:rPr>
          <w:color w:val="auto"/>
        </w:rPr>
        <w:t>– dichiara Nino Cartabellotta, Presidente della Fondazione GIMBE –</w:t>
      </w:r>
      <w:r w:rsidR="00075694" w:rsidRPr="0064366A">
        <w:rPr>
          <w:color w:val="auto"/>
        </w:rPr>
        <w:t xml:space="preserve"> </w:t>
      </w:r>
      <w:r w:rsidR="006A145D" w:rsidRPr="0064366A">
        <w:rPr>
          <w:color w:val="auto"/>
        </w:rPr>
        <w:t xml:space="preserve">si </w:t>
      </w:r>
      <w:r w:rsidR="004445AB" w:rsidRPr="0064366A">
        <w:rPr>
          <w:color w:val="auto"/>
        </w:rPr>
        <w:t xml:space="preserve">è </w:t>
      </w:r>
      <w:r w:rsidR="00B46AEB" w:rsidRPr="0064366A">
        <w:rPr>
          <w:color w:val="auto"/>
        </w:rPr>
        <w:t xml:space="preserve">registrata </w:t>
      </w:r>
      <w:r w:rsidR="00075694" w:rsidRPr="0064366A">
        <w:rPr>
          <w:color w:val="auto"/>
        </w:rPr>
        <w:t>un</w:t>
      </w:r>
      <w:r w:rsidR="0064366A" w:rsidRPr="0064366A">
        <w:rPr>
          <w:color w:val="auto"/>
        </w:rPr>
        <w:t xml:space="preserve">a sostanziale stabilizzazione dei </w:t>
      </w:r>
      <w:r w:rsidR="006A145D" w:rsidRPr="0064366A">
        <w:rPr>
          <w:color w:val="auto"/>
        </w:rPr>
        <w:t xml:space="preserve">nuovi casi </w:t>
      </w:r>
      <w:r w:rsidR="004B6A39">
        <w:rPr>
          <w:color w:val="auto"/>
        </w:rPr>
        <w:t xml:space="preserve">intorno </w:t>
      </w:r>
      <w:r w:rsidR="0064366A" w:rsidRPr="0064366A">
        <w:rPr>
          <w:color w:val="auto"/>
        </w:rPr>
        <w:t xml:space="preserve">a </w:t>
      </w:r>
      <w:r w:rsidR="00063092" w:rsidRPr="0064366A">
        <w:rPr>
          <w:color w:val="auto"/>
        </w:rPr>
        <w:t xml:space="preserve">quota </w:t>
      </w:r>
      <w:r w:rsidR="00AB2290" w:rsidRPr="0064366A">
        <w:rPr>
          <w:color w:val="auto"/>
        </w:rPr>
        <w:t>1,2 milioni</w:t>
      </w:r>
      <w:r w:rsidR="006A145D" w:rsidRPr="0064366A">
        <w:rPr>
          <w:color w:val="auto"/>
        </w:rPr>
        <w:t xml:space="preserve">, con un incremento </w:t>
      </w:r>
      <w:r w:rsidR="00036D6B">
        <w:rPr>
          <w:color w:val="auto"/>
        </w:rPr>
        <w:t xml:space="preserve">del </w:t>
      </w:r>
      <w:r w:rsidR="0064366A" w:rsidRPr="0064366A">
        <w:rPr>
          <w:color w:val="auto"/>
        </w:rPr>
        <w:t>3</w:t>
      </w:r>
      <w:r w:rsidR="00AB2290" w:rsidRPr="0064366A">
        <w:rPr>
          <w:color w:val="auto"/>
        </w:rPr>
        <w:t xml:space="preserve">% </w:t>
      </w:r>
      <w:r w:rsidR="006A145D" w:rsidRPr="0064366A">
        <w:rPr>
          <w:color w:val="auto"/>
        </w:rPr>
        <w:t>rispetto alla settimana precedente</w:t>
      </w:r>
      <w:r w:rsidR="00AB2290" w:rsidRPr="0064366A">
        <w:rPr>
          <w:color w:val="auto"/>
        </w:rPr>
        <w:t xml:space="preserve"> e una media mobile a 7 giorni </w:t>
      </w:r>
      <w:r w:rsidR="00B87C59" w:rsidRPr="0064366A">
        <w:rPr>
          <w:color w:val="auto"/>
        </w:rPr>
        <w:t xml:space="preserve">che </w:t>
      </w:r>
      <w:r w:rsidR="004B6A39">
        <w:rPr>
          <w:color w:val="auto"/>
        </w:rPr>
        <w:t>passa</w:t>
      </w:r>
      <w:r w:rsidR="004B6A39" w:rsidRPr="0064366A">
        <w:rPr>
          <w:color w:val="auto"/>
        </w:rPr>
        <w:t xml:space="preserve"> </w:t>
      </w:r>
      <w:r w:rsidR="00AB2290" w:rsidRPr="0064366A">
        <w:rPr>
          <w:color w:val="auto"/>
        </w:rPr>
        <w:t xml:space="preserve">da </w:t>
      </w:r>
      <w:r w:rsidR="0064366A" w:rsidRPr="0064366A">
        <w:rPr>
          <w:color w:val="auto"/>
        </w:rPr>
        <w:t xml:space="preserve">174.576 </w:t>
      </w:r>
      <w:r w:rsidR="00AB2290" w:rsidRPr="0064366A">
        <w:rPr>
          <w:color w:val="auto"/>
        </w:rPr>
        <w:t xml:space="preserve">del </w:t>
      </w:r>
      <w:r w:rsidR="0064366A" w:rsidRPr="0064366A">
        <w:rPr>
          <w:color w:val="auto"/>
        </w:rPr>
        <w:t>12</w:t>
      </w:r>
      <w:r w:rsidR="00AB2290" w:rsidRPr="0064366A">
        <w:rPr>
          <w:color w:val="auto"/>
        </w:rPr>
        <w:t xml:space="preserve"> gennaio a </w:t>
      </w:r>
      <w:r w:rsidR="0064366A" w:rsidRPr="0064366A">
        <w:rPr>
          <w:color w:val="auto"/>
        </w:rPr>
        <w:t>177.652 il 18</w:t>
      </w:r>
      <w:r w:rsidR="00AB2290" w:rsidRPr="0064366A">
        <w:rPr>
          <w:color w:val="auto"/>
        </w:rPr>
        <w:t xml:space="preserve"> gennaio (+</w:t>
      </w:r>
      <w:r w:rsidR="0064366A" w:rsidRPr="0064366A">
        <w:rPr>
          <w:color w:val="auto"/>
        </w:rPr>
        <w:t>1,8</w:t>
      </w:r>
      <w:r w:rsidR="00AB2290" w:rsidRPr="0064366A">
        <w:rPr>
          <w:color w:val="auto"/>
        </w:rPr>
        <w:t>%) (</w:t>
      </w:r>
      <w:r w:rsidR="00AB2290" w:rsidRPr="0064366A">
        <w:rPr>
          <w:color w:val="auto"/>
          <w:highlight w:val="yellow"/>
        </w:rPr>
        <w:t>figura 4</w:t>
      </w:r>
      <w:r w:rsidR="00AB2290" w:rsidRPr="0064366A">
        <w:rPr>
          <w:color w:val="auto"/>
        </w:rPr>
        <w:t>)</w:t>
      </w:r>
      <w:r w:rsidR="00036D6B">
        <w:rPr>
          <w:color w:val="auto"/>
        </w:rPr>
        <w:t xml:space="preserve">. Una frenata </w:t>
      </w:r>
      <w:r w:rsidR="004777C6">
        <w:rPr>
          <w:color w:val="auto"/>
        </w:rPr>
        <w:t xml:space="preserve">nazionale </w:t>
      </w:r>
      <w:r w:rsidR="00036D6B">
        <w:rPr>
          <w:color w:val="auto"/>
        </w:rPr>
        <w:t>della curva che risente di situazioni regionali molto diverse</w:t>
      </w:r>
      <w:r w:rsidR="00075694" w:rsidRPr="0064366A">
        <w:rPr>
          <w:color w:val="auto"/>
        </w:rPr>
        <w:t>».</w:t>
      </w:r>
      <w:r w:rsidR="00D34C6A" w:rsidRPr="0064366A">
        <w:rPr>
          <w:color w:val="auto"/>
        </w:rPr>
        <w:t xml:space="preserve"> </w:t>
      </w:r>
    </w:p>
    <w:p w:rsidR="008568BE" w:rsidRPr="0064366A" w:rsidRDefault="00036D6B" w:rsidP="005D63FA">
      <w:pPr>
        <w:spacing w:line="276" w:lineRule="auto"/>
        <w:jc w:val="both"/>
        <w:rPr>
          <w:color w:val="auto"/>
        </w:rPr>
      </w:pPr>
      <w:r>
        <w:rPr>
          <w:color w:val="auto"/>
        </w:rPr>
        <w:lastRenderedPageBreak/>
        <w:t>Infatti, n</w:t>
      </w:r>
      <w:r w:rsidR="008568BE" w:rsidRPr="0064366A">
        <w:rPr>
          <w:color w:val="auto"/>
        </w:rPr>
        <w:t xml:space="preserve">ella settimana </w:t>
      </w:r>
      <w:r w:rsidR="0064366A" w:rsidRPr="0064366A">
        <w:rPr>
          <w:color w:val="auto"/>
        </w:rPr>
        <w:t>12</w:t>
      </w:r>
      <w:r w:rsidR="00BE4C36" w:rsidRPr="0064366A">
        <w:rPr>
          <w:color w:val="auto"/>
        </w:rPr>
        <w:t>-</w:t>
      </w:r>
      <w:r w:rsidR="0064366A" w:rsidRPr="0064366A">
        <w:rPr>
          <w:color w:val="auto"/>
        </w:rPr>
        <w:t>18</w:t>
      </w:r>
      <w:r w:rsidR="00BE4C36" w:rsidRPr="0064366A">
        <w:rPr>
          <w:color w:val="auto"/>
        </w:rPr>
        <w:t xml:space="preserve"> </w:t>
      </w:r>
      <w:r w:rsidR="00ED6992" w:rsidRPr="0064366A">
        <w:rPr>
          <w:color w:val="auto"/>
        </w:rPr>
        <w:t>gennaio</w:t>
      </w:r>
      <w:r w:rsidR="004B6A39">
        <w:rPr>
          <w:color w:val="auto"/>
        </w:rPr>
        <w:t xml:space="preserve">, </w:t>
      </w:r>
      <w:r>
        <w:rPr>
          <w:color w:val="auto"/>
        </w:rPr>
        <w:t xml:space="preserve">in 10 </w:t>
      </w:r>
      <w:r w:rsidR="004B6A39">
        <w:rPr>
          <w:color w:val="auto"/>
        </w:rPr>
        <w:t xml:space="preserve">Regioni </w:t>
      </w:r>
      <w:r>
        <w:rPr>
          <w:color w:val="auto"/>
        </w:rPr>
        <w:t xml:space="preserve">si registra </w:t>
      </w:r>
      <w:r w:rsidR="004B6A39">
        <w:rPr>
          <w:color w:val="auto"/>
        </w:rPr>
        <w:t>un</w:t>
      </w:r>
      <w:r w:rsidR="008568BE" w:rsidRPr="0064366A">
        <w:rPr>
          <w:color w:val="auto"/>
        </w:rPr>
        <w:t xml:space="preserve"> incremento p</w:t>
      </w:r>
      <w:r w:rsidR="00ED6992" w:rsidRPr="0064366A">
        <w:rPr>
          <w:color w:val="auto"/>
        </w:rPr>
        <w:t>ercentuale dei nuovi casi</w:t>
      </w:r>
      <w:r w:rsidR="00911864">
        <w:rPr>
          <w:color w:val="auto"/>
        </w:rPr>
        <w:t xml:space="preserve"> (</w:t>
      </w:r>
      <w:r w:rsidR="00B32A3E">
        <w:rPr>
          <w:color w:val="auto"/>
        </w:rPr>
        <w:t>da</w:t>
      </w:r>
      <w:r w:rsidR="00911864">
        <w:rPr>
          <w:color w:val="auto"/>
        </w:rPr>
        <w:t>ll’1,4% della P</w:t>
      </w:r>
      <w:r w:rsidR="00B32A3E">
        <w:rPr>
          <w:color w:val="auto"/>
        </w:rPr>
        <w:t xml:space="preserve">rovincia Autonoma </w:t>
      </w:r>
      <w:r w:rsidR="00911864">
        <w:rPr>
          <w:color w:val="auto"/>
        </w:rPr>
        <w:t>di Trento</w:t>
      </w:r>
      <w:r w:rsidR="00B32A3E">
        <w:rPr>
          <w:color w:val="auto"/>
        </w:rPr>
        <w:t xml:space="preserve"> al 159,6% della Puglia</w:t>
      </w:r>
      <w:r w:rsidR="00911864">
        <w:rPr>
          <w:color w:val="auto"/>
        </w:rPr>
        <w:t>)</w:t>
      </w:r>
      <w:r>
        <w:rPr>
          <w:color w:val="auto"/>
        </w:rPr>
        <w:t>, in 10 una riduzione</w:t>
      </w:r>
      <w:r w:rsidR="00911864">
        <w:rPr>
          <w:color w:val="auto"/>
        </w:rPr>
        <w:t xml:space="preserve"> (dal -1,0% della Basilicata al -25,9% dell’Umbria)</w:t>
      </w:r>
      <w:r w:rsidR="0064366A" w:rsidRPr="0064366A">
        <w:rPr>
          <w:color w:val="auto"/>
        </w:rPr>
        <w:t xml:space="preserve">, </w:t>
      </w:r>
      <w:r w:rsidR="004B6A39">
        <w:rPr>
          <w:color w:val="auto"/>
        </w:rPr>
        <w:t>mentre</w:t>
      </w:r>
      <w:r w:rsidR="004B6A39" w:rsidRPr="0064366A">
        <w:rPr>
          <w:color w:val="auto"/>
        </w:rPr>
        <w:t xml:space="preserve"> </w:t>
      </w:r>
      <w:r w:rsidR="0064366A" w:rsidRPr="0064366A">
        <w:rPr>
          <w:color w:val="auto"/>
        </w:rPr>
        <w:t xml:space="preserve">la Liguria </w:t>
      </w:r>
      <w:r w:rsidR="004960A6">
        <w:rPr>
          <w:color w:val="auto"/>
        </w:rPr>
        <w:t>rimane</w:t>
      </w:r>
      <w:r w:rsidR="0064366A" w:rsidRPr="0064366A">
        <w:rPr>
          <w:color w:val="auto"/>
        </w:rPr>
        <w:t xml:space="preserve"> stabile </w:t>
      </w:r>
      <w:r w:rsidR="008568BE" w:rsidRPr="0064366A">
        <w:rPr>
          <w:color w:val="auto"/>
        </w:rPr>
        <w:t>(</w:t>
      </w:r>
      <w:r w:rsidR="008568BE" w:rsidRPr="0064366A">
        <w:rPr>
          <w:color w:val="auto"/>
          <w:highlight w:val="yellow"/>
        </w:rPr>
        <w:t>tabella 1</w:t>
      </w:r>
      <w:r w:rsidR="008568BE" w:rsidRPr="0064366A">
        <w:rPr>
          <w:color w:val="auto"/>
        </w:rPr>
        <w:t>)</w:t>
      </w:r>
      <w:r w:rsidR="00B32A3E">
        <w:rPr>
          <w:color w:val="auto"/>
        </w:rPr>
        <w:t xml:space="preserve">; i dati delle Regioni Emilia-Romagna, Liguria e Puglia risentono di </w:t>
      </w:r>
      <w:r w:rsidR="00FF138C">
        <w:rPr>
          <w:color w:val="auto"/>
        </w:rPr>
        <w:t>consistenti</w:t>
      </w:r>
      <w:r w:rsidR="00B32A3E">
        <w:rPr>
          <w:color w:val="auto"/>
        </w:rPr>
        <w:t xml:space="preserve"> ricalcoli avvenuti nelle ultime due settimane</w:t>
      </w:r>
      <w:r w:rsidR="008568BE" w:rsidRPr="0064366A">
        <w:rPr>
          <w:color w:val="auto"/>
        </w:rPr>
        <w:t xml:space="preserve">. In </w:t>
      </w:r>
      <w:r w:rsidR="0064366A" w:rsidRPr="0064366A">
        <w:rPr>
          <w:color w:val="auto"/>
        </w:rPr>
        <w:t>58</w:t>
      </w:r>
      <w:r w:rsidR="008568BE" w:rsidRPr="0064366A">
        <w:rPr>
          <w:color w:val="auto"/>
        </w:rPr>
        <w:t xml:space="preserve"> Province l’incidenza supera i </w:t>
      </w:r>
      <w:r w:rsidR="00BE4C36" w:rsidRPr="0064366A">
        <w:rPr>
          <w:color w:val="auto"/>
        </w:rPr>
        <w:t>2</w:t>
      </w:r>
      <w:r w:rsidR="00ED6992" w:rsidRPr="0064366A">
        <w:rPr>
          <w:color w:val="auto"/>
        </w:rPr>
        <w:t xml:space="preserve">.000 </w:t>
      </w:r>
      <w:r w:rsidR="008568BE" w:rsidRPr="0064366A">
        <w:rPr>
          <w:color w:val="auto"/>
        </w:rPr>
        <w:t>casi per 100.000 abitanti:</w:t>
      </w:r>
      <w:r w:rsidR="0064366A">
        <w:rPr>
          <w:color w:val="auto"/>
        </w:rPr>
        <w:t xml:space="preserve"> </w:t>
      </w:r>
      <w:r w:rsidR="0064366A" w:rsidRPr="0064366A">
        <w:rPr>
          <w:color w:val="auto"/>
        </w:rPr>
        <w:t>Rimini (3</w:t>
      </w:r>
      <w:r w:rsidR="003965BE">
        <w:rPr>
          <w:color w:val="auto"/>
        </w:rPr>
        <w:t>.</w:t>
      </w:r>
      <w:r w:rsidR="0064366A" w:rsidRPr="0064366A">
        <w:rPr>
          <w:color w:val="auto"/>
        </w:rPr>
        <w:t>358), Forlì-Cesena (3</w:t>
      </w:r>
      <w:r w:rsidR="003965BE">
        <w:rPr>
          <w:color w:val="auto"/>
        </w:rPr>
        <w:t>.</w:t>
      </w:r>
      <w:r w:rsidR="0064366A" w:rsidRPr="0064366A">
        <w:rPr>
          <w:color w:val="auto"/>
        </w:rPr>
        <w:t>296), Bolzano (3</w:t>
      </w:r>
      <w:r w:rsidR="003965BE">
        <w:rPr>
          <w:color w:val="auto"/>
        </w:rPr>
        <w:t>.</w:t>
      </w:r>
      <w:r w:rsidR="0064366A" w:rsidRPr="0064366A">
        <w:rPr>
          <w:color w:val="auto"/>
        </w:rPr>
        <w:t>279), Ravenna (3</w:t>
      </w:r>
      <w:r w:rsidR="003965BE">
        <w:rPr>
          <w:color w:val="auto"/>
        </w:rPr>
        <w:t>.</w:t>
      </w:r>
      <w:r w:rsidR="0064366A" w:rsidRPr="0064366A">
        <w:rPr>
          <w:color w:val="auto"/>
        </w:rPr>
        <w:t>027), Piacenza (2</w:t>
      </w:r>
      <w:r w:rsidR="003965BE">
        <w:rPr>
          <w:color w:val="auto"/>
        </w:rPr>
        <w:t>.</w:t>
      </w:r>
      <w:r w:rsidR="0064366A" w:rsidRPr="0064366A">
        <w:rPr>
          <w:color w:val="auto"/>
        </w:rPr>
        <w:t>970), Brindisi (2</w:t>
      </w:r>
      <w:r w:rsidR="003965BE">
        <w:rPr>
          <w:color w:val="auto"/>
        </w:rPr>
        <w:t>.</w:t>
      </w:r>
      <w:r w:rsidR="0064366A" w:rsidRPr="0064366A">
        <w:rPr>
          <w:color w:val="auto"/>
        </w:rPr>
        <w:t>964), Barletta-Andria-Trani (2</w:t>
      </w:r>
      <w:r w:rsidR="003965BE">
        <w:rPr>
          <w:color w:val="auto"/>
        </w:rPr>
        <w:t>.</w:t>
      </w:r>
      <w:r w:rsidR="0064366A" w:rsidRPr="0064366A">
        <w:rPr>
          <w:color w:val="auto"/>
        </w:rPr>
        <w:t>945), Bari (2</w:t>
      </w:r>
      <w:r w:rsidR="003965BE">
        <w:rPr>
          <w:color w:val="auto"/>
        </w:rPr>
        <w:t>.</w:t>
      </w:r>
      <w:r w:rsidR="0064366A" w:rsidRPr="0064366A">
        <w:rPr>
          <w:color w:val="auto"/>
        </w:rPr>
        <w:t>892), Napoli (2</w:t>
      </w:r>
      <w:r w:rsidR="003965BE">
        <w:rPr>
          <w:color w:val="auto"/>
        </w:rPr>
        <w:t>.</w:t>
      </w:r>
      <w:r w:rsidR="0064366A" w:rsidRPr="0064366A">
        <w:rPr>
          <w:color w:val="auto"/>
        </w:rPr>
        <w:t>863), Trento (2</w:t>
      </w:r>
      <w:r w:rsidR="003965BE">
        <w:rPr>
          <w:color w:val="auto"/>
        </w:rPr>
        <w:t>.</w:t>
      </w:r>
      <w:r w:rsidR="0064366A" w:rsidRPr="0064366A">
        <w:rPr>
          <w:color w:val="auto"/>
        </w:rPr>
        <w:t>812), Rovigo (2</w:t>
      </w:r>
      <w:r w:rsidR="003965BE">
        <w:rPr>
          <w:color w:val="auto"/>
        </w:rPr>
        <w:t>.</w:t>
      </w:r>
      <w:r w:rsidR="0064366A" w:rsidRPr="0064366A">
        <w:rPr>
          <w:color w:val="auto"/>
        </w:rPr>
        <w:t>748), Verona (2</w:t>
      </w:r>
      <w:r w:rsidR="003965BE">
        <w:rPr>
          <w:color w:val="auto"/>
        </w:rPr>
        <w:t>.</w:t>
      </w:r>
      <w:r w:rsidR="0064366A" w:rsidRPr="0064366A">
        <w:rPr>
          <w:color w:val="auto"/>
        </w:rPr>
        <w:t>737), Bologna (2</w:t>
      </w:r>
      <w:r w:rsidR="003965BE">
        <w:rPr>
          <w:color w:val="auto"/>
        </w:rPr>
        <w:t>.</w:t>
      </w:r>
      <w:r w:rsidR="0064366A" w:rsidRPr="0064366A">
        <w:rPr>
          <w:color w:val="auto"/>
        </w:rPr>
        <w:t>721), Vicenza (2</w:t>
      </w:r>
      <w:r w:rsidR="003965BE">
        <w:rPr>
          <w:color w:val="auto"/>
        </w:rPr>
        <w:t>.</w:t>
      </w:r>
      <w:r w:rsidR="0064366A" w:rsidRPr="0064366A">
        <w:rPr>
          <w:color w:val="auto"/>
        </w:rPr>
        <w:t>639), Sondrio (2</w:t>
      </w:r>
      <w:r w:rsidR="003965BE">
        <w:rPr>
          <w:color w:val="auto"/>
        </w:rPr>
        <w:t>.</w:t>
      </w:r>
      <w:r w:rsidR="0064366A" w:rsidRPr="0064366A">
        <w:rPr>
          <w:color w:val="auto"/>
        </w:rPr>
        <w:t>626), Biella (2</w:t>
      </w:r>
      <w:r w:rsidR="003965BE">
        <w:rPr>
          <w:color w:val="auto"/>
        </w:rPr>
        <w:t>.</w:t>
      </w:r>
      <w:r w:rsidR="0064366A" w:rsidRPr="0064366A">
        <w:rPr>
          <w:color w:val="auto"/>
        </w:rPr>
        <w:t>560), Firenze (2</w:t>
      </w:r>
      <w:r w:rsidR="003965BE">
        <w:rPr>
          <w:color w:val="auto"/>
        </w:rPr>
        <w:t>.</w:t>
      </w:r>
      <w:r w:rsidR="0064366A" w:rsidRPr="0064366A">
        <w:rPr>
          <w:color w:val="auto"/>
        </w:rPr>
        <w:t>554), Genova (2</w:t>
      </w:r>
      <w:r w:rsidR="003965BE">
        <w:rPr>
          <w:color w:val="auto"/>
        </w:rPr>
        <w:t>.</w:t>
      </w:r>
      <w:r w:rsidR="0064366A" w:rsidRPr="0064366A">
        <w:rPr>
          <w:color w:val="auto"/>
        </w:rPr>
        <w:t>531), Taranto (2</w:t>
      </w:r>
      <w:r w:rsidR="003965BE">
        <w:rPr>
          <w:color w:val="auto"/>
        </w:rPr>
        <w:t>.</w:t>
      </w:r>
      <w:r w:rsidR="0064366A" w:rsidRPr="0064366A">
        <w:rPr>
          <w:color w:val="auto"/>
        </w:rPr>
        <w:t>515), Brescia (2</w:t>
      </w:r>
      <w:r w:rsidR="003965BE">
        <w:rPr>
          <w:color w:val="auto"/>
        </w:rPr>
        <w:t>.</w:t>
      </w:r>
      <w:r w:rsidR="0064366A" w:rsidRPr="0064366A">
        <w:rPr>
          <w:color w:val="auto"/>
        </w:rPr>
        <w:t>493), Aosta (2</w:t>
      </w:r>
      <w:r w:rsidR="003965BE">
        <w:rPr>
          <w:color w:val="auto"/>
        </w:rPr>
        <w:t>.</w:t>
      </w:r>
      <w:r w:rsidR="0064366A" w:rsidRPr="0064366A">
        <w:rPr>
          <w:color w:val="auto"/>
        </w:rPr>
        <w:t>475), Torino (2</w:t>
      </w:r>
      <w:r w:rsidR="003965BE">
        <w:rPr>
          <w:color w:val="auto"/>
        </w:rPr>
        <w:t>.</w:t>
      </w:r>
      <w:r w:rsidR="0064366A" w:rsidRPr="0064366A">
        <w:rPr>
          <w:color w:val="auto"/>
        </w:rPr>
        <w:t>453), Parma (2</w:t>
      </w:r>
      <w:r w:rsidR="003965BE">
        <w:rPr>
          <w:color w:val="auto"/>
        </w:rPr>
        <w:t>.</w:t>
      </w:r>
      <w:r w:rsidR="0064366A" w:rsidRPr="0064366A">
        <w:rPr>
          <w:color w:val="auto"/>
        </w:rPr>
        <w:t>435), Pordenone (2</w:t>
      </w:r>
      <w:r w:rsidR="003965BE">
        <w:rPr>
          <w:color w:val="auto"/>
        </w:rPr>
        <w:t>.</w:t>
      </w:r>
      <w:r w:rsidR="0064366A" w:rsidRPr="0064366A">
        <w:rPr>
          <w:color w:val="auto"/>
        </w:rPr>
        <w:t>417), Modena (2</w:t>
      </w:r>
      <w:r w:rsidR="003965BE">
        <w:rPr>
          <w:color w:val="auto"/>
        </w:rPr>
        <w:t>.</w:t>
      </w:r>
      <w:r w:rsidR="0064366A" w:rsidRPr="0064366A">
        <w:rPr>
          <w:color w:val="auto"/>
        </w:rPr>
        <w:t>378), Verbano-Cusio-Ossola (2</w:t>
      </w:r>
      <w:r w:rsidR="003965BE">
        <w:rPr>
          <w:color w:val="auto"/>
        </w:rPr>
        <w:t>.</w:t>
      </w:r>
      <w:r w:rsidR="0064366A" w:rsidRPr="0064366A">
        <w:rPr>
          <w:color w:val="auto"/>
        </w:rPr>
        <w:t>376), Cuneo (2</w:t>
      </w:r>
      <w:r w:rsidR="003965BE">
        <w:rPr>
          <w:color w:val="auto"/>
        </w:rPr>
        <w:t>.</w:t>
      </w:r>
      <w:r w:rsidR="0064366A" w:rsidRPr="0064366A">
        <w:rPr>
          <w:color w:val="auto"/>
        </w:rPr>
        <w:t>338), Lecce (2</w:t>
      </w:r>
      <w:r w:rsidR="00EE0C19">
        <w:rPr>
          <w:color w:val="auto"/>
        </w:rPr>
        <w:t>.</w:t>
      </w:r>
      <w:r w:rsidR="0064366A" w:rsidRPr="0064366A">
        <w:rPr>
          <w:color w:val="auto"/>
        </w:rPr>
        <w:t>337), Ferrara (2</w:t>
      </w:r>
      <w:r w:rsidR="00EE0C19">
        <w:rPr>
          <w:color w:val="auto"/>
        </w:rPr>
        <w:t>.</w:t>
      </w:r>
      <w:r w:rsidR="0064366A" w:rsidRPr="0064366A">
        <w:rPr>
          <w:color w:val="auto"/>
        </w:rPr>
        <w:t>329), Vercelli (2</w:t>
      </w:r>
      <w:r w:rsidR="003965BE">
        <w:rPr>
          <w:color w:val="auto"/>
        </w:rPr>
        <w:t>.</w:t>
      </w:r>
      <w:r w:rsidR="0064366A" w:rsidRPr="0064366A">
        <w:rPr>
          <w:color w:val="auto"/>
        </w:rPr>
        <w:t>314), Udine (2</w:t>
      </w:r>
      <w:r w:rsidR="003965BE">
        <w:rPr>
          <w:color w:val="auto"/>
        </w:rPr>
        <w:t>.</w:t>
      </w:r>
      <w:r w:rsidR="0064366A" w:rsidRPr="0064366A">
        <w:rPr>
          <w:color w:val="auto"/>
        </w:rPr>
        <w:t>310), Pisa (2</w:t>
      </w:r>
      <w:r w:rsidR="003965BE">
        <w:rPr>
          <w:color w:val="auto"/>
        </w:rPr>
        <w:t>.</w:t>
      </w:r>
      <w:r w:rsidR="0064366A" w:rsidRPr="0064366A">
        <w:rPr>
          <w:color w:val="auto"/>
        </w:rPr>
        <w:t>304), Mantova (2</w:t>
      </w:r>
      <w:r w:rsidR="003965BE">
        <w:rPr>
          <w:color w:val="auto"/>
        </w:rPr>
        <w:t>.</w:t>
      </w:r>
      <w:r w:rsidR="0064366A" w:rsidRPr="0064366A">
        <w:rPr>
          <w:color w:val="auto"/>
        </w:rPr>
        <w:t>301), Treviso (2</w:t>
      </w:r>
      <w:r w:rsidR="003965BE">
        <w:rPr>
          <w:color w:val="auto"/>
        </w:rPr>
        <w:t>.</w:t>
      </w:r>
      <w:r w:rsidR="0064366A" w:rsidRPr="0064366A">
        <w:rPr>
          <w:color w:val="auto"/>
        </w:rPr>
        <w:t>277), Lodi (2</w:t>
      </w:r>
      <w:r w:rsidR="00EE0C19">
        <w:rPr>
          <w:color w:val="auto"/>
        </w:rPr>
        <w:t>.</w:t>
      </w:r>
      <w:r w:rsidR="0064366A" w:rsidRPr="0064366A">
        <w:rPr>
          <w:color w:val="auto"/>
        </w:rPr>
        <w:t>276), Savona (2</w:t>
      </w:r>
      <w:r w:rsidR="00EE0C19">
        <w:rPr>
          <w:color w:val="auto"/>
        </w:rPr>
        <w:t>.</w:t>
      </w:r>
      <w:r w:rsidR="0064366A" w:rsidRPr="0064366A">
        <w:rPr>
          <w:color w:val="auto"/>
        </w:rPr>
        <w:t>269), Imperia (2</w:t>
      </w:r>
      <w:r w:rsidR="003965BE">
        <w:rPr>
          <w:color w:val="auto"/>
        </w:rPr>
        <w:t>.</w:t>
      </w:r>
      <w:r w:rsidR="0064366A" w:rsidRPr="0064366A">
        <w:rPr>
          <w:color w:val="auto"/>
        </w:rPr>
        <w:t>263), Padova (2</w:t>
      </w:r>
      <w:r w:rsidR="003965BE">
        <w:rPr>
          <w:color w:val="auto"/>
        </w:rPr>
        <w:t>.</w:t>
      </w:r>
      <w:r w:rsidR="0064366A" w:rsidRPr="0064366A">
        <w:rPr>
          <w:color w:val="auto"/>
        </w:rPr>
        <w:t>256), Reggio nell'Emilia (2</w:t>
      </w:r>
      <w:r w:rsidR="003965BE">
        <w:rPr>
          <w:color w:val="auto"/>
        </w:rPr>
        <w:t>.</w:t>
      </w:r>
      <w:r w:rsidR="0064366A" w:rsidRPr="0064366A">
        <w:rPr>
          <w:color w:val="auto"/>
        </w:rPr>
        <w:t>241), Livorno (2</w:t>
      </w:r>
      <w:r w:rsidR="003965BE">
        <w:rPr>
          <w:color w:val="auto"/>
        </w:rPr>
        <w:t>.</w:t>
      </w:r>
      <w:r w:rsidR="0064366A" w:rsidRPr="0064366A">
        <w:rPr>
          <w:color w:val="auto"/>
        </w:rPr>
        <w:t>240), Pistoia (2</w:t>
      </w:r>
      <w:r w:rsidR="00EE0C19">
        <w:rPr>
          <w:color w:val="auto"/>
        </w:rPr>
        <w:t>.</w:t>
      </w:r>
      <w:r w:rsidR="0064366A" w:rsidRPr="0064366A">
        <w:rPr>
          <w:color w:val="auto"/>
        </w:rPr>
        <w:t>219), Belluno (2</w:t>
      </w:r>
      <w:r w:rsidR="00EE0C19">
        <w:rPr>
          <w:color w:val="auto"/>
        </w:rPr>
        <w:t>.</w:t>
      </w:r>
      <w:r w:rsidR="0064366A" w:rsidRPr="0064366A">
        <w:rPr>
          <w:color w:val="auto"/>
        </w:rPr>
        <w:t>198), Foggia (2</w:t>
      </w:r>
      <w:r w:rsidR="003965BE">
        <w:rPr>
          <w:color w:val="auto"/>
        </w:rPr>
        <w:t>.</w:t>
      </w:r>
      <w:r w:rsidR="0064366A" w:rsidRPr="0064366A">
        <w:rPr>
          <w:color w:val="auto"/>
        </w:rPr>
        <w:t>196), Pavia (2</w:t>
      </w:r>
      <w:r w:rsidR="003965BE">
        <w:rPr>
          <w:color w:val="auto"/>
        </w:rPr>
        <w:t>.</w:t>
      </w:r>
      <w:r w:rsidR="0064366A" w:rsidRPr="0064366A">
        <w:rPr>
          <w:color w:val="auto"/>
        </w:rPr>
        <w:t>196), Monza e della Brianza (2</w:t>
      </w:r>
      <w:r w:rsidR="003965BE">
        <w:rPr>
          <w:color w:val="auto"/>
        </w:rPr>
        <w:t>.</w:t>
      </w:r>
      <w:r w:rsidR="0064366A" w:rsidRPr="0064366A">
        <w:rPr>
          <w:color w:val="auto"/>
        </w:rPr>
        <w:t>167), La Spezia (2</w:t>
      </w:r>
      <w:r w:rsidR="003965BE">
        <w:rPr>
          <w:color w:val="auto"/>
        </w:rPr>
        <w:t>.</w:t>
      </w:r>
      <w:r w:rsidR="0064366A" w:rsidRPr="0064366A">
        <w:rPr>
          <w:color w:val="auto"/>
        </w:rPr>
        <w:t>163), Novara (2</w:t>
      </w:r>
      <w:r w:rsidR="00EE0C19">
        <w:rPr>
          <w:color w:val="auto"/>
        </w:rPr>
        <w:t>.</w:t>
      </w:r>
      <w:r w:rsidR="0064366A" w:rsidRPr="0064366A">
        <w:rPr>
          <w:color w:val="auto"/>
        </w:rPr>
        <w:t>155), Como (2</w:t>
      </w:r>
      <w:r w:rsidR="00EE0C19">
        <w:rPr>
          <w:color w:val="auto"/>
        </w:rPr>
        <w:t>.</w:t>
      </w:r>
      <w:r w:rsidR="0064366A" w:rsidRPr="0064366A">
        <w:rPr>
          <w:color w:val="auto"/>
        </w:rPr>
        <w:t>154), Teramo (2</w:t>
      </w:r>
      <w:r w:rsidR="003965BE">
        <w:rPr>
          <w:color w:val="auto"/>
        </w:rPr>
        <w:t>.</w:t>
      </w:r>
      <w:r w:rsidR="0064366A" w:rsidRPr="0064366A">
        <w:rPr>
          <w:color w:val="auto"/>
        </w:rPr>
        <w:t>131), Milano (2</w:t>
      </w:r>
      <w:r w:rsidR="003965BE">
        <w:rPr>
          <w:color w:val="auto"/>
        </w:rPr>
        <w:t>.</w:t>
      </w:r>
      <w:r w:rsidR="0064366A" w:rsidRPr="0064366A">
        <w:rPr>
          <w:color w:val="auto"/>
        </w:rPr>
        <w:t>106), Prato (2</w:t>
      </w:r>
      <w:r w:rsidR="003965BE">
        <w:rPr>
          <w:color w:val="auto"/>
        </w:rPr>
        <w:t>.</w:t>
      </w:r>
      <w:r w:rsidR="0064366A" w:rsidRPr="0064366A">
        <w:rPr>
          <w:color w:val="auto"/>
        </w:rPr>
        <w:t>091), Caserta (2</w:t>
      </w:r>
      <w:r w:rsidR="003965BE">
        <w:rPr>
          <w:color w:val="auto"/>
        </w:rPr>
        <w:t>.</w:t>
      </w:r>
      <w:r w:rsidR="0064366A" w:rsidRPr="0064366A">
        <w:rPr>
          <w:color w:val="auto"/>
        </w:rPr>
        <w:t>088), Salerno (2</w:t>
      </w:r>
      <w:r w:rsidR="003965BE">
        <w:rPr>
          <w:color w:val="auto"/>
        </w:rPr>
        <w:t>.</w:t>
      </w:r>
      <w:r w:rsidR="0064366A" w:rsidRPr="0064366A">
        <w:rPr>
          <w:color w:val="auto"/>
        </w:rPr>
        <w:t>078), Trieste (2</w:t>
      </w:r>
      <w:r w:rsidR="00EE0C19">
        <w:rPr>
          <w:color w:val="auto"/>
        </w:rPr>
        <w:t>.</w:t>
      </w:r>
      <w:r w:rsidR="0064366A" w:rsidRPr="0064366A">
        <w:rPr>
          <w:color w:val="auto"/>
        </w:rPr>
        <w:t>045), Lucca (2</w:t>
      </w:r>
      <w:r w:rsidR="00EE0C19">
        <w:rPr>
          <w:color w:val="auto"/>
        </w:rPr>
        <w:t>.</w:t>
      </w:r>
      <w:r w:rsidR="0064366A" w:rsidRPr="0064366A">
        <w:rPr>
          <w:color w:val="auto"/>
        </w:rPr>
        <w:t>032), Venezia (2</w:t>
      </w:r>
      <w:r w:rsidR="003965BE">
        <w:rPr>
          <w:color w:val="auto"/>
        </w:rPr>
        <w:t>.</w:t>
      </w:r>
      <w:r w:rsidR="0064366A" w:rsidRPr="0064366A">
        <w:rPr>
          <w:color w:val="auto"/>
        </w:rPr>
        <w:t>021), Arezzo (2</w:t>
      </w:r>
      <w:r w:rsidR="003965BE">
        <w:rPr>
          <w:color w:val="auto"/>
        </w:rPr>
        <w:t>.</w:t>
      </w:r>
      <w:r w:rsidR="0064366A" w:rsidRPr="0064366A">
        <w:rPr>
          <w:color w:val="auto"/>
        </w:rPr>
        <w:t>017) e Cremona (2</w:t>
      </w:r>
      <w:r w:rsidR="003965BE">
        <w:rPr>
          <w:color w:val="auto"/>
        </w:rPr>
        <w:t>.</w:t>
      </w:r>
      <w:r w:rsidR="0064366A" w:rsidRPr="0064366A">
        <w:rPr>
          <w:color w:val="auto"/>
        </w:rPr>
        <w:t>017)</w:t>
      </w:r>
      <w:r w:rsidR="008568BE" w:rsidRPr="0064366A">
        <w:rPr>
          <w:color w:val="auto"/>
        </w:rPr>
        <w:t xml:space="preserve"> (</w:t>
      </w:r>
      <w:r w:rsidR="008568BE" w:rsidRPr="0064366A">
        <w:rPr>
          <w:color w:val="auto"/>
          <w:highlight w:val="yellow"/>
        </w:rPr>
        <w:t>tabella 2</w:t>
      </w:r>
      <w:r w:rsidR="008568BE" w:rsidRPr="0064366A">
        <w:rPr>
          <w:color w:val="auto"/>
        </w:rPr>
        <w:t>).</w:t>
      </w:r>
    </w:p>
    <w:p w:rsidR="002B53AA" w:rsidRPr="003965BE" w:rsidRDefault="008568BE" w:rsidP="008D2843">
      <w:pPr>
        <w:spacing w:line="276" w:lineRule="auto"/>
        <w:jc w:val="both"/>
        <w:rPr>
          <w:color w:val="auto"/>
        </w:rPr>
      </w:pPr>
      <w:r w:rsidRPr="003965BE">
        <w:rPr>
          <w:b/>
          <w:color w:val="auto"/>
        </w:rPr>
        <w:t>Testing</w:t>
      </w:r>
      <w:r w:rsidRPr="003965BE">
        <w:rPr>
          <w:color w:val="auto"/>
        </w:rPr>
        <w:t xml:space="preserve">. </w:t>
      </w:r>
      <w:r w:rsidR="008D2E90" w:rsidRPr="003965BE">
        <w:rPr>
          <w:color w:val="auto"/>
        </w:rPr>
        <w:t xml:space="preserve">Si registra un </w:t>
      </w:r>
      <w:r w:rsidR="00AB2290" w:rsidRPr="003965BE">
        <w:rPr>
          <w:color w:val="auto"/>
        </w:rPr>
        <w:t>aumento de</w:t>
      </w:r>
      <w:r w:rsidR="008D2E90" w:rsidRPr="003965BE">
        <w:rPr>
          <w:color w:val="auto"/>
        </w:rPr>
        <w:t>l</w:t>
      </w:r>
      <w:r w:rsidR="00AB2290" w:rsidRPr="003965BE">
        <w:rPr>
          <w:color w:val="auto"/>
        </w:rPr>
        <w:t xml:space="preserve"> numero dei tamponi totali</w:t>
      </w:r>
      <w:r w:rsidR="00AD4F13">
        <w:rPr>
          <w:color w:val="auto"/>
        </w:rPr>
        <w:t xml:space="preserve"> </w:t>
      </w:r>
      <w:r w:rsidR="00AD4F13" w:rsidRPr="003965BE">
        <w:rPr>
          <w:color w:val="auto"/>
        </w:rPr>
        <w:t>(+10,8%)</w:t>
      </w:r>
      <w:r w:rsidR="00AB2290" w:rsidRPr="003965BE">
        <w:rPr>
          <w:color w:val="auto"/>
        </w:rPr>
        <w:t xml:space="preserve">, </w:t>
      </w:r>
      <w:r w:rsidR="00116C56" w:rsidRPr="003965BE">
        <w:rPr>
          <w:color w:val="auto"/>
        </w:rPr>
        <w:t>passat</w:t>
      </w:r>
      <w:r w:rsidR="00AB2290" w:rsidRPr="003965BE">
        <w:rPr>
          <w:color w:val="auto"/>
        </w:rPr>
        <w:t>i</w:t>
      </w:r>
      <w:r w:rsidR="00116C56" w:rsidRPr="003965BE">
        <w:rPr>
          <w:color w:val="auto"/>
        </w:rPr>
        <w:t xml:space="preserve"> </w:t>
      </w:r>
      <w:r w:rsidR="00091D56" w:rsidRPr="003965BE">
        <w:rPr>
          <w:color w:val="auto"/>
        </w:rPr>
        <w:t xml:space="preserve">da </w:t>
      </w:r>
      <w:r w:rsidR="003965BE" w:rsidRPr="003965BE">
        <w:rPr>
          <w:color w:val="auto"/>
        </w:rPr>
        <w:t xml:space="preserve">6.926.539 </w:t>
      </w:r>
      <w:r w:rsidR="00A52BDE" w:rsidRPr="003965BE">
        <w:rPr>
          <w:color w:val="auto"/>
        </w:rPr>
        <w:t>della settimana</w:t>
      </w:r>
      <w:r w:rsidR="003965BE" w:rsidRPr="003965BE">
        <w:rPr>
          <w:color w:val="auto"/>
        </w:rPr>
        <w:t xml:space="preserve"> 5-11 gennaio</w:t>
      </w:r>
      <w:r w:rsidR="00A52BDE" w:rsidRPr="003965BE">
        <w:rPr>
          <w:color w:val="auto"/>
        </w:rPr>
        <w:t xml:space="preserve"> </w:t>
      </w:r>
      <w:r w:rsidR="00091D56" w:rsidRPr="003965BE">
        <w:rPr>
          <w:color w:val="auto"/>
        </w:rPr>
        <w:t xml:space="preserve">a </w:t>
      </w:r>
      <w:r w:rsidR="003965BE" w:rsidRPr="003965BE">
        <w:rPr>
          <w:color w:val="auto"/>
        </w:rPr>
        <w:t xml:space="preserve">7.672.378 </w:t>
      </w:r>
      <w:r w:rsidR="00A52BDE" w:rsidRPr="003965BE">
        <w:rPr>
          <w:color w:val="auto"/>
        </w:rPr>
        <w:t xml:space="preserve">della settimana </w:t>
      </w:r>
      <w:r w:rsidR="003965BE" w:rsidRPr="003965BE">
        <w:rPr>
          <w:color w:val="auto"/>
        </w:rPr>
        <w:t>12</w:t>
      </w:r>
      <w:r w:rsidR="006B1CCB" w:rsidRPr="003965BE">
        <w:rPr>
          <w:color w:val="auto"/>
        </w:rPr>
        <w:t>-</w:t>
      </w:r>
      <w:r w:rsidR="003965BE" w:rsidRPr="003965BE">
        <w:rPr>
          <w:color w:val="auto"/>
        </w:rPr>
        <w:t>18</w:t>
      </w:r>
      <w:r w:rsidR="006B1CCB" w:rsidRPr="003965BE">
        <w:rPr>
          <w:color w:val="auto"/>
        </w:rPr>
        <w:t xml:space="preserve"> </w:t>
      </w:r>
      <w:r w:rsidR="00A52BDE" w:rsidRPr="003965BE">
        <w:rPr>
          <w:color w:val="auto"/>
        </w:rPr>
        <w:t>gennaio</w:t>
      </w:r>
      <w:r w:rsidR="00D02FFA" w:rsidRPr="003965BE">
        <w:rPr>
          <w:color w:val="auto"/>
        </w:rPr>
        <w:t>,</w:t>
      </w:r>
      <w:r w:rsidR="002879EE" w:rsidRPr="003965BE">
        <w:rPr>
          <w:color w:val="auto"/>
        </w:rPr>
        <w:t xml:space="preserve"> </w:t>
      </w:r>
      <w:r w:rsidR="00AD4F13">
        <w:rPr>
          <w:color w:val="auto"/>
        </w:rPr>
        <w:t xml:space="preserve">con un </w:t>
      </w:r>
      <w:r w:rsidR="00BF6782" w:rsidRPr="003965BE">
        <w:rPr>
          <w:color w:val="auto"/>
        </w:rPr>
        <w:t xml:space="preserve">incremento </w:t>
      </w:r>
      <w:r w:rsidR="00091D56" w:rsidRPr="003965BE">
        <w:rPr>
          <w:color w:val="auto"/>
        </w:rPr>
        <w:t>dei tamponi rapidi (+</w:t>
      </w:r>
      <w:r w:rsidR="003965BE" w:rsidRPr="003965BE">
        <w:rPr>
          <w:color w:val="auto"/>
        </w:rPr>
        <w:t>856.687; +17</w:t>
      </w:r>
      <w:r w:rsidR="006B1CCB" w:rsidRPr="003965BE">
        <w:rPr>
          <w:color w:val="auto"/>
        </w:rPr>
        <w:t>,</w:t>
      </w:r>
      <w:r w:rsidR="003965BE" w:rsidRPr="003965BE">
        <w:rPr>
          <w:color w:val="auto"/>
        </w:rPr>
        <w:t>8</w:t>
      </w:r>
      <w:r w:rsidR="00D02FFA" w:rsidRPr="003965BE">
        <w:rPr>
          <w:color w:val="auto"/>
        </w:rPr>
        <w:t>%</w:t>
      </w:r>
      <w:r w:rsidR="00091D56" w:rsidRPr="003965BE">
        <w:rPr>
          <w:color w:val="auto"/>
        </w:rPr>
        <w:t xml:space="preserve">) </w:t>
      </w:r>
      <w:r w:rsidR="003965BE" w:rsidRPr="003965BE">
        <w:rPr>
          <w:color w:val="auto"/>
        </w:rPr>
        <w:t>a fronte di una leggera flessione di quelli molecolari (-110.848</w:t>
      </w:r>
      <w:r w:rsidR="00D02FFA" w:rsidRPr="003965BE">
        <w:rPr>
          <w:color w:val="auto"/>
        </w:rPr>
        <w:t xml:space="preserve">; </w:t>
      </w:r>
      <w:r w:rsidR="003965BE" w:rsidRPr="003965BE">
        <w:rPr>
          <w:color w:val="auto"/>
        </w:rPr>
        <w:t>-5,3</w:t>
      </w:r>
      <w:r w:rsidR="00D02FFA" w:rsidRPr="003965BE">
        <w:rPr>
          <w:color w:val="auto"/>
        </w:rPr>
        <w:t>%</w:t>
      </w:r>
      <w:r w:rsidR="00091D56" w:rsidRPr="003965BE">
        <w:rPr>
          <w:color w:val="auto"/>
        </w:rPr>
        <w:t>)</w:t>
      </w:r>
      <w:r w:rsidR="003965BE" w:rsidRPr="003965BE">
        <w:rPr>
          <w:color w:val="auto"/>
        </w:rPr>
        <w:t xml:space="preserve"> </w:t>
      </w:r>
      <w:r w:rsidR="002879EE" w:rsidRPr="003965BE">
        <w:rPr>
          <w:color w:val="auto"/>
        </w:rPr>
        <w:t>(</w:t>
      </w:r>
      <w:r w:rsidR="002879EE" w:rsidRPr="003965BE">
        <w:rPr>
          <w:color w:val="auto"/>
          <w:highlight w:val="yellow"/>
        </w:rPr>
        <w:t>figura</w:t>
      </w:r>
      <w:r w:rsidR="003965BE" w:rsidRPr="003965BE">
        <w:rPr>
          <w:color w:val="auto"/>
          <w:highlight w:val="yellow"/>
        </w:rPr>
        <w:t xml:space="preserve"> </w:t>
      </w:r>
      <w:r w:rsidR="002879EE" w:rsidRPr="003965BE">
        <w:rPr>
          <w:color w:val="auto"/>
          <w:highlight w:val="yellow"/>
        </w:rPr>
        <w:t>5</w:t>
      </w:r>
      <w:r w:rsidR="002879EE" w:rsidRPr="003965BE">
        <w:rPr>
          <w:color w:val="auto"/>
        </w:rPr>
        <w:t>)</w:t>
      </w:r>
      <w:r w:rsidR="004960A6">
        <w:rPr>
          <w:color w:val="auto"/>
        </w:rPr>
        <w:t xml:space="preserve">. </w:t>
      </w:r>
      <w:r w:rsidR="003965BE" w:rsidRPr="003965BE">
        <w:rPr>
          <w:color w:val="auto"/>
        </w:rPr>
        <w:t>L</w:t>
      </w:r>
      <w:r w:rsidR="0022481D" w:rsidRPr="003965BE">
        <w:rPr>
          <w:color w:val="auto"/>
        </w:rPr>
        <w:t xml:space="preserve">a media mobile a 7 giorni </w:t>
      </w:r>
      <w:r w:rsidR="00036D6B">
        <w:rPr>
          <w:color w:val="auto"/>
        </w:rPr>
        <w:t>del tasso</w:t>
      </w:r>
      <w:r w:rsidR="003965BE" w:rsidRPr="003965BE">
        <w:rPr>
          <w:color w:val="auto"/>
        </w:rPr>
        <w:t xml:space="preserve"> di positività dei tamponi </w:t>
      </w:r>
      <w:r w:rsidR="00036D6B">
        <w:rPr>
          <w:color w:val="auto"/>
        </w:rPr>
        <w:t>molecolari si riduce ulteriormente (</w:t>
      </w:r>
      <w:r w:rsidR="00036D6B" w:rsidRPr="003965BE">
        <w:rPr>
          <w:color w:val="auto"/>
        </w:rPr>
        <w:t>dal 25,4% al 21,2</w:t>
      </w:r>
      <w:r w:rsidR="004777C6" w:rsidRPr="003965BE">
        <w:rPr>
          <w:color w:val="auto"/>
        </w:rPr>
        <w:t>%</w:t>
      </w:r>
      <w:r w:rsidR="004777C6">
        <w:rPr>
          <w:color w:val="auto"/>
        </w:rPr>
        <w:t xml:space="preserve">), </w:t>
      </w:r>
      <w:r w:rsidR="00036D6B">
        <w:rPr>
          <w:color w:val="auto"/>
        </w:rPr>
        <w:t xml:space="preserve">mentre rimane </w:t>
      </w:r>
      <w:r w:rsidR="00D14AB1">
        <w:rPr>
          <w:color w:val="auto"/>
        </w:rPr>
        <w:t>stabile (</w:t>
      </w:r>
      <w:r w:rsidR="003965BE" w:rsidRPr="003965BE">
        <w:rPr>
          <w:color w:val="auto"/>
        </w:rPr>
        <w:t>14</w:t>
      </w:r>
      <w:r w:rsidR="00D14AB1">
        <w:rPr>
          <w:color w:val="auto"/>
        </w:rPr>
        <w:t>,4</w:t>
      </w:r>
      <w:r w:rsidR="00447C34" w:rsidRPr="003965BE">
        <w:rPr>
          <w:color w:val="auto"/>
        </w:rPr>
        <w:t xml:space="preserve">% </w:t>
      </w:r>
      <w:r w:rsidR="00D14AB1">
        <w:rPr>
          <w:color w:val="auto"/>
        </w:rPr>
        <w:t>vs</w:t>
      </w:r>
      <w:r w:rsidR="00D14AB1" w:rsidRPr="003965BE">
        <w:rPr>
          <w:color w:val="auto"/>
        </w:rPr>
        <w:t xml:space="preserve"> </w:t>
      </w:r>
      <w:r w:rsidR="006B1CCB" w:rsidRPr="003965BE">
        <w:rPr>
          <w:color w:val="auto"/>
        </w:rPr>
        <w:t>14</w:t>
      </w:r>
      <w:r w:rsidR="008416D6" w:rsidRPr="003965BE">
        <w:rPr>
          <w:color w:val="auto"/>
        </w:rPr>
        <w:t>%</w:t>
      </w:r>
      <w:r w:rsidR="00D14AB1">
        <w:rPr>
          <w:color w:val="auto"/>
        </w:rPr>
        <w:t>)</w:t>
      </w:r>
      <w:r w:rsidR="006A145D" w:rsidRPr="003965BE">
        <w:rPr>
          <w:color w:val="auto"/>
        </w:rPr>
        <w:t xml:space="preserve"> </w:t>
      </w:r>
      <w:r w:rsidR="008416D6" w:rsidRPr="003965BE">
        <w:rPr>
          <w:color w:val="auto"/>
        </w:rPr>
        <w:t xml:space="preserve">per gli antigenici rapidi </w:t>
      </w:r>
      <w:r w:rsidR="00C27708" w:rsidRPr="003965BE">
        <w:rPr>
          <w:color w:val="auto"/>
        </w:rPr>
        <w:t>(</w:t>
      </w:r>
      <w:r w:rsidR="00C27708" w:rsidRPr="003965BE">
        <w:rPr>
          <w:color w:val="auto"/>
          <w:highlight w:val="yellow"/>
        </w:rPr>
        <w:t>figura 6</w:t>
      </w:r>
      <w:r w:rsidR="00C27708" w:rsidRPr="003965BE">
        <w:rPr>
          <w:color w:val="auto"/>
        </w:rPr>
        <w:t>)</w:t>
      </w:r>
      <w:r w:rsidR="00091D56" w:rsidRPr="003965BE">
        <w:rPr>
          <w:color w:val="auto"/>
        </w:rPr>
        <w:t xml:space="preserve">. </w:t>
      </w:r>
    </w:p>
    <w:p w:rsidR="00341691" w:rsidRPr="00911864" w:rsidRDefault="00C27708" w:rsidP="00500148">
      <w:pPr>
        <w:spacing w:line="276" w:lineRule="auto"/>
        <w:jc w:val="both"/>
        <w:rPr>
          <w:color w:val="auto"/>
        </w:rPr>
      </w:pPr>
      <w:bookmarkStart w:id="0" w:name="_Hlk85025666"/>
      <w:r w:rsidRPr="003965BE">
        <w:rPr>
          <w:b/>
          <w:color w:val="auto"/>
        </w:rPr>
        <w:t xml:space="preserve">Ospedalizzazioni. </w:t>
      </w:r>
      <w:r w:rsidR="002348FC" w:rsidRPr="003965BE">
        <w:rPr>
          <w:color w:val="auto"/>
        </w:rPr>
        <w:t>«</w:t>
      </w:r>
      <w:r w:rsidR="004777C6">
        <w:rPr>
          <w:color w:val="auto"/>
        </w:rPr>
        <w:t>Resta alta la pressione sugli ospedali</w:t>
      </w:r>
      <w:r w:rsidR="004F2DBC" w:rsidRPr="003965BE">
        <w:rPr>
          <w:color w:val="auto"/>
        </w:rPr>
        <w:t xml:space="preserve"> </w:t>
      </w:r>
      <w:r w:rsidR="00582BAE" w:rsidRPr="003965BE">
        <w:rPr>
          <w:color w:val="auto"/>
        </w:rPr>
        <w:t xml:space="preserve">– </w:t>
      </w:r>
      <w:r w:rsidR="002348FC" w:rsidRPr="003965BE">
        <w:rPr>
          <w:color w:val="auto"/>
        </w:rPr>
        <w:t>afferma Renata Gili, responsabile Ricerca sui Servizi Sanitari della Fondazione GIMBE –</w:t>
      </w:r>
      <w:r w:rsidR="00582BAE" w:rsidRPr="003965BE">
        <w:rPr>
          <w:color w:val="auto"/>
        </w:rPr>
        <w:t xml:space="preserve"> </w:t>
      </w:r>
      <w:r w:rsidR="004777C6">
        <w:rPr>
          <w:color w:val="auto"/>
        </w:rPr>
        <w:t xml:space="preserve">in cui </w:t>
      </w:r>
      <w:r w:rsidR="002348FC" w:rsidRPr="003965BE">
        <w:rPr>
          <w:color w:val="auto"/>
        </w:rPr>
        <w:t>i posti letto occupati da pazienti COVID</w:t>
      </w:r>
      <w:r w:rsidR="004777C6">
        <w:rPr>
          <w:color w:val="auto"/>
        </w:rPr>
        <w:t xml:space="preserve"> continuano ad aumentare</w:t>
      </w:r>
      <w:r w:rsidR="00911864">
        <w:rPr>
          <w:color w:val="auto"/>
        </w:rPr>
        <w:t>, seppur più lentamente</w:t>
      </w:r>
      <w:r w:rsidR="002348FC" w:rsidRPr="003965BE">
        <w:rPr>
          <w:color w:val="auto"/>
        </w:rPr>
        <w:t xml:space="preserve">: </w:t>
      </w:r>
      <w:r w:rsidR="00393F63" w:rsidRPr="003965BE">
        <w:rPr>
          <w:color w:val="auto"/>
        </w:rPr>
        <w:t xml:space="preserve">rispetto alla settimana precedente </w:t>
      </w:r>
      <w:r w:rsidR="000A422E" w:rsidRPr="003965BE">
        <w:rPr>
          <w:color w:val="auto"/>
        </w:rPr>
        <w:t>+</w:t>
      </w:r>
      <w:r w:rsidR="003965BE" w:rsidRPr="003965BE">
        <w:rPr>
          <w:color w:val="auto"/>
        </w:rPr>
        <w:t>14</w:t>
      </w:r>
      <w:r w:rsidR="002348FC" w:rsidRPr="003965BE">
        <w:rPr>
          <w:color w:val="auto"/>
        </w:rPr>
        <w:t>% in area medica e +</w:t>
      </w:r>
      <w:r w:rsidR="003965BE" w:rsidRPr="003965BE">
        <w:rPr>
          <w:color w:val="auto"/>
        </w:rPr>
        <w:t>2,3</w:t>
      </w:r>
      <w:r w:rsidR="00A51B01" w:rsidRPr="003965BE">
        <w:rPr>
          <w:color w:val="auto"/>
        </w:rPr>
        <w:t>% in terapia intensiva»</w:t>
      </w:r>
      <w:r w:rsidR="000A422E" w:rsidRPr="003965BE">
        <w:rPr>
          <w:color w:val="auto"/>
        </w:rPr>
        <w:t xml:space="preserve">. </w:t>
      </w:r>
      <w:r w:rsidR="006D4FE3" w:rsidRPr="003965BE">
        <w:rPr>
          <w:color w:val="auto"/>
        </w:rPr>
        <w:t>A</w:t>
      </w:r>
      <w:r w:rsidR="00AB2BE7" w:rsidRPr="003965BE">
        <w:rPr>
          <w:color w:val="auto"/>
        </w:rPr>
        <w:t>l</w:t>
      </w:r>
      <w:r w:rsidR="003965BE" w:rsidRPr="003965BE">
        <w:rPr>
          <w:color w:val="auto"/>
        </w:rPr>
        <w:t xml:space="preserve"> 18</w:t>
      </w:r>
      <w:r w:rsidR="005736A8" w:rsidRPr="003965BE">
        <w:rPr>
          <w:color w:val="auto"/>
        </w:rPr>
        <w:t xml:space="preserve"> gennaio</w:t>
      </w:r>
      <w:r w:rsidR="00AB2BE7" w:rsidRPr="003965BE">
        <w:rPr>
          <w:color w:val="auto"/>
        </w:rPr>
        <w:t>,</w:t>
      </w:r>
      <w:r w:rsidR="002348FC" w:rsidRPr="003965BE">
        <w:rPr>
          <w:color w:val="auto"/>
        </w:rPr>
        <w:t xml:space="preserve"> il tasso di occupazione </w:t>
      </w:r>
      <w:r w:rsidR="006D4FE3" w:rsidRPr="003965BE">
        <w:rPr>
          <w:color w:val="auto"/>
        </w:rPr>
        <w:t xml:space="preserve">nazionale </w:t>
      </w:r>
      <w:r w:rsidR="004C18D7" w:rsidRPr="003965BE">
        <w:rPr>
          <w:color w:val="auto"/>
        </w:rPr>
        <w:t xml:space="preserve">da parte di pazienti COVID </w:t>
      </w:r>
      <w:r w:rsidR="002348FC" w:rsidRPr="003965BE">
        <w:rPr>
          <w:color w:val="auto"/>
        </w:rPr>
        <w:t xml:space="preserve">è </w:t>
      </w:r>
      <w:r w:rsidR="005278CA" w:rsidRPr="003965BE">
        <w:rPr>
          <w:color w:val="auto"/>
        </w:rPr>
        <w:t>del</w:t>
      </w:r>
      <w:r w:rsidR="00393F63" w:rsidRPr="003965BE">
        <w:rPr>
          <w:color w:val="auto"/>
        </w:rPr>
        <w:t xml:space="preserve"> </w:t>
      </w:r>
      <w:r w:rsidR="003965BE" w:rsidRPr="003965BE">
        <w:rPr>
          <w:color w:val="auto"/>
        </w:rPr>
        <w:t>29</w:t>
      </w:r>
      <w:r w:rsidR="00385C48" w:rsidRPr="003965BE">
        <w:rPr>
          <w:color w:val="auto"/>
        </w:rPr>
        <w:t>,</w:t>
      </w:r>
      <w:r w:rsidR="003965BE" w:rsidRPr="003965BE">
        <w:rPr>
          <w:color w:val="auto"/>
        </w:rPr>
        <w:t>8</w:t>
      </w:r>
      <w:r w:rsidR="002E37EA" w:rsidRPr="003965BE">
        <w:rPr>
          <w:color w:val="auto"/>
        </w:rPr>
        <w:t>% in area medica e del</w:t>
      </w:r>
      <w:r w:rsidR="005278CA" w:rsidRPr="003965BE">
        <w:rPr>
          <w:color w:val="auto"/>
        </w:rPr>
        <w:t xml:space="preserve"> 1</w:t>
      </w:r>
      <w:r w:rsidR="003965BE" w:rsidRPr="003965BE">
        <w:rPr>
          <w:color w:val="auto"/>
        </w:rPr>
        <w:t>7</w:t>
      </w:r>
      <w:r w:rsidR="00385C48" w:rsidRPr="003965BE">
        <w:rPr>
          <w:color w:val="auto"/>
        </w:rPr>
        <w:t>,</w:t>
      </w:r>
      <w:r w:rsidR="003965BE" w:rsidRPr="003965BE">
        <w:rPr>
          <w:color w:val="auto"/>
        </w:rPr>
        <w:t>8</w:t>
      </w:r>
      <w:r w:rsidR="002348FC" w:rsidRPr="003965BE">
        <w:rPr>
          <w:color w:val="auto"/>
        </w:rPr>
        <w:t>% in area critica</w:t>
      </w:r>
      <w:bookmarkEnd w:id="0"/>
      <w:r w:rsidR="00C97388" w:rsidRPr="003965BE">
        <w:rPr>
          <w:color w:val="auto"/>
        </w:rPr>
        <w:t>.</w:t>
      </w:r>
      <w:r w:rsidR="00341691" w:rsidRPr="003965BE">
        <w:rPr>
          <w:color w:val="auto"/>
        </w:rPr>
        <w:t xml:space="preserve"> </w:t>
      </w:r>
      <w:r w:rsidR="00AC32E6" w:rsidRPr="003965BE">
        <w:rPr>
          <w:color w:val="auto"/>
        </w:rPr>
        <w:t xml:space="preserve">Ad eccezione di </w:t>
      </w:r>
      <w:r w:rsidR="00BE4C36" w:rsidRPr="003965BE">
        <w:rPr>
          <w:color w:val="auto"/>
        </w:rPr>
        <w:t xml:space="preserve">Molise e </w:t>
      </w:r>
      <w:r w:rsidR="00341691" w:rsidRPr="003965BE">
        <w:rPr>
          <w:color w:val="auto"/>
        </w:rPr>
        <w:t>Sardegna</w:t>
      </w:r>
      <w:r w:rsidR="00BE4C36" w:rsidRPr="003965BE">
        <w:rPr>
          <w:color w:val="auto"/>
        </w:rPr>
        <w:t xml:space="preserve">, </w:t>
      </w:r>
      <w:r w:rsidR="00341691" w:rsidRPr="003965BE">
        <w:rPr>
          <w:color w:val="auto"/>
        </w:rPr>
        <w:t>tutte le Regioni superano la soglia del 15% in area medica</w:t>
      </w:r>
      <w:r w:rsidR="004858C1" w:rsidRPr="003965BE">
        <w:rPr>
          <w:color w:val="auto"/>
        </w:rPr>
        <w:t>,</w:t>
      </w:r>
      <w:r w:rsidR="00341691" w:rsidRPr="003965BE">
        <w:rPr>
          <w:color w:val="auto"/>
        </w:rPr>
        <w:t xml:space="preserve"> </w:t>
      </w:r>
      <w:r w:rsidR="005354A9" w:rsidRPr="003965BE">
        <w:rPr>
          <w:color w:val="auto"/>
        </w:rPr>
        <w:t>con la V</w:t>
      </w:r>
      <w:r w:rsidR="00BE4C36" w:rsidRPr="003965BE">
        <w:rPr>
          <w:color w:val="auto"/>
        </w:rPr>
        <w:t>alle d’Aosta che raggiunge il 5</w:t>
      </w:r>
      <w:r w:rsidR="003965BE" w:rsidRPr="003965BE">
        <w:rPr>
          <w:color w:val="auto"/>
        </w:rPr>
        <w:t>7</w:t>
      </w:r>
      <w:r w:rsidR="005354A9" w:rsidRPr="003965BE">
        <w:rPr>
          <w:color w:val="auto"/>
        </w:rPr>
        <w:t>,</w:t>
      </w:r>
      <w:r w:rsidR="003965BE" w:rsidRPr="003965BE">
        <w:rPr>
          <w:color w:val="auto"/>
        </w:rPr>
        <w:t>1</w:t>
      </w:r>
      <w:r w:rsidR="005354A9" w:rsidRPr="003965BE">
        <w:rPr>
          <w:color w:val="auto"/>
        </w:rPr>
        <w:t xml:space="preserve">%; ad eccezione di </w:t>
      </w:r>
      <w:r w:rsidR="003965BE" w:rsidRPr="003965BE">
        <w:rPr>
          <w:color w:val="auto"/>
        </w:rPr>
        <w:t>Basilicata e Molise</w:t>
      </w:r>
      <w:r w:rsidR="00632D66">
        <w:rPr>
          <w:color w:val="auto"/>
        </w:rPr>
        <w:t>,</w:t>
      </w:r>
      <w:r w:rsidR="003965BE" w:rsidRPr="003965BE">
        <w:rPr>
          <w:color w:val="auto"/>
        </w:rPr>
        <w:t xml:space="preserve"> </w:t>
      </w:r>
      <w:r w:rsidR="00341691" w:rsidRPr="003965BE">
        <w:rPr>
          <w:color w:val="auto"/>
        </w:rPr>
        <w:t>tutte superano la soglia del 10% in area critica</w:t>
      </w:r>
      <w:r w:rsidR="00036D6B">
        <w:rPr>
          <w:color w:val="auto"/>
        </w:rPr>
        <w:t xml:space="preserve"> </w:t>
      </w:r>
      <w:r w:rsidR="004B6DC2" w:rsidRPr="003965BE">
        <w:rPr>
          <w:color w:val="auto"/>
        </w:rPr>
        <w:t>(</w:t>
      </w:r>
      <w:r w:rsidR="004B6DC2" w:rsidRPr="003965BE">
        <w:rPr>
          <w:color w:val="auto"/>
          <w:highlight w:val="yellow"/>
        </w:rPr>
        <w:t xml:space="preserve">figura </w:t>
      </w:r>
      <w:r w:rsidR="00F9470A" w:rsidRPr="003965BE">
        <w:rPr>
          <w:color w:val="auto"/>
          <w:highlight w:val="yellow"/>
        </w:rPr>
        <w:t>7</w:t>
      </w:r>
      <w:r w:rsidR="004B6DC2" w:rsidRPr="003965BE">
        <w:rPr>
          <w:color w:val="auto"/>
        </w:rPr>
        <w:t>)</w:t>
      </w:r>
      <w:r w:rsidR="00341691" w:rsidRPr="003965BE">
        <w:rPr>
          <w:color w:val="auto"/>
        </w:rPr>
        <w:t>.</w:t>
      </w:r>
      <w:r w:rsidR="008D2843" w:rsidRPr="003965BE">
        <w:rPr>
          <w:color w:val="auto"/>
        </w:rPr>
        <w:t xml:space="preserve"> </w:t>
      </w:r>
      <w:r w:rsidR="00BD67DE" w:rsidRPr="003965BE">
        <w:rPr>
          <w:color w:val="auto"/>
        </w:rPr>
        <w:t>«</w:t>
      </w:r>
      <w:r w:rsidR="003965BE" w:rsidRPr="003965BE">
        <w:rPr>
          <w:color w:val="auto"/>
        </w:rPr>
        <w:t>In lieve flessione</w:t>
      </w:r>
      <w:r w:rsidR="00C76A43" w:rsidRPr="003965BE">
        <w:rPr>
          <w:color w:val="auto"/>
        </w:rPr>
        <w:t xml:space="preserve"> gli ingressi giornalieri in terapia intensiva</w:t>
      </w:r>
      <w:r w:rsidR="00C644BF" w:rsidRPr="003965BE">
        <w:rPr>
          <w:color w:val="auto"/>
        </w:rPr>
        <w:t xml:space="preserve"> </w:t>
      </w:r>
      <w:r w:rsidR="00451468" w:rsidRPr="003965BE">
        <w:rPr>
          <w:color w:val="auto"/>
        </w:rPr>
        <w:t>– puntualizza Marco Mosti, Direttore Operativo della Fondazione GIMBE –</w:t>
      </w:r>
      <w:r w:rsidR="00C76A43" w:rsidRPr="003965BE">
        <w:rPr>
          <w:color w:val="auto"/>
        </w:rPr>
        <w:t xml:space="preserve"> </w:t>
      </w:r>
      <w:r w:rsidR="00443A0B" w:rsidRPr="003965BE">
        <w:rPr>
          <w:color w:val="auto"/>
        </w:rPr>
        <w:t>la cui</w:t>
      </w:r>
      <w:r w:rsidR="00547F28" w:rsidRPr="003965BE">
        <w:rPr>
          <w:color w:val="auto"/>
        </w:rPr>
        <w:t xml:space="preserve"> </w:t>
      </w:r>
      <w:r w:rsidR="00BD67DE" w:rsidRPr="003965BE">
        <w:rPr>
          <w:color w:val="auto"/>
        </w:rPr>
        <w:t xml:space="preserve">media mobile a 7 giorni </w:t>
      </w:r>
      <w:r w:rsidR="00615C81">
        <w:rPr>
          <w:color w:val="auto"/>
        </w:rPr>
        <w:t>scende</w:t>
      </w:r>
      <w:r w:rsidR="00615C81" w:rsidRPr="003965BE">
        <w:rPr>
          <w:color w:val="auto"/>
        </w:rPr>
        <w:t xml:space="preserve"> </w:t>
      </w:r>
      <w:r w:rsidR="004D49EC" w:rsidRPr="003965BE">
        <w:rPr>
          <w:color w:val="auto"/>
        </w:rPr>
        <w:t xml:space="preserve">a </w:t>
      </w:r>
      <w:r w:rsidR="003965BE" w:rsidRPr="003965BE">
        <w:rPr>
          <w:color w:val="auto"/>
        </w:rPr>
        <w:t>141</w:t>
      </w:r>
      <w:r w:rsidR="004D49EC" w:rsidRPr="003965BE">
        <w:rPr>
          <w:color w:val="auto"/>
        </w:rPr>
        <w:t xml:space="preserve"> </w:t>
      </w:r>
      <w:r w:rsidR="00547F28" w:rsidRPr="003965BE">
        <w:rPr>
          <w:color w:val="auto"/>
        </w:rPr>
        <w:t xml:space="preserve">ingressi/die </w:t>
      </w:r>
      <w:r w:rsidR="004D49EC" w:rsidRPr="003965BE">
        <w:rPr>
          <w:color w:val="auto"/>
        </w:rPr>
        <w:t>ris</w:t>
      </w:r>
      <w:r w:rsidR="005354A9" w:rsidRPr="003965BE">
        <w:rPr>
          <w:color w:val="auto"/>
        </w:rPr>
        <w:t>petto ai</w:t>
      </w:r>
      <w:r w:rsidR="004D49EC" w:rsidRPr="003965BE">
        <w:rPr>
          <w:color w:val="auto"/>
        </w:rPr>
        <w:t xml:space="preserve"> </w:t>
      </w:r>
      <w:r w:rsidR="003965BE" w:rsidRPr="003965BE">
        <w:rPr>
          <w:color w:val="auto"/>
        </w:rPr>
        <w:t>146</w:t>
      </w:r>
      <w:r w:rsidR="004D49EC" w:rsidRPr="003965BE">
        <w:rPr>
          <w:color w:val="auto"/>
        </w:rPr>
        <w:t xml:space="preserve"> della settimana precedente</w:t>
      </w:r>
      <w:r w:rsidR="00D42AAE" w:rsidRPr="003965BE">
        <w:rPr>
          <w:color w:val="auto"/>
        </w:rPr>
        <w:t>»</w:t>
      </w:r>
      <w:r w:rsidR="00BD67DE" w:rsidRPr="003965BE">
        <w:rPr>
          <w:color w:val="auto"/>
        </w:rPr>
        <w:t xml:space="preserve"> (</w:t>
      </w:r>
      <w:r w:rsidR="00BD67DE" w:rsidRPr="003965BE">
        <w:rPr>
          <w:color w:val="auto"/>
          <w:highlight w:val="yellow"/>
        </w:rPr>
        <w:t>figura</w:t>
      </w:r>
      <w:r w:rsidR="00C91686" w:rsidRPr="003965BE">
        <w:rPr>
          <w:color w:val="auto"/>
          <w:highlight w:val="yellow"/>
        </w:rPr>
        <w:t xml:space="preserve"> </w:t>
      </w:r>
      <w:r w:rsidR="00F9470A" w:rsidRPr="003965BE">
        <w:rPr>
          <w:color w:val="auto"/>
          <w:highlight w:val="yellow"/>
        </w:rPr>
        <w:t>8</w:t>
      </w:r>
      <w:r w:rsidR="00BD67DE" w:rsidRPr="003965BE">
        <w:rPr>
          <w:color w:val="auto"/>
        </w:rPr>
        <w:t>).</w:t>
      </w:r>
    </w:p>
    <w:p w:rsidR="003106B8" w:rsidRPr="003965BE" w:rsidRDefault="003E6CDA" w:rsidP="005D750D">
      <w:pPr>
        <w:spacing w:line="276" w:lineRule="auto"/>
        <w:jc w:val="both"/>
        <w:rPr>
          <w:color w:val="auto"/>
        </w:rPr>
      </w:pPr>
      <w:r w:rsidRPr="003965BE">
        <w:rPr>
          <w:color w:val="auto"/>
        </w:rPr>
        <w:t>«</w:t>
      </w:r>
      <w:r w:rsidR="003422C4" w:rsidRPr="003422C4">
        <w:rPr>
          <w:color w:val="auto"/>
        </w:rPr>
        <w:t>Rimangono di difficile interpretazione</w:t>
      </w:r>
      <w:r w:rsidR="003422C4" w:rsidRPr="003965BE">
        <w:rPr>
          <w:color w:val="auto"/>
        </w:rPr>
        <w:t xml:space="preserve"> </w:t>
      </w:r>
      <w:r w:rsidR="00AC32E6" w:rsidRPr="003965BE">
        <w:rPr>
          <w:color w:val="auto"/>
        </w:rPr>
        <w:t>– spiega Cartabellotta –</w:t>
      </w:r>
      <w:r w:rsidR="00731284">
        <w:rPr>
          <w:color w:val="auto"/>
        </w:rPr>
        <w:t xml:space="preserve"> </w:t>
      </w:r>
      <w:r w:rsidR="003422C4">
        <w:rPr>
          <w:color w:val="auto"/>
        </w:rPr>
        <w:t xml:space="preserve">i </w:t>
      </w:r>
      <w:r w:rsidR="003422C4" w:rsidRPr="003422C4">
        <w:rPr>
          <w:color w:val="auto"/>
        </w:rPr>
        <w:t>trend dei ricoveri in area medica e in terapia intensiva dell’ultima settimana</w:t>
      </w:r>
      <w:r w:rsidR="003422C4">
        <w:rPr>
          <w:color w:val="auto"/>
        </w:rPr>
        <w:t xml:space="preserve">; servono ulteriori analisi </w:t>
      </w:r>
      <w:r w:rsidR="00DE0343">
        <w:rPr>
          <w:color w:val="auto"/>
        </w:rPr>
        <w:t>per capire</w:t>
      </w:r>
      <w:r w:rsidR="003422C4" w:rsidRPr="003422C4">
        <w:rPr>
          <w:color w:val="auto"/>
        </w:rPr>
        <w:t xml:space="preserve"> se si tratta di </w:t>
      </w:r>
      <w:r w:rsidR="00DE0343">
        <w:rPr>
          <w:color w:val="auto"/>
        </w:rPr>
        <w:t xml:space="preserve">errori tecnici, di </w:t>
      </w:r>
      <w:r w:rsidR="003422C4" w:rsidRPr="003422C4">
        <w:rPr>
          <w:color w:val="auto"/>
        </w:rPr>
        <w:t>ricalcoli da parte delle Regioni, dei primi effetti della prevalenza della variante omicron sulla delta, o di altre motivazioni.</w:t>
      </w:r>
      <w:r w:rsidR="003422C4" w:rsidRPr="00733EC8">
        <w:rPr>
          <w:color w:val="FF0000"/>
        </w:rPr>
        <w:t xml:space="preserve"> </w:t>
      </w:r>
      <w:r w:rsidR="003422C4" w:rsidRPr="003965BE">
        <w:rPr>
          <w:color w:val="auto"/>
        </w:rPr>
        <w:t>(</w:t>
      </w:r>
      <w:r w:rsidR="003422C4" w:rsidRPr="003965BE">
        <w:rPr>
          <w:color w:val="auto"/>
          <w:highlight w:val="yellow"/>
        </w:rPr>
        <w:t>figura 9</w:t>
      </w:r>
      <w:r w:rsidR="003422C4" w:rsidRPr="003965BE">
        <w:rPr>
          <w:color w:val="auto"/>
        </w:rPr>
        <w:t>)</w:t>
      </w:r>
      <w:r w:rsidR="006D4FE3" w:rsidRPr="003965BE">
        <w:rPr>
          <w:color w:val="auto"/>
        </w:rPr>
        <w:t>»</w:t>
      </w:r>
      <w:r w:rsidR="000B53A4">
        <w:rPr>
          <w:color w:val="auto"/>
        </w:rPr>
        <w:t>.</w:t>
      </w:r>
      <w:r w:rsidR="00C64A91" w:rsidRPr="003965BE">
        <w:rPr>
          <w:color w:val="auto"/>
        </w:rPr>
        <w:t xml:space="preserve"> </w:t>
      </w:r>
    </w:p>
    <w:p w:rsidR="003965BE" w:rsidRPr="00EE0C19" w:rsidRDefault="008D2843" w:rsidP="008D2843">
      <w:pPr>
        <w:spacing w:line="276" w:lineRule="auto"/>
        <w:jc w:val="both"/>
        <w:rPr>
          <w:color w:val="auto"/>
        </w:rPr>
      </w:pPr>
      <w:r w:rsidRPr="00EE0C19">
        <w:rPr>
          <w:b/>
          <w:color w:val="auto"/>
        </w:rPr>
        <w:t xml:space="preserve">Decessi. </w:t>
      </w:r>
      <w:r w:rsidR="007726C7" w:rsidRPr="00EE0C19">
        <w:rPr>
          <w:color w:val="auto"/>
        </w:rPr>
        <w:t>Crescono</w:t>
      </w:r>
      <w:r w:rsidRPr="00EE0C19">
        <w:rPr>
          <w:color w:val="auto"/>
        </w:rPr>
        <w:t xml:space="preserve"> i decessi: </w:t>
      </w:r>
      <w:r w:rsidR="00EE0C19" w:rsidRPr="00EE0C19">
        <w:rPr>
          <w:color w:val="auto"/>
        </w:rPr>
        <w:t>2</w:t>
      </w:r>
      <w:r w:rsidR="001343AE">
        <w:rPr>
          <w:color w:val="auto"/>
        </w:rPr>
        <w:t>.</w:t>
      </w:r>
      <w:r w:rsidR="00EE0C19" w:rsidRPr="00EE0C19">
        <w:rPr>
          <w:color w:val="auto"/>
        </w:rPr>
        <w:t xml:space="preserve">266 negli ultimi </w:t>
      </w:r>
      <w:r w:rsidR="00EE0C19" w:rsidRPr="001343AE">
        <w:rPr>
          <w:color w:val="auto"/>
        </w:rPr>
        <w:t>7 giorni (di cui 158 riferiti a periodi precedenti), con una media di 324 al giorno rispetto ai 216 della settimana precedente.</w:t>
      </w:r>
    </w:p>
    <w:p w:rsidR="00145D4E" w:rsidRPr="001343AE" w:rsidRDefault="00D325D0" w:rsidP="00145D4E">
      <w:pPr>
        <w:spacing w:line="276" w:lineRule="auto"/>
        <w:jc w:val="both"/>
        <w:rPr>
          <w:color w:val="auto"/>
        </w:rPr>
      </w:pPr>
      <w:r w:rsidRPr="001343AE">
        <w:rPr>
          <w:b/>
          <w:bCs/>
          <w:color w:val="auto"/>
        </w:rPr>
        <w:t>Vaccini: forniture</w:t>
      </w:r>
      <w:r w:rsidRPr="001343AE">
        <w:rPr>
          <w:color w:val="auto"/>
        </w:rPr>
        <w:t xml:space="preserve">. </w:t>
      </w:r>
      <w:r w:rsidR="001343AE" w:rsidRPr="001343AE">
        <w:rPr>
          <w:color w:val="auto"/>
        </w:rPr>
        <w:t xml:space="preserve">Al 19 gennaio (aggiornamento ore 06.15) risultano consegnate 121.302.328 dosi </w:t>
      </w:r>
      <w:r w:rsidR="00D30329" w:rsidRPr="001343AE">
        <w:rPr>
          <w:color w:val="auto"/>
        </w:rPr>
        <w:t xml:space="preserve">di cui </w:t>
      </w:r>
      <w:r w:rsidR="001343AE" w:rsidRPr="001343AE">
        <w:rPr>
          <w:color w:val="auto"/>
        </w:rPr>
        <w:t xml:space="preserve">3.114.000 </w:t>
      </w:r>
      <w:r w:rsidR="00D30329" w:rsidRPr="001343AE">
        <w:rPr>
          <w:color w:val="auto"/>
        </w:rPr>
        <w:t>dosi di vaccino Pfizer pediatrico</w:t>
      </w:r>
      <w:r w:rsidR="00A12ECD" w:rsidRPr="001343AE">
        <w:rPr>
          <w:color w:val="auto"/>
        </w:rPr>
        <w:t xml:space="preserve">. </w:t>
      </w:r>
      <w:r w:rsidR="00145D4E" w:rsidRPr="001343AE">
        <w:rPr>
          <w:color w:val="auto"/>
        </w:rPr>
        <w:t>«</w:t>
      </w:r>
      <w:r w:rsidR="00164036">
        <w:rPr>
          <w:color w:val="auto"/>
        </w:rPr>
        <w:t>Negli ultimi 7 giorni</w:t>
      </w:r>
      <w:r w:rsidR="00145D4E" w:rsidRPr="001343AE">
        <w:rPr>
          <w:color w:val="auto"/>
        </w:rPr>
        <w:t xml:space="preserve"> – commenta Mosti –</w:t>
      </w:r>
      <w:r w:rsidR="00164036">
        <w:rPr>
          <w:color w:val="auto"/>
        </w:rPr>
        <w:t xml:space="preserve"> sono state consegnate </w:t>
      </w:r>
      <w:r w:rsidR="00164036" w:rsidRPr="001343AE">
        <w:rPr>
          <w:color w:val="auto"/>
        </w:rPr>
        <w:t>2,98 milioni di dosi non pediatriche</w:t>
      </w:r>
      <w:r w:rsidR="00164036">
        <w:rPr>
          <w:color w:val="auto"/>
        </w:rPr>
        <w:t xml:space="preserve">; </w:t>
      </w:r>
      <w:r w:rsidR="000A57A1">
        <w:rPr>
          <w:color w:val="auto"/>
        </w:rPr>
        <w:t>rispetto alle dosi residue,</w:t>
      </w:r>
      <w:r w:rsidR="00036D6B">
        <w:rPr>
          <w:color w:val="auto"/>
        </w:rPr>
        <w:t xml:space="preserve"> </w:t>
      </w:r>
      <w:r w:rsidR="000B53A4">
        <w:rPr>
          <w:color w:val="auto"/>
        </w:rPr>
        <w:t xml:space="preserve">accanto </w:t>
      </w:r>
      <w:r w:rsidR="004777C6">
        <w:rPr>
          <w:color w:val="auto"/>
        </w:rPr>
        <w:t>alle</w:t>
      </w:r>
      <w:r w:rsidR="00164036">
        <w:rPr>
          <w:color w:val="auto"/>
        </w:rPr>
        <w:t xml:space="preserve"> </w:t>
      </w:r>
      <w:r w:rsidR="001343AE" w:rsidRPr="001343AE">
        <w:rPr>
          <w:color w:val="auto"/>
        </w:rPr>
        <w:t xml:space="preserve">2.927.240 </w:t>
      </w:r>
      <w:r w:rsidR="00403F26" w:rsidRPr="001343AE">
        <w:rPr>
          <w:color w:val="auto"/>
        </w:rPr>
        <w:t>dosi Pfizer</w:t>
      </w:r>
      <w:r w:rsidR="00036D6B">
        <w:rPr>
          <w:color w:val="auto"/>
        </w:rPr>
        <w:t>,</w:t>
      </w:r>
      <w:r w:rsidR="009F5E8D" w:rsidRPr="001343AE">
        <w:rPr>
          <w:color w:val="auto"/>
        </w:rPr>
        <w:t xml:space="preserve"> </w:t>
      </w:r>
      <w:r w:rsidR="00146286">
        <w:rPr>
          <w:color w:val="auto"/>
        </w:rPr>
        <w:t xml:space="preserve">è impossibile conoscere il reale numero </w:t>
      </w:r>
      <w:r w:rsidR="000A57A1">
        <w:rPr>
          <w:color w:val="auto"/>
        </w:rPr>
        <w:t>delle dosi Moderna</w:t>
      </w:r>
      <w:r w:rsidR="00146286">
        <w:rPr>
          <w:color w:val="auto"/>
        </w:rPr>
        <w:t xml:space="preserve"> </w:t>
      </w:r>
      <w:r w:rsidR="000A57A1">
        <w:rPr>
          <w:color w:val="auto"/>
        </w:rPr>
        <w:t>perché</w:t>
      </w:r>
      <w:r w:rsidR="00146286">
        <w:rPr>
          <w:color w:val="auto"/>
        </w:rPr>
        <w:t xml:space="preserve"> </w:t>
      </w:r>
      <w:r w:rsidR="00145D4E" w:rsidRPr="001343AE">
        <w:rPr>
          <w:color w:val="auto"/>
        </w:rPr>
        <w:t xml:space="preserve">la </w:t>
      </w:r>
      <w:hyperlink r:id="rId8" w:history="1">
        <w:r w:rsidR="00145D4E" w:rsidRPr="001343AE">
          <w:rPr>
            <w:rStyle w:val="Collegamentoipertestuale"/>
            <w:color w:val="auto"/>
          </w:rPr>
          <w:t>rendicontazione ufficiale</w:t>
        </w:r>
      </w:hyperlink>
      <w:r w:rsidR="00145D4E" w:rsidRPr="001343AE">
        <w:rPr>
          <w:color w:val="auto"/>
        </w:rPr>
        <w:t xml:space="preserve"> </w:t>
      </w:r>
      <w:r w:rsidR="00146286">
        <w:rPr>
          <w:color w:val="auto"/>
        </w:rPr>
        <w:t xml:space="preserve">non tiene conto </w:t>
      </w:r>
      <w:r w:rsidR="00145D4E" w:rsidRPr="001343AE">
        <w:rPr>
          <w:color w:val="auto"/>
        </w:rPr>
        <w:t xml:space="preserve">che per i richiami </w:t>
      </w:r>
      <w:r w:rsidR="004777C6">
        <w:rPr>
          <w:color w:val="auto"/>
        </w:rPr>
        <w:t xml:space="preserve">effettuati </w:t>
      </w:r>
      <w:r w:rsidR="00164036">
        <w:rPr>
          <w:color w:val="auto"/>
        </w:rPr>
        <w:t xml:space="preserve">con </w:t>
      </w:r>
      <w:r w:rsidR="000A57A1">
        <w:rPr>
          <w:color w:val="auto"/>
        </w:rPr>
        <w:t>questo</w:t>
      </w:r>
      <w:r w:rsidR="00164036">
        <w:rPr>
          <w:color w:val="auto"/>
        </w:rPr>
        <w:t xml:space="preserve"> vaccino </w:t>
      </w:r>
      <w:r w:rsidR="00145D4E" w:rsidRPr="001343AE">
        <w:rPr>
          <w:color w:val="auto"/>
        </w:rPr>
        <w:t>viene utilizzata solo mezza dose</w:t>
      </w:r>
      <w:r w:rsidR="00332FBA" w:rsidRPr="001343AE">
        <w:rPr>
          <w:color w:val="auto"/>
        </w:rPr>
        <w:t>»</w:t>
      </w:r>
      <w:r w:rsidR="00145D4E" w:rsidRPr="001343AE">
        <w:rPr>
          <w:color w:val="auto"/>
        </w:rPr>
        <w:t>.</w:t>
      </w:r>
    </w:p>
    <w:p w:rsidR="001343AE" w:rsidRPr="001343AE" w:rsidRDefault="001343AE" w:rsidP="00DB1360">
      <w:pPr>
        <w:spacing w:line="276" w:lineRule="auto"/>
        <w:jc w:val="both"/>
        <w:rPr>
          <w:color w:val="auto"/>
        </w:rPr>
      </w:pPr>
      <w:r w:rsidRPr="001343AE">
        <w:rPr>
          <w:b/>
          <w:color w:val="auto"/>
        </w:rPr>
        <w:t>Vaccini: somministrazioni.</w:t>
      </w:r>
      <w:r w:rsidRPr="001343AE">
        <w:rPr>
          <w:color w:val="auto"/>
        </w:rPr>
        <w:t xml:space="preserve"> Al 19 gennaio (aggiornamento ore 06.15) </w:t>
      </w:r>
      <w:r w:rsidR="00460F8A">
        <w:rPr>
          <w:color w:val="auto"/>
        </w:rPr>
        <w:t>l’</w:t>
      </w:r>
      <w:r w:rsidRPr="001343AE">
        <w:rPr>
          <w:color w:val="auto"/>
        </w:rPr>
        <w:t>83,7% della popolazione (n. 49.588.638) ha ricevuto almeno una dose di vaccino (+530.043 rispetto alla settimana precedente) e il 79,6% (n. 47.157.874) ha completato il ciclo vaccinale (+345.024 rispetto alla settimana precedente) (</w:t>
      </w:r>
      <w:r w:rsidRPr="00460F8A">
        <w:rPr>
          <w:color w:val="auto"/>
          <w:highlight w:val="yellow"/>
        </w:rPr>
        <w:t>figura 10</w:t>
      </w:r>
      <w:r w:rsidRPr="001343AE">
        <w:rPr>
          <w:color w:val="auto"/>
        </w:rPr>
        <w:t xml:space="preserve">). In aumento nell’ultima settimana il numero di somministrazioni (n. 4.426.264), con una media mobile a </w:t>
      </w:r>
      <w:r w:rsidRPr="001343AE">
        <w:rPr>
          <w:color w:val="auto"/>
        </w:rPr>
        <w:lastRenderedPageBreak/>
        <w:t>7 giorni di 632.323 somministrazioni/die: crescono del</w:t>
      </w:r>
      <w:r>
        <w:rPr>
          <w:color w:val="auto"/>
        </w:rPr>
        <w:t>l’8</w:t>
      </w:r>
      <w:r w:rsidRPr="001343AE">
        <w:rPr>
          <w:color w:val="auto"/>
        </w:rPr>
        <w:t>,</w:t>
      </w:r>
      <w:r>
        <w:rPr>
          <w:color w:val="auto"/>
        </w:rPr>
        <w:t>3</w:t>
      </w:r>
      <w:r w:rsidRPr="001343AE">
        <w:rPr>
          <w:color w:val="auto"/>
        </w:rPr>
        <w:t xml:space="preserve">% le terze dosi (n. 3.607.837) e del </w:t>
      </w:r>
      <w:r>
        <w:rPr>
          <w:color w:val="auto"/>
        </w:rPr>
        <w:t>2,8</w:t>
      </w:r>
      <w:r w:rsidRPr="001343AE">
        <w:rPr>
          <w:color w:val="auto"/>
        </w:rPr>
        <w:t>% i nuovi vaccinati (n. 510.742) (</w:t>
      </w:r>
      <w:r w:rsidRPr="001343AE">
        <w:rPr>
          <w:color w:val="auto"/>
          <w:highlight w:val="yellow"/>
        </w:rPr>
        <w:t>figura 11</w:t>
      </w:r>
      <w:r w:rsidRPr="001343AE">
        <w:rPr>
          <w:color w:val="auto"/>
        </w:rPr>
        <w:t>).</w:t>
      </w:r>
    </w:p>
    <w:p w:rsidR="00D076D7" w:rsidRPr="001343AE" w:rsidRDefault="00D076D7" w:rsidP="00D076D7">
      <w:pPr>
        <w:spacing w:line="276" w:lineRule="auto"/>
        <w:jc w:val="both"/>
        <w:rPr>
          <w:rFonts w:cs="Calibri"/>
          <w:color w:val="auto"/>
        </w:rPr>
      </w:pPr>
      <w:r w:rsidRPr="001343AE">
        <w:rPr>
          <w:b/>
          <w:color w:val="auto"/>
          <w:u w:color="FF0000"/>
        </w:rPr>
        <w:t>Vaccini: coperture.</w:t>
      </w:r>
      <w:r w:rsidRPr="001343AE">
        <w:rPr>
          <w:color w:val="auto"/>
          <w:u w:color="FF0000"/>
        </w:rPr>
        <w:t xml:space="preserve"> </w:t>
      </w:r>
      <w:r w:rsidRPr="001343AE">
        <w:rPr>
          <w:color w:val="auto"/>
        </w:rPr>
        <w:t>Le coperture con almeno una dose di vaccino sono molto variabili nel</w:t>
      </w:r>
      <w:r w:rsidR="00332FBA" w:rsidRPr="001343AE">
        <w:rPr>
          <w:color w:val="auto"/>
        </w:rPr>
        <w:t>le diverse fasce d’età (dal 98</w:t>
      </w:r>
      <w:r w:rsidR="001343AE" w:rsidRPr="001343AE">
        <w:rPr>
          <w:color w:val="auto"/>
        </w:rPr>
        <w:t>,4</w:t>
      </w:r>
      <w:r w:rsidRPr="001343AE">
        <w:rPr>
          <w:color w:val="auto"/>
        </w:rPr>
        <w:t xml:space="preserve">% degli over 80 al </w:t>
      </w:r>
      <w:r w:rsidR="001343AE" w:rsidRPr="001343AE">
        <w:rPr>
          <w:color w:val="auto"/>
        </w:rPr>
        <w:t>25,1</w:t>
      </w:r>
      <w:r w:rsidRPr="001343AE">
        <w:rPr>
          <w:color w:val="auto"/>
        </w:rPr>
        <w:t xml:space="preserve">% della fascia 5-11), così come sul fronte dei richiami, che </w:t>
      </w:r>
      <w:r w:rsidRPr="001343AE">
        <w:rPr>
          <w:rFonts w:cs="Calibri"/>
          <w:color w:val="auto"/>
        </w:rPr>
        <w:t>neg</w:t>
      </w:r>
      <w:r w:rsidR="00332FBA" w:rsidRPr="001343AE">
        <w:rPr>
          <w:rFonts w:cs="Calibri"/>
          <w:color w:val="auto"/>
        </w:rPr>
        <w:t xml:space="preserve">li over 80 hanno raggiunto il </w:t>
      </w:r>
      <w:r w:rsidR="001343AE" w:rsidRPr="001343AE">
        <w:rPr>
          <w:rFonts w:cs="Calibri"/>
          <w:color w:val="auto"/>
        </w:rPr>
        <w:t>80,8</w:t>
      </w:r>
      <w:r w:rsidRPr="001343AE">
        <w:rPr>
          <w:rFonts w:cs="Calibri"/>
          <w:color w:val="auto"/>
        </w:rPr>
        <w:t xml:space="preserve">%, nella fascia 70-79 il </w:t>
      </w:r>
      <w:r w:rsidR="00332FBA" w:rsidRPr="001343AE">
        <w:rPr>
          <w:rFonts w:cs="Calibri"/>
          <w:color w:val="auto"/>
        </w:rPr>
        <w:t>7</w:t>
      </w:r>
      <w:r w:rsidR="001343AE" w:rsidRPr="001343AE">
        <w:rPr>
          <w:rFonts w:cs="Calibri"/>
          <w:color w:val="auto"/>
        </w:rPr>
        <w:t>6</w:t>
      </w:r>
      <w:r w:rsidRPr="001343AE">
        <w:rPr>
          <w:rFonts w:cs="Calibri"/>
          <w:color w:val="auto"/>
        </w:rPr>
        <w:t xml:space="preserve">% e in quella 60-69 anni il </w:t>
      </w:r>
      <w:r w:rsidR="001343AE" w:rsidRPr="001343AE">
        <w:rPr>
          <w:rFonts w:cs="Calibri"/>
          <w:color w:val="auto"/>
        </w:rPr>
        <w:t>69,1</w:t>
      </w:r>
      <w:r w:rsidRPr="001343AE">
        <w:rPr>
          <w:rFonts w:cs="Calibri"/>
          <w:color w:val="auto"/>
        </w:rPr>
        <w:t>% (</w:t>
      </w:r>
      <w:r w:rsidRPr="001343AE">
        <w:rPr>
          <w:rFonts w:cs="Calibri"/>
          <w:color w:val="auto"/>
          <w:highlight w:val="yellow"/>
        </w:rPr>
        <w:t>figura 1</w:t>
      </w:r>
      <w:r w:rsidR="004B6DC2" w:rsidRPr="001343AE">
        <w:rPr>
          <w:rFonts w:cs="Calibri"/>
          <w:color w:val="auto"/>
          <w:highlight w:val="yellow"/>
        </w:rPr>
        <w:t>2</w:t>
      </w:r>
      <w:r w:rsidRPr="001343AE">
        <w:rPr>
          <w:rFonts w:cs="Calibri"/>
          <w:color w:val="auto"/>
        </w:rPr>
        <w:t>).</w:t>
      </w:r>
    </w:p>
    <w:p w:rsidR="004960A6" w:rsidRDefault="00B672EA" w:rsidP="00B14D76">
      <w:pPr>
        <w:spacing w:line="276" w:lineRule="auto"/>
        <w:jc w:val="both"/>
        <w:rPr>
          <w:color w:val="auto"/>
        </w:rPr>
      </w:pPr>
      <w:r w:rsidRPr="00431177">
        <w:rPr>
          <w:b/>
          <w:color w:val="auto"/>
        </w:rPr>
        <w:t xml:space="preserve">Vaccini: </w:t>
      </w:r>
      <w:r w:rsidR="003E293F" w:rsidRPr="00431177">
        <w:rPr>
          <w:b/>
          <w:color w:val="auto"/>
        </w:rPr>
        <w:t>nuovi vaccinati</w:t>
      </w:r>
      <w:r w:rsidRPr="00431177">
        <w:rPr>
          <w:b/>
          <w:color w:val="auto"/>
        </w:rPr>
        <w:t>.</w:t>
      </w:r>
      <w:r w:rsidRPr="00431177">
        <w:rPr>
          <w:color w:val="auto"/>
        </w:rPr>
        <w:t xml:space="preserve"> </w:t>
      </w:r>
      <w:r w:rsidR="00554F5B" w:rsidRPr="00431177">
        <w:rPr>
          <w:color w:val="auto"/>
        </w:rPr>
        <w:t>N</w:t>
      </w:r>
      <w:r w:rsidR="00F75D8A" w:rsidRPr="00431177">
        <w:rPr>
          <w:color w:val="auto"/>
        </w:rPr>
        <w:t>el</w:t>
      </w:r>
      <w:r w:rsidR="00554F5B" w:rsidRPr="00431177">
        <w:rPr>
          <w:color w:val="auto"/>
        </w:rPr>
        <w:t>la</w:t>
      </w:r>
      <w:r w:rsidR="00F75D8A" w:rsidRPr="00431177">
        <w:rPr>
          <w:color w:val="auto"/>
        </w:rPr>
        <w:t xml:space="preserve"> </w:t>
      </w:r>
      <w:r w:rsidR="00554F5B" w:rsidRPr="00431177">
        <w:rPr>
          <w:color w:val="auto"/>
        </w:rPr>
        <w:t xml:space="preserve">settimana </w:t>
      </w:r>
      <w:r w:rsidR="00E71798" w:rsidRPr="00431177">
        <w:rPr>
          <w:color w:val="auto"/>
        </w:rPr>
        <w:t>12</w:t>
      </w:r>
      <w:r w:rsidR="00332FBA" w:rsidRPr="00431177">
        <w:rPr>
          <w:color w:val="auto"/>
        </w:rPr>
        <w:t>-</w:t>
      </w:r>
      <w:r w:rsidR="00E71798" w:rsidRPr="00431177">
        <w:rPr>
          <w:color w:val="auto"/>
        </w:rPr>
        <w:t>18</w:t>
      </w:r>
      <w:r w:rsidR="00A52BDE" w:rsidRPr="00431177">
        <w:rPr>
          <w:color w:val="auto"/>
        </w:rPr>
        <w:t xml:space="preserve"> gennaio</w:t>
      </w:r>
      <w:r w:rsidR="00F75D8A" w:rsidRPr="00431177">
        <w:rPr>
          <w:color w:val="auto"/>
        </w:rPr>
        <w:t xml:space="preserve"> </w:t>
      </w:r>
      <w:r w:rsidR="00E3038F" w:rsidRPr="00431177">
        <w:rPr>
          <w:color w:val="auto"/>
        </w:rPr>
        <w:t xml:space="preserve">si </w:t>
      </w:r>
      <w:r w:rsidR="008927DE" w:rsidRPr="00431177">
        <w:rPr>
          <w:color w:val="auto"/>
        </w:rPr>
        <w:t>registra</w:t>
      </w:r>
      <w:r w:rsidR="008927DE">
        <w:rPr>
          <w:color w:val="auto"/>
        </w:rPr>
        <w:t xml:space="preserve"> un lieve aumento dei nuovi vaccinati, che sono</w:t>
      </w:r>
      <w:r w:rsidR="008927DE" w:rsidRPr="00431177">
        <w:rPr>
          <w:color w:val="auto"/>
        </w:rPr>
        <w:t xml:space="preserve"> </w:t>
      </w:r>
      <w:r w:rsidR="00093AE7" w:rsidRPr="00431177">
        <w:rPr>
          <w:color w:val="auto"/>
        </w:rPr>
        <w:t xml:space="preserve">510.742 </w:t>
      </w:r>
      <w:r w:rsidR="00CB3BD4" w:rsidRPr="00431177">
        <w:rPr>
          <w:color w:val="auto"/>
        </w:rPr>
        <w:t xml:space="preserve">rispetto ai </w:t>
      </w:r>
      <w:r w:rsidR="00EA0841" w:rsidRPr="00431177">
        <w:rPr>
          <w:color w:val="auto"/>
        </w:rPr>
        <w:t xml:space="preserve">496.969 </w:t>
      </w:r>
      <w:r w:rsidR="00CB3BD4" w:rsidRPr="00431177">
        <w:rPr>
          <w:color w:val="auto"/>
        </w:rPr>
        <w:t>della settimana precedente</w:t>
      </w:r>
      <w:r w:rsidR="00F75D8A" w:rsidRPr="00431177">
        <w:rPr>
          <w:color w:val="auto"/>
        </w:rPr>
        <w:t xml:space="preserve"> </w:t>
      </w:r>
      <w:r w:rsidR="008927DE" w:rsidRPr="00431177">
        <w:rPr>
          <w:color w:val="auto"/>
        </w:rPr>
        <w:t xml:space="preserve">(+2,8%) </w:t>
      </w:r>
      <w:r w:rsidRPr="00431177">
        <w:rPr>
          <w:color w:val="auto"/>
        </w:rPr>
        <w:t>(</w:t>
      </w:r>
      <w:r w:rsidRPr="00431177">
        <w:rPr>
          <w:color w:val="auto"/>
          <w:highlight w:val="yellow"/>
        </w:rPr>
        <w:t xml:space="preserve">figura </w:t>
      </w:r>
      <w:r w:rsidR="00D93FAE" w:rsidRPr="00431177">
        <w:rPr>
          <w:color w:val="auto"/>
          <w:highlight w:val="yellow"/>
        </w:rPr>
        <w:t>1</w:t>
      </w:r>
      <w:r w:rsidR="00C27708" w:rsidRPr="00431177">
        <w:rPr>
          <w:color w:val="auto"/>
          <w:highlight w:val="yellow"/>
        </w:rPr>
        <w:t>3</w:t>
      </w:r>
      <w:r w:rsidR="00470CE3" w:rsidRPr="00431177">
        <w:rPr>
          <w:color w:val="auto"/>
        </w:rPr>
        <w:t xml:space="preserve">). </w:t>
      </w:r>
      <w:r w:rsidR="008927DE">
        <w:rPr>
          <w:color w:val="auto"/>
        </w:rPr>
        <w:t xml:space="preserve">Di questi quasi la metà è rappresentata dalla </w:t>
      </w:r>
      <w:r w:rsidR="00E129D4" w:rsidRPr="00431177">
        <w:rPr>
          <w:color w:val="auto"/>
        </w:rPr>
        <w:t>fascia 5-11</w:t>
      </w:r>
      <w:r w:rsidR="008927DE">
        <w:rPr>
          <w:color w:val="auto"/>
        </w:rPr>
        <w:t>, che resta sostanzialmente stabile</w:t>
      </w:r>
      <w:r w:rsidR="00A52BDE" w:rsidRPr="00431177">
        <w:rPr>
          <w:color w:val="auto"/>
        </w:rPr>
        <w:t xml:space="preserve"> </w:t>
      </w:r>
      <w:r w:rsidR="00A52BDE" w:rsidRPr="00DF30EE">
        <w:rPr>
          <w:color w:val="auto"/>
        </w:rPr>
        <w:t xml:space="preserve">(n. </w:t>
      </w:r>
      <w:r w:rsidR="00431177" w:rsidRPr="00DF30EE">
        <w:rPr>
          <w:color w:val="auto"/>
        </w:rPr>
        <w:t>240.920</w:t>
      </w:r>
      <w:r w:rsidR="00A52BDE" w:rsidRPr="00DF30EE">
        <w:rPr>
          <w:color w:val="auto"/>
        </w:rPr>
        <w:t xml:space="preserve">; </w:t>
      </w:r>
      <w:r w:rsidR="00431177" w:rsidRPr="00DF30EE">
        <w:rPr>
          <w:color w:val="auto"/>
        </w:rPr>
        <w:t>-3,2</w:t>
      </w:r>
      <w:r w:rsidR="00A52BDE" w:rsidRPr="00DF30EE">
        <w:rPr>
          <w:color w:val="auto"/>
        </w:rPr>
        <w:t>%)</w:t>
      </w:r>
      <w:r w:rsidR="008F04B0" w:rsidRPr="00DF30EE">
        <w:rPr>
          <w:color w:val="auto"/>
        </w:rPr>
        <w:t xml:space="preserve">, </w:t>
      </w:r>
      <w:r w:rsidR="008927DE">
        <w:rPr>
          <w:color w:val="auto"/>
        </w:rPr>
        <w:t xml:space="preserve">mentre </w:t>
      </w:r>
      <w:r w:rsidR="00801454" w:rsidRPr="00DF30EE">
        <w:rPr>
          <w:color w:val="auto"/>
        </w:rPr>
        <w:t xml:space="preserve">la recente </w:t>
      </w:r>
      <w:r w:rsidR="00801454" w:rsidRPr="00431177">
        <w:rPr>
          <w:color w:val="auto"/>
        </w:rPr>
        <w:t>introduzione dell’obbligo vaccinale per gli</w:t>
      </w:r>
      <w:r w:rsidR="00470CE3" w:rsidRPr="00431177">
        <w:rPr>
          <w:color w:val="auto"/>
        </w:rPr>
        <w:t xml:space="preserve"> over 50 </w:t>
      </w:r>
      <w:r w:rsidR="00431177" w:rsidRPr="00431177">
        <w:rPr>
          <w:color w:val="auto"/>
        </w:rPr>
        <w:t xml:space="preserve">inizia a mostrare i primi effetti </w:t>
      </w:r>
      <w:r w:rsidR="00801454" w:rsidRPr="00431177">
        <w:rPr>
          <w:color w:val="auto"/>
        </w:rPr>
        <w:t>visto che in questa fascia anagrafica i nuovi vaccinati sono</w:t>
      </w:r>
      <w:r w:rsidR="00431177" w:rsidRPr="00431177">
        <w:rPr>
          <w:color w:val="auto"/>
        </w:rPr>
        <w:t xml:space="preserve"> 128.966</w:t>
      </w:r>
      <w:r w:rsidR="008F04B0" w:rsidRPr="00431177">
        <w:rPr>
          <w:color w:val="auto"/>
        </w:rPr>
        <w:t xml:space="preserve"> </w:t>
      </w:r>
      <w:r w:rsidR="00431177" w:rsidRPr="00431177">
        <w:rPr>
          <w:color w:val="auto"/>
        </w:rPr>
        <w:t xml:space="preserve">(+28,1% rispetto alla </w:t>
      </w:r>
      <w:r w:rsidR="00431177" w:rsidRPr="00DF30EE">
        <w:rPr>
          <w:color w:val="auto"/>
        </w:rPr>
        <w:t xml:space="preserve">settimana precedente) </w:t>
      </w:r>
      <w:r w:rsidR="008F04B0" w:rsidRPr="00DF30EE">
        <w:rPr>
          <w:color w:val="auto"/>
        </w:rPr>
        <w:t>(</w:t>
      </w:r>
      <w:r w:rsidR="008F04B0" w:rsidRPr="00DF30EE">
        <w:rPr>
          <w:color w:val="auto"/>
          <w:highlight w:val="yellow"/>
        </w:rPr>
        <w:t>figura 14</w:t>
      </w:r>
      <w:r w:rsidR="008F04B0" w:rsidRPr="00DF30EE">
        <w:rPr>
          <w:color w:val="auto"/>
        </w:rPr>
        <w:t>)</w:t>
      </w:r>
      <w:r w:rsidR="001C167C">
        <w:rPr>
          <w:color w:val="auto"/>
        </w:rPr>
        <w:t>.</w:t>
      </w:r>
    </w:p>
    <w:p w:rsidR="00FF138C" w:rsidRDefault="009A505C" w:rsidP="00FF138C">
      <w:pPr>
        <w:spacing w:line="276" w:lineRule="auto"/>
        <w:jc w:val="both"/>
        <w:rPr>
          <w:color w:val="auto"/>
        </w:rPr>
      </w:pPr>
      <w:r>
        <w:rPr>
          <w:color w:val="auto"/>
        </w:rPr>
        <w:t>A partire dalla data di introduzione dell’obbligo vaccinale per gli over 50</w:t>
      </w:r>
      <w:r w:rsidR="000B53A4">
        <w:rPr>
          <w:color w:val="auto"/>
        </w:rPr>
        <w:t>,</w:t>
      </w:r>
      <w:r>
        <w:rPr>
          <w:color w:val="auto"/>
        </w:rPr>
        <w:t xml:space="preserve"> la media mobile a 7 giorni dei nuovi vaccinati per questa fascia anagrafica è passata da 9.549 dell’8 gennaio a 19.845 il 15 gennaio per poi stabilizzarsi intorno a </w:t>
      </w:r>
      <w:r w:rsidR="001F7366">
        <w:rPr>
          <w:color w:val="auto"/>
        </w:rPr>
        <w:t xml:space="preserve">quota </w:t>
      </w:r>
      <w:r>
        <w:rPr>
          <w:color w:val="auto"/>
        </w:rPr>
        <w:t xml:space="preserve">18.500; nella fascia 5-11 anni dopo il picco di 38.624 registrato il 9 gennaio si è stabilizzata intorno a 35.000 nuovi vaccinati al giorno; stabile la fascia 20-49 e in </w:t>
      </w:r>
      <w:r w:rsidR="001F7366">
        <w:rPr>
          <w:color w:val="auto"/>
        </w:rPr>
        <w:t xml:space="preserve">leggero </w:t>
      </w:r>
      <w:r>
        <w:rPr>
          <w:color w:val="auto"/>
        </w:rPr>
        <w:t xml:space="preserve">ma </w:t>
      </w:r>
      <w:r w:rsidR="001F7366">
        <w:rPr>
          <w:color w:val="auto"/>
        </w:rPr>
        <w:t xml:space="preserve">progressivo calo </w:t>
      </w:r>
      <w:r>
        <w:rPr>
          <w:color w:val="auto"/>
        </w:rPr>
        <w:t>quella 12-19.</w:t>
      </w:r>
    </w:p>
    <w:p w:rsidR="001C167C" w:rsidRDefault="001C167C" w:rsidP="001C167C">
      <w:pPr>
        <w:spacing w:line="276" w:lineRule="auto"/>
        <w:jc w:val="center"/>
        <w:rPr>
          <w:color w:val="auto"/>
        </w:rPr>
      </w:pPr>
      <w:r>
        <w:rPr>
          <w:noProof/>
        </w:rPr>
        <w:drawing>
          <wp:inline distT="0" distB="0" distL="0" distR="0" wp14:anchorId="0904C966" wp14:editId="17AF1431">
            <wp:extent cx="5760000" cy="30692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069270"/>
                    </a:xfrm>
                    <a:prstGeom prst="rect">
                      <a:avLst/>
                    </a:prstGeom>
                    <a:noFill/>
                  </pic:spPr>
                </pic:pic>
              </a:graphicData>
            </a:graphic>
          </wp:inline>
        </w:drawing>
      </w:r>
    </w:p>
    <w:p w:rsidR="000D7EE3" w:rsidRPr="00D8764F" w:rsidRDefault="00093AE7" w:rsidP="001C167C">
      <w:pPr>
        <w:spacing w:line="276" w:lineRule="auto"/>
        <w:rPr>
          <w:color w:val="FF0000"/>
        </w:rPr>
      </w:pPr>
      <w:r w:rsidRPr="00DF30EE">
        <w:rPr>
          <w:color w:val="auto"/>
        </w:rPr>
        <w:t xml:space="preserve">Al </w:t>
      </w:r>
      <w:r w:rsidRPr="00093AE7">
        <w:rPr>
          <w:color w:val="auto"/>
        </w:rPr>
        <w:t>18</w:t>
      </w:r>
      <w:r w:rsidR="008F04B0" w:rsidRPr="00093AE7">
        <w:rPr>
          <w:color w:val="auto"/>
        </w:rPr>
        <w:t xml:space="preserve"> gennaio rimangono </w:t>
      </w:r>
      <w:r w:rsidR="008F3730">
        <w:rPr>
          <w:color w:val="auto"/>
        </w:rPr>
        <w:t xml:space="preserve">ancora </w:t>
      </w:r>
      <w:r w:rsidR="00332FBA" w:rsidRPr="00093AE7">
        <w:rPr>
          <w:color w:val="auto"/>
        </w:rPr>
        <w:t>8</w:t>
      </w:r>
      <w:r w:rsidR="00205B01" w:rsidRPr="00093AE7">
        <w:rPr>
          <w:color w:val="auto"/>
        </w:rPr>
        <w:t>,</w:t>
      </w:r>
      <w:r w:rsidR="00332FBA" w:rsidRPr="00093AE7">
        <w:rPr>
          <w:color w:val="auto"/>
        </w:rPr>
        <w:t>1</w:t>
      </w:r>
      <w:r w:rsidR="00205B01" w:rsidRPr="00093AE7">
        <w:rPr>
          <w:color w:val="auto"/>
        </w:rPr>
        <w:t xml:space="preserve"> </w:t>
      </w:r>
      <w:r w:rsidR="006A5D49" w:rsidRPr="00093AE7">
        <w:rPr>
          <w:color w:val="auto"/>
        </w:rPr>
        <w:t xml:space="preserve">milioni </w:t>
      </w:r>
      <w:r w:rsidR="008F3730">
        <w:rPr>
          <w:color w:val="auto"/>
        </w:rPr>
        <w:t>le</w:t>
      </w:r>
      <w:r w:rsidR="008F3730" w:rsidRPr="00093AE7">
        <w:rPr>
          <w:color w:val="auto"/>
        </w:rPr>
        <w:t xml:space="preserve"> </w:t>
      </w:r>
      <w:r w:rsidR="00B672EA" w:rsidRPr="00093AE7">
        <w:rPr>
          <w:color w:val="auto"/>
        </w:rPr>
        <w:t>persone</w:t>
      </w:r>
      <w:r w:rsidR="004428D2" w:rsidRPr="00093AE7">
        <w:rPr>
          <w:color w:val="auto"/>
        </w:rPr>
        <w:t xml:space="preserve"> </w:t>
      </w:r>
      <w:r w:rsidR="008F04B0" w:rsidRPr="00093AE7">
        <w:rPr>
          <w:color w:val="auto"/>
        </w:rPr>
        <w:t xml:space="preserve">senza </w:t>
      </w:r>
      <w:r w:rsidR="00451468" w:rsidRPr="00093AE7">
        <w:rPr>
          <w:color w:val="auto"/>
        </w:rPr>
        <w:t>nemmeno una dose</w:t>
      </w:r>
      <w:r w:rsidR="00162BE4" w:rsidRPr="00093AE7">
        <w:rPr>
          <w:color w:val="auto"/>
        </w:rPr>
        <w:t xml:space="preserve"> </w:t>
      </w:r>
      <w:r w:rsidR="00A44B67" w:rsidRPr="00093AE7">
        <w:rPr>
          <w:color w:val="auto"/>
        </w:rPr>
        <w:t>di vaccino</w:t>
      </w:r>
      <w:r w:rsidR="008F04B0" w:rsidRPr="00093AE7">
        <w:rPr>
          <w:color w:val="auto"/>
        </w:rPr>
        <w:t xml:space="preserve">: </w:t>
      </w:r>
      <w:r w:rsidR="00332FBA" w:rsidRPr="00093AE7">
        <w:rPr>
          <w:color w:val="auto"/>
        </w:rPr>
        <w:t>2,</w:t>
      </w:r>
      <w:r w:rsidRPr="00093AE7">
        <w:rPr>
          <w:color w:val="auto"/>
        </w:rPr>
        <w:t>74</w:t>
      </w:r>
      <w:r w:rsidR="00E129D4" w:rsidRPr="00093AE7">
        <w:rPr>
          <w:color w:val="auto"/>
        </w:rPr>
        <w:t xml:space="preserve"> milioni </w:t>
      </w:r>
      <w:r w:rsidR="00A44B67" w:rsidRPr="00093AE7">
        <w:rPr>
          <w:color w:val="auto"/>
        </w:rPr>
        <w:t xml:space="preserve">appartengono alla </w:t>
      </w:r>
      <w:r w:rsidR="00162BE4" w:rsidRPr="00093AE7">
        <w:rPr>
          <w:color w:val="auto"/>
        </w:rPr>
        <w:t>fascia 5-11 anni</w:t>
      </w:r>
      <w:r w:rsidR="008F04B0" w:rsidRPr="00093AE7">
        <w:rPr>
          <w:color w:val="auto"/>
        </w:rPr>
        <w:t xml:space="preserve">, oltre </w:t>
      </w:r>
      <w:r w:rsidRPr="00093AE7">
        <w:rPr>
          <w:color w:val="auto"/>
        </w:rPr>
        <w:t>760</w:t>
      </w:r>
      <w:r w:rsidR="008F04B0" w:rsidRPr="00093AE7">
        <w:rPr>
          <w:color w:val="auto"/>
        </w:rPr>
        <w:t xml:space="preserve"> mila alla fascia 12-19 </w:t>
      </w:r>
      <w:r w:rsidR="00602E7A" w:rsidRPr="00093AE7">
        <w:rPr>
          <w:color w:val="auto"/>
        </w:rPr>
        <w:t xml:space="preserve">e </w:t>
      </w:r>
      <w:r w:rsidR="004B6B3C" w:rsidRPr="00093AE7">
        <w:rPr>
          <w:color w:val="auto"/>
        </w:rPr>
        <w:t>2,</w:t>
      </w:r>
      <w:r w:rsidRPr="00093AE7">
        <w:rPr>
          <w:color w:val="auto"/>
        </w:rPr>
        <w:t>06</w:t>
      </w:r>
      <w:r w:rsidR="00BE5078" w:rsidRPr="00093AE7">
        <w:rPr>
          <w:color w:val="auto"/>
        </w:rPr>
        <w:t xml:space="preserve"> milioni</w:t>
      </w:r>
      <w:r w:rsidR="00EB5BE2" w:rsidRPr="00093AE7">
        <w:rPr>
          <w:color w:val="auto"/>
        </w:rPr>
        <w:t xml:space="preserve"> sono</w:t>
      </w:r>
      <w:r w:rsidR="00BE5078" w:rsidRPr="00093AE7">
        <w:rPr>
          <w:color w:val="auto"/>
        </w:rPr>
        <w:t xml:space="preserve"> over</w:t>
      </w:r>
      <w:r w:rsidR="00144669" w:rsidRPr="00093AE7">
        <w:rPr>
          <w:color w:val="auto"/>
        </w:rPr>
        <w:t xml:space="preserve"> </w:t>
      </w:r>
      <w:r w:rsidR="004B6B3C" w:rsidRPr="00093AE7">
        <w:rPr>
          <w:color w:val="auto"/>
        </w:rPr>
        <w:t>50 ad elevato rischio di malattia grave e ospedalizzazione</w:t>
      </w:r>
      <w:r w:rsidR="00A44B67" w:rsidRPr="00093AE7">
        <w:rPr>
          <w:color w:val="auto"/>
        </w:rPr>
        <w:t xml:space="preserve"> </w:t>
      </w:r>
      <w:r w:rsidR="00B672EA" w:rsidRPr="00093AE7">
        <w:rPr>
          <w:color w:val="auto"/>
        </w:rPr>
        <w:t>(</w:t>
      </w:r>
      <w:r w:rsidR="00B672EA" w:rsidRPr="00093AE7">
        <w:rPr>
          <w:color w:val="auto"/>
          <w:highlight w:val="yellow"/>
        </w:rPr>
        <w:t>figura</w:t>
      </w:r>
      <w:r w:rsidR="006533D4" w:rsidRPr="00093AE7">
        <w:rPr>
          <w:color w:val="auto"/>
          <w:highlight w:val="yellow"/>
        </w:rPr>
        <w:t xml:space="preserve"> 1</w:t>
      </w:r>
      <w:r w:rsidR="004B6DC2" w:rsidRPr="00093AE7">
        <w:rPr>
          <w:color w:val="auto"/>
          <w:highlight w:val="yellow"/>
        </w:rPr>
        <w:t>5</w:t>
      </w:r>
      <w:r w:rsidR="00B672EA" w:rsidRPr="00093AE7">
        <w:rPr>
          <w:color w:val="auto"/>
        </w:rPr>
        <w:t>)</w:t>
      </w:r>
      <w:r w:rsidR="007459B0" w:rsidRPr="00093AE7">
        <w:rPr>
          <w:color w:val="auto"/>
        </w:rPr>
        <w:t>.</w:t>
      </w:r>
    </w:p>
    <w:p w:rsidR="00D076D7" w:rsidRPr="00093AE7" w:rsidRDefault="00D076D7"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093AE7">
        <w:rPr>
          <w:b/>
          <w:color w:val="auto"/>
        </w:rPr>
        <w:t xml:space="preserve">Vaccini: fascia 5-11 anni. </w:t>
      </w:r>
      <w:r w:rsidR="00332FBA" w:rsidRPr="00093AE7">
        <w:rPr>
          <w:color w:val="auto"/>
        </w:rPr>
        <w:t>Al 1</w:t>
      </w:r>
      <w:r w:rsidR="00093AE7" w:rsidRPr="00093AE7">
        <w:rPr>
          <w:color w:val="auto"/>
        </w:rPr>
        <w:t>9</w:t>
      </w:r>
      <w:r w:rsidR="00332FBA" w:rsidRPr="00093AE7">
        <w:rPr>
          <w:color w:val="auto"/>
        </w:rPr>
        <w:t xml:space="preserve"> gennaio (aggiornamento ore 0</w:t>
      </w:r>
      <w:r w:rsidR="00093AE7" w:rsidRPr="00093AE7">
        <w:rPr>
          <w:color w:val="auto"/>
        </w:rPr>
        <w:t>6.15</w:t>
      </w:r>
      <w:r w:rsidR="00332FBA" w:rsidRPr="00093AE7">
        <w:rPr>
          <w:color w:val="auto"/>
        </w:rPr>
        <w:t xml:space="preserve">) nella </w:t>
      </w:r>
      <w:r w:rsidRPr="00093AE7">
        <w:rPr>
          <w:color w:val="auto"/>
        </w:rPr>
        <w:t xml:space="preserve">fascia 5-11 anni </w:t>
      </w:r>
      <w:r w:rsidR="00332FBA" w:rsidRPr="00093AE7">
        <w:rPr>
          <w:color w:val="auto"/>
        </w:rPr>
        <w:t xml:space="preserve">sono state somministrate </w:t>
      </w:r>
      <w:r w:rsidR="00093AE7" w:rsidRPr="00093AE7">
        <w:rPr>
          <w:color w:val="auto"/>
        </w:rPr>
        <w:t>994.610</w:t>
      </w:r>
      <w:r w:rsidR="00332FBA" w:rsidRPr="00093AE7">
        <w:rPr>
          <w:color w:val="auto"/>
        </w:rPr>
        <w:t xml:space="preserve"> dosi</w:t>
      </w:r>
      <w:r w:rsidRPr="00093AE7">
        <w:rPr>
          <w:color w:val="auto"/>
        </w:rPr>
        <w:t xml:space="preserve"> (</w:t>
      </w:r>
      <w:r w:rsidRPr="00093AE7">
        <w:rPr>
          <w:color w:val="auto"/>
          <w:highlight w:val="yellow"/>
        </w:rPr>
        <w:t>figura 1</w:t>
      </w:r>
      <w:r w:rsidR="004B6DC2" w:rsidRPr="00093AE7">
        <w:rPr>
          <w:color w:val="auto"/>
          <w:highlight w:val="yellow"/>
        </w:rPr>
        <w:t>6</w:t>
      </w:r>
      <w:r w:rsidR="00EB5BE2" w:rsidRPr="00093AE7">
        <w:rPr>
          <w:color w:val="auto"/>
        </w:rPr>
        <w:t>)</w:t>
      </w:r>
      <w:r w:rsidR="00093AE7" w:rsidRPr="00093AE7">
        <w:rPr>
          <w:color w:val="auto"/>
        </w:rPr>
        <w:t>:</w:t>
      </w:r>
      <w:r w:rsidR="0075139D" w:rsidRPr="00093AE7">
        <w:rPr>
          <w:color w:val="auto"/>
        </w:rPr>
        <w:t xml:space="preserve"> </w:t>
      </w:r>
      <w:r w:rsidR="00093AE7" w:rsidRPr="00093AE7">
        <w:rPr>
          <w:color w:val="auto"/>
        </w:rPr>
        <w:t>920.290</w:t>
      </w:r>
      <w:r w:rsidR="001B2CE3" w:rsidRPr="00093AE7">
        <w:rPr>
          <w:color w:val="auto"/>
        </w:rPr>
        <w:t xml:space="preserve"> hanno ricevuto almeno 1 dose di vaccino</w:t>
      </w:r>
      <w:r w:rsidR="000F6D38" w:rsidRPr="00093AE7">
        <w:rPr>
          <w:color w:val="auto"/>
        </w:rPr>
        <w:t xml:space="preserve"> (di cui </w:t>
      </w:r>
      <w:r w:rsidR="00093AE7" w:rsidRPr="00093AE7">
        <w:rPr>
          <w:color w:val="auto"/>
        </w:rPr>
        <w:t>189.137</w:t>
      </w:r>
      <w:r w:rsidR="000F6D38" w:rsidRPr="00093AE7">
        <w:rPr>
          <w:color w:val="auto"/>
        </w:rPr>
        <w:t xml:space="preserve"> hanno completato il ciclo vaccinale), con un </w:t>
      </w:r>
      <w:r w:rsidR="001B2CE3" w:rsidRPr="00093AE7">
        <w:rPr>
          <w:color w:val="auto"/>
        </w:rPr>
        <w:t xml:space="preserve">tasso di copertura nazionale </w:t>
      </w:r>
      <w:r w:rsidR="00EB5BE2" w:rsidRPr="00093AE7">
        <w:rPr>
          <w:color w:val="auto"/>
        </w:rPr>
        <w:t>che si attesta al</w:t>
      </w:r>
      <w:r w:rsidR="001B2CE3" w:rsidRPr="00093AE7">
        <w:rPr>
          <w:color w:val="auto"/>
        </w:rPr>
        <w:t xml:space="preserve"> </w:t>
      </w:r>
      <w:r w:rsidR="00093AE7" w:rsidRPr="00093AE7">
        <w:rPr>
          <w:color w:val="auto"/>
        </w:rPr>
        <w:t>25,1</w:t>
      </w:r>
      <w:r w:rsidR="001B2CE3" w:rsidRPr="00093AE7">
        <w:rPr>
          <w:color w:val="auto"/>
        </w:rPr>
        <w:t>% con nette differenze regionali</w:t>
      </w:r>
      <w:r w:rsidR="008F3730">
        <w:rPr>
          <w:color w:val="auto"/>
        </w:rPr>
        <w:t xml:space="preserve"> (</w:t>
      </w:r>
      <w:r w:rsidR="001B2CE3" w:rsidRPr="00093AE7">
        <w:rPr>
          <w:color w:val="auto"/>
        </w:rPr>
        <w:t>dal</w:t>
      </w:r>
      <w:r w:rsidR="00876CA0">
        <w:rPr>
          <w:color w:val="auto"/>
        </w:rPr>
        <w:t xml:space="preserve"> </w:t>
      </w:r>
      <w:r w:rsidR="00093AE7" w:rsidRPr="00093AE7">
        <w:rPr>
          <w:color w:val="auto"/>
        </w:rPr>
        <w:t>13</w:t>
      </w:r>
      <w:r w:rsidR="001B2CE3" w:rsidRPr="00093AE7">
        <w:rPr>
          <w:color w:val="auto"/>
        </w:rPr>
        <w:t>,</w:t>
      </w:r>
      <w:r w:rsidR="00093AE7" w:rsidRPr="00093AE7">
        <w:rPr>
          <w:color w:val="auto"/>
        </w:rPr>
        <w:t>4</w:t>
      </w:r>
      <w:r w:rsidR="001B2CE3" w:rsidRPr="00093AE7">
        <w:rPr>
          <w:color w:val="auto"/>
        </w:rPr>
        <w:t xml:space="preserve">% delle Marche al </w:t>
      </w:r>
      <w:r w:rsidR="00093AE7" w:rsidRPr="00093AE7">
        <w:rPr>
          <w:color w:val="auto"/>
        </w:rPr>
        <w:t>42</w:t>
      </w:r>
      <w:r w:rsidR="001B2CE3" w:rsidRPr="00093AE7">
        <w:rPr>
          <w:color w:val="auto"/>
        </w:rPr>
        <w:t>,</w:t>
      </w:r>
      <w:r w:rsidR="00093AE7" w:rsidRPr="00093AE7">
        <w:rPr>
          <w:color w:val="auto"/>
        </w:rPr>
        <w:t>8</w:t>
      </w:r>
      <w:r w:rsidR="001B2CE3" w:rsidRPr="00093AE7">
        <w:rPr>
          <w:color w:val="auto"/>
        </w:rPr>
        <w:t>% della Puglia</w:t>
      </w:r>
      <w:r w:rsidR="008F3730">
        <w:rPr>
          <w:color w:val="auto"/>
        </w:rPr>
        <w:t>)</w:t>
      </w:r>
      <w:r w:rsidR="001B2CE3" w:rsidRPr="00093AE7">
        <w:rPr>
          <w:color w:val="auto"/>
        </w:rPr>
        <w:t xml:space="preserve"> </w:t>
      </w:r>
      <w:r w:rsidR="004B6DC2" w:rsidRPr="00093AE7">
        <w:rPr>
          <w:color w:val="auto"/>
        </w:rPr>
        <w:t>(</w:t>
      </w:r>
      <w:r w:rsidR="004B6DC2" w:rsidRPr="00093AE7">
        <w:rPr>
          <w:color w:val="auto"/>
          <w:highlight w:val="yellow"/>
        </w:rPr>
        <w:t>figura 17</w:t>
      </w:r>
      <w:r w:rsidR="004B6DC2" w:rsidRPr="00093AE7">
        <w:rPr>
          <w:color w:val="auto"/>
        </w:rPr>
        <w:t>).</w:t>
      </w:r>
    </w:p>
    <w:p w:rsidR="00617ADC" w:rsidRPr="00093AE7" w:rsidRDefault="00617ADC"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093AE7">
        <w:rPr>
          <w:b/>
          <w:color w:val="auto"/>
        </w:rPr>
        <w:t>Vaccini: terza dose</w:t>
      </w:r>
      <w:r w:rsidRPr="00093AE7">
        <w:rPr>
          <w:color w:val="auto"/>
        </w:rPr>
        <w:t xml:space="preserve">. </w:t>
      </w:r>
      <w:r w:rsidR="001B2CE3" w:rsidRPr="00093AE7">
        <w:rPr>
          <w:color w:val="auto"/>
        </w:rPr>
        <w:t>Al 1</w:t>
      </w:r>
      <w:r w:rsidR="00093AE7" w:rsidRPr="00093AE7">
        <w:rPr>
          <w:color w:val="auto"/>
        </w:rPr>
        <w:t>9</w:t>
      </w:r>
      <w:r w:rsidR="001B2CE3" w:rsidRPr="00093AE7">
        <w:rPr>
          <w:color w:val="auto"/>
        </w:rPr>
        <w:t xml:space="preserve"> gennaio (aggiornamento ore </w:t>
      </w:r>
      <w:r w:rsidR="00093AE7" w:rsidRPr="00093AE7">
        <w:rPr>
          <w:color w:val="auto"/>
        </w:rPr>
        <w:t>06.15</w:t>
      </w:r>
      <w:r w:rsidR="001B2CE3" w:rsidRPr="00093AE7">
        <w:rPr>
          <w:color w:val="auto"/>
        </w:rPr>
        <w:t xml:space="preserve">) </w:t>
      </w:r>
      <w:r w:rsidRPr="00093AE7">
        <w:rPr>
          <w:color w:val="auto"/>
        </w:rPr>
        <w:t xml:space="preserve">sono state somministrate </w:t>
      </w:r>
      <w:r w:rsidR="00093AE7" w:rsidRPr="00093AE7">
        <w:rPr>
          <w:color w:val="auto"/>
        </w:rPr>
        <w:t>28.003.427</w:t>
      </w:r>
      <w:r w:rsidRPr="00093AE7">
        <w:rPr>
          <w:color w:val="auto"/>
        </w:rPr>
        <w:t xml:space="preserve"> terze dosi con una media mobile a 7 giorni di </w:t>
      </w:r>
      <w:r w:rsidR="00093AE7" w:rsidRPr="00093AE7">
        <w:rPr>
          <w:color w:val="auto"/>
        </w:rPr>
        <w:t>515.405</w:t>
      </w:r>
      <w:r w:rsidRPr="00093AE7">
        <w:rPr>
          <w:color w:val="auto"/>
        </w:rPr>
        <w:t xml:space="preserve"> somministrazioni al giorno (</w:t>
      </w:r>
      <w:r w:rsidRPr="00093AE7">
        <w:rPr>
          <w:color w:val="auto"/>
          <w:highlight w:val="yellow"/>
        </w:rPr>
        <w:t>figura 1</w:t>
      </w:r>
      <w:r w:rsidR="004B6DC2" w:rsidRPr="00093AE7">
        <w:rPr>
          <w:color w:val="auto"/>
          <w:highlight w:val="yellow"/>
        </w:rPr>
        <w:t>8</w:t>
      </w:r>
      <w:r w:rsidRPr="00093AE7">
        <w:rPr>
          <w:color w:val="auto"/>
        </w:rPr>
        <w:t xml:space="preserve">). In base alla </w:t>
      </w:r>
      <w:hyperlink r:id="rId10" w:history="1">
        <w:r w:rsidRPr="00093AE7">
          <w:rPr>
            <w:rStyle w:val="Collegamentoipertestuale"/>
            <w:color w:val="auto"/>
          </w:rPr>
          <w:t>platea ufficiale</w:t>
        </w:r>
      </w:hyperlink>
      <w:r w:rsidRPr="00093AE7">
        <w:rPr>
          <w:color w:val="auto"/>
        </w:rPr>
        <w:t xml:space="preserve"> (n. </w:t>
      </w:r>
      <w:r w:rsidR="00093AE7" w:rsidRPr="00093AE7">
        <w:rPr>
          <w:color w:val="auto"/>
        </w:rPr>
        <w:t>39.539.599</w:t>
      </w:r>
      <w:r w:rsidRPr="00093AE7">
        <w:rPr>
          <w:color w:val="auto"/>
        </w:rPr>
        <w:t xml:space="preserve">), aggiornata al </w:t>
      </w:r>
      <w:r w:rsidR="00093AE7" w:rsidRPr="00093AE7">
        <w:rPr>
          <w:color w:val="auto"/>
        </w:rPr>
        <w:t>14</w:t>
      </w:r>
      <w:r w:rsidR="00E85820" w:rsidRPr="00093AE7">
        <w:rPr>
          <w:color w:val="auto"/>
        </w:rPr>
        <w:t xml:space="preserve"> gennaio</w:t>
      </w:r>
      <w:r w:rsidRPr="00093AE7">
        <w:rPr>
          <w:color w:val="auto"/>
        </w:rPr>
        <w:t xml:space="preserve">, il tasso di copertura nazionale per le terze dosi è del </w:t>
      </w:r>
      <w:r w:rsidR="00093AE7" w:rsidRPr="00093AE7">
        <w:rPr>
          <w:color w:val="auto"/>
        </w:rPr>
        <w:t>70,8</w:t>
      </w:r>
      <w:r w:rsidRPr="00093AE7">
        <w:rPr>
          <w:color w:val="auto"/>
        </w:rPr>
        <w:t>% con ne</w:t>
      </w:r>
      <w:r w:rsidR="001B2CE3" w:rsidRPr="00093AE7">
        <w:rPr>
          <w:color w:val="auto"/>
        </w:rPr>
        <w:t xml:space="preserve">tte differenze regionali: dal </w:t>
      </w:r>
      <w:r w:rsidR="00093AE7" w:rsidRPr="00093AE7">
        <w:rPr>
          <w:color w:val="auto"/>
        </w:rPr>
        <w:t>63</w:t>
      </w:r>
      <w:r w:rsidR="001B2CE3" w:rsidRPr="00093AE7">
        <w:rPr>
          <w:color w:val="auto"/>
        </w:rPr>
        <w:t>,</w:t>
      </w:r>
      <w:r w:rsidR="00093AE7" w:rsidRPr="00093AE7">
        <w:rPr>
          <w:color w:val="auto"/>
        </w:rPr>
        <w:t>5% della Sicilia all’80,3</w:t>
      </w:r>
      <w:r w:rsidRPr="00093AE7">
        <w:rPr>
          <w:color w:val="auto"/>
        </w:rPr>
        <w:t>% della Valle D’Aosta (</w:t>
      </w:r>
      <w:r w:rsidRPr="00093AE7">
        <w:rPr>
          <w:color w:val="auto"/>
          <w:highlight w:val="yellow"/>
        </w:rPr>
        <w:t>figura 1</w:t>
      </w:r>
      <w:r w:rsidR="004B6DC2" w:rsidRPr="00093AE7">
        <w:rPr>
          <w:color w:val="auto"/>
          <w:highlight w:val="yellow"/>
        </w:rPr>
        <w:t>9</w:t>
      </w:r>
      <w:r w:rsidRPr="00093AE7">
        <w:rPr>
          <w:color w:val="auto"/>
        </w:rPr>
        <w:t>).</w:t>
      </w:r>
    </w:p>
    <w:p w:rsidR="0096086B" w:rsidRDefault="0096086B" w:rsidP="0096086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00457D"/>
        </w:rPr>
      </w:pPr>
      <w:r>
        <w:rPr>
          <w:b/>
          <w:bCs/>
        </w:rPr>
        <w:t>Vaccini: quarta dose.</w:t>
      </w:r>
      <w:r>
        <w:t xml:space="preserve"> Nella </w:t>
      </w:r>
      <w:hyperlink r:id="rId11" w:history="1">
        <w:r>
          <w:rPr>
            <w:rStyle w:val="Collegamentoipertestuale"/>
          </w:rPr>
          <w:t>conferenza stampa</w:t>
        </w:r>
      </w:hyperlink>
      <w:r>
        <w:t xml:space="preserve"> del</w:t>
      </w:r>
      <w:r w:rsidR="001F7366">
        <w:t xml:space="preserve"> </w:t>
      </w:r>
      <w:r>
        <w:t xml:space="preserve">18 gennaio, la </w:t>
      </w:r>
      <w:r>
        <w:rPr>
          <w:i/>
          <w:iCs/>
        </w:rPr>
        <w:t>European Medicines Agency</w:t>
      </w:r>
      <w:r>
        <w:t xml:space="preserve"> (EMA) ha chiarito che, al momento attuale, non ci sono evidenze scientifiche a supporto </w:t>
      </w:r>
      <w:r w:rsidR="001F7366">
        <w:t>della somministrazione</w:t>
      </w:r>
      <w:r>
        <w:t xml:space="preserve"> </w:t>
      </w:r>
      <w:r w:rsidR="001F7366">
        <w:t xml:space="preserve">di </w:t>
      </w:r>
      <w:r>
        <w:lastRenderedPageBreak/>
        <w:t>una quarta dose di vaccino anti-COVID-19</w:t>
      </w:r>
      <w:r w:rsidR="001F7366" w:rsidRPr="001F7366">
        <w:t xml:space="preserve"> </w:t>
      </w:r>
      <w:r w:rsidR="001F7366">
        <w:t>nella popolazione generale</w:t>
      </w:r>
      <w:r>
        <w:t xml:space="preserve">.  Qualora in futuro i dati dimostrino la necessità di un richiamo annuale, questo potrà essere somministrato all’inizio della stagione invernale, come per il vaccino </w:t>
      </w:r>
      <w:r w:rsidRPr="0096086B">
        <w:rPr>
          <w:color w:val="auto"/>
        </w:rPr>
        <w:t>antinfluenzale</w:t>
      </w:r>
      <w:r>
        <w:t>. Una quarta somministrazione potrebbe essere presa in considerazione per le persone immunocompromesse che hanno ricevuto la terza dose come “dose aggiuntiva” a 28 giorni dal completamento del ciclo primario: tuttavia, nonostante per molti soggetti appartenenti a questa categoria siano già passati 4 mesi dalla dose aggiuntiva, né l’A</w:t>
      </w:r>
      <w:r w:rsidR="008F3730">
        <w:t>genzia Italiana del Farmaco (A</w:t>
      </w:r>
      <w:r>
        <w:t>IFA</w:t>
      </w:r>
      <w:r w:rsidR="008F3730">
        <w:t xml:space="preserve">) </w:t>
      </w:r>
      <w:r>
        <w:t xml:space="preserve">né il Ministero della Salute si sono ancora </w:t>
      </w:r>
      <w:r w:rsidR="001F7366">
        <w:t xml:space="preserve">pronunciati </w:t>
      </w:r>
      <w:r>
        <w:t xml:space="preserve">in merito. </w:t>
      </w:r>
    </w:p>
    <w:p w:rsidR="00426290" w:rsidRPr="00E7471F" w:rsidRDefault="00426290" w:rsidP="0042629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bdr w:val="none" w:sz="0" w:space="0" w:color="auto"/>
        </w:rPr>
      </w:pPr>
      <w:r w:rsidRPr="00E7471F">
        <w:rPr>
          <w:rFonts w:cs="Calibri"/>
          <w:b/>
          <w:bCs/>
          <w:color w:val="auto"/>
        </w:rPr>
        <w:t>Vaccini: efficacia.</w:t>
      </w:r>
      <w:r w:rsidRPr="00E7471F">
        <w:rPr>
          <w:rFonts w:cs="Calibri"/>
          <w:color w:val="auto"/>
        </w:rPr>
        <w:t xml:space="preserve"> </w:t>
      </w:r>
      <w:r w:rsidRPr="00E7471F">
        <w:rPr>
          <w:rFonts w:eastAsia="Times New Roman" w:cs="Calibri"/>
          <w:color w:val="auto"/>
          <w:bdr w:val="none" w:sz="0" w:space="0" w:color="auto"/>
        </w:rPr>
        <w:t xml:space="preserve">I </w:t>
      </w:r>
      <w:hyperlink r:id="rId12" w:history="1">
        <w:r w:rsidRPr="00E7471F">
          <w:rPr>
            <w:rStyle w:val="Collegamentoipertestuale"/>
            <w:rFonts w:cs="Calibri"/>
            <w:color w:val="auto"/>
          </w:rPr>
          <w:t>dati dell’Istituto Superiore di Sanità</w:t>
        </w:r>
      </w:hyperlink>
      <w:r w:rsidRPr="00E7471F">
        <w:rPr>
          <w:rFonts w:eastAsia="Times New Roman" w:cs="Calibri"/>
          <w:color w:val="auto"/>
          <w:bdr w:val="none" w:sz="0" w:space="0" w:color="auto"/>
        </w:rPr>
        <w:t> dimostrano la riduzione dell’efficacia vaccinale a partire da 3 mesi dal completamento del ciclo primario e la sua risalita dopo la somministrazione del richiamo. In particolare:</w:t>
      </w:r>
    </w:p>
    <w:p w:rsidR="00426290" w:rsidRPr="00E7471F" w:rsidRDefault="00426290" w:rsidP="00426290">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eastAsia="Times New Roman" w:cs="Calibri"/>
          <w:color w:val="auto"/>
          <w:bdr w:val="none" w:sz="0" w:space="0" w:color="auto"/>
        </w:rPr>
      </w:pPr>
      <w:r w:rsidRPr="00E7471F">
        <w:rPr>
          <w:rFonts w:eastAsia="Times New Roman" w:cs="Calibri"/>
          <w:color w:val="auto"/>
          <w:bdr w:val="none" w:sz="0" w:space="0" w:color="auto"/>
        </w:rPr>
        <w:t>l’efficacia sulla diagno</w:t>
      </w:r>
      <w:r w:rsidR="00E85820" w:rsidRPr="00E7471F">
        <w:rPr>
          <w:rFonts w:eastAsia="Times New Roman" w:cs="Calibri"/>
          <w:color w:val="auto"/>
          <w:bdr w:val="none" w:sz="0" w:space="0" w:color="auto"/>
        </w:rPr>
        <w:t>si scende progressivamente dal 7</w:t>
      </w:r>
      <w:r w:rsidR="00E7471F" w:rsidRPr="00E7471F">
        <w:rPr>
          <w:rFonts w:eastAsia="Times New Roman" w:cs="Calibri"/>
          <w:color w:val="auto"/>
          <w:bdr w:val="none" w:sz="0" w:space="0" w:color="auto"/>
        </w:rPr>
        <w:t>0</w:t>
      </w:r>
      <w:r w:rsidRPr="00E7471F">
        <w:rPr>
          <w:rFonts w:eastAsia="Times New Roman" w:cs="Calibri"/>
          <w:color w:val="auto"/>
          <w:bdr w:val="none" w:sz="0" w:space="0" w:color="auto"/>
        </w:rPr>
        <w:t>,</w:t>
      </w:r>
      <w:r w:rsidR="00E7471F" w:rsidRPr="00E7471F">
        <w:rPr>
          <w:rFonts w:eastAsia="Times New Roman" w:cs="Calibri"/>
          <w:color w:val="auto"/>
          <w:bdr w:val="none" w:sz="0" w:space="0" w:color="auto"/>
        </w:rPr>
        <w:t>7</w:t>
      </w:r>
      <w:r w:rsidRPr="00E7471F">
        <w:rPr>
          <w:rFonts w:eastAsia="Times New Roman" w:cs="Calibri"/>
          <w:color w:val="auto"/>
          <w:bdr w:val="none" w:sz="0" w:space="0" w:color="auto"/>
        </w:rPr>
        <w:t xml:space="preserve">% per i vaccinati con due dosi entro 90 giorni al </w:t>
      </w:r>
      <w:r w:rsidR="00E7471F" w:rsidRPr="00E7471F">
        <w:rPr>
          <w:rFonts w:eastAsia="Times New Roman" w:cs="Calibri"/>
          <w:color w:val="auto"/>
          <w:bdr w:val="none" w:sz="0" w:space="0" w:color="auto"/>
        </w:rPr>
        <w:t>34</w:t>
      </w:r>
      <w:r w:rsidRPr="00E7471F">
        <w:rPr>
          <w:rFonts w:eastAsia="Times New Roman" w:cs="Calibri"/>
          <w:color w:val="auto"/>
          <w:bdr w:val="none" w:sz="0" w:space="0" w:color="auto"/>
        </w:rPr>
        <w:t>% per i vaccinati da più di 120 giorni, per poi risalire a</w:t>
      </w:r>
      <w:r w:rsidR="00E85820" w:rsidRPr="00E7471F">
        <w:rPr>
          <w:rFonts w:eastAsia="Times New Roman" w:cs="Calibri"/>
          <w:color w:val="auto"/>
          <w:bdr w:val="none" w:sz="0" w:space="0" w:color="auto"/>
        </w:rPr>
        <w:t xml:space="preserve">l </w:t>
      </w:r>
      <w:r w:rsidR="00E7471F" w:rsidRPr="00E7471F">
        <w:rPr>
          <w:rFonts w:eastAsia="Times New Roman" w:cs="Calibri"/>
          <w:color w:val="auto"/>
          <w:bdr w:val="none" w:sz="0" w:space="0" w:color="auto"/>
        </w:rPr>
        <w:t>68,8</w:t>
      </w:r>
      <w:r w:rsidRPr="00E7471F">
        <w:rPr>
          <w:rFonts w:eastAsia="Times New Roman" w:cs="Calibri"/>
          <w:color w:val="auto"/>
          <w:bdr w:val="none" w:sz="0" w:space="0" w:color="auto"/>
        </w:rPr>
        <w:t>% dopo il richiamo;</w:t>
      </w:r>
    </w:p>
    <w:p w:rsidR="00E85820" w:rsidRPr="00E7471F" w:rsidRDefault="00426290" w:rsidP="00E85820">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left="357" w:hanging="357"/>
        <w:contextualSpacing/>
        <w:jc w:val="both"/>
        <w:rPr>
          <w:rFonts w:eastAsia="Times New Roman" w:cs="Calibri"/>
          <w:color w:val="auto"/>
          <w:bdr w:val="none" w:sz="0" w:space="0" w:color="auto"/>
        </w:rPr>
      </w:pPr>
      <w:r w:rsidRPr="00E7471F">
        <w:rPr>
          <w:rFonts w:eastAsia="Times New Roman" w:cs="Calibri"/>
          <w:color w:val="auto"/>
          <w:bdr w:val="none" w:sz="0" w:space="0" w:color="auto"/>
        </w:rPr>
        <w:t>l’efficacia sulla malattia severa scende progressivamente dal 95,</w:t>
      </w:r>
      <w:r w:rsidR="00E7471F" w:rsidRPr="00E7471F">
        <w:rPr>
          <w:rFonts w:eastAsia="Times New Roman" w:cs="Calibri"/>
          <w:color w:val="auto"/>
          <w:bdr w:val="none" w:sz="0" w:space="0" w:color="auto"/>
        </w:rPr>
        <w:t>4</w:t>
      </w:r>
      <w:r w:rsidRPr="00E7471F">
        <w:rPr>
          <w:rFonts w:eastAsia="Times New Roman" w:cs="Calibri"/>
          <w:color w:val="auto"/>
          <w:bdr w:val="none" w:sz="0" w:space="0" w:color="auto"/>
        </w:rPr>
        <w:t>% per i vaccinati con due dosi entro 90 giorni all’88,</w:t>
      </w:r>
      <w:r w:rsidR="00E7471F" w:rsidRPr="00E7471F">
        <w:rPr>
          <w:rFonts w:eastAsia="Times New Roman" w:cs="Calibri"/>
          <w:color w:val="auto"/>
          <w:bdr w:val="none" w:sz="0" w:space="0" w:color="auto"/>
        </w:rPr>
        <w:t>9</w:t>
      </w:r>
      <w:r w:rsidRPr="00E7471F">
        <w:rPr>
          <w:rFonts w:eastAsia="Times New Roman" w:cs="Calibri"/>
          <w:color w:val="auto"/>
          <w:bdr w:val="none" w:sz="0" w:space="0" w:color="auto"/>
        </w:rPr>
        <w:t>% per i vaccinati da più di 120 giorni, per poi risalire a</w:t>
      </w:r>
      <w:r w:rsidR="00612146" w:rsidRPr="00E7471F">
        <w:rPr>
          <w:rFonts w:eastAsia="Times New Roman" w:cs="Calibri"/>
          <w:color w:val="auto"/>
          <w:bdr w:val="none" w:sz="0" w:space="0" w:color="auto"/>
        </w:rPr>
        <w:t>l</w:t>
      </w:r>
      <w:r w:rsidRPr="00E7471F">
        <w:rPr>
          <w:rFonts w:eastAsia="Times New Roman" w:cs="Calibri"/>
          <w:color w:val="auto"/>
          <w:bdr w:val="none" w:sz="0" w:space="0" w:color="auto"/>
        </w:rPr>
        <w:t xml:space="preserve"> 97</w:t>
      </w:r>
      <w:r w:rsidR="00E85820" w:rsidRPr="00E7471F">
        <w:rPr>
          <w:rFonts w:eastAsia="Times New Roman" w:cs="Calibri"/>
          <w:color w:val="auto"/>
          <w:bdr w:val="none" w:sz="0" w:space="0" w:color="auto"/>
        </w:rPr>
        <w:t>,8</w:t>
      </w:r>
      <w:r w:rsidRPr="00E7471F">
        <w:rPr>
          <w:rFonts w:eastAsia="Times New Roman" w:cs="Calibri"/>
          <w:color w:val="auto"/>
          <w:bdr w:val="none" w:sz="0" w:space="0" w:color="auto"/>
        </w:rPr>
        <w:t>% dopo il richiamo.</w:t>
      </w:r>
    </w:p>
    <w:p w:rsidR="00576364" w:rsidRDefault="00775180"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4066D0">
        <w:rPr>
          <w:rFonts w:cs="Calibri"/>
          <w:color w:val="auto"/>
        </w:rPr>
        <w:t>Complessivamente nelle persone vaccinate con ciclo completo (più eventuale dose di richiamo), rispetto a</w:t>
      </w:r>
      <w:r w:rsidRPr="004066D0">
        <w:rPr>
          <w:color w:val="auto"/>
        </w:rPr>
        <w:t xml:space="preserve"> quelle non vaccinate, nelle varie fasce d’età si riduce l’incidenza di diagnosi (del </w:t>
      </w:r>
      <w:r w:rsidR="004066D0" w:rsidRPr="004066D0">
        <w:rPr>
          <w:color w:val="auto"/>
        </w:rPr>
        <w:t>27</w:t>
      </w:r>
      <w:r w:rsidRPr="004066D0">
        <w:rPr>
          <w:color w:val="auto"/>
        </w:rPr>
        <w:t>-</w:t>
      </w:r>
      <w:r w:rsidR="004066D0" w:rsidRPr="004066D0">
        <w:rPr>
          <w:color w:val="auto"/>
        </w:rPr>
        <w:t>77</w:t>
      </w:r>
      <w:r w:rsidR="00426290" w:rsidRPr="004066D0">
        <w:rPr>
          <w:color w:val="auto"/>
        </w:rPr>
        <w:t xml:space="preserve">%), ma </w:t>
      </w:r>
      <w:r w:rsidRPr="004066D0">
        <w:rPr>
          <w:color w:val="auto"/>
        </w:rPr>
        <w:t>soprattu</w:t>
      </w:r>
      <w:r w:rsidR="004F2E6B" w:rsidRPr="004066D0">
        <w:rPr>
          <w:color w:val="auto"/>
        </w:rPr>
        <w:t>tto di malattia grave (dell’8</w:t>
      </w:r>
      <w:r w:rsidR="004066D0" w:rsidRPr="004066D0">
        <w:rPr>
          <w:color w:val="auto"/>
        </w:rPr>
        <w:t>1</w:t>
      </w:r>
      <w:r w:rsidR="000078FA" w:rsidRPr="004066D0">
        <w:rPr>
          <w:color w:val="auto"/>
        </w:rPr>
        <w:t>,</w:t>
      </w:r>
      <w:r w:rsidR="00AC2737" w:rsidRPr="004066D0">
        <w:rPr>
          <w:color w:val="auto"/>
        </w:rPr>
        <w:t>8</w:t>
      </w:r>
      <w:r w:rsidR="000078FA" w:rsidRPr="004066D0">
        <w:rPr>
          <w:color w:val="auto"/>
        </w:rPr>
        <w:t>-9</w:t>
      </w:r>
      <w:r w:rsidR="004066D0" w:rsidRPr="004066D0">
        <w:rPr>
          <w:color w:val="auto"/>
        </w:rPr>
        <w:t>3</w:t>
      </w:r>
      <w:r w:rsidRPr="004066D0">
        <w:rPr>
          <w:color w:val="auto"/>
        </w:rPr>
        <w:t>,</w:t>
      </w:r>
      <w:r w:rsidR="000078FA" w:rsidRPr="004066D0">
        <w:rPr>
          <w:color w:val="auto"/>
        </w:rPr>
        <w:t>1</w:t>
      </w:r>
      <w:r w:rsidRPr="004066D0">
        <w:rPr>
          <w:color w:val="auto"/>
        </w:rPr>
        <w:t>% per ricoveri ordinari; del</w:t>
      </w:r>
      <w:r w:rsidR="00E129D4" w:rsidRPr="004066D0">
        <w:rPr>
          <w:color w:val="auto"/>
        </w:rPr>
        <w:t xml:space="preserve"> </w:t>
      </w:r>
      <w:r w:rsidR="004F2E6B" w:rsidRPr="004066D0">
        <w:rPr>
          <w:rFonts w:eastAsia="Times New Roman" w:cs="Calibri"/>
          <w:color w:val="auto"/>
          <w:bdr w:val="none" w:sz="0" w:space="0" w:color="auto"/>
        </w:rPr>
        <w:t>9</w:t>
      </w:r>
      <w:r w:rsidR="00AC2737" w:rsidRPr="004066D0">
        <w:rPr>
          <w:rFonts w:eastAsia="Times New Roman" w:cs="Calibri"/>
          <w:color w:val="auto"/>
          <w:bdr w:val="none" w:sz="0" w:space="0" w:color="auto"/>
        </w:rPr>
        <w:t>2</w:t>
      </w:r>
      <w:r w:rsidRPr="004066D0">
        <w:rPr>
          <w:rFonts w:eastAsia="Times New Roman" w:cs="Calibri"/>
          <w:color w:val="auto"/>
          <w:bdr w:val="none" w:sz="0" w:space="0" w:color="auto"/>
        </w:rPr>
        <w:t>,</w:t>
      </w:r>
      <w:r w:rsidR="004066D0" w:rsidRPr="004066D0">
        <w:rPr>
          <w:rFonts w:eastAsia="Times New Roman" w:cs="Calibri"/>
          <w:color w:val="auto"/>
          <w:bdr w:val="none" w:sz="0" w:space="0" w:color="auto"/>
        </w:rPr>
        <w:t>7</w:t>
      </w:r>
      <w:r w:rsidRPr="004066D0">
        <w:rPr>
          <w:rFonts w:eastAsia="Times New Roman" w:cs="Calibri"/>
          <w:color w:val="auto"/>
          <w:bdr w:val="none" w:sz="0" w:space="0" w:color="auto"/>
        </w:rPr>
        <w:t>-</w:t>
      </w:r>
      <w:r w:rsidR="004F2E6B" w:rsidRPr="004066D0">
        <w:rPr>
          <w:rFonts w:eastAsia="Times New Roman" w:cs="Calibri"/>
          <w:color w:val="auto"/>
          <w:bdr w:val="none" w:sz="0" w:space="0" w:color="auto"/>
        </w:rPr>
        <w:t>9</w:t>
      </w:r>
      <w:r w:rsidR="004066D0" w:rsidRPr="004066D0">
        <w:rPr>
          <w:rFonts w:eastAsia="Times New Roman" w:cs="Calibri"/>
          <w:color w:val="auto"/>
          <w:bdr w:val="none" w:sz="0" w:space="0" w:color="auto"/>
        </w:rPr>
        <w:t>6</w:t>
      </w:r>
      <w:r w:rsidR="000078FA" w:rsidRPr="004066D0">
        <w:rPr>
          <w:rFonts w:eastAsia="Times New Roman" w:cs="Calibri"/>
          <w:color w:val="auto"/>
          <w:bdr w:val="none" w:sz="0" w:space="0" w:color="auto"/>
        </w:rPr>
        <w:t>,</w:t>
      </w:r>
      <w:r w:rsidR="004066D0" w:rsidRPr="004066D0">
        <w:rPr>
          <w:rFonts w:eastAsia="Times New Roman" w:cs="Calibri"/>
          <w:color w:val="auto"/>
          <w:bdr w:val="none" w:sz="0" w:space="0" w:color="auto"/>
        </w:rPr>
        <w:t>9</w:t>
      </w:r>
      <w:r w:rsidRPr="004066D0">
        <w:rPr>
          <w:rFonts w:eastAsia="Times New Roman" w:cs="Calibri"/>
          <w:color w:val="auto"/>
          <w:bdr w:val="none" w:sz="0" w:space="0" w:color="auto"/>
        </w:rPr>
        <w:t>%</w:t>
      </w:r>
      <w:r w:rsidRPr="004066D0">
        <w:rPr>
          <w:color w:val="auto"/>
        </w:rPr>
        <w:t xml:space="preserve"> per le terapie intensive) e decesso (del</w:t>
      </w:r>
      <w:r w:rsidR="00612146" w:rsidRPr="004066D0">
        <w:rPr>
          <w:color w:val="auto"/>
        </w:rPr>
        <w:t>l’</w:t>
      </w:r>
      <w:r w:rsidR="004066D0" w:rsidRPr="004066D0">
        <w:rPr>
          <w:rFonts w:eastAsia="Times New Roman" w:cs="Calibri"/>
          <w:color w:val="auto"/>
          <w:bdr w:val="none" w:sz="0" w:space="0" w:color="auto"/>
        </w:rPr>
        <w:t>82</w:t>
      </w:r>
      <w:r w:rsidRPr="004066D0">
        <w:rPr>
          <w:rFonts w:eastAsia="Times New Roman" w:cs="Calibri"/>
          <w:color w:val="auto"/>
          <w:bdr w:val="none" w:sz="0" w:space="0" w:color="auto"/>
        </w:rPr>
        <w:t>,</w:t>
      </w:r>
      <w:r w:rsidR="004066D0" w:rsidRPr="004066D0">
        <w:rPr>
          <w:rFonts w:eastAsia="Times New Roman" w:cs="Calibri"/>
          <w:color w:val="auto"/>
          <w:bdr w:val="none" w:sz="0" w:space="0" w:color="auto"/>
        </w:rPr>
        <w:t>8</w:t>
      </w:r>
      <w:r w:rsidRPr="004066D0">
        <w:rPr>
          <w:rFonts w:eastAsia="Times New Roman" w:cs="Calibri"/>
          <w:color w:val="auto"/>
          <w:bdr w:val="none" w:sz="0" w:space="0" w:color="auto"/>
        </w:rPr>
        <w:t>-</w:t>
      </w:r>
      <w:r w:rsidR="000078FA" w:rsidRPr="004066D0">
        <w:rPr>
          <w:rFonts w:eastAsia="Times New Roman" w:cs="Calibri"/>
          <w:color w:val="auto"/>
          <w:bdr w:val="none" w:sz="0" w:space="0" w:color="auto"/>
        </w:rPr>
        <w:t>9</w:t>
      </w:r>
      <w:r w:rsidR="004066D0" w:rsidRPr="004066D0">
        <w:rPr>
          <w:rFonts w:eastAsia="Times New Roman" w:cs="Calibri"/>
          <w:color w:val="auto"/>
          <w:bdr w:val="none" w:sz="0" w:space="0" w:color="auto"/>
        </w:rPr>
        <w:t>3</w:t>
      </w:r>
      <w:r w:rsidRPr="004066D0">
        <w:rPr>
          <w:rFonts w:eastAsia="Times New Roman" w:cs="Calibri"/>
          <w:color w:val="auto"/>
          <w:bdr w:val="none" w:sz="0" w:space="0" w:color="auto"/>
        </w:rPr>
        <w:t>%</w:t>
      </w:r>
      <w:r w:rsidRPr="004066D0">
        <w:rPr>
          <w:color w:val="auto"/>
        </w:rPr>
        <w:t>) (</w:t>
      </w:r>
      <w:r w:rsidRPr="004066D0">
        <w:rPr>
          <w:color w:val="auto"/>
          <w:highlight w:val="yellow"/>
        </w:rPr>
        <w:t xml:space="preserve">figura </w:t>
      </w:r>
      <w:r w:rsidR="004B6DC2" w:rsidRPr="004066D0">
        <w:rPr>
          <w:color w:val="auto"/>
          <w:highlight w:val="yellow"/>
        </w:rPr>
        <w:t>20</w:t>
      </w:r>
      <w:r w:rsidRPr="004066D0">
        <w:rPr>
          <w:color w:val="auto"/>
        </w:rPr>
        <w:t>).</w:t>
      </w:r>
    </w:p>
    <w:p w:rsidR="001D4639" w:rsidRDefault="001D4639" w:rsidP="00E1175A">
      <w:pPr>
        <w:jc w:val="both"/>
        <w:rPr>
          <w:rFonts w:cs="Calibri"/>
          <w:color w:val="auto"/>
        </w:rPr>
      </w:pPr>
      <w:r w:rsidRPr="003965BE">
        <w:rPr>
          <w:color w:val="auto"/>
        </w:rPr>
        <w:t>«</w:t>
      </w:r>
      <w:r>
        <w:rPr>
          <w:rFonts w:cs="Calibri"/>
          <w:color w:val="auto"/>
        </w:rPr>
        <w:t>In uno scenario ancora critico</w:t>
      </w:r>
      <w:r>
        <w:rPr>
          <w:color w:val="auto"/>
        </w:rPr>
        <w:t xml:space="preserve"> </w:t>
      </w:r>
      <w:r w:rsidRPr="003965BE">
        <w:rPr>
          <w:color w:val="auto"/>
        </w:rPr>
        <w:t xml:space="preserve">– </w:t>
      </w:r>
      <w:r>
        <w:rPr>
          <w:color w:val="auto"/>
        </w:rPr>
        <w:t>conclude</w:t>
      </w:r>
      <w:r w:rsidRPr="003965BE">
        <w:rPr>
          <w:color w:val="auto"/>
        </w:rPr>
        <w:t xml:space="preserve"> Cartabellotta –</w:t>
      </w:r>
      <w:r>
        <w:rPr>
          <w:color w:val="auto"/>
        </w:rPr>
        <w:t xml:space="preserve"> </w:t>
      </w:r>
      <w:r>
        <w:rPr>
          <w:rFonts w:cs="Calibri"/>
          <w:color w:val="auto"/>
        </w:rPr>
        <w:t xml:space="preserve"> </w:t>
      </w:r>
      <w:r w:rsidRPr="00E1175A">
        <w:rPr>
          <w:rFonts w:cs="Calibri"/>
          <w:color w:val="auto"/>
        </w:rPr>
        <w:t>caratterizzato da</w:t>
      </w:r>
      <w:r>
        <w:rPr>
          <w:rFonts w:cs="Calibri"/>
          <w:color w:val="auto"/>
        </w:rPr>
        <w:t xml:space="preserve">ll’elevata circolazione del virus e da una rilevante occupazione dei </w:t>
      </w:r>
      <w:r w:rsidRPr="00E1175A">
        <w:rPr>
          <w:rFonts w:cs="Calibri"/>
          <w:color w:val="auto"/>
        </w:rPr>
        <w:t xml:space="preserve">posti letto ospedalieri da parte dei pazienti COVID, le Regioni hanno messo sul tavolo </w:t>
      </w:r>
      <w:hyperlink r:id="rId13" w:history="1">
        <w:r>
          <w:rPr>
            <w:rStyle w:val="Collegamentoipertestuale"/>
            <w:rFonts w:cs="Calibri"/>
          </w:rPr>
          <w:t xml:space="preserve">varie </w:t>
        </w:r>
        <w:r w:rsidRPr="004D0E65">
          <w:rPr>
            <w:rStyle w:val="Collegamentoipertestuale"/>
            <w:rFonts w:cs="Calibri"/>
          </w:rPr>
          <w:t>proposte</w:t>
        </w:r>
      </w:hyperlink>
      <w:r w:rsidRPr="00E1175A">
        <w:rPr>
          <w:rFonts w:cs="Calibri"/>
          <w:color w:val="auto"/>
        </w:rPr>
        <w:t xml:space="preserve"> </w:t>
      </w:r>
      <w:r>
        <w:rPr>
          <w:rFonts w:cs="Calibri"/>
          <w:color w:val="auto"/>
        </w:rPr>
        <w:t>da discutere con il Governo, per semplificare l</w:t>
      </w:r>
      <w:r w:rsidRPr="00E1175A">
        <w:rPr>
          <w:rFonts w:cs="Calibri"/>
          <w:color w:val="auto"/>
        </w:rPr>
        <w:t>a fase di convivenza con il SARS-CoV-2</w:t>
      </w:r>
      <w:r>
        <w:rPr>
          <w:rFonts w:cs="Calibri"/>
          <w:color w:val="auto"/>
        </w:rPr>
        <w:t xml:space="preserve">, </w:t>
      </w:r>
      <w:r w:rsidRPr="00E1175A">
        <w:rPr>
          <w:rFonts w:cs="Calibri"/>
          <w:color w:val="auto"/>
        </w:rPr>
        <w:t xml:space="preserve"> su cui la Fondazione GIMBE ha</w:t>
      </w:r>
      <w:r>
        <w:rPr>
          <w:rFonts w:cs="Calibri"/>
          <w:color w:val="auto"/>
        </w:rPr>
        <w:t xml:space="preserve"> condotto una puntuale analisi</w:t>
      </w:r>
      <w:r w:rsidRPr="003965BE">
        <w:rPr>
          <w:color w:val="auto"/>
        </w:rPr>
        <w:t>»</w:t>
      </w:r>
      <w:r>
        <w:rPr>
          <w:color w:val="auto"/>
        </w:rPr>
        <w:t>.</w:t>
      </w:r>
    </w:p>
    <w:p w:rsidR="00BD3048" w:rsidRDefault="00BD3048" w:rsidP="00412F07">
      <w:pPr>
        <w:pStyle w:val="Paragrafoelenco"/>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Modifica alla d</w:t>
      </w:r>
      <w:r w:rsidRPr="007E22EE">
        <w:rPr>
          <w:b/>
        </w:rPr>
        <w:t xml:space="preserve">efinizione di caso </w:t>
      </w:r>
      <w:r>
        <w:rPr>
          <w:b/>
        </w:rPr>
        <w:t>COVID-19</w:t>
      </w:r>
      <w:r w:rsidRPr="007E22EE">
        <w:rPr>
          <w:b/>
        </w:rPr>
        <w:t>:</w:t>
      </w:r>
      <w:r>
        <w:t xml:space="preserve"> dal mo</w:t>
      </w:r>
      <w:r w:rsidR="001D4639">
        <w:t>mento che la maggior parte delle persone positive</w:t>
      </w:r>
      <w:r>
        <w:t xml:space="preserve"> </w:t>
      </w:r>
      <w:r w:rsidR="001D4639">
        <w:t xml:space="preserve">al </w:t>
      </w:r>
      <w:r w:rsidR="00B01FE0" w:rsidRPr="00873F35">
        <w:t>S</w:t>
      </w:r>
      <w:r w:rsidR="00B01FE0">
        <w:t>ARS</w:t>
      </w:r>
      <w:r w:rsidR="00B01FE0" w:rsidRPr="00873F35">
        <w:t>-CoV-2</w:t>
      </w:r>
      <w:r w:rsidR="00B01FE0">
        <w:t xml:space="preserve"> </w:t>
      </w:r>
      <w:r w:rsidR="001D4639">
        <w:t xml:space="preserve">sono asintomatiche o paucisintomatiche, ma possono </w:t>
      </w:r>
      <w:r>
        <w:t>trasmettere il contagio, non è</w:t>
      </w:r>
      <w:r w:rsidR="001D4639">
        <w:t xml:space="preserve"> possibile</w:t>
      </w:r>
      <w:r>
        <w:t xml:space="preserve">, ai fini della sorveglianza </w:t>
      </w:r>
      <w:r w:rsidR="001D4639">
        <w:t>dell’epidemia</w:t>
      </w:r>
      <w:r>
        <w:t>, modificare la definizion</w:t>
      </w:r>
      <w:r w:rsidR="00412F07">
        <w:t xml:space="preserve">e di caso COVID-19, includendo </w:t>
      </w:r>
      <w:r w:rsidR="008A68D1">
        <w:t>–</w:t>
      </w:r>
      <w:r w:rsidR="00412F07">
        <w:t xml:space="preserve"> come proposto dalle Regioni </w:t>
      </w:r>
      <w:r w:rsidR="001D4639">
        <w:t>–</w:t>
      </w:r>
      <w:r w:rsidR="00412F07">
        <w:t xml:space="preserve"> </w:t>
      </w:r>
      <w:r w:rsidR="001D4639">
        <w:t>sol</w:t>
      </w:r>
      <w:r>
        <w:t>o</w:t>
      </w:r>
      <w:r w:rsidR="001D4639">
        <w:t xml:space="preserve"> chi</w:t>
      </w:r>
      <w:r>
        <w:t>, a fronte di</w:t>
      </w:r>
      <w:r w:rsidR="001D4639">
        <w:t xml:space="preserve"> un tampone positivo</w:t>
      </w:r>
      <w:r w:rsidR="008A68D1">
        <w:t>,</w:t>
      </w:r>
      <w:r w:rsidR="001D4639">
        <w:t xml:space="preserve"> è anche sintomatico</w:t>
      </w:r>
      <w:r>
        <w:t>.</w:t>
      </w:r>
      <w:r w:rsidR="00412F07">
        <w:t xml:space="preserve"> Peraltro, </w:t>
      </w:r>
      <w:r w:rsidR="001F7366">
        <w:t xml:space="preserve">a fronte di </w:t>
      </w:r>
      <w:r w:rsidR="00412F07">
        <w:t xml:space="preserve">una </w:t>
      </w:r>
      <w:r w:rsidR="00412F07" w:rsidRPr="00412F07">
        <w:t xml:space="preserve">definizione di caso </w:t>
      </w:r>
      <w:r w:rsidR="00412F07">
        <w:t>condivisa dall’Organizzazione Mondiale della Sanità e dall’</w:t>
      </w:r>
      <w:r w:rsidR="00412F07">
        <w:rPr>
          <w:i/>
        </w:rPr>
        <w:t>European Centre for Disease Control</w:t>
      </w:r>
      <w:r w:rsidR="00412F07" w:rsidRPr="00412F07">
        <w:t xml:space="preserve">, </w:t>
      </w:r>
      <w:r w:rsidR="001D4639">
        <w:t xml:space="preserve">non sarebbe </w:t>
      </w:r>
      <w:r w:rsidR="001F7366">
        <w:t>giustificabile introdurre</w:t>
      </w:r>
      <w:r w:rsidR="00412F07" w:rsidRPr="00412F07">
        <w:t xml:space="preserve"> una modifica nazionale</w:t>
      </w:r>
      <w:r w:rsidR="00412F07">
        <w:t xml:space="preserve">, </w:t>
      </w:r>
      <w:r w:rsidR="00412F07" w:rsidRPr="00412F07">
        <w:t>anche ai fini della sorveg</w:t>
      </w:r>
      <w:r w:rsidR="00412F07">
        <w:t xml:space="preserve">lianza </w:t>
      </w:r>
      <w:r w:rsidR="001D4639">
        <w:t xml:space="preserve">epidemiologica </w:t>
      </w:r>
      <w:r w:rsidR="00412F07">
        <w:t>internazionale.</w:t>
      </w:r>
    </w:p>
    <w:p w:rsidR="00BD3048" w:rsidRDefault="00BD3048" w:rsidP="005A2F89">
      <w:pPr>
        <w:pStyle w:val="Paragrafoelenco"/>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562730">
        <w:rPr>
          <w:b/>
        </w:rPr>
        <w:t>Modifica alla definizione di ricovero COVID-19</w:t>
      </w:r>
      <w:r w:rsidRPr="007E22EE">
        <w:rPr>
          <w:b/>
        </w:rPr>
        <w:t>:</w:t>
      </w:r>
      <w:r>
        <w:t xml:space="preserve"> la proposta delle Regioni di </w:t>
      </w:r>
      <w:r w:rsidRPr="00873F35">
        <w:t xml:space="preserve">non considerare </w:t>
      </w:r>
      <w:r w:rsidR="00395E21">
        <w:t xml:space="preserve">come pazienti COVID-19 </w:t>
      </w:r>
      <w:r w:rsidRPr="00873F35">
        <w:t>i ricoverati per altra patologia a cui viene riscontrata una positività</w:t>
      </w:r>
      <w:r>
        <w:t xml:space="preserve"> occasionale</w:t>
      </w:r>
      <w:r w:rsidRPr="00873F35">
        <w:t xml:space="preserve"> al </w:t>
      </w:r>
      <w:r w:rsidR="00FD0462" w:rsidRPr="00873F35">
        <w:t>S</w:t>
      </w:r>
      <w:r w:rsidR="00FD0462">
        <w:t>ARS</w:t>
      </w:r>
      <w:r w:rsidRPr="00873F35">
        <w:t>-CoV-2</w:t>
      </w:r>
      <w:r>
        <w:t xml:space="preserve"> è inapplicabile e rischiosa per varie motivazioni:</w:t>
      </w:r>
    </w:p>
    <w:p w:rsidR="00BD3048" w:rsidRDefault="00BD3048" w:rsidP="005A2F89">
      <w:pPr>
        <w:pStyle w:val="Paragrafoelenco"/>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C</w:t>
      </w:r>
      <w:r w:rsidRPr="007A3153">
        <w:rPr>
          <w:b/>
        </w:rPr>
        <w:t>liniche</w:t>
      </w:r>
      <w:r>
        <w:t>: la COVID-19 è una malattia multisistemica che colpisce numerosi organi e apparati e definire lo status di “asintomaticità” è molto complesso, specialmente nei pazienti anziani con patologie multiple; inoltre, la positività al SARS-CoV-2 può peggiorare la prognosi di pazienti ricoverati per altre motivazioni, anche in relazione all’evoluzione della patologia/condizione che ha motivato il ricovero e alle procedure diagnostico-terapeutiche attuate.</w:t>
      </w:r>
    </w:p>
    <w:p w:rsidR="00BD3048" w:rsidRDefault="00BD3048" w:rsidP="005A2F89">
      <w:pPr>
        <w:pStyle w:val="Paragrafoelenco"/>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O</w:t>
      </w:r>
      <w:r w:rsidRPr="007A3153">
        <w:rPr>
          <w:b/>
        </w:rPr>
        <w:t>rganizzative</w:t>
      </w:r>
      <w:r>
        <w:t>: la gestione di tutti i pazienti SARS-CoV-2 positivi, indipendentemente dalla presenza di sintomi correlati alla COV</w:t>
      </w:r>
      <w:r w:rsidR="00FD0462">
        <w:t>I</w:t>
      </w:r>
      <w:r>
        <w:t xml:space="preserve">D-19, richiede procedure e spazi dedicati, oltre alla sanificazione degli ambienti. Di conseguenza, risulta molto difficile riorganizzare in tempi brevi la gestione degli “asintomatici” senza risorse aggiuntive, in particolare locali e personale. </w:t>
      </w:r>
    </w:p>
    <w:p w:rsidR="00BD3048" w:rsidRDefault="00BD3048" w:rsidP="005A2F89">
      <w:pPr>
        <w:pStyle w:val="Paragrafoelenco"/>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M</w:t>
      </w:r>
      <w:r w:rsidRPr="007A3153">
        <w:rPr>
          <w:b/>
        </w:rPr>
        <w:t>edico-legali</w:t>
      </w:r>
      <w:r>
        <w:rPr>
          <w:b/>
        </w:rPr>
        <w:t xml:space="preserve"> e amministrative</w:t>
      </w:r>
      <w:r w:rsidRPr="007A3153">
        <w:t>:</w:t>
      </w:r>
      <w:r>
        <w:t xml:space="preserve"> la responsabilità di assegnare il paziente ricoverato ad una delle due categorie, con tutte le difficoltà e le discrezionalità del caso, è affidata al personale medico e alle aziende sanitarie. </w:t>
      </w:r>
    </w:p>
    <w:p w:rsidR="00BD3048" w:rsidRDefault="00BD3048" w:rsidP="005A2F89">
      <w:pPr>
        <w:pStyle w:val="Paragrafoelenco"/>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7E22EE">
        <w:rPr>
          <w:b/>
        </w:rPr>
        <w:t>Contact tracing:</w:t>
      </w:r>
      <w:r>
        <w:t xml:space="preserve"> </w:t>
      </w:r>
      <w:r w:rsidR="00DE0343">
        <w:t xml:space="preserve">con </w:t>
      </w:r>
      <w:r>
        <w:t xml:space="preserve">l’attuale numero di positivi </w:t>
      </w:r>
      <w:r w:rsidR="00DE0343">
        <w:t xml:space="preserve">il </w:t>
      </w:r>
      <w:r w:rsidR="00DE0343" w:rsidRPr="00051962">
        <w:rPr>
          <w:i/>
        </w:rPr>
        <w:t>contact tracing</w:t>
      </w:r>
      <w:r w:rsidR="00DE0343">
        <w:t xml:space="preserve"> </w:t>
      </w:r>
      <w:r>
        <w:t>non è sostenibile né fattibile</w:t>
      </w:r>
      <w:r w:rsidR="001D4639">
        <w:t xml:space="preserve">, né può </w:t>
      </w:r>
      <w:r w:rsidR="00134D05">
        <w:t xml:space="preserve">contribuire </w:t>
      </w:r>
      <w:r w:rsidR="001D4639">
        <w:t xml:space="preserve">in maniera efficace a rallentare </w:t>
      </w:r>
      <w:r>
        <w:t xml:space="preserve">la crescita dei casi. </w:t>
      </w:r>
      <w:r w:rsidR="00134D05">
        <w:t xml:space="preserve">Se dunque </w:t>
      </w:r>
      <w:r w:rsidR="001D4639">
        <w:t xml:space="preserve">è </w:t>
      </w:r>
      <w:r w:rsidR="00134D05">
        <w:t xml:space="preserve">condivisibile l’obiettivo </w:t>
      </w:r>
      <w:r>
        <w:t xml:space="preserve">di </w:t>
      </w:r>
      <w:r>
        <w:lastRenderedPageBreak/>
        <w:t>alleggerire la pressione sui servizi sanitari territoriali</w:t>
      </w:r>
      <w:r w:rsidR="00134D05">
        <w:t>,</w:t>
      </w:r>
      <w:r>
        <w:t xml:space="preserve"> la proposta delle</w:t>
      </w:r>
      <w:r w:rsidRPr="000D504B">
        <w:t xml:space="preserve"> Regioni </w:t>
      </w:r>
      <w:r>
        <w:t xml:space="preserve">di </w:t>
      </w:r>
      <w:r w:rsidR="00134D05">
        <w:t xml:space="preserve">riservarlo </w:t>
      </w:r>
      <w:r>
        <w:t>a</w:t>
      </w:r>
      <w:r w:rsidRPr="000D504B">
        <w:t>i casi sintomatici</w:t>
      </w:r>
      <w:r w:rsidR="00134D05">
        <w:t xml:space="preserve"> non </w:t>
      </w:r>
      <w:r w:rsidR="001D4639">
        <w:t xml:space="preserve">è </w:t>
      </w:r>
      <w:r w:rsidR="00134D05">
        <w:t>basata su evidenze scientifiche</w:t>
      </w:r>
      <w:r w:rsidR="001D4639">
        <w:t xml:space="preserve">, perché </w:t>
      </w:r>
      <w:r>
        <w:t>oggi l’eleme</w:t>
      </w:r>
      <w:r w:rsidRPr="000D504B">
        <w:t>n</w:t>
      </w:r>
      <w:r>
        <w:t>t</w:t>
      </w:r>
      <w:r w:rsidRPr="000D504B">
        <w:t xml:space="preserve">o discriminante </w:t>
      </w:r>
      <w:r>
        <w:t xml:space="preserve">dovrebbe essere rappresentato dallo status vaccinale, </w:t>
      </w:r>
      <w:r w:rsidR="008A68D1">
        <w:t xml:space="preserve">dal momento che </w:t>
      </w:r>
      <w:r w:rsidRPr="000D504B">
        <w:t>i vaccinati si infettano meno e</w:t>
      </w:r>
      <w:r>
        <w:t xml:space="preserve">, soprattutto, </w:t>
      </w:r>
      <w:r w:rsidRPr="000D504B">
        <w:t>trasmettono meno</w:t>
      </w:r>
      <w:r>
        <w:t xml:space="preserve"> il virus</w:t>
      </w:r>
      <w:r w:rsidRPr="000D504B">
        <w:t xml:space="preserve">. </w:t>
      </w:r>
    </w:p>
    <w:p w:rsidR="00BD3048" w:rsidRDefault="00BD3048" w:rsidP="005A2F89">
      <w:pPr>
        <w:pStyle w:val="Paragrafoelenco"/>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140BB4">
        <w:rPr>
          <w:b/>
        </w:rPr>
        <w:t>Scuole</w:t>
      </w:r>
      <w:r>
        <w:rPr>
          <w:b/>
        </w:rPr>
        <w:t xml:space="preserve"> primarie</w:t>
      </w:r>
      <w:r>
        <w:t xml:space="preserve">: appare ragionevole la proposta delle Regioni che chiedono che, in caso di una positività in classe, in attesa del tampone T0 gli studenti rimangano presso il domicilio senza frequentare né la scuola, né le attività comunitarie. </w:t>
      </w:r>
      <w:r w:rsidR="008A68D1">
        <w:t xml:space="preserve">In caso di </w:t>
      </w:r>
      <w:r w:rsidR="004D0E8A">
        <w:t>DAD</w:t>
      </w:r>
      <w:r w:rsidR="008A68D1">
        <w:t xml:space="preserve">, </w:t>
      </w:r>
      <w:r w:rsidR="008A68D1">
        <w:rPr>
          <w:color w:val="auto"/>
        </w:rPr>
        <w:t>s</w:t>
      </w:r>
      <w:r w:rsidR="00FF138C" w:rsidRPr="00E6298B">
        <w:rPr>
          <w:color w:val="auto"/>
        </w:rPr>
        <w:t xml:space="preserve">i suggerisce di </w:t>
      </w:r>
      <w:r w:rsidRPr="00E6298B">
        <w:rPr>
          <w:color w:val="auto"/>
        </w:rPr>
        <w:t xml:space="preserve">valutare la possibilità di interrompere la quarantena per recarsi al centro vaccinale con mascherina FFP2 se al T0 si risulta negativi. </w:t>
      </w:r>
    </w:p>
    <w:p w:rsidR="00BD3048" w:rsidRDefault="00BD3048" w:rsidP="005A2F89">
      <w:pPr>
        <w:pStyle w:val="Paragrafoelenco"/>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Operatori sanitari</w:t>
      </w:r>
      <w:r w:rsidRPr="00140BB4">
        <w:t>:</w:t>
      </w:r>
      <w:r>
        <w:t xml:space="preserve"> </w:t>
      </w:r>
      <w:r w:rsidR="00E1175A">
        <w:t xml:space="preserve">nei primi 18 giorni di </w:t>
      </w:r>
      <w:r w:rsidR="001C167C">
        <w:t xml:space="preserve">gennaio 2022 si sono registrati 36.143 nuovi casi tra </w:t>
      </w:r>
      <w:r w:rsidR="00B01FE0">
        <w:t xml:space="preserve">il personale </w:t>
      </w:r>
      <w:r w:rsidR="001C167C">
        <w:t>sanitari</w:t>
      </w:r>
      <w:r w:rsidR="00B01FE0">
        <w:t>o</w:t>
      </w:r>
      <w:r w:rsidR="001C167C">
        <w:t xml:space="preserve">, </w:t>
      </w:r>
      <w:r w:rsidR="00E1175A">
        <w:t xml:space="preserve">quasi il triplo </w:t>
      </w:r>
      <w:r w:rsidR="001C167C">
        <w:t xml:space="preserve">rispetto </w:t>
      </w:r>
      <w:r w:rsidR="00E1175A">
        <w:t>a</w:t>
      </w:r>
      <w:r w:rsidR="001C167C">
        <w:t xml:space="preserve">ll’intero mese di dicembre 2021 (n. 12.664). </w:t>
      </w:r>
      <w:r w:rsidR="00B01FE0">
        <w:t xml:space="preserve">Per </w:t>
      </w:r>
      <w:r w:rsidR="001C167C">
        <w:t>fronte</w:t>
      </w:r>
      <w:r w:rsidR="00B01FE0">
        <w:t>ggiare</w:t>
      </w:r>
      <w:r w:rsidR="001C167C">
        <w:t xml:space="preserve"> questo problema</w:t>
      </w:r>
      <w:r w:rsidR="008D22CA">
        <w:t>,</w:t>
      </w:r>
      <w:r w:rsidR="001C167C">
        <w:t xml:space="preserve"> </w:t>
      </w:r>
      <w:r w:rsidR="00E1175A">
        <w:t xml:space="preserve">le </w:t>
      </w:r>
      <w:r>
        <w:t xml:space="preserve">Regioni </w:t>
      </w:r>
      <w:r w:rsidR="00B01FE0">
        <w:t xml:space="preserve">chiedono </w:t>
      </w:r>
      <w:r w:rsidR="00FF138C">
        <w:t>di mantenere in ser</w:t>
      </w:r>
      <w:r w:rsidR="001C167C">
        <w:t>v</w:t>
      </w:r>
      <w:r w:rsidR="00FF138C">
        <w:t>i</w:t>
      </w:r>
      <w:r w:rsidR="001C167C">
        <w:t xml:space="preserve">zio nei reparti COVID </w:t>
      </w:r>
      <w:r w:rsidR="00B01FE0">
        <w:t xml:space="preserve">gli operatori </w:t>
      </w:r>
      <w:r w:rsidR="001C167C">
        <w:t>sanitari positivi asintomatici</w:t>
      </w:r>
      <w:r w:rsidR="00B01FE0">
        <w:t xml:space="preserve">, una </w:t>
      </w:r>
      <w:r w:rsidR="00E1175A">
        <w:t xml:space="preserve">proposta </w:t>
      </w:r>
      <w:r w:rsidR="00E76C33">
        <w:t xml:space="preserve">inapplicabile per </w:t>
      </w:r>
      <w:r w:rsidR="00B01FE0">
        <w:t>tre ragioni. I</w:t>
      </w:r>
      <w:r w:rsidR="00E76C33">
        <w:t>nnanzitutto, medico-legali</w:t>
      </w:r>
      <w:r w:rsidR="00B01FE0">
        <w:t>,</w:t>
      </w:r>
      <w:r w:rsidR="00E76C33">
        <w:t xml:space="preserve"> perché è in netto contrasto con la legge Gelli-Bianco che </w:t>
      </w:r>
      <w:r w:rsidR="00B01FE0">
        <w:t xml:space="preserve">dispone di garantire </w:t>
      </w:r>
      <w:r w:rsidR="00E76C33">
        <w:t xml:space="preserve">la sicurezza delle cure </w:t>
      </w:r>
      <w:r w:rsidR="00B01FE0">
        <w:t xml:space="preserve">integrando </w:t>
      </w:r>
      <w:r w:rsidR="00E76C33">
        <w:t xml:space="preserve">tutte le attività finalizzate alla prevenzione e alla gestione del rischio connesso all’erogazione di prestazioni sanitarie. In secondo luogo, </w:t>
      </w:r>
      <w:r>
        <w:t>per motivi organizzativi: gli operatori sanitari potrebbero lavorare nei reparti COVID, ma senza poter accedere agli spazi comuni (spogliatoi, mensa, etc</w:t>
      </w:r>
      <w:r w:rsidR="001D12A5">
        <w:t>.</w:t>
      </w:r>
      <w:r w:rsidR="00E76C33">
        <w:t xml:space="preserve">). Infine, </w:t>
      </w:r>
      <w:r w:rsidR="00B01FE0">
        <w:t xml:space="preserve">per evidenti risvolti pratici, visto che </w:t>
      </w:r>
      <w:r w:rsidR="00E76C33">
        <w:t>rischia di determinare una fuga dai reparti COVID da parte del personale sanitario</w:t>
      </w:r>
      <w:r w:rsidR="008D22CA">
        <w:t xml:space="preserve"> non colpito dall’infezione</w:t>
      </w:r>
      <w:r w:rsidR="00E76C33">
        <w:t>.</w:t>
      </w:r>
    </w:p>
    <w:p w:rsidR="00E1175A" w:rsidRDefault="00E1175A" w:rsidP="00BD67DE">
      <w:pPr>
        <w:spacing w:after="120" w:line="276" w:lineRule="auto"/>
        <w:rPr>
          <w:color w:val="FF0000"/>
        </w:rPr>
      </w:pP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4" w:history="1">
        <w:r w:rsidR="00CE577D" w:rsidRPr="00234B97">
          <w:rPr>
            <w:rStyle w:val="Hyperlink0"/>
          </w:rPr>
          <w:t>https://coronavirus.gimbe.org</w:t>
        </w:r>
      </w:hyperlink>
    </w:p>
    <w:p w:rsidR="00B74EC4" w:rsidRDefault="00B74EC4" w:rsidP="00BD67DE">
      <w:pPr>
        <w:spacing w:after="120" w:line="276" w:lineRule="auto"/>
        <w:rPr>
          <w:rStyle w:val="Hyperlink0"/>
        </w:rPr>
      </w:pPr>
    </w:p>
    <w:p w:rsidR="006642F5" w:rsidRPr="008F4EDC" w:rsidRDefault="00CE577D" w:rsidP="008F4EDC">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5" w:history="1">
        <w:r w:rsidRPr="00234B97">
          <w:rPr>
            <w:rStyle w:val="Hyperlink1"/>
          </w:rPr>
          <w:t>ufficio.stampa@gimbe.org</w:t>
        </w:r>
      </w:hyperlink>
    </w:p>
    <w:p w:rsidR="00F43DFC" w:rsidRDefault="001203E4" w:rsidP="00A818EE">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DF30EE">
      <w:pPr>
        <w:jc w:val="center"/>
        <w:rPr>
          <w:b/>
          <w:bCs/>
          <w:color w:val="00457D"/>
          <w:sz w:val="24"/>
          <w:szCs w:val="24"/>
          <w:u w:color="00457D"/>
        </w:rPr>
      </w:pPr>
      <w:r>
        <w:rPr>
          <w:b/>
          <w:bCs/>
          <w:noProof/>
          <w:color w:val="00457D"/>
          <w:sz w:val="24"/>
          <w:szCs w:val="24"/>
          <w:u w:color="00457D"/>
        </w:rPr>
        <w:drawing>
          <wp:inline distT="0" distB="0" distL="0" distR="0" wp14:anchorId="32A64FE1" wp14:editId="3153276E">
            <wp:extent cx="5760000" cy="319339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DF30EE">
        <w:rPr>
          <w:b/>
          <w:bCs/>
          <w:noProof/>
          <w:color w:val="00457D"/>
          <w:sz w:val="24"/>
          <w:szCs w:val="24"/>
          <w:u w:color="00457D"/>
        </w:rPr>
        <w:drawing>
          <wp:inline distT="0" distB="0" distL="0" distR="0" wp14:anchorId="5E1C85BE" wp14:editId="0743C19D">
            <wp:extent cx="5760000" cy="3192521"/>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even" r:id="rId18"/>
          <w:headerReference w:type="default" r:id="rId19"/>
          <w:footerReference w:type="even" r:id="rId20"/>
          <w:footerReference w:type="default" r:id="rId21"/>
          <w:headerReference w:type="first" r:id="rId22"/>
          <w:footerReference w:type="first" r:id="rId23"/>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DF30EE"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4D67539D" wp14:editId="0FFF94FD">
            <wp:extent cx="9360000" cy="4810624"/>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DF30EE" w:rsidP="00E10DC3">
      <w:pPr>
        <w:spacing w:after="0"/>
        <w:jc w:val="center"/>
        <w:rPr>
          <w:color w:val="auto"/>
        </w:rPr>
      </w:pPr>
      <w:r>
        <w:rPr>
          <w:noProof/>
          <w:color w:val="auto"/>
        </w:rPr>
        <w:drawing>
          <wp:inline distT="0" distB="0" distL="0" distR="0" wp14:anchorId="5B03776A" wp14:editId="2F08FE9E">
            <wp:extent cx="5760000" cy="280843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808430"/>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DF30EE" w:rsidP="000E770E">
      <w:pPr>
        <w:spacing w:after="0" w:line="276" w:lineRule="auto"/>
        <w:jc w:val="center"/>
        <w:rPr>
          <w:color w:val="auto"/>
        </w:rPr>
      </w:pPr>
      <w:r>
        <w:rPr>
          <w:noProof/>
          <w:color w:val="auto"/>
        </w:rPr>
        <w:drawing>
          <wp:inline distT="0" distB="0" distL="0" distR="0" wp14:anchorId="071CB677" wp14:editId="73909625">
            <wp:extent cx="5760000" cy="3121409"/>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121409"/>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DF30EE"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0CDCFC03" wp14:editId="14BCA83A">
            <wp:extent cx="5544000" cy="3041136"/>
            <wp:effectExtent l="0" t="0" r="0" b="698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4000" cy="3041136"/>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F9470A">
        <w:rPr>
          <w:b/>
          <w:bCs/>
          <w:color w:val="00457D"/>
          <w:sz w:val="24"/>
          <w:szCs w:val="24"/>
          <w:u w:color="00457D"/>
        </w:rPr>
        <w:t>7</w:t>
      </w:r>
    </w:p>
    <w:p w:rsidR="00D93FAE" w:rsidRPr="00D93FAE" w:rsidRDefault="00DF30EE"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248E8832" wp14:editId="0B0BB8D0">
            <wp:extent cx="5544000" cy="549629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4000" cy="5496293"/>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F9470A">
        <w:rPr>
          <w:b/>
          <w:bCs/>
          <w:color w:val="00457D"/>
          <w:sz w:val="24"/>
          <w:szCs w:val="24"/>
          <w:u w:color="00457D"/>
        </w:rPr>
        <w:t>8</w:t>
      </w:r>
    </w:p>
    <w:p w:rsidR="003274E5" w:rsidRDefault="00DF30EE"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5BBDC473" wp14:editId="1A265528">
            <wp:extent cx="5760000" cy="2792940"/>
            <wp:effectExtent l="0" t="0" r="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94F6E" w:rsidRDefault="00794F6E" w:rsidP="003274E5">
      <w:pPr>
        <w:spacing w:after="0"/>
        <w:jc w:val="center"/>
        <w:rPr>
          <w:b/>
          <w:bCs/>
          <w:color w:val="00457D"/>
          <w:sz w:val="24"/>
          <w:szCs w:val="24"/>
          <w:u w:color="00457D"/>
        </w:rPr>
      </w:pPr>
    </w:p>
    <w:p w:rsidR="00F9470A" w:rsidRDefault="006176B8" w:rsidP="005E411F">
      <w:pPr>
        <w:spacing w:after="0" w:line="240" w:lineRule="auto"/>
        <w:jc w:val="center"/>
        <w:rPr>
          <w:b/>
          <w:bCs/>
          <w:color w:val="00457D"/>
          <w:sz w:val="24"/>
          <w:szCs w:val="24"/>
          <w:u w:color="00457D"/>
        </w:rPr>
      </w:pPr>
      <w:r w:rsidRPr="00914317">
        <w:rPr>
          <w:b/>
          <w:bCs/>
          <w:color w:val="00457D"/>
          <w:sz w:val="24"/>
          <w:szCs w:val="24"/>
          <w:u w:color="00457D"/>
        </w:rPr>
        <w:t>Figura</w:t>
      </w:r>
      <w:r w:rsidR="00F9470A">
        <w:rPr>
          <w:b/>
          <w:bCs/>
          <w:color w:val="00457D"/>
          <w:sz w:val="24"/>
          <w:szCs w:val="24"/>
          <w:u w:color="00457D"/>
        </w:rPr>
        <w:t xml:space="preserve"> 9</w:t>
      </w:r>
    </w:p>
    <w:p w:rsidR="00F9470A" w:rsidRDefault="00DF30EE" w:rsidP="005E411F">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B9DB027" wp14:editId="7B7BB316">
            <wp:extent cx="5760000" cy="288401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884014"/>
                    </a:xfrm>
                    <a:prstGeom prst="rect">
                      <a:avLst/>
                    </a:prstGeom>
                    <a:noFill/>
                  </pic:spPr>
                </pic:pic>
              </a:graphicData>
            </a:graphic>
          </wp:inline>
        </w:drawing>
      </w:r>
    </w:p>
    <w:p w:rsidR="00F9470A" w:rsidRDefault="00F9470A" w:rsidP="005E411F">
      <w:pPr>
        <w:spacing w:after="0" w:line="240" w:lineRule="auto"/>
        <w:jc w:val="center"/>
        <w:rPr>
          <w:b/>
          <w:bCs/>
          <w:color w:val="00457D"/>
          <w:sz w:val="24"/>
          <w:szCs w:val="24"/>
          <w:u w:color="00457D"/>
        </w:rPr>
      </w:pPr>
    </w:p>
    <w:p w:rsidR="001D1D16" w:rsidRDefault="001D1D16" w:rsidP="005E411F">
      <w:pPr>
        <w:spacing w:after="0" w:line="240" w:lineRule="auto"/>
        <w:jc w:val="center"/>
        <w:rPr>
          <w:b/>
          <w:bCs/>
          <w:color w:val="00457D"/>
          <w:sz w:val="24"/>
          <w:szCs w:val="24"/>
          <w:u w:color="00457D"/>
        </w:rPr>
      </w:pPr>
    </w:p>
    <w:p w:rsidR="001D1D16" w:rsidRDefault="001D1D16">
      <w:pPr>
        <w:spacing w:after="0" w:line="240" w:lineRule="auto"/>
        <w:rPr>
          <w:b/>
          <w:bCs/>
          <w:color w:val="00457D"/>
          <w:sz w:val="24"/>
          <w:szCs w:val="24"/>
          <w:u w:color="00457D"/>
        </w:rPr>
      </w:pPr>
      <w:r>
        <w:rPr>
          <w:b/>
          <w:bCs/>
          <w:color w:val="00457D"/>
          <w:sz w:val="24"/>
          <w:szCs w:val="24"/>
          <w:u w:color="00457D"/>
        </w:rPr>
        <w:br w:type="page"/>
      </w:r>
    </w:p>
    <w:p w:rsidR="007B682B" w:rsidRPr="00914317" w:rsidRDefault="00F9470A" w:rsidP="005E411F">
      <w:pPr>
        <w:spacing w:after="0" w:line="240" w:lineRule="auto"/>
        <w:jc w:val="center"/>
        <w:rPr>
          <w:b/>
          <w:bCs/>
          <w:color w:val="00457D"/>
          <w:sz w:val="24"/>
          <w:szCs w:val="24"/>
          <w:u w:color="00457D"/>
        </w:rPr>
      </w:pPr>
      <w:r>
        <w:rPr>
          <w:b/>
          <w:bCs/>
          <w:color w:val="00457D"/>
          <w:sz w:val="24"/>
          <w:szCs w:val="24"/>
          <w:u w:color="00457D"/>
        </w:rPr>
        <w:lastRenderedPageBreak/>
        <w:t>Figura</w:t>
      </w:r>
      <w:r w:rsidR="006176B8" w:rsidRPr="00914317">
        <w:rPr>
          <w:b/>
          <w:bCs/>
          <w:color w:val="00457D"/>
          <w:sz w:val="24"/>
          <w:szCs w:val="24"/>
          <w:u w:color="00457D"/>
        </w:rPr>
        <w:t xml:space="preserve"> </w:t>
      </w:r>
      <w:r w:rsidR="002879EE">
        <w:rPr>
          <w:b/>
          <w:bCs/>
          <w:color w:val="00457D"/>
          <w:sz w:val="24"/>
          <w:szCs w:val="24"/>
          <w:u w:color="00457D"/>
        </w:rPr>
        <w:t>10</w:t>
      </w:r>
    </w:p>
    <w:p w:rsidR="00542585" w:rsidRDefault="00DF30EE" w:rsidP="00F529F2">
      <w:pPr>
        <w:jc w:val="center"/>
        <w:rPr>
          <w:b/>
          <w:bCs/>
          <w:color w:val="00457D"/>
          <w:sz w:val="24"/>
          <w:szCs w:val="24"/>
          <w:u w:color="00457D"/>
        </w:rPr>
      </w:pPr>
      <w:r>
        <w:rPr>
          <w:b/>
          <w:bCs/>
          <w:noProof/>
          <w:color w:val="00457D"/>
          <w:sz w:val="24"/>
          <w:szCs w:val="24"/>
          <w:u w:color="00457D"/>
        </w:rPr>
        <w:drawing>
          <wp:inline distT="0" distB="0" distL="0" distR="0" wp14:anchorId="53925AE9" wp14:editId="30B689AB">
            <wp:extent cx="5760000" cy="4506727"/>
            <wp:effectExtent l="0" t="0" r="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506727"/>
                    </a:xfrm>
                    <a:prstGeom prst="rect">
                      <a:avLst/>
                    </a:prstGeom>
                    <a:noFill/>
                  </pic:spPr>
                </pic:pic>
              </a:graphicData>
            </a:graphic>
          </wp:inline>
        </w:drawing>
      </w:r>
    </w:p>
    <w:p w:rsidR="005E411F" w:rsidRDefault="005E411F">
      <w:pPr>
        <w:spacing w:after="0" w:line="240" w:lineRule="auto"/>
        <w:rPr>
          <w:b/>
          <w:bCs/>
          <w:color w:val="00457D"/>
          <w:sz w:val="24"/>
          <w:szCs w:val="24"/>
          <w:u w:color="00457D"/>
        </w:rPr>
      </w:pP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2879EE">
        <w:rPr>
          <w:b/>
          <w:bCs/>
          <w:color w:val="00457D"/>
          <w:sz w:val="24"/>
          <w:szCs w:val="24"/>
          <w:u w:color="00457D"/>
        </w:rPr>
        <w:t>1</w:t>
      </w:r>
    </w:p>
    <w:p w:rsidR="00DB1360" w:rsidRDefault="00DF30EE"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5CC239C" wp14:editId="637F043E">
            <wp:extent cx="5760000" cy="3348465"/>
            <wp:effectExtent l="0" t="0" r="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r>
        <w:rPr>
          <w:b/>
          <w:bCs/>
          <w:color w:val="00457D"/>
          <w:sz w:val="24"/>
          <w:szCs w:val="24"/>
          <w:u w:color="00457D"/>
        </w:rPr>
        <w:br w:type="page"/>
      </w: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12</w:t>
      </w:r>
    </w:p>
    <w:p w:rsidR="004B6DC2" w:rsidRDefault="00DF30EE"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AD29FEF" wp14:editId="1D4E4C66">
            <wp:extent cx="5760000" cy="3878793"/>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878793"/>
                    </a:xfrm>
                    <a:prstGeom prst="rect">
                      <a:avLst/>
                    </a:prstGeom>
                    <a:noFill/>
                  </pic:spPr>
                </pic:pic>
              </a:graphicData>
            </a:graphic>
          </wp:inline>
        </w:drawing>
      </w:r>
    </w:p>
    <w:p w:rsidR="004B6DC2" w:rsidRDefault="004B6DC2">
      <w:pPr>
        <w:spacing w:after="0" w:line="240" w:lineRule="auto"/>
        <w:rPr>
          <w:b/>
          <w:bCs/>
          <w:color w:val="00457D"/>
          <w:sz w:val="24"/>
          <w:szCs w:val="24"/>
          <w:u w:color="00457D"/>
        </w:rPr>
      </w:pP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t>Figura 1</w:t>
      </w:r>
      <w:r w:rsidR="002879EE">
        <w:rPr>
          <w:b/>
          <w:bCs/>
          <w:color w:val="00457D"/>
          <w:sz w:val="24"/>
          <w:szCs w:val="24"/>
          <w:u w:color="00457D"/>
        </w:rPr>
        <w:t>3</w:t>
      </w:r>
    </w:p>
    <w:p w:rsidR="001B3764" w:rsidRPr="00466C2D" w:rsidRDefault="00DF30EE"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FD59DD9" wp14:editId="211581E6">
            <wp:extent cx="5760000" cy="3064926"/>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3064926"/>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14</w:t>
      </w:r>
    </w:p>
    <w:p w:rsidR="003D05A8" w:rsidRPr="003D05A8" w:rsidRDefault="00DF30EE" w:rsidP="00005129">
      <w:pPr>
        <w:spacing w:after="0" w:line="240" w:lineRule="auto"/>
        <w:jc w:val="center"/>
        <w:rPr>
          <w:b/>
          <w:bCs/>
          <w:color w:val="FF0000"/>
          <w:sz w:val="24"/>
          <w:szCs w:val="24"/>
          <w:u w:color="00457D"/>
        </w:rPr>
      </w:pPr>
      <w:r>
        <w:rPr>
          <w:b/>
          <w:bCs/>
          <w:noProof/>
          <w:color w:val="FF0000"/>
          <w:sz w:val="24"/>
          <w:szCs w:val="24"/>
          <w:u w:color="00457D"/>
        </w:rPr>
        <w:drawing>
          <wp:inline distT="0" distB="0" distL="0" distR="0" wp14:anchorId="512515E4" wp14:editId="16C5B4A8">
            <wp:extent cx="5760000" cy="3661941"/>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rsidR="003D05A8" w:rsidRDefault="003D05A8" w:rsidP="00005129">
      <w:pPr>
        <w:spacing w:after="0" w:line="240" w:lineRule="auto"/>
        <w:jc w:val="center"/>
        <w:rPr>
          <w:b/>
          <w:bCs/>
          <w:color w:val="00457D"/>
          <w:sz w:val="24"/>
          <w:szCs w:val="24"/>
          <w:u w:color="00457D"/>
        </w:rPr>
      </w:pPr>
    </w:p>
    <w:p w:rsidR="00005129" w:rsidRPr="00466C2D" w:rsidRDefault="00E10DC3" w:rsidP="00DF30EE">
      <w:pPr>
        <w:spacing w:after="0" w:line="240" w:lineRule="auto"/>
        <w:jc w:val="center"/>
        <w:rPr>
          <w:b/>
          <w:bCs/>
          <w:color w:val="00457D"/>
          <w:sz w:val="24"/>
          <w:szCs w:val="24"/>
          <w:u w:color="00457D"/>
        </w:rPr>
      </w:pPr>
      <w:r w:rsidRPr="00466C2D">
        <w:rPr>
          <w:b/>
          <w:bCs/>
          <w:color w:val="00457D"/>
          <w:sz w:val="24"/>
          <w:szCs w:val="24"/>
          <w:u w:color="00457D"/>
        </w:rPr>
        <w:t>Figura 1</w:t>
      </w:r>
      <w:r w:rsidR="004B6DC2">
        <w:rPr>
          <w:b/>
          <w:bCs/>
          <w:color w:val="00457D"/>
          <w:sz w:val="24"/>
          <w:szCs w:val="24"/>
          <w:u w:color="00457D"/>
        </w:rPr>
        <w:t>5</w:t>
      </w:r>
    </w:p>
    <w:p w:rsidR="00205B01" w:rsidRPr="003F6A89" w:rsidRDefault="001D0883" w:rsidP="00012B67">
      <w:pPr>
        <w:spacing w:line="276" w:lineRule="auto"/>
        <w:jc w:val="center"/>
        <w:rPr>
          <w:color w:val="FF0000"/>
        </w:rPr>
      </w:pPr>
      <w:r>
        <w:rPr>
          <w:noProof/>
          <w:color w:val="FF0000"/>
        </w:rPr>
        <w:drawing>
          <wp:inline distT="0" distB="0" distL="0" distR="0" wp14:anchorId="39B048EE" wp14:editId="3AEA9945">
            <wp:extent cx="5760000" cy="3690239"/>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3690239"/>
                    </a:xfrm>
                    <a:prstGeom prst="rect">
                      <a:avLst/>
                    </a:prstGeom>
                    <a:noFill/>
                  </pic:spPr>
                </pic:pic>
              </a:graphicData>
            </a:graphic>
          </wp:inline>
        </w:drawing>
      </w:r>
    </w:p>
    <w:p w:rsidR="00DF30EE" w:rsidRDefault="00DF30EE">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Pr>
          <w:b/>
          <w:bCs/>
          <w:color w:val="00457D"/>
          <w:sz w:val="24"/>
          <w:szCs w:val="24"/>
          <w:u w:color="00457D"/>
        </w:rPr>
        <w:t>16</w:t>
      </w:r>
    </w:p>
    <w:p w:rsidR="004B6DC2" w:rsidRDefault="001D088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506B87E" wp14:editId="7DE09E19">
            <wp:extent cx="5760000" cy="3002155"/>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002155"/>
                    </a:xfrm>
                    <a:prstGeom prst="rect">
                      <a:avLst/>
                    </a:prstGeom>
                    <a:noFill/>
                  </pic:spPr>
                </pic:pic>
              </a:graphicData>
            </a:graphic>
          </wp:inline>
        </w:drawing>
      </w:r>
    </w:p>
    <w:p w:rsidR="001C3537" w:rsidRDefault="001C3537" w:rsidP="00622991">
      <w:pPr>
        <w:spacing w:after="0" w:line="240" w:lineRule="auto"/>
        <w:jc w:val="center"/>
        <w:rPr>
          <w:b/>
          <w:bCs/>
          <w:color w:val="00457D"/>
          <w:sz w:val="24"/>
          <w:szCs w:val="24"/>
          <w:u w:color="00457D"/>
        </w:rPr>
      </w:pPr>
    </w:p>
    <w:p w:rsidR="00BA061F" w:rsidRDefault="00BA061F">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Pr>
          <w:b/>
          <w:bCs/>
          <w:color w:val="00457D"/>
          <w:sz w:val="24"/>
          <w:szCs w:val="24"/>
          <w:u w:color="00457D"/>
        </w:rPr>
        <w:t>17</w:t>
      </w:r>
    </w:p>
    <w:p w:rsidR="00333BB6" w:rsidRDefault="001D0883"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D1E2D9A" wp14:editId="79C844FC">
            <wp:extent cx="5760000" cy="4340335"/>
            <wp:effectExtent l="0" t="0" r="0" b="317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rsidR="00775180" w:rsidRDefault="00775180">
      <w:pPr>
        <w:spacing w:after="0" w:line="240" w:lineRule="auto"/>
        <w:rPr>
          <w:b/>
          <w:bCs/>
          <w:color w:val="00457D"/>
          <w:sz w:val="24"/>
          <w:szCs w:val="24"/>
          <w:u w:color="00457D"/>
        </w:rPr>
      </w:pPr>
    </w:p>
    <w:p w:rsidR="001D0883" w:rsidRDefault="001D0883">
      <w:pPr>
        <w:spacing w:after="0" w:line="240" w:lineRule="auto"/>
        <w:rPr>
          <w:b/>
          <w:bCs/>
          <w:color w:val="00457D"/>
          <w:sz w:val="24"/>
          <w:szCs w:val="24"/>
          <w:u w:color="00457D"/>
        </w:rPr>
      </w:pPr>
      <w:r>
        <w:rPr>
          <w:b/>
          <w:bCs/>
          <w:color w:val="00457D"/>
          <w:sz w:val="24"/>
          <w:szCs w:val="24"/>
          <w:u w:color="00457D"/>
        </w:rPr>
        <w:br w:type="page"/>
      </w:r>
    </w:p>
    <w:p w:rsidR="004B6DC2" w:rsidRPr="00914317" w:rsidRDefault="004B6DC2" w:rsidP="004B6DC2">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Pr>
          <w:b/>
          <w:bCs/>
          <w:color w:val="00457D"/>
          <w:sz w:val="24"/>
          <w:szCs w:val="24"/>
          <w:u w:color="00457D"/>
        </w:rPr>
        <w:t>8</w:t>
      </w:r>
    </w:p>
    <w:p w:rsidR="004B6DC2" w:rsidRDefault="001D088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30B61CC" wp14:editId="36B39877">
            <wp:extent cx="5760000" cy="337211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372110"/>
                    </a:xfrm>
                    <a:prstGeom prst="rect">
                      <a:avLst/>
                    </a:prstGeom>
                    <a:noFill/>
                  </pic:spPr>
                </pic:pic>
              </a:graphicData>
            </a:graphic>
          </wp:inline>
        </w:drawing>
      </w:r>
    </w:p>
    <w:p w:rsidR="004B6DC2" w:rsidRDefault="004B6DC2" w:rsidP="004B6DC2">
      <w:pPr>
        <w:spacing w:after="0" w:line="240" w:lineRule="auto"/>
        <w:jc w:val="center"/>
        <w:rPr>
          <w:b/>
          <w:bCs/>
          <w:color w:val="00457D"/>
          <w:sz w:val="24"/>
          <w:szCs w:val="24"/>
          <w:u w:color="00457D"/>
        </w:rPr>
      </w:pPr>
    </w:p>
    <w:p w:rsidR="00BA061F" w:rsidRDefault="00BA061F">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D001BF">
        <w:rPr>
          <w:b/>
          <w:bCs/>
          <w:color w:val="00457D"/>
          <w:sz w:val="24"/>
          <w:szCs w:val="24"/>
          <w:u w:color="00457D"/>
        </w:rPr>
        <w:t>Figura 1</w:t>
      </w:r>
      <w:r>
        <w:rPr>
          <w:b/>
          <w:bCs/>
          <w:color w:val="00457D"/>
          <w:sz w:val="24"/>
          <w:szCs w:val="24"/>
          <w:u w:color="00457D"/>
        </w:rPr>
        <w:t>9</w:t>
      </w:r>
    </w:p>
    <w:p w:rsidR="001B2CE3" w:rsidRPr="00D001BF" w:rsidRDefault="001D088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2ECE067" wp14:editId="74699AB8">
            <wp:extent cx="5760000" cy="4336291"/>
            <wp:effectExtent l="0" t="0" r="0"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p>
    <w:p w:rsidR="004B6DC2" w:rsidRDefault="004B6DC2" w:rsidP="004B6DC2">
      <w:pPr>
        <w:spacing w:after="0" w:line="240" w:lineRule="auto"/>
        <w:rPr>
          <w:b/>
          <w:bCs/>
          <w:color w:val="00457D"/>
          <w:sz w:val="24"/>
          <w:szCs w:val="24"/>
          <w:u w:color="00457D"/>
        </w:rPr>
        <w:sectPr w:rsidR="004B6DC2">
          <w:pgSz w:w="11900" w:h="16840"/>
          <w:pgMar w:top="1134" w:right="1134" w:bottom="1418" w:left="1134" w:header="709" w:footer="709" w:gutter="0"/>
          <w:cols w:space="720"/>
        </w:sectPr>
      </w:pP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4B6DC2">
        <w:rPr>
          <w:b/>
          <w:bCs/>
          <w:color w:val="00457D"/>
          <w:sz w:val="24"/>
          <w:szCs w:val="24"/>
          <w:u w:color="00457D"/>
        </w:rPr>
        <w:t>20</w:t>
      </w:r>
    </w:p>
    <w:p w:rsidR="004066D0" w:rsidRDefault="004066D0" w:rsidP="00AC2737">
      <w:pPr>
        <w:spacing w:line="240" w:lineRule="auto"/>
        <w:jc w:val="center"/>
        <w:rPr>
          <w:b/>
          <w:bCs/>
          <w:noProof/>
          <w:color w:val="00457D"/>
          <w:sz w:val="24"/>
          <w:szCs w:val="24"/>
          <w:u w:color="00457D"/>
        </w:rPr>
      </w:pPr>
      <w:r>
        <w:rPr>
          <w:noProof/>
        </w:rPr>
        <w:drawing>
          <wp:inline distT="0" distB="0" distL="0" distR="0" wp14:anchorId="126173BE" wp14:editId="3FA1ECE8">
            <wp:extent cx="9072880" cy="5231986"/>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72880" cy="5231986"/>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rsidR="00855694" w:rsidRDefault="00CE577D" w:rsidP="00855694">
      <w:pPr>
        <w:spacing w:line="276" w:lineRule="auto"/>
        <w:jc w:val="center"/>
      </w:pPr>
      <w:r w:rsidRPr="001C3537">
        <w:rPr>
          <w:b/>
          <w:bCs/>
          <w:color w:val="00457D"/>
          <w:sz w:val="24"/>
          <w:szCs w:val="24"/>
          <w:u w:color="00457D"/>
        </w:rPr>
        <w:lastRenderedPageBreak/>
        <w:t xml:space="preserve">Tabella 1. Indicatori regionali: settimana </w:t>
      </w:r>
      <w:r w:rsidR="001D0883">
        <w:rPr>
          <w:b/>
          <w:bCs/>
          <w:color w:val="00457D"/>
          <w:sz w:val="24"/>
          <w:szCs w:val="24"/>
          <w:u w:color="00457D"/>
        </w:rPr>
        <w:t>12</w:t>
      </w:r>
      <w:r w:rsidR="004B6DC2">
        <w:rPr>
          <w:b/>
          <w:bCs/>
          <w:color w:val="00457D"/>
          <w:sz w:val="24"/>
          <w:szCs w:val="24"/>
          <w:u w:color="00457D"/>
        </w:rPr>
        <w:t>-</w:t>
      </w:r>
      <w:r w:rsidR="001D0883">
        <w:rPr>
          <w:b/>
          <w:bCs/>
          <w:color w:val="00457D"/>
          <w:sz w:val="24"/>
          <w:szCs w:val="24"/>
          <w:u w:color="00457D"/>
        </w:rPr>
        <w:t>18</w:t>
      </w:r>
      <w:r w:rsidR="00D9300D">
        <w:rPr>
          <w:b/>
          <w:bCs/>
          <w:color w:val="00457D"/>
          <w:sz w:val="24"/>
          <w:szCs w:val="24"/>
          <w:u w:color="00457D"/>
        </w:rPr>
        <w:t xml:space="preserve"> gennaio 2022</w:t>
      </w:r>
    </w:p>
    <w:tbl>
      <w:tblPr>
        <w:tblW w:w="9639" w:type="dxa"/>
        <w:tblInd w:w="70" w:type="dxa"/>
        <w:tblCellMar>
          <w:left w:w="70" w:type="dxa"/>
          <w:right w:w="70" w:type="dxa"/>
        </w:tblCellMar>
        <w:tblLook w:val="04A0" w:firstRow="1" w:lastRow="0" w:firstColumn="1" w:lastColumn="0" w:noHBand="0" w:noVBand="1"/>
      </w:tblPr>
      <w:tblGrid>
        <w:gridCol w:w="2127"/>
        <w:gridCol w:w="1660"/>
        <w:gridCol w:w="1458"/>
        <w:gridCol w:w="2268"/>
        <w:gridCol w:w="2126"/>
      </w:tblGrid>
      <w:tr w:rsidR="001D0883" w:rsidRPr="001D0883" w:rsidTr="001D0883">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1D0883">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1D0883">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D0883">
              <w:rPr>
                <w:rFonts w:eastAsia="Times New Roman" w:cs="Calibri"/>
                <w:b/>
                <w:bCs/>
                <w:color w:val="FFFFFF"/>
                <w:bdr w:val="none" w:sz="0" w:space="0" w:color="auto"/>
              </w:rPr>
              <w:t xml:space="preserve">Variazione </w:t>
            </w:r>
            <w:r w:rsidRPr="001D0883">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D0883">
              <w:rPr>
                <w:rFonts w:eastAsia="Times New Roman" w:cs="Calibri"/>
                <w:b/>
                <w:bCs/>
                <w:color w:val="FFFFFF"/>
                <w:bdr w:val="none" w:sz="0" w:space="0" w:color="auto"/>
              </w:rPr>
              <w:t>Posti letto in area medica occupati da pazienti COVID−19</w:t>
            </w:r>
          </w:p>
        </w:tc>
        <w:tc>
          <w:tcPr>
            <w:tcW w:w="2126" w:type="dxa"/>
            <w:tcBorders>
              <w:top w:val="single" w:sz="4" w:space="0" w:color="00457D"/>
              <w:left w:val="nil"/>
              <w:bottom w:val="single" w:sz="4" w:space="0" w:color="00457D"/>
              <w:right w:val="single" w:sz="4" w:space="0" w:color="00457D"/>
            </w:tcBorders>
            <w:shd w:val="clear" w:color="000000" w:fill="00457D"/>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1D0883">
              <w:rPr>
                <w:rFonts w:eastAsia="Times New Roman" w:cs="Calibri"/>
                <w:b/>
                <w:bCs/>
                <w:color w:val="FFFFFF"/>
                <w:bdr w:val="none" w:sz="0" w:space="0" w:color="auto"/>
              </w:rPr>
              <w:t xml:space="preserve">Posti letto in terapia intensiva occupati da </w:t>
            </w:r>
            <w:r w:rsidRPr="001D0883">
              <w:rPr>
                <w:rFonts w:eastAsia="Times New Roman" w:cs="Calibri"/>
                <w:b/>
                <w:bCs/>
                <w:color w:val="FFFFFF"/>
                <w:bdr w:val="none" w:sz="0" w:space="0" w:color="auto"/>
              </w:rPr>
              <w:br/>
              <w:t>pazienti COVID−19</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5.747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-13,8%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30,2%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19,9%</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2.688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24,5%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2,5%</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2.025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29,2%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42,7%</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17,3%</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4.343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25,7%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28,6%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11,8%</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7.245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-10,1%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27,1%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17,0%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4.270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16,6%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34,1%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24,0%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3.988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28,8%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22,0%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2.124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0,0%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39,8%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19,0%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4.933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35,4%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14,8%</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1.188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121,3%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28,5%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23,0%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2.786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32,5%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13,1%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2,6%</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3.921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30,3%</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23,7%</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4.814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51,2%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20,2%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18,0%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5.021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29,2%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23,3%</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3.373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159,6%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23,0%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12,8%</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1.304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14,7%</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13,2%</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3.777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-16,0%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36,4%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20,2%</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4.870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-12,4%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26,2%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23,0%</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3.063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-25,9%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31,1%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12,8%</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4.524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1D0883">
              <w:rPr>
                <w:rFonts w:eastAsia="Times New Roman" w:cs="Calibri"/>
                <w:color w:val="006100"/>
                <w:bdr w:val="none" w:sz="0" w:space="0" w:color="auto"/>
              </w:rPr>
              <w:t>-11,2%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57,1%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24,2%</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1D0883">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5.245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13,6%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26,2%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1D0883">
              <w:rPr>
                <w:rFonts w:eastAsia="Times New Roman" w:cs="Calibri"/>
                <w:color w:val="9C0006"/>
                <w:bdr w:val="none" w:sz="0" w:space="0" w:color="auto"/>
              </w:rPr>
              <w:t>18,4%</w:t>
            </w:r>
          </w:p>
        </w:tc>
      </w:tr>
      <w:tr w:rsidR="001D0883" w:rsidRPr="001D0883" w:rsidTr="001D0883">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1D0883">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1D0883">
              <w:rPr>
                <w:rFonts w:eastAsia="Times New Roman" w:cs="Calibri"/>
                <w:b/>
                <w:bCs/>
                <w:color w:val="9C0006"/>
                <w:bdr w:val="none" w:sz="0" w:space="0" w:color="auto"/>
              </w:rPr>
              <w:t>4.296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1D0883">
              <w:rPr>
                <w:rFonts w:eastAsia="Times New Roman" w:cs="Calibri"/>
                <w:b/>
                <w:bCs/>
                <w:color w:val="9C0006"/>
                <w:bdr w:val="none" w:sz="0" w:space="0" w:color="auto"/>
              </w:rPr>
              <w:t>3,0%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1D0883">
              <w:rPr>
                <w:rFonts w:eastAsia="Times New Roman" w:cs="Calibri"/>
                <w:b/>
                <w:bCs/>
                <w:color w:val="9C0006"/>
                <w:bdr w:val="none" w:sz="0" w:space="0" w:color="auto"/>
              </w:rPr>
              <w:t>29,8%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1D0883" w:rsidRPr="001D0883" w:rsidRDefault="001D0883"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1D0883">
              <w:rPr>
                <w:rFonts w:eastAsia="Times New Roman" w:cs="Calibri"/>
                <w:b/>
                <w:bCs/>
                <w:color w:val="9C0006"/>
                <w:bdr w:val="none" w:sz="0" w:space="0" w:color="auto"/>
              </w:rPr>
              <w:t>17,8%</w:t>
            </w:r>
          </w:p>
        </w:tc>
      </w:tr>
      <w:tr w:rsidR="001D0883" w:rsidRPr="001D0883" w:rsidTr="001D0883">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B32A3E" w:rsidRDefault="00B32A3E"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Nota: I</w:t>
            </w:r>
            <w:r w:rsidRPr="00B32A3E">
              <w:rPr>
                <w:rFonts w:eastAsia="Times New Roman" w:cs="Calibri"/>
                <w:color w:val="auto"/>
                <w:sz w:val="20"/>
                <w:szCs w:val="20"/>
                <w:bdr w:val="none" w:sz="0" w:space="0" w:color="auto"/>
              </w:rPr>
              <w:t xml:space="preserve"> dati delle Regioni Emilia-Romagna, Liguria e Puglia risentono di importanti ricalcoli avvenuti nelle ultime due settimane</w:t>
            </w:r>
            <w:r>
              <w:rPr>
                <w:rFonts w:eastAsia="Times New Roman" w:cs="Calibri"/>
                <w:color w:val="auto"/>
                <w:sz w:val="20"/>
                <w:szCs w:val="20"/>
                <w:bdr w:val="none" w:sz="0" w:space="0" w:color="auto"/>
              </w:rPr>
              <w:t>.</w:t>
            </w:r>
          </w:p>
          <w:p w:rsidR="001D0883" w:rsidRPr="001D0883" w:rsidRDefault="00B32A3E" w:rsidP="001D088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001D0883" w:rsidRPr="001D0883">
              <w:rPr>
                <w:rFonts w:eastAsia="Times New Roman" w:cs="Calibri"/>
                <w:color w:val="auto"/>
                <w:sz w:val="20"/>
                <w:szCs w:val="20"/>
                <w:bdr w:val="none" w:sz="0" w:space="0" w:color="auto"/>
              </w:rPr>
              <w:t>ella prima colonna rosso, verde e giallo indicano rispettivamente una performance regionale in peggioramento, in miglioramento o stabile, rispetto alla settimana precedente.</w:t>
            </w:r>
            <w:r w:rsidR="001D0883" w:rsidRPr="001D0883">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001D0883" w:rsidRPr="001D0883">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054"/>
      </w:tblGrid>
      <w:tr w:rsidR="005E38B7" w:rsidRPr="005672CD" w:rsidTr="004B6DC2">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05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1D0883">
            <w:pPr>
              <w:spacing w:after="0" w:line="240" w:lineRule="auto"/>
              <w:jc w:val="center"/>
              <w:rPr>
                <w:rFonts w:cs="Calibri"/>
                <w:szCs w:val="20"/>
              </w:rPr>
            </w:pPr>
            <w:r w:rsidRPr="005672CD">
              <w:rPr>
                <w:rFonts w:cs="Calibri"/>
                <w:b/>
                <w:bCs/>
                <w:color w:val="FFFFFF"/>
                <w:szCs w:val="20"/>
                <w:u w:color="FFFFFF"/>
              </w:rPr>
              <w:t xml:space="preserve">Nuovi casi per 100.000 abitanti </w:t>
            </w:r>
            <w:r w:rsidR="004B6DC2">
              <w:rPr>
                <w:rFonts w:cs="Calibri"/>
                <w:b/>
                <w:bCs/>
                <w:color w:val="FFFFFF"/>
                <w:szCs w:val="20"/>
                <w:u w:color="FFFFFF"/>
              </w:rPr>
              <w:br/>
            </w:r>
            <w:r w:rsidR="001D0883">
              <w:rPr>
                <w:rFonts w:cs="Calibri"/>
                <w:b/>
                <w:bCs/>
                <w:color w:val="FFFFFF"/>
                <w:szCs w:val="20"/>
                <w:u w:color="FFFFFF"/>
              </w:rPr>
              <w:t>12-18</w:t>
            </w:r>
            <w:r w:rsidR="00D9300D">
              <w:rPr>
                <w:rFonts w:cs="Calibri"/>
                <w:b/>
                <w:bCs/>
                <w:color w:val="FFFFFF"/>
                <w:szCs w:val="20"/>
                <w:u w:color="FFFFFF"/>
              </w:rPr>
              <w:t xml:space="preserve"> gennaio 2022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Teramo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2.131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Chieti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1.912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Pescara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1.865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L'Aquila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1.557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Matera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1.030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Potenza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1.023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Vibo Valentia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1.606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Reggio di Calabria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1.514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Crotone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1.242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Catanzaro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738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Cosenza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479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Napoli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2.863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Caserta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2.088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Salerno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2.078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Benevento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1.569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Avellino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1.525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Rimini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3.358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Forlì-Cesena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3.296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Ravenna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3.027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Piacenza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2.970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Bologna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2.721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Parma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2.435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Modena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2.378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Ferrara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2.329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Reggio nell'Emilia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2.241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Pordenone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2.417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Udine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2.310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Trieste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2.045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Gorizia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1.867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1.843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Latina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1.498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Roma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1.453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Viterbo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1.289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Frosinone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1.134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Genova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2.531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Savona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2.269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Imperia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2.263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La Spezia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2.163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Sondrio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2.626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Brescia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2.493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Mantova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2.301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Lodi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2.276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Pavia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2.196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Monza e della Brianza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2.167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Como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2.154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Milano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2.106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Cremona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2.017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Varese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1.976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Lecco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1.913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Bergamo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1.892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Ascoli Piceno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1.996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Ancona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1.903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Pesaro e Urbino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1.880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1.792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Macerata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1.632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Isernia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1.447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Campobasso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1.278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Bolzano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3.279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Trento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2.812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Biella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2.560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Torino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2.453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Verbano-Cusio-Ossola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2.376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Cuneo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2.338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Vercelli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2.314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Novara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2.155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Asti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1.949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Alessandria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1.940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Brindisi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2.964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Barletta-Andria-Trani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2.945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2.892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Taranto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2.515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Lecce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2.337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Foggia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2.196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Oristano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827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Nuoro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692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Sud Sardegna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569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Cagliari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493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Sassari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393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Siracusa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1.822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Caltanissetta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1.765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Ragusa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1.624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Catania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1.594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Palermo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1.307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Agrigento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1.266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Trapani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873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Messina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793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721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Firenze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2.554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2.304</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Livorno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2.240</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Pistoia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2.219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Prato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2.091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Lucca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2.032</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Arezzo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2.017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Massa Carrara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1.843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Grosseto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1.749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Siena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1.693</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Terni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1.571</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Perugia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1.516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Aosta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2.475</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Rovigo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2.748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Verona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2.737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Vicenza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2.639</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Treviso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2.277</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Padova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2.256</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Belluno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2.198</w:t>
            </w:r>
          </w:p>
        </w:tc>
      </w:tr>
      <w:tr w:rsidR="001D0883" w:rsidRPr="005672CD" w:rsidTr="00632D66">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rPr>
                <w:rFonts w:cs="Calibri"/>
              </w:rPr>
            </w:pPr>
            <w:r w:rsidRPr="00D342B2">
              <w:t>Venezia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rsidR="001D0883" w:rsidRPr="00D93FAE" w:rsidRDefault="001D0883" w:rsidP="001D0883">
            <w:pPr>
              <w:spacing w:after="0" w:line="240" w:lineRule="auto"/>
              <w:jc w:val="center"/>
              <w:rPr>
                <w:rFonts w:cs="Calibri"/>
              </w:rPr>
            </w:pPr>
            <w:r w:rsidRPr="00D342B2">
              <w:t>2.021</w:t>
            </w:r>
          </w:p>
        </w:tc>
      </w:tr>
    </w:tbl>
    <w:p w:rsidR="005E38B7" w:rsidRDefault="005E38B7" w:rsidP="005E38B7">
      <w:pPr>
        <w:widowControl w:val="0"/>
        <w:spacing w:after="80" w:line="240" w:lineRule="auto"/>
        <w:jc w:val="center"/>
      </w:pPr>
    </w:p>
    <w:p w:rsidR="005E38B7" w:rsidRPr="00234B97" w:rsidRDefault="005E38B7"/>
    <w:sectPr w:rsidR="005E38B7" w:rsidRPr="00234B97">
      <w:pgSz w:w="11900" w:h="16840"/>
      <w:pgMar w:top="1134" w:right="1134" w:bottom="1418" w:left="1134"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A528D" w16cid:durableId="2592F02F"/>
  <w16cid:commentId w16cid:paraId="7E67169D" w16cid:durableId="2592F2D7"/>
  <w16cid:commentId w16cid:paraId="253A91BA" w16cid:durableId="2592F030"/>
  <w16cid:commentId w16cid:paraId="7870AEEB" w16cid:durableId="2592F1D1"/>
  <w16cid:commentId w16cid:paraId="52F562BD" w16cid:durableId="2592F031"/>
  <w16cid:commentId w16cid:paraId="3071D0AB" w16cid:durableId="2592F2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6E5" w:rsidRDefault="00C706E5">
      <w:pPr>
        <w:spacing w:after="0" w:line="240" w:lineRule="auto"/>
      </w:pPr>
      <w:r>
        <w:separator/>
      </w:r>
    </w:p>
  </w:endnote>
  <w:endnote w:type="continuationSeparator" w:id="0">
    <w:p w:rsidR="00C706E5" w:rsidRDefault="00C7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B7C" w:rsidRDefault="00EA3B7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B7C" w:rsidRDefault="00EA3B7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B7C" w:rsidRDefault="00EA3B7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6E5" w:rsidRDefault="00C706E5">
      <w:pPr>
        <w:spacing w:after="0" w:line="240" w:lineRule="auto"/>
      </w:pPr>
      <w:r>
        <w:separator/>
      </w:r>
    </w:p>
  </w:footnote>
  <w:footnote w:type="continuationSeparator" w:id="0">
    <w:p w:rsidR="00C706E5" w:rsidRDefault="00C70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B7C" w:rsidRDefault="00EA3B7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343" w:rsidRPr="00EA3B7C" w:rsidRDefault="00DE0343" w:rsidP="00EA3B7C">
    <w:pPr>
      <w:pStyle w:val="Intestazione"/>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B7C" w:rsidRDefault="00EA3B7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7"/>
  </w:num>
  <w:num w:numId="3">
    <w:abstractNumId w:val="3"/>
  </w:num>
  <w:num w:numId="4">
    <w:abstractNumId w:val="12"/>
  </w:num>
  <w:num w:numId="5">
    <w:abstractNumId w:val="13"/>
  </w:num>
  <w:num w:numId="6">
    <w:abstractNumId w:val="38"/>
  </w:num>
  <w:num w:numId="7">
    <w:abstractNumId w:val="20"/>
  </w:num>
  <w:num w:numId="8">
    <w:abstractNumId w:val="2"/>
  </w:num>
  <w:num w:numId="9">
    <w:abstractNumId w:val="31"/>
  </w:num>
  <w:num w:numId="10">
    <w:abstractNumId w:val="6"/>
  </w:num>
  <w:num w:numId="11">
    <w:abstractNumId w:val="34"/>
  </w:num>
  <w:num w:numId="12">
    <w:abstractNumId w:val="0"/>
  </w:num>
  <w:num w:numId="13">
    <w:abstractNumId w:val="9"/>
  </w:num>
  <w:num w:numId="14">
    <w:abstractNumId w:val="25"/>
  </w:num>
  <w:num w:numId="15">
    <w:abstractNumId w:val="28"/>
  </w:num>
  <w:num w:numId="16">
    <w:abstractNumId w:val="11"/>
  </w:num>
  <w:num w:numId="17">
    <w:abstractNumId w:val="5"/>
  </w:num>
  <w:num w:numId="18">
    <w:abstractNumId w:val="14"/>
  </w:num>
  <w:num w:numId="19">
    <w:abstractNumId w:val="24"/>
  </w:num>
  <w:num w:numId="20">
    <w:abstractNumId w:val="4"/>
  </w:num>
  <w:num w:numId="21">
    <w:abstractNumId w:val="27"/>
  </w:num>
  <w:num w:numId="22">
    <w:abstractNumId w:val="17"/>
  </w:num>
  <w:num w:numId="23">
    <w:abstractNumId w:val="19"/>
  </w:num>
  <w:num w:numId="24">
    <w:abstractNumId w:val="23"/>
  </w:num>
  <w:num w:numId="25">
    <w:abstractNumId w:val="1"/>
  </w:num>
  <w:num w:numId="26">
    <w:abstractNumId w:val="22"/>
  </w:num>
  <w:num w:numId="27">
    <w:abstractNumId w:val="8"/>
  </w:num>
  <w:num w:numId="28">
    <w:abstractNumId w:val="33"/>
  </w:num>
  <w:num w:numId="29">
    <w:abstractNumId w:val="26"/>
  </w:num>
  <w:num w:numId="30">
    <w:abstractNumId w:val="10"/>
  </w:num>
  <w:num w:numId="31">
    <w:abstractNumId w:val="18"/>
  </w:num>
  <w:num w:numId="32">
    <w:abstractNumId w:val="39"/>
  </w:num>
  <w:num w:numId="33">
    <w:abstractNumId w:val="36"/>
  </w:num>
  <w:num w:numId="34">
    <w:abstractNumId w:val="35"/>
  </w:num>
  <w:num w:numId="35">
    <w:abstractNumId w:val="37"/>
  </w:num>
  <w:num w:numId="36">
    <w:abstractNumId w:val="30"/>
  </w:num>
  <w:num w:numId="37">
    <w:abstractNumId w:val="32"/>
  </w:num>
  <w:num w:numId="38">
    <w:abstractNumId w:val="29"/>
  </w:num>
  <w:num w:numId="39">
    <w:abstractNumId w:val="2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2B"/>
    <w:rsid w:val="000022A7"/>
    <w:rsid w:val="00002300"/>
    <w:rsid w:val="00004BE3"/>
    <w:rsid w:val="00004BF7"/>
    <w:rsid w:val="00004CA3"/>
    <w:rsid w:val="00005129"/>
    <w:rsid w:val="00005172"/>
    <w:rsid w:val="000056DE"/>
    <w:rsid w:val="000066F6"/>
    <w:rsid w:val="0000714A"/>
    <w:rsid w:val="000078FA"/>
    <w:rsid w:val="00007BF9"/>
    <w:rsid w:val="00007D52"/>
    <w:rsid w:val="0001119D"/>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2112"/>
    <w:rsid w:val="00033800"/>
    <w:rsid w:val="00033A78"/>
    <w:rsid w:val="00033CE4"/>
    <w:rsid w:val="0003499E"/>
    <w:rsid w:val="00034A98"/>
    <w:rsid w:val="000352B4"/>
    <w:rsid w:val="000356DF"/>
    <w:rsid w:val="000365C2"/>
    <w:rsid w:val="00036D4B"/>
    <w:rsid w:val="00036D6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D4E"/>
    <w:rsid w:val="00062223"/>
    <w:rsid w:val="000625F5"/>
    <w:rsid w:val="00063092"/>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BE8"/>
    <w:rsid w:val="00080F14"/>
    <w:rsid w:val="0008362E"/>
    <w:rsid w:val="00083804"/>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EA7"/>
    <w:rsid w:val="000B0548"/>
    <w:rsid w:val="000B0AC0"/>
    <w:rsid w:val="000B119C"/>
    <w:rsid w:val="000B1B66"/>
    <w:rsid w:val="000B21CF"/>
    <w:rsid w:val="000B242E"/>
    <w:rsid w:val="000B2449"/>
    <w:rsid w:val="000B25F9"/>
    <w:rsid w:val="000B3CDF"/>
    <w:rsid w:val="000B53A4"/>
    <w:rsid w:val="000B5AC9"/>
    <w:rsid w:val="000B6238"/>
    <w:rsid w:val="000C07AC"/>
    <w:rsid w:val="000C0A45"/>
    <w:rsid w:val="000C3C3C"/>
    <w:rsid w:val="000C63F8"/>
    <w:rsid w:val="000C6B69"/>
    <w:rsid w:val="000C7105"/>
    <w:rsid w:val="000C789B"/>
    <w:rsid w:val="000D0625"/>
    <w:rsid w:val="000D0980"/>
    <w:rsid w:val="000D1250"/>
    <w:rsid w:val="000D1F5C"/>
    <w:rsid w:val="000D24D7"/>
    <w:rsid w:val="000D2A90"/>
    <w:rsid w:val="000D2CAA"/>
    <w:rsid w:val="000D3B36"/>
    <w:rsid w:val="000D40CB"/>
    <w:rsid w:val="000D4370"/>
    <w:rsid w:val="000D5878"/>
    <w:rsid w:val="000D5B61"/>
    <w:rsid w:val="000D5C61"/>
    <w:rsid w:val="000D75CD"/>
    <w:rsid w:val="000D7A69"/>
    <w:rsid w:val="000D7E45"/>
    <w:rsid w:val="000D7EE3"/>
    <w:rsid w:val="000E0BCB"/>
    <w:rsid w:val="000E1A5A"/>
    <w:rsid w:val="000E1ABF"/>
    <w:rsid w:val="000E2D17"/>
    <w:rsid w:val="000E3472"/>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1014E8"/>
    <w:rsid w:val="00101803"/>
    <w:rsid w:val="00101EE1"/>
    <w:rsid w:val="001022BC"/>
    <w:rsid w:val="00102EF5"/>
    <w:rsid w:val="00103B2C"/>
    <w:rsid w:val="0010442F"/>
    <w:rsid w:val="00104974"/>
    <w:rsid w:val="00104DDA"/>
    <w:rsid w:val="0010568D"/>
    <w:rsid w:val="00106801"/>
    <w:rsid w:val="00106888"/>
    <w:rsid w:val="001104E4"/>
    <w:rsid w:val="00111F9A"/>
    <w:rsid w:val="00112E06"/>
    <w:rsid w:val="001130FB"/>
    <w:rsid w:val="00113933"/>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77F"/>
    <w:rsid w:val="00130B71"/>
    <w:rsid w:val="001324D5"/>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5D4E"/>
    <w:rsid w:val="00146286"/>
    <w:rsid w:val="00147243"/>
    <w:rsid w:val="001473B8"/>
    <w:rsid w:val="00147D1B"/>
    <w:rsid w:val="00150022"/>
    <w:rsid w:val="00150920"/>
    <w:rsid w:val="00150E81"/>
    <w:rsid w:val="001513A9"/>
    <w:rsid w:val="001518FD"/>
    <w:rsid w:val="001527E3"/>
    <w:rsid w:val="001532BC"/>
    <w:rsid w:val="001533C7"/>
    <w:rsid w:val="001533DC"/>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156C"/>
    <w:rsid w:val="001A1A34"/>
    <w:rsid w:val="001A1D07"/>
    <w:rsid w:val="001A25C7"/>
    <w:rsid w:val="001A2A7F"/>
    <w:rsid w:val="001A2CC0"/>
    <w:rsid w:val="001A2F4F"/>
    <w:rsid w:val="001A37AC"/>
    <w:rsid w:val="001A3E0F"/>
    <w:rsid w:val="001A3E43"/>
    <w:rsid w:val="001A4ADB"/>
    <w:rsid w:val="001A503E"/>
    <w:rsid w:val="001A50D6"/>
    <w:rsid w:val="001A5713"/>
    <w:rsid w:val="001A633C"/>
    <w:rsid w:val="001A65C5"/>
    <w:rsid w:val="001A7237"/>
    <w:rsid w:val="001A7CDE"/>
    <w:rsid w:val="001B0691"/>
    <w:rsid w:val="001B0764"/>
    <w:rsid w:val="001B2CE3"/>
    <w:rsid w:val="001B3047"/>
    <w:rsid w:val="001B3764"/>
    <w:rsid w:val="001B3DE6"/>
    <w:rsid w:val="001B4571"/>
    <w:rsid w:val="001B4693"/>
    <w:rsid w:val="001B5BA0"/>
    <w:rsid w:val="001B71EA"/>
    <w:rsid w:val="001B723C"/>
    <w:rsid w:val="001B75D8"/>
    <w:rsid w:val="001C0EBF"/>
    <w:rsid w:val="001C167C"/>
    <w:rsid w:val="001C3537"/>
    <w:rsid w:val="001C3E66"/>
    <w:rsid w:val="001C5BEA"/>
    <w:rsid w:val="001C6ED6"/>
    <w:rsid w:val="001C7E16"/>
    <w:rsid w:val="001D0234"/>
    <w:rsid w:val="001D0883"/>
    <w:rsid w:val="001D0943"/>
    <w:rsid w:val="001D0E98"/>
    <w:rsid w:val="001D12A5"/>
    <w:rsid w:val="001D1905"/>
    <w:rsid w:val="001D1D16"/>
    <w:rsid w:val="001D213D"/>
    <w:rsid w:val="001D224C"/>
    <w:rsid w:val="001D22BD"/>
    <w:rsid w:val="001D26AD"/>
    <w:rsid w:val="001D28BD"/>
    <w:rsid w:val="001D4639"/>
    <w:rsid w:val="001D48DB"/>
    <w:rsid w:val="001D4DDE"/>
    <w:rsid w:val="001D5639"/>
    <w:rsid w:val="001D5B10"/>
    <w:rsid w:val="001D7E62"/>
    <w:rsid w:val="001E1FB2"/>
    <w:rsid w:val="001E2196"/>
    <w:rsid w:val="001E4724"/>
    <w:rsid w:val="001E481E"/>
    <w:rsid w:val="001E49E6"/>
    <w:rsid w:val="001E5259"/>
    <w:rsid w:val="001E5653"/>
    <w:rsid w:val="001E6262"/>
    <w:rsid w:val="001E7AB9"/>
    <w:rsid w:val="001E7D8F"/>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200400"/>
    <w:rsid w:val="002006FB"/>
    <w:rsid w:val="002008E2"/>
    <w:rsid w:val="00201768"/>
    <w:rsid w:val="00201D62"/>
    <w:rsid w:val="00202793"/>
    <w:rsid w:val="00204993"/>
    <w:rsid w:val="00204D79"/>
    <w:rsid w:val="00205B01"/>
    <w:rsid w:val="0020699D"/>
    <w:rsid w:val="00207EFE"/>
    <w:rsid w:val="00210040"/>
    <w:rsid w:val="00211CA6"/>
    <w:rsid w:val="002122FF"/>
    <w:rsid w:val="002127CE"/>
    <w:rsid w:val="002127D1"/>
    <w:rsid w:val="00212F66"/>
    <w:rsid w:val="00213464"/>
    <w:rsid w:val="00213DE0"/>
    <w:rsid w:val="00214B7C"/>
    <w:rsid w:val="0021525D"/>
    <w:rsid w:val="002158E7"/>
    <w:rsid w:val="00216973"/>
    <w:rsid w:val="00216F85"/>
    <w:rsid w:val="002171F6"/>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40195"/>
    <w:rsid w:val="00240E86"/>
    <w:rsid w:val="0024188A"/>
    <w:rsid w:val="002427A3"/>
    <w:rsid w:val="00243949"/>
    <w:rsid w:val="0024483B"/>
    <w:rsid w:val="00244983"/>
    <w:rsid w:val="00245030"/>
    <w:rsid w:val="00245DC3"/>
    <w:rsid w:val="00246954"/>
    <w:rsid w:val="0024739E"/>
    <w:rsid w:val="00247670"/>
    <w:rsid w:val="00247BA3"/>
    <w:rsid w:val="00250437"/>
    <w:rsid w:val="002515D1"/>
    <w:rsid w:val="002519DD"/>
    <w:rsid w:val="00251A96"/>
    <w:rsid w:val="0025323D"/>
    <w:rsid w:val="00253DD5"/>
    <w:rsid w:val="002540D8"/>
    <w:rsid w:val="00254744"/>
    <w:rsid w:val="002549B0"/>
    <w:rsid w:val="00254DBE"/>
    <w:rsid w:val="002569A9"/>
    <w:rsid w:val="002572A2"/>
    <w:rsid w:val="002573BE"/>
    <w:rsid w:val="0026223C"/>
    <w:rsid w:val="00262272"/>
    <w:rsid w:val="002634F1"/>
    <w:rsid w:val="00263A36"/>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4E3A"/>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573"/>
    <w:rsid w:val="00297667"/>
    <w:rsid w:val="002A0FB9"/>
    <w:rsid w:val="002A1AA7"/>
    <w:rsid w:val="002A1EB7"/>
    <w:rsid w:val="002A225E"/>
    <w:rsid w:val="002A22E3"/>
    <w:rsid w:val="002A2883"/>
    <w:rsid w:val="002A35BD"/>
    <w:rsid w:val="002A407A"/>
    <w:rsid w:val="002A4098"/>
    <w:rsid w:val="002A4857"/>
    <w:rsid w:val="002A50E7"/>
    <w:rsid w:val="002A53C2"/>
    <w:rsid w:val="002B0423"/>
    <w:rsid w:val="002B0ADF"/>
    <w:rsid w:val="002B20E2"/>
    <w:rsid w:val="002B2371"/>
    <w:rsid w:val="002B3E49"/>
    <w:rsid w:val="002B53AA"/>
    <w:rsid w:val="002B6B31"/>
    <w:rsid w:val="002B7A43"/>
    <w:rsid w:val="002C0EEE"/>
    <w:rsid w:val="002C162D"/>
    <w:rsid w:val="002C16AA"/>
    <w:rsid w:val="002C1743"/>
    <w:rsid w:val="002C19C1"/>
    <w:rsid w:val="002C1E12"/>
    <w:rsid w:val="002C23F8"/>
    <w:rsid w:val="002C2AF9"/>
    <w:rsid w:val="002C43D7"/>
    <w:rsid w:val="002C4CF0"/>
    <w:rsid w:val="002C5910"/>
    <w:rsid w:val="002C5E04"/>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1A2D"/>
    <w:rsid w:val="002F33CD"/>
    <w:rsid w:val="002F4065"/>
    <w:rsid w:val="002F5606"/>
    <w:rsid w:val="002F58DD"/>
    <w:rsid w:val="002F60B6"/>
    <w:rsid w:val="002F6277"/>
    <w:rsid w:val="002F6D59"/>
    <w:rsid w:val="002F6DDF"/>
    <w:rsid w:val="002F76B6"/>
    <w:rsid w:val="002F7E69"/>
    <w:rsid w:val="002F7EF9"/>
    <w:rsid w:val="00300770"/>
    <w:rsid w:val="00301555"/>
    <w:rsid w:val="00301F67"/>
    <w:rsid w:val="00302173"/>
    <w:rsid w:val="00302774"/>
    <w:rsid w:val="00303AA0"/>
    <w:rsid w:val="00304225"/>
    <w:rsid w:val="00304954"/>
    <w:rsid w:val="00305C43"/>
    <w:rsid w:val="00305D40"/>
    <w:rsid w:val="00306478"/>
    <w:rsid w:val="00306641"/>
    <w:rsid w:val="003068D2"/>
    <w:rsid w:val="003106B8"/>
    <w:rsid w:val="00310997"/>
    <w:rsid w:val="00312170"/>
    <w:rsid w:val="0031239E"/>
    <w:rsid w:val="00312A53"/>
    <w:rsid w:val="00312D49"/>
    <w:rsid w:val="00312EB1"/>
    <w:rsid w:val="003159C9"/>
    <w:rsid w:val="00315A37"/>
    <w:rsid w:val="00315CB0"/>
    <w:rsid w:val="00317E3D"/>
    <w:rsid w:val="00320D92"/>
    <w:rsid w:val="00321CCA"/>
    <w:rsid w:val="00321D29"/>
    <w:rsid w:val="00322631"/>
    <w:rsid w:val="00322C39"/>
    <w:rsid w:val="003245C8"/>
    <w:rsid w:val="00325D76"/>
    <w:rsid w:val="00326426"/>
    <w:rsid w:val="0032674E"/>
    <w:rsid w:val="003267E9"/>
    <w:rsid w:val="00326AB4"/>
    <w:rsid w:val="003274E5"/>
    <w:rsid w:val="00330F1C"/>
    <w:rsid w:val="00330F23"/>
    <w:rsid w:val="00331A02"/>
    <w:rsid w:val="00332BC9"/>
    <w:rsid w:val="00332E22"/>
    <w:rsid w:val="00332FBA"/>
    <w:rsid w:val="00333BB6"/>
    <w:rsid w:val="00333D4F"/>
    <w:rsid w:val="003350E5"/>
    <w:rsid w:val="0033511B"/>
    <w:rsid w:val="00337022"/>
    <w:rsid w:val="00337427"/>
    <w:rsid w:val="003375DC"/>
    <w:rsid w:val="00337B53"/>
    <w:rsid w:val="00340152"/>
    <w:rsid w:val="00340216"/>
    <w:rsid w:val="003408FB"/>
    <w:rsid w:val="0034119B"/>
    <w:rsid w:val="00341691"/>
    <w:rsid w:val="00342065"/>
    <w:rsid w:val="003422C4"/>
    <w:rsid w:val="00342A3A"/>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8BF"/>
    <w:rsid w:val="003631E5"/>
    <w:rsid w:val="00364ED4"/>
    <w:rsid w:val="0036518B"/>
    <w:rsid w:val="0036535A"/>
    <w:rsid w:val="0036634C"/>
    <w:rsid w:val="00366CCB"/>
    <w:rsid w:val="00367020"/>
    <w:rsid w:val="00367AEB"/>
    <w:rsid w:val="0037023A"/>
    <w:rsid w:val="0037026E"/>
    <w:rsid w:val="00370F56"/>
    <w:rsid w:val="003726E1"/>
    <w:rsid w:val="003727A7"/>
    <w:rsid w:val="0037304B"/>
    <w:rsid w:val="00373CA2"/>
    <w:rsid w:val="0037430E"/>
    <w:rsid w:val="003744DF"/>
    <w:rsid w:val="003747F1"/>
    <w:rsid w:val="00376A63"/>
    <w:rsid w:val="00376B91"/>
    <w:rsid w:val="00382074"/>
    <w:rsid w:val="0038374F"/>
    <w:rsid w:val="00383FBD"/>
    <w:rsid w:val="00384423"/>
    <w:rsid w:val="00385025"/>
    <w:rsid w:val="00385C48"/>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BF"/>
    <w:rsid w:val="003A742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C5D"/>
    <w:rsid w:val="003C1341"/>
    <w:rsid w:val="003C17AF"/>
    <w:rsid w:val="003C186F"/>
    <w:rsid w:val="003C1BE8"/>
    <w:rsid w:val="003C1DF7"/>
    <w:rsid w:val="003C2801"/>
    <w:rsid w:val="003C47EA"/>
    <w:rsid w:val="003C4E72"/>
    <w:rsid w:val="003C5AEF"/>
    <w:rsid w:val="003C620D"/>
    <w:rsid w:val="003C6C3F"/>
    <w:rsid w:val="003C724A"/>
    <w:rsid w:val="003D049D"/>
    <w:rsid w:val="003D05A8"/>
    <w:rsid w:val="003D1170"/>
    <w:rsid w:val="003D28CD"/>
    <w:rsid w:val="003D2A0B"/>
    <w:rsid w:val="003D353F"/>
    <w:rsid w:val="003D3EE4"/>
    <w:rsid w:val="003D4011"/>
    <w:rsid w:val="003D4106"/>
    <w:rsid w:val="003D4657"/>
    <w:rsid w:val="003D4BA4"/>
    <w:rsid w:val="003D4BF6"/>
    <w:rsid w:val="003D4D75"/>
    <w:rsid w:val="003D514B"/>
    <w:rsid w:val="003D5397"/>
    <w:rsid w:val="003D5649"/>
    <w:rsid w:val="003D75C5"/>
    <w:rsid w:val="003D7D3B"/>
    <w:rsid w:val="003E083A"/>
    <w:rsid w:val="003E1DB5"/>
    <w:rsid w:val="003E293F"/>
    <w:rsid w:val="003E33FF"/>
    <w:rsid w:val="003E35A0"/>
    <w:rsid w:val="003E3679"/>
    <w:rsid w:val="003E3C44"/>
    <w:rsid w:val="003E3EB4"/>
    <w:rsid w:val="003E3FDD"/>
    <w:rsid w:val="003E49D4"/>
    <w:rsid w:val="003E4B31"/>
    <w:rsid w:val="003E512B"/>
    <w:rsid w:val="003E5430"/>
    <w:rsid w:val="003E5D4D"/>
    <w:rsid w:val="003E5E24"/>
    <w:rsid w:val="003E6288"/>
    <w:rsid w:val="003E6CDA"/>
    <w:rsid w:val="003E6CFB"/>
    <w:rsid w:val="003E6F3B"/>
    <w:rsid w:val="003E77B8"/>
    <w:rsid w:val="003F07EE"/>
    <w:rsid w:val="003F0B7E"/>
    <w:rsid w:val="003F0EDE"/>
    <w:rsid w:val="003F1259"/>
    <w:rsid w:val="003F1D57"/>
    <w:rsid w:val="003F2282"/>
    <w:rsid w:val="003F23CF"/>
    <w:rsid w:val="003F26A1"/>
    <w:rsid w:val="003F2987"/>
    <w:rsid w:val="003F5167"/>
    <w:rsid w:val="003F5612"/>
    <w:rsid w:val="003F6A5F"/>
    <w:rsid w:val="003F6A89"/>
    <w:rsid w:val="003F6C05"/>
    <w:rsid w:val="003F7223"/>
    <w:rsid w:val="00400FA8"/>
    <w:rsid w:val="00401C4B"/>
    <w:rsid w:val="00402E63"/>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795"/>
    <w:rsid w:val="004167BB"/>
    <w:rsid w:val="00417326"/>
    <w:rsid w:val="00417D75"/>
    <w:rsid w:val="00420736"/>
    <w:rsid w:val="00421389"/>
    <w:rsid w:val="0042267C"/>
    <w:rsid w:val="0042340E"/>
    <w:rsid w:val="004235BB"/>
    <w:rsid w:val="004243B2"/>
    <w:rsid w:val="00426290"/>
    <w:rsid w:val="00431177"/>
    <w:rsid w:val="0043299D"/>
    <w:rsid w:val="00432C1D"/>
    <w:rsid w:val="00434350"/>
    <w:rsid w:val="00435333"/>
    <w:rsid w:val="004358B8"/>
    <w:rsid w:val="00435DD8"/>
    <w:rsid w:val="0043665F"/>
    <w:rsid w:val="00436FD3"/>
    <w:rsid w:val="00437754"/>
    <w:rsid w:val="0043788D"/>
    <w:rsid w:val="00440059"/>
    <w:rsid w:val="0044051F"/>
    <w:rsid w:val="004405AB"/>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70F1"/>
    <w:rsid w:val="00477725"/>
    <w:rsid w:val="0047778D"/>
    <w:rsid w:val="004777C6"/>
    <w:rsid w:val="00477B91"/>
    <w:rsid w:val="00477E2C"/>
    <w:rsid w:val="00477F83"/>
    <w:rsid w:val="0048071C"/>
    <w:rsid w:val="00480E53"/>
    <w:rsid w:val="004821B7"/>
    <w:rsid w:val="004824DB"/>
    <w:rsid w:val="00482785"/>
    <w:rsid w:val="0048371B"/>
    <w:rsid w:val="00483C7A"/>
    <w:rsid w:val="00484A42"/>
    <w:rsid w:val="00485372"/>
    <w:rsid w:val="00485811"/>
    <w:rsid w:val="004858C1"/>
    <w:rsid w:val="004865A6"/>
    <w:rsid w:val="004867DF"/>
    <w:rsid w:val="0048730A"/>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F1A"/>
    <w:rsid w:val="004A19D1"/>
    <w:rsid w:val="004A3027"/>
    <w:rsid w:val="004A309A"/>
    <w:rsid w:val="004A3673"/>
    <w:rsid w:val="004A3B4B"/>
    <w:rsid w:val="004A447F"/>
    <w:rsid w:val="004A51BE"/>
    <w:rsid w:val="004A671F"/>
    <w:rsid w:val="004A7B51"/>
    <w:rsid w:val="004A7D7C"/>
    <w:rsid w:val="004B102C"/>
    <w:rsid w:val="004B1E0F"/>
    <w:rsid w:val="004B248A"/>
    <w:rsid w:val="004B3E0A"/>
    <w:rsid w:val="004B3EBB"/>
    <w:rsid w:val="004B512D"/>
    <w:rsid w:val="004B5CB6"/>
    <w:rsid w:val="004B6438"/>
    <w:rsid w:val="004B6A39"/>
    <w:rsid w:val="004B6B3C"/>
    <w:rsid w:val="004B6DC2"/>
    <w:rsid w:val="004C0E6D"/>
    <w:rsid w:val="004C18D7"/>
    <w:rsid w:val="004C3357"/>
    <w:rsid w:val="004C465D"/>
    <w:rsid w:val="004C62E3"/>
    <w:rsid w:val="004C70BD"/>
    <w:rsid w:val="004C75FC"/>
    <w:rsid w:val="004D0234"/>
    <w:rsid w:val="004D0247"/>
    <w:rsid w:val="004D0801"/>
    <w:rsid w:val="004D0D54"/>
    <w:rsid w:val="004D0E27"/>
    <w:rsid w:val="004D0E65"/>
    <w:rsid w:val="004D0E8A"/>
    <w:rsid w:val="004D1C78"/>
    <w:rsid w:val="004D26F0"/>
    <w:rsid w:val="004D2A97"/>
    <w:rsid w:val="004D2E6B"/>
    <w:rsid w:val="004D3C41"/>
    <w:rsid w:val="004D3CD7"/>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030"/>
    <w:rsid w:val="004F2DBC"/>
    <w:rsid w:val="004F2DDA"/>
    <w:rsid w:val="004F2E6B"/>
    <w:rsid w:val="004F4849"/>
    <w:rsid w:val="004F6556"/>
    <w:rsid w:val="004F70C6"/>
    <w:rsid w:val="004F798A"/>
    <w:rsid w:val="0050002C"/>
    <w:rsid w:val="00500148"/>
    <w:rsid w:val="00500C6B"/>
    <w:rsid w:val="00502EE7"/>
    <w:rsid w:val="00503C5E"/>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278CA"/>
    <w:rsid w:val="0053071C"/>
    <w:rsid w:val="00530B88"/>
    <w:rsid w:val="00530CC1"/>
    <w:rsid w:val="00531712"/>
    <w:rsid w:val="00531EFE"/>
    <w:rsid w:val="005329DE"/>
    <w:rsid w:val="00532DB6"/>
    <w:rsid w:val="00533987"/>
    <w:rsid w:val="00533B1C"/>
    <w:rsid w:val="00533BE8"/>
    <w:rsid w:val="005354A9"/>
    <w:rsid w:val="0053578B"/>
    <w:rsid w:val="00535B9E"/>
    <w:rsid w:val="0053669F"/>
    <w:rsid w:val="00536726"/>
    <w:rsid w:val="00536DC0"/>
    <w:rsid w:val="005378B1"/>
    <w:rsid w:val="00540EB3"/>
    <w:rsid w:val="005416FD"/>
    <w:rsid w:val="00542585"/>
    <w:rsid w:val="0054316E"/>
    <w:rsid w:val="00544321"/>
    <w:rsid w:val="00544794"/>
    <w:rsid w:val="00544A7D"/>
    <w:rsid w:val="00545404"/>
    <w:rsid w:val="005455CA"/>
    <w:rsid w:val="00547203"/>
    <w:rsid w:val="00547B69"/>
    <w:rsid w:val="00547F28"/>
    <w:rsid w:val="00551C90"/>
    <w:rsid w:val="005521C0"/>
    <w:rsid w:val="00552753"/>
    <w:rsid w:val="00553823"/>
    <w:rsid w:val="00553FF4"/>
    <w:rsid w:val="005549FE"/>
    <w:rsid w:val="00554C0B"/>
    <w:rsid w:val="00554F5B"/>
    <w:rsid w:val="00555BDA"/>
    <w:rsid w:val="00555D82"/>
    <w:rsid w:val="005568AB"/>
    <w:rsid w:val="00557000"/>
    <w:rsid w:val="00557FA5"/>
    <w:rsid w:val="00560DC0"/>
    <w:rsid w:val="00561D9B"/>
    <w:rsid w:val="00562977"/>
    <w:rsid w:val="0056300B"/>
    <w:rsid w:val="00563184"/>
    <w:rsid w:val="00565708"/>
    <w:rsid w:val="00566BD9"/>
    <w:rsid w:val="005672CD"/>
    <w:rsid w:val="00567F60"/>
    <w:rsid w:val="00570647"/>
    <w:rsid w:val="00570A0E"/>
    <w:rsid w:val="005713EB"/>
    <w:rsid w:val="00571451"/>
    <w:rsid w:val="00572677"/>
    <w:rsid w:val="0057319F"/>
    <w:rsid w:val="00573388"/>
    <w:rsid w:val="0057352F"/>
    <w:rsid w:val="005736A8"/>
    <w:rsid w:val="00573A36"/>
    <w:rsid w:val="00573CC2"/>
    <w:rsid w:val="00576364"/>
    <w:rsid w:val="00576516"/>
    <w:rsid w:val="005776BB"/>
    <w:rsid w:val="00580465"/>
    <w:rsid w:val="00580D28"/>
    <w:rsid w:val="00581005"/>
    <w:rsid w:val="00582285"/>
    <w:rsid w:val="00582BAE"/>
    <w:rsid w:val="00583951"/>
    <w:rsid w:val="00584564"/>
    <w:rsid w:val="00584F59"/>
    <w:rsid w:val="0058585F"/>
    <w:rsid w:val="00587698"/>
    <w:rsid w:val="0058785D"/>
    <w:rsid w:val="005913E3"/>
    <w:rsid w:val="0059338C"/>
    <w:rsid w:val="005943D6"/>
    <w:rsid w:val="00594D45"/>
    <w:rsid w:val="0059524A"/>
    <w:rsid w:val="00595E1C"/>
    <w:rsid w:val="00595E53"/>
    <w:rsid w:val="00596736"/>
    <w:rsid w:val="00596E5A"/>
    <w:rsid w:val="005979B2"/>
    <w:rsid w:val="005A05A2"/>
    <w:rsid w:val="005A0E50"/>
    <w:rsid w:val="005A102B"/>
    <w:rsid w:val="005A115D"/>
    <w:rsid w:val="005A1383"/>
    <w:rsid w:val="005A138A"/>
    <w:rsid w:val="005A14F7"/>
    <w:rsid w:val="005A162B"/>
    <w:rsid w:val="005A2F3C"/>
    <w:rsid w:val="005A2F89"/>
    <w:rsid w:val="005A3332"/>
    <w:rsid w:val="005A3333"/>
    <w:rsid w:val="005A4857"/>
    <w:rsid w:val="005A52DD"/>
    <w:rsid w:val="005A6770"/>
    <w:rsid w:val="005A735E"/>
    <w:rsid w:val="005A755B"/>
    <w:rsid w:val="005A7880"/>
    <w:rsid w:val="005B103D"/>
    <w:rsid w:val="005B129C"/>
    <w:rsid w:val="005B1AF1"/>
    <w:rsid w:val="005B3275"/>
    <w:rsid w:val="005B3D56"/>
    <w:rsid w:val="005B4786"/>
    <w:rsid w:val="005B48EF"/>
    <w:rsid w:val="005B4F47"/>
    <w:rsid w:val="005B5096"/>
    <w:rsid w:val="005B58F8"/>
    <w:rsid w:val="005B5BD7"/>
    <w:rsid w:val="005B6229"/>
    <w:rsid w:val="005C09B4"/>
    <w:rsid w:val="005C1BAF"/>
    <w:rsid w:val="005C1E30"/>
    <w:rsid w:val="005C1E56"/>
    <w:rsid w:val="005C2379"/>
    <w:rsid w:val="005C2C9D"/>
    <w:rsid w:val="005C335F"/>
    <w:rsid w:val="005C40D9"/>
    <w:rsid w:val="005C4488"/>
    <w:rsid w:val="005C459F"/>
    <w:rsid w:val="005C52AD"/>
    <w:rsid w:val="005C61A2"/>
    <w:rsid w:val="005C6FBE"/>
    <w:rsid w:val="005C7C17"/>
    <w:rsid w:val="005D08F1"/>
    <w:rsid w:val="005D1496"/>
    <w:rsid w:val="005D1676"/>
    <w:rsid w:val="005D18C9"/>
    <w:rsid w:val="005D1A29"/>
    <w:rsid w:val="005D1E21"/>
    <w:rsid w:val="005D214D"/>
    <w:rsid w:val="005D3686"/>
    <w:rsid w:val="005D5B02"/>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5FFA"/>
    <w:rsid w:val="005E7ECA"/>
    <w:rsid w:val="005F14E1"/>
    <w:rsid w:val="005F1BEA"/>
    <w:rsid w:val="005F1C90"/>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2E7A"/>
    <w:rsid w:val="00603956"/>
    <w:rsid w:val="006042E7"/>
    <w:rsid w:val="006049EE"/>
    <w:rsid w:val="00605F09"/>
    <w:rsid w:val="0060713D"/>
    <w:rsid w:val="00607BE6"/>
    <w:rsid w:val="00610E6C"/>
    <w:rsid w:val="00612146"/>
    <w:rsid w:val="0061216F"/>
    <w:rsid w:val="006121D4"/>
    <w:rsid w:val="00613848"/>
    <w:rsid w:val="00614210"/>
    <w:rsid w:val="006147A5"/>
    <w:rsid w:val="00614835"/>
    <w:rsid w:val="0061581B"/>
    <w:rsid w:val="00615BC9"/>
    <w:rsid w:val="00615C81"/>
    <w:rsid w:val="00615DC1"/>
    <w:rsid w:val="0061675A"/>
    <w:rsid w:val="00617672"/>
    <w:rsid w:val="006176B8"/>
    <w:rsid w:val="00617ADC"/>
    <w:rsid w:val="00617D14"/>
    <w:rsid w:val="0062012B"/>
    <w:rsid w:val="006204CC"/>
    <w:rsid w:val="006222EF"/>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2D66"/>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1BE8"/>
    <w:rsid w:val="0064366A"/>
    <w:rsid w:val="00643731"/>
    <w:rsid w:val="00643C9B"/>
    <w:rsid w:val="0064474F"/>
    <w:rsid w:val="006473B3"/>
    <w:rsid w:val="006479B3"/>
    <w:rsid w:val="00647D99"/>
    <w:rsid w:val="00647FC0"/>
    <w:rsid w:val="006501A2"/>
    <w:rsid w:val="00650970"/>
    <w:rsid w:val="00651334"/>
    <w:rsid w:val="00651524"/>
    <w:rsid w:val="00652231"/>
    <w:rsid w:val="006525C2"/>
    <w:rsid w:val="006533D4"/>
    <w:rsid w:val="00653636"/>
    <w:rsid w:val="0065366C"/>
    <w:rsid w:val="00653A32"/>
    <w:rsid w:val="00655803"/>
    <w:rsid w:val="00655A1E"/>
    <w:rsid w:val="00656118"/>
    <w:rsid w:val="00656F03"/>
    <w:rsid w:val="006603AC"/>
    <w:rsid w:val="006608D4"/>
    <w:rsid w:val="00660954"/>
    <w:rsid w:val="006625AC"/>
    <w:rsid w:val="0066298A"/>
    <w:rsid w:val="00662C85"/>
    <w:rsid w:val="00663407"/>
    <w:rsid w:val="00663DCF"/>
    <w:rsid w:val="006642BB"/>
    <w:rsid w:val="006642F5"/>
    <w:rsid w:val="00664F82"/>
    <w:rsid w:val="006662C5"/>
    <w:rsid w:val="00666867"/>
    <w:rsid w:val="00666A47"/>
    <w:rsid w:val="00672BE3"/>
    <w:rsid w:val="00672C34"/>
    <w:rsid w:val="00672F5A"/>
    <w:rsid w:val="0067368F"/>
    <w:rsid w:val="00673E96"/>
    <w:rsid w:val="006743B7"/>
    <w:rsid w:val="00676314"/>
    <w:rsid w:val="00677ADA"/>
    <w:rsid w:val="00677B01"/>
    <w:rsid w:val="0068026F"/>
    <w:rsid w:val="0068195B"/>
    <w:rsid w:val="00684004"/>
    <w:rsid w:val="0068405E"/>
    <w:rsid w:val="006850DD"/>
    <w:rsid w:val="00686C1B"/>
    <w:rsid w:val="006908CD"/>
    <w:rsid w:val="00690B90"/>
    <w:rsid w:val="00691E7E"/>
    <w:rsid w:val="006927A5"/>
    <w:rsid w:val="00692A2C"/>
    <w:rsid w:val="00694315"/>
    <w:rsid w:val="00694ABC"/>
    <w:rsid w:val="00694C16"/>
    <w:rsid w:val="00694C54"/>
    <w:rsid w:val="00695005"/>
    <w:rsid w:val="0069612A"/>
    <w:rsid w:val="00696746"/>
    <w:rsid w:val="006A03AB"/>
    <w:rsid w:val="006A145D"/>
    <w:rsid w:val="006A204B"/>
    <w:rsid w:val="006A22DD"/>
    <w:rsid w:val="006A305E"/>
    <w:rsid w:val="006A37A7"/>
    <w:rsid w:val="006A3F3C"/>
    <w:rsid w:val="006A5D49"/>
    <w:rsid w:val="006A7099"/>
    <w:rsid w:val="006B0D74"/>
    <w:rsid w:val="006B1CCB"/>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3703"/>
    <w:rsid w:val="006C7761"/>
    <w:rsid w:val="006C78E5"/>
    <w:rsid w:val="006C79D4"/>
    <w:rsid w:val="006D0DB7"/>
    <w:rsid w:val="006D1931"/>
    <w:rsid w:val="006D20F2"/>
    <w:rsid w:val="006D26E1"/>
    <w:rsid w:val="006D2E9D"/>
    <w:rsid w:val="006D32F4"/>
    <w:rsid w:val="006D3C23"/>
    <w:rsid w:val="006D4FE3"/>
    <w:rsid w:val="006D60A3"/>
    <w:rsid w:val="006D67CC"/>
    <w:rsid w:val="006D6A4B"/>
    <w:rsid w:val="006D749A"/>
    <w:rsid w:val="006D7CA8"/>
    <w:rsid w:val="006E1DA9"/>
    <w:rsid w:val="006E201D"/>
    <w:rsid w:val="006E2AC2"/>
    <w:rsid w:val="006E2BC3"/>
    <w:rsid w:val="006E2DDC"/>
    <w:rsid w:val="006E2E12"/>
    <w:rsid w:val="006E4065"/>
    <w:rsid w:val="006E4555"/>
    <w:rsid w:val="006E4E9A"/>
    <w:rsid w:val="006E5F58"/>
    <w:rsid w:val="006E6EF5"/>
    <w:rsid w:val="006E6F88"/>
    <w:rsid w:val="006E759D"/>
    <w:rsid w:val="006F0419"/>
    <w:rsid w:val="006F05AA"/>
    <w:rsid w:val="006F1B45"/>
    <w:rsid w:val="006F2768"/>
    <w:rsid w:val="006F3DD6"/>
    <w:rsid w:val="006F4447"/>
    <w:rsid w:val="006F46F1"/>
    <w:rsid w:val="006F5548"/>
    <w:rsid w:val="006F5A3D"/>
    <w:rsid w:val="006F6446"/>
    <w:rsid w:val="006F6B3E"/>
    <w:rsid w:val="006F7494"/>
    <w:rsid w:val="00701FEB"/>
    <w:rsid w:val="007044C6"/>
    <w:rsid w:val="00705146"/>
    <w:rsid w:val="00705A25"/>
    <w:rsid w:val="00705BEA"/>
    <w:rsid w:val="00706165"/>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17415"/>
    <w:rsid w:val="0072059E"/>
    <w:rsid w:val="00720639"/>
    <w:rsid w:val="00721048"/>
    <w:rsid w:val="00721D49"/>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55A6"/>
    <w:rsid w:val="00735B0D"/>
    <w:rsid w:val="00736022"/>
    <w:rsid w:val="00736B4B"/>
    <w:rsid w:val="00736C14"/>
    <w:rsid w:val="007403B2"/>
    <w:rsid w:val="00741566"/>
    <w:rsid w:val="00741703"/>
    <w:rsid w:val="00741B18"/>
    <w:rsid w:val="00741B46"/>
    <w:rsid w:val="007433AC"/>
    <w:rsid w:val="00743F51"/>
    <w:rsid w:val="00745607"/>
    <w:rsid w:val="007459B0"/>
    <w:rsid w:val="00745D53"/>
    <w:rsid w:val="00746998"/>
    <w:rsid w:val="00746D21"/>
    <w:rsid w:val="00747B61"/>
    <w:rsid w:val="00750B6D"/>
    <w:rsid w:val="0075139D"/>
    <w:rsid w:val="0075163A"/>
    <w:rsid w:val="00752DD8"/>
    <w:rsid w:val="00753317"/>
    <w:rsid w:val="00753DEA"/>
    <w:rsid w:val="00753E57"/>
    <w:rsid w:val="007553D7"/>
    <w:rsid w:val="007575B8"/>
    <w:rsid w:val="00757965"/>
    <w:rsid w:val="00760751"/>
    <w:rsid w:val="00760CD8"/>
    <w:rsid w:val="00760FA9"/>
    <w:rsid w:val="007627B7"/>
    <w:rsid w:val="007634C0"/>
    <w:rsid w:val="00763956"/>
    <w:rsid w:val="0076460C"/>
    <w:rsid w:val="00764772"/>
    <w:rsid w:val="00765343"/>
    <w:rsid w:val="007654A2"/>
    <w:rsid w:val="007654DA"/>
    <w:rsid w:val="00766C89"/>
    <w:rsid w:val="007672F4"/>
    <w:rsid w:val="00770441"/>
    <w:rsid w:val="00770468"/>
    <w:rsid w:val="00770A60"/>
    <w:rsid w:val="007726C7"/>
    <w:rsid w:val="00774250"/>
    <w:rsid w:val="00775180"/>
    <w:rsid w:val="007756ED"/>
    <w:rsid w:val="00775DC3"/>
    <w:rsid w:val="00776FE3"/>
    <w:rsid w:val="00777916"/>
    <w:rsid w:val="00781526"/>
    <w:rsid w:val="007825E9"/>
    <w:rsid w:val="00782610"/>
    <w:rsid w:val="00782A95"/>
    <w:rsid w:val="00782F7C"/>
    <w:rsid w:val="007831C1"/>
    <w:rsid w:val="00784341"/>
    <w:rsid w:val="00784E4D"/>
    <w:rsid w:val="007869FF"/>
    <w:rsid w:val="00790569"/>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3E8B"/>
    <w:rsid w:val="007A4C12"/>
    <w:rsid w:val="007A5044"/>
    <w:rsid w:val="007A602C"/>
    <w:rsid w:val="007A6242"/>
    <w:rsid w:val="007A69F8"/>
    <w:rsid w:val="007A6E24"/>
    <w:rsid w:val="007A7FFB"/>
    <w:rsid w:val="007B0A1A"/>
    <w:rsid w:val="007B1735"/>
    <w:rsid w:val="007B1C55"/>
    <w:rsid w:val="007B2AD3"/>
    <w:rsid w:val="007B2B6D"/>
    <w:rsid w:val="007B2CD4"/>
    <w:rsid w:val="007B33B7"/>
    <w:rsid w:val="007B36FD"/>
    <w:rsid w:val="007B398D"/>
    <w:rsid w:val="007B43CC"/>
    <w:rsid w:val="007B4655"/>
    <w:rsid w:val="007B682B"/>
    <w:rsid w:val="007B6DAF"/>
    <w:rsid w:val="007C11CB"/>
    <w:rsid w:val="007C27F4"/>
    <w:rsid w:val="007C4ED4"/>
    <w:rsid w:val="007C52BF"/>
    <w:rsid w:val="007C5375"/>
    <w:rsid w:val="007C5961"/>
    <w:rsid w:val="007C59CB"/>
    <w:rsid w:val="007C6181"/>
    <w:rsid w:val="007C6E4D"/>
    <w:rsid w:val="007D0AAB"/>
    <w:rsid w:val="007D101B"/>
    <w:rsid w:val="007D10E0"/>
    <w:rsid w:val="007D1633"/>
    <w:rsid w:val="007D2352"/>
    <w:rsid w:val="007D2680"/>
    <w:rsid w:val="007D29FD"/>
    <w:rsid w:val="007D2BB8"/>
    <w:rsid w:val="007D3363"/>
    <w:rsid w:val="007D47A3"/>
    <w:rsid w:val="007D50FA"/>
    <w:rsid w:val="007D5A05"/>
    <w:rsid w:val="007D5F8C"/>
    <w:rsid w:val="007D70D0"/>
    <w:rsid w:val="007D79B3"/>
    <w:rsid w:val="007E07AE"/>
    <w:rsid w:val="007E0A27"/>
    <w:rsid w:val="007E1912"/>
    <w:rsid w:val="007E1F3B"/>
    <w:rsid w:val="007E2283"/>
    <w:rsid w:val="007E2586"/>
    <w:rsid w:val="007E30D5"/>
    <w:rsid w:val="007E34D2"/>
    <w:rsid w:val="007E3D23"/>
    <w:rsid w:val="007E445B"/>
    <w:rsid w:val="007E4710"/>
    <w:rsid w:val="007E4775"/>
    <w:rsid w:val="007E5D35"/>
    <w:rsid w:val="007E629F"/>
    <w:rsid w:val="007E79D7"/>
    <w:rsid w:val="007F1012"/>
    <w:rsid w:val="007F139F"/>
    <w:rsid w:val="007F1BAD"/>
    <w:rsid w:val="007F2079"/>
    <w:rsid w:val="007F391B"/>
    <w:rsid w:val="007F4CB5"/>
    <w:rsid w:val="007F4E31"/>
    <w:rsid w:val="007F5B75"/>
    <w:rsid w:val="007F6B7E"/>
    <w:rsid w:val="007F6C2C"/>
    <w:rsid w:val="007F6D39"/>
    <w:rsid w:val="007F79CD"/>
    <w:rsid w:val="007F79F1"/>
    <w:rsid w:val="008002F6"/>
    <w:rsid w:val="008005C0"/>
    <w:rsid w:val="00801062"/>
    <w:rsid w:val="00801454"/>
    <w:rsid w:val="00801B23"/>
    <w:rsid w:val="00801F3C"/>
    <w:rsid w:val="008020E7"/>
    <w:rsid w:val="00802B83"/>
    <w:rsid w:val="00803E96"/>
    <w:rsid w:val="0080443D"/>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03D"/>
    <w:rsid w:val="008327BE"/>
    <w:rsid w:val="0083354D"/>
    <w:rsid w:val="00833A0A"/>
    <w:rsid w:val="00836403"/>
    <w:rsid w:val="00836563"/>
    <w:rsid w:val="00836759"/>
    <w:rsid w:val="008376AB"/>
    <w:rsid w:val="00837F1E"/>
    <w:rsid w:val="00840EBB"/>
    <w:rsid w:val="008416D6"/>
    <w:rsid w:val="0084280A"/>
    <w:rsid w:val="0084299B"/>
    <w:rsid w:val="00842C8F"/>
    <w:rsid w:val="008434F4"/>
    <w:rsid w:val="008436F7"/>
    <w:rsid w:val="00843C5C"/>
    <w:rsid w:val="008444B0"/>
    <w:rsid w:val="00844B03"/>
    <w:rsid w:val="008456D9"/>
    <w:rsid w:val="0084571A"/>
    <w:rsid w:val="00845A3F"/>
    <w:rsid w:val="00846200"/>
    <w:rsid w:val="0084665B"/>
    <w:rsid w:val="0085003A"/>
    <w:rsid w:val="008502AF"/>
    <w:rsid w:val="00851CCD"/>
    <w:rsid w:val="00852C4B"/>
    <w:rsid w:val="00854918"/>
    <w:rsid w:val="0085491E"/>
    <w:rsid w:val="008551BE"/>
    <w:rsid w:val="008552D6"/>
    <w:rsid w:val="00855694"/>
    <w:rsid w:val="0085655A"/>
    <w:rsid w:val="008568BE"/>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2355"/>
    <w:rsid w:val="0087236F"/>
    <w:rsid w:val="00872CB5"/>
    <w:rsid w:val="008731C5"/>
    <w:rsid w:val="008738A0"/>
    <w:rsid w:val="00874C62"/>
    <w:rsid w:val="00875B0E"/>
    <w:rsid w:val="00875ED5"/>
    <w:rsid w:val="00876CA0"/>
    <w:rsid w:val="00877372"/>
    <w:rsid w:val="008777DB"/>
    <w:rsid w:val="008807AE"/>
    <w:rsid w:val="0088094C"/>
    <w:rsid w:val="00880B5D"/>
    <w:rsid w:val="00880C14"/>
    <w:rsid w:val="008823A3"/>
    <w:rsid w:val="0088256B"/>
    <w:rsid w:val="008828FB"/>
    <w:rsid w:val="00883915"/>
    <w:rsid w:val="00884B82"/>
    <w:rsid w:val="00885D48"/>
    <w:rsid w:val="00885FFC"/>
    <w:rsid w:val="008864FB"/>
    <w:rsid w:val="008866A2"/>
    <w:rsid w:val="008867EF"/>
    <w:rsid w:val="00890638"/>
    <w:rsid w:val="00891337"/>
    <w:rsid w:val="008927DE"/>
    <w:rsid w:val="008947F5"/>
    <w:rsid w:val="008948AD"/>
    <w:rsid w:val="00894C91"/>
    <w:rsid w:val="008A0975"/>
    <w:rsid w:val="008A1064"/>
    <w:rsid w:val="008A1771"/>
    <w:rsid w:val="008A1ACA"/>
    <w:rsid w:val="008A2274"/>
    <w:rsid w:val="008A228F"/>
    <w:rsid w:val="008A297F"/>
    <w:rsid w:val="008A299E"/>
    <w:rsid w:val="008A3887"/>
    <w:rsid w:val="008A3B8C"/>
    <w:rsid w:val="008A44E1"/>
    <w:rsid w:val="008A5F85"/>
    <w:rsid w:val="008A68D1"/>
    <w:rsid w:val="008A6C7F"/>
    <w:rsid w:val="008A7B7E"/>
    <w:rsid w:val="008B15D8"/>
    <w:rsid w:val="008B1D8F"/>
    <w:rsid w:val="008B22E8"/>
    <w:rsid w:val="008B2AAF"/>
    <w:rsid w:val="008B33A7"/>
    <w:rsid w:val="008B3B5E"/>
    <w:rsid w:val="008B4CFE"/>
    <w:rsid w:val="008B58F8"/>
    <w:rsid w:val="008B5F68"/>
    <w:rsid w:val="008B625F"/>
    <w:rsid w:val="008C05C3"/>
    <w:rsid w:val="008C1196"/>
    <w:rsid w:val="008C1A88"/>
    <w:rsid w:val="008C1F7C"/>
    <w:rsid w:val="008C27CE"/>
    <w:rsid w:val="008C4763"/>
    <w:rsid w:val="008C5E4E"/>
    <w:rsid w:val="008C626F"/>
    <w:rsid w:val="008C677D"/>
    <w:rsid w:val="008C684A"/>
    <w:rsid w:val="008C6E0A"/>
    <w:rsid w:val="008D00D2"/>
    <w:rsid w:val="008D21DE"/>
    <w:rsid w:val="008D22CA"/>
    <w:rsid w:val="008D2843"/>
    <w:rsid w:val="008D2E90"/>
    <w:rsid w:val="008D351A"/>
    <w:rsid w:val="008D395A"/>
    <w:rsid w:val="008D3CA5"/>
    <w:rsid w:val="008D5B8B"/>
    <w:rsid w:val="008D5FB8"/>
    <w:rsid w:val="008D7A1D"/>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5FCC"/>
    <w:rsid w:val="009061FE"/>
    <w:rsid w:val="00906BDB"/>
    <w:rsid w:val="00907D11"/>
    <w:rsid w:val="00910EAA"/>
    <w:rsid w:val="00910F5F"/>
    <w:rsid w:val="00911864"/>
    <w:rsid w:val="00912454"/>
    <w:rsid w:val="009129F1"/>
    <w:rsid w:val="00913ACC"/>
    <w:rsid w:val="00913BEB"/>
    <w:rsid w:val="00913E30"/>
    <w:rsid w:val="00914317"/>
    <w:rsid w:val="009152C6"/>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100"/>
    <w:rsid w:val="00935328"/>
    <w:rsid w:val="00935401"/>
    <w:rsid w:val="00936B4D"/>
    <w:rsid w:val="00936D85"/>
    <w:rsid w:val="00937D72"/>
    <w:rsid w:val="009403CB"/>
    <w:rsid w:val="00940E5B"/>
    <w:rsid w:val="00941445"/>
    <w:rsid w:val="009427FE"/>
    <w:rsid w:val="00942B70"/>
    <w:rsid w:val="00942F02"/>
    <w:rsid w:val="00944092"/>
    <w:rsid w:val="00945FC3"/>
    <w:rsid w:val="00946299"/>
    <w:rsid w:val="0094638F"/>
    <w:rsid w:val="009466A4"/>
    <w:rsid w:val="00946F06"/>
    <w:rsid w:val="00946F37"/>
    <w:rsid w:val="00947096"/>
    <w:rsid w:val="00947330"/>
    <w:rsid w:val="00947865"/>
    <w:rsid w:val="00952462"/>
    <w:rsid w:val="0095311B"/>
    <w:rsid w:val="00953D24"/>
    <w:rsid w:val="00955021"/>
    <w:rsid w:val="00955B70"/>
    <w:rsid w:val="009562A0"/>
    <w:rsid w:val="0095662D"/>
    <w:rsid w:val="00957769"/>
    <w:rsid w:val="00957E32"/>
    <w:rsid w:val="0096086B"/>
    <w:rsid w:val="00960D54"/>
    <w:rsid w:val="00960FEE"/>
    <w:rsid w:val="00961084"/>
    <w:rsid w:val="009615E6"/>
    <w:rsid w:val="0096190C"/>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77E03"/>
    <w:rsid w:val="009809FC"/>
    <w:rsid w:val="00980BB4"/>
    <w:rsid w:val="0098244A"/>
    <w:rsid w:val="0098299E"/>
    <w:rsid w:val="00982AA4"/>
    <w:rsid w:val="00982E58"/>
    <w:rsid w:val="00982FBA"/>
    <w:rsid w:val="00983763"/>
    <w:rsid w:val="00984496"/>
    <w:rsid w:val="0098487C"/>
    <w:rsid w:val="00984C2B"/>
    <w:rsid w:val="00984FFB"/>
    <w:rsid w:val="009851D2"/>
    <w:rsid w:val="00985E6B"/>
    <w:rsid w:val="00986267"/>
    <w:rsid w:val="00986C25"/>
    <w:rsid w:val="0098713B"/>
    <w:rsid w:val="009905F1"/>
    <w:rsid w:val="00990A83"/>
    <w:rsid w:val="00991024"/>
    <w:rsid w:val="00991D73"/>
    <w:rsid w:val="00992766"/>
    <w:rsid w:val="00992CF1"/>
    <w:rsid w:val="00993209"/>
    <w:rsid w:val="00993472"/>
    <w:rsid w:val="00993DFA"/>
    <w:rsid w:val="00993E22"/>
    <w:rsid w:val="009972A4"/>
    <w:rsid w:val="00997C03"/>
    <w:rsid w:val="00997E70"/>
    <w:rsid w:val="009A1C72"/>
    <w:rsid w:val="009A1DFB"/>
    <w:rsid w:val="009A1E61"/>
    <w:rsid w:val="009A3154"/>
    <w:rsid w:val="009A341F"/>
    <w:rsid w:val="009A34E5"/>
    <w:rsid w:val="009A389D"/>
    <w:rsid w:val="009A3BFF"/>
    <w:rsid w:val="009A4229"/>
    <w:rsid w:val="009A4F94"/>
    <w:rsid w:val="009A505C"/>
    <w:rsid w:val="009A5F9F"/>
    <w:rsid w:val="009A647E"/>
    <w:rsid w:val="009A6621"/>
    <w:rsid w:val="009A79D2"/>
    <w:rsid w:val="009B067C"/>
    <w:rsid w:val="009B13A0"/>
    <w:rsid w:val="009B2C8D"/>
    <w:rsid w:val="009B2F08"/>
    <w:rsid w:val="009B371B"/>
    <w:rsid w:val="009B4B46"/>
    <w:rsid w:val="009B5DA0"/>
    <w:rsid w:val="009B6252"/>
    <w:rsid w:val="009B71E8"/>
    <w:rsid w:val="009B7CBC"/>
    <w:rsid w:val="009C0E68"/>
    <w:rsid w:val="009C0F77"/>
    <w:rsid w:val="009C32CB"/>
    <w:rsid w:val="009C36F3"/>
    <w:rsid w:val="009C41D8"/>
    <w:rsid w:val="009C44C5"/>
    <w:rsid w:val="009C468E"/>
    <w:rsid w:val="009C48C9"/>
    <w:rsid w:val="009D052A"/>
    <w:rsid w:val="009D348E"/>
    <w:rsid w:val="009D4A03"/>
    <w:rsid w:val="009D710A"/>
    <w:rsid w:val="009D74BC"/>
    <w:rsid w:val="009E0CAE"/>
    <w:rsid w:val="009E269C"/>
    <w:rsid w:val="009E2750"/>
    <w:rsid w:val="009E27B4"/>
    <w:rsid w:val="009E40E3"/>
    <w:rsid w:val="009E41F3"/>
    <w:rsid w:val="009E42F7"/>
    <w:rsid w:val="009E4CC9"/>
    <w:rsid w:val="009E53C6"/>
    <w:rsid w:val="009E6B01"/>
    <w:rsid w:val="009E7E3F"/>
    <w:rsid w:val="009F18AC"/>
    <w:rsid w:val="009F33ED"/>
    <w:rsid w:val="009F4D03"/>
    <w:rsid w:val="009F5E07"/>
    <w:rsid w:val="009F5E5D"/>
    <w:rsid w:val="009F5E8D"/>
    <w:rsid w:val="009F73FD"/>
    <w:rsid w:val="009F764A"/>
    <w:rsid w:val="009F7725"/>
    <w:rsid w:val="009F77A2"/>
    <w:rsid w:val="00A00F54"/>
    <w:rsid w:val="00A01528"/>
    <w:rsid w:val="00A02B6E"/>
    <w:rsid w:val="00A03998"/>
    <w:rsid w:val="00A03AAC"/>
    <w:rsid w:val="00A03F9C"/>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244"/>
    <w:rsid w:val="00A153C5"/>
    <w:rsid w:val="00A160F0"/>
    <w:rsid w:val="00A16EF0"/>
    <w:rsid w:val="00A1731E"/>
    <w:rsid w:val="00A17AAF"/>
    <w:rsid w:val="00A20EFA"/>
    <w:rsid w:val="00A22D49"/>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F01"/>
    <w:rsid w:val="00A4253C"/>
    <w:rsid w:val="00A42754"/>
    <w:rsid w:val="00A438B3"/>
    <w:rsid w:val="00A43AD7"/>
    <w:rsid w:val="00A44550"/>
    <w:rsid w:val="00A44B67"/>
    <w:rsid w:val="00A44EAA"/>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2BDE"/>
    <w:rsid w:val="00A53C37"/>
    <w:rsid w:val="00A553F8"/>
    <w:rsid w:val="00A554EF"/>
    <w:rsid w:val="00A5573C"/>
    <w:rsid w:val="00A5586E"/>
    <w:rsid w:val="00A564F2"/>
    <w:rsid w:val="00A56ABF"/>
    <w:rsid w:val="00A56D3A"/>
    <w:rsid w:val="00A576FD"/>
    <w:rsid w:val="00A5775A"/>
    <w:rsid w:val="00A60B78"/>
    <w:rsid w:val="00A60D85"/>
    <w:rsid w:val="00A64725"/>
    <w:rsid w:val="00A64FB3"/>
    <w:rsid w:val="00A65462"/>
    <w:rsid w:val="00A700EF"/>
    <w:rsid w:val="00A703E5"/>
    <w:rsid w:val="00A7130A"/>
    <w:rsid w:val="00A72492"/>
    <w:rsid w:val="00A73635"/>
    <w:rsid w:val="00A74C39"/>
    <w:rsid w:val="00A75312"/>
    <w:rsid w:val="00A75868"/>
    <w:rsid w:val="00A76391"/>
    <w:rsid w:val="00A76666"/>
    <w:rsid w:val="00A76E11"/>
    <w:rsid w:val="00A77605"/>
    <w:rsid w:val="00A7772E"/>
    <w:rsid w:val="00A77BBF"/>
    <w:rsid w:val="00A80B27"/>
    <w:rsid w:val="00A818EE"/>
    <w:rsid w:val="00A81E2A"/>
    <w:rsid w:val="00A8223F"/>
    <w:rsid w:val="00A84014"/>
    <w:rsid w:val="00A8444F"/>
    <w:rsid w:val="00A85051"/>
    <w:rsid w:val="00A864F4"/>
    <w:rsid w:val="00A86B88"/>
    <w:rsid w:val="00A86CE3"/>
    <w:rsid w:val="00A8700B"/>
    <w:rsid w:val="00A87AF2"/>
    <w:rsid w:val="00A914AC"/>
    <w:rsid w:val="00A94175"/>
    <w:rsid w:val="00A941CA"/>
    <w:rsid w:val="00A94F9E"/>
    <w:rsid w:val="00A951A4"/>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B009D"/>
    <w:rsid w:val="00AB1094"/>
    <w:rsid w:val="00AB1454"/>
    <w:rsid w:val="00AB1727"/>
    <w:rsid w:val="00AB2290"/>
    <w:rsid w:val="00AB2BE7"/>
    <w:rsid w:val="00AB3133"/>
    <w:rsid w:val="00AB4E9F"/>
    <w:rsid w:val="00AB6121"/>
    <w:rsid w:val="00AB62F8"/>
    <w:rsid w:val="00AC1587"/>
    <w:rsid w:val="00AC1851"/>
    <w:rsid w:val="00AC1A43"/>
    <w:rsid w:val="00AC1B85"/>
    <w:rsid w:val="00AC1C9A"/>
    <w:rsid w:val="00AC22AB"/>
    <w:rsid w:val="00AC2737"/>
    <w:rsid w:val="00AC2B7E"/>
    <w:rsid w:val="00AC2F43"/>
    <w:rsid w:val="00AC32E6"/>
    <w:rsid w:val="00AC32F3"/>
    <w:rsid w:val="00AC337B"/>
    <w:rsid w:val="00AC451C"/>
    <w:rsid w:val="00AC516D"/>
    <w:rsid w:val="00AC62A8"/>
    <w:rsid w:val="00AD1E10"/>
    <w:rsid w:val="00AD2CBB"/>
    <w:rsid w:val="00AD2EF1"/>
    <w:rsid w:val="00AD4BCC"/>
    <w:rsid w:val="00AD4F13"/>
    <w:rsid w:val="00AD55D2"/>
    <w:rsid w:val="00AD5A55"/>
    <w:rsid w:val="00AD5A92"/>
    <w:rsid w:val="00AD5B7E"/>
    <w:rsid w:val="00AD7144"/>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30DA"/>
    <w:rsid w:val="00AF3E34"/>
    <w:rsid w:val="00AF47DF"/>
    <w:rsid w:val="00AF5D96"/>
    <w:rsid w:val="00AF6AB2"/>
    <w:rsid w:val="00AF6DD7"/>
    <w:rsid w:val="00AF7B6E"/>
    <w:rsid w:val="00B00C4C"/>
    <w:rsid w:val="00B00F13"/>
    <w:rsid w:val="00B018B9"/>
    <w:rsid w:val="00B01FE0"/>
    <w:rsid w:val="00B03E87"/>
    <w:rsid w:val="00B0473F"/>
    <w:rsid w:val="00B05121"/>
    <w:rsid w:val="00B063E2"/>
    <w:rsid w:val="00B07331"/>
    <w:rsid w:val="00B07EF4"/>
    <w:rsid w:val="00B11517"/>
    <w:rsid w:val="00B128AE"/>
    <w:rsid w:val="00B12B0E"/>
    <w:rsid w:val="00B12B5D"/>
    <w:rsid w:val="00B132E7"/>
    <w:rsid w:val="00B137B8"/>
    <w:rsid w:val="00B140FC"/>
    <w:rsid w:val="00B14D76"/>
    <w:rsid w:val="00B157BD"/>
    <w:rsid w:val="00B17F0A"/>
    <w:rsid w:val="00B254AD"/>
    <w:rsid w:val="00B26205"/>
    <w:rsid w:val="00B278E3"/>
    <w:rsid w:val="00B305F0"/>
    <w:rsid w:val="00B30901"/>
    <w:rsid w:val="00B30C5E"/>
    <w:rsid w:val="00B32455"/>
    <w:rsid w:val="00B324DC"/>
    <w:rsid w:val="00B32A3E"/>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AEB"/>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201F"/>
    <w:rsid w:val="00B72828"/>
    <w:rsid w:val="00B740D8"/>
    <w:rsid w:val="00B7494F"/>
    <w:rsid w:val="00B74EC4"/>
    <w:rsid w:val="00B74FCA"/>
    <w:rsid w:val="00B75A29"/>
    <w:rsid w:val="00B75A9C"/>
    <w:rsid w:val="00B7657B"/>
    <w:rsid w:val="00B77E16"/>
    <w:rsid w:val="00B80C2A"/>
    <w:rsid w:val="00B81071"/>
    <w:rsid w:val="00B8174F"/>
    <w:rsid w:val="00B81B08"/>
    <w:rsid w:val="00B82920"/>
    <w:rsid w:val="00B83727"/>
    <w:rsid w:val="00B842A4"/>
    <w:rsid w:val="00B85577"/>
    <w:rsid w:val="00B85EBA"/>
    <w:rsid w:val="00B85EE3"/>
    <w:rsid w:val="00B86D74"/>
    <w:rsid w:val="00B86D95"/>
    <w:rsid w:val="00B86DE1"/>
    <w:rsid w:val="00B87C59"/>
    <w:rsid w:val="00B90481"/>
    <w:rsid w:val="00B90D08"/>
    <w:rsid w:val="00B91F2F"/>
    <w:rsid w:val="00B91F34"/>
    <w:rsid w:val="00B922F0"/>
    <w:rsid w:val="00B92843"/>
    <w:rsid w:val="00B92CB4"/>
    <w:rsid w:val="00B935C1"/>
    <w:rsid w:val="00B94292"/>
    <w:rsid w:val="00B9485B"/>
    <w:rsid w:val="00B9495B"/>
    <w:rsid w:val="00B950D8"/>
    <w:rsid w:val="00B951CE"/>
    <w:rsid w:val="00B951EB"/>
    <w:rsid w:val="00B95D69"/>
    <w:rsid w:val="00B97239"/>
    <w:rsid w:val="00BA058F"/>
    <w:rsid w:val="00BA061F"/>
    <w:rsid w:val="00BA0BFE"/>
    <w:rsid w:val="00BA0E9E"/>
    <w:rsid w:val="00BA184B"/>
    <w:rsid w:val="00BA19EE"/>
    <w:rsid w:val="00BA213A"/>
    <w:rsid w:val="00BA25F4"/>
    <w:rsid w:val="00BA34FE"/>
    <w:rsid w:val="00BA37C0"/>
    <w:rsid w:val="00BA43D6"/>
    <w:rsid w:val="00BA4618"/>
    <w:rsid w:val="00BA51F3"/>
    <w:rsid w:val="00BA66B2"/>
    <w:rsid w:val="00BA7ED4"/>
    <w:rsid w:val="00BB04A6"/>
    <w:rsid w:val="00BB07D7"/>
    <w:rsid w:val="00BB07E0"/>
    <w:rsid w:val="00BB0B64"/>
    <w:rsid w:val="00BB16C6"/>
    <w:rsid w:val="00BB1851"/>
    <w:rsid w:val="00BB383A"/>
    <w:rsid w:val="00BB5F01"/>
    <w:rsid w:val="00BB60A5"/>
    <w:rsid w:val="00BB793E"/>
    <w:rsid w:val="00BC0336"/>
    <w:rsid w:val="00BC0433"/>
    <w:rsid w:val="00BC1FCA"/>
    <w:rsid w:val="00BC2423"/>
    <w:rsid w:val="00BC307C"/>
    <w:rsid w:val="00BC338E"/>
    <w:rsid w:val="00BC33D8"/>
    <w:rsid w:val="00BC3557"/>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7F8"/>
    <w:rsid w:val="00BD3048"/>
    <w:rsid w:val="00BD30B2"/>
    <w:rsid w:val="00BD36AF"/>
    <w:rsid w:val="00BD3F2E"/>
    <w:rsid w:val="00BD4719"/>
    <w:rsid w:val="00BD4CEC"/>
    <w:rsid w:val="00BD5050"/>
    <w:rsid w:val="00BD6745"/>
    <w:rsid w:val="00BD67DE"/>
    <w:rsid w:val="00BD684B"/>
    <w:rsid w:val="00BD6AC0"/>
    <w:rsid w:val="00BD7112"/>
    <w:rsid w:val="00BD7ADC"/>
    <w:rsid w:val="00BD7DAB"/>
    <w:rsid w:val="00BE1761"/>
    <w:rsid w:val="00BE26B2"/>
    <w:rsid w:val="00BE32A5"/>
    <w:rsid w:val="00BE3414"/>
    <w:rsid w:val="00BE3893"/>
    <w:rsid w:val="00BE3F28"/>
    <w:rsid w:val="00BE3F2B"/>
    <w:rsid w:val="00BE4C36"/>
    <w:rsid w:val="00BE5078"/>
    <w:rsid w:val="00BE5310"/>
    <w:rsid w:val="00BE533A"/>
    <w:rsid w:val="00BE5A42"/>
    <w:rsid w:val="00BE6B62"/>
    <w:rsid w:val="00BE774D"/>
    <w:rsid w:val="00BF05A8"/>
    <w:rsid w:val="00BF12A8"/>
    <w:rsid w:val="00BF1551"/>
    <w:rsid w:val="00BF186E"/>
    <w:rsid w:val="00BF270D"/>
    <w:rsid w:val="00BF2A6C"/>
    <w:rsid w:val="00BF36B3"/>
    <w:rsid w:val="00BF469C"/>
    <w:rsid w:val="00BF55B6"/>
    <w:rsid w:val="00BF5C23"/>
    <w:rsid w:val="00BF6782"/>
    <w:rsid w:val="00BF7794"/>
    <w:rsid w:val="00C00927"/>
    <w:rsid w:val="00C00CFE"/>
    <w:rsid w:val="00C02CEF"/>
    <w:rsid w:val="00C03625"/>
    <w:rsid w:val="00C045B2"/>
    <w:rsid w:val="00C049FB"/>
    <w:rsid w:val="00C04A14"/>
    <w:rsid w:val="00C07B82"/>
    <w:rsid w:val="00C10293"/>
    <w:rsid w:val="00C10469"/>
    <w:rsid w:val="00C1172E"/>
    <w:rsid w:val="00C12AB9"/>
    <w:rsid w:val="00C14970"/>
    <w:rsid w:val="00C15A30"/>
    <w:rsid w:val="00C15EAF"/>
    <w:rsid w:val="00C15F87"/>
    <w:rsid w:val="00C16995"/>
    <w:rsid w:val="00C174AA"/>
    <w:rsid w:val="00C20D17"/>
    <w:rsid w:val="00C21A63"/>
    <w:rsid w:val="00C22774"/>
    <w:rsid w:val="00C23477"/>
    <w:rsid w:val="00C235D7"/>
    <w:rsid w:val="00C24A58"/>
    <w:rsid w:val="00C24DC9"/>
    <w:rsid w:val="00C2588C"/>
    <w:rsid w:val="00C25CCC"/>
    <w:rsid w:val="00C2652A"/>
    <w:rsid w:val="00C265DE"/>
    <w:rsid w:val="00C269F1"/>
    <w:rsid w:val="00C26E1B"/>
    <w:rsid w:val="00C26E40"/>
    <w:rsid w:val="00C27708"/>
    <w:rsid w:val="00C27C15"/>
    <w:rsid w:val="00C30159"/>
    <w:rsid w:val="00C30958"/>
    <w:rsid w:val="00C30D3B"/>
    <w:rsid w:val="00C31A2B"/>
    <w:rsid w:val="00C31A5D"/>
    <w:rsid w:val="00C320D6"/>
    <w:rsid w:val="00C33661"/>
    <w:rsid w:val="00C35270"/>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47A07"/>
    <w:rsid w:val="00C50B1C"/>
    <w:rsid w:val="00C50BD9"/>
    <w:rsid w:val="00C510AB"/>
    <w:rsid w:val="00C52085"/>
    <w:rsid w:val="00C5216E"/>
    <w:rsid w:val="00C523BD"/>
    <w:rsid w:val="00C526A6"/>
    <w:rsid w:val="00C5279E"/>
    <w:rsid w:val="00C534E1"/>
    <w:rsid w:val="00C53812"/>
    <w:rsid w:val="00C54017"/>
    <w:rsid w:val="00C54FAD"/>
    <w:rsid w:val="00C550FD"/>
    <w:rsid w:val="00C5672F"/>
    <w:rsid w:val="00C569D7"/>
    <w:rsid w:val="00C57BD2"/>
    <w:rsid w:val="00C60722"/>
    <w:rsid w:val="00C6096C"/>
    <w:rsid w:val="00C61A51"/>
    <w:rsid w:val="00C61D81"/>
    <w:rsid w:val="00C6367C"/>
    <w:rsid w:val="00C63886"/>
    <w:rsid w:val="00C644BF"/>
    <w:rsid w:val="00C64A91"/>
    <w:rsid w:val="00C65468"/>
    <w:rsid w:val="00C6598C"/>
    <w:rsid w:val="00C66BFE"/>
    <w:rsid w:val="00C66C47"/>
    <w:rsid w:val="00C70295"/>
    <w:rsid w:val="00C702F9"/>
    <w:rsid w:val="00C706E5"/>
    <w:rsid w:val="00C71231"/>
    <w:rsid w:val="00C718CD"/>
    <w:rsid w:val="00C73150"/>
    <w:rsid w:val="00C744C9"/>
    <w:rsid w:val="00C75102"/>
    <w:rsid w:val="00C760F3"/>
    <w:rsid w:val="00C761A9"/>
    <w:rsid w:val="00C76A43"/>
    <w:rsid w:val="00C817D6"/>
    <w:rsid w:val="00C81A82"/>
    <w:rsid w:val="00C8230F"/>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32C"/>
    <w:rsid w:val="00C97388"/>
    <w:rsid w:val="00C974D4"/>
    <w:rsid w:val="00CA0901"/>
    <w:rsid w:val="00CA1A3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409D"/>
    <w:rsid w:val="00CD4AE6"/>
    <w:rsid w:val="00CD4B38"/>
    <w:rsid w:val="00CD53ED"/>
    <w:rsid w:val="00CD582C"/>
    <w:rsid w:val="00CD5A84"/>
    <w:rsid w:val="00CD68DE"/>
    <w:rsid w:val="00CD74C7"/>
    <w:rsid w:val="00CD7610"/>
    <w:rsid w:val="00CE09E6"/>
    <w:rsid w:val="00CE0F85"/>
    <w:rsid w:val="00CE119C"/>
    <w:rsid w:val="00CE26B3"/>
    <w:rsid w:val="00CE3EAA"/>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DEB"/>
    <w:rsid w:val="00CF68DE"/>
    <w:rsid w:val="00CF72E9"/>
    <w:rsid w:val="00CF74E2"/>
    <w:rsid w:val="00D001BF"/>
    <w:rsid w:val="00D00D7E"/>
    <w:rsid w:val="00D00E9B"/>
    <w:rsid w:val="00D0129C"/>
    <w:rsid w:val="00D013D0"/>
    <w:rsid w:val="00D01A49"/>
    <w:rsid w:val="00D01B87"/>
    <w:rsid w:val="00D0282D"/>
    <w:rsid w:val="00D02D5E"/>
    <w:rsid w:val="00D02FFA"/>
    <w:rsid w:val="00D03026"/>
    <w:rsid w:val="00D0315E"/>
    <w:rsid w:val="00D0330D"/>
    <w:rsid w:val="00D0379C"/>
    <w:rsid w:val="00D03965"/>
    <w:rsid w:val="00D03C0F"/>
    <w:rsid w:val="00D04E11"/>
    <w:rsid w:val="00D067F0"/>
    <w:rsid w:val="00D06F8F"/>
    <w:rsid w:val="00D076D7"/>
    <w:rsid w:val="00D07F4C"/>
    <w:rsid w:val="00D1010A"/>
    <w:rsid w:val="00D11146"/>
    <w:rsid w:val="00D126A3"/>
    <w:rsid w:val="00D12939"/>
    <w:rsid w:val="00D1391B"/>
    <w:rsid w:val="00D139E9"/>
    <w:rsid w:val="00D14AB1"/>
    <w:rsid w:val="00D1563D"/>
    <w:rsid w:val="00D1624F"/>
    <w:rsid w:val="00D16975"/>
    <w:rsid w:val="00D17415"/>
    <w:rsid w:val="00D203E1"/>
    <w:rsid w:val="00D20A66"/>
    <w:rsid w:val="00D21777"/>
    <w:rsid w:val="00D225B0"/>
    <w:rsid w:val="00D22854"/>
    <w:rsid w:val="00D23836"/>
    <w:rsid w:val="00D241E2"/>
    <w:rsid w:val="00D24941"/>
    <w:rsid w:val="00D25531"/>
    <w:rsid w:val="00D257A4"/>
    <w:rsid w:val="00D25F6D"/>
    <w:rsid w:val="00D26A8F"/>
    <w:rsid w:val="00D30329"/>
    <w:rsid w:val="00D30930"/>
    <w:rsid w:val="00D30B78"/>
    <w:rsid w:val="00D325D0"/>
    <w:rsid w:val="00D33951"/>
    <w:rsid w:val="00D34004"/>
    <w:rsid w:val="00D34302"/>
    <w:rsid w:val="00D3433F"/>
    <w:rsid w:val="00D34C6A"/>
    <w:rsid w:val="00D34DF9"/>
    <w:rsid w:val="00D36B44"/>
    <w:rsid w:val="00D37DB1"/>
    <w:rsid w:val="00D405FC"/>
    <w:rsid w:val="00D41BA2"/>
    <w:rsid w:val="00D42384"/>
    <w:rsid w:val="00D42875"/>
    <w:rsid w:val="00D42AAE"/>
    <w:rsid w:val="00D43896"/>
    <w:rsid w:val="00D44FB8"/>
    <w:rsid w:val="00D45C5F"/>
    <w:rsid w:val="00D46B30"/>
    <w:rsid w:val="00D476FE"/>
    <w:rsid w:val="00D50EF0"/>
    <w:rsid w:val="00D50EF2"/>
    <w:rsid w:val="00D50FC1"/>
    <w:rsid w:val="00D511EF"/>
    <w:rsid w:val="00D513E3"/>
    <w:rsid w:val="00D538B5"/>
    <w:rsid w:val="00D540E6"/>
    <w:rsid w:val="00D5452F"/>
    <w:rsid w:val="00D54B4A"/>
    <w:rsid w:val="00D55046"/>
    <w:rsid w:val="00D55C02"/>
    <w:rsid w:val="00D563B4"/>
    <w:rsid w:val="00D56BB9"/>
    <w:rsid w:val="00D5785E"/>
    <w:rsid w:val="00D57ED4"/>
    <w:rsid w:val="00D61C25"/>
    <w:rsid w:val="00D62A37"/>
    <w:rsid w:val="00D62CC9"/>
    <w:rsid w:val="00D62D11"/>
    <w:rsid w:val="00D6336F"/>
    <w:rsid w:val="00D63D7A"/>
    <w:rsid w:val="00D64DEC"/>
    <w:rsid w:val="00D65B96"/>
    <w:rsid w:val="00D6645A"/>
    <w:rsid w:val="00D66677"/>
    <w:rsid w:val="00D707B3"/>
    <w:rsid w:val="00D718F5"/>
    <w:rsid w:val="00D71F7F"/>
    <w:rsid w:val="00D72919"/>
    <w:rsid w:val="00D729A6"/>
    <w:rsid w:val="00D744AC"/>
    <w:rsid w:val="00D75179"/>
    <w:rsid w:val="00D757EC"/>
    <w:rsid w:val="00D76765"/>
    <w:rsid w:val="00D7724D"/>
    <w:rsid w:val="00D7796E"/>
    <w:rsid w:val="00D77EAE"/>
    <w:rsid w:val="00D80DD9"/>
    <w:rsid w:val="00D8144D"/>
    <w:rsid w:val="00D82264"/>
    <w:rsid w:val="00D828A0"/>
    <w:rsid w:val="00D82F01"/>
    <w:rsid w:val="00D82FAF"/>
    <w:rsid w:val="00D83353"/>
    <w:rsid w:val="00D84781"/>
    <w:rsid w:val="00D84790"/>
    <w:rsid w:val="00D87040"/>
    <w:rsid w:val="00D8764F"/>
    <w:rsid w:val="00D9230D"/>
    <w:rsid w:val="00D9300D"/>
    <w:rsid w:val="00D936AC"/>
    <w:rsid w:val="00D93F71"/>
    <w:rsid w:val="00D93FAE"/>
    <w:rsid w:val="00D943DC"/>
    <w:rsid w:val="00D94910"/>
    <w:rsid w:val="00D94FF1"/>
    <w:rsid w:val="00D9517B"/>
    <w:rsid w:val="00D952E7"/>
    <w:rsid w:val="00D956D2"/>
    <w:rsid w:val="00D95AF5"/>
    <w:rsid w:val="00DA02A0"/>
    <w:rsid w:val="00DA0EE7"/>
    <w:rsid w:val="00DA1178"/>
    <w:rsid w:val="00DA133A"/>
    <w:rsid w:val="00DA1853"/>
    <w:rsid w:val="00DA1A9D"/>
    <w:rsid w:val="00DA2B04"/>
    <w:rsid w:val="00DA2B4C"/>
    <w:rsid w:val="00DA33DB"/>
    <w:rsid w:val="00DA3756"/>
    <w:rsid w:val="00DA39C5"/>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419"/>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5C2C"/>
    <w:rsid w:val="00DD6DE7"/>
    <w:rsid w:val="00DD73D5"/>
    <w:rsid w:val="00DD78C8"/>
    <w:rsid w:val="00DE0043"/>
    <w:rsid w:val="00DE0343"/>
    <w:rsid w:val="00DE0A4B"/>
    <w:rsid w:val="00DE15D2"/>
    <w:rsid w:val="00DE17EB"/>
    <w:rsid w:val="00DE1E6A"/>
    <w:rsid w:val="00DE279D"/>
    <w:rsid w:val="00DE3995"/>
    <w:rsid w:val="00DE6192"/>
    <w:rsid w:val="00DE68D8"/>
    <w:rsid w:val="00DE6EE2"/>
    <w:rsid w:val="00DE7474"/>
    <w:rsid w:val="00DE7E8F"/>
    <w:rsid w:val="00DF0EB0"/>
    <w:rsid w:val="00DF2577"/>
    <w:rsid w:val="00DF2815"/>
    <w:rsid w:val="00DF2A02"/>
    <w:rsid w:val="00DF2E7F"/>
    <w:rsid w:val="00DF30EE"/>
    <w:rsid w:val="00DF56AC"/>
    <w:rsid w:val="00DF6AE7"/>
    <w:rsid w:val="00DF6FFD"/>
    <w:rsid w:val="00DF7F37"/>
    <w:rsid w:val="00E00F2C"/>
    <w:rsid w:val="00E02403"/>
    <w:rsid w:val="00E027E8"/>
    <w:rsid w:val="00E04F3B"/>
    <w:rsid w:val="00E05220"/>
    <w:rsid w:val="00E05E3E"/>
    <w:rsid w:val="00E05F83"/>
    <w:rsid w:val="00E06871"/>
    <w:rsid w:val="00E07201"/>
    <w:rsid w:val="00E075CE"/>
    <w:rsid w:val="00E1041B"/>
    <w:rsid w:val="00E10CD6"/>
    <w:rsid w:val="00E10DC3"/>
    <w:rsid w:val="00E11711"/>
    <w:rsid w:val="00E1175A"/>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3CF9"/>
    <w:rsid w:val="00E2532F"/>
    <w:rsid w:val="00E26273"/>
    <w:rsid w:val="00E26609"/>
    <w:rsid w:val="00E300F1"/>
    <w:rsid w:val="00E3038F"/>
    <w:rsid w:val="00E31DD1"/>
    <w:rsid w:val="00E32D9C"/>
    <w:rsid w:val="00E33122"/>
    <w:rsid w:val="00E33744"/>
    <w:rsid w:val="00E33CA9"/>
    <w:rsid w:val="00E355FA"/>
    <w:rsid w:val="00E35A73"/>
    <w:rsid w:val="00E36ACB"/>
    <w:rsid w:val="00E3714A"/>
    <w:rsid w:val="00E37174"/>
    <w:rsid w:val="00E3785F"/>
    <w:rsid w:val="00E404D6"/>
    <w:rsid w:val="00E40793"/>
    <w:rsid w:val="00E41153"/>
    <w:rsid w:val="00E412E8"/>
    <w:rsid w:val="00E41394"/>
    <w:rsid w:val="00E41677"/>
    <w:rsid w:val="00E41FA3"/>
    <w:rsid w:val="00E420D8"/>
    <w:rsid w:val="00E42527"/>
    <w:rsid w:val="00E430A3"/>
    <w:rsid w:val="00E438D5"/>
    <w:rsid w:val="00E4461A"/>
    <w:rsid w:val="00E46480"/>
    <w:rsid w:val="00E466E5"/>
    <w:rsid w:val="00E467E8"/>
    <w:rsid w:val="00E47A88"/>
    <w:rsid w:val="00E47D74"/>
    <w:rsid w:val="00E50207"/>
    <w:rsid w:val="00E50967"/>
    <w:rsid w:val="00E50DB3"/>
    <w:rsid w:val="00E52C1A"/>
    <w:rsid w:val="00E538CF"/>
    <w:rsid w:val="00E53DB8"/>
    <w:rsid w:val="00E54306"/>
    <w:rsid w:val="00E558E4"/>
    <w:rsid w:val="00E569DA"/>
    <w:rsid w:val="00E56B15"/>
    <w:rsid w:val="00E56B56"/>
    <w:rsid w:val="00E600E6"/>
    <w:rsid w:val="00E605BC"/>
    <w:rsid w:val="00E60808"/>
    <w:rsid w:val="00E6094F"/>
    <w:rsid w:val="00E61434"/>
    <w:rsid w:val="00E618D5"/>
    <w:rsid w:val="00E62318"/>
    <w:rsid w:val="00E6298B"/>
    <w:rsid w:val="00E62D7E"/>
    <w:rsid w:val="00E635AF"/>
    <w:rsid w:val="00E640D2"/>
    <w:rsid w:val="00E64C44"/>
    <w:rsid w:val="00E66BE3"/>
    <w:rsid w:val="00E679F1"/>
    <w:rsid w:val="00E67F80"/>
    <w:rsid w:val="00E71798"/>
    <w:rsid w:val="00E7186A"/>
    <w:rsid w:val="00E71BC7"/>
    <w:rsid w:val="00E71FFF"/>
    <w:rsid w:val="00E73ECC"/>
    <w:rsid w:val="00E7471F"/>
    <w:rsid w:val="00E749D4"/>
    <w:rsid w:val="00E74DC4"/>
    <w:rsid w:val="00E758A1"/>
    <w:rsid w:val="00E765CD"/>
    <w:rsid w:val="00E76C33"/>
    <w:rsid w:val="00E76D8A"/>
    <w:rsid w:val="00E7721C"/>
    <w:rsid w:val="00E77426"/>
    <w:rsid w:val="00E77B0B"/>
    <w:rsid w:val="00E802A1"/>
    <w:rsid w:val="00E80699"/>
    <w:rsid w:val="00E82446"/>
    <w:rsid w:val="00E82977"/>
    <w:rsid w:val="00E82C39"/>
    <w:rsid w:val="00E83335"/>
    <w:rsid w:val="00E83634"/>
    <w:rsid w:val="00E83882"/>
    <w:rsid w:val="00E838BE"/>
    <w:rsid w:val="00E84324"/>
    <w:rsid w:val="00E85820"/>
    <w:rsid w:val="00E858E0"/>
    <w:rsid w:val="00E85B74"/>
    <w:rsid w:val="00E8692F"/>
    <w:rsid w:val="00E914EB"/>
    <w:rsid w:val="00E91DC0"/>
    <w:rsid w:val="00E926BB"/>
    <w:rsid w:val="00E93B9A"/>
    <w:rsid w:val="00E9541D"/>
    <w:rsid w:val="00E97680"/>
    <w:rsid w:val="00E97CA3"/>
    <w:rsid w:val="00EA05C9"/>
    <w:rsid w:val="00EA0787"/>
    <w:rsid w:val="00EA0841"/>
    <w:rsid w:val="00EA10DD"/>
    <w:rsid w:val="00EA24C3"/>
    <w:rsid w:val="00EA3B7C"/>
    <w:rsid w:val="00EA4155"/>
    <w:rsid w:val="00EA429E"/>
    <w:rsid w:val="00EA50E2"/>
    <w:rsid w:val="00EA5BB5"/>
    <w:rsid w:val="00EA6AE2"/>
    <w:rsid w:val="00EB034D"/>
    <w:rsid w:val="00EB040E"/>
    <w:rsid w:val="00EB1389"/>
    <w:rsid w:val="00EB16CF"/>
    <w:rsid w:val="00EB21C9"/>
    <w:rsid w:val="00EB2EE9"/>
    <w:rsid w:val="00EB3216"/>
    <w:rsid w:val="00EB3A2B"/>
    <w:rsid w:val="00EB5BE2"/>
    <w:rsid w:val="00EB63CA"/>
    <w:rsid w:val="00EB6539"/>
    <w:rsid w:val="00EB6697"/>
    <w:rsid w:val="00EB7E3F"/>
    <w:rsid w:val="00EC0339"/>
    <w:rsid w:val="00EC03A5"/>
    <w:rsid w:val="00EC05B7"/>
    <w:rsid w:val="00EC06E2"/>
    <w:rsid w:val="00EC0703"/>
    <w:rsid w:val="00EC2B72"/>
    <w:rsid w:val="00EC401B"/>
    <w:rsid w:val="00EC4CC2"/>
    <w:rsid w:val="00EC5B15"/>
    <w:rsid w:val="00EC5F03"/>
    <w:rsid w:val="00ED24DE"/>
    <w:rsid w:val="00ED316F"/>
    <w:rsid w:val="00ED402E"/>
    <w:rsid w:val="00ED47EC"/>
    <w:rsid w:val="00ED6992"/>
    <w:rsid w:val="00ED709C"/>
    <w:rsid w:val="00ED7456"/>
    <w:rsid w:val="00ED7B5B"/>
    <w:rsid w:val="00ED7F42"/>
    <w:rsid w:val="00EE0C19"/>
    <w:rsid w:val="00EE1262"/>
    <w:rsid w:val="00EE265E"/>
    <w:rsid w:val="00EE280D"/>
    <w:rsid w:val="00EE385A"/>
    <w:rsid w:val="00EE417D"/>
    <w:rsid w:val="00EE489D"/>
    <w:rsid w:val="00EE55C6"/>
    <w:rsid w:val="00EE5E14"/>
    <w:rsid w:val="00EE6872"/>
    <w:rsid w:val="00EE6E7C"/>
    <w:rsid w:val="00EE782D"/>
    <w:rsid w:val="00EE7BA6"/>
    <w:rsid w:val="00EF0408"/>
    <w:rsid w:val="00EF05E9"/>
    <w:rsid w:val="00EF0A5F"/>
    <w:rsid w:val="00EF166A"/>
    <w:rsid w:val="00EF2FDC"/>
    <w:rsid w:val="00EF4A8B"/>
    <w:rsid w:val="00EF64BE"/>
    <w:rsid w:val="00EF6CF6"/>
    <w:rsid w:val="00EF6DC3"/>
    <w:rsid w:val="00F00978"/>
    <w:rsid w:val="00F01E45"/>
    <w:rsid w:val="00F03DC7"/>
    <w:rsid w:val="00F04383"/>
    <w:rsid w:val="00F047AA"/>
    <w:rsid w:val="00F0509D"/>
    <w:rsid w:val="00F0538C"/>
    <w:rsid w:val="00F05E94"/>
    <w:rsid w:val="00F072BC"/>
    <w:rsid w:val="00F07317"/>
    <w:rsid w:val="00F101DD"/>
    <w:rsid w:val="00F106B7"/>
    <w:rsid w:val="00F10F26"/>
    <w:rsid w:val="00F112A8"/>
    <w:rsid w:val="00F117F4"/>
    <w:rsid w:val="00F119C3"/>
    <w:rsid w:val="00F12077"/>
    <w:rsid w:val="00F122C0"/>
    <w:rsid w:val="00F12951"/>
    <w:rsid w:val="00F134C8"/>
    <w:rsid w:val="00F13603"/>
    <w:rsid w:val="00F13AD1"/>
    <w:rsid w:val="00F14A72"/>
    <w:rsid w:val="00F15458"/>
    <w:rsid w:val="00F1592D"/>
    <w:rsid w:val="00F15C76"/>
    <w:rsid w:val="00F15D70"/>
    <w:rsid w:val="00F17918"/>
    <w:rsid w:val="00F17D4C"/>
    <w:rsid w:val="00F20F9C"/>
    <w:rsid w:val="00F2127F"/>
    <w:rsid w:val="00F21976"/>
    <w:rsid w:val="00F22EF9"/>
    <w:rsid w:val="00F23D8B"/>
    <w:rsid w:val="00F23E06"/>
    <w:rsid w:val="00F26897"/>
    <w:rsid w:val="00F26C68"/>
    <w:rsid w:val="00F2750E"/>
    <w:rsid w:val="00F27836"/>
    <w:rsid w:val="00F27B62"/>
    <w:rsid w:val="00F27FC0"/>
    <w:rsid w:val="00F304F2"/>
    <w:rsid w:val="00F305D9"/>
    <w:rsid w:val="00F317C1"/>
    <w:rsid w:val="00F31B40"/>
    <w:rsid w:val="00F3221C"/>
    <w:rsid w:val="00F32FC8"/>
    <w:rsid w:val="00F34894"/>
    <w:rsid w:val="00F4004D"/>
    <w:rsid w:val="00F407F6"/>
    <w:rsid w:val="00F40FCE"/>
    <w:rsid w:val="00F416BF"/>
    <w:rsid w:val="00F43DFC"/>
    <w:rsid w:val="00F441F1"/>
    <w:rsid w:val="00F44AE4"/>
    <w:rsid w:val="00F454DA"/>
    <w:rsid w:val="00F45600"/>
    <w:rsid w:val="00F458BE"/>
    <w:rsid w:val="00F45A03"/>
    <w:rsid w:val="00F463B8"/>
    <w:rsid w:val="00F470D4"/>
    <w:rsid w:val="00F47218"/>
    <w:rsid w:val="00F510E2"/>
    <w:rsid w:val="00F51467"/>
    <w:rsid w:val="00F51F39"/>
    <w:rsid w:val="00F52330"/>
    <w:rsid w:val="00F529F2"/>
    <w:rsid w:val="00F52DDA"/>
    <w:rsid w:val="00F54427"/>
    <w:rsid w:val="00F546D2"/>
    <w:rsid w:val="00F551FA"/>
    <w:rsid w:val="00F55396"/>
    <w:rsid w:val="00F553EF"/>
    <w:rsid w:val="00F555F0"/>
    <w:rsid w:val="00F5685E"/>
    <w:rsid w:val="00F56C0A"/>
    <w:rsid w:val="00F575A4"/>
    <w:rsid w:val="00F577C1"/>
    <w:rsid w:val="00F604BA"/>
    <w:rsid w:val="00F614A1"/>
    <w:rsid w:val="00F61968"/>
    <w:rsid w:val="00F63151"/>
    <w:rsid w:val="00F645D0"/>
    <w:rsid w:val="00F64A4A"/>
    <w:rsid w:val="00F64E93"/>
    <w:rsid w:val="00F65203"/>
    <w:rsid w:val="00F65592"/>
    <w:rsid w:val="00F663F8"/>
    <w:rsid w:val="00F66EB5"/>
    <w:rsid w:val="00F678B6"/>
    <w:rsid w:val="00F7077A"/>
    <w:rsid w:val="00F720D8"/>
    <w:rsid w:val="00F72194"/>
    <w:rsid w:val="00F72734"/>
    <w:rsid w:val="00F72B0C"/>
    <w:rsid w:val="00F72F2D"/>
    <w:rsid w:val="00F72FD4"/>
    <w:rsid w:val="00F7332F"/>
    <w:rsid w:val="00F7357D"/>
    <w:rsid w:val="00F7419D"/>
    <w:rsid w:val="00F746B2"/>
    <w:rsid w:val="00F74E2C"/>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86BDB"/>
    <w:rsid w:val="00F92CFC"/>
    <w:rsid w:val="00F93CAD"/>
    <w:rsid w:val="00F93D56"/>
    <w:rsid w:val="00F93DAF"/>
    <w:rsid w:val="00F9470A"/>
    <w:rsid w:val="00F94CF7"/>
    <w:rsid w:val="00F95688"/>
    <w:rsid w:val="00F96518"/>
    <w:rsid w:val="00F970BE"/>
    <w:rsid w:val="00F97375"/>
    <w:rsid w:val="00FA0A87"/>
    <w:rsid w:val="00FA2822"/>
    <w:rsid w:val="00FA2E1B"/>
    <w:rsid w:val="00FA3628"/>
    <w:rsid w:val="00FA3F2B"/>
    <w:rsid w:val="00FA3FEB"/>
    <w:rsid w:val="00FA445A"/>
    <w:rsid w:val="00FA59F5"/>
    <w:rsid w:val="00FA709B"/>
    <w:rsid w:val="00FA791F"/>
    <w:rsid w:val="00FB0E8B"/>
    <w:rsid w:val="00FB15D0"/>
    <w:rsid w:val="00FB396D"/>
    <w:rsid w:val="00FB3D6E"/>
    <w:rsid w:val="00FB3FE9"/>
    <w:rsid w:val="00FB4235"/>
    <w:rsid w:val="00FB4258"/>
    <w:rsid w:val="00FB4A67"/>
    <w:rsid w:val="00FB53E2"/>
    <w:rsid w:val="00FB5D63"/>
    <w:rsid w:val="00FB606D"/>
    <w:rsid w:val="00FB6128"/>
    <w:rsid w:val="00FC0FA2"/>
    <w:rsid w:val="00FC1222"/>
    <w:rsid w:val="00FC2717"/>
    <w:rsid w:val="00FC2984"/>
    <w:rsid w:val="00FC29A4"/>
    <w:rsid w:val="00FC42D8"/>
    <w:rsid w:val="00FC5534"/>
    <w:rsid w:val="00FC5A8C"/>
    <w:rsid w:val="00FC64DD"/>
    <w:rsid w:val="00FC6F9A"/>
    <w:rsid w:val="00FC7FD9"/>
    <w:rsid w:val="00FD03FA"/>
    <w:rsid w:val="00FD0462"/>
    <w:rsid w:val="00FD07CB"/>
    <w:rsid w:val="00FD0889"/>
    <w:rsid w:val="00FD0D93"/>
    <w:rsid w:val="00FD1441"/>
    <w:rsid w:val="00FD15C5"/>
    <w:rsid w:val="00FD1924"/>
    <w:rsid w:val="00FD2D0B"/>
    <w:rsid w:val="00FD4218"/>
    <w:rsid w:val="00FD53C6"/>
    <w:rsid w:val="00FD5775"/>
    <w:rsid w:val="00FD5BEE"/>
    <w:rsid w:val="00FD6AEE"/>
    <w:rsid w:val="00FD6C11"/>
    <w:rsid w:val="00FD7913"/>
    <w:rsid w:val="00FE1310"/>
    <w:rsid w:val="00FE1CCB"/>
    <w:rsid w:val="00FE2956"/>
    <w:rsid w:val="00FE2CC8"/>
    <w:rsid w:val="00FE2F96"/>
    <w:rsid w:val="00FE452F"/>
    <w:rsid w:val="00FE462E"/>
    <w:rsid w:val="00FE4714"/>
    <w:rsid w:val="00FE50E9"/>
    <w:rsid w:val="00FE60CA"/>
    <w:rsid w:val="00FE61B8"/>
    <w:rsid w:val="00FE6A95"/>
    <w:rsid w:val="00FE71F0"/>
    <w:rsid w:val="00FE754C"/>
    <w:rsid w:val="00FE7E64"/>
    <w:rsid w:val="00FF0A58"/>
    <w:rsid w:val="00FF138C"/>
    <w:rsid w:val="00FF1F55"/>
    <w:rsid w:val="00FF2742"/>
    <w:rsid w:val="00FF32D9"/>
    <w:rsid w:val="00FF42E8"/>
    <w:rsid w:val="00FF4B84"/>
    <w:rsid w:val="00FF504D"/>
    <w:rsid w:val="00FF56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735927-0F73-49BE-B7B7-BF2D9681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B6DC2"/>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uotidianosanita.it/governo-e-parlamento/articolo.php?articolo_id=101516"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en/events/ema-regular-press-briefing-covid-19-1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header" Target="header2.xml"/><Relationship Id="rId31" Type="http://schemas.openxmlformats.org/officeDocument/2006/relationships/image" Target="media/image11.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ronavirus.gimbe.org"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https://github.com/italia/covid19-opendata-vaccini/tree/master/dati" TargetMode="External"/><Relationship Id="rId3" Type="http://schemas.openxmlformats.org/officeDocument/2006/relationships/styles" Target="styles.xml"/><Relationship Id="rId12" Type="http://schemas.openxmlformats.org/officeDocument/2006/relationships/hyperlink" Target="https://www.epicentro.iss.it/coronavirus/bollettino/Bollettino-sorveglianza-integrata-COVID-19_12-gennaio-2022.pdf"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4ED4-A4CA-4882-801D-AAD4A90F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3210</Words>
  <Characters>18300</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10</cp:revision>
  <cp:lastPrinted>2022-01-12T13:22:00Z</cp:lastPrinted>
  <dcterms:created xsi:type="dcterms:W3CDTF">2022-01-19T19:54:00Z</dcterms:created>
  <dcterms:modified xsi:type="dcterms:W3CDTF">2022-01-20T07:56:00Z</dcterms:modified>
</cp:coreProperties>
</file>