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D06FCC" w:rsidRDefault="00196614" w:rsidP="007F38FE">
      <w:pPr>
        <w:spacing w:after="120"/>
        <w:jc w:val="center"/>
        <w:rPr>
          <w:b/>
          <w:sz w:val="36"/>
          <w:szCs w:val="36"/>
          <w:lang w:eastAsia="it-IT"/>
        </w:rPr>
      </w:pPr>
      <w:r w:rsidRPr="001620F7">
        <w:rPr>
          <w:b/>
          <w:sz w:val="36"/>
          <w:szCs w:val="36"/>
          <w:lang w:eastAsia="it-IT"/>
        </w:rPr>
        <w:t xml:space="preserve">CORONAVIRUS: </w:t>
      </w:r>
      <w:r w:rsidRPr="0096541A">
        <w:rPr>
          <w:b/>
          <w:sz w:val="36"/>
          <w:szCs w:val="36"/>
          <w:lang w:eastAsia="it-IT"/>
        </w:rPr>
        <w:t xml:space="preserve">RADDOPPIANO CONTAGI E DECESSI, </w:t>
      </w:r>
      <w:r w:rsidRPr="0096541A">
        <w:rPr>
          <w:b/>
          <w:sz w:val="36"/>
          <w:szCs w:val="36"/>
          <w:lang w:eastAsia="it-IT"/>
        </w:rPr>
        <w:br/>
        <w:t xml:space="preserve">+66% RICOVERI, +69% TERAPIE INTENSIVE. </w:t>
      </w:r>
      <w:r w:rsidRPr="00D90E1D">
        <w:rPr>
          <w:b/>
          <w:color w:val="FF0000"/>
          <w:sz w:val="36"/>
          <w:szCs w:val="36"/>
          <w:lang w:eastAsia="it-IT"/>
        </w:rPr>
        <w:br/>
      </w:r>
      <w:r w:rsidRPr="0096541A">
        <w:rPr>
          <w:b/>
          <w:sz w:val="36"/>
          <w:szCs w:val="36"/>
          <w:lang w:eastAsia="it-IT"/>
        </w:rPr>
        <w:t>SALTATO L’ARGINE DEL TRACCIAMENTO</w:t>
      </w:r>
    </w:p>
    <w:p w:rsidR="00E56A01" w:rsidRDefault="009D4B7A" w:rsidP="00EC6CAA">
      <w:pPr>
        <w:spacing w:after="120"/>
        <w:jc w:val="both"/>
        <w:rPr>
          <w:b/>
          <w:sz w:val="23"/>
          <w:szCs w:val="23"/>
          <w:lang w:eastAsia="it-IT"/>
        </w:rPr>
      </w:pPr>
      <w:r w:rsidRPr="00D55B56">
        <w:rPr>
          <w:b/>
          <w:sz w:val="23"/>
          <w:szCs w:val="23"/>
          <w:lang w:eastAsia="it-IT"/>
        </w:rPr>
        <w:t xml:space="preserve">IL MONITORAGGIO DELLA FONDAZIONE GIMBE NELLA SETTIMANA </w:t>
      </w:r>
      <w:r w:rsidR="00D90E1D">
        <w:rPr>
          <w:b/>
          <w:sz w:val="23"/>
          <w:szCs w:val="23"/>
          <w:lang w:eastAsia="it-IT"/>
        </w:rPr>
        <w:t>14</w:t>
      </w:r>
      <w:r w:rsidR="00D55B56" w:rsidRPr="00D55B56">
        <w:rPr>
          <w:b/>
          <w:sz w:val="23"/>
          <w:szCs w:val="23"/>
          <w:lang w:eastAsia="it-IT"/>
        </w:rPr>
        <w:t>-</w:t>
      </w:r>
      <w:r w:rsidR="00D90E1D">
        <w:rPr>
          <w:b/>
          <w:sz w:val="23"/>
          <w:szCs w:val="23"/>
          <w:lang w:eastAsia="it-IT"/>
        </w:rPr>
        <w:t>20</w:t>
      </w:r>
      <w:r w:rsidRPr="00D55B56">
        <w:rPr>
          <w:b/>
          <w:sz w:val="23"/>
          <w:szCs w:val="23"/>
          <w:lang w:eastAsia="it-IT"/>
        </w:rPr>
        <w:t xml:space="preserve"> OTTOBRE </w:t>
      </w:r>
      <w:r w:rsidR="00711EF3">
        <w:rPr>
          <w:b/>
          <w:sz w:val="23"/>
          <w:szCs w:val="23"/>
          <w:lang w:eastAsia="it-IT"/>
        </w:rPr>
        <w:t>RILEVA</w:t>
      </w:r>
      <w:r w:rsidR="004973CE">
        <w:rPr>
          <w:b/>
          <w:sz w:val="23"/>
          <w:szCs w:val="23"/>
          <w:lang w:eastAsia="it-IT"/>
        </w:rPr>
        <w:t xml:space="preserve"> </w:t>
      </w:r>
      <w:r w:rsidR="00E56A01">
        <w:rPr>
          <w:rFonts w:cstheme="minorHAnsi"/>
          <w:b/>
        </w:rPr>
        <w:t>IL</w:t>
      </w:r>
      <w:r w:rsidR="001620F7" w:rsidRPr="001620F7">
        <w:rPr>
          <w:rFonts w:cstheme="minorHAnsi"/>
          <w:b/>
        </w:rPr>
        <w:t xml:space="preserve"> PEGGIORAMENTO </w:t>
      </w:r>
      <w:r w:rsidR="001620F7">
        <w:rPr>
          <w:rFonts w:cstheme="minorHAnsi"/>
          <w:b/>
        </w:rPr>
        <w:t>D</w:t>
      </w:r>
      <w:r w:rsidR="00E56A01">
        <w:rPr>
          <w:rFonts w:cstheme="minorHAnsi"/>
          <w:b/>
        </w:rPr>
        <w:t xml:space="preserve">I TUTTI </w:t>
      </w:r>
      <w:r w:rsidR="001620F7">
        <w:rPr>
          <w:rFonts w:cstheme="minorHAnsi"/>
          <w:b/>
        </w:rPr>
        <w:t>GLI INDICATORI DELL’EPIDEMIA</w:t>
      </w:r>
      <w:r w:rsidR="00E56A01">
        <w:rPr>
          <w:rFonts w:cstheme="minorHAnsi"/>
          <w:b/>
        </w:rPr>
        <w:t xml:space="preserve"> E IL FALLIMENTO DELLE STRATEGIE DI TRACCIAMENTO</w:t>
      </w:r>
      <w:r w:rsidR="009225B1">
        <w:rPr>
          <w:rFonts w:cstheme="minorHAnsi"/>
          <w:b/>
        </w:rPr>
        <w:t xml:space="preserve"> IN QUASI IN TUTTE LE REGIONI</w:t>
      </w:r>
      <w:r w:rsidR="001620F7" w:rsidRPr="001620F7">
        <w:rPr>
          <w:b/>
          <w:sz w:val="23"/>
          <w:szCs w:val="23"/>
          <w:lang w:eastAsia="it-IT"/>
        </w:rPr>
        <w:t xml:space="preserve">. </w:t>
      </w:r>
      <w:r w:rsidR="00D0010D" w:rsidRPr="00D0010D">
        <w:rPr>
          <w:b/>
          <w:sz w:val="23"/>
          <w:szCs w:val="23"/>
          <w:lang w:eastAsia="it-IT"/>
        </w:rPr>
        <w:t>SE, COME</w:t>
      </w:r>
      <w:r w:rsidR="00314CCF">
        <w:rPr>
          <w:b/>
          <w:sz w:val="23"/>
          <w:szCs w:val="23"/>
          <w:lang w:eastAsia="it-IT"/>
        </w:rPr>
        <w:t xml:space="preserve"> RIBADITO</w:t>
      </w:r>
      <w:r w:rsidR="00D0010D" w:rsidRPr="00D0010D">
        <w:rPr>
          <w:b/>
          <w:sz w:val="23"/>
          <w:szCs w:val="23"/>
          <w:lang w:eastAsia="it-IT"/>
        </w:rPr>
        <w:t xml:space="preserve"> DAL PREMIER CONTE, L’OBIETTIVO È DI TUTELARE SIA LA SALUTE CHE L’ECONOMIA,</w:t>
      </w:r>
      <w:r w:rsidR="00D0010D">
        <w:rPr>
          <w:b/>
          <w:sz w:val="23"/>
          <w:szCs w:val="23"/>
          <w:lang w:eastAsia="it-IT"/>
        </w:rPr>
        <w:t xml:space="preserve"> </w:t>
      </w:r>
      <w:r w:rsidR="00D76553">
        <w:rPr>
          <w:b/>
          <w:sz w:val="23"/>
          <w:szCs w:val="23"/>
          <w:lang w:eastAsia="it-IT"/>
        </w:rPr>
        <w:t xml:space="preserve">LA POLITICA PRENDA ATTO </w:t>
      </w:r>
      <w:r w:rsidR="00D0010D">
        <w:rPr>
          <w:b/>
          <w:sz w:val="23"/>
          <w:szCs w:val="23"/>
          <w:lang w:eastAsia="it-IT"/>
        </w:rPr>
        <w:t xml:space="preserve">CHE </w:t>
      </w:r>
      <w:r w:rsidR="00E56A01">
        <w:rPr>
          <w:b/>
          <w:sz w:val="23"/>
          <w:szCs w:val="23"/>
          <w:lang w:eastAsia="it-IT"/>
        </w:rPr>
        <w:t xml:space="preserve">LE MISURE INTRODOTTE DAI DUE DPCM, OLTRE ALLE NUOVE RESTRIZIONI IMPOSTE DA ALCUNE REGIONI, SONO </w:t>
      </w:r>
      <w:r w:rsidR="001620F7">
        <w:rPr>
          <w:b/>
          <w:sz w:val="23"/>
          <w:szCs w:val="23"/>
          <w:lang w:eastAsia="it-IT"/>
        </w:rPr>
        <w:t xml:space="preserve">INSUFFICIENTI </w:t>
      </w:r>
      <w:r w:rsidR="00D0010D">
        <w:rPr>
          <w:b/>
          <w:sz w:val="23"/>
          <w:szCs w:val="23"/>
          <w:lang w:eastAsia="it-IT"/>
        </w:rPr>
        <w:t xml:space="preserve">E TARDIVE </w:t>
      </w:r>
      <w:r w:rsidR="0027695E">
        <w:rPr>
          <w:b/>
          <w:sz w:val="23"/>
          <w:szCs w:val="23"/>
          <w:lang w:eastAsia="it-IT"/>
        </w:rPr>
        <w:t>RISPETTO</w:t>
      </w:r>
      <w:r w:rsidR="00E56A01">
        <w:rPr>
          <w:b/>
          <w:sz w:val="23"/>
          <w:szCs w:val="23"/>
          <w:lang w:eastAsia="it-IT"/>
        </w:rPr>
        <w:t xml:space="preserve"> AL TREND DI CRESCITA DELLA CURVA EPIDEMICA</w:t>
      </w:r>
      <w:r w:rsidR="00681040">
        <w:rPr>
          <w:b/>
          <w:sz w:val="23"/>
          <w:szCs w:val="23"/>
          <w:lang w:eastAsia="it-IT"/>
        </w:rPr>
        <w:t>. PER PREVENIRE</w:t>
      </w:r>
      <w:r w:rsidR="00E56A01">
        <w:rPr>
          <w:b/>
          <w:sz w:val="23"/>
          <w:szCs w:val="23"/>
          <w:lang w:eastAsia="it-IT"/>
        </w:rPr>
        <w:t xml:space="preserve"> SOVRACCARICO DI OSPEDALI E TERAPIE INTENSIVE</w:t>
      </w:r>
      <w:r w:rsidR="00681040">
        <w:rPr>
          <w:b/>
          <w:sz w:val="23"/>
          <w:szCs w:val="23"/>
          <w:lang w:eastAsia="it-IT"/>
        </w:rPr>
        <w:t xml:space="preserve"> E IL CONSEGUENTE INCREMENTO DELLA LETALITÀ </w:t>
      </w:r>
      <w:r w:rsidR="00E56A01">
        <w:rPr>
          <w:b/>
          <w:sz w:val="23"/>
          <w:szCs w:val="23"/>
          <w:lang w:eastAsia="it-IT"/>
        </w:rPr>
        <w:t>SE</w:t>
      </w:r>
      <w:r w:rsidR="00681040">
        <w:rPr>
          <w:b/>
          <w:sz w:val="23"/>
          <w:szCs w:val="23"/>
          <w:lang w:eastAsia="it-IT"/>
        </w:rPr>
        <w:t xml:space="preserve">RVONO </w:t>
      </w:r>
      <w:r w:rsidR="009225B1">
        <w:rPr>
          <w:b/>
          <w:sz w:val="23"/>
          <w:szCs w:val="23"/>
          <w:lang w:eastAsia="it-IT"/>
        </w:rPr>
        <w:t xml:space="preserve">IMMEDIATAMENTE </w:t>
      </w:r>
      <w:r w:rsidR="00E56A01">
        <w:rPr>
          <w:b/>
          <w:sz w:val="23"/>
          <w:szCs w:val="23"/>
          <w:lang w:eastAsia="it-IT"/>
        </w:rPr>
        <w:t xml:space="preserve">MISURE </w:t>
      </w:r>
      <w:r w:rsidR="00681040">
        <w:rPr>
          <w:b/>
          <w:sz w:val="23"/>
          <w:szCs w:val="23"/>
          <w:lang w:eastAsia="it-IT"/>
        </w:rPr>
        <w:t xml:space="preserve">DI CONTENIMENTO </w:t>
      </w:r>
      <w:r w:rsidR="00E56A01">
        <w:rPr>
          <w:b/>
          <w:sz w:val="23"/>
          <w:szCs w:val="23"/>
          <w:lang w:eastAsia="it-IT"/>
        </w:rPr>
        <w:t>PIÙ RIGOROSE</w:t>
      </w:r>
      <w:r w:rsidR="00681040">
        <w:rPr>
          <w:b/>
          <w:sz w:val="23"/>
          <w:szCs w:val="23"/>
          <w:lang w:eastAsia="it-IT"/>
        </w:rPr>
        <w:t xml:space="preserve"> NELLE AREE A MAGGIOR DIFFUSIONE DEL CONTAGIO </w:t>
      </w:r>
      <w:r w:rsidR="0027695E">
        <w:rPr>
          <w:b/>
          <w:sz w:val="23"/>
          <w:szCs w:val="23"/>
          <w:lang w:eastAsia="it-IT"/>
        </w:rPr>
        <w:t xml:space="preserve">AL FINE DI </w:t>
      </w:r>
      <w:r w:rsidR="00E56A01">
        <w:rPr>
          <w:b/>
          <w:sz w:val="23"/>
          <w:szCs w:val="23"/>
          <w:lang w:eastAsia="it-IT"/>
        </w:rPr>
        <w:t>EVITARE UN NUOV</w:t>
      </w:r>
      <w:r w:rsidR="00681040">
        <w:rPr>
          <w:b/>
          <w:sz w:val="23"/>
          <w:szCs w:val="23"/>
          <w:lang w:eastAsia="it-IT"/>
        </w:rPr>
        <w:t>O LOCKDOWN GENERALIZZATO.</w:t>
      </w:r>
      <w:bookmarkStart w:id="0" w:name="_GoBack"/>
      <w:bookmarkEnd w:id="0"/>
    </w:p>
    <w:p w:rsidR="00B443D8" w:rsidRPr="00734A61" w:rsidRDefault="00D90E1D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22</w:t>
      </w:r>
      <w:r w:rsidR="00095DA9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ottobre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C004A0" w:rsidRPr="000D2C51" w:rsidRDefault="00406DC9" w:rsidP="000D2C51">
      <w:pPr>
        <w:spacing w:after="120"/>
        <w:jc w:val="both"/>
        <w:rPr>
          <w:lang w:eastAsia="it-IT"/>
        </w:rPr>
      </w:pPr>
      <w:r w:rsidRPr="000D2C51">
        <w:rPr>
          <w:lang w:eastAsia="it-IT"/>
        </w:rPr>
        <w:t xml:space="preserve">Il monitoraggio indipendente della Fondazione GIMBE </w:t>
      </w:r>
      <w:r w:rsidR="00E9357F" w:rsidRPr="000D2C51">
        <w:t xml:space="preserve">rileva </w:t>
      </w:r>
      <w:r w:rsidRPr="000D2C51">
        <w:t>n</w:t>
      </w:r>
      <w:r w:rsidR="00DD06F4" w:rsidRPr="000D2C51">
        <w:t xml:space="preserve">ella settimana </w:t>
      </w:r>
      <w:r w:rsidR="00D90E1D" w:rsidRPr="000D2C51">
        <w:t>14</w:t>
      </w:r>
      <w:r w:rsidR="00D55B56" w:rsidRPr="000D2C51">
        <w:t>-</w:t>
      </w:r>
      <w:r w:rsidR="00D90E1D" w:rsidRPr="000D2C51">
        <w:t>20</w:t>
      </w:r>
      <w:r w:rsidR="00734A61" w:rsidRPr="000D2C51">
        <w:t xml:space="preserve"> ottobre</w:t>
      </w:r>
      <w:r w:rsidR="00A73F90" w:rsidRPr="000D2C51">
        <w:t xml:space="preserve">, rispetto alla precedente, </w:t>
      </w:r>
      <w:r w:rsidR="005862D2" w:rsidRPr="000D2C51">
        <w:rPr>
          <w:lang w:eastAsia="it-IT"/>
        </w:rPr>
        <w:t>un</w:t>
      </w:r>
      <w:r w:rsidR="002D6D5F" w:rsidRPr="000D2C51">
        <w:rPr>
          <w:lang w:eastAsia="it-IT"/>
        </w:rPr>
        <w:t xml:space="preserve"> incremento </w:t>
      </w:r>
      <w:r w:rsidR="00464523" w:rsidRPr="000D2C51">
        <w:rPr>
          <w:lang w:eastAsia="it-IT"/>
        </w:rPr>
        <w:t xml:space="preserve">esponenziale </w:t>
      </w:r>
      <w:r w:rsidR="00A9533C" w:rsidRPr="000D2C51">
        <w:rPr>
          <w:lang w:eastAsia="it-IT"/>
        </w:rPr>
        <w:t xml:space="preserve">nel trend </w:t>
      </w:r>
      <w:r w:rsidR="00DD06F4" w:rsidRPr="000D2C51">
        <w:rPr>
          <w:lang w:eastAsia="it-IT"/>
        </w:rPr>
        <w:t>dei nuovi casi (</w:t>
      </w:r>
      <w:r w:rsidR="000D2C51" w:rsidRPr="000D2C51">
        <w:rPr>
          <w:lang w:eastAsia="it-IT"/>
        </w:rPr>
        <w:t>68.982 vs 35.204</w:t>
      </w:r>
      <w:r w:rsidR="00796E28" w:rsidRPr="000D2C51">
        <w:rPr>
          <w:lang w:eastAsia="it-IT"/>
        </w:rPr>
        <w:t>)</w:t>
      </w:r>
      <w:r w:rsidR="006B448E" w:rsidRPr="000D2C51">
        <w:rPr>
          <w:lang w:eastAsia="it-IT"/>
        </w:rPr>
        <w:t xml:space="preserve"> </w:t>
      </w:r>
      <w:r w:rsidR="004D602F" w:rsidRPr="000D2C51">
        <w:rPr>
          <w:lang w:eastAsia="it-IT"/>
        </w:rPr>
        <w:t xml:space="preserve">a fronte di </w:t>
      </w:r>
      <w:r w:rsidR="002D6D5F" w:rsidRPr="000D2C51">
        <w:rPr>
          <w:lang w:eastAsia="it-IT"/>
        </w:rPr>
        <w:t xml:space="preserve">un </w:t>
      </w:r>
      <w:r w:rsidR="00F454DE">
        <w:rPr>
          <w:lang w:eastAsia="it-IT"/>
        </w:rPr>
        <w:t xml:space="preserve">rilevante </w:t>
      </w:r>
      <w:r w:rsidR="00D55B56" w:rsidRPr="000D2C51">
        <w:rPr>
          <w:lang w:eastAsia="it-IT"/>
        </w:rPr>
        <w:t>aumento</w:t>
      </w:r>
      <w:r w:rsidR="00B92745" w:rsidRPr="000D2C51">
        <w:rPr>
          <w:lang w:eastAsia="it-IT"/>
        </w:rPr>
        <w:t xml:space="preserve"> </w:t>
      </w:r>
      <w:r w:rsidR="00D55B56" w:rsidRPr="000D2C51">
        <w:rPr>
          <w:lang w:eastAsia="it-IT"/>
        </w:rPr>
        <w:t xml:space="preserve">dei </w:t>
      </w:r>
      <w:r w:rsidR="006B448E" w:rsidRPr="000D2C51">
        <w:rPr>
          <w:lang w:eastAsia="it-IT"/>
        </w:rPr>
        <w:t>casi testati (</w:t>
      </w:r>
      <w:r w:rsidR="000D2C51" w:rsidRPr="000D2C51">
        <w:rPr>
          <w:lang w:eastAsia="it-IT"/>
        </w:rPr>
        <w:t xml:space="preserve">630.929 vs </w:t>
      </w:r>
      <w:r w:rsidR="00D55B56" w:rsidRPr="000D2C51">
        <w:rPr>
          <w:rFonts w:eastAsia="Times New Roman"/>
          <w:lang w:eastAsia="it-IT"/>
        </w:rPr>
        <w:t>505.940</w:t>
      </w:r>
      <w:r w:rsidR="004D602F" w:rsidRPr="000D2C51">
        <w:rPr>
          <w:lang w:eastAsia="it-IT"/>
        </w:rPr>
        <w:t>)</w:t>
      </w:r>
      <w:r w:rsidR="00194FA7" w:rsidRPr="000D2C51">
        <w:rPr>
          <w:lang w:eastAsia="it-IT"/>
        </w:rPr>
        <w:t xml:space="preserve"> </w:t>
      </w:r>
      <w:r w:rsidR="00A12E11" w:rsidRPr="000D2C51">
        <w:rPr>
          <w:lang w:eastAsia="it-IT"/>
        </w:rPr>
        <w:t xml:space="preserve">e di </w:t>
      </w:r>
      <w:r w:rsidR="00194FA7" w:rsidRPr="000D2C51">
        <w:rPr>
          <w:lang w:eastAsia="it-IT"/>
        </w:rPr>
        <w:t xml:space="preserve">un </w:t>
      </w:r>
      <w:r w:rsidR="000D2C51" w:rsidRPr="000D2C51">
        <w:rPr>
          <w:lang w:eastAsia="it-IT"/>
        </w:rPr>
        <w:t xml:space="preserve">ulteriore </w:t>
      </w:r>
      <w:r w:rsidR="00194FA7" w:rsidRPr="000D2C51">
        <w:rPr>
          <w:lang w:eastAsia="it-IT"/>
        </w:rPr>
        <w:t xml:space="preserve">netto </w:t>
      </w:r>
      <w:r w:rsidR="00F23A93" w:rsidRPr="000D2C51">
        <w:rPr>
          <w:lang w:eastAsia="it-IT"/>
        </w:rPr>
        <w:t xml:space="preserve">incremento </w:t>
      </w:r>
      <w:r w:rsidR="00703E54" w:rsidRPr="000D2C51">
        <w:rPr>
          <w:lang w:eastAsia="it-IT"/>
        </w:rPr>
        <w:t>del rapporto positivi/casi testati (</w:t>
      </w:r>
      <w:r w:rsidR="000D2C51" w:rsidRPr="000D2C51">
        <w:rPr>
          <w:lang w:eastAsia="it-IT"/>
        </w:rPr>
        <w:t xml:space="preserve">10,9% vs </w:t>
      </w:r>
      <w:r w:rsidR="00D55B56" w:rsidRPr="000D2C51">
        <w:rPr>
          <w:lang w:eastAsia="it-IT"/>
        </w:rPr>
        <w:t>7%</w:t>
      </w:r>
      <w:r w:rsidR="00703E54" w:rsidRPr="000D2C51">
        <w:rPr>
          <w:lang w:eastAsia="it-IT"/>
        </w:rPr>
        <w:t>)</w:t>
      </w:r>
      <w:r w:rsidR="006B448E" w:rsidRPr="000D2C51">
        <w:rPr>
          <w:lang w:eastAsia="it-IT"/>
        </w:rPr>
        <w:t xml:space="preserve">. Dal punto di vista epidemiologico </w:t>
      </w:r>
      <w:r w:rsidR="00A9533C" w:rsidRPr="000D2C51">
        <w:rPr>
          <w:lang w:eastAsia="it-IT"/>
        </w:rPr>
        <w:t xml:space="preserve">crescono </w:t>
      </w:r>
      <w:r w:rsidR="006B448E" w:rsidRPr="000D2C51">
        <w:rPr>
          <w:lang w:eastAsia="it-IT"/>
        </w:rPr>
        <w:t>i</w:t>
      </w:r>
      <w:r w:rsidR="00D33012" w:rsidRPr="000D2C51">
        <w:rPr>
          <w:lang w:eastAsia="it-IT"/>
        </w:rPr>
        <w:t xml:space="preserve"> casi attualmente positivi (</w:t>
      </w:r>
      <w:r w:rsidR="000D2C51" w:rsidRPr="000D2C51">
        <w:rPr>
          <w:lang w:eastAsia="it-IT"/>
        </w:rPr>
        <w:t xml:space="preserve">142.739 vs </w:t>
      </w:r>
      <w:r w:rsidR="00D55B56" w:rsidRPr="000D2C51">
        <w:rPr>
          <w:lang w:eastAsia="it-IT"/>
        </w:rPr>
        <w:t>87.193</w:t>
      </w:r>
      <w:r w:rsidR="00D33012" w:rsidRPr="000D2C51">
        <w:rPr>
          <w:lang w:eastAsia="it-IT"/>
        </w:rPr>
        <w:t>)</w:t>
      </w:r>
      <w:r w:rsidR="006B448E" w:rsidRPr="000D2C51">
        <w:rPr>
          <w:lang w:eastAsia="it-IT"/>
        </w:rPr>
        <w:t xml:space="preserve"> e</w:t>
      </w:r>
      <w:r w:rsidR="003F4EAB" w:rsidRPr="000D2C51">
        <w:rPr>
          <w:lang w:eastAsia="it-IT"/>
        </w:rPr>
        <w:t>,</w:t>
      </w:r>
      <w:r w:rsidR="005B05C3" w:rsidRPr="000D2C51">
        <w:rPr>
          <w:lang w:eastAsia="it-IT"/>
        </w:rPr>
        <w:t xml:space="preserve"> sul </w:t>
      </w:r>
      <w:r w:rsidR="003F4EAB" w:rsidRPr="000D2C51">
        <w:rPr>
          <w:lang w:eastAsia="it-IT"/>
        </w:rPr>
        <w:t xml:space="preserve">fronte </w:t>
      </w:r>
      <w:r w:rsidR="006B448E" w:rsidRPr="000D2C51">
        <w:rPr>
          <w:lang w:eastAsia="it-IT"/>
        </w:rPr>
        <w:t>degli ospedali</w:t>
      </w:r>
      <w:r w:rsidR="003F4EAB" w:rsidRPr="000D2C51">
        <w:rPr>
          <w:lang w:eastAsia="it-IT"/>
        </w:rPr>
        <w:t>,</w:t>
      </w:r>
      <w:r w:rsidR="007376ED" w:rsidRPr="000D2C51">
        <w:rPr>
          <w:lang w:eastAsia="it-IT"/>
        </w:rPr>
        <w:t xml:space="preserve"> </w:t>
      </w:r>
      <w:r w:rsidR="00F454DE">
        <w:rPr>
          <w:lang w:eastAsia="it-IT"/>
        </w:rPr>
        <w:t>si registra un’</w:t>
      </w:r>
      <w:r w:rsidR="004225BB" w:rsidRPr="000D2C51">
        <w:rPr>
          <w:lang w:eastAsia="it-IT"/>
        </w:rPr>
        <w:t>impennata dei</w:t>
      </w:r>
      <w:r w:rsidR="006B448E" w:rsidRPr="000D2C51">
        <w:rPr>
          <w:lang w:eastAsia="it-IT"/>
        </w:rPr>
        <w:t xml:space="preserve"> </w:t>
      </w:r>
      <w:r w:rsidR="0046598E" w:rsidRPr="000D2C51">
        <w:rPr>
          <w:lang w:eastAsia="it-IT"/>
        </w:rPr>
        <w:t xml:space="preserve">pazienti </w:t>
      </w:r>
      <w:r w:rsidR="008F1BD5" w:rsidRPr="000D2C51">
        <w:rPr>
          <w:lang w:eastAsia="it-IT"/>
        </w:rPr>
        <w:t>ricoverati con sintomi</w:t>
      </w:r>
      <w:r w:rsidR="00CD1202" w:rsidRPr="000D2C51">
        <w:rPr>
          <w:lang w:eastAsia="it-IT"/>
        </w:rPr>
        <w:t xml:space="preserve"> </w:t>
      </w:r>
      <w:r w:rsidR="007B4206" w:rsidRPr="000D2C51">
        <w:rPr>
          <w:lang w:eastAsia="it-IT"/>
        </w:rPr>
        <w:t>(</w:t>
      </w:r>
      <w:r w:rsidR="000D2C51" w:rsidRPr="000D2C51">
        <w:rPr>
          <w:lang w:eastAsia="it-IT"/>
        </w:rPr>
        <w:t xml:space="preserve">8.454 vs </w:t>
      </w:r>
      <w:r w:rsidR="00D55B56" w:rsidRPr="000D2C51">
        <w:rPr>
          <w:lang w:eastAsia="it-IT"/>
        </w:rPr>
        <w:t>5.076</w:t>
      </w:r>
      <w:r w:rsidR="007B4206" w:rsidRPr="000D2C51">
        <w:rPr>
          <w:lang w:eastAsia="it-IT"/>
        </w:rPr>
        <w:t>)</w:t>
      </w:r>
      <w:r w:rsidR="006B448E" w:rsidRPr="000D2C51">
        <w:rPr>
          <w:lang w:eastAsia="it-IT"/>
        </w:rPr>
        <w:t xml:space="preserve"> e </w:t>
      </w:r>
      <w:r w:rsidR="0046598E" w:rsidRPr="000D2C51">
        <w:rPr>
          <w:lang w:eastAsia="it-IT"/>
        </w:rPr>
        <w:t>in terapia intensiva (</w:t>
      </w:r>
      <w:r w:rsidR="000D2C51" w:rsidRPr="000D2C51">
        <w:rPr>
          <w:lang w:eastAsia="it-IT"/>
        </w:rPr>
        <w:t xml:space="preserve">870 vs </w:t>
      </w:r>
      <w:r w:rsidR="00D55B56" w:rsidRPr="000D2C51">
        <w:rPr>
          <w:lang w:eastAsia="it-IT"/>
        </w:rPr>
        <w:t>514</w:t>
      </w:r>
      <w:r w:rsidR="00F469C4" w:rsidRPr="000D2C51">
        <w:rPr>
          <w:lang w:eastAsia="it-IT"/>
        </w:rPr>
        <w:t>)</w:t>
      </w:r>
      <w:r w:rsidR="006B448E" w:rsidRPr="000D2C51">
        <w:rPr>
          <w:lang w:eastAsia="it-IT"/>
        </w:rPr>
        <w:t>.</w:t>
      </w:r>
      <w:r w:rsidR="00D55B56" w:rsidRPr="000D2C51">
        <w:rPr>
          <w:lang w:eastAsia="it-IT"/>
        </w:rPr>
        <w:t xml:space="preserve"> </w:t>
      </w:r>
      <w:r w:rsidR="00F454DE">
        <w:rPr>
          <w:lang w:eastAsia="it-IT"/>
        </w:rPr>
        <w:t>Più che raddoppiati i</w:t>
      </w:r>
      <w:r w:rsidR="0061393A" w:rsidRPr="000D2C51">
        <w:rPr>
          <w:lang w:eastAsia="it-IT"/>
        </w:rPr>
        <w:t xml:space="preserve"> </w:t>
      </w:r>
      <w:r w:rsidR="00F469C4" w:rsidRPr="000D2C51">
        <w:rPr>
          <w:lang w:eastAsia="it-IT"/>
        </w:rPr>
        <w:t>decessi</w:t>
      </w:r>
      <w:r w:rsidR="00BE59CF" w:rsidRPr="000D2C51">
        <w:rPr>
          <w:lang w:eastAsia="it-IT"/>
        </w:rPr>
        <w:t xml:space="preserve"> (</w:t>
      </w:r>
      <w:r w:rsidR="000D2C51" w:rsidRPr="000D2C51">
        <w:rPr>
          <w:lang w:eastAsia="it-IT"/>
        </w:rPr>
        <w:t xml:space="preserve">459 vs </w:t>
      </w:r>
      <w:r w:rsidR="00D55B56" w:rsidRPr="000D2C51">
        <w:rPr>
          <w:lang w:eastAsia="it-IT"/>
        </w:rPr>
        <w:t>216</w:t>
      </w:r>
      <w:r w:rsidR="00BE59CF" w:rsidRPr="000D2C51">
        <w:rPr>
          <w:lang w:eastAsia="it-IT"/>
        </w:rPr>
        <w:t>)</w:t>
      </w:r>
      <w:r w:rsidR="0061393A" w:rsidRPr="000D2C51">
        <w:rPr>
          <w:lang w:eastAsia="it-IT"/>
        </w:rPr>
        <w:t>.</w:t>
      </w:r>
    </w:p>
    <w:p w:rsidR="00756BF5" w:rsidRPr="000D2C51" w:rsidRDefault="0069637C" w:rsidP="00EC6CAA">
      <w:pPr>
        <w:spacing w:after="120"/>
        <w:jc w:val="both"/>
        <w:rPr>
          <w:lang w:eastAsia="it-IT"/>
        </w:rPr>
      </w:pPr>
      <w:r w:rsidRPr="000D2C51">
        <w:rPr>
          <w:lang w:eastAsia="it-IT"/>
        </w:rPr>
        <w:t xml:space="preserve">In </w:t>
      </w:r>
      <w:r w:rsidR="00C036E5" w:rsidRPr="000D2C51">
        <w:rPr>
          <w:lang w:eastAsia="it-IT"/>
        </w:rPr>
        <w:t>dettaglio</w:t>
      </w:r>
      <w:r w:rsidR="003442B9" w:rsidRPr="000D2C51">
        <w:t xml:space="preserve">, </w:t>
      </w:r>
      <w:r w:rsidR="00BE59CF" w:rsidRPr="000D2C51">
        <w:t xml:space="preserve">rispetto alla settimana precedente, </w:t>
      </w:r>
      <w:r w:rsidR="00742EE2" w:rsidRPr="000D2C51">
        <w:t>si registrano le seguenti variazioni</w:t>
      </w:r>
      <w:r w:rsidRPr="000D2C51">
        <w:rPr>
          <w:lang w:eastAsia="it-IT"/>
        </w:rPr>
        <w:t>:</w:t>
      </w:r>
      <w:r w:rsidR="006842FB" w:rsidRPr="000D2C51">
        <w:rPr>
          <w:lang w:eastAsia="it-IT"/>
        </w:rPr>
        <w:t xml:space="preserve"> </w:t>
      </w:r>
    </w:p>
    <w:p w:rsidR="005E1B70" w:rsidRPr="000D2C51" w:rsidRDefault="00300572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>D</w:t>
      </w:r>
      <w:r w:rsidR="005E1B70" w:rsidRPr="000D2C51">
        <w:t xml:space="preserve">ecessi: </w:t>
      </w:r>
      <w:r w:rsidR="000D2C51" w:rsidRPr="000D2C51">
        <w:t>243</w:t>
      </w:r>
      <w:r w:rsidR="003442B9" w:rsidRPr="000D2C51">
        <w:t xml:space="preserve"> (</w:t>
      </w:r>
      <w:r w:rsidR="00F373A1" w:rsidRPr="000D2C51">
        <w:t>+</w:t>
      </w:r>
      <w:r w:rsidR="000D2C51" w:rsidRPr="000D2C51">
        <w:t>112</w:t>
      </w:r>
      <w:r w:rsidR="00D55B56" w:rsidRPr="000D2C51">
        <w:t>,</w:t>
      </w:r>
      <w:r w:rsidR="000D2C51" w:rsidRPr="000D2C51">
        <w:t>5</w:t>
      </w:r>
      <w:r w:rsidR="005862D2" w:rsidRPr="000D2C51">
        <w:t>%)</w:t>
      </w:r>
    </w:p>
    <w:p w:rsidR="005E1B70" w:rsidRPr="000D2C51" w:rsidRDefault="005E1B70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 xml:space="preserve">Terapia intensiva: </w:t>
      </w:r>
      <w:r w:rsidR="003565EE" w:rsidRPr="000D2C51">
        <w:t>+</w:t>
      </w:r>
      <w:r w:rsidR="000D2C51" w:rsidRPr="000D2C51">
        <w:t>356</w:t>
      </w:r>
      <w:r w:rsidR="005862D2" w:rsidRPr="000D2C51">
        <w:t xml:space="preserve"> (</w:t>
      </w:r>
      <w:r w:rsidR="000654A3" w:rsidRPr="000D2C51">
        <w:t>+</w:t>
      </w:r>
      <w:r w:rsidR="00D55B56" w:rsidRPr="000D2C51">
        <w:t>6</w:t>
      </w:r>
      <w:r w:rsidR="000D2C51" w:rsidRPr="000D2C51">
        <w:t>9</w:t>
      </w:r>
      <w:r w:rsidR="0088282B" w:rsidRPr="000D2C51">
        <w:t>,</w:t>
      </w:r>
      <w:r w:rsidR="000D2C51" w:rsidRPr="000D2C51">
        <w:t>3</w:t>
      </w:r>
      <w:r w:rsidR="003565EE" w:rsidRPr="000D2C51">
        <w:t>%</w:t>
      </w:r>
      <w:r w:rsidR="005862D2" w:rsidRPr="000D2C51">
        <w:t>)</w:t>
      </w:r>
    </w:p>
    <w:p w:rsidR="00DD06F4" w:rsidRPr="000D2C51" w:rsidRDefault="00DD06F4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 xml:space="preserve">Ricoverati con sintomi: </w:t>
      </w:r>
      <w:r w:rsidR="00C91BCF" w:rsidRPr="000D2C51">
        <w:t>+</w:t>
      </w:r>
      <w:r w:rsidR="000D2C51" w:rsidRPr="000D2C51">
        <w:t>3.378</w:t>
      </w:r>
      <w:r w:rsidR="00C91BCF" w:rsidRPr="000D2C51">
        <w:t xml:space="preserve"> (+</w:t>
      </w:r>
      <w:r w:rsidR="000D2C51" w:rsidRPr="000D2C51">
        <w:t>66,5</w:t>
      </w:r>
      <w:r w:rsidR="003565EE" w:rsidRPr="000D2C51">
        <w:t>%</w:t>
      </w:r>
      <w:r w:rsidR="005862D2" w:rsidRPr="000D2C51">
        <w:t>)</w:t>
      </w:r>
    </w:p>
    <w:p w:rsidR="005E1B70" w:rsidRPr="000D2C51" w:rsidRDefault="00BE59C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>Nuovi casi</w:t>
      </w:r>
      <w:r w:rsidR="005E1B70" w:rsidRPr="000D2C51">
        <w:t>:</w:t>
      </w:r>
      <w:r w:rsidR="00633FE4" w:rsidRPr="000D2C51">
        <w:t xml:space="preserve"> </w:t>
      </w:r>
      <w:r w:rsidR="000D2C51" w:rsidRPr="000D2C51">
        <w:t>33.778</w:t>
      </w:r>
      <w:r w:rsidR="00404ACE" w:rsidRPr="000D2C51">
        <w:t xml:space="preserve"> </w:t>
      </w:r>
      <w:r w:rsidR="00924C50" w:rsidRPr="000D2C51">
        <w:t>(</w:t>
      </w:r>
      <w:r w:rsidR="00F373A1" w:rsidRPr="000D2C51">
        <w:t>+</w:t>
      </w:r>
      <w:r w:rsidR="000D2C51" w:rsidRPr="000D2C51">
        <w:t>95,</w:t>
      </w:r>
      <w:r w:rsidR="00880FFA">
        <w:t>9</w:t>
      </w:r>
      <w:r w:rsidR="005862D2" w:rsidRPr="000D2C51">
        <w:t>%)</w:t>
      </w:r>
    </w:p>
    <w:p w:rsidR="000B6B1F" w:rsidRPr="000D2C51" w:rsidRDefault="000B6B1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 xml:space="preserve">Casi </w:t>
      </w:r>
      <w:r w:rsidR="00487E15" w:rsidRPr="000D2C51">
        <w:t>attualmente positivi</w:t>
      </w:r>
      <w:r w:rsidR="00595785" w:rsidRPr="000D2C51">
        <w:t xml:space="preserve">: </w:t>
      </w:r>
      <w:r w:rsidR="00F373A1" w:rsidRPr="000D2C51">
        <w:t>+</w:t>
      </w:r>
      <w:r w:rsidR="000D2C51" w:rsidRPr="000D2C51">
        <w:t>55.546</w:t>
      </w:r>
      <w:r w:rsidR="00734A61" w:rsidRPr="000D2C51">
        <w:t xml:space="preserve"> </w:t>
      </w:r>
      <w:r w:rsidR="00F469C4" w:rsidRPr="000D2C51">
        <w:t>(</w:t>
      </w:r>
      <w:r w:rsidR="006B448E" w:rsidRPr="000D2C51">
        <w:t>+</w:t>
      </w:r>
      <w:r w:rsidR="000D2C51" w:rsidRPr="000D2C51">
        <w:t>63,7</w:t>
      </w:r>
      <w:r w:rsidR="00FE10CC" w:rsidRPr="000D2C51">
        <w:t>%</w:t>
      </w:r>
      <w:r w:rsidRPr="000D2C51">
        <w:t>)</w:t>
      </w:r>
    </w:p>
    <w:p w:rsidR="00260775" w:rsidRPr="000D2C51" w:rsidRDefault="002A3D04" w:rsidP="000D2C51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0D2C51">
        <w:t xml:space="preserve">Casi testati </w:t>
      </w:r>
      <w:r w:rsidR="00F373A1" w:rsidRPr="000D2C51">
        <w:t>+</w:t>
      </w:r>
      <w:r w:rsidR="000D2C51" w:rsidRPr="000D2C51">
        <w:t xml:space="preserve">124.989 </w:t>
      </w:r>
      <w:r w:rsidR="0092337D" w:rsidRPr="000D2C51">
        <w:t>(</w:t>
      </w:r>
      <w:r w:rsidR="00F373A1" w:rsidRPr="000D2C51">
        <w:t>+</w:t>
      </w:r>
      <w:r w:rsidR="000D2C51" w:rsidRPr="000D2C51">
        <w:t>24</w:t>
      </w:r>
      <w:r w:rsidR="00D55B56" w:rsidRPr="000D2C51">
        <w:t>,7</w:t>
      </w:r>
      <w:r w:rsidR="003565EE" w:rsidRPr="000D2C51">
        <w:t>%</w:t>
      </w:r>
      <w:r w:rsidR="0092337D" w:rsidRPr="000D2C51">
        <w:t>)</w:t>
      </w:r>
    </w:p>
    <w:p w:rsidR="00260775" w:rsidRPr="000D2C51" w:rsidRDefault="00260775" w:rsidP="000D2C51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0D2C51">
        <w:t xml:space="preserve">Tamponi totali: </w:t>
      </w:r>
      <w:r w:rsidR="00734A61" w:rsidRPr="000D2C51">
        <w:t>+</w:t>
      </w:r>
      <w:r w:rsidR="000D2C51" w:rsidRPr="000D2C51">
        <w:t xml:space="preserve">202.871 </w:t>
      </w:r>
      <w:r w:rsidR="00A149F4" w:rsidRPr="000D2C51">
        <w:t>(</w:t>
      </w:r>
      <w:r w:rsidR="00095DA9" w:rsidRPr="000D2C51">
        <w:t>+</w:t>
      </w:r>
      <w:r w:rsidR="000D2C51" w:rsidRPr="000D2C51">
        <w:t>24</w:t>
      </w:r>
      <w:r w:rsidR="00734A61" w:rsidRPr="000D2C51">
        <w:t>,</w:t>
      </w:r>
      <w:r w:rsidR="000D2C51" w:rsidRPr="000D2C51">
        <w:t>8</w:t>
      </w:r>
      <w:r w:rsidR="00A149F4" w:rsidRPr="000D2C51">
        <w:t>%</w:t>
      </w:r>
      <w:r w:rsidR="009D6AEE" w:rsidRPr="000D2C51">
        <w:t>)</w:t>
      </w:r>
    </w:p>
    <w:p w:rsidR="00D0010D" w:rsidRDefault="00101E1F" w:rsidP="00F02483">
      <w:pPr>
        <w:spacing w:after="120"/>
        <w:jc w:val="both"/>
        <w:rPr>
          <w:rFonts w:cstheme="minorHAnsi"/>
        </w:rPr>
      </w:pPr>
      <w:r w:rsidRPr="00E11E90">
        <w:t xml:space="preserve">«Con l’aumentare vertiginoso dei numeri – spiega </w:t>
      </w:r>
      <w:r w:rsidR="009704D7">
        <w:t xml:space="preserve">Nino </w:t>
      </w:r>
      <w:r w:rsidRPr="00E11E90">
        <w:t>Cartabellotta</w:t>
      </w:r>
      <w:r w:rsidR="009704D7">
        <w:t>, Presidente della Fondazione GIMBE</w:t>
      </w:r>
      <w:r w:rsidRPr="00E11E90">
        <w:t xml:space="preserve"> – il dato nazionale non rende conto d</w:t>
      </w:r>
      <w:r w:rsidR="00B71507">
        <w:t xml:space="preserve">i marcate differenze regionali, oltre che </w:t>
      </w:r>
      <w:r w:rsidRPr="00E11E90">
        <w:t>provinciali</w:t>
      </w:r>
      <w:r w:rsidR="00B71507">
        <w:t>,</w:t>
      </w:r>
      <w:r w:rsidRPr="00E11E90">
        <w:t xml:space="preserve"> che </w:t>
      </w:r>
      <w:r w:rsidR="009704D7">
        <w:t>indicano</w:t>
      </w:r>
      <w:r>
        <w:t xml:space="preserve"> le aree </w:t>
      </w:r>
      <w:r w:rsidR="00B71507">
        <w:t xml:space="preserve">che richiedono </w:t>
      </w:r>
      <w:r w:rsidRPr="00E11E90">
        <w:t xml:space="preserve">provvedimenti più restrittivi </w:t>
      </w:r>
      <w:r>
        <w:t xml:space="preserve">per </w:t>
      </w:r>
      <w:r w:rsidRPr="00E11E90">
        <w:t>circoscrivere tempestivamente tutti i focolai e arginare il contagio diffuso</w:t>
      </w:r>
      <w:r w:rsidRPr="00101E1F">
        <w:rPr>
          <w:rFonts w:cstheme="minorHAnsi"/>
        </w:rPr>
        <w:t xml:space="preserve">». Il report dei principali indicatori documenta un peggioramento in tutte le Regioni </w:t>
      </w:r>
      <w:r>
        <w:rPr>
          <w:rFonts w:cstheme="minorHAnsi"/>
        </w:rPr>
        <w:t>su tutti i fronti</w:t>
      </w:r>
      <w:r w:rsidR="00B71507">
        <w:rPr>
          <w:rFonts w:cstheme="minorHAnsi"/>
        </w:rPr>
        <w:t xml:space="preserve">, fatta eccezione per </w:t>
      </w:r>
      <w:r w:rsidR="00681040">
        <w:rPr>
          <w:rFonts w:cstheme="minorHAnsi"/>
        </w:rPr>
        <w:t xml:space="preserve">il modesto </w:t>
      </w:r>
      <w:r w:rsidR="00B71507">
        <w:rPr>
          <w:rFonts w:cstheme="minorHAnsi"/>
        </w:rPr>
        <w:t>incremento dei casi testati</w:t>
      </w:r>
      <w:r>
        <w:rPr>
          <w:rFonts w:cstheme="minorHAnsi"/>
        </w:rPr>
        <w:t xml:space="preserve"> </w:t>
      </w:r>
      <w:r w:rsidRPr="00101E1F">
        <w:rPr>
          <w:rFonts w:cstheme="minorHAnsi"/>
        </w:rPr>
        <w:t>(</w:t>
      </w:r>
      <w:r w:rsidRPr="00101E1F">
        <w:rPr>
          <w:rFonts w:cstheme="minorHAnsi"/>
          <w:highlight w:val="yellow"/>
        </w:rPr>
        <w:t>tabella</w:t>
      </w:r>
      <w:r w:rsidRPr="00101E1F">
        <w:rPr>
          <w:rFonts w:cstheme="minorHAnsi"/>
        </w:rPr>
        <w:t>).</w:t>
      </w:r>
    </w:p>
    <w:p w:rsidR="00F02483" w:rsidRPr="00D0010D" w:rsidRDefault="007E38FC" w:rsidP="00F02483">
      <w:pPr>
        <w:spacing w:after="120"/>
        <w:jc w:val="both"/>
        <w:rPr>
          <w:rFonts w:cstheme="minorHAnsi"/>
        </w:rPr>
      </w:pPr>
      <w:r w:rsidRPr="000D2C51">
        <w:rPr>
          <w:b/>
          <w:lang w:eastAsia="it-IT"/>
        </w:rPr>
        <w:t>Nuovi casi.</w:t>
      </w:r>
      <w:r w:rsidR="000D73D0" w:rsidRPr="000D2C51">
        <w:rPr>
          <w:b/>
          <w:lang w:eastAsia="it-IT"/>
        </w:rPr>
        <w:t xml:space="preserve"> </w:t>
      </w:r>
      <w:r w:rsidR="00194FA7" w:rsidRPr="000D2C51">
        <w:rPr>
          <w:lang w:eastAsia="it-IT"/>
        </w:rPr>
        <w:t>S</w:t>
      </w:r>
      <w:r w:rsidR="007D4BE9" w:rsidRPr="000D2C51">
        <w:rPr>
          <w:lang w:eastAsia="it-IT"/>
        </w:rPr>
        <w:t xml:space="preserve">i sono registrati </w:t>
      </w:r>
      <w:r w:rsidR="000D2C51" w:rsidRPr="000D2C51">
        <w:t xml:space="preserve">33.778 </w:t>
      </w:r>
      <w:r w:rsidR="007D4BE9" w:rsidRPr="000D2C51">
        <w:rPr>
          <w:lang w:eastAsia="it-IT"/>
        </w:rPr>
        <w:t>nuovi casi</w:t>
      </w:r>
      <w:r w:rsidR="00E37206" w:rsidRPr="000D2C51">
        <w:rPr>
          <w:lang w:eastAsia="it-IT"/>
        </w:rPr>
        <w:t>,</w:t>
      </w:r>
      <w:r w:rsidR="000D2C51" w:rsidRPr="000D2C51">
        <w:rPr>
          <w:lang w:eastAsia="it-IT"/>
        </w:rPr>
        <w:t xml:space="preserve"> quasi il </w:t>
      </w:r>
      <w:r w:rsidR="00E37206" w:rsidRPr="000D2C51">
        <w:rPr>
          <w:lang w:eastAsia="it-IT"/>
        </w:rPr>
        <w:t>doppio rispetto alla settimana precedente</w:t>
      </w:r>
      <w:r w:rsidR="00621372" w:rsidRPr="000D2C51">
        <w:t xml:space="preserve"> </w:t>
      </w:r>
      <w:r w:rsidR="009B1C61" w:rsidRPr="000D2C51">
        <w:t>(</w:t>
      </w:r>
      <w:r w:rsidR="009B1C61" w:rsidRPr="000D2C51">
        <w:rPr>
          <w:highlight w:val="yellow"/>
        </w:rPr>
        <w:t>figura</w:t>
      </w:r>
      <w:r w:rsidR="008E252F" w:rsidRPr="000D2C51">
        <w:rPr>
          <w:highlight w:val="yellow"/>
        </w:rPr>
        <w:t xml:space="preserve"> </w:t>
      </w:r>
      <w:r w:rsidR="00622A81" w:rsidRPr="000D2C51">
        <w:rPr>
          <w:highlight w:val="yellow"/>
        </w:rPr>
        <w:t>1</w:t>
      </w:r>
      <w:r w:rsidR="009B1C61" w:rsidRPr="000D2C51">
        <w:t>)</w:t>
      </w:r>
      <w:r w:rsidR="00E37206" w:rsidRPr="000D2C51">
        <w:t xml:space="preserve">. </w:t>
      </w:r>
      <w:r w:rsidR="00133DCB" w:rsidRPr="000D2C51">
        <w:t>A livello nazionale l</w:t>
      </w:r>
      <w:r w:rsidR="00E37206" w:rsidRPr="000D2C51">
        <w:t xml:space="preserve">’incremento </w:t>
      </w:r>
      <w:r w:rsidR="00194FA7" w:rsidRPr="000D2C51">
        <w:t>percentuale</w:t>
      </w:r>
      <w:r w:rsidR="00E37206" w:rsidRPr="000D2C51">
        <w:t xml:space="preserve"> dei casi</w:t>
      </w:r>
      <w:r w:rsidR="00133DCB" w:rsidRPr="000D2C51">
        <w:t xml:space="preserve"> totali</w:t>
      </w:r>
      <w:r w:rsidR="00194FA7" w:rsidRPr="000D2C51">
        <w:t xml:space="preserve"> </w:t>
      </w:r>
      <w:r w:rsidR="00E37206" w:rsidRPr="000D2C51">
        <w:t xml:space="preserve">è </w:t>
      </w:r>
      <w:r w:rsidR="007D4BE9" w:rsidRPr="000D2C51">
        <w:t>del 1</w:t>
      </w:r>
      <w:r w:rsidR="00880FFA">
        <w:t>8</w:t>
      </w:r>
      <w:r w:rsidR="000D2C51" w:rsidRPr="000D2C51">
        <w:t>,</w:t>
      </w:r>
      <w:r w:rsidR="00880FFA">
        <w:t>9</w:t>
      </w:r>
      <w:r w:rsidR="007D4BE9" w:rsidRPr="000D2C51">
        <w:t>%</w:t>
      </w:r>
      <w:r w:rsidR="00133DCB" w:rsidRPr="000D2C51">
        <w:t>,</w:t>
      </w:r>
      <w:r w:rsidR="007D4BE9" w:rsidRPr="000D2C51">
        <w:t xml:space="preserve"> </w:t>
      </w:r>
      <w:r w:rsidR="00E37206" w:rsidRPr="000D2C51">
        <w:t xml:space="preserve">con </w:t>
      </w:r>
      <w:r w:rsidR="00194FA7" w:rsidRPr="000D2C51">
        <w:t xml:space="preserve">variazioni regionali che oscillano </w:t>
      </w:r>
      <w:r w:rsidR="007D4BE9" w:rsidRPr="000D2C51">
        <w:t xml:space="preserve">dal </w:t>
      </w:r>
      <w:r w:rsidR="00880FFA">
        <w:t>7</w:t>
      </w:r>
      <w:r w:rsidR="000D2C51" w:rsidRPr="000D2C51">
        <w:t>,8</w:t>
      </w:r>
      <w:r w:rsidR="007D4BE9" w:rsidRPr="000D2C51">
        <w:t xml:space="preserve">% della Provincia Autonoma di Trento al </w:t>
      </w:r>
      <w:r w:rsidR="000D2C51" w:rsidRPr="000D2C51">
        <w:t>4</w:t>
      </w:r>
      <w:r w:rsidR="00880FFA">
        <w:t>4</w:t>
      </w:r>
      <w:r w:rsidR="007D4BE9" w:rsidRPr="000D2C51">
        <w:t>,</w:t>
      </w:r>
      <w:r w:rsidR="00880FFA">
        <w:t>9</w:t>
      </w:r>
      <w:r w:rsidR="000D2C51" w:rsidRPr="000D2C51">
        <w:t>% della Campania</w:t>
      </w:r>
      <w:r w:rsidR="007D4BE9" w:rsidRPr="000D2C51">
        <w:t>.</w:t>
      </w:r>
      <w:r w:rsidR="007D4BE9" w:rsidRPr="00D90E1D">
        <w:rPr>
          <w:color w:val="FF0000"/>
        </w:rPr>
        <w:t xml:space="preserve"> </w:t>
      </w:r>
    </w:p>
    <w:p w:rsidR="005E4FE6" w:rsidRDefault="00DD0466" w:rsidP="00C27F9F">
      <w:pPr>
        <w:spacing w:after="120"/>
        <w:jc w:val="both"/>
        <w:rPr>
          <w:lang w:eastAsia="it-IT"/>
        </w:rPr>
      </w:pPr>
      <w:r w:rsidRPr="00114498">
        <w:rPr>
          <w:b/>
          <w:lang w:eastAsia="it-IT"/>
        </w:rPr>
        <w:t>Casi testati.</w:t>
      </w:r>
      <w:r w:rsidRPr="00114498">
        <w:rPr>
          <w:lang w:eastAsia="it-IT"/>
        </w:rPr>
        <w:t xml:space="preserve"> </w:t>
      </w:r>
      <w:r w:rsidR="007A1DA8" w:rsidRPr="00114498">
        <w:rPr>
          <w:lang w:eastAsia="it-IT"/>
        </w:rPr>
        <w:t xml:space="preserve">Anche sul fronte della </w:t>
      </w:r>
      <w:r w:rsidR="007A1DA8" w:rsidRPr="00114498">
        <w:t xml:space="preserve">capacità di testing &amp; tracing </w:t>
      </w:r>
      <w:r w:rsidR="00955993" w:rsidRPr="00114498">
        <w:t>le performance regionali</w:t>
      </w:r>
      <w:r w:rsidR="007A1DA8" w:rsidRPr="00114498">
        <w:t xml:space="preserve"> sono molto variabili</w:t>
      </w:r>
      <w:r w:rsidR="00955993" w:rsidRPr="00114498">
        <w:t xml:space="preserve">: </w:t>
      </w:r>
      <w:r w:rsidR="007A1DA8" w:rsidRPr="00114498">
        <w:t xml:space="preserve">a fronte di una media nazionale di </w:t>
      </w:r>
      <w:r w:rsidR="000D2C51" w:rsidRPr="00114498">
        <w:t>1.045</w:t>
      </w:r>
      <w:r w:rsidR="007A1DA8" w:rsidRPr="00114498">
        <w:t xml:space="preserve"> casi testati per 100.000 abitanti, </w:t>
      </w:r>
      <w:r w:rsidR="004F7098" w:rsidRPr="00114498">
        <w:t>il numero varia</w:t>
      </w:r>
      <w:r w:rsidR="00955993" w:rsidRPr="00114498">
        <w:t xml:space="preserve"> </w:t>
      </w:r>
      <w:r w:rsidR="007A1DA8" w:rsidRPr="00114498">
        <w:t xml:space="preserve">dai </w:t>
      </w:r>
      <w:r w:rsidR="000D2C51" w:rsidRPr="00114498">
        <w:t>561</w:t>
      </w:r>
      <w:r w:rsidR="007A1DA8" w:rsidRPr="00114498">
        <w:t xml:space="preserve"> </w:t>
      </w:r>
      <w:r w:rsidR="000D2C51" w:rsidRPr="00114498">
        <w:t xml:space="preserve">della Provincia Autonoma di Trento </w:t>
      </w:r>
      <w:r w:rsidR="007A1DA8" w:rsidRPr="00114498">
        <w:t>ai 1.</w:t>
      </w:r>
      <w:r w:rsidR="000D2C51" w:rsidRPr="00114498">
        <w:t>832 del Lazio</w:t>
      </w:r>
      <w:r w:rsidR="007A1DA8" w:rsidRPr="00114498">
        <w:t xml:space="preserve">. </w:t>
      </w:r>
      <w:r w:rsidR="005E4FE6" w:rsidRPr="00711EF3">
        <w:t>«</w:t>
      </w:r>
      <w:r w:rsidR="005E4FE6">
        <w:t xml:space="preserve">Il dato </w:t>
      </w:r>
      <w:r w:rsidR="00681040">
        <w:t xml:space="preserve">più </w:t>
      </w:r>
      <w:r w:rsidR="005E4FE6">
        <w:t xml:space="preserve">allarmante </w:t>
      </w:r>
      <w:r w:rsidR="005E4FE6" w:rsidRPr="00711EF3">
        <w:rPr>
          <w:lang w:eastAsia="it-IT"/>
        </w:rPr>
        <w:t xml:space="preserve">– </w:t>
      </w:r>
      <w:r w:rsidR="005E4FE6">
        <w:rPr>
          <w:lang w:eastAsia="it-IT"/>
        </w:rPr>
        <w:t xml:space="preserve">spiega il Presidente </w:t>
      </w:r>
      <w:r w:rsidR="005E4FE6" w:rsidRPr="00711EF3">
        <w:rPr>
          <w:lang w:eastAsia="it-IT"/>
        </w:rPr>
        <w:t>–</w:t>
      </w:r>
      <w:r w:rsidR="005E4FE6">
        <w:t xml:space="preserve"> è la </w:t>
      </w:r>
      <w:r w:rsidR="005E4FE6">
        <w:lastRenderedPageBreak/>
        <w:t xml:space="preserve">brusca impennata del </w:t>
      </w:r>
      <w:r w:rsidR="005E4FE6" w:rsidRPr="00114498">
        <w:t>rapporto positivi/casi testati dal 7% al 10,9%</w:t>
      </w:r>
      <w:r w:rsidR="005E4FE6">
        <w:t xml:space="preserve">, </w:t>
      </w:r>
      <w:r w:rsidR="009704D7">
        <w:t>che</w:t>
      </w:r>
      <w:r w:rsidR="005E4FE6">
        <w:t xml:space="preserve"> </w:t>
      </w:r>
      <w:r w:rsidR="00681040">
        <w:t xml:space="preserve">certifica </w:t>
      </w:r>
      <w:r w:rsidR="00CC7082">
        <w:t>il fallimento de</w:t>
      </w:r>
      <w:r w:rsidR="005E4FE6">
        <w:rPr>
          <w:lang w:eastAsia="it-IT"/>
        </w:rPr>
        <w:t xml:space="preserve">l sistema di testing &amp; tracing </w:t>
      </w:r>
      <w:r w:rsidR="00CC7082">
        <w:rPr>
          <w:lang w:eastAsia="it-IT"/>
        </w:rPr>
        <w:t xml:space="preserve">per </w:t>
      </w:r>
      <w:r w:rsidR="005E4FE6">
        <w:rPr>
          <w:lang w:eastAsia="it-IT"/>
        </w:rPr>
        <w:t xml:space="preserve">arginare </w:t>
      </w:r>
      <w:r w:rsidR="00776D3B">
        <w:rPr>
          <w:lang w:eastAsia="it-IT"/>
        </w:rPr>
        <w:t xml:space="preserve">la diffusione dei </w:t>
      </w:r>
      <w:r w:rsidR="005E4FE6">
        <w:rPr>
          <w:lang w:eastAsia="it-IT"/>
        </w:rPr>
        <w:t>contagi</w:t>
      </w:r>
      <w:r w:rsidR="00CC7082" w:rsidRPr="00101E1F">
        <w:rPr>
          <w:rFonts w:cstheme="minorHAnsi"/>
        </w:rPr>
        <w:t>».</w:t>
      </w:r>
      <w:r w:rsidR="00CC7082">
        <w:rPr>
          <w:rFonts w:cstheme="minorHAnsi"/>
        </w:rPr>
        <w:t xml:space="preserve"> </w:t>
      </w:r>
      <w:r w:rsidR="005E4FE6" w:rsidRPr="005E4FE6">
        <w:rPr>
          <w:lang w:eastAsia="it-IT"/>
        </w:rPr>
        <w:t>Le notevoli variabilità regionali documentano che la “prima diga” è definitivamente saltata in alcune Regioni</w:t>
      </w:r>
      <w:r w:rsidR="005E4FE6">
        <w:rPr>
          <w:lang w:eastAsia="it-IT"/>
        </w:rPr>
        <w:t xml:space="preserve">: ad esempio </w:t>
      </w:r>
      <w:r w:rsidR="00776D3B">
        <w:rPr>
          <w:lang w:eastAsia="it-IT"/>
        </w:rPr>
        <w:t>in</w:t>
      </w:r>
      <w:r w:rsidR="005E4FE6">
        <w:rPr>
          <w:lang w:eastAsia="it-IT"/>
        </w:rPr>
        <w:t xml:space="preserve"> Valle d’Aosta</w:t>
      </w:r>
      <w:r w:rsidR="00776D3B">
        <w:rPr>
          <w:lang w:eastAsia="it-IT"/>
        </w:rPr>
        <w:t xml:space="preserve"> </w:t>
      </w:r>
      <w:r w:rsidR="005E4FE6">
        <w:rPr>
          <w:lang w:eastAsia="it-IT"/>
        </w:rPr>
        <w:t>oltre un caso testato su 3 è positivo e in Liguria quasi 1 su 4 (</w:t>
      </w:r>
      <w:r w:rsidR="005E4FE6" w:rsidRPr="005E4FE6">
        <w:rPr>
          <w:highlight w:val="yellow"/>
          <w:lang w:eastAsia="it-IT"/>
        </w:rPr>
        <w:t>figura 2</w:t>
      </w:r>
      <w:r w:rsidR="005E4FE6">
        <w:rPr>
          <w:lang w:eastAsia="it-IT"/>
        </w:rPr>
        <w:t>)</w:t>
      </w:r>
      <w:r w:rsidR="00776D3B">
        <w:rPr>
          <w:lang w:eastAsia="it-IT"/>
        </w:rPr>
        <w:t>.</w:t>
      </w:r>
    </w:p>
    <w:p w:rsidR="00E11E90" w:rsidRPr="005C1554" w:rsidRDefault="00895E24" w:rsidP="00C27F9F">
      <w:pPr>
        <w:spacing w:after="120"/>
        <w:jc w:val="both"/>
      </w:pPr>
      <w:r w:rsidRPr="00711EF3">
        <w:t>«</w:t>
      </w:r>
      <w:r>
        <w:t>In questa fase di rapida risalita dei contagi</w:t>
      </w:r>
      <w:r w:rsidR="00681040">
        <w:t xml:space="preserve"> </w:t>
      </w:r>
      <w:r w:rsidRPr="00711EF3">
        <w:rPr>
          <w:lang w:eastAsia="it-IT"/>
        </w:rPr>
        <w:t xml:space="preserve">– </w:t>
      </w:r>
      <w:r>
        <w:rPr>
          <w:lang w:eastAsia="it-IT"/>
        </w:rPr>
        <w:t xml:space="preserve">spiega Cartabellotta </w:t>
      </w:r>
      <w:r w:rsidRPr="00711EF3">
        <w:rPr>
          <w:lang w:eastAsia="it-IT"/>
        </w:rPr>
        <w:t>–</w:t>
      </w:r>
      <w:r>
        <w:t xml:space="preserve"> piuttosto che contare i numeri del giorno, </w:t>
      </w:r>
      <w:r w:rsidR="00D815B5">
        <w:t xml:space="preserve">è fondamentale </w:t>
      </w:r>
      <w:r w:rsidR="00CC7082">
        <w:t>seguire la dinamica</w:t>
      </w:r>
      <w:r w:rsidR="00D815B5">
        <w:t xml:space="preserve"> delle curve</w:t>
      </w:r>
      <w:r w:rsidR="00681040">
        <w:t xml:space="preserve"> su base settimanale</w:t>
      </w:r>
      <w:r>
        <w:t xml:space="preserve">. Infatti, </w:t>
      </w:r>
      <w:r w:rsidR="00DF26AE" w:rsidRPr="00711EF3">
        <w:t>dal</w:t>
      </w:r>
      <w:r w:rsidR="00DF26AE">
        <w:t xml:space="preserve"> 6 ottobre</w:t>
      </w:r>
      <w:r w:rsidR="00DF26AE" w:rsidRPr="00711EF3">
        <w:t xml:space="preserve"> </w:t>
      </w:r>
      <w:r w:rsidR="00681040">
        <w:t xml:space="preserve">si impenna </w:t>
      </w:r>
      <w:r w:rsidR="00DF26AE">
        <w:t>i</w:t>
      </w:r>
      <w:r w:rsidR="00681040">
        <w:t>l</w:t>
      </w:r>
      <w:r w:rsidR="00DF26AE" w:rsidRPr="00711EF3">
        <w:t xml:space="preserve"> trend </w:t>
      </w:r>
      <w:r w:rsidR="00DF26AE">
        <w:t xml:space="preserve">dei </w:t>
      </w:r>
      <w:r w:rsidR="00DF26AE" w:rsidRPr="00711EF3">
        <w:t>casi attualmente positivi</w:t>
      </w:r>
      <w:r w:rsidR="00DF26AE">
        <w:t>, dei</w:t>
      </w:r>
      <w:r w:rsidR="00DF26AE" w:rsidRPr="00711EF3">
        <w:t xml:space="preserve"> pazienti ricoverati con sintomi e </w:t>
      </w:r>
      <w:r w:rsidR="00DF26AE">
        <w:t xml:space="preserve">di quelli in </w:t>
      </w:r>
      <w:r w:rsidR="00DF26AE" w:rsidRPr="00711EF3">
        <w:t>terapia</w:t>
      </w:r>
      <w:r w:rsidR="00DF26AE">
        <w:t xml:space="preserve"> </w:t>
      </w:r>
      <w:r w:rsidR="00DF26AE" w:rsidRPr="00711EF3">
        <w:t>intensiva,</w:t>
      </w:r>
      <w:r w:rsidR="00DF26AE">
        <w:t xml:space="preserve"> </w:t>
      </w:r>
      <w:r w:rsidR="00CB54EC">
        <w:t xml:space="preserve">seguito </w:t>
      </w:r>
      <w:r w:rsidR="00681040">
        <w:t xml:space="preserve">una settimana dopo </w:t>
      </w:r>
      <w:r w:rsidR="00DF26AE">
        <w:t>da quello dei decessi</w:t>
      </w:r>
      <w:r w:rsidRPr="00E11E90">
        <w:rPr>
          <w:rFonts w:cstheme="minorHAnsi"/>
        </w:rPr>
        <w:t>»</w:t>
      </w:r>
      <w:r w:rsidR="00681040">
        <w:rPr>
          <w:rFonts w:cstheme="minorHAnsi"/>
        </w:rPr>
        <w:t xml:space="preserve">. In altri termini, anche se </w:t>
      </w:r>
      <w:r w:rsidR="00CB54EC">
        <w:rPr>
          <w:rFonts w:cstheme="minorHAnsi"/>
        </w:rPr>
        <w:t>in termini di numeri assoluti cambia l’ordine di grandezza</w:t>
      </w:r>
      <w:r w:rsidR="00681040">
        <w:rPr>
          <w:rFonts w:cstheme="minorHAnsi"/>
        </w:rPr>
        <w:t>, l’andamento di tutte le curve è ormai molto simile</w:t>
      </w:r>
      <w:r w:rsidR="00DF26AE">
        <w:t xml:space="preserve"> </w:t>
      </w:r>
      <w:r w:rsidR="00DF26AE" w:rsidRPr="00711EF3">
        <w:rPr>
          <w:lang w:eastAsia="it-IT"/>
        </w:rPr>
        <w:t>(</w:t>
      </w:r>
      <w:r w:rsidR="00DF26AE" w:rsidRPr="00220033">
        <w:rPr>
          <w:highlight w:val="yellow"/>
          <w:lang w:eastAsia="it-IT"/>
        </w:rPr>
        <w:t>figura 3</w:t>
      </w:r>
      <w:r w:rsidR="00DF26AE" w:rsidRPr="00711EF3">
        <w:rPr>
          <w:lang w:eastAsia="it-IT"/>
        </w:rPr>
        <w:t>).</w:t>
      </w:r>
      <w:r w:rsidR="00DF26AE">
        <w:t xml:space="preserve"> </w:t>
      </w:r>
      <w:r>
        <w:t>In dettaglio:</w:t>
      </w:r>
    </w:p>
    <w:p w:rsidR="0085447A" w:rsidRPr="00B777F2" w:rsidRDefault="00C94A3A" w:rsidP="006349C9">
      <w:pPr>
        <w:spacing w:after="120"/>
        <w:jc w:val="both"/>
      </w:pPr>
      <w:r w:rsidRPr="00B777F2">
        <w:rPr>
          <w:b/>
          <w:lang w:eastAsia="it-IT"/>
        </w:rPr>
        <w:t>Casi a</w:t>
      </w:r>
      <w:r w:rsidR="000D73D0" w:rsidRPr="00B777F2">
        <w:rPr>
          <w:b/>
          <w:lang w:eastAsia="it-IT"/>
        </w:rPr>
        <w:t>ttualmente positivi</w:t>
      </w:r>
      <w:r w:rsidR="000D73D0" w:rsidRPr="00B777F2">
        <w:rPr>
          <w:lang w:eastAsia="it-IT"/>
        </w:rPr>
        <w:t xml:space="preserve">. </w:t>
      </w:r>
      <w:r w:rsidR="00CB54EC">
        <w:rPr>
          <w:lang w:eastAsia="it-IT"/>
        </w:rPr>
        <w:t>I</w:t>
      </w:r>
      <w:r w:rsidR="00C93369">
        <w:rPr>
          <w:lang w:eastAsia="it-IT"/>
        </w:rPr>
        <w:t xml:space="preserve">l </w:t>
      </w:r>
      <w:r w:rsidR="005E4FE6">
        <w:rPr>
          <w:lang w:eastAsia="it-IT"/>
        </w:rPr>
        <w:t xml:space="preserve">raddoppio dei nuovi casi </w:t>
      </w:r>
      <w:r w:rsidR="004B46CE">
        <w:rPr>
          <w:lang w:eastAsia="it-IT"/>
        </w:rPr>
        <w:t xml:space="preserve">nelle ultime </w:t>
      </w:r>
      <w:r w:rsidR="005E4FE6">
        <w:rPr>
          <w:lang w:eastAsia="it-IT"/>
        </w:rPr>
        <w:t xml:space="preserve">due settimane </w:t>
      </w:r>
      <w:r w:rsidR="008E3095" w:rsidRPr="00B777F2">
        <w:rPr>
          <w:lang w:eastAsia="it-IT"/>
        </w:rPr>
        <w:t xml:space="preserve">ha </w:t>
      </w:r>
      <w:r w:rsidR="00895E24">
        <w:t xml:space="preserve">espanso </w:t>
      </w:r>
      <w:r w:rsidR="00C93369">
        <w:t>i</w:t>
      </w:r>
      <w:r w:rsidR="00CB54EC">
        <w:t>n</w:t>
      </w:r>
      <w:r w:rsidR="00C93369">
        <w:t xml:space="preserve"> maniera rilevante </w:t>
      </w:r>
      <w:r w:rsidR="00895E24">
        <w:t xml:space="preserve">il bacino </w:t>
      </w:r>
      <w:r w:rsidR="008E3095" w:rsidRPr="00B777F2">
        <w:t xml:space="preserve">dei </w:t>
      </w:r>
      <w:r w:rsidR="00B67F4F" w:rsidRPr="00B777F2">
        <w:t>casi attualmente positivi</w:t>
      </w:r>
      <w:r w:rsidR="007D4BE9" w:rsidRPr="00B777F2">
        <w:t xml:space="preserve"> che hanno raggiunto il numero di</w:t>
      </w:r>
      <w:r w:rsidR="001B183D" w:rsidRPr="00B777F2">
        <w:t xml:space="preserve"> </w:t>
      </w:r>
      <w:r w:rsidR="00B777F2" w:rsidRPr="00B777F2">
        <w:t>142.739</w:t>
      </w:r>
      <w:r w:rsidR="00CB54EC">
        <w:t xml:space="preserve">. </w:t>
      </w:r>
      <w:r w:rsidR="00AC3FC8" w:rsidRPr="00B777F2">
        <w:t xml:space="preserve">Al </w:t>
      </w:r>
      <w:r w:rsidR="0092347C">
        <w:t>20</w:t>
      </w:r>
      <w:r w:rsidR="00AC3FC8" w:rsidRPr="00B777F2">
        <w:t xml:space="preserve"> ottobre</w:t>
      </w:r>
      <w:r w:rsidR="004F7098" w:rsidRPr="00B777F2">
        <w:t>,</w:t>
      </w:r>
      <w:r w:rsidR="00AC3FC8" w:rsidRPr="00B777F2">
        <w:t xml:space="preserve"> rispetto ad una media nazionale di </w:t>
      </w:r>
      <w:r w:rsidR="00B777F2" w:rsidRPr="00B777F2">
        <w:t>236</w:t>
      </w:r>
      <w:r w:rsidR="00AC3FC8" w:rsidRPr="00B777F2">
        <w:t xml:space="preserve"> casi attualmente positivi per 100.000 abitanti, il range varia dai </w:t>
      </w:r>
      <w:r w:rsidR="00B777F2" w:rsidRPr="00B777F2">
        <w:t>64</w:t>
      </w:r>
      <w:r w:rsidR="00AC3FC8" w:rsidRPr="00B777F2">
        <w:t xml:space="preserve"> della Calabria ai </w:t>
      </w:r>
      <w:r w:rsidR="00B777F2" w:rsidRPr="00B777F2">
        <w:t>577</w:t>
      </w:r>
      <w:r w:rsidR="00AC3FC8" w:rsidRPr="00B777F2">
        <w:t xml:space="preserve"> della Valle D’Aosta.</w:t>
      </w:r>
    </w:p>
    <w:p w:rsidR="00B777F2" w:rsidRPr="00B777F2" w:rsidRDefault="00AC3FC8" w:rsidP="00497C09">
      <w:pPr>
        <w:spacing w:after="120"/>
        <w:jc w:val="both"/>
      </w:pPr>
      <w:r w:rsidRPr="00B777F2">
        <w:rPr>
          <w:b/>
          <w:lang w:eastAsia="it-IT"/>
        </w:rPr>
        <w:t xml:space="preserve">Ricoveri </w:t>
      </w:r>
      <w:r w:rsidR="008E3095" w:rsidRPr="00B777F2">
        <w:rPr>
          <w:b/>
          <w:lang w:eastAsia="it-IT"/>
        </w:rPr>
        <w:t>e terapie intensive</w:t>
      </w:r>
      <w:r w:rsidRPr="00B777F2">
        <w:rPr>
          <w:b/>
          <w:lang w:eastAsia="it-IT"/>
        </w:rPr>
        <w:t xml:space="preserve">. </w:t>
      </w:r>
      <w:r w:rsidR="00C94A3A" w:rsidRPr="00B777F2">
        <w:rPr>
          <w:lang w:eastAsia="it-IT"/>
        </w:rPr>
        <w:t xml:space="preserve">Anche </w:t>
      </w:r>
      <w:r w:rsidR="0013659A" w:rsidRPr="00B777F2">
        <w:rPr>
          <w:lang w:eastAsia="it-IT"/>
        </w:rPr>
        <w:t>s</w:t>
      </w:r>
      <w:r w:rsidR="007E5D7A" w:rsidRPr="00B777F2">
        <w:rPr>
          <w:lang w:eastAsia="it-IT"/>
        </w:rPr>
        <w:t>ul versante delle ospedalizzazioni</w:t>
      </w:r>
      <w:r w:rsidR="00B20D0D" w:rsidRPr="00B777F2">
        <w:rPr>
          <w:lang w:eastAsia="it-IT"/>
        </w:rPr>
        <w:t xml:space="preserve"> </w:t>
      </w:r>
      <w:r w:rsidR="00743FBB">
        <w:rPr>
          <w:lang w:eastAsia="it-IT"/>
        </w:rPr>
        <w:t xml:space="preserve">il trend </w:t>
      </w:r>
      <w:r w:rsidR="00CE2A76">
        <w:rPr>
          <w:lang w:eastAsia="it-IT"/>
        </w:rPr>
        <w:t xml:space="preserve">è diventato </w:t>
      </w:r>
      <w:r w:rsidR="00743FBB">
        <w:rPr>
          <w:lang w:eastAsia="it-IT"/>
        </w:rPr>
        <w:t>esponenziale</w:t>
      </w:r>
      <w:r w:rsidR="00C93369">
        <w:rPr>
          <w:lang w:eastAsia="it-IT"/>
        </w:rPr>
        <w:t>:</w:t>
      </w:r>
      <w:r w:rsidR="00CE2A76">
        <w:rPr>
          <w:lang w:eastAsia="it-IT"/>
        </w:rPr>
        <w:t xml:space="preserve"> n</w:t>
      </w:r>
      <w:r w:rsidR="00CF6C2D">
        <w:rPr>
          <w:lang w:eastAsia="it-IT"/>
        </w:rPr>
        <w:t xml:space="preserve">ella </w:t>
      </w:r>
      <w:r w:rsidR="00743FBB">
        <w:rPr>
          <w:lang w:eastAsia="it-IT"/>
        </w:rPr>
        <w:t xml:space="preserve">settimana </w:t>
      </w:r>
      <w:r w:rsidR="00CF6C2D">
        <w:rPr>
          <w:lang w:eastAsia="it-IT"/>
        </w:rPr>
        <w:t>14-20 ottobre i pazienti ricoverati con sintomi sono aumentati del 66,5% (+</w:t>
      </w:r>
      <w:r w:rsidR="00CF6C2D" w:rsidRPr="00B777F2">
        <w:t>3.378</w:t>
      </w:r>
      <w:r w:rsidR="00CF6C2D">
        <w:t xml:space="preserve">) e quelli </w:t>
      </w:r>
      <w:r w:rsidR="00CE2A76">
        <w:t xml:space="preserve">in terapia intensiva del </w:t>
      </w:r>
      <w:r w:rsidR="00CE2A76" w:rsidRPr="00B777F2">
        <w:t xml:space="preserve">69,3% </w:t>
      </w:r>
      <w:r w:rsidR="00CF6C2D" w:rsidRPr="00B777F2">
        <w:t>(+</w:t>
      </w:r>
      <w:r w:rsidR="00CE2A76">
        <w:t xml:space="preserve">356), </w:t>
      </w:r>
      <w:r w:rsidR="00CB54EC">
        <w:t>con un</w:t>
      </w:r>
      <w:r w:rsidR="00C93369">
        <w:t xml:space="preserve"> </w:t>
      </w:r>
      <w:r w:rsidR="00CE2A76">
        <w:t>rapporto costante di 10:1</w:t>
      </w:r>
      <w:r w:rsidR="00CB54EC">
        <w:t>.</w:t>
      </w:r>
    </w:p>
    <w:p w:rsidR="005C1554" w:rsidRDefault="007A1DA8" w:rsidP="00354245">
      <w:pPr>
        <w:spacing w:after="120"/>
        <w:jc w:val="both"/>
      </w:pPr>
      <w:r w:rsidRPr="00B777F2">
        <w:rPr>
          <w:b/>
        </w:rPr>
        <w:t>Decessi</w:t>
      </w:r>
      <w:r w:rsidRPr="00B777F2">
        <w:t xml:space="preserve">. </w:t>
      </w:r>
      <w:r w:rsidR="005C1554">
        <w:t xml:space="preserve">Dopo un </w:t>
      </w:r>
      <w:r w:rsidR="00D34A2E" w:rsidRPr="00B777F2">
        <w:t>trend in lento ma costante incremento</w:t>
      </w:r>
      <w:r w:rsidR="00CB54EC">
        <w:t>,</w:t>
      </w:r>
      <w:r w:rsidR="005C1554">
        <w:t xml:space="preserve"> nell’ultima settimana </w:t>
      </w:r>
      <w:r w:rsidR="00E94F86" w:rsidRPr="00B777F2">
        <w:t>i</w:t>
      </w:r>
      <w:r w:rsidR="00D34A2E" w:rsidRPr="00B777F2">
        <w:t xml:space="preserve"> </w:t>
      </w:r>
      <w:r w:rsidR="00497078" w:rsidRPr="00B777F2">
        <w:t>pazienti deceduti</w:t>
      </w:r>
      <w:r w:rsidR="00B9578B">
        <w:t xml:space="preserve"> </w:t>
      </w:r>
      <w:r w:rsidR="005C1554">
        <w:t xml:space="preserve">sono </w:t>
      </w:r>
      <w:r w:rsidR="00DF26AE">
        <w:t xml:space="preserve">più che raddoppiati, passando da </w:t>
      </w:r>
      <w:r w:rsidR="005C1554">
        <w:t xml:space="preserve">216 </w:t>
      </w:r>
      <w:r w:rsidR="00B9578B" w:rsidRPr="00B777F2">
        <w:t>a 459</w:t>
      </w:r>
      <w:r w:rsidR="00C93369">
        <w:t>,</w:t>
      </w:r>
      <w:r w:rsidR="004B46CE">
        <w:t xml:space="preserve"> con un trend </w:t>
      </w:r>
      <w:r w:rsidR="00C93369">
        <w:t xml:space="preserve">di crescita </w:t>
      </w:r>
      <w:r w:rsidR="004B46CE">
        <w:t xml:space="preserve">che </w:t>
      </w:r>
      <w:r w:rsidR="00C93369">
        <w:t xml:space="preserve">si allinea a </w:t>
      </w:r>
      <w:r w:rsidR="004B46CE">
        <w:t>quello dei pazienti ospedalizzati</w:t>
      </w:r>
      <w:r w:rsidR="00C93369">
        <w:t xml:space="preserve"> e in terapia intensiva</w:t>
      </w:r>
      <w:r w:rsidR="00DF26AE">
        <w:t>.</w:t>
      </w:r>
    </w:p>
    <w:p w:rsidR="00005314" w:rsidRPr="00B777F2" w:rsidRDefault="00005314" w:rsidP="00354245">
      <w:pPr>
        <w:spacing w:after="120"/>
        <w:jc w:val="both"/>
      </w:pPr>
      <w:r>
        <w:t>I dati confermano che i sistemi di tracciamento sono già saltati in gran parte del territorio nazionale e adesso l’obiettivo primario è prevenire il sovraccarico di ospedali e terapie intensive, al fine di contenere l’incremento della letalità.</w:t>
      </w:r>
    </w:p>
    <w:p w:rsidR="00E11E90" w:rsidRPr="003B06AF" w:rsidRDefault="00E11E90" w:rsidP="00E11E90">
      <w:pPr>
        <w:jc w:val="both"/>
        <w:rPr>
          <w:color w:val="FF0000"/>
        </w:rPr>
      </w:pPr>
      <w:r w:rsidRPr="00E11E90">
        <w:t>«</w:t>
      </w:r>
      <w:r w:rsidR="00E7586F">
        <w:t>L</w:t>
      </w:r>
      <w:r w:rsidR="00005314">
        <w:t xml:space="preserve">’avvicendarsi di </w:t>
      </w:r>
      <w:r w:rsidR="003B06AF">
        <w:t xml:space="preserve">DPCM </w:t>
      </w:r>
      <w:r w:rsidR="00005314">
        <w:t xml:space="preserve">a cadenza settimanale </w:t>
      </w:r>
      <w:r w:rsidR="004E0606" w:rsidRPr="00E11E90">
        <w:t>– conclude Cartabellotta –</w:t>
      </w:r>
      <w:r w:rsidR="004E0606">
        <w:t xml:space="preserve"> </w:t>
      </w:r>
      <w:r w:rsidR="003B06AF">
        <w:t>e l</w:t>
      </w:r>
      <w:r w:rsidR="00C93369">
        <w:t xml:space="preserve">a parallela introduzione di </w:t>
      </w:r>
      <w:r w:rsidR="00CF6C2D">
        <w:t xml:space="preserve">ulteriori misure </w:t>
      </w:r>
      <w:r w:rsidR="00C93369">
        <w:t xml:space="preserve">in </w:t>
      </w:r>
      <w:r w:rsidR="00CF6C2D">
        <w:t>alcune Regioni</w:t>
      </w:r>
      <w:r w:rsidR="004E0606">
        <w:t xml:space="preserve">, </w:t>
      </w:r>
      <w:r w:rsidR="00CF6C2D">
        <w:t xml:space="preserve">dal </w:t>
      </w:r>
      <w:r w:rsidR="00B96D7E">
        <w:t xml:space="preserve">coprifuoco </w:t>
      </w:r>
      <w:r w:rsidR="00CF6C2D">
        <w:t>alla chiusura dei centri commerciali nei weekend</w:t>
      </w:r>
      <w:r w:rsidR="004E0606">
        <w:t xml:space="preserve">, </w:t>
      </w:r>
      <w:r w:rsidR="007E7EA8">
        <w:t xml:space="preserve">dimostrano </w:t>
      </w:r>
      <w:r w:rsidR="00E7586F">
        <w:t xml:space="preserve">tuttavia </w:t>
      </w:r>
      <w:r w:rsidR="007E7EA8">
        <w:t xml:space="preserve">che </w:t>
      </w:r>
      <w:r w:rsidR="00CC1B6C">
        <w:t xml:space="preserve">la politica </w:t>
      </w:r>
      <w:r w:rsidR="00E7586F">
        <w:t xml:space="preserve">non ha </w:t>
      </w:r>
      <w:r w:rsidR="007E7EA8">
        <w:t xml:space="preserve">una </w:t>
      </w:r>
      <w:r w:rsidR="00E7586F">
        <w:t xml:space="preserve">vera </w:t>
      </w:r>
      <w:r w:rsidR="007E7EA8">
        <w:t>strategia per contenere la seconda ondata</w:t>
      </w:r>
      <w:r w:rsidR="00C93369">
        <w:t>. Se</w:t>
      </w:r>
      <w:r w:rsidR="00895E24">
        <w:t xml:space="preserve">, come </w:t>
      </w:r>
      <w:r w:rsidR="00314CCF">
        <w:t>riferito</w:t>
      </w:r>
      <w:r w:rsidR="00895E24">
        <w:t xml:space="preserve"> dal premier Conte in </w:t>
      </w:r>
      <w:r w:rsidR="00C91F26">
        <w:t>Parlamento</w:t>
      </w:r>
      <w:r w:rsidR="00895E24">
        <w:t xml:space="preserve">, </w:t>
      </w:r>
      <w:r w:rsidR="00005314">
        <w:t xml:space="preserve">l’obiettivo è quello di tutelare </w:t>
      </w:r>
      <w:r w:rsidR="00C93369">
        <w:t xml:space="preserve">sia la </w:t>
      </w:r>
      <w:r w:rsidR="00895E24">
        <w:t xml:space="preserve">salute </w:t>
      </w:r>
      <w:r w:rsidR="00C93369">
        <w:t xml:space="preserve">che </w:t>
      </w:r>
      <w:r w:rsidR="00895E24">
        <w:t>l’economia</w:t>
      </w:r>
      <w:r w:rsidR="00C93369">
        <w:t xml:space="preserve">, Governo, Regioni ed Enti locali devono prendere </w:t>
      </w:r>
      <w:r w:rsidR="00005314">
        <w:t xml:space="preserve">atto che il virus </w:t>
      </w:r>
      <w:r w:rsidR="00E7586F">
        <w:t xml:space="preserve">corre </w:t>
      </w:r>
      <w:r w:rsidR="00C9476F">
        <w:t>sempre più veloce delle loro decisioni. N</w:t>
      </w:r>
      <w:r w:rsidR="00C91F26">
        <w:t>on si può continuare ad inseguirlo basandosi sui numeri del giorno che riflettono i contagi di 15 giorni</w:t>
      </w:r>
      <w:r w:rsidR="00C9476F">
        <w:t xml:space="preserve"> </w:t>
      </w:r>
      <w:r w:rsidR="00E7586F">
        <w:t>prima</w:t>
      </w:r>
      <w:r w:rsidR="00C91F26">
        <w:t>, ma</w:t>
      </w:r>
      <w:r w:rsidR="00005314">
        <w:t xml:space="preserve"> </w:t>
      </w:r>
      <w:r w:rsidR="00C91F26">
        <w:t xml:space="preserve">occorre guardare alla proiezione delle curve a 2 settimane per decidere immediatamente </w:t>
      </w:r>
      <w:r w:rsidR="00C93369">
        <w:t xml:space="preserve">lockdown mirati, eventuali zone rosse locali e </w:t>
      </w:r>
      <w:r w:rsidR="00C91F26">
        <w:t xml:space="preserve">misure restrittive </w:t>
      </w:r>
      <w:r w:rsidR="00C9476F">
        <w:t xml:space="preserve">molto </w:t>
      </w:r>
      <w:r w:rsidR="00C91F26">
        <w:t xml:space="preserve">più </w:t>
      </w:r>
      <w:r w:rsidR="00C9476F">
        <w:t>rigorose</w:t>
      </w:r>
      <w:r w:rsidRPr="00E11E90">
        <w:rPr>
          <w:rFonts w:cstheme="minorHAnsi"/>
        </w:rPr>
        <w:t>».</w:t>
      </w:r>
    </w:p>
    <w:p w:rsidR="005019AF" w:rsidRPr="00497C09" w:rsidRDefault="005127EB" w:rsidP="00EC6CAA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895E24" w:rsidRPr="00CC1B6C" w:rsidRDefault="005127EB" w:rsidP="00CC1B6C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C9476F" w:rsidRDefault="00C9476F">
      <w:pPr>
        <w:rPr>
          <w:b/>
          <w:sz w:val="24"/>
        </w:rPr>
      </w:pPr>
      <w:r>
        <w:rPr>
          <w:b/>
          <w:sz w:val="24"/>
        </w:rPr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 xml:space="preserve">rend settimanale </w:t>
      </w:r>
      <w:r w:rsidR="00206575">
        <w:rPr>
          <w:b/>
          <w:sz w:val="24"/>
        </w:rPr>
        <w:t xml:space="preserve">dei </w:t>
      </w:r>
      <w:r w:rsidR="009B1C61" w:rsidRPr="005512A0">
        <w:rPr>
          <w:b/>
          <w:sz w:val="24"/>
        </w:rPr>
        <w:t>nuovi casi</w:t>
      </w:r>
      <w:r w:rsidR="00CB5911" w:rsidRPr="005512A0">
        <w:rPr>
          <w:b/>
          <w:sz w:val="24"/>
        </w:rPr>
        <w:t xml:space="preserve"> e</w:t>
      </w:r>
      <w:r w:rsidR="00206575">
        <w:rPr>
          <w:b/>
          <w:sz w:val="24"/>
        </w:rPr>
        <w:t xml:space="preserve"> del</w:t>
      </w:r>
      <w:r w:rsidR="00AF5735">
        <w:rPr>
          <w:b/>
          <w:sz w:val="24"/>
        </w:rPr>
        <w:t xml:space="preserve"> rapporto positivi/casi testati</w:t>
      </w:r>
    </w:p>
    <w:p w:rsidR="009B1C61" w:rsidRDefault="00220033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178FF7F7" wp14:editId="09287D4D">
            <wp:extent cx="5761355" cy="28714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0273DB" w:rsidRPr="000273DB" w:rsidRDefault="000273DB" w:rsidP="000273DB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t xml:space="preserve">Figura 2. </w:t>
      </w:r>
      <w:r>
        <w:rPr>
          <w:b/>
          <w:sz w:val="24"/>
        </w:rPr>
        <w:t>Rapporto positivi/casi testati (14-20 ottobre)</w:t>
      </w:r>
    </w:p>
    <w:p w:rsidR="000273DB" w:rsidRDefault="000273DB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15B99C8" wp14:editId="6227914E">
            <wp:extent cx="5760000" cy="4566292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6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13F" w:rsidRDefault="0016713F" w:rsidP="006B0B33">
      <w:pPr>
        <w:spacing w:after="0" w:line="240" w:lineRule="auto"/>
        <w:rPr>
          <w:b/>
        </w:rPr>
      </w:pPr>
    </w:p>
    <w:p w:rsidR="000273DB" w:rsidRDefault="000273DB" w:rsidP="00D33012">
      <w:pPr>
        <w:spacing w:after="0" w:line="360" w:lineRule="auto"/>
        <w:jc w:val="center"/>
        <w:rPr>
          <w:b/>
          <w:sz w:val="24"/>
        </w:rPr>
        <w:sectPr w:rsidR="000273DB" w:rsidSect="00055D5E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993" w:right="1134" w:bottom="709" w:left="1134" w:header="709" w:footer="709" w:gutter="0"/>
          <w:cols w:space="708"/>
          <w:docGrid w:linePitch="360"/>
        </w:sectPr>
      </w:pPr>
    </w:p>
    <w:p w:rsidR="00B36206" w:rsidRPr="002559B4" w:rsidRDefault="00D33012" w:rsidP="000273DB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lastRenderedPageBreak/>
        <w:t xml:space="preserve">Figura </w:t>
      </w:r>
      <w:r w:rsidR="00776D3B">
        <w:rPr>
          <w:b/>
          <w:sz w:val="24"/>
        </w:rPr>
        <w:t>3</w:t>
      </w:r>
      <w:r w:rsidRPr="00D33012">
        <w:rPr>
          <w:b/>
          <w:sz w:val="24"/>
        </w:rPr>
        <w:t xml:space="preserve">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 w:rsidR="00E11E90">
        <w:rPr>
          <w:b/>
          <w:sz w:val="24"/>
        </w:rPr>
        <w:t>d</w:t>
      </w:r>
      <w:r>
        <w:rPr>
          <w:b/>
          <w:sz w:val="24"/>
        </w:rPr>
        <w:t>i casi attualmente positivi</w:t>
      </w:r>
      <w:r w:rsidR="000273DB">
        <w:rPr>
          <w:b/>
          <w:sz w:val="24"/>
        </w:rPr>
        <w:t xml:space="preserve">, </w:t>
      </w:r>
      <w:r w:rsidR="00E93B96">
        <w:rPr>
          <w:b/>
          <w:sz w:val="24"/>
        </w:rPr>
        <w:t>p</w:t>
      </w:r>
      <w:r w:rsidR="00660401">
        <w:rPr>
          <w:b/>
          <w:sz w:val="24"/>
        </w:rPr>
        <w:t>azienti</w:t>
      </w:r>
      <w:r w:rsidR="00B36206" w:rsidRPr="002559B4">
        <w:rPr>
          <w:b/>
          <w:sz w:val="24"/>
        </w:rPr>
        <w:t xml:space="preserve"> ricoverati con si</w:t>
      </w:r>
      <w:r w:rsidR="00C86179">
        <w:rPr>
          <w:b/>
          <w:sz w:val="24"/>
        </w:rPr>
        <w:t>ntomi</w:t>
      </w:r>
      <w:r w:rsidR="00E11E90">
        <w:rPr>
          <w:b/>
          <w:sz w:val="24"/>
        </w:rPr>
        <w:t xml:space="preserve"> e in terapia intensiva e </w:t>
      </w:r>
      <w:r w:rsidR="000273DB">
        <w:rPr>
          <w:b/>
          <w:sz w:val="24"/>
        </w:rPr>
        <w:t>deceduti</w:t>
      </w:r>
    </w:p>
    <w:p w:rsidR="00393DDC" w:rsidRDefault="000A09CD" w:rsidP="000273DB">
      <w:pPr>
        <w:spacing w:after="8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 wp14:anchorId="22FE3CB9" wp14:editId="0E6C4174">
            <wp:extent cx="9540875" cy="509079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509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DDC" w:rsidRDefault="00393DDC" w:rsidP="000A09CD">
      <w:pPr>
        <w:spacing w:after="0" w:line="36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20033" w:rsidRDefault="00220033" w:rsidP="00220033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Tabella.</w:t>
      </w:r>
      <w:r w:rsidRPr="007E177C">
        <w:rPr>
          <w:b/>
          <w:sz w:val="24"/>
        </w:rPr>
        <w:t xml:space="preserve"> </w:t>
      </w:r>
      <w:r>
        <w:rPr>
          <w:b/>
          <w:sz w:val="24"/>
        </w:rPr>
        <w:t>Indicatori regionali settimana 14-20 ottobre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264"/>
        <w:gridCol w:w="1775"/>
        <w:gridCol w:w="2126"/>
        <w:gridCol w:w="1910"/>
        <w:gridCol w:w="2236"/>
        <w:gridCol w:w="2239"/>
      </w:tblGrid>
      <w:tr w:rsidR="00220033" w:rsidRPr="007B0C6B" w:rsidTr="00005314">
        <w:trPr>
          <w:trHeight w:val="893"/>
        </w:trPr>
        <w:tc>
          <w:tcPr>
            <w:tcW w:w="892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74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220033" w:rsidRPr="007B0C6B" w:rsidRDefault="00220033" w:rsidP="000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attualmente positivi </w:t>
            </w:r>
            <w:r w:rsidR="00005314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</w:r>
            <w:r w:rsidRPr="007B0C6B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per 100.000 abitanti </w:t>
            </w:r>
          </w:p>
        </w:tc>
        <w:tc>
          <w:tcPr>
            <w:tcW w:w="5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hideMark/>
          </w:tcPr>
          <w:p w:rsidR="00220033" w:rsidRPr="007B0C6B" w:rsidRDefault="00220033" w:rsidP="000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Incremento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="0000531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% casi</w:t>
            </w:r>
          </w:p>
        </w:tc>
        <w:tc>
          <w:tcPr>
            <w:tcW w:w="69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hideMark/>
          </w:tcPr>
          <w:p w:rsidR="00220033" w:rsidRPr="007B0C6B" w:rsidRDefault="00005314" w:rsidP="000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</w:t>
            </w:r>
            <w:r w:rsidR="00220033" w:rsidRPr="007B0C6B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asi testati </w:t>
            </w:r>
            <w:r w:rsidR="00220033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="00220033" w:rsidRPr="007B0C6B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per 100.000 abitanti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hideMark/>
          </w:tcPr>
          <w:p w:rsidR="00220033" w:rsidRPr="007B0C6B" w:rsidRDefault="00005314" w:rsidP="000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Rapporto positivi/casi testati</w:t>
            </w:r>
          </w:p>
        </w:tc>
        <w:tc>
          <w:tcPr>
            <w:tcW w:w="73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hideMark/>
          </w:tcPr>
          <w:p w:rsidR="00220033" w:rsidRPr="007B0C6B" w:rsidRDefault="00220033" w:rsidP="000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Ricoverati con sintomi per 100.000 abitanti</w:t>
            </w:r>
          </w:p>
        </w:tc>
        <w:tc>
          <w:tcPr>
            <w:tcW w:w="733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220033" w:rsidRPr="007B0C6B" w:rsidRDefault="00220033" w:rsidP="000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Ricoverati in terapia intensiva per 100.000 abitanti 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217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22,8%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932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9,9%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16,0</w:t>
            </w:r>
          </w:p>
        </w:tc>
        <w:tc>
          <w:tcPr>
            <w:tcW w:w="733" w:type="pct"/>
            <w:shd w:val="clear" w:color="auto" w:fill="FFEB9C"/>
            <w:noWrap/>
            <w:vAlign w:val="bottom"/>
            <w:hideMark/>
          </w:tcPr>
          <w:p w:rsidR="00220033" w:rsidRPr="006B47F8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it-IT"/>
              </w:rPr>
            </w:pPr>
            <w:r w:rsidRPr="006B47F8">
              <w:rPr>
                <w:rFonts w:ascii="Calibri" w:eastAsia="Times New Roman" w:hAnsi="Calibri" w:cs="Calibri"/>
                <w:color w:val="9C6500"/>
                <w:lang w:eastAsia="it-IT"/>
              </w:rPr>
              <w:t>1,1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127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23,2%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1.181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3,7%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9,1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0,2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64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24,1%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845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3,5%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3,7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0,3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335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44,9%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1.212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12,6%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16,3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1,6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228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9,3%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922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8,7%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11,9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1,7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159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18,3%</w:t>
            </w:r>
          </w:p>
        </w:tc>
        <w:tc>
          <w:tcPr>
            <w:tcW w:w="696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874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9,7%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5,3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1,2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278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30,1%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1.832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5,8%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20,3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2,1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289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21,7%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944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23,5%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32,6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2,1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261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13,7%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1.185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13,2%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12,6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1,2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143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10,7%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584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10,5%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6,5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1,2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135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28,3%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1.623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4,5%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3,9</w:t>
            </w:r>
          </w:p>
        </w:tc>
        <w:tc>
          <w:tcPr>
            <w:tcW w:w="733" w:type="pct"/>
            <w:shd w:val="clear" w:color="auto" w:fill="FFEB9C"/>
            <w:noWrap/>
            <w:vAlign w:val="bottom"/>
            <w:hideMark/>
          </w:tcPr>
          <w:p w:rsidR="00220033" w:rsidRPr="006B47F8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it-IT"/>
              </w:rPr>
            </w:pPr>
            <w:r w:rsidRPr="006B47F8">
              <w:rPr>
                <w:rFonts w:ascii="Calibri" w:eastAsia="Times New Roman" w:hAnsi="Calibri" w:cs="Calibri"/>
                <w:color w:val="9C6500"/>
                <w:lang w:eastAsia="it-IT"/>
              </w:rPr>
              <w:t>0,0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273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17,1%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895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17,4%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23,8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1,4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357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23,4%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1.213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15,1%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18,1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1,3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141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7,8%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561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16,6%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8,3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0,2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142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21,8%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580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9,2%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10,7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1,0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225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22,3%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906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7,9%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13,8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2,1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150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33,3%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626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10,6%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10,8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1,5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310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28,8%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1.489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9,9%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12,7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1,9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303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41,4%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1.365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12,4%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17,0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2,3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577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32,2%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6100"/>
                <w:lang w:eastAsia="it-IT"/>
              </w:rPr>
              <w:t>1.116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35,1%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28,6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4,0</w:t>
            </w:r>
          </w:p>
        </w:tc>
      </w:tr>
      <w:tr w:rsidR="00220033" w:rsidRPr="007B0C6B" w:rsidTr="00BC4577">
        <w:trPr>
          <w:trHeight w:val="300"/>
        </w:trPr>
        <w:tc>
          <w:tcPr>
            <w:tcW w:w="892" w:type="pct"/>
            <w:shd w:val="clear" w:color="auto" w:fill="auto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209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14,0%</w:t>
            </w:r>
          </w:p>
        </w:tc>
        <w:tc>
          <w:tcPr>
            <w:tcW w:w="696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636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14,5%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9,4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color w:val="9C0006"/>
                <w:lang w:eastAsia="it-IT"/>
              </w:rPr>
              <w:t>1,0</w:t>
            </w:r>
          </w:p>
        </w:tc>
      </w:tr>
      <w:tr w:rsidR="00220033" w:rsidRPr="007B0C6B" w:rsidTr="00005314">
        <w:trPr>
          <w:trHeight w:val="300"/>
        </w:trPr>
        <w:tc>
          <w:tcPr>
            <w:tcW w:w="892" w:type="pct"/>
            <w:shd w:val="clear" w:color="auto" w:fill="1F497D" w:themeFill="text2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053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74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236</w:t>
            </w:r>
          </w:p>
        </w:tc>
        <w:tc>
          <w:tcPr>
            <w:tcW w:w="581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18,9%</w:t>
            </w:r>
          </w:p>
        </w:tc>
        <w:tc>
          <w:tcPr>
            <w:tcW w:w="696" w:type="pct"/>
            <w:shd w:val="clear" w:color="000000" w:fill="C6EF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color w:val="006100"/>
                <w:lang w:eastAsia="it-IT"/>
              </w:rPr>
              <w:t>1.045</w:t>
            </w:r>
          </w:p>
        </w:tc>
        <w:tc>
          <w:tcPr>
            <w:tcW w:w="625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10,9%</w:t>
            </w:r>
          </w:p>
        </w:tc>
        <w:tc>
          <w:tcPr>
            <w:tcW w:w="732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14,0</w:t>
            </w:r>
          </w:p>
        </w:tc>
        <w:tc>
          <w:tcPr>
            <w:tcW w:w="733" w:type="pct"/>
            <w:shd w:val="clear" w:color="000000" w:fill="FFC7CE"/>
            <w:noWrap/>
            <w:vAlign w:val="bottom"/>
            <w:hideMark/>
          </w:tcPr>
          <w:p w:rsidR="00220033" w:rsidRPr="007B0C6B" w:rsidRDefault="00220033" w:rsidP="00BC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7B0C6B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1,4</w:t>
            </w:r>
          </w:p>
        </w:tc>
      </w:tr>
      <w:tr w:rsidR="00220033" w:rsidRPr="007B0C6B" w:rsidTr="00BC4577">
        <w:trPr>
          <w:trHeight w:val="68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220033" w:rsidRPr="007B0C6B" w:rsidRDefault="00220033" w:rsidP="000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Nota: Il rosso e il verde indicano </w:t>
            </w:r>
            <w:r w:rsidR="00005314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rispettivamente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una performance regionale </w:t>
            </w:r>
            <w:r w:rsidR="00005314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in peggioramento, o in miglioramento,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rispetto </w:t>
            </w:r>
            <w:r w:rsidRPr="005759D5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alla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settimana precedente. </w:t>
            </w:r>
            <w:r w:rsidR="00005314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br/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Il giallo indica una performance regionale invariata rispetto alla settimana precedente.</w:t>
            </w:r>
          </w:p>
        </w:tc>
      </w:tr>
    </w:tbl>
    <w:p w:rsidR="006A68BB" w:rsidRDefault="006A68BB" w:rsidP="00B71507">
      <w:pPr>
        <w:spacing w:after="0" w:line="360" w:lineRule="auto"/>
        <w:jc w:val="center"/>
        <w:rPr>
          <w:b/>
          <w:sz w:val="24"/>
        </w:rPr>
      </w:pPr>
    </w:p>
    <w:sectPr w:rsidR="006A68BB" w:rsidSect="000273DB">
      <w:footnotePr>
        <w:numFmt w:val="chicago"/>
      </w:footnotePr>
      <w:pgSz w:w="16838" w:h="11906" w:orient="landscape"/>
      <w:pgMar w:top="1134" w:right="993" w:bottom="1134" w:left="70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547" w16cex:dateUtc="2020-10-21T11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1E" w:rsidRDefault="0059481E">
      <w:pPr>
        <w:spacing w:after="0" w:line="240" w:lineRule="auto"/>
      </w:pPr>
      <w:r>
        <w:separator/>
      </w:r>
    </w:p>
  </w:endnote>
  <w:endnote w:type="continuationSeparator" w:id="0">
    <w:p w:rsidR="0059481E" w:rsidRDefault="0059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>
    <w:pPr>
      <w:pStyle w:val="Pidipagina"/>
    </w:pPr>
  </w:p>
  <w:p w:rsidR="008422DD" w:rsidRDefault="008422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1E" w:rsidRDefault="0059481E">
      <w:pPr>
        <w:spacing w:after="0" w:line="240" w:lineRule="auto"/>
      </w:pPr>
      <w:r>
        <w:separator/>
      </w:r>
    </w:p>
  </w:footnote>
  <w:footnote w:type="continuationSeparator" w:id="0">
    <w:p w:rsidR="0059481E" w:rsidRDefault="0059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1D" w:rsidRPr="0099548B" w:rsidRDefault="00D90E1D" w:rsidP="00BF1EEA">
    <w:pPr>
      <w:pStyle w:val="Intestazione"/>
      <w:jc w:val="center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23A3A"/>
    <w:multiLevelType w:val="hybridMultilevel"/>
    <w:tmpl w:val="F7F632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5F0D3A51"/>
    <w:multiLevelType w:val="hybridMultilevel"/>
    <w:tmpl w:val="B2E6B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37FE9"/>
    <w:multiLevelType w:val="hybridMultilevel"/>
    <w:tmpl w:val="8760E59A"/>
    <w:lvl w:ilvl="0" w:tplc="CEEA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437B9"/>
    <w:multiLevelType w:val="hybridMultilevel"/>
    <w:tmpl w:val="5E2AF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3"/>
  </w:num>
  <w:num w:numId="5">
    <w:abstractNumId w:val="39"/>
  </w:num>
  <w:num w:numId="6">
    <w:abstractNumId w:val="6"/>
  </w:num>
  <w:num w:numId="7">
    <w:abstractNumId w:val="11"/>
  </w:num>
  <w:num w:numId="8">
    <w:abstractNumId w:val="32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4"/>
  </w:num>
  <w:num w:numId="15">
    <w:abstractNumId w:val="1"/>
  </w:num>
  <w:num w:numId="16">
    <w:abstractNumId w:val="2"/>
  </w:num>
  <w:num w:numId="17">
    <w:abstractNumId w:val="30"/>
  </w:num>
  <w:num w:numId="18">
    <w:abstractNumId w:val="9"/>
  </w:num>
  <w:num w:numId="19">
    <w:abstractNumId w:val="36"/>
  </w:num>
  <w:num w:numId="20">
    <w:abstractNumId w:val="7"/>
  </w:num>
  <w:num w:numId="21">
    <w:abstractNumId w:val="35"/>
  </w:num>
  <w:num w:numId="22">
    <w:abstractNumId w:val="41"/>
  </w:num>
  <w:num w:numId="23">
    <w:abstractNumId w:val="44"/>
  </w:num>
  <w:num w:numId="24">
    <w:abstractNumId w:val="14"/>
  </w:num>
  <w:num w:numId="25">
    <w:abstractNumId w:val="18"/>
  </w:num>
  <w:num w:numId="26">
    <w:abstractNumId w:val="28"/>
  </w:num>
  <w:num w:numId="27">
    <w:abstractNumId w:val="42"/>
  </w:num>
  <w:num w:numId="28">
    <w:abstractNumId w:val="12"/>
  </w:num>
  <w:num w:numId="29">
    <w:abstractNumId w:val="33"/>
  </w:num>
  <w:num w:numId="30">
    <w:abstractNumId w:val="23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19"/>
  </w:num>
  <w:num w:numId="36">
    <w:abstractNumId w:val="3"/>
  </w:num>
  <w:num w:numId="37">
    <w:abstractNumId w:val="15"/>
  </w:num>
  <w:num w:numId="38">
    <w:abstractNumId w:val="27"/>
  </w:num>
  <w:num w:numId="39">
    <w:abstractNumId w:val="31"/>
  </w:num>
  <w:num w:numId="40">
    <w:abstractNumId w:val="37"/>
  </w:num>
  <w:num w:numId="41">
    <w:abstractNumId w:val="22"/>
  </w:num>
  <w:num w:numId="42">
    <w:abstractNumId w:val="47"/>
  </w:num>
  <w:num w:numId="43">
    <w:abstractNumId w:val="38"/>
  </w:num>
  <w:num w:numId="44">
    <w:abstractNumId w:val="46"/>
  </w:num>
  <w:num w:numId="45">
    <w:abstractNumId w:val="45"/>
  </w:num>
  <w:num w:numId="46">
    <w:abstractNumId w:val="40"/>
  </w:num>
  <w:num w:numId="47">
    <w:abstractNumId w:val="1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5314"/>
    <w:rsid w:val="0000610C"/>
    <w:rsid w:val="00007CC5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0B41"/>
    <w:rsid w:val="00021283"/>
    <w:rsid w:val="0002190C"/>
    <w:rsid w:val="000223CF"/>
    <w:rsid w:val="00022977"/>
    <w:rsid w:val="00022EBF"/>
    <w:rsid w:val="00023F18"/>
    <w:rsid w:val="00024712"/>
    <w:rsid w:val="00026DC0"/>
    <w:rsid w:val="000273DB"/>
    <w:rsid w:val="00030B5F"/>
    <w:rsid w:val="00031E5F"/>
    <w:rsid w:val="000328C9"/>
    <w:rsid w:val="00035405"/>
    <w:rsid w:val="000370F6"/>
    <w:rsid w:val="0004029D"/>
    <w:rsid w:val="00043148"/>
    <w:rsid w:val="00043A85"/>
    <w:rsid w:val="0004522A"/>
    <w:rsid w:val="0004544E"/>
    <w:rsid w:val="0004717B"/>
    <w:rsid w:val="00047EE0"/>
    <w:rsid w:val="000529FD"/>
    <w:rsid w:val="000534AE"/>
    <w:rsid w:val="000548AC"/>
    <w:rsid w:val="000559EC"/>
    <w:rsid w:val="00055D5E"/>
    <w:rsid w:val="00055E53"/>
    <w:rsid w:val="00055FB6"/>
    <w:rsid w:val="0005649A"/>
    <w:rsid w:val="000568EE"/>
    <w:rsid w:val="00057675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DC9"/>
    <w:rsid w:val="0007561A"/>
    <w:rsid w:val="00075811"/>
    <w:rsid w:val="00075B48"/>
    <w:rsid w:val="0007670E"/>
    <w:rsid w:val="000771C3"/>
    <w:rsid w:val="00080943"/>
    <w:rsid w:val="00081DF7"/>
    <w:rsid w:val="00081F03"/>
    <w:rsid w:val="00082DDC"/>
    <w:rsid w:val="00083222"/>
    <w:rsid w:val="00083DA7"/>
    <w:rsid w:val="00083F44"/>
    <w:rsid w:val="0008470A"/>
    <w:rsid w:val="000856B2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A03D1"/>
    <w:rsid w:val="000A09CD"/>
    <w:rsid w:val="000A1C07"/>
    <w:rsid w:val="000A24C2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6B1F"/>
    <w:rsid w:val="000B6E50"/>
    <w:rsid w:val="000B77BB"/>
    <w:rsid w:val="000B77EA"/>
    <w:rsid w:val="000B7C16"/>
    <w:rsid w:val="000C153C"/>
    <w:rsid w:val="000C1558"/>
    <w:rsid w:val="000C1EDD"/>
    <w:rsid w:val="000C22C6"/>
    <w:rsid w:val="000C271B"/>
    <w:rsid w:val="000C44FE"/>
    <w:rsid w:val="000C7557"/>
    <w:rsid w:val="000D1769"/>
    <w:rsid w:val="000D1D78"/>
    <w:rsid w:val="000D2C51"/>
    <w:rsid w:val="000D4762"/>
    <w:rsid w:val="000D56B8"/>
    <w:rsid w:val="000D64BB"/>
    <w:rsid w:val="000D6AC6"/>
    <w:rsid w:val="000D73D0"/>
    <w:rsid w:val="000E2B65"/>
    <w:rsid w:val="000E2D59"/>
    <w:rsid w:val="000E4C32"/>
    <w:rsid w:val="000E72BC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F54"/>
    <w:rsid w:val="00101E1F"/>
    <w:rsid w:val="0010348F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14498"/>
    <w:rsid w:val="001218DD"/>
    <w:rsid w:val="00123005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659A"/>
    <w:rsid w:val="00136710"/>
    <w:rsid w:val="00137608"/>
    <w:rsid w:val="00137854"/>
    <w:rsid w:val="0014018F"/>
    <w:rsid w:val="001408D2"/>
    <w:rsid w:val="00143377"/>
    <w:rsid w:val="001435C6"/>
    <w:rsid w:val="00143BB8"/>
    <w:rsid w:val="00144CF6"/>
    <w:rsid w:val="00145AFE"/>
    <w:rsid w:val="00145D5E"/>
    <w:rsid w:val="00146588"/>
    <w:rsid w:val="00147917"/>
    <w:rsid w:val="001509C3"/>
    <w:rsid w:val="00151D45"/>
    <w:rsid w:val="00152168"/>
    <w:rsid w:val="001521A0"/>
    <w:rsid w:val="00153115"/>
    <w:rsid w:val="00153964"/>
    <w:rsid w:val="00156012"/>
    <w:rsid w:val="00156186"/>
    <w:rsid w:val="001620F7"/>
    <w:rsid w:val="001630EB"/>
    <w:rsid w:val="00164139"/>
    <w:rsid w:val="0016624A"/>
    <w:rsid w:val="00166D9E"/>
    <w:rsid w:val="001670B6"/>
    <w:rsid w:val="0016713F"/>
    <w:rsid w:val="00170961"/>
    <w:rsid w:val="00174C24"/>
    <w:rsid w:val="0017590C"/>
    <w:rsid w:val="00175A46"/>
    <w:rsid w:val="001767BB"/>
    <w:rsid w:val="00176B56"/>
    <w:rsid w:val="00180482"/>
    <w:rsid w:val="001812FC"/>
    <w:rsid w:val="001815BB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4FA7"/>
    <w:rsid w:val="00196162"/>
    <w:rsid w:val="00196614"/>
    <w:rsid w:val="00197B87"/>
    <w:rsid w:val="001A0964"/>
    <w:rsid w:val="001A25A5"/>
    <w:rsid w:val="001A2AC2"/>
    <w:rsid w:val="001A3813"/>
    <w:rsid w:val="001A3959"/>
    <w:rsid w:val="001A3BD0"/>
    <w:rsid w:val="001A3EC6"/>
    <w:rsid w:val="001A6277"/>
    <w:rsid w:val="001A62B9"/>
    <w:rsid w:val="001A642A"/>
    <w:rsid w:val="001B0820"/>
    <w:rsid w:val="001B183D"/>
    <w:rsid w:val="001B29FE"/>
    <w:rsid w:val="001B3683"/>
    <w:rsid w:val="001B3E88"/>
    <w:rsid w:val="001B7500"/>
    <w:rsid w:val="001C07D8"/>
    <w:rsid w:val="001C16B5"/>
    <w:rsid w:val="001C3419"/>
    <w:rsid w:val="001C3871"/>
    <w:rsid w:val="001C563B"/>
    <w:rsid w:val="001C70FD"/>
    <w:rsid w:val="001D0755"/>
    <w:rsid w:val="001D1B73"/>
    <w:rsid w:val="001D1D83"/>
    <w:rsid w:val="001D3373"/>
    <w:rsid w:val="001D3BEA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6000"/>
    <w:rsid w:val="001E66B3"/>
    <w:rsid w:val="001E6B2B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79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503B"/>
    <w:rsid w:val="0022562D"/>
    <w:rsid w:val="002269AD"/>
    <w:rsid w:val="00226CB8"/>
    <w:rsid w:val="002273E1"/>
    <w:rsid w:val="002306E8"/>
    <w:rsid w:val="00232450"/>
    <w:rsid w:val="0023282A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5D83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824"/>
    <w:rsid w:val="002A2099"/>
    <w:rsid w:val="002A3D04"/>
    <w:rsid w:val="002A4C5F"/>
    <w:rsid w:val="002A4DEE"/>
    <w:rsid w:val="002A4E8D"/>
    <w:rsid w:val="002A50E2"/>
    <w:rsid w:val="002A55EA"/>
    <w:rsid w:val="002A59D9"/>
    <w:rsid w:val="002A5FA2"/>
    <w:rsid w:val="002A6486"/>
    <w:rsid w:val="002A6ED6"/>
    <w:rsid w:val="002A6F3F"/>
    <w:rsid w:val="002A7332"/>
    <w:rsid w:val="002B170F"/>
    <w:rsid w:val="002B1BF9"/>
    <w:rsid w:val="002B2BF2"/>
    <w:rsid w:val="002B4392"/>
    <w:rsid w:val="002B49E9"/>
    <w:rsid w:val="002B7A9C"/>
    <w:rsid w:val="002C25F3"/>
    <w:rsid w:val="002D281C"/>
    <w:rsid w:val="002D4A30"/>
    <w:rsid w:val="002D4C97"/>
    <w:rsid w:val="002D559D"/>
    <w:rsid w:val="002D5A0D"/>
    <w:rsid w:val="002D5AFA"/>
    <w:rsid w:val="002D6143"/>
    <w:rsid w:val="002D63E0"/>
    <w:rsid w:val="002D6D5F"/>
    <w:rsid w:val="002D70B8"/>
    <w:rsid w:val="002D7694"/>
    <w:rsid w:val="002D76E0"/>
    <w:rsid w:val="002E0DAB"/>
    <w:rsid w:val="002E17F8"/>
    <w:rsid w:val="002E182B"/>
    <w:rsid w:val="002E1A37"/>
    <w:rsid w:val="002E234E"/>
    <w:rsid w:val="002E2579"/>
    <w:rsid w:val="002E3B3A"/>
    <w:rsid w:val="002E3CBF"/>
    <w:rsid w:val="002E450B"/>
    <w:rsid w:val="002E6F00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C74"/>
    <w:rsid w:val="003044C2"/>
    <w:rsid w:val="00304BC8"/>
    <w:rsid w:val="00304F90"/>
    <w:rsid w:val="003053CC"/>
    <w:rsid w:val="003055A2"/>
    <w:rsid w:val="00306624"/>
    <w:rsid w:val="00306D88"/>
    <w:rsid w:val="0030740E"/>
    <w:rsid w:val="00314CCF"/>
    <w:rsid w:val="003168CE"/>
    <w:rsid w:val="00317410"/>
    <w:rsid w:val="00317538"/>
    <w:rsid w:val="00320449"/>
    <w:rsid w:val="003219FD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5645"/>
    <w:rsid w:val="00336225"/>
    <w:rsid w:val="003366CD"/>
    <w:rsid w:val="0033698E"/>
    <w:rsid w:val="0033740A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3D22"/>
    <w:rsid w:val="00354245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1522"/>
    <w:rsid w:val="00361FEB"/>
    <w:rsid w:val="003624F9"/>
    <w:rsid w:val="0036340C"/>
    <w:rsid w:val="00363CCA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AB7"/>
    <w:rsid w:val="00376B13"/>
    <w:rsid w:val="003827FB"/>
    <w:rsid w:val="00383720"/>
    <w:rsid w:val="00384F8E"/>
    <w:rsid w:val="00385ED3"/>
    <w:rsid w:val="003864BA"/>
    <w:rsid w:val="00387426"/>
    <w:rsid w:val="00390E96"/>
    <w:rsid w:val="00391930"/>
    <w:rsid w:val="003925EF"/>
    <w:rsid w:val="0039384F"/>
    <w:rsid w:val="00393DDC"/>
    <w:rsid w:val="003944F4"/>
    <w:rsid w:val="003948A2"/>
    <w:rsid w:val="0039540D"/>
    <w:rsid w:val="00395971"/>
    <w:rsid w:val="00397A51"/>
    <w:rsid w:val="003A0175"/>
    <w:rsid w:val="003A0F9B"/>
    <w:rsid w:val="003A2071"/>
    <w:rsid w:val="003A6C83"/>
    <w:rsid w:val="003B06AF"/>
    <w:rsid w:val="003B386F"/>
    <w:rsid w:val="003B3BA8"/>
    <w:rsid w:val="003B434F"/>
    <w:rsid w:val="003B46B9"/>
    <w:rsid w:val="003B4B8E"/>
    <w:rsid w:val="003B4DD7"/>
    <w:rsid w:val="003B512D"/>
    <w:rsid w:val="003B5BD7"/>
    <w:rsid w:val="003B761A"/>
    <w:rsid w:val="003B767D"/>
    <w:rsid w:val="003B7ED5"/>
    <w:rsid w:val="003C28C9"/>
    <w:rsid w:val="003C300D"/>
    <w:rsid w:val="003C3A9A"/>
    <w:rsid w:val="003C44B3"/>
    <w:rsid w:val="003C5449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3A78"/>
    <w:rsid w:val="003F4964"/>
    <w:rsid w:val="003F4EAB"/>
    <w:rsid w:val="003F5E91"/>
    <w:rsid w:val="003F5EB8"/>
    <w:rsid w:val="003F66ED"/>
    <w:rsid w:val="003F7AAD"/>
    <w:rsid w:val="00400B49"/>
    <w:rsid w:val="004027B6"/>
    <w:rsid w:val="00402D73"/>
    <w:rsid w:val="00404ACE"/>
    <w:rsid w:val="00404CF8"/>
    <w:rsid w:val="00404EDE"/>
    <w:rsid w:val="004053FC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67BC"/>
    <w:rsid w:val="004173E1"/>
    <w:rsid w:val="00417C1C"/>
    <w:rsid w:val="004203C6"/>
    <w:rsid w:val="004207EF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421F"/>
    <w:rsid w:val="0043447B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7B8"/>
    <w:rsid w:val="0046399E"/>
    <w:rsid w:val="004640C3"/>
    <w:rsid w:val="004642D0"/>
    <w:rsid w:val="00464523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1C0"/>
    <w:rsid w:val="00475FAA"/>
    <w:rsid w:val="0047644D"/>
    <w:rsid w:val="00476735"/>
    <w:rsid w:val="00476F10"/>
    <w:rsid w:val="004776AE"/>
    <w:rsid w:val="00477D40"/>
    <w:rsid w:val="004805BB"/>
    <w:rsid w:val="00480CC3"/>
    <w:rsid w:val="00481C9F"/>
    <w:rsid w:val="00482E09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3CE"/>
    <w:rsid w:val="00497C09"/>
    <w:rsid w:val="004A0133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4C0"/>
    <w:rsid w:val="004B3D68"/>
    <w:rsid w:val="004B46CE"/>
    <w:rsid w:val="004B4E74"/>
    <w:rsid w:val="004B64C5"/>
    <w:rsid w:val="004C12A9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4D7"/>
    <w:rsid w:val="004D6BE7"/>
    <w:rsid w:val="004D71C4"/>
    <w:rsid w:val="004D7373"/>
    <w:rsid w:val="004D7D3F"/>
    <w:rsid w:val="004D7F8F"/>
    <w:rsid w:val="004E0606"/>
    <w:rsid w:val="004E1A67"/>
    <w:rsid w:val="004E1AC9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4F7098"/>
    <w:rsid w:val="00500FEB"/>
    <w:rsid w:val="0050143A"/>
    <w:rsid w:val="005015C7"/>
    <w:rsid w:val="0050196C"/>
    <w:rsid w:val="005019AF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18BC"/>
    <w:rsid w:val="0051236D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3A22"/>
    <w:rsid w:val="0052545F"/>
    <w:rsid w:val="0052679C"/>
    <w:rsid w:val="00526F9F"/>
    <w:rsid w:val="00530D8C"/>
    <w:rsid w:val="00532931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0AE4"/>
    <w:rsid w:val="00550EED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70E5"/>
    <w:rsid w:val="0056782F"/>
    <w:rsid w:val="00570E0C"/>
    <w:rsid w:val="00571125"/>
    <w:rsid w:val="005721B6"/>
    <w:rsid w:val="00572631"/>
    <w:rsid w:val="0057286A"/>
    <w:rsid w:val="00573443"/>
    <w:rsid w:val="00573900"/>
    <w:rsid w:val="00573AF5"/>
    <w:rsid w:val="00573CE1"/>
    <w:rsid w:val="005759D5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481E"/>
    <w:rsid w:val="0059509E"/>
    <w:rsid w:val="00595785"/>
    <w:rsid w:val="00595C29"/>
    <w:rsid w:val="00595CBC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9DC"/>
    <w:rsid w:val="005A7071"/>
    <w:rsid w:val="005B05C3"/>
    <w:rsid w:val="005B1421"/>
    <w:rsid w:val="005B1EBE"/>
    <w:rsid w:val="005B4EDF"/>
    <w:rsid w:val="005B529E"/>
    <w:rsid w:val="005B6533"/>
    <w:rsid w:val="005B67AE"/>
    <w:rsid w:val="005C08B9"/>
    <w:rsid w:val="005C092C"/>
    <w:rsid w:val="005C1554"/>
    <w:rsid w:val="005C3F52"/>
    <w:rsid w:val="005C5269"/>
    <w:rsid w:val="005C5D3F"/>
    <w:rsid w:val="005C623E"/>
    <w:rsid w:val="005C6739"/>
    <w:rsid w:val="005D08B3"/>
    <w:rsid w:val="005D12FA"/>
    <w:rsid w:val="005D2CAB"/>
    <w:rsid w:val="005D2F9E"/>
    <w:rsid w:val="005D38E6"/>
    <w:rsid w:val="005D493F"/>
    <w:rsid w:val="005D59BB"/>
    <w:rsid w:val="005D6265"/>
    <w:rsid w:val="005D7170"/>
    <w:rsid w:val="005D78FF"/>
    <w:rsid w:val="005E053F"/>
    <w:rsid w:val="005E1B70"/>
    <w:rsid w:val="005E3CCE"/>
    <w:rsid w:val="005E4864"/>
    <w:rsid w:val="005E4FE6"/>
    <w:rsid w:val="005E6366"/>
    <w:rsid w:val="005E6613"/>
    <w:rsid w:val="005E6A32"/>
    <w:rsid w:val="005E6C0B"/>
    <w:rsid w:val="005E7348"/>
    <w:rsid w:val="005F0188"/>
    <w:rsid w:val="005F2C1D"/>
    <w:rsid w:val="005F4AC1"/>
    <w:rsid w:val="005F5D57"/>
    <w:rsid w:val="005F6212"/>
    <w:rsid w:val="005F7A93"/>
    <w:rsid w:val="00600B66"/>
    <w:rsid w:val="00600CCD"/>
    <w:rsid w:val="00601753"/>
    <w:rsid w:val="00602DF1"/>
    <w:rsid w:val="0060442D"/>
    <w:rsid w:val="00604986"/>
    <w:rsid w:val="00604A4F"/>
    <w:rsid w:val="00604DAE"/>
    <w:rsid w:val="006054FB"/>
    <w:rsid w:val="006056BE"/>
    <w:rsid w:val="00606D1D"/>
    <w:rsid w:val="006074AF"/>
    <w:rsid w:val="006115E6"/>
    <w:rsid w:val="00611E90"/>
    <w:rsid w:val="0061266D"/>
    <w:rsid w:val="00612C8A"/>
    <w:rsid w:val="00612F59"/>
    <w:rsid w:val="0061393A"/>
    <w:rsid w:val="00615855"/>
    <w:rsid w:val="00615B1C"/>
    <w:rsid w:val="006165DD"/>
    <w:rsid w:val="00617AF9"/>
    <w:rsid w:val="00620EF4"/>
    <w:rsid w:val="0062113D"/>
    <w:rsid w:val="00621372"/>
    <w:rsid w:val="00622A81"/>
    <w:rsid w:val="00622F59"/>
    <w:rsid w:val="00625A0B"/>
    <w:rsid w:val="00627001"/>
    <w:rsid w:val="00627D19"/>
    <w:rsid w:val="00631563"/>
    <w:rsid w:val="00631EE7"/>
    <w:rsid w:val="00632682"/>
    <w:rsid w:val="00633FE4"/>
    <w:rsid w:val="006344FF"/>
    <w:rsid w:val="00634684"/>
    <w:rsid w:val="006347C6"/>
    <w:rsid w:val="006349C9"/>
    <w:rsid w:val="006350E1"/>
    <w:rsid w:val="006355A5"/>
    <w:rsid w:val="00637E95"/>
    <w:rsid w:val="00637EFB"/>
    <w:rsid w:val="0064216D"/>
    <w:rsid w:val="0064233C"/>
    <w:rsid w:val="00642A96"/>
    <w:rsid w:val="00643D07"/>
    <w:rsid w:val="00643FD1"/>
    <w:rsid w:val="00644B51"/>
    <w:rsid w:val="006453AA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2099"/>
    <w:rsid w:val="0067483E"/>
    <w:rsid w:val="00674F78"/>
    <w:rsid w:val="00676036"/>
    <w:rsid w:val="006768D8"/>
    <w:rsid w:val="00681040"/>
    <w:rsid w:val="00683B82"/>
    <w:rsid w:val="006842FB"/>
    <w:rsid w:val="00687318"/>
    <w:rsid w:val="006876EB"/>
    <w:rsid w:val="00690ACD"/>
    <w:rsid w:val="006917E1"/>
    <w:rsid w:val="00691E9D"/>
    <w:rsid w:val="00694111"/>
    <w:rsid w:val="0069637C"/>
    <w:rsid w:val="0069725F"/>
    <w:rsid w:val="006A1820"/>
    <w:rsid w:val="006A294B"/>
    <w:rsid w:val="006A381D"/>
    <w:rsid w:val="006A3B33"/>
    <w:rsid w:val="006A40EB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4E98"/>
    <w:rsid w:val="006D5C17"/>
    <w:rsid w:val="006D696D"/>
    <w:rsid w:val="006E02A4"/>
    <w:rsid w:val="006E1042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E54"/>
    <w:rsid w:val="00704845"/>
    <w:rsid w:val="00706AE0"/>
    <w:rsid w:val="007106A3"/>
    <w:rsid w:val="00710B57"/>
    <w:rsid w:val="00710D8D"/>
    <w:rsid w:val="007115C9"/>
    <w:rsid w:val="00711A0F"/>
    <w:rsid w:val="00711A1B"/>
    <w:rsid w:val="00711EF3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1F90"/>
    <w:rsid w:val="00722404"/>
    <w:rsid w:val="00723655"/>
    <w:rsid w:val="00723A22"/>
    <w:rsid w:val="007274EA"/>
    <w:rsid w:val="0072783E"/>
    <w:rsid w:val="007305F0"/>
    <w:rsid w:val="0073137D"/>
    <w:rsid w:val="00732E2F"/>
    <w:rsid w:val="00733410"/>
    <w:rsid w:val="00734A61"/>
    <w:rsid w:val="00734FA2"/>
    <w:rsid w:val="0073695C"/>
    <w:rsid w:val="007376ED"/>
    <w:rsid w:val="00737FDA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6A21"/>
    <w:rsid w:val="00767EE8"/>
    <w:rsid w:val="007707AD"/>
    <w:rsid w:val="00771BCB"/>
    <w:rsid w:val="00772ECB"/>
    <w:rsid w:val="00772F06"/>
    <w:rsid w:val="00773CD5"/>
    <w:rsid w:val="0077536F"/>
    <w:rsid w:val="007762D0"/>
    <w:rsid w:val="00776D3B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DA8"/>
    <w:rsid w:val="007A1E0F"/>
    <w:rsid w:val="007A2B7E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76C3"/>
    <w:rsid w:val="007B7FE3"/>
    <w:rsid w:val="007C1924"/>
    <w:rsid w:val="007C2BCE"/>
    <w:rsid w:val="007C3065"/>
    <w:rsid w:val="007C48EB"/>
    <w:rsid w:val="007C62A1"/>
    <w:rsid w:val="007C6A4D"/>
    <w:rsid w:val="007D0C94"/>
    <w:rsid w:val="007D1284"/>
    <w:rsid w:val="007D21EE"/>
    <w:rsid w:val="007D2880"/>
    <w:rsid w:val="007D3730"/>
    <w:rsid w:val="007D4B2A"/>
    <w:rsid w:val="007D4BE9"/>
    <w:rsid w:val="007D4C7F"/>
    <w:rsid w:val="007D7805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28A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14C5"/>
    <w:rsid w:val="00822659"/>
    <w:rsid w:val="00824061"/>
    <w:rsid w:val="00824131"/>
    <w:rsid w:val="00824D1D"/>
    <w:rsid w:val="00825F7D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2DD"/>
    <w:rsid w:val="00842C0E"/>
    <w:rsid w:val="00843D5B"/>
    <w:rsid w:val="008456A2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47A"/>
    <w:rsid w:val="00854A33"/>
    <w:rsid w:val="00854B36"/>
    <w:rsid w:val="00854BA2"/>
    <w:rsid w:val="00855916"/>
    <w:rsid w:val="00856676"/>
    <w:rsid w:val="008613A9"/>
    <w:rsid w:val="00862990"/>
    <w:rsid w:val="00862D8E"/>
    <w:rsid w:val="00863411"/>
    <w:rsid w:val="00867799"/>
    <w:rsid w:val="00871B35"/>
    <w:rsid w:val="00872114"/>
    <w:rsid w:val="00873715"/>
    <w:rsid w:val="00873E22"/>
    <w:rsid w:val="00873FC1"/>
    <w:rsid w:val="00873FF0"/>
    <w:rsid w:val="00874788"/>
    <w:rsid w:val="00877452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90657"/>
    <w:rsid w:val="00891E62"/>
    <w:rsid w:val="00893D88"/>
    <w:rsid w:val="00893E02"/>
    <w:rsid w:val="008957D2"/>
    <w:rsid w:val="008958EF"/>
    <w:rsid w:val="00895E24"/>
    <w:rsid w:val="00897558"/>
    <w:rsid w:val="008A0E45"/>
    <w:rsid w:val="008A2F6A"/>
    <w:rsid w:val="008A3B0B"/>
    <w:rsid w:val="008A49DD"/>
    <w:rsid w:val="008A55F7"/>
    <w:rsid w:val="008A5BA9"/>
    <w:rsid w:val="008A6587"/>
    <w:rsid w:val="008A7176"/>
    <w:rsid w:val="008A7D9C"/>
    <w:rsid w:val="008B0811"/>
    <w:rsid w:val="008B13C3"/>
    <w:rsid w:val="008B1878"/>
    <w:rsid w:val="008B3962"/>
    <w:rsid w:val="008B4508"/>
    <w:rsid w:val="008B5356"/>
    <w:rsid w:val="008B5E90"/>
    <w:rsid w:val="008B692E"/>
    <w:rsid w:val="008B7303"/>
    <w:rsid w:val="008B791C"/>
    <w:rsid w:val="008C0576"/>
    <w:rsid w:val="008C204C"/>
    <w:rsid w:val="008C54E1"/>
    <w:rsid w:val="008C7B6D"/>
    <w:rsid w:val="008D07E8"/>
    <w:rsid w:val="008D0904"/>
    <w:rsid w:val="008D2367"/>
    <w:rsid w:val="008D2AAD"/>
    <w:rsid w:val="008D4DF1"/>
    <w:rsid w:val="008D6E67"/>
    <w:rsid w:val="008E086F"/>
    <w:rsid w:val="008E24BB"/>
    <w:rsid w:val="008E252F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162FB"/>
    <w:rsid w:val="00916FD5"/>
    <w:rsid w:val="00921D60"/>
    <w:rsid w:val="009225B1"/>
    <w:rsid w:val="0092274E"/>
    <w:rsid w:val="0092337D"/>
    <w:rsid w:val="0092347C"/>
    <w:rsid w:val="00923A0D"/>
    <w:rsid w:val="00924455"/>
    <w:rsid w:val="009249AB"/>
    <w:rsid w:val="00924C50"/>
    <w:rsid w:val="0092554E"/>
    <w:rsid w:val="00925C73"/>
    <w:rsid w:val="00925D82"/>
    <w:rsid w:val="0093137F"/>
    <w:rsid w:val="009321B9"/>
    <w:rsid w:val="00932325"/>
    <w:rsid w:val="00932B6D"/>
    <w:rsid w:val="0093426F"/>
    <w:rsid w:val="00936453"/>
    <w:rsid w:val="009369B6"/>
    <w:rsid w:val="0093710F"/>
    <w:rsid w:val="00940114"/>
    <w:rsid w:val="00940309"/>
    <w:rsid w:val="00940CFC"/>
    <w:rsid w:val="00941121"/>
    <w:rsid w:val="00943479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993"/>
    <w:rsid w:val="00955E2A"/>
    <w:rsid w:val="0095608C"/>
    <w:rsid w:val="00956331"/>
    <w:rsid w:val="00957B5F"/>
    <w:rsid w:val="00962793"/>
    <w:rsid w:val="009642AA"/>
    <w:rsid w:val="0096541A"/>
    <w:rsid w:val="00967957"/>
    <w:rsid w:val="009704D7"/>
    <w:rsid w:val="00970B5D"/>
    <w:rsid w:val="00972E1E"/>
    <w:rsid w:val="00974C0B"/>
    <w:rsid w:val="00974EC8"/>
    <w:rsid w:val="0097518B"/>
    <w:rsid w:val="00975612"/>
    <w:rsid w:val="00975F96"/>
    <w:rsid w:val="009769A6"/>
    <w:rsid w:val="0098076B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DBB"/>
    <w:rsid w:val="009970D3"/>
    <w:rsid w:val="009A1612"/>
    <w:rsid w:val="009A33DB"/>
    <w:rsid w:val="009A61D1"/>
    <w:rsid w:val="009A64A5"/>
    <w:rsid w:val="009A6824"/>
    <w:rsid w:val="009A6AFC"/>
    <w:rsid w:val="009A6CC4"/>
    <w:rsid w:val="009A7852"/>
    <w:rsid w:val="009B0507"/>
    <w:rsid w:val="009B1C61"/>
    <w:rsid w:val="009B1C75"/>
    <w:rsid w:val="009B22A4"/>
    <w:rsid w:val="009B314F"/>
    <w:rsid w:val="009B6082"/>
    <w:rsid w:val="009B7B66"/>
    <w:rsid w:val="009C113E"/>
    <w:rsid w:val="009C12B3"/>
    <w:rsid w:val="009C344E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35CB"/>
    <w:rsid w:val="009E51E1"/>
    <w:rsid w:val="009E5780"/>
    <w:rsid w:val="009E6748"/>
    <w:rsid w:val="009E7573"/>
    <w:rsid w:val="009E7D1B"/>
    <w:rsid w:val="009F0587"/>
    <w:rsid w:val="009F0CF5"/>
    <w:rsid w:val="009F0E8E"/>
    <w:rsid w:val="009F2B01"/>
    <w:rsid w:val="009F4108"/>
    <w:rsid w:val="009F5BC5"/>
    <w:rsid w:val="009F5F16"/>
    <w:rsid w:val="009F6F0E"/>
    <w:rsid w:val="009F7BF1"/>
    <w:rsid w:val="009F7C36"/>
    <w:rsid w:val="00A00674"/>
    <w:rsid w:val="00A00C54"/>
    <w:rsid w:val="00A02B9F"/>
    <w:rsid w:val="00A05149"/>
    <w:rsid w:val="00A05DA4"/>
    <w:rsid w:val="00A05F39"/>
    <w:rsid w:val="00A061E7"/>
    <w:rsid w:val="00A07778"/>
    <w:rsid w:val="00A10324"/>
    <w:rsid w:val="00A125C6"/>
    <w:rsid w:val="00A12E11"/>
    <w:rsid w:val="00A133D0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5914"/>
    <w:rsid w:val="00A26E17"/>
    <w:rsid w:val="00A27B40"/>
    <w:rsid w:val="00A30D45"/>
    <w:rsid w:val="00A31274"/>
    <w:rsid w:val="00A3202F"/>
    <w:rsid w:val="00A32A97"/>
    <w:rsid w:val="00A32CC0"/>
    <w:rsid w:val="00A33EF5"/>
    <w:rsid w:val="00A37423"/>
    <w:rsid w:val="00A37A23"/>
    <w:rsid w:val="00A406C1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E38"/>
    <w:rsid w:val="00A54F2C"/>
    <w:rsid w:val="00A56AAB"/>
    <w:rsid w:val="00A574E0"/>
    <w:rsid w:val="00A578D4"/>
    <w:rsid w:val="00A57EE9"/>
    <w:rsid w:val="00A60230"/>
    <w:rsid w:val="00A60C84"/>
    <w:rsid w:val="00A62731"/>
    <w:rsid w:val="00A63180"/>
    <w:rsid w:val="00A63F5C"/>
    <w:rsid w:val="00A64E2D"/>
    <w:rsid w:val="00A65179"/>
    <w:rsid w:val="00A651A2"/>
    <w:rsid w:val="00A6607A"/>
    <w:rsid w:val="00A66518"/>
    <w:rsid w:val="00A67218"/>
    <w:rsid w:val="00A6798E"/>
    <w:rsid w:val="00A67B4E"/>
    <w:rsid w:val="00A71B18"/>
    <w:rsid w:val="00A73800"/>
    <w:rsid w:val="00A73BBD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94367"/>
    <w:rsid w:val="00A94901"/>
    <w:rsid w:val="00A9533C"/>
    <w:rsid w:val="00A953E6"/>
    <w:rsid w:val="00A97066"/>
    <w:rsid w:val="00AA0C59"/>
    <w:rsid w:val="00AA1769"/>
    <w:rsid w:val="00AA1782"/>
    <w:rsid w:val="00AA2732"/>
    <w:rsid w:val="00AA2759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00A"/>
    <w:rsid w:val="00AC1D69"/>
    <w:rsid w:val="00AC273C"/>
    <w:rsid w:val="00AC2A51"/>
    <w:rsid w:val="00AC3FC8"/>
    <w:rsid w:val="00AC4710"/>
    <w:rsid w:val="00AC546F"/>
    <w:rsid w:val="00AC55D6"/>
    <w:rsid w:val="00AC691D"/>
    <w:rsid w:val="00AC69F1"/>
    <w:rsid w:val="00AC7B0D"/>
    <w:rsid w:val="00AD0513"/>
    <w:rsid w:val="00AD1DC7"/>
    <w:rsid w:val="00AD21A5"/>
    <w:rsid w:val="00AD3147"/>
    <w:rsid w:val="00AD4596"/>
    <w:rsid w:val="00AD4714"/>
    <w:rsid w:val="00AD4E60"/>
    <w:rsid w:val="00AD510C"/>
    <w:rsid w:val="00AD57F0"/>
    <w:rsid w:val="00AD7137"/>
    <w:rsid w:val="00AE0068"/>
    <w:rsid w:val="00AE0F66"/>
    <w:rsid w:val="00AE2B36"/>
    <w:rsid w:val="00AE35A2"/>
    <w:rsid w:val="00AE3EA3"/>
    <w:rsid w:val="00AE6C19"/>
    <w:rsid w:val="00AE7D6B"/>
    <w:rsid w:val="00AF1029"/>
    <w:rsid w:val="00AF55DD"/>
    <w:rsid w:val="00AF56B2"/>
    <w:rsid w:val="00AF5735"/>
    <w:rsid w:val="00AF58A6"/>
    <w:rsid w:val="00AF71E2"/>
    <w:rsid w:val="00AF7CDD"/>
    <w:rsid w:val="00B0061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7715"/>
    <w:rsid w:val="00B10B61"/>
    <w:rsid w:val="00B10E28"/>
    <w:rsid w:val="00B11015"/>
    <w:rsid w:val="00B11737"/>
    <w:rsid w:val="00B14080"/>
    <w:rsid w:val="00B15C15"/>
    <w:rsid w:val="00B17140"/>
    <w:rsid w:val="00B20D0D"/>
    <w:rsid w:val="00B21099"/>
    <w:rsid w:val="00B210CE"/>
    <w:rsid w:val="00B23F66"/>
    <w:rsid w:val="00B241CC"/>
    <w:rsid w:val="00B24821"/>
    <w:rsid w:val="00B25324"/>
    <w:rsid w:val="00B25576"/>
    <w:rsid w:val="00B266AC"/>
    <w:rsid w:val="00B26BFD"/>
    <w:rsid w:val="00B27A9C"/>
    <w:rsid w:val="00B30F11"/>
    <w:rsid w:val="00B324FB"/>
    <w:rsid w:val="00B32BE4"/>
    <w:rsid w:val="00B33FBD"/>
    <w:rsid w:val="00B34EB5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07AD"/>
    <w:rsid w:val="00B6206C"/>
    <w:rsid w:val="00B6250F"/>
    <w:rsid w:val="00B635C6"/>
    <w:rsid w:val="00B639F9"/>
    <w:rsid w:val="00B65D9C"/>
    <w:rsid w:val="00B661A5"/>
    <w:rsid w:val="00B66222"/>
    <w:rsid w:val="00B67F4F"/>
    <w:rsid w:val="00B701A5"/>
    <w:rsid w:val="00B71507"/>
    <w:rsid w:val="00B71DD4"/>
    <w:rsid w:val="00B73CBB"/>
    <w:rsid w:val="00B74102"/>
    <w:rsid w:val="00B74FD7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4EF"/>
    <w:rsid w:val="00B9098A"/>
    <w:rsid w:val="00B9180D"/>
    <w:rsid w:val="00B9217E"/>
    <w:rsid w:val="00B92745"/>
    <w:rsid w:val="00B92D75"/>
    <w:rsid w:val="00B93DEF"/>
    <w:rsid w:val="00B9578B"/>
    <w:rsid w:val="00B95C53"/>
    <w:rsid w:val="00B95C5D"/>
    <w:rsid w:val="00B96D7E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0AD6"/>
    <w:rsid w:val="00BB1A7D"/>
    <w:rsid w:val="00BB2E70"/>
    <w:rsid w:val="00BB6B84"/>
    <w:rsid w:val="00BB7277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618E"/>
    <w:rsid w:val="00BD689A"/>
    <w:rsid w:val="00BE0147"/>
    <w:rsid w:val="00BE0F2D"/>
    <w:rsid w:val="00BE1AA2"/>
    <w:rsid w:val="00BE2807"/>
    <w:rsid w:val="00BE2B21"/>
    <w:rsid w:val="00BE3545"/>
    <w:rsid w:val="00BE4215"/>
    <w:rsid w:val="00BE4CBF"/>
    <w:rsid w:val="00BE59CF"/>
    <w:rsid w:val="00BF0218"/>
    <w:rsid w:val="00BF1EEA"/>
    <w:rsid w:val="00BF22E3"/>
    <w:rsid w:val="00BF2DE2"/>
    <w:rsid w:val="00BF4446"/>
    <w:rsid w:val="00BF4BDB"/>
    <w:rsid w:val="00BF55EA"/>
    <w:rsid w:val="00BF656A"/>
    <w:rsid w:val="00BF7AD5"/>
    <w:rsid w:val="00C004A0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3B7B"/>
    <w:rsid w:val="00C15FCE"/>
    <w:rsid w:val="00C20D5E"/>
    <w:rsid w:val="00C21766"/>
    <w:rsid w:val="00C22254"/>
    <w:rsid w:val="00C23924"/>
    <w:rsid w:val="00C2408D"/>
    <w:rsid w:val="00C24286"/>
    <w:rsid w:val="00C249E7"/>
    <w:rsid w:val="00C276DD"/>
    <w:rsid w:val="00C27F9F"/>
    <w:rsid w:val="00C30DB5"/>
    <w:rsid w:val="00C31037"/>
    <w:rsid w:val="00C31765"/>
    <w:rsid w:val="00C33F46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EE1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764B"/>
    <w:rsid w:val="00C67E52"/>
    <w:rsid w:val="00C71643"/>
    <w:rsid w:val="00C718A8"/>
    <w:rsid w:val="00C72198"/>
    <w:rsid w:val="00C7252C"/>
    <w:rsid w:val="00C733CB"/>
    <w:rsid w:val="00C75C27"/>
    <w:rsid w:val="00C81268"/>
    <w:rsid w:val="00C81942"/>
    <w:rsid w:val="00C83843"/>
    <w:rsid w:val="00C83CAC"/>
    <w:rsid w:val="00C84861"/>
    <w:rsid w:val="00C853A4"/>
    <w:rsid w:val="00C86179"/>
    <w:rsid w:val="00C8751F"/>
    <w:rsid w:val="00C90BDE"/>
    <w:rsid w:val="00C90C8D"/>
    <w:rsid w:val="00C91496"/>
    <w:rsid w:val="00C9165C"/>
    <w:rsid w:val="00C91BCF"/>
    <w:rsid w:val="00C91D28"/>
    <w:rsid w:val="00C91F26"/>
    <w:rsid w:val="00C932D1"/>
    <w:rsid w:val="00C93369"/>
    <w:rsid w:val="00C93E25"/>
    <w:rsid w:val="00C94612"/>
    <w:rsid w:val="00C9476F"/>
    <w:rsid w:val="00C94A3A"/>
    <w:rsid w:val="00C95A2F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4EC"/>
    <w:rsid w:val="00CB5911"/>
    <w:rsid w:val="00CB71D2"/>
    <w:rsid w:val="00CB7EB6"/>
    <w:rsid w:val="00CC1520"/>
    <w:rsid w:val="00CC153B"/>
    <w:rsid w:val="00CC1B6C"/>
    <w:rsid w:val="00CC25F5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1202"/>
    <w:rsid w:val="00CD173C"/>
    <w:rsid w:val="00CD2388"/>
    <w:rsid w:val="00CD4D51"/>
    <w:rsid w:val="00CD4F92"/>
    <w:rsid w:val="00CD5104"/>
    <w:rsid w:val="00CE0186"/>
    <w:rsid w:val="00CE02BB"/>
    <w:rsid w:val="00CE10AB"/>
    <w:rsid w:val="00CE1598"/>
    <w:rsid w:val="00CE1C69"/>
    <w:rsid w:val="00CE2A76"/>
    <w:rsid w:val="00CE2DBC"/>
    <w:rsid w:val="00CE54B4"/>
    <w:rsid w:val="00CE5B44"/>
    <w:rsid w:val="00CE6335"/>
    <w:rsid w:val="00CE71FC"/>
    <w:rsid w:val="00CF1F59"/>
    <w:rsid w:val="00CF3FB0"/>
    <w:rsid w:val="00CF475E"/>
    <w:rsid w:val="00CF4849"/>
    <w:rsid w:val="00CF57BD"/>
    <w:rsid w:val="00CF6C2D"/>
    <w:rsid w:val="00CF77FD"/>
    <w:rsid w:val="00D0010D"/>
    <w:rsid w:val="00D0122D"/>
    <w:rsid w:val="00D021F1"/>
    <w:rsid w:val="00D02BD5"/>
    <w:rsid w:val="00D02DA0"/>
    <w:rsid w:val="00D038AD"/>
    <w:rsid w:val="00D06D81"/>
    <w:rsid w:val="00D06FCC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3D9B"/>
    <w:rsid w:val="00D24EEE"/>
    <w:rsid w:val="00D25E02"/>
    <w:rsid w:val="00D3040F"/>
    <w:rsid w:val="00D31C5A"/>
    <w:rsid w:val="00D33012"/>
    <w:rsid w:val="00D332DE"/>
    <w:rsid w:val="00D349B7"/>
    <w:rsid w:val="00D34A2E"/>
    <w:rsid w:val="00D35089"/>
    <w:rsid w:val="00D35772"/>
    <w:rsid w:val="00D373DD"/>
    <w:rsid w:val="00D40BC4"/>
    <w:rsid w:val="00D40DE5"/>
    <w:rsid w:val="00D41B85"/>
    <w:rsid w:val="00D44392"/>
    <w:rsid w:val="00D462EE"/>
    <w:rsid w:val="00D47D62"/>
    <w:rsid w:val="00D50997"/>
    <w:rsid w:val="00D50BC0"/>
    <w:rsid w:val="00D5109E"/>
    <w:rsid w:val="00D51B40"/>
    <w:rsid w:val="00D529F7"/>
    <w:rsid w:val="00D53A14"/>
    <w:rsid w:val="00D54F3F"/>
    <w:rsid w:val="00D55922"/>
    <w:rsid w:val="00D55B56"/>
    <w:rsid w:val="00D6016A"/>
    <w:rsid w:val="00D60482"/>
    <w:rsid w:val="00D648BD"/>
    <w:rsid w:val="00D648FE"/>
    <w:rsid w:val="00D67259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D04"/>
    <w:rsid w:val="00D77456"/>
    <w:rsid w:val="00D80343"/>
    <w:rsid w:val="00D8059F"/>
    <w:rsid w:val="00D814F0"/>
    <w:rsid w:val="00D815B5"/>
    <w:rsid w:val="00D81C78"/>
    <w:rsid w:val="00D83497"/>
    <w:rsid w:val="00D85ED1"/>
    <w:rsid w:val="00D8626A"/>
    <w:rsid w:val="00D86C9A"/>
    <w:rsid w:val="00D87549"/>
    <w:rsid w:val="00D8774A"/>
    <w:rsid w:val="00D90AB3"/>
    <w:rsid w:val="00D90E1D"/>
    <w:rsid w:val="00D914F7"/>
    <w:rsid w:val="00D932BA"/>
    <w:rsid w:val="00D93C9B"/>
    <w:rsid w:val="00D94B97"/>
    <w:rsid w:val="00D94DFE"/>
    <w:rsid w:val="00D96620"/>
    <w:rsid w:val="00D97DF9"/>
    <w:rsid w:val="00DA08AA"/>
    <w:rsid w:val="00DA1BAE"/>
    <w:rsid w:val="00DA5193"/>
    <w:rsid w:val="00DB0000"/>
    <w:rsid w:val="00DB2301"/>
    <w:rsid w:val="00DB248A"/>
    <w:rsid w:val="00DB29EE"/>
    <w:rsid w:val="00DB2EDA"/>
    <w:rsid w:val="00DB33CE"/>
    <w:rsid w:val="00DB441C"/>
    <w:rsid w:val="00DB77F3"/>
    <w:rsid w:val="00DC0CA0"/>
    <w:rsid w:val="00DC14AD"/>
    <w:rsid w:val="00DC3221"/>
    <w:rsid w:val="00DC40F5"/>
    <w:rsid w:val="00DC424F"/>
    <w:rsid w:val="00DC4DE7"/>
    <w:rsid w:val="00DC56DC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6C38"/>
    <w:rsid w:val="00DE16F3"/>
    <w:rsid w:val="00DE42BF"/>
    <w:rsid w:val="00DE4DEC"/>
    <w:rsid w:val="00DE6438"/>
    <w:rsid w:val="00DE68C2"/>
    <w:rsid w:val="00DE7F13"/>
    <w:rsid w:val="00DF0857"/>
    <w:rsid w:val="00DF1142"/>
    <w:rsid w:val="00DF26AE"/>
    <w:rsid w:val="00DF26C3"/>
    <w:rsid w:val="00DF3202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098"/>
    <w:rsid w:val="00E04696"/>
    <w:rsid w:val="00E05052"/>
    <w:rsid w:val="00E0665C"/>
    <w:rsid w:val="00E101A8"/>
    <w:rsid w:val="00E1162E"/>
    <w:rsid w:val="00E11C42"/>
    <w:rsid w:val="00E11E90"/>
    <w:rsid w:val="00E12171"/>
    <w:rsid w:val="00E15139"/>
    <w:rsid w:val="00E15254"/>
    <w:rsid w:val="00E153B6"/>
    <w:rsid w:val="00E17238"/>
    <w:rsid w:val="00E20281"/>
    <w:rsid w:val="00E2044B"/>
    <w:rsid w:val="00E23B0B"/>
    <w:rsid w:val="00E23DCC"/>
    <w:rsid w:val="00E243CC"/>
    <w:rsid w:val="00E244E2"/>
    <w:rsid w:val="00E256CA"/>
    <w:rsid w:val="00E25F3D"/>
    <w:rsid w:val="00E2614C"/>
    <w:rsid w:val="00E30A6E"/>
    <w:rsid w:val="00E33896"/>
    <w:rsid w:val="00E33E7F"/>
    <w:rsid w:val="00E34B7A"/>
    <w:rsid w:val="00E355C8"/>
    <w:rsid w:val="00E35646"/>
    <w:rsid w:val="00E362B9"/>
    <w:rsid w:val="00E36C9C"/>
    <w:rsid w:val="00E36F43"/>
    <w:rsid w:val="00E37206"/>
    <w:rsid w:val="00E37F8D"/>
    <w:rsid w:val="00E405FE"/>
    <w:rsid w:val="00E414C1"/>
    <w:rsid w:val="00E4191E"/>
    <w:rsid w:val="00E41EBD"/>
    <w:rsid w:val="00E4211E"/>
    <w:rsid w:val="00E4222C"/>
    <w:rsid w:val="00E423EB"/>
    <w:rsid w:val="00E428BC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7EB"/>
    <w:rsid w:val="00E53E33"/>
    <w:rsid w:val="00E544FB"/>
    <w:rsid w:val="00E56A01"/>
    <w:rsid w:val="00E6017D"/>
    <w:rsid w:val="00E607A2"/>
    <w:rsid w:val="00E60B1F"/>
    <w:rsid w:val="00E6154F"/>
    <w:rsid w:val="00E61960"/>
    <w:rsid w:val="00E61AF4"/>
    <w:rsid w:val="00E61D83"/>
    <w:rsid w:val="00E61F2B"/>
    <w:rsid w:val="00E62497"/>
    <w:rsid w:val="00E62938"/>
    <w:rsid w:val="00E62C02"/>
    <w:rsid w:val="00E63ED0"/>
    <w:rsid w:val="00E646EE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586F"/>
    <w:rsid w:val="00E7633F"/>
    <w:rsid w:val="00E76422"/>
    <w:rsid w:val="00E766DD"/>
    <w:rsid w:val="00E81093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376"/>
    <w:rsid w:val="00E916CD"/>
    <w:rsid w:val="00E92498"/>
    <w:rsid w:val="00E924D6"/>
    <w:rsid w:val="00E92D33"/>
    <w:rsid w:val="00E9357F"/>
    <w:rsid w:val="00E93B96"/>
    <w:rsid w:val="00E94F86"/>
    <w:rsid w:val="00E9517D"/>
    <w:rsid w:val="00E964C7"/>
    <w:rsid w:val="00E96C93"/>
    <w:rsid w:val="00E97258"/>
    <w:rsid w:val="00EA118B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4A6"/>
    <w:rsid w:val="00EB3915"/>
    <w:rsid w:val="00EB75D3"/>
    <w:rsid w:val="00EB7C0F"/>
    <w:rsid w:val="00EC0138"/>
    <w:rsid w:val="00EC0983"/>
    <w:rsid w:val="00EC0A19"/>
    <w:rsid w:val="00EC2B05"/>
    <w:rsid w:val="00EC3C73"/>
    <w:rsid w:val="00EC6CAA"/>
    <w:rsid w:val="00EC7463"/>
    <w:rsid w:val="00EC7EE7"/>
    <w:rsid w:val="00ED0E1A"/>
    <w:rsid w:val="00ED16CF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E7BA3"/>
    <w:rsid w:val="00EF1802"/>
    <w:rsid w:val="00EF24A6"/>
    <w:rsid w:val="00EF29A0"/>
    <w:rsid w:val="00EF50D7"/>
    <w:rsid w:val="00EF6DF5"/>
    <w:rsid w:val="00F019EB"/>
    <w:rsid w:val="00F02483"/>
    <w:rsid w:val="00F026DD"/>
    <w:rsid w:val="00F02F06"/>
    <w:rsid w:val="00F0472D"/>
    <w:rsid w:val="00F04C84"/>
    <w:rsid w:val="00F072AF"/>
    <w:rsid w:val="00F0750A"/>
    <w:rsid w:val="00F07791"/>
    <w:rsid w:val="00F07D8A"/>
    <w:rsid w:val="00F10001"/>
    <w:rsid w:val="00F1238A"/>
    <w:rsid w:val="00F126E8"/>
    <w:rsid w:val="00F12842"/>
    <w:rsid w:val="00F1321F"/>
    <w:rsid w:val="00F15ECF"/>
    <w:rsid w:val="00F16223"/>
    <w:rsid w:val="00F17C2A"/>
    <w:rsid w:val="00F2045B"/>
    <w:rsid w:val="00F20599"/>
    <w:rsid w:val="00F22B10"/>
    <w:rsid w:val="00F23A93"/>
    <w:rsid w:val="00F25F97"/>
    <w:rsid w:val="00F26E18"/>
    <w:rsid w:val="00F273A2"/>
    <w:rsid w:val="00F3021C"/>
    <w:rsid w:val="00F302CB"/>
    <w:rsid w:val="00F30DDA"/>
    <w:rsid w:val="00F33C62"/>
    <w:rsid w:val="00F348D4"/>
    <w:rsid w:val="00F35F8E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54DE"/>
    <w:rsid w:val="00F469C4"/>
    <w:rsid w:val="00F47E50"/>
    <w:rsid w:val="00F52062"/>
    <w:rsid w:val="00F544A5"/>
    <w:rsid w:val="00F566D6"/>
    <w:rsid w:val="00F60151"/>
    <w:rsid w:val="00F61E51"/>
    <w:rsid w:val="00F6381A"/>
    <w:rsid w:val="00F66FD8"/>
    <w:rsid w:val="00F671B9"/>
    <w:rsid w:val="00F6787E"/>
    <w:rsid w:val="00F70C6F"/>
    <w:rsid w:val="00F70D2E"/>
    <w:rsid w:val="00F71726"/>
    <w:rsid w:val="00F71DDE"/>
    <w:rsid w:val="00F72378"/>
    <w:rsid w:val="00F7270C"/>
    <w:rsid w:val="00F754D3"/>
    <w:rsid w:val="00F768CD"/>
    <w:rsid w:val="00F769EE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712E"/>
  <w15:docId w15:val="{854FD38F-0EF1-4565-8E25-3342933A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1345-93D3-4152-97B1-02A31222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cp:lastPrinted>2020-10-14T11:24:00Z</cp:lastPrinted>
  <dcterms:created xsi:type="dcterms:W3CDTF">2020-10-22T06:54:00Z</dcterms:created>
  <dcterms:modified xsi:type="dcterms:W3CDTF">2020-10-22T08:00:00Z</dcterms:modified>
</cp:coreProperties>
</file>