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4EF" w:rsidRPr="00083804" w:rsidRDefault="00B514EF" w:rsidP="00500148">
      <w:pPr>
        <w:spacing w:after="0" w:line="276" w:lineRule="auto"/>
        <w:jc w:val="center"/>
        <w:rPr>
          <w:b/>
          <w:bCs/>
          <w:color w:val="auto"/>
          <w:spacing w:val="-2"/>
          <w:sz w:val="36"/>
          <w:szCs w:val="36"/>
        </w:rPr>
      </w:pPr>
      <w:r w:rsidRPr="00083804">
        <w:rPr>
          <w:b/>
          <w:bCs/>
          <w:color w:val="auto"/>
          <w:spacing w:val="-2"/>
          <w:sz w:val="36"/>
          <w:szCs w:val="36"/>
        </w:rPr>
        <w:t>COMUNICATO STAMPA</w:t>
      </w:r>
    </w:p>
    <w:p w:rsidR="009E40E3" w:rsidRPr="009E40E3" w:rsidRDefault="00D01A49" w:rsidP="009E40E3">
      <w:pPr>
        <w:shd w:val="clear" w:color="auto" w:fill="FFFFFF"/>
        <w:spacing w:after="0" w:line="276" w:lineRule="auto"/>
        <w:jc w:val="center"/>
        <w:rPr>
          <w:rFonts w:eastAsia="Times New Roman" w:cs="Calibri"/>
          <w:b/>
          <w:bCs/>
          <w:sz w:val="32"/>
          <w:szCs w:val="32"/>
        </w:rPr>
      </w:pPr>
      <w:r>
        <w:rPr>
          <w:rFonts w:eastAsia="Times New Roman" w:cs="Calibri"/>
          <w:b/>
          <w:bCs/>
          <w:sz w:val="32"/>
          <w:szCs w:val="32"/>
        </w:rPr>
        <w:t xml:space="preserve">CORONAVIRUS, </w:t>
      </w:r>
      <w:r w:rsidR="009E40E3" w:rsidRPr="009E40E3">
        <w:rPr>
          <w:rFonts w:eastAsia="Times New Roman" w:cs="Calibri"/>
          <w:b/>
          <w:bCs/>
          <w:sz w:val="32"/>
          <w:szCs w:val="32"/>
        </w:rPr>
        <w:t xml:space="preserve">NELL’ULTIMA SETTIMANA </w:t>
      </w:r>
      <w:r w:rsidR="00997C03">
        <w:rPr>
          <w:rFonts w:eastAsia="Times New Roman" w:cs="Calibri"/>
          <w:b/>
          <w:bCs/>
          <w:sz w:val="32"/>
          <w:szCs w:val="32"/>
        </w:rPr>
        <w:t>IMPENNATA DI</w:t>
      </w:r>
      <w:r w:rsidR="00A156F8">
        <w:rPr>
          <w:rFonts w:eastAsia="Times New Roman" w:cs="Calibri"/>
          <w:b/>
          <w:bCs/>
          <w:sz w:val="32"/>
          <w:szCs w:val="32"/>
        </w:rPr>
        <w:t xml:space="preserve"> </w:t>
      </w:r>
      <w:r w:rsidR="009E40E3" w:rsidRPr="009E40E3">
        <w:rPr>
          <w:rFonts w:eastAsia="Times New Roman" w:cs="Calibri"/>
          <w:b/>
          <w:bCs/>
          <w:sz w:val="32"/>
          <w:szCs w:val="32"/>
        </w:rPr>
        <w:t xml:space="preserve">NUOVI </w:t>
      </w:r>
      <w:r w:rsidR="008A1ACA">
        <w:rPr>
          <w:rFonts w:eastAsia="Times New Roman" w:cs="Calibri"/>
          <w:b/>
          <w:bCs/>
          <w:sz w:val="32"/>
          <w:szCs w:val="32"/>
        </w:rPr>
        <w:t xml:space="preserve">CASI (+42,3%) E DECESSI (+33%) </w:t>
      </w:r>
      <w:r>
        <w:rPr>
          <w:rFonts w:eastAsia="Times New Roman" w:cs="Calibri"/>
          <w:b/>
          <w:bCs/>
          <w:sz w:val="32"/>
          <w:szCs w:val="32"/>
        </w:rPr>
        <w:t>E</w:t>
      </w:r>
      <w:r w:rsidR="004E6084">
        <w:rPr>
          <w:rFonts w:eastAsia="Times New Roman" w:cs="Calibri"/>
          <w:b/>
          <w:bCs/>
          <w:sz w:val="32"/>
          <w:szCs w:val="32"/>
        </w:rPr>
        <w:t xml:space="preserve"> AUMENTO DELLA</w:t>
      </w:r>
      <w:r w:rsidR="00771925">
        <w:rPr>
          <w:rFonts w:eastAsia="Times New Roman" w:cs="Calibri"/>
          <w:b/>
          <w:bCs/>
          <w:sz w:val="32"/>
          <w:szCs w:val="32"/>
        </w:rPr>
        <w:t xml:space="preserve"> </w:t>
      </w:r>
      <w:r w:rsidR="004E6084">
        <w:rPr>
          <w:rFonts w:eastAsia="Times New Roman" w:cs="Calibri"/>
          <w:b/>
          <w:bCs/>
          <w:sz w:val="32"/>
          <w:szCs w:val="32"/>
        </w:rPr>
        <w:t xml:space="preserve">PRESSIONE </w:t>
      </w:r>
      <w:r w:rsidR="00774250">
        <w:rPr>
          <w:rFonts w:eastAsia="Times New Roman" w:cs="Calibri"/>
          <w:b/>
          <w:bCs/>
          <w:sz w:val="32"/>
          <w:szCs w:val="32"/>
        </w:rPr>
        <w:t xml:space="preserve">SUGLI </w:t>
      </w:r>
      <w:r w:rsidR="009E40E3" w:rsidRPr="009E40E3">
        <w:rPr>
          <w:rFonts w:eastAsia="Times New Roman" w:cs="Calibri"/>
          <w:b/>
          <w:bCs/>
          <w:sz w:val="32"/>
          <w:szCs w:val="32"/>
        </w:rPr>
        <w:t>OSPEDALI: RICOVERI +17%, TERAPIE INTENSIVE +17,3%.</w:t>
      </w:r>
    </w:p>
    <w:p w:rsidR="009E40E3" w:rsidRPr="009E40E3" w:rsidRDefault="009E40E3" w:rsidP="009E40E3">
      <w:pPr>
        <w:shd w:val="clear" w:color="auto" w:fill="FFFFFF"/>
        <w:spacing w:after="0" w:line="276" w:lineRule="auto"/>
        <w:jc w:val="center"/>
        <w:rPr>
          <w:rFonts w:eastAsia="Times New Roman" w:cs="Calibri"/>
          <w:b/>
          <w:bCs/>
          <w:sz w:val="32"/>
          <w:szCs w:val="32"/>
        </w:rPr>
      </w:pPr>
      <w:r w:rsidRPr="009E40E3">
        <w:rPr>
          <w:rFonts w:eastAsia="Times New Roman" w:cs="Calibri"/>
          <w:b/>
          <w:bCs/>
          <w:sz w:val="32"/>
          <w:szCs w:val="32"/>
        </w:rPr>
        <w:t xml:space="preserve">IN 7 GIORNI </w:t>
      </w:r>
      <w:r w:rsidR="00490CAB" w:rsidRPr="00490CAB">
        <w:rPr>
          <w:rFonts w:eastAsia="Times New Roman" w:cs="Calibri"/>
          <w:b/>
          <w:bCs/>
          <w:color w:val="auto"/>
          <w:sz w:val="32"/>
          <w:szCs w:val="32"/>
        </w:rPr>
        <w:t>108</w:t>
      </w:r>
      <w:r w:rsidR="00771925">
        <w:rPr>
          <w:rFonts w:eastAsia="Times New Roman" w:cs="Calibri"/>
          <w:b/>
          <w:bCs/>
          <w:color w:val="auto"/>
          <w:sz w:val="32"/>
          <w:szCs w:val="32"/>
        </w:rPr>
        <w:t xml:space="preserve"> </w:t>
      </w:r>
      <w:r w:rsidR="00490CAB" w:rsidRPr="00490CAB">
        <w:rPr>
          <w:rFonts w:eastAsia="Times New Roman" w:cs="Calibri"/>
          <w:b/>
          <w:bCs/>
          <w:color w:val="auto"/>
          <w:sz w:val="32"/>
          <w:szCs w:val="32"/>
        </w:rPr>
        <w:t xml:space="preserve">MILA </w:t>
      </w:r>
      <w:r w:rsidR="008A1ACA">
        <w:rPr>
          <w:rFonts w:eastAsia="Times New Roman" w:cs="Calibri"/>
          <w:b/>
          <w:bCs/>
          <w:color w:val="auto"/>
          <w:sz w:val="32"/>
          <w:szCs w:val="32"/>
        </w:rPr>
        <w:t xml:space="preserve">SOMMINISTRAZIONI </w:t>
      </w:r>
      <w:r w:rsidR="00360D63" w:rsidRPr="00490CAB">
        <w:rPr>
          <w:rFonts w:eastAsia="Times New Roman" w:cs="Calibri"/>
          <w:b/>
          <w:bCs/>
          <w:color w:val="auto"/>
          <w:sz w:val="32"/>
          <w:szCs w:val="32"/>
        </w:rPr>
        <w:t xml:space="preserve">NELLA </w:t>
      </w:r>
      <w:r w:rsidR="00360D63">
        <w:rPr>
          <w:rFonts w:eastAsia="Times New Roman" w:cs="Calibri"/>
          <w:b/>
          <w:bCs/>
          <w:sz w:val="32"/>
          <w:szCs w:val="32"/>
        </w:rPr>
        <w:t xml:space="preserve">FASCIA 5-11, </w:t>
      </w:r>
      <w:r w:rsidR="008A1ACA">
        <w:rPr>
          <w:rFonts w:eastAsia="Times New Roman" w:cs="Calibri"/>
          <w:b/>
          <w:bCs/>
          <w:sz w:val="32"/>
          <w:szCs w:val="32"/>
        </w:rPr>
        <w:br/>
      </w:r>
      <w:r w:rsidRPr="009E40E3">
        <w:rPr>
          <w:rFonts w:eastAsia="Times New Roman" w:cs="Calibri"/>
          <w:b/>
          <w:bCs/>
          <w:sz w:val="32"/>
          <w:szCs w:val="32"/>
        </w:rPr>
        <w:t>MA</w:t>
      </w:r>
      <w:r w:rsidR="00490CAB">
        <w:rPr>
          <w:rFonts w:eastAsia="Times New Roman" w:cs="Calibri"/>
          <w:b/>
          <w:bCs/>
          <w:sz w:val="32"/>
          <w:szCs w:val="32"/>
        </w:rPr>
        <w:t xml:space="preserve"> SCENDONO</w:t>
      </w:r>
      <w:r w:rsidR="00771925">
        <w:rPr>
          <w:rFonts w:eastAsia="Times New Roman" w:cs="Calibri"/>
          <w:b/>
          <w:bCs/>
          <w:sz w:val="32"/>
          <w:szCs w:val="32"/>
        </w:rPr>
        <w:t xml:space="preserve"> </w:t>
      </w:r>
      <w:r w:rsidR="00360D63">
        <w:rPr>
          <w:rFonts w:eastAsia="Times New Roman" w:cs="Calibri"/>
          <w:b/>
          <w:bCs/>
          <w:sz w:val="32"/>
          <w:szCs w:val="32"/>
        </w:rPr>
        <w:t xml:space="preserve">I NUOVI VACCINATI </w:t>
      </w:r>
      <w:r w:rsidRPr="009E40E3">
        <w:rPr>
          <w:rFonts w:eastAsia="Times New Roman" w:cs="Calibri"/>
          <w:b/>
          <w:bCs/>
          <w:sz w:val="32"/>
          <w:szCs w:val="32"/>
        </w:rPr>
        <w:t>OVER 12 (-</w:t>
      </w:r>
      <w:r w:rsidR="00490CAB">
        <w:rPr>
          <w:rFonts w:eastAsia="Times New Roman" w:cs="Calibri"/>
          <w:b/>
          <w:bCs/>
          <w:sz w:val="32"/>
          <w:szCs w:val="32"/>
        </w:rPr>
        <w:t>18</w:t>
      </w:r>
      <w:r w:rsidRPr="009E40E3">
        <w:rPr>
          <w:rFonts w:eastAsia="Times New Roman" w:cs="Calibri"/>
          <w:b/>
          <w:bCs/>
          <w:sz w:val="32"/>
          <w:szCs w:val="32"/>
        </w:rPr>
        <w:t>,</w:t>
      </w:r>
      <w:r w:rsidR="00490CAB">
        <w:rPr>
          <w:rFonts w:eastAsia="Times New Roman" w:cs="Calibri"/>
          <w:b/>
          <w:bCs/>
          <w:sz w:val="32"/>
          <w:szCs w:val="32"/>
        </w:rPr>
        <w:t>1</w:t>
      </w:r>
      <w:r w:rsidRPr="009E40E3">
        <w:rPr>
          <w:rFonts w:eastAsia="Times New Roman" w:cs="Calibri"/>
          <w:b/>
          <w:bCs/>
          <w:sz w:val="32"/>
          <w:szCs w:val="32"/>
        </w:rPr>
        <w:t xml:space="preserve">%). </w:t>
      </w:r>
      <w:r w:rsidR="003350E5">
        <w:rPr>
          <w:rFonts w:eastAsia="Times New Roman" w:cs="Calibri"/>
          <w:b/>
          <w:bCs/>
          <w:sz w:val="32"/>
          <w:szCs w:val="32"/>
        </w:rPr>
        <w:br/>
      </w:r>
      <w:r w:rsidR="00360D63">
        <w:rPr>
          <w:rFonts w:eastAsia="Times New Roman" w:cs="Calibri"/>
          <w:b/>
          <w:bCs/>
          <w:sz w:val="32"/>
          <w:szCs w:val="32"/>
        </w:rPr>
        <w:t xml:space="preserve">OLTRE 460 MILA TERZE DOSI AL GIORNO, MA </w:t>
      </w:r>
      <w:r w:rsidR="001A4ADB">
        <w:rPr>
          <w:rFonts w:eastAsia="Times New Roman" w:cs="Calibri"/>
          <w:b/>
          <w:bCs/>
          <w:sz w:val="32"/>
          <w:szCs w:val="32"/>
        </w:rPr>
        <w:t xml:space="preserve">INSUFFICIENTI PER </w:t>
      </w:r>
      <w:r w:rsidR="00360D63">
        <w:rPr>
          <w:rFonts w:eastAsia="Times New Roman" w:cs="Calibri"/>
          <w:b/>
          <w:bCs/>
          <w:sz w:val="32"/>
          <w:szCs w:val="32"/>
        </w:rPr>
        <w:t xml:space="preserve">COPRIRE </w:t>
      </w:r>
      <w:r w:rsidRPr="009E40E3">
        <w:rPr>
          <w:rFonts w:eastAsia="Times New Roman" w:cs="Calibri"/>
          <w:b/>
          <w:bCs/>
          <w:sz w:val="32"/>
          <w:szCs w:val="32"/>
        </w:rPr>
        <w:t xml:space="preserve">ENTRO FINE ANNO 17 MILIONI DI </w:t>
      </w:r>
      <w:r>
        <w:rPr>
          <w:rFonts w:eastAsia="Times New Roman" w:cs="Calibri"/>
          <w:b/>
          <w:bCs/>
          <w:sz w:val="32"/>
          <w:szCs w:val="32"/>
        </w:rPr>
        <w:t>PERSONE</w:t>
      </w:r>
      <w:r w:rsidRPr="009E40E3">
        <w:rPr>
          <w:rFonts w:eastAsia="Times New Roman" w:cs="Calibri"/>
          <w:b/>
          <w:bCs/>
          <w:sz w:val="32"/>
          <w:szCs w:val="32"/>
        </w:rPr>
        <w:t>.</w:t>
      </w:r>
    </w:p>
    <w:p w:rsidR="00443F5B" w:rsidRDefault="009E40E3" w:rsidP="009E40E3">
      <w:pPr>
        <w:shd w:val="clear" w:color="auto" w:fill="FFFFFF"/>
        <w:spacing w:after="0" w:line="276" w:lineRule="auto"/>
        <w:jc w:val="center"/>
        <w:rPr>
          <w:rFonts w:eastAsia="Times New Roman" w:cs="Calibri"/>
          <w:b/>
          <w:bCs/>
          <w:sz w:val="32"/>
          <w:szCs w:val="32"/>
        </w:rPr>
      </w:pPr>
      <w:r w:rsidRPr="009E40E3">
        <w:rPr>
          <w:rFonts w:eastAsia="Times New Roman" w:cs="Calibri"/>
          <w:b/>
          <w:bCs/>
          <w:sz w:val="32"/>
          <w:szCs w:val="32"/>
        </w:rPr>
        <w:t>PER CONTENERE LA QUARTA ONDATA SERV</w:t>
      </w:r>
      <w:r>
        <w:rPr>
          <w:rFonts w:eastAsia="Times New Roman" w:cs="Calibri"/>
          <w:b/>
          <w:bCs/>
          <w:sz w:val="32"/>
          <w:szCs w:val="32"/>
        </w:rPr>
        <w:t>ONO MISURE TEMPESTIVE</w:t>
      </w:r>
      <w:r w:rsidR="00997C03">
        <w:rPr>
          <w:rFonts w:eastAsia="Times New Roman" w:cs="Calibri"/>
          <w:b/>
          <w:bCs/>
          <w:sz w:val="32"/>
          <w:szCs w:val="32"/>
        </w:rPr>
        <w:t>: LE PROPOSTE DI GIMBE AL GOVERNO</w:t>
      </w:r>
    </w:p>
    <w:p w:rsidR="005B5BC3" w:rsidRPr="0001337E" w:rsidRDefault="005B5BC3" w:rsidP="009E40E3">
      <w:pPr>
        <w:shd w:val="clear" w:color="auto" w:fill="FFFFFF"/>
        <w:spacing w:after="0" w:line="276" w:lineRule="auto"/>
        <w:jc w:val="center"/>
        <w:rPr>
          <w:rFonts w:eastAsia="Times New Roman" w:cs="Calibri"/>
          <w:b/>
          <w:bCs/>
          <w:color w:val="FF0000"/>
          <w:sz w:val="32"/>
          <w:szCs w:val="32"/>
        </w:rPr>
      </w:pPr>
    </w:p>
    <w:p w:rsidR="009E40E3" w:rsidRDefault="009E40E3" w:rsidP="009E40E3">
      <w:pPr>
        <w:jc w:val="both"/>
        <w:rPr>
          <w:b/>
          <w:bCs/>
          <w:sz w:val="24"/>
          <w:szCs w:val="24"/>
        </w:rPr>
      </w:pPr>
      <w:r>
        <w:rPr>
          <w:b/>
          <w:bCs/>
          <w:sz w:val="24"/>
          <w:szCs w:val="24"/>
        </w:rPr>
        <w:t>IL MONITORAGGIO DELLA FONDAZIONE GIMBE RILEVA, NELLA SETTIMANA 15-21 DICEMBRE, UN AUMENTO DEI NUOVI CASI IN TUTTE LE REGIONI AD ECCEZIONE DELLA PROVINCIA DI BOLZANO</w:t>
      </w:r>
      <w:r w:rsidR="00637C16">
        <w:rPr>
          <w:b/>
          <w:bCs/>
          <w:sz w:val="24"/>
          <w:szCs w:val="24"/>
        </w:rPr>
        <w:t xml:space="preserve"> E </w:t>
      </w:r>
      <w:r>
        <w:rPr>
          <w:b/>
          <w:bCs/>
          <w:sz w:val="24"/>
          <w:szCs w:val="24"/>
        </w:rPr>
        <w:t xml:space="preserve">OLTRE 250 CASI PER 100 MILA ABITANTI </w:t>
      </w:r>
      <w:r w:rsidR="004B248A">
        <w:rPr>
          <w:b/>
          <w:bCs/>
          <w:sz w:val="24"/>
          <w:szCs w:val="24"/>
        </w:rPr>
        <w:t xml:space="preserve">IN </w:t>
      </w:r>
      <w:r>
        <w:rPr>
          <w:b/>
          <w:bCs/>
          <w:sz w:val="24"/>
          <w:szCs w:val="24"/>
        </w:rPr>
        <w:t>METÀ DELLE PROVINCE. AUMENTANO I RICOVERI IN AREA MEDICA (+1.218), IN TERAPIA INTENSIVA</w:t>
      </w:r>
      <w:r w:rsidR="001A4ADB">
        <w:rPr>
          <w:b/>
          <w:bCs/>
          <w:sz w:val="24"/>
          <w:szCs w:val="24"/>
        </w:rPr>
        <w:t xml:space="preserve"> (+149) E I DECESSI (882 VS 663</w:t>
      </w:r>
      <w:r>
        <w:rPr>
          <w:b/>
          <w:bCs/>
          <w:sz w:val="24"/>
          <w:szCs w:val="24"/>
        </w:rPr>
        <w:t>). VACCINAZIONI: L’81% DELLA POPOLAZIONE HA RICEVUTO ALMENO UNA DOSE, MA LE PERSONE NON VACCINATE SONO 9,67 MILIONI TRA CUI 2,37 MILIONI DI OVER 50 E 3</w:t>
      </w:r>
      <w:r w:rsidR="008A1ACA">
        <w:rPr>
          <w:b/>
          <w:bCs/>
          <w:sz w:val="24"/>
          <w:szCs w:val="24"/>
        </w:rPr>
        <w:t>,55 MILIONI DELLA FASCIA 5-11. </w:t>
      </w:r>
      <w:r>
        <w:rPr>
          <w:b/>
          <w:bCs/>
          <w:sz w:val="24"/>
          <w:szCs w:val="24"/>
        </w:rPr>
        <w:t xml:space="preserve">AUMENTANO I NUOVI VACCINATI (+13,8%) </w:t>
      </w:r>
      <w:r w:rsidR="003F7223">
        <w:rPr>
          <w:b/>
          <w:bCs/>
          <w:sz w:val="24"/>
          <w:szCs w:val="24"/>
        </w:rPr>
        <w:t>GRAZIE ALLE</w:t>
      </w:r>
      <w:r>
        <w:rPr>
          <w:b/>
          <w:bCs/>
          <w:sz w:val="24"/>
          <w:szCs w:val="24"/>
        </w:rPr>
        <w:t xml:space="preserve"> FASCIA 5-11</w:t>
      </w:r>
      <w:r w:rsidR="00637C16">
        <w:rPr>
          <w:b/>
          <w:bCs/>
          <w:sz w:val="24"/>
          <w:szCs w:val="24"/>
        </w:rPr>
        <w:t xml:space="preserve">. </w:t>
      </w:r>
      <w:r w:rsidR="004B248A" w:rsidRPr="004B248A">
        <w:rPr>
          <w:b/>
          <w:bCs/>
          <w:sz w:val="24"/>
          <w:szCs w:val="24"/>
        </w:rPr>
        <w:t>IL TASSO DI COPERTURA PER LE TERZE DOSI È PARI AL 51,2%</w:t>
      </w:r>
      <w:r>
        <w:rPr>
          <w:b/>
          <w:bCs/>
          <w:sz w:val="24"/>
          <w:szCs w:val="24"/>
        </w:rPr>
        <w:t xml:space="preserve">. </w:t>
      </w:r>
    </w:p>
    <w:p w:rsidR="006C1992" w:rsidRPr="00916DF2" w:rsidRDefault="00883D66" w:rsidP="00500148">
      <w:pPr>
        <w:spacing w:after="80" w:line="276" w:lineRule="auto"/>
        <w:jc w:val="center"/>
        <w:rPr>
          <w:b/>
          <w:bCs/>
          <w:color w:val="auto"/>
          <w:spacing w:val="-2"/>
          <w:sz w:val="32"/>
          <w:szCs w:val="32"/>
        </w:rPr>
      </w:pPr>
      <w:r>
        <w:rPr>
          <w:rFonts w:cs="Calibri"/>
          <w:b/>
          <w:bCs/>
          <w:color w:val="auto"/>
        </w:rPr>
        <w:t xml:space="preserve">23 </w:t>
      </w:r>
      <w:bookmarkStart w:id="0" w:name="_GoBack"/>
      <w:bookmarkEnd w:id="0"/>
      <w:r w:rsidR="00472A5B">
        <w:rPr>
          <w:rFonts w:cs="Calibri"/>
          <w:b/>
          <w:bCs/>
          <w:color w:val="auto"/>
        </w:rPr>
        <w:t>dicembre</w:t>
      </w:r>
      <w:r w:rsidR="00B514EF" w:rsidRPr="00916DF2">
        <w:rPr>
          <w:rFonts w:cs="Calibri"/>
          <w:b/>
          <w:bCs/>
          <w:color w:val="auto"/>
        </w:rPr>
        <w:t xml:space="preserve"> 2021 - Fondazione GIMBE, Bologna</w:t>
      </w:r>
    </w:p>
    <w:p w:rsidR="00C61D81" w:rsidRDefault="00C61D81" w:rsidP="00912454">
      <w:pPr>
        <w:spacing w:after="0" w:line="276" w:lineRule="auto"/>
        <w:jc w:val="both"/>
        <w:rPr>
          <w:color w:val="auto"/>
        </w:rPr>
      </w:pPr>
      <w:r w:rsidRPr="00C61D81">
        <w:rPr>
          <w:color w:val="auto"/>
        </w:rPr>
        <w:t xml:space="preserve">Il monitoraggio indipendente della Fondazione GIMBE rileva nella settimana 15-21 dicembre 2021, rispetto alla precedente, un </w:t>
      </w:r>
      <w:r w:rsidR="00912454">
        <w:rPr>
          <w:color w:val="auto"/>
        </w:rPr>
        <w:t xml:space="preserve">netto </w:t>
      </w:r>
      <w:r w:rsidRPr="00C61D81">
        <w:rPr>
          <w:color w:val="auto"/>
        </w:rPr>
        <w:t>aumento di nuovi casi (177.257 vs 124.568) (</w:t>
      </w:r>
      <w:r w:rsidRPr="00C61D81">
        <w:rPr>
          <w:color w:val="auto"/>
          <w:highlight w:val="yellow"/>
        </w:rPr>
        <w:t>figura 1</w:t>
      </w:r>
      <w:r w:rsidRPr="00C61D81">
        <w:rPr>
          <w:color w:val="auto"/>
        </w:rPr>
        <w:t>) e decessi (882 vs 663) (</w:t>
      </w:r>
      <w:r w:rsidRPr="00C61D81">
        <w:rPr>
          <w:color w:val="auto"/>
          <w:highlight w:val="yellow"/>
        </w:rPr>
        <w:t>figura 2</w:t>
      </w:r>
      <w:r w:rsidRPr="00C61D81">
        <w:rPr>
          <w:color w:val="auto"/>
        </w:rPr>
        <w:t xml:space="preserve">). </w:t>
      </w:r>
      <w:r w:rsidR="0095311B">
        <w:rPr>
          <w:color w:val="auto"/>
        </w:rPr>
        <w:t xml:space="preserve">Crescono </w:t>
      </w:r>
      <w:r w:rsidRPr="00C61D81">
        <w:rPr>
          <w:color w:val="auto"/>
        </w:rPr>
        <w:t>anche i casi attualmente positivi (384.144 vs 297.394), le persone in isolamento domiciliare (374.751 vs 289.368), i ricoveri con sintomi (8.381 vs 7.163) e le terapie intensive (1.012 vs 863) (</w:t>
      </w:r>
      <w:r w:rsidRPr="00C61D81">
        <w:rPr>
          <w:color w:val="auto"/>
          <w:highlight w:val="yellow"/>
        </w:rPr>
        <w:t>figura 3</w:t>
      </w:r>
      <w:r w:rsidRPr="00C61D81">
        <w:rPr>
          <w:color w:val="auto"/>
        </w:rPr>
        <w:t>). In dettaglio, rispetto alla settimana precedente, si registrano le seguenti variazioni:</w:t>
      </w:r>
    </w:p>
    <w:p w:rsidR="00145AD6" w:rsidRPr="00C61D81" w:rsidRDefault="00145AD6" w:rsidP="00912454">
      <w:pPr>
        <w:spacing w:after="0" w:line="276" w:lineRule="auto"/>
        <w:jc w:val="both"/>
        <w:rPr>
          <w:color w:val="auto"/>
        </w:rPr>
      </w:pPr>
    </w:p>
    <w:p w:rsidR="00C61D81" w:rsidRPr="00C61D81" w:rsidRDefault="00C61D81" w:rsidP="00C61D81">
      <w:pPr>
        <w:pStyle w:val="Paragrafoelenco"/>
        <w:numPr>
          <w:ilvl w:val="0"/>
          <w:numId w:val="2"/>
        </w:numPr>
        <w:spacing w:after="0" w:line="276" w:lineRule="auto"/>
        <w:jc w:val="both"/>
        <w:rPr>
          <w:color w:val="auto"/>
        </w:rPr>
      </w:pPr>
      <w:r w:rsidRPr="00C61D81">
        <w:rPr>
          <w:color w:val="auto"/>
        </w:rPr>
        <w:t>Decessi: 882 (+33%), di cui 45 riferiti a periodi precedenti</w:t>
      </w:r>
    </w:p>
    <w:p w:rsidR="00C61D81" w:rsidRPr="00C61D81" w:rsidRDefault="00C61D81" w:rsidP="00C61D81">
      <w:pPr>
        <w:pStyle w:val="Paragrafoelenco"/>
        <w:numPr>
          <w:ilvl w:val="0"/>
          <w:numId w:val="2"/>
        </w:numPr>
        <w:spacing w:after="0" w:line="276" w:lineRule="auto"/>
        <w:jc w:val="both"/>
        <w:rPr>
          <w:color w:val="auto"/>
        </w:rPr>
      </w:pPr>
      <w:r w:rsidRPr="00C61D81">
        <w:rPr>
          <w:color w:val="auto"/>
        </w:rPr>
        <w:t>Terapia intensiva: +149 (+17,3%)</w:t>
      </w:r>
    </w:p>
    <w:p w:rsidR="00C61D81" w:rsidRPr="00C61D81" w:rsidRDefault="00C61D81" w:rsidP="00C61D81">
      <w:pPr>
        <w:pStyle w:val="Paragrafoelenco"/>
        <w:numPr>
          <w:ilvl w:val="0"/>
          <w:numId w:val="2"/>
        </w:numPr>
        <w:spacing w:after="0" w:line="276" w:lineRule="auto"/>
        <w:jc w:val="both"/>
        <w:rPr>
          <w:color w:val="auto"/>
        </w:rPr>
      </w:pPr>
      <w:r w:rsidRPr="00C61D81">
        <w:rPr>
          <w:color w:val="auto"/>
        </w:rPr>
        <w:t>Rico</w:t>
      </w:r>
      <w:r>
        <w:rPr>
          <w:color w:val="auto"/>
        </w:rPr>
        <w:t>verati con sintomi: +1.218 (+17</w:t>
      </w:r>
      <w:r w:rsidRPr="00C61D81">
        <w:rPr>
          <w:color w:val="auto"/>
        </w:rPr>
        <w:t>%)</w:t>
      </w:r>
    </w:p>
    <w:p w:rsidR="00C61D81" w:rsidRPr="00C61D81" w:rsidRDefault="00C61D81" w:rsidP="00C61D81">
      <w:pPr>
        <w:pStyle w:val="Paragrafoelenco"/>
        <w:numPr>
          <w:ilvl w:val="0"/>
          <w:numId w:val="2"/>
        </w:numPr>
        <w:spacing w:after="0" w:line="276" w:lineRule="auto"/>
        <w:jc w:val="both"/>
        <w:rPr>
          <w:color w:val="auto"/>
        </w:rPr>
      </w:pPr>
      <w:r w:rsidRPr="00C61D81">
        <w:rPr>
          <w:color w:val="auto"/>
        </w:rPr>
        <w:t>Isolamento domiciliare: +85.383 (+29,5%)</w:t>
      </w:r>
    </w:p>
    <w:p w:rsidR="00C61D81" w:rsidRPr="00C61D81" w:rsidRDefault="00C61D81" w:rsidP="00C61D81">
      <w:pPr>
        <w:pStyle w:val="Paragrafoelenco"/>
        <w:numPr>
          <w:ilvl w:val="0"/>
          <w:numId w:val="2"/>
        </w:numPr>
        <w:spacing w:after="0" w:line="276" w:lineRule="auto"/>
        <w:jc w:val="both"/>
        <w:rPr>
          <w:color w:val="auto"/>
        </w:rPr>
      </w:pPr>
      <w:r w:rsidRPr="00C61D81">
        <w:rPr>
          <w:color w:val="auto"/>
        </w:rPr>
        <w:t>Nuovi casi: 177.257 (+42,3%)</w:t>
      </w:r>
    </w:p>
    <w:p w:rsidR="00C61D81" w:rsidRPr="00C61D81" w:rsidRDefault="00C61D81" w:rsidP="00C61D81">
      <w:pPr>
        <w:pStyle w:val="Paragrafoelenco"/>
        <w:numPr>
          <w:ilvl w:val="0"/>
          <w:numId w:val="2"/>
        </w:numPr>
        <w:spacing w:line="276" w:lineRule="auto"/>
        <w:ind w:left="357" w:hanging="357"/>
        <w:jc w:val="both"/>
        <w:rPr>
          <w:color w:val="auto"/>
        </w:rPr>
      </w:pPr>
      <w:r w:rsidRPr="00C61D81">
        <w:rPr>
          <w:color w:val="auto"/>
        </w:rPr>
        <w:t>Casi attualmente positivi: +86.750 (+29,2%)</w:t>
      </w:r>
    </w:p>
    <w:p w:rsidR="00C61D81" w:rsidRPr="00C61D81" w:rsidRDefault="00797AB7" w:rsidP="00C61D81">
      <w:pPr>
        <w:spacing w:line="276" w:lineRule="auto"/>
        <w:jc w:val="both"/>
        <w:rPr>
          <w:color w:val="auto"/>
        </w:rPr>
      </w:pPr>
      <w:r w:rsidRPr="00C61D81">
        <w:rPr>
          <w:color w:val="auto"/>
        </w:rPr>
        <w:t>«</w:t>
      </w:r>
      <w:r w:rsidR="00373CA2" w:rsidRPr="00C61D81">
        <w:rPr>
          <w:color w:val="auto"/>
        </w:rPr>
        <w:t xml:space="preserve">Da </w:t>
      </w:r>
      <w:r w:rsidR="00912454">
        <w:rPr>
          <w:color w:val="auto"/>
        </w:rPr>
        <w:t>oltre due mesi</w:t>
      </w:r>
      <w:r w:rsidR="00AF432C">
        <w:rPr>
          <w:color w:val="auto"/>
        </w:rPr>
        <w:t xml:space="preserve"> </w:t>
      </w:r>
      <w:r w:rsidR="0042340E" w:rsidRPr="00C61D81">
        <w:rPr>
          <w:color w:val="auto"/>
        </w:rPr>
        <w:t>– dichiara Nino Cartabellotta, Presidente della Fondazione GIMBE –</w:t>
      </w:r>
      <w:r w:rsidR="00AF432C">
        <w:rPr>
          <w:color w:val="auto"/>
        </w:rPr>
        <w:t xml:space="preserve"> </w:t>
      </w:r>
      <w:r w:rsidR="00912454">
        <w:rPr>
          <w:color w:val="auto"/>
        </w:rPr>
        <w:t>si assiste ad un aumento de</w:t>
      </w:r>
      <w:r w:rsidR="00373CA2" w:rsidRPr="00C61D81">
        <w:rPr>
          <w:color w:val="auto"/>
        </w:rPr>
        <w:t xml:space="preserve">i </w:t>
      </w:r>
      <w:r w:rsidR="00912454">
        <w:rPr>
          <w:color w:val="auto"/>
        </w:rPr>
        <w:t xml:space="preserve">nuovi casi, che nelle ultime due settimane </w:t>
      </w:r>
      <w:r w:rsidR="003350E5">
        <w:rPr>
          <w:color w:val="auto"/>
        </w:rPr>
        <w:t>ha</w:t>
      </w:r>
      <w:r w:rsidR="004B248A">
        <w:rPr>
          <w:color w:val="auto"/>
        </w:rPr>
        <w:t xml:space="preserve"> subìto una forte accelerazione. L</w:t>
      </w:r>
      <w:r w:rsidR="003350E5">
        <w:rPr>
          <w:color w:val="auto"/>
        </w:rPr>
        <w:t xml:space="preserve">a </w:t>
      </w:r>
      <w:r w:rsidR="000E770E" w:rsidRPr="00C61D81">
        <w:rPr>
          <w:color w:val="auto"/>
        </w:rPr>
        <w:t xml:space="preserve">media mobile a 7 giorni </w:t>
      </w:r>
      <w:r w:rsidR="00637C16">
        <w:rPr>
          <w:color w:val="auto"/>
        </w:rPr>
        <w:t xml:space="preserve">dei nuovi casi è passata </w:t>
      </w:r>
      <w:r w:rsidR="00912454">
        <w:rPr>
          <w:color w:val="auto"/>
        </w:rPr>
        <w:t xml:space="preserve">da 15.521 dell’8 dicembre </w:t>
      </w:r>
      <w:r w:rsidR="004B248A">
        <w:rPr>
          <w:color w:val="auto"/>
        </w:rPr>
        <w:t xml:space="preserve">a </w:t>
      </w:r>
      <w:r w:rsidR="00C61D81" w:rsidRPr="00C61D81">
        <w:rPr>
          <w:color w:val="auto"/>
        </w:rPr>
        <w:t>25.322</w:t>
      </w:r>
      <w:r w:rsidR="00942F02" w:rsidRPr="00C61D81">
        <w:rPr>
          <w:color w:val="auto"/>
        </w:rPr>
        <w:t xml:space="preserve"> il</w:t>
      </w:r>
      <w:r w:rsidR="00AF432C">
        <w:rPr>
          <w:color w:val="auto"/>
        </w:rPr>
        <w:t xml:space="preserve"> </w:t>
      </w:r>
      <w:r w:rsidR="00C61D81" w:rsidRPr="00C61D81">
        <w:rPr>
          <w:color w:val="auto"/>
        </w:rPr>
        <w:t>21</w:t>
      </w:r>
      <w:r w:rsidR="00D50FC1" w:rsidRPr="00C61D81">
        <w:rPr>
          <w:color w:val="auto"/>
        </w:rPr>
        <w:t xml:space="preserve"> dicembre</w:t>
      </w:r>
      <w:r w:rsidR="00912454">
        <w:rPr>
          <w:color w:val="auto"/>
        </w:rPr>
        <w:t xml:space="preserve"> (+63,2%)</w:t>
      </w:r>
      <w:r w:rsidR="00BC338E">
        <w:rPr>
          <w:color w:val="auto"/>
        </w:rPr>
        <w:t xml:space="preserve">, </w:t>
      </w:r>
      <w:r w:rsidR="004B248A">
        <w:rPr>
          <w:color w:val="auto"/>
        </w:rPr>
        <w:t xml:space="preserve">un’impennata </w:t>
      </w:r>
      <w:r w:rsidR="003A1AD0">
        <w:rPr>
          <w:color w:val="auto"/>
        </w:rPr>
        <w:t xml:space="preserve">favorita anche dalla </w:t>
      </w:r>
      <w:r w:rsidR="004B248A">
        <w:rPr>
          <w:color w:val="auto"/>
        </w:rPr>
        <w:t xml:space="preserve">rapida </w:t>
      </w:r>
      <w:r w:rsidR="003A1AD0">
        <w:rPr>
          <w:color w:val="auto"/>
        </w:rPr>
        <w:t xml:space="preserve">e progressiva </w:t>
      </w:r>
      <w:r w:rsidR="00BC338E">
        <w:rPr>
          <w:color w:val="auto"/>
        </w:rPr>
        <w:t>diff</w:t>
      </w:r>
      <w:r w:rsidR="004B248A">
        <w:rPr>
          <w:color w:val="auto"/>
        </w:rPr>
        <w:t xml:space="preserve">usione </w:t>
      </w:r>
      <w:r w:rsidR="00BC338E">
        <w:rPr>
          <w:color w:val="auto"/>
        </w:rPr>
        <w:t>della variante omicron nel nostro Paese</w:t>
      </w:r>
      <w:r w:rsidR="003A1AD0">
        <w:rPr>
          <w:color w:val="auto"/>
        </w:rPr>
        <w:t xml:space="preserve">, </w:t>
      </w:r>
      <w:r w:rsidR="004B248A">
        <w:rPr>
          <w:color w:val="auto"/>
        </w:rPr>
        <w:t>ampiamente sottostimata da un sequenziamento insufficiente</w:t>
      </w:r>
      <w:r w:rsidRPr="00C61D81">
        <w:rPr>
          <w:color w:val="auto"/>
        </w:rPr>
        <w:t>»</w:t>
      </w:r>
      <w:r w:rsidR="00942F02" w:rsidRPr="00C61D81">
        <w:rPr>
          <w:color w:val="auto"/>
        </w:rPr>
        <w:t xml:space="preserve"> (</w:t>
      </w:r>
      <w:r w:rsidR="00942F02" w:rsidRPr="00C61D81">
        <w:rPr>
          <w:color w:val="auto"/>
          <w:highlight w:val="yellow"/>
        </w:rPr>
        <w:t>figura 4</w:t>
      </w:r>
      <w:r w:rsidR="00942F02" w:rsidRPr="00C61D81">
        <w:rPr>
          <w:color w:val="auto"/>
        </w:rPr>
        <w:t>)</w:t>
      </w:r>
      <w:r w:rsidRPr="00C61D81">
        <w:rPr>
          <w:color w:val="auto"/>
        </w:rPr>
        <w:t>.</w:t>
      </w:r>
      <w:r w:rsidR="00AF432C">
        <w:rPr>
          <w:color w:val="auto"/>
        </w:rPr>
        <w:t xml:space="preserve"> </w:t>
      </w:r>
      <w:r w:rsidR="00912454">
        <w:rPr>
          <w:color w:val="auto"/>
        </w:rPr>
        <w:t xml:space="preserve">Il rapporto </w:t>
      </w:r>
      <w:r w:rsidR="00D0282D" w:rsidRPr="00C61D81">
        <w:rPr>
          <w:color w:val="auto"/>
        </w:rPr>
        <w:t>positivi/</w:t>
      </w:r>
      <w:r w:rsidR="00AA7725" w:rsidRPr="00C61D81">
        <w:rPr>
          <w:color w:val="auto"/>
        </w:rPr>
        <w:t xml:space="preserve">persone testate </w:t>
      </w:r>
      <w:r w:rsidR="003350E5">
        <w:rPr>
          <w:color w:val="auto"/>
        </w:rPr>
        <w:t>ha raggiunto il</w:t>
      </w:r>
      <w:r w:rsidR="00AF432C">
        <w:rPr>
          <w:color w:val="auto"/>
        </w:rPr>
        <w:t xml:space="preserve"> </w:t>
      </w:r>
      <w:r w:rsidR="00F52330" w:rsidRPr="00C61D81">
        <w:rPr>
          <w:color w:val="auto"/>
        </w:rPr>
        <w:t>2</w:t>
      </w:r>
      <w:r w:rsidR="00C61D81" w:rsidRPr="00C61D81">
        <w:rPr>
          <w:color w:val="auto"/>
        </w:rPr>
        <w:t>8</w:t>
      </w:r>
      <w:r w:rsidR="000D40CB" w:rsidRPr="00C61D81">
        <w:rPr>
          <w:color w:val="auto"/>
        </w:rPr>
        <w:t>,</w:t>
      </w:r>
      <w:r w:rsidR="00C61D81" w:rsidRPr="00C61D81">
        <w:rPr>
          <w:color w:val="auto"/>
        </w:rPr>
        <w:t>1</w:t>
      </w:r>
      <w:r w:rsidR="00912454">
        <w:rPr>
          <w:color w:val="auto"/>
        </w:rPr>
        <w:t xml:space="preserve">% </w:t>
      </w:r>
      <w:r w:rsidR="003E293F" w:rsidRPr="00C61D81">
        <w:rPr>
          <w:color w:val="auto"/>
        </w:rPr>
        <w:t>(</w:t>
      </w:r>
      <w:r w:rsidR="003E293F" w:rsidRPr="00C61D81">
        <w:rPr>
          <w:color w:val="auto"/>
          <w:highlight w:val="yellow"/>
        </w:rPr>
        <w:t>figura 1</w:t>
      </w:r>
      <w:r w:rsidR="003E293F" w:rsidRPr="00C61D81">
        <w:rPr>
          <w:color w:val="auto"/>
        </w:rPr>
        <w:t>)</w:t>
      </w:r>
      <w:r w:rsidR="00D0282D" w:rsidRPr="00C61D81">
        <w:rPr>
          <w:color w:val="auto"/>
        </w:rPr>
        <w:t xml:space="preserve">, </w:t>
      </w:r>
      <w:r w:rsidR="00912454">
        <w:rPr>
          <w:color w:val="auto"/>
        </w:rPr>
        <w:t xml:space="preserve">quello </w:t>
      </w:r>
      <w:r w:rsidR="00D0282D" w:rsidRPr="00C61D81">
        <w:rPr>
          <w:color w:val="auto"/>
        </w:rPr>
        <w:t xml:space="preserve">positivi/tamponi molecolari </w:t>
      </w:r>
      <w:r w:rsidR="003350E5">
        <w:rPr>
          <w:color w:val="auto"/>
        </w:rPr>
        <w:t xml:space="preserve">il </w:t>
      </w:r>
      <w:r w:rsidR="00C61D81" w:rsidRPr="00C61D81">
        <w:rPr>
          <w:color w:val="auto"/>
        </w:rPr>
        <w:t>10,5</w:t>
      </w:r>
      <w:r w:rsidR="003E293F" w:rsidRPr="00C61D81">
        <w:rPr>
          <w:color w:val="auto"/>
        </w:rPr>
        <w:t>%</w:t>
      </w:r>
      <w:r w:rsidR="00AF432C">
        <w:rPr>
          <w:color w:val="auto"/>
        </w:rPr>
        <w:t xml:space="preserve"> </w:t>
      </w:r>
      <w:r w:rsidR="00154EE5" w:rsidRPr="00C61D81">
        <w:rPr>
          <w:color w:val="auto"/>
        </w:rPr>
        <w:t>e</w:t>
      </w:r>
      <w:r w:rsidR="00AF432C">
        <w:rPr>
          <w:color w:val="auto"/>
        </w:rPr>
        <w:t xml:space="preserve"> </w:t>
      </w:r>
      <w:r w:rsidR="00912454">
        <w:rPr>
          <w:color w:val="auto"/>
        </w:rPr>
        <w:t xml:space="preserve">quello </w:t>
      </w:r>
      <w:r w:rsidR="005E0EA1" w:rsidRPr="00C61D81">
        <w:rPr>
          <w:color w:val="auto"/>
        </w:rPr>
        <w:t xml:space="preserve">positivi/tamponi antigenici rapidi </w:t>
      </w:r>
      <w:r w:rsidR="0084665B">
        <w:rPr>
          <w:color w:val="auto"/>
        </w:rPr>
        <w:t>l’</w:t>
      </w:r>
      <w:r w:rsidR="00C61D81" w:rsidRPr="00C61D81">
        <w:rPr>
          <w:color w:val="auto"/>
        </w:rPr>
        <w:t>1,2</w:t>
      </w:r>
      <w:r w:rsidR="00912454">
        <w:rPr>
          <w:color w:val="auto"/>
        </w:rPr>
        <w:t xml:space="preserve">% </w:t>
      </w:r>
      <w:r w:rsidR="003E293F" w:rsidRPr="00C61D81">
        <w:rPr>
          <w:color w:val="auto"/>
        </w:rPr>
        <w:t>(</w:t>
      </w:r>
      <w:r w:rsidR="003E293F" w:rsidRPr="00C61D81">
        <w:rPr>
          <w:color w:val="auto"/>
          <w:highlight w:val="yellow"/>
        </w:rPr>
        <w:t xml:space="preserve">figura </w:t>
      </w:r>
      <w:r w:rsidR="00FB6128" w:rsidRPr="00C61D81">
        <w:rPr>
          <w:color w:val="auto"/>
          <w:highlight w:val="yellow"/>
        </w:rPr>
        <w:t>5</w:t>
      </w:r>
      <w:r w:rsidR="00AF432C">
        <w:rPr>
          <w:color w:val="auto"/>
        </w:rPr>
        <w:t>).</w:t>
      </w:r>
    </w:p>
    <w:p w:rsidR="004C62E3" w:rsidRPr="00C61D81" w:rsidRDefault="00637C16" w:rsidP="00C61D81">
      <w:pPr>
        <w:spacing w:line="276" w:lineRule="auto"/>
        <w:jc w:val="both"/>
        <w:rPr>
          <w:color w:val="auto"/>
        </w:rPr>
      </w:pPr>
      <w:r>
        <w:rPr>
          <w:color w:val="auto"/>
        </w:rPr>
        <w:t>N</w:t>
      </w:r>
      <w:r w:rsidRPr="00C61D81">
        <w:rPr>
          <w:color w:val="auto"/>
        </w:rPr>
        <w:t>ella settimana 15-21 dicembre 2021</w:t>
      </w:r>
      <w:r>
        <w:rPr>
          <w:color w:val="auto"/>
        </w:rPr>
        <w:t xml:space="preserve"> i</w:t>
      </w:r>
      <w:r w:rsidR="00843C5C" w:rsidRPr="00C61D81">
        <w:rPr>
          <w:color w:val="auto"/>
        </w:rPr>
        <w:t xml:space="preserve">n </w:t>
      </w:r>
      <w:r w:rsidR="00C46FF1">
        <w:rPr>
          <w:color w:val="auto"/>
        </w:rPr>
        <w:t xml:space="preserve">tutte le Regioni, </w:t>
      </w:r>
      <w:r w:rsidR="00553FF4" w:rsidRPr="00C61D81">
        <w:rPr>
          <w:color w:val="auto"/>
        </w:rPr>
        <w:t>ecce</w:t>
      </w:r>
      <w:r w:rsidR="00C46FF1">
        <w:rPr>
          <w:color w:val="auto"/>
        </w:rPr>
        <w:t xml:space="preserve">tto </w:t>
      </w:r>
      <w:r w:rsidR="00C61D81" w:rsidRPr="00C61D81">
        <w:rPr>
          <w:color w:val="auto"/>
        </w:rPr>
        <w:t xml:space="preserve">la </w:t>
      </w:r>
      <w:r w:rsidR="00F52330" w:rsidRPr="00C61D81">
        <w:rPr>
          <w:color w:val="auto"/>
        </w:rPr>
        <w:t>Provincia Autonoma di Bolzano</w:t>
      </w:r>
      <w:r w:rsidR="00C46FF1">
        <w:rPr>
          <w:color w:val="auto"/>
        </w:rPr>
        <w:t>,</w:t>
      </w:r>
      <w:r w:rsidR="00AF432C">
        <w:rPr>
          <w:color w:val="auto"/>
        </w:rPr>
        <w:t xml:space="preserve"> </w:t>
      </w:r>
      <w:r w:rsidR="0081624D" w:rsidRPr="00C61D81">
        <w:rPr>
          <w:color w:val="auto"/>
        </w:rPr>
        <w:t>si</w:t>
      </w:r>
      <w:r w:rsidR="00843C5C" w:rsidRPr="00C61D81">
        <w:rPr>
          <w:color w:val="auto"/>
        </w:rPr>
        <w:t xml:space="preserve"> rileva </w:t>
      </w:r>
      <w:r w:rsidR="00883915" w:rsidRPr="00C61D81">
        <w:rPr>
          <w:color w:val="auto"/>
        </w:rPr>
        <w:t>un incremento percentuale dei nuovi casi</w:t>
      </w:r>
      <w:r w:rsidR="00E71BC7" w:rsidRPr="00C61D81">
        <w:rPr>
          <w:color w:val="auto"/>
        </w:rPr>
        <w:t xml:space="preserve">: </w:t>
      </w:r>
      <w:r w:rsidR="000D40CB" w:rsidRPr="00C61D81">
        <w:rPr>
          <w:color w:val="auto"/>
        </w:rPr>
        <w:t>dal</w:t>
      </w:r>
      <w:r w:rsidR="00AF432C">
        <w:rPr>
          <w:color w:val="auto"/>
        </w:rPr>
        <w:t xml:space="preserve"> </w:t>
      </w:r>
      <w:r w:rsidR="00C61D81" w:rsidRPr="00C61D81">
        <w:rPr>
          <w:color w:val="auto"/>
        </w:rPr>
        <w:t>12</w:t>
      </w:r>
      <w:r w:rsidR="000D40CB" w:rsidRPr="00C61D81">
        <w:rPr>
          <w:color w:val="auto"/>
        </w:rPr>
        <w:t>,</w:t>
      </w:r>
      <w:r w:rsidR="00F52330" w:rsidRPr="00C61D81">
        <w:rPr>
          <w:color w:val="auto"/>
        </w:rPr>
        <w:t>4</w:t>
      </w:r>
      <w:r w:rsidR="000A422E" w:rsidRPr="00C61D81">
        <w:rPr>
          <w:color w:val="auto"/>
        </w:rPr>
        <w:t xml:space="preserve">% </w:t>
      </w:r>
      <w:r w:rsidR="00F52330" w:rsidRPr="00C61D81">
        <w:rPr>
          <w:color w:val="auto"/>
        </w:rPr>
        <w:t>del</w:t>
      </w:r>
      <w:r w:rsidR="00C61D81" w:rsidRPr="00C61D81">
        <w:rPr>
          <w:color w:val="auto"/>
        </w:rPr>
        <w:t xml:space="preserve"> Friuli-Venezia Giulia</w:t>
      </w:r>
      <w:r w:rsidR="000D40CB" w:rsidRPr="00C61D81">
        <w:rPr>
          <w:color w:val="auto"/>
        </w:rPr>
        <w:t xml:space="preserve">al </w:t>
      </w:r>
      <w:r w:rsidR="00C61D81" w:rsidRPr="00C61D81">
        <w:rPr>
          <w:color w:val="auto"/>
        </w:rPr>
        <w:t>86</w:t>
      </w:r>
      <w:r w:rsidR="001B4693" w:rsidRPr="00C61D81">
        <w:rPr>
          <w:color w:val="auto"/>
        </w:rPr>
        <w:t>,</w:t>
      </w:r>
      <w:r w:rsidR="00C61D81" w:rsidRPr="00C61D81">
        <w:rPr>
          <w:color w:val="auto"/>
        </w:rPr>
        <w:t>3</w:t>
      </w:r>
      <w:r w:rsidR="000D40CB" w:rsidRPr="00C61D81">
        <w:rPr>
          <w:color w:val="auto"/>
        </w:rPr>
        <w:t xml:space="preserve">% </w:t>
      </w:r>
      <w:r w:rsidR="00C61D81" w:rsidRPr="00C61D81">
        <w:rPr>
          <w:color w:val="auto"/>
        </w:rPr>
        <w:t>dell’Umbria</w:t>
      </w:r>
      <w:r w:rsidR="00AF432C">
        <w:rPr>
          <w:color w:val="auto"/>
        </w:rPr>
        <w:t xml:space="preserve"> </w:t>
      </w:r>
      <w:r w:rsidR="00883915" w:rsidRPr="00C61D81">
        <w:rPr>
          <w:color w:val="auto"/>
        </w:rPr>
        <w:t>(</w:t>
      </w:r>
      <w:r w:rsidR="00883915" w:rsidRPr="00C61D81">
        <w:rPr>
          <w:color w:val="auto"/>
          <w:highlight w:val="yellow"/>
        </w:rPr>
        <w:t>tabella 1</w:t>
      </w:r>
      <w:r w:rsidR="00883915" w:rsidRPr="00C61D81">
        <w:rPr>
          <w:color w:val="auto"/>
        </w:rPr>
        <w:t>).</w:t>
      </w:r>
      <w:r w:rsidR="00AF432C">
        <w:rPr>
          <w:color w:val="auto"/>
        </w:rPr>
        <w:t xml:space="preserve"> </w:t>
      </w:r>
      <w:r w:rsidR="00CC0DB4" w:rsidRPr="00C61D81">
        <w:rPr>
          <w:color w:val="auto"/>
        </w:rPr>
        <w:lastRenderedPageBreak/>
        <w:t xml:space="preserve">In </w:t>
      </w:r>
      <w:r w:rsidR="00C61D81" w:rsidRPr="00C61D81">
        <w:rPr>
          <w:color w:val="auto"/>
        </w:rPr>
        <w:t>54</w:t>
      </w:r>
      <w:r w:rsidR="00AF432C">
        <w:rPr>
          <w:color w:val="auto"/>
        </w:rPr>
        <w:t xml:space="preserve"> </w:t>
      </w:r>
      <w:r w:rsidR="00596E5A" w:rsidRPr="00C61D81">
        <w:rPr>
          <w:color w:val="auto"/>
        </w:rPr>
        <w:t xml:space="preserve">Province </w:t>
      </w:r>
      <w:r w:rsidR="00CF3AB6" w:rsidRPr="00C61D81">
        <w:rPr>
          <w:color w:val="auto"/>
        </w:rPr>
        <w:t>l</w:t>
      </w:r>
      <w:r w:rsidR="00596E5A" w:rsidRPr="00C61D81">
        <w:rPr>
          <w:color w:val="auto"/>
        </w:rPr>
        <w:t xml:space="preserve">’incidenza </w:t>
      </w:r>
      <w:r w:rsidR="00FE462E" w:rsidRPr="00C61D81">
        <w:rPr>
          <w:color w:val="auto"/>
        </w:rPr>
        <w:t>supera i</w:t>
      </w:r>
      <w:r w:rsidR="00AF432C">
        <w:rPr>
          <w:color w:val="auto"/>
        </w:rPr>
        <w:t xml:space="preserve"> </w:t>
      </w:r>
      <w:r w:rsidR="00AB2BE7" w:rsidRPr="00C61D81">
        <w:rPr>
          <w:color w:val="auto"/>
        </w:rPr>
        <w:t xml:space="preserve">250 </w:t>
      </w:r>
      <w:r w:rsidR="00596E5A" w:rsidRPr="00C61D81">
        <w:rPr>
          <w:color w:val="auto"/>
        </w:rPr>
        <w:t>casi per 100.000 abitanti</w:t>
      </w:r>
      <w:r w:rsidR="004C62E3" w:rsidRPr="00C61D81">
        <w:rPr>
          <w:color w:val="auto"/>
        </w:rPr>
        <w:t xml:space="preserve">: </w:t>
      </w:r>
      <w:r w:rsidR="00C61D81" w:rsidRPr="00C61D81">
        <w:rPr>
          <w:color w:val="auto"/>
        </w:rPr>
        <w:t xml:space="preserve">Imperia (861), Treviso (714), Vicenza (597), Venezia (556), Trieste (556), Padova (542), Rimini (518), Verona </w:t>
      </w:r>
      <w:r w:rsidR="00AF432C">
        <w:rPr>
          <w:color w:val="auto"/>
        </w:rPr>
        <w:t>(</w:t>
      </w:r>
      <w:r w:rsidR="00C61D81" w:rsidRPr="00C61D81">
        <w:rPr>
          <w:color w:val="auto"/>
        </w:rPr>
        <w:t xml:space="preserve">451), Milano (450), Reggio nell'Emilia (438), Bolzano (433), Forlì-Cesena (424), Lodi (421), Monza e della Brianza (412), Varese (411), Pordenone (405), Savona (387), Verbano-Cusio-Ossola (386), Ravenna (385), Torino (370), Biella (370), Rovigo (356), Ancona (353), Aosta (353), Bologna (351), Gorizia (348), Pavia (339), Fermo (338), Reggio di Calabria (333), Como (333), Asti (330), Belluno (326), Mantova (322), Cuneo (318), Udine (315), Trento (314), La Spezia (312), Ferrara (306), Modena (304), Caltanissetta (302), Novara (298), Latina (292), Livorno (291), Genova (285), Pistoia (280), Messina (280), Brescia (280), Roma (276), Cremona </w:t>
      </w:r>
      <w:r w:rsidR="00C91686">
        <w:rPr>
          <w:color w:val="auto"/>
        </w:rPr>
        <w:t>(</w:t>
      </w:r>
      <w:r w:rsidR="00C61D81" w:rsidRPr="00C61D81">
        <w:rPr>
          <w:color w:val="auto"/>
        </w:rPr>
        <w:t xml:space="preserve">268), Napoli (268), Grosseto (264), Sondrio (264), Macerata (257) e Arezzo (254) </w:t>
      </w:r>
      <w:r w:rsidR="004C62E3" w:rsidRPr="00C61D81">
        <w:rPr>
          <w:color w:val="auto"/>
        </w:rPr>
        <w:t>(</w:t>
      </w:r>
      <w:r w:rsidR="004C62E3" w:rsidRPr="00C61D81">
        <w:rPr>
          <w:color w:val="auto"/>
          <w:highlight w:val="yellow"/>
        </w:rPr>
        <w:t>tabella 2</w:t>
      </w:r>
      <w:r w:rsidR="004C62E3" w:rsidRPr="00C61D81">
        <w:rPr>
          <w:color w:val="auto"/>
        </w:rPr>
        <w:t>).</w:t>
      </w:r>
    </w:p>
    <w:p w:rsidR="00C61D81" w:rsidRPr="00C61D81" w:rsidRDefault="00C46FF1" w:rsidP="00500148">
      <w:pPr>
        <w:spacing w:line="276" w:lineRule="auto"/>
        <w:jc w:val="both"/>
        <w:rPr>
          <w:color w:val="auto"/>
        </w:rPr>
      </w:pPr>
      <w:bookmarkStart w:id="1" w:name="_Hlk85025666"/>
      <w:r>
        <w:rPr>
          <w:color w:val="auto"/>
        </w:rPr>
        <w:t xml:space="preserve">Netto aumento anche dei </w:t>
      </w:r>
      <w:r w:rsidR="00C61D81" w:rsidRPr="00C61D81">
        <w:rPr>
          <w:color w:val="auto"/>
        </w:rPr>
        <w:t>decessi: 882 negli ultimi 7 giorni (di cui 45 riferiti a periodi precedenti), con una media di 126 al giorno rispetto ai 95 della settimana precedente.</w:t>
      </w:r>
    </w:p>
    <w:p w:rsidR="00C61D81" w:rsidRPr="00EC2B72" w:rsidRDefault="002348FC" w:rsidP="00C61D81">
      <w:pPr>
        <w:spacing w:line="276" w:lineRule="auto"/>
        <w:jc w:val="both"/>
        <w:rPr>
          <w:color w:val="FF0000"/>
        </w:rPr>
      </w:pPr>
      <w:r w:rsidRPr="00C61D81">
        <w:rPr>
          <w:color w:val="auto"/>
        </w:rPr>
        <w:t xml:space="preserve">«Sul fronte ospedaliero – afferma Renata Gili, responsabile Ricerca sui Servizi Sanitari della Fondazione GIMBE – </w:t>
      </w:r>
      <w:r w:rsidR="00F7555E" w:rsidRPr="00C61D81">
        <w:rPr>
          <w:color w:val="auto"/>
        </w:rPr>
        <w:t xml:space="preserve">aumentano ancora </w:t>
      </w:r>
      <w:r w:rsidRPr="00C61D81">
        <w:rPr>
          <w:color w:val="auto"/>
        </w:rPr>
        <w:t xml:space="preserve">i posti letto occupati da pazienti COVID: </w:t>
      </w:r>
      <w:r w:rsidR="00393F63" w:rsidRPr="00C61D81">
        <w:rPr>
          <w:color w:val="auto"/>
        </w:rPr>
        <w:t>rispetto alla settimana precedente</w:t>
      </w:r>
      <w:r w:rsidR="00AF432C">
        <w:rPr>
          <w:color w:val="auto"/>
        </w:rPr>
        <w:t xml:space="preserve"> </w:t>
      </w:r>
      <w:r w:rsidR="000A422E" w:rsidRPr="00C61D81">
        <w:rPr>
          <w:color w:val="auto"/>
        </w:rPr>
        <w:t>+</w:t>
      </w:r>
      <w:r w:rsidR="00385C48" w:rsidRPr="00C61D81">
        <w:rPr>
          <w:color w:val="auto"/>
        </w:rPr>
        <w:t>17</w:t>
      </w:r>
      <w:r w:rsidRPr="00C61D81">
        <w:rPr>
          <w:color w:val="auto"/>
        </w:rPr>
        <w:t>% in area medica e +</w:t>
      </w:r>
      <w:r w:rsidR="00385C48" w:rsidRPr="00C61D81">
        <w:rPr>
          <w:color w:val="auto"/>
        </w:rPr>
        <w:t>1</w:t>
      </w:r>
      <w:r w:rsidR="00C61D81" w:rsidRPr="00C61D81">
        <w:rPr>
          <w:color w:val="auto"/>
        </w:rPr>
        <w:t>7</w:t>
      </w:r>
      <w:r w:rsidR="004C62E3" w:rsidRPr="00C61D81">
        <w:rPr>
          <w:color w:val="auto"/>
        </w:rPr>
        <w:t>,</w:t>
      </w:r>
      <w:r w:rsidR="00C61D81" w:rsidRPr="00C61D81">
        <w:rPr>
          <w:color w:val="auto"/>
        </w:rPr>
        <w:t>3</w:t>
      </w:r>
      <w:r w:rsidR="00A51B01" w:rsidRPr="00C61D81">
        <w:rPr>
          <w:color w:val="auto"/>
        </w:rPr>
        <w:t>% in terapia intensiva»</w:t>
      </w:r>
      <w:r w:rsidR="000A422E" w:rsidRPr="00C61D81">
        <w:rPr>
          <w:color w:val="auto"/>
        </w:rPr>
        <w:t xml:space="preserve">. </w:t>
      </w:r>
      <w:r w:rsidR="00AB2BE7" w:rsidRPr="00C61D81">
        <w:rPr>
          <w:color w:val="auto"/>
        </w:rPr>
        <w:t>A livello nazionale, al</w:t>
      </w:r>
      <w:r w:rsidR="00AF432C">
        <w:rPr>
          <w:color w:val="auto"/>
        </w:rPr>
        <w:t xml:space="preserve"> </w:t>
      </w:r>
      <w:r w:rsidR="00C61D81" w:rsidRPr="00C61D81">
        <w:rPr>
          <w:color w:val="auto"/>
        </w:rPr>
        <w:t>21</w:t>
      </w:r>
      <w:r w:rsidR="004C62E3" w:rsidRPr="00C61D81">
        <w:rPr>
          <w:color w:val="auto"/>
        </w:rPr>
        <w:t xml:space="preserve"> dicembre</w:t>
      </w:r>
      <w:r w:rsidR="00AB2BE7" w:rsidRPr="00C61D81">
        <w:rPr>
          <w:color w:val="auto"/>
        </w:rPr>
        <w:t>,</w:t>
      </w:r>
      <w:r w:rsidRPr="00C61D81">
        <w:rPr>
          <w:color w:val="auto"/>
        </w:rPr>
        <w:t xml:space="preserve"> il tasso di occupazione </w:t>
      </w:r>
      <w:r w:rsidR="004C18D7" w:rsidRPr="00C61D81">
        <w:rPr>
          <w:color w:val="auto"/>
        </w:rPr>
        <w:t xml:space="preserve">da parte di pazienti COVID </w:t>
      </w:r>
      <w:r w:rsidRPr="00C61D81">
        <w:rPr>
          <w:color w:val="auto"/>
        </w:rPr>
        <w:t xml:space="preserve">è </w:t>
      </w:r>
      <w:r w:rsidR="00385C48" w:rsidRPr="00C61D81">
        <w:rPr>
          <w:color w:val="auto"/>
        </w:rPr>
        <w:t>del</w:t>
      </w:r>
      <w:r w:rsidR="00AF432C">
        <w:rPr>
          <w:color w:val="auto"/>
        </w:rPr>
        <w:t xml:space="preserve"> </w:t>
      </w:r>
      <w:r w:rsidR="00385C48" w:rsidRPr="00C61D81">
        <w:rPr>
          <w:color w:val="auto"/>
        </w:rPr>
        <w:t>1</w:t>
      </w:r>
      <w:r w:rsidR="00C61D81" w:rsidRPr="00C61D81">
        <w:rPr>
          <w:color w:val="auto"/>
        </w:rPr>
        <w:t>3</w:t>
      </w:r>
      <w:r w:rsidR="00385C48" w:rsidRPr="00C61D81">
        <w:rPr>
          <w:color w:val="auto"/>
        </w:rPr>
        <w:t>,</w:t>
      </w:r>
      <w:r w:rsidR="00C61D81" w:rsidRPr="00C61D81">
        <w:rPr>
          <w:color w:val="auto"/>
        </w:rPr>
        <w:t>4</w:t>
      </w:r>
      <w:r w:rsidR="002E37EA" w:rsidRPr="00C61D81">
        <w:rPr>
          <w:color w:val="auto"/>
        </w:rPr>
        <w:t>% in area medica e del</w:t>
      </w:r>
      <w:r w:rsidR="00393F63">
        <w:rPr>
          <w:color w:val="auto"/>
        </w:rPr>
        <w:t>l’</w:t>
      </w:r>
      <w:r w:rsidR="00C61D81" w:rsidRPr="00C61D81">
        <w:rPr>
          <w:color w:val="auto"/>
        </w:rPr>
        <w:t>11</w:t>
      </w:r>
      <w:r w:rsidR="00385C48" w:rsidRPr="00C61D81">
        <w:rPr>
          <w:color w:val="auto"/>
        </w:rPr>
        <w:t>,</w:t>
      </w:r>
      <w:r w:rsidR="00C61D81" w:rsidRPr="00C61D81">
        <w:rPr>
          <w:color w:val="auto"/>
        </w:rPr>
        <w:t>1</w:t>
      </w:r>
      <w:r w:rsidRPr="00C61D81">
        <w:rPr>
          <w:color w:val="auto"/>
        </w:rPr>
        <w:t>% in area critica, co</w:t>
      </w:r>
      <w:r w:rsidR="00BF5C23" w:rsidRPr="00C61D81">
        <w:rPr>
          <w:color w:val="auto"/>
        </w:rPr>
        <w:t>n notevoli differenze regionali</w:t>
      </w:r>
      <w:r w:rsidR="00B668A8" w:rsidRPr="00C61D81">
        <w:rPr>
          <w:color w:val="auto"/>
        </w:rPr>
        <w:t>:</w:t>
      </w:r>
      <w:r w:rsidR="00AF432C">
        <w:rPr>
          <w:color w:val="auto"/>
        </w:rPr>
        <w:t xml:space="preserve"> </w:t>
      </w:r>
      <w:r w:rsidR="00385C48" w:rsidRPr="00C61D81">
        <w:rPr>
          <w:color w:val="auto"/>
        </w:rPr>
        <w:t xml:space="preserve">la Provincia Autonoma di </w:t>
      </w:r>
      <w:r w:rsidR="00C61D81" w:rsidRPr="00C61D81">
        <w:rPr>
          <w:color w:val="auto"/>
        </w:rPr>
        <w:t>Trento</w:t>
      </w:r>
      <w:r w:rsidR="00385C48" w:rsidRPr="00C61D81">
        <w:rPr>
          <w:color w:val="auto"/>
        </w:rPr>
        <w:t xml:space="preserve"> supera la so</w:t>
      </w:r>
      <w:r w:rsidR="0050002C">
        <w:rPr>
          <w:color w:val="auto"/>
        </w:rPr>
        <w:t>glia del 15% in area medica (19,1%) e del 20% in area critica (27,8</w:t>
      </w:r>
      <w:r w:rsidR="00385C48" w:rsidRPr="00C61D81">
        <w:rPr>
          <w:color w:val="auto"/>
        </w:rPr>
        <w:t xml:space="preserve">%); </w:t>
      </w:r>
      <w:r w:rsidR="00CD06DE" w:rsidRPr="00C61D81">
        <w:rPr>
          <w:color w:val="auto"/>
        </w:rPr>
        <w:t xml:space="preserve">le soglie </w:t>
      </w:r>
      <w:r w:rsidR="000D2A90" w:rsidRPr="00C61D81">
        <w:rPr>
          <w:color w:val="auto"/>
        </w:rPr>
        <w:t xml:space="preserve">del 15% per l’area medica e del 10% per l’area critica risultano entrambe superate </w:t>
      </w:r>
      <w:r w:rsidR="008E7049" w:rsidRPr="00C61D81">
        <w:rPr>
          <w:color w:val="auto"/>
        </w:rPr>
        <w:t>in Calabria (</w:t>
      </w:r>
      <w:r w:rsidR="00C61D81" w:rsidRPr="00C61D81">
        <w:rPr>
          <w:color w:val="auto"/>
        </w:rPr>
        <w:t>23</w:t>
      </w:r>
      <w:r w:rsidR="00385C48" w:rsidRPr="00C61D81">
        <w:rPr>
          <w:color w:val="auto"/>
        </w:rPr>
        <w:t>,</w:t>
      </w:r>
      <w:r w:rsidR="00C61D81" w:rsidRPr="00C61D81">
        <w:rPr>
          <w:color w:val="auto"/>
        </w:rPr>
        <w:t>2% area medica e 12</w:t>
      </w:r>
      <w:r w:rsidR="00385C48" w:rsidRPr="00C61D81">
        <w:rPr>
          <w:color w:val="auto"/>
        </w:rPr>
        <w:t>,</w:t>
      </w:r>
      <w:r w:rsidR="00C61D81" w:rsidRPr="00C61D81">
        <w:rPr>
          <w:color w:val="auto"/>
        </w:rPr>
        <w:t>4</w:t>
      </w:r>
      <w:r w:rsidR="008E7049" w:rsidRPr="00C61D81">
        <w:rPr>
          <w:color w:val="auto"/>
        </w:rPr>
        <w:t>% area critica), Friuli-Venezia Giulia (2</w:t>
      </w:r>
      <w:r w:rsidR="00C61D81" w:rsidRPr="00C61D81">
        <w:rPr>
          <w:color w:val="auto"/>
        </w:rPr>
        <w:t>3</w:t>
      </w:r>
      <w:r w:rsidR="00385C48" w:rsidRPr="00C61D81">
        <w:rPr>
          <w:color w:val="auto"/>
        </w:rPr>
        <w:t>,</w:t>
      </w:r>
      <w:r w:rsidR="00C61D81" w:rsidRPr="00C61D81">
        <w:rPr>
          <w:color w:val="auto"/>
        </w:rPr>
        <w:t>4</w:t>
      </w:r>
      <w:r w:rsidR="008E7049" w:rsidRPr="00C61D81">
        <w:rPr>
          <w:color w:val="auto"/>
        </w:rPr>
        <w:t>% area medica e 16</w:t>
      </w:r>
      <w:r w:rsidR="00385C48" w:rsidRPr="00C61D81">
        <w:rPr>
          <w:color w:val="auto"/>
        </w:rPr>
        <w:t>,</w:t>
      </w:r>
      <w:r w:rsidR="00C61D81" w:rsidRPr="00C61D81">
        <w:rPr>
          <w:color w:val="auto"/>
        </w:rPr>
        <w:t>6</w:t>
      </w:r>
      <w:r w:rsidR="008E7049" w:rsidRPr="00C61D81">
        <w:rPr>
          <w:color w:val="auto"/>
        </w:rPr>
        <w:t>% area critica</w:t>
      </w:r>
      <w:r w:rsidR="00CD06DE" w:rsidRPr="00C61D81">
        <w:rPr>
          <w:color w:val="auto"/>
        </w:rPr>
        <w:t>)</w:t>
      </w:r>
      <w:r w:rsidR="00385C48" w:rsidRPr="00C61D81">
        <w:rPr>
          <w:color w:val="auto"/>
        </w:rPr>
        <w:t>, Liguria (</w:t>
      </w:r>
      <w:r w:rsidR="00C61D81" w:rsidRPr="00C61D81">
        <w:rPr>
          <w:color w:val="auto"/>
        </w:rPr>
        <w:t>22</w:t>
      </w:r>
      <w:r w:rsidR="00385C48" w:rsidRPr="00C61D81">
        <w:rPr>
          <w:color w:val="auto"/>
        </w:rPr>
        <w:t>,</w:t>
      </w:r>
      <w:r w:rsidR="00C61D81" w:rsidRPr="00C61D81">
        <w:rPr>
          <w:color w:val="auto"/>
        </w:rPr>
        <w:t>9</w:t>
      </w:r>
      <w:r w:rsidR="00385C48" w:rsidRPr="00C61D81">
        <w:rPr>
          <w:color w:val="auto"/>
        </w:rPr>
        <w:t>% area medica e 1</w:t>
      </w:r>
      <w:r w:rsidR="00C61D81" w:rsidRPr="00C61D81">
        <w:rPr>
          <w:color w:val="auto"/>
        </w:rPr>
        <w:t>4</w:t>
      </w:r>
      <w:r w:rsidR="00385C48" w:rsidRPr="00C61D81">
        <w:rPr>
          <w:color w:val="auto"/>
        </w:rPr>
        <w:t>,</w:t>
      </w:r>
      <w:r w:rsidR="00C61D81" w:rsidRPr="00C61D81">
        <w:rPr>
          <w:color w:val="auto"/>
        </w:rPr>
        <w:t>2</w:t>
      </w:r>
      <w:r w:rsidR="00385C48" w:rsidRPr="00C61D81">
        <w:rPr>
          <w:color w:val="auto"/>
        </w:rPr>
        <w:t>% area critica)</w:t>
      </w:r>
      <w:r w:rsidR="00C61D81" w:rsidRPr="00C61D81">
        <w:rPr>
          <w:color w:val="auto"/>
        </w:rPr>
        <w:t xml:space="preserve">, Marche (18,2% area medica e 15,6% area critica), </w:t>
      </w:r>
      <w:r w:rsidR="00385C48" w:rsidRPr="00C61D81">
        <w:rPr>
          <w:color w:val="auto"/>
        </w:rPr>
        <w:t xml:space="preserve">Provincia Autonoma di </w:t>
      </w:r>
      <w:r w:rsidR="00C61D81" w:rsidRPr="00C61D81">
        <w:rPr>
          <w:color w:val="auto"/>
        </w:rPr>
        <w:t>Bolzano (18</w:t>
      </w:r>
      <w:r w:rsidR="00385C48" w:rsidRPr="00C61D81">
        <w:rPr>
          <w:color w:val="auto"/>
        </w:rPr>
        <w:t xml:space="preserve">% area medica e </w:t>
      </w:r>
      <w:r w:rsidR="00C61D81" w:rsidRPr="00C61D81">
        <w:rPr>
          <w:color w:val="auto"/>
        </w:rPr>
        <w:t>19</w:t>
      </w:r>
      <w:r w:rsidR="00385C48" w:rsidRPr="00C61D81">
        <w:rPr>
          <w:color w:val="auto"/>
        </w:rPr>
        <w:t>% area critica)</w:t>
      </w:r>
      <w:r w:rsidR="00C61D81" w:rsidRPr="00C61D81">
        <w:rPr>
          <w:color w:val="auto"/>
        </w:rPr>
        <w:t xml:space="preserve"> e Veneto (17,6% area medica e 16,5% area critica)</w:t>
      </w:r>
      <w:r w:rsidR="00385C48" w:rsidRPr="00C61D81">
        <w:rPr>
          <w:color w:val="auto"/>
        </w:rPr>
        <w:t xml:space="preserve">. </w:t>
      </w:r>
      <w:r w:rsidR="00373CA2" w:rsidRPr="00C61D81">
        <w:rPr>
          <w:color w:val="auto"/>
        </w:rPr>
        <w:t>I</w:t>
      </w:r>
      <w:r w:rsidR="00983763" w:rsidRPr="00C61D81">
        <w:rPr>
          <w:color w:val="auto"/>
        </w:rPr>
        <w:t>noltre,</w:t>
      </w:r>
      <w:r w:rsidR="002E37EA" w:rsidRPr="00C61D81">
        <w:rPr>
          <w:color w:val="auto"/>
        </w:rPr>
        <w:t xml:space="preserve"> per l’</w:t>
      </w:r>
      <w:r w:rsidR="000D2A90" w:rsidRPr="00C61D81">
        <w:rPr>
          <w:color w:val="auto"/>
        </w:rPr>
        <w:t xml:space="preserve">area medica si colloca </w:t>
      </w:r>
      <w:r w:rsidR="00983763" w:rsidRPr="00C61D81">
        <w:rPr>
          <w:color w:val="auto"/>
        </w:rPr>
        <w:t xml:space="preserve">sopra </w:t>
      </w:r>
      <w:r w:rsidR="00385C48" w:rsidRPr="00C61D81">
        <w:rPr>
          <w:color w:val="auto"/>
        </w:rPr>
        <w:t xml:space="preserve">la </w:t>
      </w:r>
      <w:r w:rsidR="00983763" w:rsidRPr="00C61D81">
        <w:rPr>
          <w:color w:val="auto"/>
        </w:rPr>
        <w:t xml:space="preserve">soglia </w:t>
      </w:r>
      <w:r w:rsidR="00385C48" w:rsidRPr="00C61D81">
        <w:rPr>
          <w:color w:val="auto"/>
        </w:rPr>
        <w:t xml:space="preserve">del 15% </w:t>
      </w:r>
      <w:r w:rsidR="000D2A90" w:rsidRPr="00C61D81">
        <w:rPr>
          <w:color w:val="auto"/>
        </w:rPr>
        <w:t xml:space="preserve">la </w:t>
      </w:r>
      <w:r w:rsidR="008E7049" w:rsidRPr="00C61D81">
        <w:rPr>
          <w:color w:val="auto"/>
        </w:rPr>
        <w:t>Valle D’Aosta (2</w:t>
      </w:r>
      <w:r w:rsidR="00C61D81" w:rsidRPr="00C61D81">
        <w:rPr>
          <w:color w:val="auto"/>
        </w:rPr>
        <w:t>3</w:t>
      </w:r>
      <w:r w:rsidR="00385C48" w:rsidRPr="00C61D81">
        <w:rPr>
          <w:color w:val="auto"/>
        </w:rPr>
        <w:t>,2</w:t>
      </w:r>
      <w:r w:rsidR="00914317" w:rsidRPr="00C61D81">
        <w:rPr>
          <w:color w:val="auto"/>
        </w:rPr>
        <w:t>%)</w:t>
      </w:r>
      <w:r w:rsidR="000D2A90" w:rsidRPr="00C61D81">
        <w:rPr>
          <w:color w:val="auto"/>
        </w:rPr>
        <w:t xml:space="preserve">, mentre per </w:t>
      </w:r>
      <w:r w:rsidRPr="00C61D81">
        <w:rPr>
          <w:color w:val="auto"/>
        </w:rPr>
        <w:t xml:space="preserve">l’area critica </w:t>
      </w:r>
      <w:r w:rsidR="000D2A90" w:rsidRPr="00C61D81">
        <w:rPr>
          <w:color w:val="auto"/>
        </w:rPr>
        <w:t xml:space="preserve">superano la soglia </w:t>
      </w:r>
      <w:r w:rsidR="00385C48" w:rsidRPr="00C61D81">
        <w:rPr>
          <w:color w:val="auto"/>
        </w:rPr>
        <w:t>del 10%</w:t>
      </w:r>
      <w:r w:rsidR="00C61D81" w:rsidRPr="00C61D81">
        <w:rPr>
          <w:color w:val="auto"/>
        </w:rPr>
        <w:t xml:space="preserve"> Abruzzo (10,5%),</w:t>
      </w:r>
      <w:r w:rsidR="00385C48" w:rsidRPr="00C61D81">
        <w:rPr>
          <w:color w:val="auto"/>
        </w:rPr>
        <w:t xml:space="preserve"> Emilia-Romagna (</w:t>
      </w:r>
      <w:r w:rsidR="00C61D81" w:rsidRPr="00C61D81">
        <w:rPr>
          <w:color w:val="auto"/>
        </w:rPr>
        <w:t>12</w:t>
      </w:r>
      <w:r w:rsidR="00385C48" w:rsidRPr="00C61D81">
        <w:rPr>
          <w:color w:val="auto"/>
        </w:rPr>
        <w:t xml:space="preserve">%), </w:t>
      </w:r>
      <w:r w:rsidR="000D2A90" w:rsidRPr="00C61D81">
        <w:rPr>
          <w:color w:val="auto"/>
        </w:rPr>
        <w:t>Lazio (</w:t>
      </w:r>
      <w:r w:rsidR="00656118">
        <w:rPr>
          <w:color w:val="auto"/>
        </w:rPr>
        <w:t>13,6</w:t>
      </w:r>
      <w:r w:rsidR="000D2A90" w:rsidRPr="00C61D81">
        <w:rPr>
          <w:color w:val="auto"/>
        </w:rPr>
        <w:t>%)</w:t>
      </w:r>
      <w:r w:rsidR="008E7049" w:rsidRPr="00C61D81">
        <w:rPr>
          <w:color w:val="auto"/>
        </w:rPr>
        <w:t xml:space="preserve">, </w:t>
      </w:r>
      <w:r w:rsidR="00C61D81" w:rsidRPr="00C61D81">
        <w:rPr>
          <w:color w:val="auto"/>
        </w:rPr>
        <w:t xml:space="preserve">Lombardia </w:t>
      </w:r>
      <w:r w:rsidR="008E7049" w:rsidRPr="00C61D81">
        <w:rPr>
          <w:color w:val="auto"/>
        </w:rPr>
        <w:t>(</w:t>
      </w:r>
      <w:r w:rsidR="00C61D81" w:rsidRPr="00C61D81">
        <w:rPr>
          <w:color w:val="auto"/>
        </w:rPr>
        <w:t>10</w:t>
      </w:r>
      <w:r w:rsidR="00385C48" w:rsidRPr="00C61D81">
        <w:rPr>
          <w:color w:val="auto"/>
        </w:rPr>
        <w:t>,</w:t>
      </w:r>
      <w:r w:rsidR="00C61D81" w:rsidRPr="00C61D81">
        <w:rPr>
          <w:color w:val="auto"/>
        </w:rPr>
        <w:t>5</w:t>
      </w:r>
      <w:r w:rsidR="008E7049" w:rsidRPr="00C61D81">
        <w:rPr>
          <w:color w:val="auto"/>
        </w:rPr>
        <w:t xml:space="preserve">%), </w:t>
      </w:r>
      <w:r w:rsidR="00C61D81" w:rsidRPr="00C61D81">
        <w:rPr>
          <w:color w:val="auto"/>
        </w:rPr>
        <w:t>Piemonte (10,2%</w:t>
      </w:r>
      <w:r w:rsidR="00385C48" w:rsidRPr="00C61D81">
        <w:rPr>
          <w:color w:val="auto"/>
        </w:rPr>
        <w:t>)</w:t>
      </w:r>
      <w:r w:rsidR="00C61D81" w:rsidRPr="00C61D81">
        <w:rPr>
          <w:color w:val="auto"/>
        </w:rPr>
        <w:t>, Toscana (10,7%)</w:t>
      </w:r>
      <w:r w:rsidR="00385C48" w:rsidRPr="00C61D81">
        <w:rPr>
          <w:color w:val="auto"/>
        </w:rPr>
        <w:t xml:space="preserve"> e </w:t>
      </w:r>
      <w:r w:rsidR="00C61D81" w:rsidRPr="00C61D81">
        <w:rPr>
          <w:color w:val="auto"/>
        </w:rPr>
        <w:t xml:space="preserve">Umbria </w:t>
      </w:r>
      <w:r w:rsidR="000D2A90" w:rsidRPr="00C61D81">
        <w:rPr>
          <w:color w:val="auto"/>
        </w:rPr>
        <w:t>(</w:t>
      </w:r>
      <w:r w:rsidR="00C61D81" w:rsidRPr="00C61D81">
        <w:rPr>
          <w:color w:val="auto"/>
        </w:rPr>
        <w:t>10</w:t>
      </w:r>
      <w:r w:rsidR="00385C48" w:rsidRPr="00C61D81">
        <w:rPr>
          <w:color w:val="auto"/>
        </w:rPr>
        <w:t>,</w:t>
      </w:r>
      <w:r w:rsidR="00C61D81" w:rsidRPr="00C61D81">
        <w:rPr>
          <w:color w:val="auto"/>
        </w:rPr>
        <w:t>5</w:t>
      </w:r>
      <w:r w:rsidR="000D2A90" w:rsidRPr="00C61D81">
        <w:rPr>
          <w:color w:val="auto"/>
        </w:rPr>
        <w:t xml:space="preserve">%) </w:t>
      </w:r>
      <w:r w:rsidRPr="00C61D81">
        <w:rPr>
          <w:color w:val="auto"/>
        </w:rPr>
        <w:t>(</w:t>
      </w:r>
      <w:r w:rsidRPr="00C61D81">
        <w:rPr>
          <w:color w:val="auto"/>
          <w:highlight w:val="yellow"/>
        </w:rPr>
        <w:t>figura 6</w:t>
      </w:r>
      <w:bookmarkEnd w:id="1"/>
      <w:r w:rsidR="00C97388" w:rsidRPr="00C61D81">
        <w:rPr>
          <w:color w:val="auto"/>
        </w:rPr>
        <w:t>).</w:t>
      </w:r>
    </w:p>
    <w:p w:rsidR="00BD67DE" w:rsidRPr="00D30329" w:rsidRDefault="00BD67DE" w:rsidP="00500148">
      <w:pPr>
        <w:spacing w:line="276" w:lineRule="auto"/>
        <w:jc w:val="both"/>
        <w:rPr>
          <w:color w:val="auto"/>
        </w:rPr>
      </w:pPr>
      <w:r w:rsidRPr="00D30329">
        <w:rPr>
          <w:color w:val="auto"/>
        </w:rPr>
        <w:t>«</w:t>
      </w:r>
      <w:r w:rsidR="00C644BF" w:rsidRPr="00D30329">
        <w:rPr>
          <w:color w:val="auto"/>
        </w:rPr>
        <w:t xml:space="preserve">Sul fronte delle terapie intensive </w:t>
      </w:r>
      <w:r w:rsidR="00451468" w:rsidRPr="00D30329">
        <w:rPr>
          <w:color w:val="auto"/>
        </w:rPr>
        <w:t>– puntualizza Marco Mosti, Direttore Operativo della Fondazione GIMBE –</w:t>
      </w:r>
      <w:r w:rsidR="00AF432C">
        <w:rPr>
          <w:color w:val="auto"/>
        </w:rPr>
        <w:t xml:space="preserve"> </w:t>
      </w:r>
      <w:r w:rsidR="00C644BF" w:rsidRPr="00D30329">
        <w:rPr>
          <w:color w:val="auto"/>
        </w:rPr>
        <w:t xml:space="preserve">preoccupa </w:t>
      </w:r>
      <w:r w:rsidR="00637C16">
        <w:rPr>
          <w:color w:val="auto"/>
        </w:rPr>
        <w:t>l’incremento</w:t>
      </w:r>
      <w:r w:rsidR="00AF432C">
        <w:rPr>
          <w:color w:val="auto"/>
        </w:rPr>
        <w:t xml:space="preserve"> </w:t>
      </w:r>
      <w:r w:rsidR="00437754" w:rsidRPr="00D30329">
        <w:rPr>
          <w:color w:val="auto"/>
        </w:rPr>
        <w:t>de</w:t>
      </w:r>
      <w:r w:rsidR="00451468" w:rsidRPr="00D30329">
        <w:rPr>
          <w:color w:val="auto"/>
        </w:rPr>
        <w:t>gli ingressi giornalieri</w:t>
      </w:r>
      <w:r w:rsidR="00547F28" w:rsidRPr="00D30329">
        <w:rPr>
          <w:color w:val="auto"/>
        </w:rPr>
        <w:t xml:space="preserve">: la </w:t>
      </w:r>
      <w:r w:rsidRPr="00D30329">
        <w:rPr>
          <w:color w:val="auto"/>
        </w:rPr>
        <w:t xml:space="preserve">media mobile a 7 giorni </w:t>
      </w:r>
      <w:r w:rsidR="00437754" w:rsidRPr="00D30329">
        <w:rPr>
          <w:color w:val="auto"/>
        </w:rPr>
        <w:t xml:space="preserve">sale </w:t>
      </w:r>
      <w:r w:rsidR="004D49EC" w:rsidRPr="00D30329">
        <w:rPr>
          <w:color w:val="auto"/>
        </w:rPr>
        <w:t xml:space="preserve">a </w:t>
      </w:r>
      <w:r w:rsidR="00D30329" w:rsidRPr="00D30329">
        <w:rPr>
          <w:color w:val="auto"/>
        </w:rPr>
        <w:t>85</w:t>
      </w:r>
      <w:r w:rsidR="00AF432C">
        <w:rPr>
          <w:color w:val="auto"/>
        </w:rPr>
        <w:t xml:space="preserve"> </w:t>
      </w:r>
      <w:r w:rsidR="00547F28" w:rsidRPr="00D30329">
        <w:rPr>
          <w:color w:val="auto"/>
        </w:rPr>
        <w:t xml:space="preserve">ingressi/die </w:t>
      </w:r>
      <w:r w:rsidR="004D49EC" w:rsidRPr="00D30329">
        <w:rPr>
          <w:color w:val="auto"/>
        </w:rPr>
        <w:t xml:space="preserve">rispetto ai </w:t>
      </w:r>
      <w:r w:rsidR="00D30329" w:rsidRPr="00D30329">
        <w:rPr>
          <w:color w:val="auto"/>
        </w:rPr>
        <w:t>70</w:t>
      </w:r>
      <w:r w:rsidR="004D49EC" w:rsidRPr="00D30329">
        <w:rPr>
          <w:color w:val="auto"/>
        </w:rPr>
        <w:t xml:space="preserve"> della settimana precedente</w:t>
      </w:r>
      <w:r w:rsidR="00D42AAE" w:rsidRPr="00D30329">
        <w:rPr>
          <w:color w:val="auto"/>
        </w:rPr>
        <w:t>»</w:t>
      </w:r>
      <w:r w:rsidRPr="00D30329">
        <w:rPr>
          <w:color w:val="auto"/>
        </w:rPr>
        <w:t xml:space="preserve"> (</w:t>
      </w:r>
      <w:r w:rsidRPr="00D30329">
        <w:rPr>
          <w:color w:val="auto"/>
          <w:highlight w:val="yellow"/>
        </w:rPr>
        <w:t>figura</w:t>
      </w:r>
      <w:r w:rsidR="00C91686">
        <w:rPr>
          <w:color w:val="auto"/>
          <w:highlight w:val="yellow"/>
        </w:rPr>
        <w:t xml:space="preserve"> 7</w:t>
      </w:r>
      <w:r w:rsidRPr="00D30329">
        <w:rPr>
          <w:color w:val="auto"/>
        </w:rPr>
        <w:t>).</w:t>
      </w:r>
    </w:p>
    <w:p w:rsidR="00EB63CA" w:rsidRPr="001D26AD" w:rsidRDefault="00D325D0" w:rsidP="00EB63CA">
      <w:pPr>
        <w:spacing w:line="276" w:lineRule="auto"/>
        <w:jc w:val="both"/>
        <w:rPr>
          <w:color w:val="auto"/>
        </w:rPr>
      </w:pPr>
      <w:r w:rsidRPr="00D30329">
        <w:rPr>
          <w:b/>
          <w:bCs/>
          <w:color w:val="auto"/>
        </w:rPr>
        <w:t>Vaccini: forniture</w:t>
      </w:r>
      <w:r w:rsidRPr="00D30329">
        <w:rPr>
          <w:color w:val="auto"/>
        </w:rPr>
        <w:t xml:space="preserve">. </w:t>
      </w:r>
      <w:r w:rsidR="00D30329" w:rsidRPr="00D30329">
        <w:rPr>
          <w:color w:val="auto"/>
        </w:rPr>
        <w:t>Al 22 dicembre (aggiornamento ore 07.18) risultano consegnate 110.723.050 dosi di cui 1.548.000 dosi di vaccino Pfizer pediatrico</w:t>
      </w:r>
      <w:r w:rsidR="00A12ECD" w:rsidRPr="00D30329">
        <w:rPr>
          <w:color w:val="auto"/>
        </w:rPr>
        <w:t xml:space="preserve">. </w:t>
      </w:r>
      <w:r w:rsidR="00E2532F" w:rsidRPr="001D26AD">
        <w:rPr>
          <w:color w:val="auto"/>
        </w:rPr>
        <w:t>«</w:t>
      </w:r>
      <w:r w:rsidR="001D26AD">
        <w:rPr>
          <w:color w:val="auto"/>
        </w:rPr>
        <w:t xml:space="preserve">Con </w:t>
      </w:r>
      <w:r w:rsidR="00DE279D">
        <w:rPr>
          <w:color w:val="auto"/>
        </w:rPr>
        <w:t xml:space="preserve">la consegna di </w:t>
      </w:r>
      <w:r w:rsidR="001D26AD">
        <w:rPr>
          <w:color w:val="auto"/>
        </w:rPr>
        <w:t>2</w:t>
      </w:r>
      <w:r w:rsidR="00D30329" w:rsidRPr="001D26AD">
        <w:rPr>
          <w:color w:val="auto"/>
        </w:rPr>
        <w:t>,</w:t>
      </w:r>
      <w:r w:rsidR="001D26AD">
        <w:rPr>
          <w:color w:val="auto"/>
        </w:rPr>
        <w:t>9</w:t>
      </w:r>
      <w:r w:rsidR="00D30329" w:rsidRPr="001D26AD">
        <w:rPr>
          <w:color w:val="auto"/>
        </w:rPr>
        <w:t xml:space="preserve"> milioni di dosi </w:t>
      </w:r>
      <w:r w:rsidR="001D26AD">
        <w:rPr>
          <w:color w:val="auto"/>
        </w:rPr>
        <w:t xml:space="preserve">non pediatriche </w:t>
      </w:r>
      <w:r w:rsidR="00A12ECD" w:rsidRPr="001D26AD">
        <w:rPr>
          <w:color w:val="auto"/>
        </w:rPr>
        <w:t xml:space="preserve">negli </w:t>
      </w:r>
      <w:r w:rsidR="00E2532F" w:rsidRPr="001D26AD">
        <w:rPr>
          <w:color w:val="auto"/>
        </w:rPr>
        <w:t>ultimi 7 giorni – commenta Mosti –</w:t>
      </w:r>
      <w:r w:rsidR="00AF432C">
        <w:rPr>
          <w:color w:val="auto"/>
        </w:rPr>
        <w:t xml:space="preserve"> </w:t>
      </w:r>
      <w:r w:rsidR="001D26AD">
        <w:rPr>
          <w:color w:val="auto"/>
        </w:rPr>
        <w:t>e</w:t>
      </w:r>
      <w:r w:rsidR="00AF432C">
        <w:rPr>
          <w:color w:val="auto"/>
        </w:rPr>
        <w:t xml:space="preserve"> </w:t>
      </w:r>
      <w:r w:rsidR="00E2532F" w:rsidRPr="001D26AD">
        <w:rPr>
          <w:color w:val="auto"/>
        </w:rPr>
        <w:t>l’attuale ritmo delle somministrazioni</w:t>
      </w:r>
      <w:r w:rsidR="00E20002" w:rsidRPr="001D26AD">
        <w:rPr>
          <w:color w:val="auto"/>
        </w:rPr>
        <w:t>,</w:t>
      </w:r>
      <w:r w:rsidR="00AF432C">
        <w:rPr>
          <w:color w:val="auto"/>
        </w:rPr>
        <w:t xml:space="preserve"> </w:t>
      </w:r>
      <w:r w:rsidR="001D26AD" w:rsidRPr="001D26AD">
        <w:rPr>
          <w:color w:val="auto"/>
        </w:rPr>
        <w:t xml:space="preserve">calano </w:t>
      </w:r>
      <w:r w:rsidR="00E2532F" w:rsidRPr="001D26AD">
        <w:rPr>
          <w:color w:val="auto"/>
        </w:rPr>
        <w:t>le scorte di vaccini a mRNA</w:t>
      </w:r>
      <w:r w:rsidR="00AF432C">
        <w:rPr>
          <w:color w:val="auto"/>
        </w:rPr>
        <w:t xml:space="preserve"> </w:t>
      </w:r>
      <w:r w:rsidR="001D26AD" w:rsidRPr="001D26AD">
        <w:rPr>
          <w:color w:val="auto"/>
        </w:rPr>
        <w:t xml:space="preserve">per gli over 12 </w:t>
      </w:r>
      <w:r w:rsidR="00D30329" w:rsidRPr="001D26AD">
        <w:rPr>
          <w:color w:val="auto"/>
        </w:rPr>
        <w:t xml:space="preserve">che si attestano a </w:t>
      </w:r>
      <w:r w:rsidR="001D26AD" w:rsidRPr="001D26AD">
        <w:rPr>
          <w:color w:val="auto"/>
        </w:rPr>
        <w:t>quota 2,68 milioni</w:t>
      </w:r>
      <w:r w:rsidR="00E2532F" w:rsidRPr="001D26AD">
        <w:rPr>
          <w:color w:val="auto"/>
        </w:rPr>
        <w:t>».</w:t>
      </w:r>
      <w:r w:rsidR="001D26AD" w:rsidRPr="001D26AD">
        <w:rPr>
          <w:color w:val="auto"/>
        </w:rPr>
        <w:t xml:space="preserve">Relativamente </w:t>
      </w:r>
      <w:r w:rsidR="00DE279D">
        <w:rPr>
          <w:color w:val="auto"/>
        </w:rPr>
        <w:t xml:space="preserve">alle </w:t>
      </w:r>
      <w:r w:rsidR="001D26AD" w:rsidRPr="001D26AD">
        <w:rPr>
          <w:color w:val="auto"/>
        </w:rPr>
        <w:t xml:space="preserve">1,14 milioni di dosi residue di Moderna si ribadisce che la </w:t>
      </w:r>
      <w:hyperlink r:id="rId8" w:history="1">
        <w:r w:rsidR="001D26AD" w:rsidRPr="001D26AD">
          <w:rPr>
            <w:rStyle w:val="Collegamentoipertestuale"/>
            <w:color w:val="auto"/>
          </w:rPr>
          <w:t>rendicontazione ufficiale</w:t>
        </w:r>
      </w:hyperlink>
      <w:r w:rsidR="001D26AD" w:rsidRPr="001D26AD">
        <w:rPr>
          <w:color w:val="auto"/>
        </w:rPr>
        <w:t xml:space="preserve"> non </w:t>
      </w:r>
      <w:r w:rsidR="00C46FF1">
        <w:rPr>
          <w:color w:val="auto"/>
        </w:rPr>
        <w:t>considera</w:t>
      </w:r>
      <w:r w:rsidR="00637ECB" w:rsidRPr="001D26AD">
        <w:rPr>
          <w:color w:val="auto"/>
        </w:rPr>
        <w:t xml:space="preserve"> che per i richiami viene utilizzata solo mezza dose</w:t>
      </w:r>
      <w:r w:rsidR="00C46FF1">
        <w:rPr>
          <w:color w:val="auto"/>
        </w:rPr>
        <w:t xml:space="preserve">, ovvero </w:t>
      </w:r>
      <w:r w:rsidR="0041023E" w:rsidRPr="001D26AD">
        <w:rPr>
          <w:color w:val="auto"/>
        </w:rPr>
        <w:t xml:space="preserve">le dosi disponibili </w:t>
      </w:r>
      <w:r w:rsidR="001D26AD">
        <w:rPr>
          <w:color w:val="auto"/>
        </w:rPr>
        <w:t>potrebbero essere molte di più.</w:t>
      </w:r>
    </w:p>
    <w:p w:rsidR="00150022" w:rsidRPr="00D30329" w:rsidRDefault="00D30329" w:rsidP="00DB1360">
      <w:pPr>
        <w:spacing w:line="276" w:lineRule="auto"/>
        <w:jc w:val="both"/>
        <w:rPr>
          <w:color w:val="auto"/>
        </w:rPr>
      </w:pPr>
      <w:r w:rsidRPr="00726EE0">
        <w:rPr>
          <w:b/>
          <w:color w:val="auto"/>
        </w:rPr>
        <w:t>Vaccini: somministrazioni.</w:t>
      </w:r>
      <w:r w:rsidRPr="00D30329">
        <w:rPr>
          <w:color w:val="auto"/>
        </w:rPr>
        <w:t xml:space="preserve"> Al 22 dicemb</w:t>
      </w:r>
      <w:r>
        <w:rPr>
          <w:color w:val="auto"/>
        </w:rPr>
        <w:t>re (aggiornamento ore 07.18) l’</w:t>
      </w:r>
      <w:r w:rsidRPr="00D30329">
        <w:rPr>
          <w:color w:val="auto"/>
        </w:rPr>
        <w:t>81% della popolazione (n. 47.994.929) ha ricevuto almeno una dose di vaccino (+298.827 rispetto alla settimana precedente) e il 77,9% (n. 46.145.529) ha completato il ciclo vaccinale (+170.174 rispetto alla settimana precedente) (</w:t>
      </w:r>
      <w:r w:rsidRPr="00D30329">
        <w:rPr>
          <w:color w:val="auto"/>
          <w:highlight w:val="yellow"/>
        </w:rPr>
        <w:t xml:space="preserve">figura </w:t>
      </w:r>
      <w:r w:rsidR="00C91686">
        <w:rPr>
          <w:color w:val="auto"/>
          <w:highlight w:val="yellow"/>
        </w:rPr>
        <w:t>8</w:t>
      </w:r>
      <w:r w:rsidR="00C46FF1">
        <w:rPr>
          <w:color w:val="auto"/>
        </w:rPr>
        <w:t>).</w:t>
      </w:r>
      <w:r w:rsidR="00AF432C">
        <w:rPr>
          <w:color w:val="auto"/>
        </w:rPr>
        <w:t xml:space="preserve"> </w:t>
      </w:r>
      <w:r w:rsidR="00C46FF1">
        <w:rPr>
          <w:color w:val="auto"/>
        </w:rPr>
        <w:t>N</w:t>
      </w:r>
      <w:r w:rsidRPr="00150022">
        <w:rPr>
          <w:color w:val="auto"/>
        </w:rPr>
        <w:t xml:space="preserve">ell’ultima settimana </w:t>
      </w:r>
      <w:r w:rsidR="00C46FF1">
        <w:rPr>
          <w:color w:val="auto"/>
        </w:rPr>
        <w:t>aumenta</w:t>
      </w:r>
      <w:r w:rsidRPr="00150022">
        <w:rPr>
          <w:color w:val="auto"/>
        </w:rPr>
        <w:t xml:space="preserve">il numero di somministrazioni (n. 3.671.460), con una media mobile a 7 giorni di </w:t>
      </w:r>
      <w:r w:rsidR="00150022" w:rsidRPr="00150022">
        <w:rPr>
          <w:color w:val="auto"/>
        </w:rPr>
        <w:t xml:space="preserve">oltre 523 mila </w:t>
      </w:r>
      <w:r w:rsidRPr="00150022">
        <w:rPr>
          <w:color w:val="auto"/>
        </w:rPr>
        <w:t>somministrazioni/die</w:t>
      </w:r>
      <w:r w:rsidR="00150022" w:rsidRPr="00150022">
        <w:rPr>
          <w:color w:val="auto"/>
        </w:rPr>
        <w:t>: crescono del 10,8% le terze dosi (n. 3.247.002) e del 13,8% i nuovi vaccinati (n. 274.143) (</w:t>
      </w:r>
      <w:r w:rsidR="00150022" w:rsidRPr="00150022">
        <w:rPr>
          <w:color w:val="auto"/>
          <w:highlight w:val="yellow"/>
        </w:rPr>
        <w:t xml:space="preserve">figura </w:t>
      </w:r>
      <w:r w:rsidR="00C91686">
        <w:rPr>
          <w:color w:val="auto"/>
          <w:highlight w:val="yellow"/>
        </w:rPr>
        <w:t>9</w:t>
      </w:r>
      <w:r w:rsidR="00150022" w:rsidRPr="00150022">
        <w:rPr>
          <w:color w:val="auto"/>
        </w:rPr>
        <w:t>)</w:t>
      </w:r>
      <w:r w:rsidR="00C46FF1">
        <w:rPr>
          <w:color w:val="auto"/>
        </w:rPr>
        <w:t xml:space="preserve">, che per circa il 40% riguardano </w:t>
      </w:r>
      <w:r w:rsidR="00150022">
        <w:rPr>
          <w:color w:val="auto"/>
        </w:rPr>
        <w:t>la fascia 5-11</w:t>
      </w:r>
      <w:r w:rsidR="00C46FF1">
        <w:rPr>
          <w:color w:val="auto"/>
        </w:rPr>
        <w:t xml:space="preserve"> anni</w:t>
      </w:r>
      <w:r w:rsidR="001D26AD">
        <w:rPr>
          <w:color w:val="auto"/>
        </w:rPr>
        <w:t xml:space="preserve"> che al 21 dicembre </w:t>
      </w:r>
      <w:r w:rsidR="00C46FF1">
        <w:rPr>
          <w:color w:val="auto"/>
        </w:rPr>
        <w:t>ha</w:t>
      </w:r>
      <w:r w:rsidR="00504F29">
        <w:rPr>
          <w:color w:val="auto"/>
        </w:rPr>
        <w:t xml:space="preserve"> raggiunto </w:t>
      </w:r>
      <w:r w:rsidR="001D26AD">
        <w:rPr>
          <w:color w:val="auto"/>
        </w:rPr>
        <w:t>108.112</w:t>
      </w:r>
      <w:r w:rsidR="00AF432C">
        <w:rPr>
          <w:color w:val="auto"/>
        </w:rPr>
        <w:t xml:space="preserve"> </w:t>
      </w:r>
      <w:r w:rsidR="00C46FF1" w:rsidRPr="00C46FF1">
        <w:rPr>
          <w:color w:val="auto"/>
        </w:rPr>
        <w:t xml:space="preserve">somministrazioni </w:t>
      </w:r>
      <w:r w:rsidR="00150022">
        <w:rPr>
          <w:color w:val="auto"/>
        </w:rPr>
        <w:t>(</w:t>
      </w:r>
      <w:r w:rsidR="00150022" w:rsidRPr="00150022">
        <w:rPr>
          <w:color w:val="auto"/>
          <w:highlight w:val="yellow"/>
        </w:rPr>
        <w:t xml:space="preserve">figura </w:t>
      </w:r>
      <w:r w:rsidR="00C91686">
        <w:rPr>
          <w:color w:val="auto"/>
          <w:highlight w:val="yellow"/>
        </w:rPr>
        <w:t>10</w:t>
      </w:r>
      <w:r w:rsidR="00150022">
        <w:rPr>
          <w:color w:val="auto"/>
        </w:rPr>
        <w:t>).</w:t>
      </w:r>
    </w:p>
    <w:p w:rsidR="005E5FFA" w:rsidRPr="00BA37C0" w:rsidRDefault="003C1341" w:rsidP="00385025">
      <w:pPr>
        <w:spacing w:line="276" w:lineRule="auto"/>
        <w:jc w:val="both"/>
        <w:rPr>
          <w:color w:val="auto"/>
        </w:rPr>
      </w:pPr>
      <w:r w:rsidRPr="00BA37C0">
        <w:rPr>
          <w:color w:val="auto"/>
        </w:rPr>
        <w:t xml:space="preserve">I </w:t>
      </w:r>
      <w:hyperlink r:id="rId9" w:history="1">
        <w:r w:rsidR="00B570A6" w:rsidRPr="00BA37C0">
          <w:rPr>
            <w:rStyle w:val="Collegamentoipertestuale"/>
            <w:color w:val="auto"/>
          </w:rPr>
          <w:t>target definiti dalla struttura commissariale</w:t>
        </w:r>
      </w:hyperlink>
      <w:r w:rsidR="00AF432C">
        <w:t xml:space="preserve"> </w:t>
      </w:r>
      <w:r w:rsidR="00C87C75" w:rsidRPr="00BA37C0">
        <w:rPr>
          <w:color w:val="auto"/>
        </w:rPr>
        <w:t>nel</w:t>
      </w:r>
      <w:r w:rsidR="00B570A6" w:rsidRPr="00BA37C0">
        <w:rPr>
          <w:color w:val="auto"/>
        </w:rPr>
        <w:t xml:space="preserve"> periodo </w:t>
      </w:r>
      <w:r w:rsidR="00150022" w:rsidRPr="00BA37C0">
        <w:rPr>
          <w:color w:val="auto"/>
        </w:rPr>
        <w:t>15</w:t>
      </w:r>
      <w:r w:rsidR="00B570A6" w:rsidRPr="00BA37C0">
        <w:rPr>
          <w:color w:val="auto"/>
        </w:rPr>
        <w:t>-</w:t>
      </w:r>
      <w:r w:rsidR="00150022" w:rsidRPr="00BA37C0">
        <w:rPr>
          <w:color w:val="auto"/>
        </w:rPr>
        <w:t>21</w:t>
      </w:r>
      <w:r w:rsidR="00B570A6" w:rsidRPr="00BA37C0">
        <w:rPr>
          <w:color w:val="auto"/>
        </w:rPr>
        <w:t xml:space="preserve"> dicembre sono stati </w:t>
      </w:r>
      <w:r w:rsidR="00C87C75" w:rsidRPr="00BA37C0">
        <w:rPr>
          <w:color w:val="auto"/>
        </w:rPr>
        <w:t xml:space="preserve">sempre </w:t>
      </w:r>
      <w:r w:rsidR="005E5FFA" w:rsidRPr="00BA37C0">
        <w:rPr>
          <w:color w:val="auto"/>
        </w:rPr>
        <w:t xml:space="preserve">superati, </w:t>
      </w:r>
      <w:r w:rsidR="00AF432C">
        <w:rPr>
          <w:color w:val="auto"/>
        </w:rPr>
        <w:t>fatta eccezione per</w:t>
      </w:r>
      <w:r w:rsidR="00553FF4" w:rsidRPr="00BA37C0">
        <w:rPr>
          <w:color w:val="auto"/>
        </w:rPr>
        <w:t xml:space="preserve"> </w:t>
      </w:r>
      <w:r w:rsidR="00BA37C0" w:rsidRPr="00BA37C0">
        <w:rPr>
          <w:color w:val="auto"/>
        </w:rPr>
        <w:t>domenica</w:t>
      </w:r>
      <w:r w:rsidR="00150022" w:rsidRPr="00BA37C0">
        <w:rPr>
          <w:color w:val="auto"/>
        </w:rPr>
        <w:t xml:space="preserve"> 19</w:t>
      </w:r>
      <w:r w:rsidR="009C32CB" w:rsidRPr="00BA37C0">
        <w:rPr>
          <w:color w:val="auto"/>
        </w:rPr>
        <w:t xml:space="preserve"> dicembre</w:t>
      </w:r>
      <w:r w:rsidR="00553FF4" w:rsidRPr="00BA37C0">
        <w:rPr>
          <w:color w:val="auto"/>
        </w:rPr>
        <w:t xml:space="preserve">: </w:t>
      </w:r>
      <w:r w:rsidR="00E129D4">
        <w:rPr>
          <w:color w:val="auto"/>
        </w:rPr>
        <w:t>in totale</w:t>
      </w:r>
      <w:r w:rsidR="00AF432C">
        <w:rPr>
          <w:color w:val="auto"/>
        </w:rPr>
        <w:t xml:space="preserve"> </w:t>
      </w:r>
      <w:r w:rsidR="009C32CB" w:rsidRPr="00BA37C0">
        <w:rPr>
          <w:color w:val="auto"/>
        </w:rPr>
        <w:t>sono state</w:t>
      </w:r>
      <w:r w:rsidR="00AF432C">
        <w:rPr>
          <w:color w:val="auto"/>
        </w:rPr>
        <w:t xml:space="preserve"> </w:t>
      </w:r>
      <w:r w:rsidR="009C32CB" w:rsidRPr="00BA37C0">
        <w:rPr>
          <w:color w:val="auto"/>
        </w:rPr>
        <w:t xml:space="preserve">somministrate </w:t>
      </w:r>
      <w:r w:rsidR="00150022" w:rsidRPr="00BA37C0">
        <w:rPr>
          <w:color w:val="auto"/>
        </w:rPr>
        <w:t>462.607</w:t>
      </w:r>
      <w:r w:rsidR="009C32CB" w:rsidRPr="00BA37C0">
        <w:rPr>
          <w:color w:val="auto"/>
        </w:rPr>
        <w:t xml:space="preserve"> dosi in più rispetto alle</w:t>
      </w:r>
      <w:r w:rsidR="00AF432C">
        <w:rPr>
          <w:color w:val="auto"/>
        </w:rPr>
        <w:t xml:space="preserve"> </w:t>
      </w:r>
      <w:r w:rsidR="00150022" w:rsidRPr="00BA37C0">
        <w:rPr>
          <w:color w:val="auto"/>
        </w:rPr>
        <w:t>3</w:t>
      </w:r>
      <w:r w:rsidR="00EB63CA" w:rsidRPr="00BA37C0">
        <w:rPr>
          <w:color w:val="auto"/>
        </w:rPr>
        <w:t>.</w:t>
      </w:r>
      <w:r w:rsidR="00150022" w:rsidRPr="00BA37C0">
        <w:rPr>
          <w:color w:val="auto"/>
        </w:rPr>
        <w:t>200</w:t>
      </w:r>
      <w:r w:rsidR="00EB63CA" w:rsidRPr="00BA37C0">
        <w:rPr>
          <w:color w:val="auto"/>
        </w:rPr>
        <w:t>.</w:t>
      </w:r>
      <w:r w:rsidR="009C32CB" w:rsidRPr="00BA37C0">
        <w:rPr>
          <w:color w:val="auto"/>
        </w:rPr>
        <w:t>000 previste.</w:t>
      </w:r>
    </w:p>
    <w:tbl>
      <w:tblPr>
        <w:tblW w:w="9356" w:type="dxa"/>
        <w:tblInd w:w="199" w:type="dxa"/>
        <w:tblLayout w:type="fixed"/>
        <w:tblCellMar>
          <w:left w:w="57" w:type="dxa"/>
          <w:right w:w="57" w:type="dxa"/>
        </w:tblCellMar>
        <w:tblLook w:val="04A0" w:firstRow="1" w:lastRow="0" w:firstColumn="1" w:lastColumn="0" w:noHBand="0" w:noVBand="1"/>
      </w:tblPr>
      <w:tblGrid>
        <w:gridCol w:w="1843"/>
        <w:gridCol w:w="933"/>
        <w:gridCol w:w="934"/>
        <w:gridCol w:w="934"/>
        <w:gridCol w:w="933"/>
        <w:gridCol w:w="934"/>
        <w:gridCol w:w="934"/>
        <w:gridCol w:w="68"/>
        <w:gridCol w:w="866"/>
        <w:gridCol w:w="977"/>
      </w:tblGrid>
      <w:tr w:rsidR="00B570A6" w:rsidRPr="00B570A6" w:rsidTr="00B570A6">
        <w:trPr>
          <w:trHeight w:val="340"/>
        </w:trPr>
        <w:tc>
          <w:tcPr>
            <w:tcW w:w="1843" w:type="dxa"/>
            <w:tcBorders>
              <w:top w:val="single" w:sz="4" w:space="0" w:color="FFFFFF" w:themeColor="background1"/>
              <w:left w:val="single" w:sz="4" w:space="0" w:color="FFFFFF" w:themeColor="background1"/>
              <w:bottom w:val="single" w:sz="4" w:space="0" w:color="00457D"/>
              <w:right w:val="single" w:sz="4" w:space="0" w:color="00457D"/>
            </w:tcBorders>
            <w:shd w:val="clear" w:color="auto" w:fill="auto"/>
            <w:vAlign w:val="center"/>
            <w:hideMark/>
          </w:tcPr>
          <w:p w:rsidR="00536DC0" w:rsidRPr="00B570A6" w:rsidRDefault="00536DC0"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eastAsia="Times New Roman" w:cs="Calibri"/>
                <w:b/>
                <w:bCs/>
                <w:color w:val="FFFFFF" w:themeColor="background1"/>
                <w:sz w:val="20"/>
                <w:szCs w:val="21"/>
                <w:bdr w:val="none" w:sz="0" w:space="0" w:color="auto"/>
              </w:rPr>
            </w:pPr>
          </w:p>
        </w:tc>
        <w:tc>
          <w:tcPr>
            <w:tcW w:w="933" w:type="dxa"/>
            <w:tcBorders>
              <w:top w:val="single" w:sz="4" w:space="0" w:color="00457D"/>
              <w:left w:val="single" w:sz="4" w:space="0" w:color="00457D"/>
              <w:bottom w:val="single" w:sz="4" w:space="0" w:color="00457D"/>
              <w:right w:val="single" w:sz="4" w:space="0" w:color="FFFFFF" w:themeColor="background1"/>
            </w:tcBorders>
            <w:shd w:val="clear" w:color="000000" w:fill="00457D"/>
            <w:vAlign w:val="center"/>
            <w:hideMark/>
          </w:tcPr>
          <w:p w:rsidR="00536DC0" w:rsidRPr="00B570A6" w:rsidRDefault="00150022"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15</w:t>
            </w:r>
            <w:r w:rsidR="00536DC0" w:rsidRPr="00B570A6">
              <w:rPr>
                <w:rFonts w:eastAsia="Times New Roman" w:cs="Calibri"/>
                <w:b/>
                <w:bCs/>
                <w:color w:val="FFFFFF" w:themeColor="background1"/>
                <w:sz w:val="20"/>
                <w:szCs w:val="21"/>
                <w:bdr w:val="none" w:sz="0" w:space="0" w:color="auto"/>
              </w:rPr>
              <w:t>/12</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000000" w:fill="00457D"/>
            <w:vAlign w:val="center"/>
            <w:hideMark/>
          </w:tcPr>
          <w:p w:rsidR="00536DC0" w:rsidRPr="00B570A6" w:rsidRDefault="00150022"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16</w:t>
            </w:r>
            <w:r w:rsidR="00536DC0" w:rsidRPr="00B570A6">
              <w:rPr>
                <w:rFonts w:eastAsia="Times New Roman" w:cs="Calibri"/>
                <w:b/>
                <w:bCs/>
                <w:color w:val="FFFFFF" w:themeColor="background1"/>
                <w:sz w:val="20"/>
                <w:szCs w:val="21"/>
                <w:bdr w:val="none" w:sz="0" w:space="0" w:color="auto"/>
              </w:rPr>
              <w:t>/12</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000000" w:fill="00457D"/>
            <w:vAlign w:val="center"/>
            <w:hideMark/>
          </w:tcPr>
          <w:p w:rsidR="00536DC0" w:rsidRPr="00B570A6" w:rsidRDefault="00150022"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17</w:t>
            </w:r>
            <w:r w:rsidR="00536DC0" w:rsidRPr="00B570A6">
              <w:rPr>
                <w:rFonts w:eastAsia="Times New Roman" w:cs="Calibri"/>
                <w:b/>
                <w:bCs/>
                <w:color w:val="FFFFFF" w:themeColor="background1"/>
                <w:sz w:val="20"/>
                <w:szCs w:val="21"/>
                <w:bdr w:val="none" w:sz="0" w:space="0" w:color="auto"/>
              </w:rPr>
              <w:t>/12</w:t>
            </w:r>
          </w:p>
        </w:tc>
        <w:tc>
          <w:tcPr>
            <w:tcW w:w="933" w:type="dxa"/>
            <w:tcBorders>
              <w:top w:val="single" w:sz="4" w:space="0" w:color="00457D"/>
              <w:left w:val="single" w:sz="4" w:space="0" w:color="FFFFFF" w:themeColor="background1"/>
              <w:bottom w:val="single" w:sz="4" w:space="0" w:color="00457D"/>
              <w:right w:val="single" w:sz="4" w:space="0" w:color="FFFFFF" w:themeColor="background1"/>
            </w:tcBorders>
            <w:shd w:val="clear" w:color="000000" w:fill="00457D"/>
            <w:vAlign w:val="center"/>
          </w:tcPr>
          <w:p w:rsidR="00536DC0" w:rsidRPr="00B570A6" w:rsidRDefault="00150022"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18</w:t>
            </w:r>
            <w:r w:rsidR="00B570A6">
              <w:rPr>
                <w:rFonts w:eastAsia="Times New Roman" w:cs="Calibri"/>
                <w:b/>
                <w:bCs/>
                <w:color w:val="FFFFFF" w:themeColor="background1"/>
                <w:sz w:val="20"/>
                <w:szCs w:val="21"/>
                <w:bdr w:val="none" w:sz="0" w:space="0" w:color="auto"/>
              </w:rPr>
              <w:t>/</w:t>
            </w:r>
            <w:r w:rsidR="00536DC0" w:rsidRPr="00B570A6">
              <w:rPr>
                <w:rFonts w:eastAsia="Times New Roman" w:cs="Calibri"/>
                <w:b/>
                <w:bCs/>
                <w:color w:val="FFFFFF" w:themeColor="background1"/>
                <w:sz w:val="20"/>
                <w:szCs w:val="21"/>
                <w:bdr w:val="none" w:sz="0" w:space="0" w:color="auto"/>
              </w:rPr>
              <w:t>12</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000000" w:fill="00457D"/>
            <w:vAlign w:val="center"/>
          </w:tcPr>
          <w:p w:rsidR="00536DC0" w:rsidRPr="00B570A6" w:rsidRDefault="00150022"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19</w:t>
            </w:r>
            <w:r w:rsidR="00536DC0" w:rsidRPr="00B570A6">
              <w:rPr>
                <w:rFonts w:eastAsia="Times New Roman" w:cs="Calibri"/>
                <w:b/>
                <w:bCs/>
                <w:color w:val="FFFFFF" w:themeColor="background1"/>
                <w:sz w:val="20"/>
                <w:szCs w:val="21"/>
                <w:bdr w:val="none" w:sz="0" w:space="0" w:color="auto"/>
              </w:rPr>
              <w:t>/12</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000000" w:fill="00457D"/>
            <w:vAlign w:val="center"/>
          </w:tcPr>
          <w:p w:rsidR="00536DC0" w:rsidRPr="00B570A6" w:rsidRDefault="00150022"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20</w:t>
            </w:r>
            <w:r w:rsidR="00536DC0" w:rsidRPr="00B570A6">
              <w:rPr>
                <w:rFonts w:eastAsia="Times New Roman" w:cs="Calibri"/>
                <w:b/>
                <w:bCs/>
                <w:color w:val="FFFFFF" w:themeColor="background1"/>
                <w:sz w:val="20"/>
                <w:szCs w:val="21"/>
                <w:bdr w:val="none" w:sz="0" w:space="0" w:color="auto"/>
              </w:rPr>
              <w:t>/12</w:t>
            </w:r>
          </w:p>
        </w:tc>
        <w:tc>
          <w:tcPr>
            <w:tcW w:w="934" w:type="dxa"/>
            <w:gridSpan w:val="2"/>
            <w:tcBorders>
              <w:top w:val="single" w:sz="4" w:space="0" w:color="00457D"/>
              <w:left w:val="single" w:sz="4" w:space="0" w:color="FFFFFF" w:themeColor="background1"/>
              <w:bottom w:val="single" w:sz="4" w:space="0" w:color="00457D"/>
              <w:right w:val="single" w:sz="4" w:space="0" w:color="FFFFFF" w:themeColor="background1"/>
            </w:tcBorders>
            <w:shd w:val="clear" w:color="000000" w:fill="00457D"/>
            <w:vAlign w:val="center"/>
          </w:tcPr>
          <w:p w:rsidR="00536DC0" w:rsidRPr="00B570A6" w:rsidRDefault="00150022" w:rsidP="00B570A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Pr>
                <w:rFonts w:eastAsia="Times New Roman" w:cs="Calibri"/>
                <w:b/>
                <w:bCs/>
                <w:color w:val="FFFFFF" w:themeColor="background1"/>
                <w:sz w:val="20"/>
                <w:szCs w:val="21"/>
                <w:bdr w:val="none" w:sz="0" w:space="0" w:color="auto"/>
              </w:rPr>
              <w:t>21</w:t>
            </w:r>
            <w:r w:rsidR="00536DC0" w:rsidRPr="00B570A6">
              <w:rPr>
                <w:rFonts w:eastAsia="Times New Roman" w:cs="Calibri"/>
                <w:b/>
                <w:bCs/>
                <w:color w:val="FFFFFF" w:themeColor="background1"/>
                <w:sz w:val="20"/>
                <w:szCs w:val="21"/>
                <w:bdr w:val="none" w:sz="0" w:space="0" w:color="auto"/>
              </w:rPr>
              <w:t>/12</w:t>
            </w:r>
          </w:p>
        </w:tc>
        <w:tc>
          <w:tcPr>
            <w:tcW w:w="977" w:type="dxa"/>
            <w:tcBorders>
              <w:top w:val="single" w:sz="4" w:space="0" w:color="00457D"/>
              <w:left w:val="single" w:sz="4" w:space="0" w:color="FFFFFF" w:themeColor="background1"/>
              <w:bottom w:val="single" w:sz="4" w:space="0" w:color="00457D"/>
              <w:right w:val="single" w:sz="4" w:space="0" w:color="00457D"/>
            </w:tcBorders>
            <w:shd w:val="clear" w:color="000000" w:fill="00457D"/>
            <w:vAlign w:val="center"/>
            <w:hideMark/>
          </w:tcPr>
          <w:p w:rsidR="00536DC0" w:rsidRPr="00B570A6" w:rsidRDefault="00536DC0" w:rsidP="00637F1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center"/>
              <w:rPr>
                <w:rFonts w:eastAsia="Times New Roman" w:cs="Calibri"/>
                <w:b/>
                <w:bCs/>
                <w:color w:val="FFFFFF" w:themeColor="background1"/>
                <w:sz w:val="20"/>
                <w:szCs w:val="21"/>
                <w:bdr w:val="none" w:sz="0" w:space="0" w:color="auto"/>
              </w:rPr>
            </w:pPr>
            <w:r w:rsidRPr="00B570A6">
              <w:rPr>
                <w:rFonts w:eastAsia="Times New Roman" w:cs="Calibri"/>
                <w:b/>
                <w:bCs/>
                <w:color w:val="FFFFFF" w:themeColor="background1"/>
                <w:sz w:val="20"/>
                <w:szCs w:val="21"/>
                <w:bdr w:val="none" w:sz="0" w:space="0" w:color="auto"/>
              </w:rPr>
              <w:t>Totale</w:t>
            </w:r>
          </w:p>
        </w:tc>
      </w:tr>
      <w:tr w:rsidR="00150022" w:rsidRPr="00246954" w:rsidTr="00B570A6">
        <w:trPr>
          <w:trHeight w:val="340"/>
        </w:trPr>
        <w:tc>
          <w:tcPr>
            <w:tcW w:w="1843" w:type="dxa"/>
            <w:tcBorders>
              <w:top w:val="single" w:sz="4" w:space="0" w:color="00457D"/>
              <w:left w:val="single" w:sz="4" w:space="0" w:color="00457D"/>
              <w:bottom w:val="single" w:sz="4" w:space="0" w:color="00457D"/>
              <w:right w:val="single" w:sz="4" w:space="0" w:color="00457D"/>
            </w:tcBorders>
            <w:shd w:val="clear" w:color="auto" w:fill="auto"/>
            <w:noWrap/>
            <w:vAlign w:val="center"/>
            <w:hideMark/>
          </w:tcPr>
          <w:p w:rsidR="00150022" w:rsidRPr="00150022" w:rsidRDefault="00150022" w:rsidP="00150022">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eastAsia="Times New Roman" w:cs="Calibri"/>
                <w:color w:val="auto"/>
                <w:sz w:val="20"/>
                <w:szCs w:val="21"/>
                <w:bdr w:val="none" w:sz="0" w:space="0" w:color="auto"/>
              </w:rPr>
            </w:pPr>
            <w:r w:rsidRPr="00150022">
              <w:rPr>
                <w:rFonts w:eastAsia="Times New Roman" w:cs="Calibri"/>
                <w:color w:val="auto"/>
                <w:sz w:val="20"/>
                <w:szCs w:val="21"/>
                <w:bdr w:val="none" w:sz="0" w:space="0" w:color="auto"/>
              </w:rPr>
              <w:t>Dosi somministrate</w:t>
            </w:r>
          </w:p>
        </w:tc>
        <w:tc>
          <w:tcPr>
            <w:tcW w:w="933"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564.364</w:t>
            </w:r>
          </w:p>
        </w:tc>
        <w:tc>
          <w:tcPr>
            <w:tcW w:w="934"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581.926</w:t>
            </w:r>
          </w:p>
        </w:tc>
        <w:tc>
          <w:tcPr>
            <w:tcW w:w="934"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575.579</w:t>
            </w:r>
          </w:p>
        </w:tc>
        <w:tc>
          <w:tcPr>
            <w:tcW w:w="933" w:type="dxa"/>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537.745</w:t>
            </w:r>
          </w:p>
        </w:tc>
        <w:tc>
          <w:tcPr>
            <w:tcW w:w="934" w:type="dxa"/>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348.211</w:t>
            </w:r>
          </w:p>
        </w:tc>
        <w:tc>
          <w:tcPr>
            <w:tcW w:w="934" w:type="dxa"/>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533.047</w:t>
            </w:r>
          </w:p>
        </w:tc>
        <w:tc>
          <w:tcPr>
            <w:tcW w:w="934" w:type="dxa"/>
            <w:gridSpan w:val="2"/>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521.735</w:t>
            </w:r>
          </w:p>
        </w:tc>
        <w:tc>
          <w:tcPr>
            <w:tcW w:w="977"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color w:val="auto"/>
                <w:sz w:val="20"/>
                <w:szCs w:val="20"/>
                <w:bdr w:val="none" w:sz="0" w:space="0" w:color="auto"/>
              </w:rPr>
              <w:t>3.662.607</w:t>
            </w:r>
          </w:p>
        </w:tc>
      </w:tr>
      <w:tr w:rsidR="00150022" w:rsidRPr="00246954" w:rsidTr="00B570A6">
        <w:trPr>
          <w:trHeight w:val="340"/>
        </w:trPr>
        <w:tc>
          <w:tcPr>
            <w:tcW w:w="1843" w:type="dxa"/>
            <w:tcBorders>
              <w:top w:val="single" w:sz="4" w:space="0" w:color="00457D"/>
              <w:left w:val="single" w:sz="4" w:space="0" w:color="00457D"/>
              <w:bottom w:val="single" w:sz="4" w:space="0" w:color="00457D"/>
              <w:right w:val="single" w:sz="4" w:space="0" w:color="00457D"/>
            </w:tcBorders>
            <w:shd w:val="clear" w:color="auto" w:fill="auto"/>
            <w:noWrap/>
            <w:vAlign w:val="center"/>
            <w:hideMark/>
          </w:tcPr>
          <w:p w:rsidR="00150022" w:rsidRPr="00150022" w:rsidRDefault="00150022" w:rsidP="00150022">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eastAsia="Times New Roman" w:cs="Calibri"/>
                <w:color w:val="auto"/>
                <w:sz w:val="20"/>
                <w:szCs w:val="21"/>
                <w:bdr w:val="none" w:sz="0" w:space="0" w:color="auto"/>
              </w:rPr>
            </w:pPr>
            <w:r w:rsidRPr="00150022">
              <w:rPr>
                <w:rFonts w:eastAsia="Times New Roman" w:cs="Calibri"/>
                <w:color w:val="auto"/>
                <w:sz w:val="20"/>
                <w:szCs w:val="21"/>
                <w:bdr w:val="none" w:sz="0" w:space="0" w:color="auto"/>
              </w:rPr>
              <w:lastRenderedPageBreak/>
              <w:t>Target</w:t>
            </w:r>
          </w:p>
        </w:tc>
        <w:tc>
          <w:tcPr>
            <w:tcW w:w="933"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500.000</w:t>
            </w:r>
          </w:p>
        </w:tc>
        <w:tc>
          <w:tcPr>
            <w:tcW w:w="934"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500.000</w:t>
            </w:r>
          </w:p>
        </w:tc>
        <w:tc>
          <w:tcPr>
            <w:tcW w:w="934"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500.000</w:t>
            </w:r>
          </w:p>
        </w:tc>
        <w:tc>
          <w:tcPr>
            <w:tcW w:w="933" w:type="dxa"/>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350.000</w:t>
            </w:r>
          </w:p>
        </w:tc>
        <w:tc>
          <w:tcPr>
            <w:tcW w:w="934" w:type="dxa"/>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350.000</w:t>
            </w:r>
          </w:p>
        </w:tc>
        <w:tc>
          <w:tcPr>
            <w:tcW w:w="934" w:type="dxa"/>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500.000</w:t>
            </w:r>
          </w:p>
        </w:tc>
        <w:tc>
          <w:tcPr>
            <w:tcW w:w="934" w:type="dxa"/>
            <w:gridSpan w:val="2"/>
            <w:tcBorders>
              <w:top w:val="single" w:sz="4" w:space="0" w:color="00457D"/>
              <w:left w:val="single" w:sz="4" w:space="0" w:color="00457D"/>
              <w:bottom w:val="single" w:sz="4" w:space="0" w:color="00457D"/>
              <w:right w:val="single" w:sz="4" w:space="0" w:color="00457D"/>
            </w:tcBorders>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sz w:val="20"/>
                <w:szCs w:val="20"/>
                <w:bdr w:val="none" w:sz="0" w:space="0" w:color="auto"/>
              </w:rPr>
              <w:t>500.000</w:t>
            </w:r>
          </w:p>
        </w:tc>
        <w:tc>
          <w:tcPr>
            <w:tcW w:w="977" w:type="dxa"/>
            <w:tcBorders>
              <w:top w:val="single" w:sz="4" w:space="0" w:color="00457D"/>
              <w:left w:val="single" w:sz="4" w:space="0" w:color="00457D"/>
              <w:bottom w:val="single" w:sz="4" w:space="0" w:color="00457D"/>
              <w:right w:val="single" w:sz="4" w:space="0" w:color="00457D"/>
            </w:tcBorders>
            <w:shd w:val="clear" w:color="auto" w:fill="auto"/>
            <w:noWrap/>
            <w:vAlign w:val="center"/>
          </w:tcPr>
          <w:p w:rsidR="00150022" w:rsidRPr="00736C14" w:rsidRDefault="00150022" w:rsidP="00150022">
            <w:pPr>
              <w:spacing w:after="0" w:line="276" w:lineRule="auto"/>
              <w:jc w:val="right"/>
              <w:rPr>
                <w:rFonts w:cs="Calibri"/>
                <w:color w:val="FF0000"/>
                <w:sz w:val="20"/>
                <w:szCs w:val="21"/>
              </w:rPr>
            </w:pPr>
            <w:r w:rsidRPr="00150022">
              <w:rPr>
                <w:rFonts w:eastAsia="Times New Roman" w:cs="Calibri"/>
                <w:color w:val="auto"/>
                <w:sz w:val="20"/>
                <w:szCs w:val="20"/>
                <w:bdr w:val="none" w:sz="0" w:space="0" w:color="auto"/>
              </w:rPr>
              <w:t>3.200.000</w:t>
            </w:r>
          </w:p>
        </w:tc>
      </w:tr>
      <w:tr w:rsidR="00150022" w:rsidRPr="00246954" w:rsidTr="00B570A6">
        <w:trPr>
          <w:trHeight w:val="340"/>
        </w:trPr>
        <w:tc>
          <w:tcPr>
            <w:tcW w:w="1843" w:type="dxa"/>
            <w:tcBorders>
              <w:top w:val="single" w:sz="4" w:space="0" w:color="00457D"/>
              <w:left w:val="single" w:sz="4" w:space="0" w:color="00457D"/>
              <w:bottom w:val="single" w:sz="4" w:space="0" w:color="00457D"/>
              <w:right w:val="single" w:sz="4" w:space="0" w:color="FFFFFF" w:themeColor="background1"/>
            </w:tcBorders>
            <w:shd w:val="clear" w:color="auto" w:fill="00457D"/>
            <w:noWrap/>
            <w:vAlign w:val="center"/>
          </w:tcPr>
          <w:p w:rsidR="00150022" w:rsidRPr="00B570A6" w:rsidRDefault="00150022" w:rsidP="00150022">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rPr>
                <w:rFonts w:eastAsia="Times New Roman" w:cs="Calibri"/>
                <w:b/>
                <w:color w:val="auto"/>
                <w:sz w:val="20"/>
                <w:szCs w:val="21"/>
                <w:bdr w:val="none" w:sz="0" w:space="0" w:color="auto"/>
              </w:rPr>
            </w:pPr>
            <w:r w:rsidRPr="00B570A6">
              <w:rPr>
                <w:rFonts w:eastAsia="Times New Roman" w:cs="Calibri"/>
                <w:b/>
                <w:color w:val="auto"/>
                <w:sz w:val="20"/>
                <w:szCs w:val="21"/>
                <w:bdr w:val="none" w:sz="0" w:space="0" w:color="auto"/>
              </w:rPr>
              <w:t>Differenza</w:t>
            </w:r>
          </w:p>
        </w:tc>
        <w:tc>
          <w:tcPr>
            <w:tcW w:w="933" w:type="dxa"/>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noWrap/>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64.364</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noWrap/>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81.926</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noWrap/>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75.579</w:t>
            </w:r>
          </w:p>
        </w:tc>
        <w:tc>
          <w:tcPr>
            <w:tcW w:w="933" w:type="dxa"/>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187.745</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-1.789</w:t>
            </w:r>
          </w:p>
        </w:tc>
        <w:tc>
          <w:tcPr>
            <w:tcW w:w="934" w:type="dxa"/>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33.047</w:t>
            </w:r>
          </w:p>
        </w:tc>
        <w:tc>
          <w:tcPr>
            <w:tcW w:w="934" w:type="dxa"/>
            <w:gridSpan w:val="2"/>
            <w:tcBorders>
              <w:top w:val="single" w:sz="4" w:space="0" w:color="00457D"/>
              <w:left w:val="single" w:sz="4" w:space="0" w:color="FFFFFF" w:themeColor="background1"/>
              <w:bottom w:val="single" w:sz="4" w:space="0" w:color="00457D"/>
              <w:right w:val="single" w:sz="4" w:space="0" w:color="FFFFFF" w:themeColor="background1"/>
            </w:tcBorders>
            <w:shd w:val="clear" w:color="auto" w:fill="00457D"/>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21.735</w:t>
            </w:r>
          </w:p>
        </w:tc>
        <w:tc>
          <w:tcPr>
            <w:tcW w:w="977" w:type="dxa"/>
            <w:tcBorders>
              <w:top w:val="single" w:sz="4" w:space="0" w:color="00457D"/>
              <w:left w:val="single" w:sz="4" w:space="0" w:color="FFFFFF" w:themeColor="background1"/>
              <w:bottom w:val="single" w:sz="4" w:space="0" w:color="00457D"/>
              <w:right w:val="single" w:sz="4" w:space="0" w:color="00457D"/>
            </w:tcBorders>
            <w:shd w:val="clear" w:color="auto" w:fill="00457D"/>
            <w:noWrap/>
            <w:vAlign w:val="center"/>
          </w:tcPr>
          <w:p w:rsidR="00150022" w:rsidRPr="00B570A6" w:rsidRDefault="00150022" w:rsidP="00150022">
            <w:pPr>
              <w:spacing w:after="0" w:line="276" w:lineRule="auto"/>
              <w:jc w:val="right"/>
              <w:rPr>
                <w:rFonts w:cs="Calibri"/>
                <w:b/>
                <w:color w:val="FFFFFF" w:themeColor="background1"/>
                <w:sz w:val="20"/>
                <w:szCs w:val="21"/>
              </w:rPr>
            </w:pPr>
            <w:r w:rsidRPr="00150022">
              <w:rPr>
                <w:rFonts w:eastAsia="Times New Roman" w:cs="Calibri"/>
                <w:b/>
                <w:bCs/>
                <w:color w:val="FFFFFF"/>
                <w:sz w:val="20"/>
                <w:szCs w:val="20"/>
                <w:bdr w:val="none" w:sz="0" w:space="0" w:color="auto"/>
              </w:rPr>
              <w:t>462.607</w:t>
            </w:r>
          </w:p>
        </w:tc>
      </w:tr>
      <w:tr w:rsidR="00536DC0" w:rsidRPr="00246954" w:rsidTr="00637F15">
        <w:tblPrEx>
          <w:tblCellMar>
            <w:left w:w="70" w:type="dxa"/>
            <w:right w:w="70" w:type="dxa"/>
          </w:tblCellMar>
        </w:tblPrEx>
        <w:trPr>
          <w:trHeight w:val="567"/>
        </w:trPr>
        <w:tc>
          <w:tcPr>
            <w:tcW w:w="7513" w:type="dxa"/>
            <w:gridSpan w:val="8"/>
            <w:tcBorders>
              <w:top w:val="single" w:sz="4" w:space="0" w:color="00457D"/>
              <w:left w:val="single" w:sz="4" w:space="0" w:color="00457D"/>
              <w:bottom w:val="single" w:sz="4" w:space="0" w:color="00457D"/>
              <w:right w:val="single" w:sz="4" w:space="0" w:color="FFFFFF" w:themeColor="background1"/>
            </w:tcBorders>
            <w:shd w:val="clear" w:color="auto" w:fill="auto"/>
            <w:noWrap/>
            <w:vAlign w:val="center"/>
          </w:tcPr>
          <w:p w:rsidR="00536DC0" w:rsidRPr="00B570A6" w:rsidRDefault="00536DC0" w:rsidP="00637F15">
            <w:pPr>
              <w:spacing w:after="0" w:line="276" w:lineRule="auto"/>
              <w:rPr>
                <w:rFonts w:cs="Calibri"/>
                <w:color w:val="00457D"/>
                <w:sz w:val="18"/>
                <w:szCs w:val="21"/>
              </w:rPr>
            </w:pPr>
            <w:r w:rsidRPr="00B570A6">
              <w:rPr>
                <w:rFonts w:cs="Calibri"/>
                <w:color w:val="00457D"/>
                <w:sz w:val="18"/>
                <w:szCs w:val="21"/>
              </w:rPr>
              <w:t>Elaborazione GIMBE su dati Ministero Salute, Commissario Straordinario COVID-19</w:t>
            </w:r>
          </w:p>
          <w:p w:rsidR="00536DC0" w:rsidRPr="00246954" w:rsidRDefault="00536DC0" w:rsidP="00B570A6">
            <w:pPr>
              <w:spacing w:after="0" w:line="276" w:lineRule="auto"/>
              <w:rPr>
                <w:rFonts w:cs="Calibri"/>
                <w:color w:val="FF0000"/>
                <w:sz w:val="18"/>
                <w:szCs w:val="21"/>
              </w:rPr>
            </w:pPr>
            <w:r w:rsidRPr="00B570A6">
              <w:rPr>
                <w:rFonts w:cs="Calibri"/>
                <w:color w:val="00457D"/>
                <w:sz w:val="18"/>
                <w:szCs w:val="21"/>
              </w:rPr>
              <w:t xml:space="preserve">Aggiornamento: </w:t>
            </w:r>
            <w:r w:rsidR="00150022" w:rsidRPr="00150022">
              <w:rPr>
                <w:rFonts w:eastAsia="Times New Roman" w:cs="Calibri"/>
                <w:color w:val="00457D"/>
                <w:sz w:val="18"/>
                <w:szCs w:val="18"/>
                <w:bdr w:val="none" w:sz="0" w:space="0" w:color="auto"/>
              </w:rPr>
              <w:t>22 dicembre 2021 ore 07:18</w:t>
            </w:r>
          </w:p>
        </w:tc>
        <w:tc>
          <w:tcPr>
            <w:tcW w:w="1843" w:type="dxa"/>
            <w:gridSpan w:val="2"/>
            <w:tcBorders>
              <w:top w:val="single" w:sz="4" w:space="0" w:color="00457D"/>
              <w:left w:val="single" w:sz="4" w:space="0" w:color="FFFFFF" w:themeColor="background1"/>
              <w:bottom w:val="single" w:sz="4" w:space="0" w:color="00457D"/>
              <w:right w:val="single" w:sz="4" w:space="0" w:color="00457D"/>
            </w:tcBorders>
            <w:shd w:val="clear" w:color="auto" w:fill="auto"/>
            <w:vAlign w:val="center"/>
          </w:tcPr>
          <w:p w:rsidR="00536DC0" w:rsidRPr="00246954" w:rsidRDefault="00536DC0" w:rsidP="00637F15">
            <w:pPr>
              <w:spacing w:after="0" w:line="276" w:lineRule="auto"/>
              <w:jc w:val="center"/>
              <w:rPr>
                <w:rFonts w:cs="Calibri"/>
                <w:b/>
                <w:color w:val="FF0000"/>
                <w:sz w:val="18"/>
                <w:szCs w:val="21"/>
              </w:rPr>
            </w:pPr>
            <w:r w:rsidRPr="00246954">
              <w:rPr>
                <w:noProof/>
                <w:color w:val="FF0000"/>
              </w:rPr>
              <w:drawing>
                <wp:inline distT="0" distB="0" distL="0" distR="0">
                  <wp:extent cx="884397" cy="305633"/>
                  <wp:effectExtent l="0" t="0" r="0" b="0"/>
                  <wp:docPr id="5" name="Immagine 1">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0000000-0008-0000-0000-000013000000}"/>
                              </a:ext>
                            </a:extLst>
                          </pic:cNvPr>
                          <pic:cNvPicPr>
                            <a:picLocks noChangeAspect="1"/>
                          </pic:cNvPicPr>
                        </pic:nvPicPr>
                        <pic:blipFill>
                          <a:blip r:embed="rId10" cstate="print"/>
                          <a:stretch>
                            <a:fillRect/>
                          </a:stretch>
                        </pic:blipFill>
                        <pic:spPr>
                          <a:xfrm>
                            <a:off x="0" y="0"/>
                            <a:ext cx="884397" cy="305633"/>
                          </a:xfrm>
                          <a:prstGeom prst="rect">
                            <a:avLst/>
                          </a:prstGeom>
                        </pic:spPr>
                      </pic:pic>
                    </a:graphicData>
                  </a:graphic>
                </wp:inline>
              </w:drawing>
            </w:r>
          </w:p>
        </w:tc>
      </w:tr>
    </w:tbl>
    <w:p w:rsidR="00794F6E" w:rsidRDefault="00794F6E" w:rsidP="00794F6E">
      <w:pPr>
        <w:spacing w:after="0" w:line="276" w:lineRule="auto"/>
        <w:jc w:val="both"/>
        <w:rPr>
          <w:b/>
          <w:color w:val="FF0000"/>
        </w:rPr>
      </w:pPr>
    </w:p>
    <w:p w:rsidR="00150022" w:rsidRPr="00150022" w:rsidRDefault="006C2782" w:rsidP="00BA37C0">
      <w:pPr>
        <w:spacing w:line="276" w:lineRule="auto"/>
        <w:jc w:val="both"/>
        <w:rPr>
          <w:rFonts w:eastAsia="Times New Roman" w:cs="Calibri"/>
          <w:bdr w:val="none" w:sz="0" w:space="0" w:color="auto"/>
        </w:rPr>
      </w:pPr>
      <w:r w:rsidRPr="006C2782">
        <w:rPr>
          <w:color w:val="auto"/>
        </w:rPr>
        <w:t xml:space="preserve">Nonostante </w:t>
      </w:r>
      <w:r w:rsidR="00C46FF1">
        <w:rPr>
          <w:color w:val="auto"/>
        </w:rPr>
        <w:t>il superamento de</w:t>
      </w:r>
      <w:r w:rsidRPr="006C2782">
        <w:rPr>
          <w:color w:val="auto"/>
        </w:rPr>
        <w:t xml:space="preserve">i target </w:t>
      </w:r>
      <w:r w:rsidR="00BA37C0">
        <w:rPr>
          <w:color w:val="auto"/>
        </w:rPr>
        <w:t>fissati</w:t>
      </w:r>
      <w:r w:rsidR="00E129D4">
        <w:rPr>
          <w:color w:val="auto"/>
        </w:rPr>
        <w:t>,</w:t>
      </w:r>
      <w:r w:rsidR="001E7D82">
        <w:rPr>
          <w:color w:val="auto"/>
        </w:rPr>
        <w:t xml:space="preserve"> </w:t>
      </w:r>
      <w:r w:rsidR="0095311B">
        <w:rPr>
          <w:color w:val="auto"/>
        </w:rPr>
        <w:t xml:space="preserve">le </w:t>
      </w:r>
      <w:r w:rsidRPr="006C2782">
        <w:rPr>
          <w:color w:val="auto"/>
        </w:rPr>
        <w:t xml:space="preserve">persone </w:t>
      </w:r>
      <w:r w:rsidR="0095311B">
        <w:rPr>
          <w:color w:val="auto"/>
        </w:rPr>
        <w:t xml:space="preserve">che hanno completato il ciclo vaccinale da </w:t>
      </w:r>
      <w:r w:rsidR="00E129D4">
        <w:rPr>
          <w:color w:val="auto"/>
        </w:rPr>
        <w:t xml:space="preserve">più di </w:t>
      </w:r>
      <w:r w:rsidR="0095311B">
        <w:rPr>
          <w:color w:val="auto"/>
        </w:rPr>
        <w:t xml:space="preserve">150 giorni e quindi </w:t>
      </w:r>
      <w:r w:rsidR="00150022">
        <w:rPr>
          <w:color w:val="auto"/>
        </w:rPr>
        <w:t xml:space="preserve">candidate </w:t>
      </w:r>
      <w:r w:rsidR="00BA37C0">
        <w:rPr>
          <w:color w:val="auto"/>
        </w:rPr>
        <w:t>a ricevere la terza dose entro il 31 dicembre</w:t>
      </w:r>
      <w:r w:rsidR="0095311B">
        <w:rPr>
          <w:color w:val="auto"/>
        </w:rPr>
        <w:t xml:space="preserve"> sarebbero</w:t>
      </w:r>
      <w:r w:rsidR="001E7D82">
        <w:rPr>
          <w:color w:val="auto"/>
        </w:rPr>
        <w:t xml:space="preserve"> </w:t>
      </w:r>
      <w:r w:rsidR="0095311B">
        <w:rPr>
          <w:color w:val="auto"/>
        </w:rPr>
        <w:t>oltre 33,5 milioni</w:t>
      </w:r>
      <w:r w:rsidR="00BA37C0">
        <w:rPr>
          <w:color w:val="auto"/>
        </w:rPr>
        <w:t xml:space="preserve">. Pur </w:t>
      </w:r>
      <w:r w:rsidR="00C46FF1">
        <w:rPr>
          <w:color w:val="auto"/>
        </w:rPr>
        <w:t>considerando sovrastimato questo numero</w:t>
      </w:r>
      <w:r w:rsidR="001E7D82">
        <w:rPr>
          <w:color w:val="auto"/>
        </w:rPr>
        <w:t xml:space="preserve"> </w:t>
      </w:r>
      <w:r w:rsidR="00C46FF1">
        <w:rPr>
          <w:color w:val="auto"/>
        </w:rPr>
        <w:t>(im</w:t>
      </w:r>
      <w:r w:rsidR="00E129D4">
        <w:rPr>
          <w:color w:val="auto"/>
        </w:rPr>
        <w:t xml:space="preserve">possibile scorporare </w:t>
      </w:r>
      <w:r w:rsidR="00BA37C0">
        <w:rPr>
          <w:color w:val="auto"/>
        </w:rPr>
        <w:t xml:space="preserve">gli under 18, </w:t>
      </w:r>
      <w:r w:rsidR="00C46FF1">
        <w:rPr>
          <w:color w:val="auto"/>
        </w:rPr>
        <w:t>i guariti</w:t>
      </w:r>
      <w:r w:rsidR="00BA37C0" w:rsidRPr="00BA37C0">
        <w:rPr>
          <w:color w:val="auto"/>
        </w:rPr>
        <w:t xml:space="preserve"> da meno di </w:t>
      </w:r>
      <w:r w:rsidR="00BA37C0">
        <w:rPr>
          <w:color w:val="auto"/>
        </w:rPr>
        <w:t xml:space="preserve">5 mesi e </w:t>
      </w:r>
      <w:r w:rsidR="00C46FF1">
        <w:rPr>
          <w:color w:val="auto"/>
        </w:rPr>
        <w:t>i deceduti) e</w:t>
      </w:r>
      <w:r w:rsidR="001E7D82">
        <w:rPr>
          <w:color w:val="auto"/>
        </w:rPr>
        <w:t xml:space="preserve"> </w:t>
      </w:r>
      <w:r w:rsidR="0048371B">
        <w:rPr>
          <w:color w:val="auto"/>
        </w:rPr>
        <w:t>considerato</w:t>
      </w:r>
      <w:r w:rsidR="00BA37C0">
        <w:rPr>
          <w:color w:val="auto"/>
        </w:rPr>
        <w:t xml:space="preserve"> che al 21 dicembre </w:t>
      </w:r>
      <w:r w:rsidR="0044576F">
        <w:rPr>
          <w:color w:val="auto"/>
        </w:rPr>
        <w:t xml:space="preserve">sono state somministrate </w:t>
      </w:r>
      <w:r w:rsidR="00C46FF1">
        <w:rPr>
          <w:color w:val="auto"/>
        </w:rPr>
        <w:t xml:space="preserve">oltre </w:t>
      </w:r>
      <w:r w:rsidR="00150022" w:rsidRPr="00150022">
        <w:rPr>
          <w:color w:val="auto"/>
        </w:rPr>
        <w:t>1</w:t>
      </w:r>
      <w:r w:rsidR="00BA37C0">
        <w:rPr>
          <w:color w:val="auto"/>
        </w:rPr>
        <w:t>5</w:t>
      </w:r>
      <w:r w:rsidR="00C46FF1">
        <w:rPr>
          <w:color w:val="auto"/>
        </w:rPr>
        <w:t xml:space="preserve">,8 milioni di </w:t>
      </w:r>
      <w:r w:rsidR="00BA37C0">
        <w:rPr>
          <w:color w:val="auto"/>
        </w:rPr>
        <w:t xml:space="preserve">terze dosi, </w:t>
      </w:r>
      <w:r w:rsidR="0044576F">
        <w:rPr>
          <w:color w:val="auto"/>
        </w:rPr>
        <w:t>avrebbero diritto alla terza dose entro fine anno</w:t>
      </w:r>
      <w:r w:rsidR="005913E3">
        <w:rPr>
          <w:color w:val="auto"/>
        </w:rPr>
        <w:t xml:space="preserve"> oltre 17 milioni di persone</w:t>
      </w:r>
      <w:r w:rsidR="0044576F">
        <w:rPr>
          <w:color w:val="auto"/>
        </w:rPr>
        <w:t>: un numero irraggiungibile con i target attual</w:t>
      </w:r>
      <w:r w:rsidR="0095311B">
        <w:rPr>
          <w:color w:val="auto"/>
        </w:rPr>
        <w:t>i</w:t>
      </w:r>
      <w:r w:rsidR="0044576F">
        <w:rPr>
          <w:color w:val="auto"/>
        </w:rPr>
        <w:t>.</w:t>
      </w:r>
    </w:p>
    <w:p w:rsidR="00490CAB" w:rsidRPr="00A24D7C" w:rsidRDefault="00B672EA" w:rsidP="00B14D76">
      <w:pPr>
        <w:spacing w:line="276" w:lineRule="auto"/>
        <w:jc w:val="both"/>
        <w:rPr>
          <w:color w:val="auto"/>
        </w:rPr>
      </w:pPr>
      <w:r w:rsidRPr="00162BE4">
        <w:rPr>
          <w:b/>
          <w:color w:val="auto"/>
        </w:rPr>
        <w:t xml:space="preserve">Vaccini: </w:t>
      </w:r>
      <w:r w:rsidR="003E293F" w:rsidRPr="00162BE4">
        <w:rPr>
          <w:b/>
          <w:color w:val="auto"/>
        </w:rPr>
        <w:t>nuovi vaccinati</w:t>
      </w:r>
      <w:r w:rsidRPr="00162BE4">
        <w:rPr>
          <w:b/>
          <w:color w:val="auto"/>
        </w:rPr>
        <w:t>.</w:t>
      </w:r>
      <w:r w:rsidR="001E7D82">
        <w:rPr>
          <w:b/>
          <w:color w:val="auto"/>
        </w:rPr>
        <w:t xml:space="preserve"> </w:t>
      </w:r>
      <w:r w:rsidR="00554F5B" w:rsidRPr="00162BE4">
        <w:rPr>
          <w:color w:val="auto"/>
        </w:rPr>
        <w:t>N</w:t>
      </w:r>
      <w:r w:rsidR="00F75D8A" w:rsidRPr="00162BE4">
        <w:rPr>
          <w:color w:val="auto"/>
        </w:rPr>
        <w:t>el</w:t>
      </w:r>
      <w:r w:rsidR="00554F5B" w:rsidRPr="00162BE4">
        <w:rPr>
          <w:color w:val="auto"/>
        </w:rPr>
        <w:t>la</w:t>
      </w:r>
      <w:r w:rsidR="001E7D82">
        <w:rPr>
          <w:color w:val="auto"/>
        </w:rPr>
        <w:t xml:space="preserve"> </w:t>
      </w:r>
      <w:r w:rsidR="00554F5B" w:rsidRPr="00162BE4">
        <w:rPr>
          <w:color w:val="auto"/>
        </w:rPr>
        <w:t xml:space="preserve">settimana </w:t>
      </w:r>
      <w:r w:rsidR="00150022" w:rsidRPr="00162BE4">
        <w:rPr>
          <w:color w:val="auto"/>
        </w:rPr>
        <w:t>13</w:t>
      </w:r>
      <w:r w:rsidR="00F75D8A" w:rsidRPr="00162BE4">
        <w:rPr>
          <w:color w:val="auto"/>
        </w:rPr>
        <w:t>-</w:t>
      </w:r>
      <w:r w:rsidR="00150022" w:rsidRPr="00162BE4">
        <w:rPr>
          <w:color w:val="auto"/>
        </w:rPr>
        <w:t>19</w:t>
      </w:r>
      <w:r w:rsidR="00F75D8A" w:rsidRPr="00162BE4">
        <w:rPr>
          <w:color w:val="auto"/>
        </w:rPr>
        <w:t xml:space="preserve"> dicembre </w:t>
      </w:r>
      <w:r w:rsidR="00554F5B" w:rsidRPr="00162BE4">
        <w:rPr>
          <w:color w:val="auto"/>
        </w:rPr>
        <w:t xml:space="preserve">il numero dei nuovi vaccinati </w:t>
      </w:r>
      <w:r w:rsidR="00205B01" w:rsidRPr="00162BE4">
        <w:rPr>
          <w:color w:val="auto"/>
        </w:rPr>
        <w:t xml:space="preserve">è salito a </w:t>
      </w:r>
      <w:r w:rsidR="00150022" w:rsidRPr="00162BE4">
        <w:rPr>
          <w:color w:val="auto"/>
        </w:rPr>
        <w:t>274.143</w:t>
      </w:r>
      <w:r w:rsidR="001E7D82">
        <w:rPr>
          <w:color w:val="auto"/>
        </w:rPr>
        <w:t xml:space="preserve"> </w:t>
      </w:r>
      <w:r w:rsidR="00205B01" w:rsidRPr="00162BE4">
        <w:rPr>
          <w:color w:val="auto"/>
        </w:rPr>
        <w:t>(+</w:t>
      </w:r>
      <w:r w:rsidR="00150022" w:rsidRPr="00162BE4">
        <w:rPr>
          <w:color w:val="auto"/>
        </w:rPr>
        <w:t>13</w:t>
      </w:r>
      <w:r w:rsidR="00205B01" w:rsidRPr="00162BE4">
        <w:rPr>
          <w:color w:val="auto"/>
        </w:rPr>
        <w:t>,</w:t>
      </w:r>
      <w:r w:rsidR="00AE61EF" w:rsidRPr="00162BE4">
        <w:rPr>
          <w:color w:val="auto"/>
        </w:rPr>
        <w:t>8</w:t>
      </w:r>
      <w:r w:rsidR="00205B01" w:rsidRPr="00162BE4">
        <w:rPr>
          <w:color w:val="auto"/>
        </w:rPr>
        <w:t xml:space="preserve">%) </w:t>
      </w:r>
      <w:r w:rsidR="00CB3BD4" w:rsidRPr="00162BE4">
        <w:rPr>
          <w:color w:val="auto"/>
        </w:rPr>
        <w:t xml:space="preserve">rispetto ai </w:t>
      </w:r>
      <w:r w:rsidR="00150022" w:rsidRPr="00162BE4">
        <w:rPr>
          <w:color w:val="auto"/>
        </w:rPr>
        <w:t>240.918</w:t>
      </w:r>
      <w:r w:rsidR="001E7D82">
        <w:rPr>
          <w:color w:val="auto"/>
        </w:rPr>
        <w:t xml:space="preserve"> </w:t>
      </w:r>
      <w:r w:rsidR="00CB3BD4" w:rsidRPr="00162BE4">
        <w:rPr>
          <w:color w:val="auto"/>
        </w:rPr>
        <w:t>della settimana precedente</w:t>
      </w:r>
      <w:r w:rsidR="001E7D82">
        <w:rPr>
          <w:color w:val="auto"/>
        </w:rPr>
        <w:t xml:space="preserve"> </w:t>
      </w:r>
      <w:r w:rsidRPr="00162BE4">
        <w:rPr>
          <w:color w:val="auto"/>
        </w:rPr>
        <w:t>(</w:t>
      </w:r>
      <w:r w:rsidRPr="00162BE4">
        <w:rPr>
          <w:color w:val="auto"/>
          <w:highlight w:val="yellow"/>
        </w:rPr>
        <w:t xml:space="preserve">figura </w:t>
      </w:r>
      <w:r w:rsidR="00D718F5">
        <w:rPr>
          <w:color w:val="auto"/>
          <w:highlight w:val="yellow"/>
        </w:rPr>
        <w:t>1</w:t>
      </w:r>
      <w:r w:rsidR="00EC0339" w:rsidRPr="00162BE4">
        <w:rPr>
          <w:color w:val="auto"/>
          <w:highlight w:val="yellow"/>
        </w:rPr>
        <w:t>1</w:t>
      </w:r>
      <w:r w:rsidR="00446B62" w:rsidRPr="00162BE4">
        <w:rPr>
          <w:color w:val="auto"/>
        </w:rPr>
        <w:t>)</w:t>
      </w:r>
      <w:r w:rsidR="00E129D4">
        <w:rPr>
          <w:color w:val="auto"/>
        </w:rPr>
        <w:t xml:space="preserve">: tuttavia a fronte di </w:t>
      </w:r>
      <w:r w:rsidR="00490CAB">
        <w:rPr>
          <w:color w:val="auto"/>
        </w:rPr>
        <w:t>76</w:t>
      </w:r>
      <w:r w:rsidR="00E129D4">
        <w:rPr>
          <w:color w:val="auto"/>
        </w:rPr>
        <w:t>.</w:t>
      </w:r>
      <w:r w:rsidR="00490CAB">
        <w:rPr>
          <w:color w:val="auto"/>
        </w:rPr>
        <w:t>822</w:t>
      </w:r>
      <w:r w:rsidR="00E129D4">
        <w:rPr>
          <w:color w:val="auto"/>
        </w:rPr>
        <w:t xml:space="preserve"> nuovi vaccinati della fascia 5-11 </w:t>
      </w:r>
      <w:r w:rsidR="00490CAB">
        <w:rPr>
          <w:color w:val="auto"/>
        </w:rPr>
        <w:t>scende</w:t>
      </w:r>
      <w:r w:rsidR="00E129D4">
        <w:rPr>
          <w:color w:val="auto"/>
        </w:rPr>
        <w:t xml:space="preserve"> il numero degli over 12 (-</w:t>
      </w:r>
      <w:r w:rsidR="00490CAB">
        <w:rPr>
          <w:color w:val="auto"/>
        </w:rPr>
        <w:t>18,1</w:t>
      </w:r>
      <w:r w:rsidR="00E129D4">
        <w:rPr>
          <w:color w:val="auto"/>
        </w:rPr>
        <w:t>% rispetto alla settimana precedente)</w:t>
      </w:r>
      <w:r w:rsidRPr="00162BE4">
        <w:rPr>
          <w:color w:val="auto"/>
        </w:rPr>
        <w:t xml:space="preserve">. </w:t>
      </w:r>
      <w:r w:rsidR="00162BE4" w:rsidRPr="00162BE4">
        <w:rPr>
          <w:color w:val="auto"/>
        </w:rPr>
        <w:t>Dei 9</w:t>
      </w:r>
      <w:r w:rsidR="00205B01" w:rsidRPr="00162BE4">
        <w:rPr>
          <w:color w:val="auto"/>
        </w:rPr>
        <w:t>,</w:t>
      </w:r>
      <w:r w:rsidR="00162BE4" w:rsidRPr="00162BE4">
        <w:rPr>
          <w:color w:val="auto"/>
        </w:rPr>
        <w:t>67</w:t>
      </w:r>
      <w:r w:rsidR="001E7D82">
        <w:rPr>
          <w:color w:val="auto"/>
        </w:rPr>
        <w:t xml:space="preserve"> </w:t>
      </w:r>
      <w:r w:rsidR="006A5D49" w:rsidRPr="00162BE4">
        <w:rPr>
          <w:color w:val="auto"/>
        </w:rPr>
        <w:t xml:space="preserve">milioni </w:t>
      </w:r>
      <w:r w:rsidR="00162BE4" w:rsidRPr="00162BE4">
        <w:rPr>
          <w:color w:val="auto"/>
        </w:rPr>
        <w:t xml:space="preserve">di </w:t>
      </w:r>
      <w:r w:rsidRPr="00162BE4">
        <w:rPr>
          <w:color w:val="auto"/>
        </w:rPr>
        <w:t>persone</w:t>
      </w:r>
      <w:r w:rsidR="001E7D82">
        <w:rPr>
          <w:color w:val="auto"/>
        </w:rPr>
        <w:t xml:space="preserve"> </w:t>
      </w:r>
      <w:r w:rsidR="00451468" w:rsidRPr="00162BE4">
        <w:rPr>
          <w:color w:val="auto"/>
        </w:rPr>
        <w:t>senza nemmeno una dose</w:t>
      </w:r>
      <w:r w:rsidR="00162BE4" w:rsidRPr="00162BE4">
        <w:rPr>
          <w:color w:val="auto"/>
        </w:rPr>
        <w:t xml:space="preserve"> al 21 dicembre</w:t>
      </w:r>
      <w:r w:rsidR="00451468" w:rsidRPr="00162BE4">
        <w:rPr>
          <w:color w:val="auto"/>
        </w:rPr>
        <w:t xml:space="preserve">, </w:t>
      </w:r>
      <w:r w:rsidR="00162BE4" w:rsidRPr="00162BE4">
        <w:rPr>
          <w:color w:val="auto"/>
        </w:rPr>
        <w:t>spicca</w:t>
      </w:r>
      <w:r w:rsidR="00E129D4">
        <w:rPr>
          <w:color w:val="auto"/>
        </w:rPr>
        <w:t>no i 3,55 milioni del</w:t>
      </w:r>
      <w:r w:rsidR="00162BE4" w:rsidRPr="00162BE4">
        <w:rPr>
          <w:color w:val="auto"/>
        </w:rPr>
        <w:t xml:space="preserve">la fascia 5-11 anni nella quale sono da poco iniziate le </w:t>
      </w:r>
      <w:r w:rsidR="00162BE4" w:rsidRPr="00A24D7C">
        <w:rPr>
          <w:color w:val="auto"/>
        </w:rPr>
        <w:t>somministrazioni e continuano a preoccupare i</w:t>
      </w:r>
      <w:r w:rsidR="004B6B3C" w:rsidRPr="00A24D7C">
        <w:rPr>
          <w:color w:val="auto"/>
        </w:rPr>
        <w:t xml:space="preserve"> 2,</w:t>
      </w:r>
      <w:r w:rsidR="00162BE4" w:rsidRPr="00A24D7C">
        <w:rPr>
          <w:color w:val="auto"/>
        </w:rPr>
        <w:t>37</w:t>
      </w:r>
      <w:r w:rsidR="00BE5078" w:rsidRPr="00A24D7C">
        <w:rPr>
          <w:color w:val="auto"/>
        </w:rPr>
        <w:t xml:space="preserve"> milioni di over</w:t>
      </w:r>
      <w:r w:rsidR="001E7D82">
        <w:rPr>
          <w:color w:val="auto"/>
        </w:rPr>
        <w:t xml:space="preserve"> </w:t>
      </w:r>
      <w:r w:rsidR="004B6B3C" w:rsidRPr="00A24D7C">
        <w:rPr>
          <w:color w:val="auto"/>
        </w:rPr>
        <w:t>50 ad elevato rischio di malattia grave e ospedalizzazione</w:t>
      </w:r>
      <w:r w:rsidRPr="00A24D7C">
        <w:rPr>
          <w:color w:val="auto"/>
        </w:rPr>
        <w:t>(</w:t>
      </w:r>
      <w:r w:rsidRPr="00A24D7C">
        <w:rPr>
          <w:color w:val="auto"/>
          <w:highlight w:val="yellow"/>
        </w:rPr>
        <w:t>figura</w:t>
      </w:r>
      <w:r w:rsidR="006533D4" w:rsidRPr="00A24D7C">
        <w:rPr>
          <w:color w:val="auto"/>
          <w:highlight w:val="yellow"/>
        </w:rPr>
        <w:t xml:space="preserve"> 1</w:t>
      </w:r>
      <w:r w:rsidR="00D718F5">
        <w:rPr>
          <w:color w:val="auto"/>
          <w:highlight w:val="yellow"/>
        </w:rPr>
        <w:t>2</w:t>
      </w:r>
      <w:r w:rsidRPr="00A24D7C">
        <w:rPr>
          <w:color w:val="auto"/>
        </w:rPr>
        <w:t>)</w:t>
      </w:r>
      <w:r w:rsidR="007459B0" w:rsidRPr="00A24D7C">
        <w:rPr>
          <w:color w:val="auto"/>
        </w:rPr>
        <w:t>.</w:t>
      </w:r>
    </w:p>
    <w:p w:rsidR="00144669" w:rsidRPr="00A24D7C" w:rsidRDefault="00DD1090" w:rsidP="004F2E6B">
      <w:pPr>
        <w:spacing w:line="276" w:lineRule="auto"/>
        <w:jc w:val="both"/>
        <w:rPr>
          <w:rFonts w:cs="Calibri"/>
          <w:color w:val="auto"/>
        </w:rPr>
      </w:pPr>
      <w:r w:rsidRPr="00A24D7C">
        <w:rPr>
          <w:b/>
          <w:color w:val="auto"/>
          <w:u w:color="FF0000"/>
        </w:rPr>
        <w:t>Vaccini: copertur</w:t>
      </w:r>
      <w:r w:rsidR="004A3B4B" w:rsidRPr="00A24D7C">
        <w:rPr>
          <w:b/>
          <w:color w:val="auto"/>
          <w:u w:color="FF0000"/>
        </w:rPr>
        <w:t>e</w:t>
      </w:r>
      <w:r w:rsidRPr="00A24D7C">
        <w:rPr>
          <w:b/>
          <w:color w:val="auto"/>
          <w:u w:color="FF0000"/>
        </w:rPr>
        <w:t>.</w:t>
      </w:r>
      <w:r w:rsidR="001E7D82">
        <w:rPr>
          <w:b/>
          <w:color w:val="auto"/>
          <w:u w:color="FF0000"/>
        </w:rPr>
        <w:t xml:space="preserve"> </w:t>
      </w:r>
      <w:r w:rsidR="00F2127F" w:rsidRPr="00A24D7C">
        <w:rPr>
          <w:color w:val="auto"/>
        </w:rPr>
        <w:t>L</w:t>
      </w:r>
      <w:r w:rsidR="00071568" w:rsidRPr="00A24D7C">
        <w:rPr>
          <w:color w:val="auto"/>
        </w:rPr>
        <w:t xml:space="preserve">e coperture con almeno una dose di vaccino sono molto variabili nelle diverse fasce d’età </w:t>
      </w:r>
      <w:r w:rsidR="000A1093" w:rsidRPr="00A24D7C">
        <w:rPr>
          <w:color w:val="auto"/>
        </w:rPr>
        <w:t>(</w:t>
      </w:r>
      <w:r w:rsidR="00D34302" w:rsidRPr="00A24D7C">
        <w:rPr>
          <w:color w:val="auto"/>
        </w:rPr>
        <w:t xml:space="preserve">dal </w:t>
      </w:r>
      <w:r w:rsidR="00D0379C" w:rsidRPr="00A24D7C">
        <w:rPr>
          <w:color w:val="auto"/>
        </w:rPr>
        <w:t>9</w:t>
      </w:r>
      <w:r w:rsidR="00E83634" w:rsidRPr="00A24D7C">
        <w:rPr>
          <w:color w:val="auto"/>
        </w:rPr>
        <w:t>7</w:t>
      </w:r>
      <w:r w:rsidR="00D0379C" w:rsidRPr="00A24D7C">
        <w:rPr>
          <w:color w:val="auto"/>
        </w:rPr>
        <w:t>,</w:t>
      </w:r>
      <w:r w:rsidR="00A24D7C" w:rsidRPr="00A24D7C">
        <w:rPr>
          <w:color w:val="auto"/>
        </w:rPr>
        <w:t>7</w:t>
      </w:r>
      <w:r w:rsidR="004A3B4B" w:rsidRPr="00A24D7C">
        <w:rPr>
          <w:color w:val="auto"/>
        </w:rPr>
        <w:t xml:space="preserve">% degli over 80 al </w:t>
      </w:r>
      <w:r w:rsidR="00A24D7C" w:rsidRPr="00A24D7C">
        <w:rPr>
          <w:color w:val="auto"/>
        </w:rPr>
        <w:t>2</w:t>
      </w:r>
      <w:r w:rsidR="00446B62" w:rsidRPr="00A24D7C">
        <w:rPr>
          <w:color w:val="auto"/>
        </w:rPr>
        <w:t>,</w:t>
      </w:r>
      <w:r w:rsidR="00A24D7C" w:rsidRPr="00A24D7C">
        <w:rPr>
          <w:color w:val="auto"/>
        </w:rPr>
        <w:t>9</w:t>
      </w:r>
      <w:r w:rsidR="004A3B4B" w:rsidRPr="00A24D7C">
        <w:rPr>
          <w:color w:val="auto"/>
        </w:rPr>
        <w:t xml:space="preserve">% della fascia </w:t>
      </w:r>
      <w:r w:rsidR="00A24D7C" w:rsidRPr="00A24D7C">
        <w:rPr>
          <w:color w:val="auto"/>
        </w:rPr>
        <w:t>5</w:t>
      </w:r>
      <w:r w:rsidR="004A3B4B" w:rsidRPr="00A24D7C">
        <w:rPr>
          <w:color w:val="auto"/>
        </w:rPr>
        <w:t>-</w:t>
      </w:r>
      <w:r w:rsidR="00A24D7C" w:rsidRPr="00A24D7C">
        <w:rPr>
          <w:color w:val="auto"/>
        </w:rPr>
        <w:t>11</w:t>
      </w:r>
      <w:r w:rsidR="000A1093" w:rsidRPr="00A24D7C">
        <w:rPr>
          <w:color w:val="auto"/>
        </w:rPr>
        <w:t>)</w:t>
      </w:r>
      <w:r w:rsidR="00144669" w:rsidRPr="00A24D7C">
        <w:rPr>
          <w:color w:val="auto"/>
        </w:rPr>
        <w:t xml:space="preserve">, così come </w:t>
      </w:r>
      <w:r w:rsidR="000B6238" w:rsidRPr="00A24D7C">
        <w:rPr>
          <w:color w:val="auto"/>
        </w:rPr>
        <w:t>sul fronte de</w:t>
      </w:r>
      <w:r w:rsidR="00451468" w:rsidRPr="00A24D7C">
        <w:rPr>
          <w:color w:val="auto"/>
        </w:rPr>
        <w:t>i richiami</w:t>
      </w:r>
      <w:r w:rsidR="000B6238" w:rsidRPr="00A24D7C">
        <w:rPr>
          <w:color w:val="auto"/>
        </w:rPr>
        <w:t>,</w:t>
      </w:r>
      <w:r w:rsidR="00F15C76" w:rsidRPr="00A24D7C">
        <w:rPr>
          <w:color w:val="auto"/>
        </w:rPr>
        <w:t xml:space="preserve"> che </w:t>
      </w:r>
      <w:r w:rsidR="00F15C76" w:rsidRPr="00A24D7C">
        <w:rPr>
          <w:rFonts w:cs="Calibri"/>
          <w:color w:val="auto"/>
        </w:rPr>
        <w:t>negli over 80</w:t>
      </w:r>
      <w:r w:rsidR="007459B0" w:rsidRPr="00A24D7C">
        <w:rPr>
          <w:rFonts w:cs="Calibri"/>
          <w:color w:val="auto"/>
        </w:rPr>
        <w:t xml:space="preserve"> hanno raggiunto il </w:t>
      </w:r>
      <w:r w:rsidR="00AE61EF" w:rsidRPr="00A24D7C">
        <w:rPr>
          <w:rFonts w:cs="Calibri"/>
          <w:color w:val="auto"/>
        </w:rPr>
        <w:t>6</w:t>
      </w:r>
      <w:r w:rsidR="00A24D7C" w:rsidRPr="00A24D7C">
        <w:rPr>
          <w:rFonts w:cs="Calibri"/>
          <w:color w:val="auto"/>
        </w:rPr>
        <w:t>9</w:t>
      </w:r>
      <w:r w:rsidR="007459B0" w:rsidRPr="00A24D7C">
        <w:rPr>
          <w:rFonts w:cs="Calibri"/>
          <w:color w:val="auto"/>
        </w:rPr>
        <w:t>,</w:t>
      </w:r>
      <w:r w:rsidR="00A24D7C" w:rsidRPr="00A24D7C">
        <w:rPr>
          <w:rFonts w:cs="Calibri"/>
          <w:color w:val="auto"/>
        </w:rPr>
        <w:t>8</w:t>
      </w:r>
      <w:r w:rsidR="007459B0" w:rsidRPr="00A24D7C">
        <w:rPr>
          <w:rFonts w:cs="Calibri"/>
          <w:color w:val="auto"/>
        </w:rPr>
        <w:t>%</w:t>
      </w:r>
      <w:r w:rsidR="00F15C76" w:rsidRPr="00A24D7C">
        <w:rPr>
          <w:rFonts w:cs="Calibri"/>
          <w:color w:val="auto"/>
        </w:rPr>
        <w:t xml:space="preserve">, </w:t>
      </w:r>
      <w:r w:rsidR="007459B0" w:rsidRPr="00A24D7C">
        <w:rPr>
          <w:rFonts w:cs="Calibri"/>
          <w:color w:val="auto"/>
        </w:rPr>
        <w:t xml:space="preserve">nella fascia 70-79 </w:t>
      </w:r>
      <w:r w:rsidR="001C3537" w:rsidRPr="00A24D7C">
        <w:rPr>
          <w:rFonts w:cs="Calibri"/>
          <w:color w:val="auto"/>
        </w:rPr>
        <w:t xml:space="preserve">il </w:t>
      </w:r>
      <w:r w:rsidR="00A24D7C" w:rsidRPr="00A24D7C">
        <w:rPr>
          <w:rFonts w:cs="Calibri"/>
          <w:color w:val="auto"/>
        </w:rPr>
        <w:t>51</w:t>
      </w:r>
      <w:r w:rsidR="001C3537" w:rsidRPr="00A24D7C">
        <w:rPr>
          <w:rFonts w:cs="Calibri"/>
          <w:color w:val="auto"/>
        </w:rPr>
        <w:t>,</w:t>
      </w:r>
      <w:r w:rsidR="00A24D7C" w:rsidRPr="00A24D7C">
        <w:rPr>
          <w:rFonts w:cs="Calibri"/>
          <w:color w:val="auto"/>
        </w:rPr>
        <w:t>6</w:t>
      </w:r>
      <w:r w:rsidR="001C3537" w:rsidRPr="00A24D7C">
        <w:rPr>
          <w:rFonts w:cs="Calibri"/>
          <w:color w:val="auto"/>
        </w:rPr>
        <w:t xml:space="preserve">% </w:t>
      </w:r>
      <w:r w:rsidR="007459B0" w:rsidRPr="00A24D7C">
        <w:rPr>
          <w:rFonts w:cs="Calibri"/>
          <w:color w:val="auto"/>
        </w:rPr>
        <w:t>e in quella 60-69 anni</w:t>
      </w:r>
      <w:r w:rsidR="001C3537" w:rsidRPr="00A24D7C">
        <w:rPr>
          <w:rFonts w:cs="Calibri"/>
          <w:color w:val="auto"/>
        </w:rPr>
        <w:t xml:space="preserve">il </w:t>
      </w:r>
      <w:r w:rsidR="00A24D7C" w:rsidRPr="00A24D7C">
        <w:rPr>
          <w:rFonts w:cs="Calibri"/>
          <w:color w:val="auto"/>
        </w:rPr>
        <w:t>4</w:t>
      </w:r>
      <w:r w:rsidR="00AE61EF" w:rsidRPr="00A24D7C">
        <w:rPr>
          <w:rFonts w:cs="Calibri"/>
          <w:color w:val="auto"/>
        </w:rPr>
        <w:t>2</w:t>
      </w:r>
      <w:r w:rsidR="001C3537" w:rsidRPr="00A24D7C">
        <w:rPr>
          <w:rFonts w:cs="Calibri"/>
          <w:color w:val="auto"/>
        </w:rPr>
        <w:t>,</w:t>
      </w:r>
      <w:r w:rsidR="00A24D7C" w:rsidRPr="00A24D7C">
        <w:rPr>
          <w:rFonts w:cs="Calibri"/>
          <w:color w:val="auto"/>
        </w:rPr>
        <w:t>2</w:t>
      </w:r>
      <w:r w:rsidR="001C3537" w:rsidRPr="00A24D7C">
        <w:rPr>
          <w:rFonts w:cs="Calibri"/>
          <w:color w:val="auto"/>
        </w:rPr>
        <w:t xml:space="preserve">% </w:t>
      </w:r>
      <w:r w:rsidR="00333BB6" w:rsidRPr="00A24D7C">
        <w:rPr>
          <w:rFonts w:cs="Calibri"/>
          <w:color w:val="auto"/>
        </w:rPr>
        <w:t>(</w:t>
      </w:r>
      <w:r w:rsidR="00333BB6" w:rsidRPr="00A24D7C">
        <w:rPr>
          <w:rFonts w:cs="Calibri"/>
          <w:color w:val="auto"/>
          <w:highlight w:val="yellow"/>
        </w:rPr>
        <w:t>figura 1</w:t>
      </w:r>
      <w:r w:rsidR="00D718F5">
        <w:rPr>
          <w:rFonts w:cs="Calibri"/>
          <w:color w:val="auto"/>
          <w:highlight w:val="yellow"/>
        </w:rPr>
        <w:t>3</w:t>
      </w:r>
      <w:r w:rsidR="00333BB6" w:rsidRPr="00A24D7C">
        <w:rPr>
          <w:rFonts w:cs="Calibri"/>
          <w:color w:val="auto"/>
        </w:rPr>
        <w:t>)</w:t>
      </w:r>
      <w:r w:rsidR="00071568" w:rsidRPr="00A24D7C">
        <w:rPr>
          <w:rFonts w:cs="Calibri"/>
          <w:color w:val="auto"/>
        </w:rPr>
        <w:t>.</w:t>
      </w:r>
    </w:p>
    <w:p w:rsidR="004F2E6B" w:rsidRPr="004F2E6B" w:rsidRDefault="004F2E6B" w:rsidP="004F2E6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sz w:val="21"/>
          <w:szCs w:val="21"/>
          <w:bdr w:val="none" w:sz="0" w:space="0" w:color="auto"/>
        </w:rPr>
      </w:pPr>
      <w:r w:rsidRPr="004F2E6B">
        <w:rPr>
          <w:rFonts w:cs="Calibri"/>
          <w:b/>
          <w:bCs/>
          <w:color w:val="auto"/>
        </w:rPr>
        <w:t>Vaccini: efficacia.</w:t>
      </w:r>
      <w:r w:rsidR="001E7D82">
        <w:rPr>
          <w:rFonts w:cs="Calibri"/>
          <w:b/>
          <w:bCs/>
          <w:color w:val="auto"/>
        </w:rPr>
        <w:t xml:space="preserve"> </w:t>
      </w:r>
      <w:r w:rsidRPr="004F2E6B">
        <w:rPr>
          <w:rFonts w:eastAsia="Times New Roman" w:cs="Calibri"/>
          <w:color w:val="auto"/>
          <w:bdr w:val="none" w:sz="0" w:space="0" w:color="auto"/>
        </w:rPr>
        <w:t>La necessità della dose </w:t>
      </w:r>
      <w:r w:rsidRPr="004F2E6B">
        <w:rPr>
          <w:rFonts w:eastAsia="Times New Roman" w:cs="Calibri"/>
          <w:i/>
          <w:iCs/>
          <w:color w:val="auto"/>
          <w:bdr w:val="none" w:sz="0" w:space="0" w:color="auto"/>
        </w:rPr>
        <w:t>booster</w:t>
      </w:r>
      <w:r w:rsidRPr="004F2E6B">
        <w:rPr>
          <w:rFonts w:eastAsia="Times New Roman" w:cs="Calibri"/>
          <w:color w:val="auto"/>
          <w:bdr w:val="none" w:sz="0" w:space="0" w:color="auto"/>
        </w:rPr>
        <w:t xml:space="preserve"> è ben documentata dai </w:t>
      </w:r>
      <w:hyperlink r:id="rId11" w:tgtFrame="_blank" w:tooltip="https://www.epicentro.iss.it/coronavirus/bollettino/bollettino-sorveglianza-integrata-covid-19_1-dicembre-2021.pdf" w:history="1">
        <w:r w:rsidRPr="004F2E6B">
          <w:rPr>
            <w:rStyle w:val="Collegamentoipertestuale"/>
            <w:rFonts w:cs="Calibri"/>
            <w:color w:val="auto"/>
          </w:rPr>
          <w:t>dati dell’Istituto Superiore di Sanità</w:t>
        </w:r>
      </w:hyperlink>
      <w:r w:rsidRPr="004F2E6B">
        <w:rPr>
          <w:rFonts w:eastAsia="Times New Roman" w:cs="Calibri"/>
          <w:color w:val="auto"/>
          <w:bdr w:val="none" w:sz="0" w:space="0" w:color="auto"/>
        </w:rPr>
        <w:t> che dimostrano la riduzione dell’efficacia vaccinale dopo 150 giorni dal completamento del ciclo primario. In particolare:</w:t>
      </w:r>
    </w:p>
    <w:p w:rsidR="004F2E6B" w:rsidRPr="004F2E6B" w:rsidRDefault="004F2E6B" w:rsidP="004F2E6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ind w:left="357" w:hanging="357"/>
        <w:jc w:val="both"/>
        <w:rPr>
          <w:rFonts w:eastAsia="Times New Roman" w:cs="Calibri"/>
          <w:color w:val="auto"/>
          <w:sz w:val="21"/>
          <w:szCs w:val="21"/>
          <w:bdr w:val="none" w:sz="0" w:space="0" w:color="auto"/>
        </w:rPr>
      </w:pPr>
      <w:r w:rsidRPr="004F2E6B">
        <w:rPr>
          <w:rFonts w:eastAsia="Times New Roman" w:cs="Calibri"/>
          <w:color w:val="auto"/>
          <w:bdr w:val="none" w:sz="0" w:space="0" w:color="auto"/>
        </w:rPr>
        <w:t>l’efficacia sulla diagnosi scende in media dal 73,4% per i vaccinati entro 150 giorni al 35,8% per i vaccinati da più di 150 giorni, per poi risalire al 75,5% dopo il richiamo;</w:t>
      </w:r>
    </w:p>
    <w:p w:rsidR="004F2E6B" w:rsidRPr="004F2E6B" w:rsidRDefault="004F2E6B" w:rsidP="004F2E6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rFonts w:eastAsia="Times New Roman" w:cs="Calibri"/>
          <w:color w:val="auto"/>
          <w:sz w:val="21"/>
          <w:szCs w:val="21"/>
          <w:bdr w:val="none" w:sz="0" w:space="0" w:color="auto"/>
        </w:rPr>
      </w:pPr>
      <w:r w:rsidRPr="004F2E6B">
        <w:rPr>
          <w:rFonts w:eastAsia="Times New Roman" w:cs="Calibri"/>
          <w:color w:val="auto"/>
          <w:bdr w:val="none" w:sz="0" w:space="0" w:color="auto"/>
        </w:rPr>
        <w:t>l’efficacia sulla malattia severa scende in media dal 92,7% per i vaccinati entro 150 giorni all’82,6% per i vaccinati da più di 150 giorni, per poi risalire al 93,4% dopo il richiamo.</w:t>
      </w:r>
    </w:p>
    <w:p w:rsidR="00775180" w:rsidRPr="004F2E6B" w:rsidRDefault="00775180" w:rsidP="001F67CE">
      <w:pPr>
        <w:spacing w:line="276" w:lineRule="auto"/>
        <w:jc w:val="both"/>
        <w:rPr>
          <w:rFonts w:eastAsia="Times New Roman" w:cs="Calibri"/>
          <w:color w:val="auto"/>
          <w:bdr w:val="none" w:sz="0" w:space="0" w:color="auto"/>
        </w:rPr>
      </w:pPr>
      <w:r w:rsidRPr="004F2E6B">
        <w:rPr>
          <w:rFonts w:cs="Calibri"/>
          <w:color w:val="auto"/>
        </w:rPr>
        <w:t>Complessivamente nelle persone vaccinate con ciclo completo (più eventuale dose di richiamo), rispetto a</w:t>
      </w:r>
      <w:r w:rsidRPr="004F2E6B">
        <w:rPr>
          <w:color w:val="auto"/>
        </w:rPr>
        <w:t xml:space="preserve"> quelle non vaccinate, nelle varie fasce d’età si riduce l’incidenza di diagnosi (del 6</w:t>
      </w:r>
      <w:r w:rsidR="004F2E6B" w:rsidRPr="004F2E6B">
        <w:rPr>
          <w:color w:val="auto"/>
        </w:rPr>
        <w:t>2</w:t>
      </w:r>
      <w:r w:rsidRPr="004F2E6B">
        <w:rPr>
          <w:color w:val="auto"/>
        </w:rPr>
        <w:t>,</w:t>
      </w:r>
      <w:r w:rsidR="004F2E6B" w:rsidRPr="004F2E6B">
        <w:rPr>
          <w:color w:val="auto"/>
        </w:rPr>
        <w:t>7</w:t>
      </w:r>
      <w:r w:rsidRPr="004F2E6B">
        <w:rPr>
          <w:color w:val="auto"/>
        </w:rPr>
        <w:t>-7</w:t>
      </w:r>
      <w:r w:rsidR="004F2E6B" w:rsidRPr="004F2E6B">
        <w:rPr>
          <w:color w:val="auto"/>
        </w:rPr>
        <w:t>8</w:t>
      </w:r>
      <w:r w:rsidRPr="004F2E6B">
        <w:rPr>
          <w:color w:val="auto"/>
        </w:rPr>
        <w:t>,</w:t>
      </w:r>
      <w:r w:rsidR="004F2E6B" w:rsidRPr="004F2E6B">
        <w:rPr>
          <w:color w:val="auto"/>
        </w:rPr>
        <w:t>9</w:t>
      </w:r>
      <w:r w:rsidRPr="004F2E6B">
        <w:rPr>
          <w:color w:val="auto"/>
        </w:rPr>
        <w:t>%) e soprattu</w:t>
      </w:r>
      <w:r w:rsidR="004F2E6B" w:rsidRPr="004F2E6B">
        <w:rPr>
          <w:color w:val="auto"/>
        </w:rPr>
        <w:t>tto di malattia grave (dell’83</w:t>
      </w:r>
      <w:r w:rsidRPr="004F2E6B">
        <w:rPr>
          <w:color w:val="auto"/>
        </w:rPr>
        <w:t>-93,</w:t>
      </w:r>
      <w:r w:rsidR="00EC0339" w:rsidRPr="004F2E6B">
        <w:rPr>
          <w:color w:val="auto"/>
        </w:rPr>
        <w:t>3</w:t>
      </w:r>
      <w:r w:rsidRPr="004F2E6B">
        <w:rPr>
          <w:color w:val="auto"/>
        </w:rPr>
        <w:t>% per ricoveri ordinari; del</w:t>
      </w:r>
      <w:r w:rsidR="004F2E6B" w:rsidRPr="004F2E6B">
        <w:rPr>
          <w:rFonts w:eastAsia="Times New Roman" w:cs="Calibri"/>
          <w:color w:val="auto"/>
          <w:bdr w:val="none" w:sz="0" w:space="0" w:color="auto"/>
        </w:rPr>
        <w:t>91</w:t>
      </w:r>
      <w:r w:rsidRPr="004F2E6B">
        <w:rPr>
          <w:rFonts w:eastAsia="Times New Roman" w:cs="Calibri"/>
          <w:color w:val="auto"/>
          <w:bdr w:val="none" w:sz="0" w:space="0" w:color="auto"/>
        </w:rPr>
        <w:t>,</w:t>
      </w:r>
      <w:r w:rsidR="004F2E6B" w:rsidRPr="004F2E6B">
        <w:rPr>
          <w:rFonts w:eastAsia="Times New Roman" w:cs="Calibri"/>
          <w:color w:val="auto"/>
          <w:bdr w:val="none" w:sz="0" w:space="0" w:color="auto"/>
        </w:rPr>
        <w:t>4</w:t>
      </w:r>
      <w:r w:rsidRPr="004F2E6B">
        <w:rPr>
          <w:rFonts w:eastAsia="Times New Roman" w:cs="Calibri"/>
          <w:color w:val="auto"/>
          <w:bdr w:val="none" w:sz="0" w:space="0" w:color="auto"/>
        </w:rPr>
        <w:t>-</w:t>
      </w:r>
      <w:r w:rsidR="004F2E6B" w:rsidRPr="004F2E6B">
        <w:rPr>
          <w:rFonts w:eastAsia="Times New Roman" w:cs="Calibri"/>
          <w:color w:val="auto"/>
          <w:bdr w:val="none" w:sz="0" w:space="0" w:color="auto"/>
        </w:rPr>
        <w:t>97</w:t>
      </w:r>
      <w:r w:rsidRPr="004F2E6B">
        <w:rPr>
          <w:rFonts w:eastAsia="Times New Roman" w:cs="Calibri"/>
          <w:color w:val="auto"/>
          <w:bdr w:val="none" w:sz="0" w:space="0" w:color="auto"/>
        </w:rPr>
        <w:t>%</w:t>
      </w:r>
      <w:r w:rsidRPr="004F2E6B">
        <w:rPr>
          <w:color w:val="auto"/>
        </w:rPr>
        <w:t xml:space="preserve"> per le terapie intensive) e decesso (del </w:t>
      </w:r>
      <w:r w:rsidRPr="004F2E6B">
        <w:rPr>
          <w:rFonts w:eastAsia="Times New Roman" w:cs="Calibri"/>
          <w:color w:val="auto"/>
          <w:bdr w:val="none" w:sz="0" w:space="0" w:color="auto"/>
        </w:rPr>
        <w:t>7</w:t>
      </w:r>
      <w:r w:rsidR="00EC0339" w:rsidRPr="004F2E6B">
        <w:rPr>
          <w:rFonts w:eastAsia="Times New Roman" w:cs="Calibri"/>
          <w:color w:val="auto"/>
          <w:bdr w:val="none" w:sz="0" w:space="0" w:color="auto"/>
        </w:rPr>
        <w:t>8</w:t>
      </w:r>
      <w:r w:rsidRPr="004F2E6B">
        <w:rPr>
          <w:rFonts w:eastAsia="Times New Roman" w:cs="Calibri"/>
          <w:color w:val="auto"/>
          <w:bdr w:val="none" w:sz="0" w:space="0" w:color="auto"/>
        </w:rPr>
        <w:t>,</w:t>
      </w:r>
      <w:r w:rsidR="004F2E6B" w:rsidRPr="004F2E6B">
        <w:rPr>
          <w:rFonts w:eastAsia="Times New Roman" w:cs="Calibri"/>
          <w:color w:val="auto"/>
          <w:bdr w:val="none" w:sz="0" w:space="0" w:color="auto"/>
        </w:rPr>
        <w:t>3</w:t>
      </w:r>
      <w:r w:rsidRPr="004F2E6B">
        <w:rPr>
          <w:rFonts w:eastAsia="Times New Roman" w:cs="Calibri"/>
          <w:color w:val="auto"/>
          <w:bdr w:val="none" w:sz="0" w:space="0" w:color="auto"/>
        </w:rPr>
        <w:t>-</w:t>
      </w:r>
      <w:r w:rsidR="00EC0339" w:rsidRPr="004F2E6B">
        <w:rPr>
          <w:rFonts w:eastAsia="Times New Roman" w:cs="Calibri"/>
          <w:color w:val="auto"/>
          <w:bdr w:val="none" w:sz="0" w:space="0" w:color="auto"/>
        </w:rPr>
        <w:t>96,</w:t>
      </w:r>
      <w:r w:rsidR="004F2E6B" w:rsidRPr="004F2E6B">
        <w:rPr>
          <w:rFonts w:eastAsia="Times New Roman" w:cs="Calibri"/>
          <w:color w:val="auto"/>
          <w:bdr w:val="none" w:sz="0" w:space="0" w:color="auto"/>
        </w:rPr>
        <w:t>3</w:t>
      </w:r>
      <w:r w:rsidRPr="004F2E6B">
        <w:rPr>
          <w:rFonts w:eastAsia="Times New Roman" w:cs="Calibri"/>
          <w:color w:val="auto"/>
          <w:bdr w:val="none" w:sz="0" w:space="0" w:color="auto"/>
        </w:rPr>
        <w:t>%</w:t>
      </w:r>
      <w:r w:rsidRPr="004F2E6B">
        <w:rPr>
          <w:color w:val="auto"/>
        </w:rPr>
        <w:t>) (</w:t>
      </w:r>
      <w:r w:rsidRPr="004F2E6B">
        <w:rPr>
          <w:color w:val="auto"/>
          <w:highlight w:val="yellow"/>
        </w:rPr>
        <w:t>figura 1</w:t>
      </w:r>
      <w:r w:rsidR="00D718F5">
        <w:rPr>
          <w:color w:val="auto"/>
          <w:highlight w:val="yellow"/>
        </w:rPr>
        <w:t>4</w:t>
      </w:r>
      <w:r w:rsidRPr="004F2E6B">
        <w:rPr>
          <w:color w:val="auto"/>
        </w:rPr>
        <w:t>).</w:t>
      </w:r>
    </w:p>
    <w:p w:rsidR="000E4A1A" w:rsidRDefault="00440DF1" w:rsidP="001A4ADB">
      <w:pPr>
        <w:spacing w:line="276" w:lineRule="auto"/>
        <w:jc w:val="both"/>
        <w:rPr>
          <w:color w:val="auto"/>
        </w:rPr>
      </w:pPr>
      <w:r w:rsidRPr="008F4EDC">
        <w:rPr>
          <w:b/>
          <w:color w:val="auto"/>
        </w:rPr>
        <w:t>Vaccini: terza dose</w:t>
      </w:r>
      <w:r w:rsidRPr="008F4EDC">
        <w:rPr>
          <w:color w:val="auto"/>
        </w:rPr>
        <w:t xml:space="preserve">. </w:t>
      </w:r>
      <w:r w:rsidR="008F4EDC" w:rsidRPr="008F4EDC">
        <w:rPr>
          <w:color w:val="auto"/>
        </w:rPr>
        <w:t xml:space="preserve">Al 22 dicembre (aggiornamento ore 07.18) </w:t>
      </w:r>
      <w:r w:rsidR="00D12939" w:rsidRPr="008F4EDC">
        <w:rPr>
          <w:color w:val="auto"/>
        </w:rPr>
        <w:t>sono</w:t>
      </w:r>
      <w:r w:rsidR="009B067C" w:rsidRPr="008F4EDC">
        <w:rPr>
          <w:color w:val="auto"/>
        </w:rPr>
        <w:t xml:space="preserve"> state somministrate</w:t>
      </w:r>
      <w:r w:rsidR="00DD7F2C">
        <w:rPr>
          <w:color w:val="auto"/>
        </w:rPr>
        <w:t xml:space="preserve"> </w:t>
      </w:r>
      <w:r w:rsidR="008F4EDC" w:rsidRPr="008F4EDC">
        <w:rPr>
          <w:color w:val="auto"/>
        </w:rPr>
        <w:t xml:space="preserve">15.866.554 </w:t>
      </w:r>
      <w:r w:rsidR="00D12939" w:rsidRPr="008F4EDC">
        <w:rPr>
          <w:color w:val="auto"/>
        </w:rPr>
        <w:t xml:space="preserve">terze dosi con una media </w:t>
      </w:r>
      <w:r w:rsidR="00DC4862" w:rsidRPr="008F4EDC">
        <w:rPr>
          <w:color w:val="auto"/>
        </w:rPr>
        <w:t xml:space="preserve">mobile a 7 giorni </w:t>
      </w:r>
      <w:r w:rsidRPr="008F4EDC">
        <w:rPr>
          <w:color w:val="auto"/>
        </w:rPr>
        <w:t>che</w:t>
      </w:r>
      <w:r w:rsidR="008F4EDC" w:rsidRPr="008F4EDC">
        <w:rPr>
          <w:color w:val="auto"/>
        </w:rPr>
        <w:t>supera le 460</w:t>
      </w:r>
      <w:r w:rsidR="00DC4862" w:rsidRPr="008F4EDC">
        <w:rPr>
          <w:color w:val="auto"/>
        </w:rPr>
        <w:t xml:space="preserve"> mila </w:t>
      </w:r>
      <w:r w:rsidR="000C63F8" w:rsidRPr="008F4EDC">
        <w:rPr>
          <w:color w:val="auto"/>
        </w:rPr>
        <w:t>somministrazioni</w:t>
      </w:r>
      <w:r w:rsidR="00721048" w:rsidRPr="008F4EDC">
        <w:rPr>
          <w:color w:val="auto"/>
        </w:rPr>
        <w:t xml:space="preserve"> al giorno</w:t>
      </w:r>
      <w:r w:rsidR="00DD7F2C">
        <w:rPr>
          <w:color w:val="auto"/>
        </w:rPr>
        <w:t xml:space="preserve"> </w:t>
      </w:r>
      <w:r w:rsidR="00D12939" w:rsidRPr="008F4EDC">
        <w:rPr>
          <w:color w:val="auto"/>
        </w:rPr>
        <w:t>(</w:t>
      </w:r>
      <w:r w:rsidR="00D12939" w:rsidRPr="008F4EDC">
        <w:rPr>
          <w:color w:val="auto"/>
          <w:highlight w:val="yellow"/>
        </w:rPr>
        <w:t xml:space="preserve">figura </w:t>
      </w:r>
      <w:r w:rsidR="00E355FA" w:rsidRPr="008F4EDC">
        <w:rPr>
          <w:color w:val="auto"/>
          <w:highlight w:val="yellow"/>
        </w:rPr>
        <w:t>1</w:t>
      </w:r>
      <w:r w:rsidR="00D718F5">
        <w:rPr>
          <w:color w:val="auto"/>
          <w:highlight w:val="yellow"/>
        </w:rPr>
        <w:t>5</w:t>
      </w:r>
      <w:r w:rsidR="0098713B" w:rsidRPr="008F4EDC">
        <w:rPr>
          <w:color w:val="auto"/>
        </w:rPr>
        <w:t>).</w:t>
      </w:r>
      <w:r w:rsidR="0095311B">
        <w:rPr>
          <w:color w:val="auto"/>
        </w:rPr>
        <w:t xml:space="preserve"> Secondo </w:t>
      </w:r>
      <w:r w:rsidR="002C23F8" w:rsidRPr="00A24D7C">
        <w:rPr>
          <w:color w:val="auto"/>
        </w:rPr>
        <w:t xml:space="preserve">la </w:t>
      </w:r>
      <w:hyperlink r:id="rId12" w:history="1">
        <w:r w:rsidR="009A5F9F" w:rsidRPr="00A24D7C">
          <w:rPr>
            <w:rStyle w:val="Collegamentoipertestuale"/>
            <w:color w:val="auto"/>
          </w:rPr>
          <w:t xml:space="preserve">platea </w:t>
        </w:r>
        <w:r w:rsidR="002C23F8" w:rsidRPr="00A24D7C">
          <w:rPr>
            <w:rStyle w:val="Collegamentoipertestuale"/>
            <w:color w:val="auto"/>
          </w:rPr>
          <w:t>ufficiale</w:t>
        </w:r>
      </w:hyperlink>
      <w:r w:rsidR="00DD7F2C">
        <w:t xml:space="preserve"> </w:t>
      </w:r>
      <w:r w:rsidR="0098713B" w:rsidRPr="00A24D7C">
        <w:rPr>
          <w:color w:val="auto"/>
        </w:rPr>
        <w:t>(n.</w:t>
      </w:r>
      <w:r w:rsidR="000E4A1A">
        <w:rPr>
          <w:color w:val="auto"/>
        </w:rPr>
        <w:t>31.001.107</w:t>
      </w:r>
      <w:r w:rsidR="0098713B" w:rsidRPr="00A24D7C">
        <w:rPr>
          <w:color w:val="auto"/>
        </w:rPr>
        <w:t>)</w:t>
      </w:r>
      <w:r w:rsidR="00DD7F2C">
        <w:rPr>
          <w:color w:val="auto"/>
        </w:rPr>
        <w:t xml:space="preserve"> </w:t>
      </w:r>
      <w:r w:rsidR="00C84C0B" w:rsidRPr="00A24D7C">
        <w:rPr>
          <w:color w:val="auto"/>
        </w:rPr>
        <w:t>i</w:t>
      </w:r>
      <w:r w:rsidR="00D1563D" w:rsidRPr="00A24D7C">
        <w:rPr>
          <w:color w:val="auto"/>
        </w:rPr>
        <w:t xml:space="preserve">l tasso di copertura </w:t>
      </w:r>
      <w:r w:rsidR="00EC06E2" w:rsidRPr="00A24D7C">
        <w:rPr>
          <w:color w:val="auto"/>
        </w:rPr>
        <w:t xml:space="preserve">nazionale </w:t>
      </w:r>
      <w:r w:rsidR="00D1563D" w:rsidRPr="00A24D7C">
        <w:rPr>
          <w:color w:val="auto"/>
        </w:rPr>
        <w:t xml:space="preserve">per le </w:t>
      </w:r>
      <w:r w:rsidR="00333BB6" w:rsidRPr="00A24D7C">
        <w:rPr>
          <w:color w:val="auto"/>
        </w:rPr>
        <w:t xml:space="preserve">terze dosi </w:t>
      </w:r>
      <w:r w:rsidR="00D1563D" w:rsidRPr="00A24D7C">
        <w:rPr>
          <w:color w:val="auto"/>
        </w:rPr>
        <w:t xml:space="preserve">è del </w:t>
      </w:r>
      <w:r w:rsidR="000E4A1A">
        <w:rPr>
          <w:color w:val="auto"/>
        </w:rPr>
        <w:t>51</w:t>
      </w:r>
      <w:r w:rsidR="00E83634" w:rsidRPr="00A24D7C">
        <w:rPr>
          <w:color w:val="auto"/>
        </w:rPr>
        <w:t>,</w:t>
      </w:r>
      <w:r w:rsidR="000E4A1A">
        <w:rPr>
          <w:color w:val="auto"/>
        </w:rPr>
        <w:t>2</w:t>
      </w:r>
      <w:r w:rsidR="00D1563D" w:rsidRPr="00A24D7C">
        <w:rPr>
          <w:color w:val="auto"/>
        </w:rPr>
        <w:t>% con nette differenze regionali</w:t>
      </w:r>
      <w:r w:rsidR="00C84C0B" w:rsidRPr="00A24D7C">
        <w:rPr>
          <w:color w:val="auto"/>
        </w:rPr>
        <w:t>,</w:t>
      </w:r>
      <w:r w:rsidR="00D1563D" w:rsidRPr="00A24D7C">
        <w:rPr>
          <w:color w:val="auto"/>
        </w:rPr>
        <w:t xml:space="preserve"> dal </w:t>
      </w:r>
      <w:r w:rsidR="000E4A1A">
        <w:rPr>
          <w:color w:val="auto"/>
        </w:rPr>
        <w:t>38</w:t>
      </w:r>
      <w:r w:rsidR="00B34469" w:rsidRPr="00A24D7C">
        <w:rPr>
          <w:color w:val="auto"/>
        </w:rPr>
        <w:t>,</w:t>
      </w:r>
      <w:r w:rsidR="008F4EDC" w:rsidRPr="00A24D7C">
        <w:rPr>
          <w:color w:val="auto"/>
        </w:rPr>
        <w:t>6</w:t>
      </w:r>
      <w:r w:rsidR="001C3537" w:rsidRPr="00A24D7C">
        <w:rPr>
          <w:color w:val="auto"/>
        </w:rPr>
        <w:t xml:space="preserve">% della </w:t>
      </w:r>
      <w:r w:rsidR="00B34469" w:rsidRPr="00A24D7C">
        <w:rPr>
          <w:color w:val="auto"/>
        </w:rPr>
        <w:t>Sicilia</w:t>
      </w:r>
      <w:r w:rsidR="00DD7F2C">
        <w:rPr>
          <w:color w:val="auto"/>
        </w:rPr>
        <w:t xml:space="preserve"> </w:t>
      </w:r>
      <w:r w:rsidR="00D1563D" w:rsidRPr="00A24D7C">
        <w:rPr>
          <w:color w:val="auto"/>
        </w:rPr>
        <w:t xml:space="preserve">al </w:t>
      </w:r>
      <w:r w:rsidR="000E4A1A">
        <w:rPr>
          <w:color w:val="auto"/>
        </w:rPr>
        <w:t>62</w:t>
      </w:r>
      <w:r w:rsidR="00E83634" w:rsidRPr="00A24D7C">
        <w:rPr>
          <w:color w:val="auto"/>
        </w:rPr>
        <w:t>,</w:t>
      </w:r>
      <w:r w:rsidR="000E4A1A">
        <w:rPr>
          <w:color w:val="auto"/>
        </w:rPr>
        <w:t>4</w:t>
      </w:r>
      <w:r w:rsidR="00D1563D" w:rsidRPr="00A24D7C">
        <w:rPr>
          <w:color w:val="auto"/>
        </w:rPr>
        <w:t xml:space="preserve">% </w:t>
      </w:r>
      <w:r w:rsidR="001C3537" w:rsidRPr="00A24D7C">
        <w:rPr>
          <w:color w:val="auto"/>
        </w:rPr>
        <w:t xml:space="preserve">della </w:t>
      </w:r>
      <w:r w:rsidR="000E4A1A">
        <w:rPr>
          <w:color w:val="auto"/>
        </w:rPr>
        <w:t xml:space="preserve">Provincia Autonoma di Bolzano </w:t>
      </w:r>
      <w:r w:rsidR="00D1563D" w:rsidRPr="00A24D7C">
        <w:rPr>
          <w:color w:val="auto"/>
        </w:rPr>
        <w:t>(</w:t>
      </w:r>
      <w:r w:rsidR="00D1563D" w:rsidRPr="00A24D7C">
        <w:rPr>
          <w:color w:val="auto"/>
          <w:highlight w:val="yellow"/>
        </w:rPr>
        <w:t>figura 1</w:t>
      </w:r>
      <w:r w:rsidR="00D718F5">
        <w:rPr>
          <w:color w:val="auto"/>
          <w:highlight w:val="yellow"/>
        </w:rPr>
        <w:t>6</w:t>
      </w:r>
      <w:r w:rsidR="006C147D" w:rsidRPr="00A24D7C">
        <w:rPr>
          <w:color w:val="auto"/>
        </w:rPr>
        <w:t>).</w:t>
      </w:r>
    </w:p>
    <w:p w:rsidR="001A4ADB" w:rsidRPr="006743B7" w:rsidRDefault="001626C3" w:rsidP="001A4ADB">
      <w:pPr>
        <w:spacing w:line="276" w:lineRule="auto"/>
        <w:jc w:val="both"/>
        <w:rPr>
          <w:color w:val="auto"/>
        </w:rPr>
      </w:pPr>
      <w:r w:rsidRPr="00D247DB">
        <w:t>«</w:t>
      </w:r>
      <w:r>
        <w:t>L’impennata della curva dei contagi</w:t>
      </w:r>
      <w:r w:rsidR="00885FFC">
        <w:t>,</w:t>
      </w:r>
      <w:r w:rsidR="00DD7F2C">
        <w:t xml:space="preserve"> </w:t>
      </w:r>
      <w:r w:rsidR="00235552">
        <w:t xml:space="preserve">la lenta e progressiva congestione degli ospedali, </w:t>
      </w:r>
      <w:r>
        <w:t xml:space="preserve">l’incertezza sulla reale prevalenza della variante omicron nel nostro Paese, i dati preliminari sulla sua </w:t>
      </w:r>
      <w:r w:rsidR="00885FFC">
        <w:t xml:space="preserve">maggiore </w:t>
      </w:r>
      <w:r w:rsidR="00490CAB">
        <w:t xml:space="preserve">contagiosità </w:t>
      </w:r>
      <w:r>
        <w:t>e le incognite sulla protezione vaccinale</w:t>
      </w:r>
      <w:r w:rsidR="00DD7F2C">
        <w:t xml:space="preserve"> </w:t>
      </w:r>
      <w:r w:rsidR="00885FFC" w:rsidRPr="00D247DB">
        <w:t>– conclude Cartabellotta –</w:t>
      </w:r>
      <w:r w:rsidR="00DD7F2C">
        <w:t xml:space="preserve"> </w:t>
      </w:r>
      <w:r>
        <w:t>aprono scenari che impongono scelte politiche tempestive e</w:t>
      </w:r>
      <w:r w:rsidR="00D01A49">
        <w:t xml:space="preserve"> rigorose</w:t>
      </w:r>
      <w:r>
        <w:t xml:space="preserve">, perché i vaccini da soli </w:t>
      </w:r>
      <w:r w:rsidR="00885FFC">
        <w:t xml:space="preserve">potrebbero non essere </w:t>
      </w:r>
      <w:r>
        <w:t xml:space="preserve">sufficienti </w:t>
      </w:r>
      <w:r w:rsidRPr="001A4ADB">
        <w:rPr>
          <w:color w:val="auto"/>
        </w:rPr>
        <w:t xml:space="preserve">a contrastare l’avanzata della variante, come già ribadito dall’ECDC e dall’OMS». </w:t>
      </w:r>
      <w:r w:rsidR="001A4ADB">
        <w:t xml:space="preserve">A fronte di un quadro </w:t>
      </w:r>
      <w:r w:rsidRPr="0027689C">
        <w:t xml:space="preserve">epidemiologico </w:t>
      </w:r>
      <w:r w:rsidR="001A4ADB">
        <w:t xml:space="preserve">in rapida evoluzione </w:t>
      </w:r>
      <w:r w:rsidRPr="0027689C">
        <w:t>e sulla base delle evidenze scien</w:t>
      </w:r>
      <w:r>
        <w:t>tifiche disponibili</w:t>
      </w:r>
      <w:r w:rsidRPr="0027689C">
        <w:t xml:space="preserve">, la Fondazione GIMBE invita </w:t>
      </w:r>
      <w:r w:rsidR="00A951A4">
        <w:t xml:space="preserve">il Governo a considerare le seguenti proposte </w:t>
      </w:r>
      <w:r w:rsidRPr="0027689C">
        <w:t xml:space="preserve">per contenere la quarta ondata:   </w:t>
      </w:r>
    </w:p>
    <w:p w:rsidR="001626C3" w:rsidRPr="00583A24" w:rsidRDefault="001626C3" w:rsidP="00885FFC">
      <w:pPr>
        <w:pStyle w:val="Paragrafoelenco"/>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rsidRPr="002435D1">
        <w:rPr>
          <w:b/>
        </w:rPr>
        <w:t>Vaccini</w:t>
      </w:r>
    </w:p>
    <w:p w:rsidR="001A4ADB" w:rsidRPr="002435D1" w:rsidRDefault="001A4ADB" w:rsidP="001A4ADB">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Introdurre immediatamente l’obbligo vaccinale per tutte le categorie di lavoratori a contatto con il pubblico e nel medio periodo per tutta la popolazione</w:t>
      </w:r>
    </w:p>
    <w:p w:rsidR="001626C3" w:rsidRPr="00583A24" w:rsidRDefault="001626C3"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lastRenderedPageBreak/>
        <w:t>Accelerare la somministrazione delle terze dosi e le vaccinazioni nella fascia 5-11 anni</w:t>
      </w:r>
    </w:p>
    <w:p w:rsidR="003B0299" w:rsidRPr="003B0299" w:rsidRDefault="003B0299" w:rsidP="003B0299">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Ridurre</w:t>
      </w:r>
      <w:r>
        <w:rPr>
          <w:rFonts w:eastAsia="Times New Roman"/>
          <w:color w:val="000000" w:themeColor="text1"/>
        </w:rPr>
        <w:t xml:space="preserve"> le tempistiche di somministrazione della dose </w:t>
      </w:r>
      <w:r w:rsidRPr="00507E13">
        <w:rPr>
          <w:rFonts w:eastAsia="Times New Roman"/>
          <w:i/>
          <w:color w:val="000000" w:themeColor="text1"/>
        </w:rPr>
        <w:t xml:space="preserve">booster </w:t>
      </w:r>
      <w:r w:rsidRPr="00583A24">
        <w:rPr>
          <w:rFonts w:eastAsia="Times New Roman"/>
          <w:color w:val="000000" w:themeColor="text1"/>
        </w:rPr>
        <w:t>(</w:t>
      </w:r>
      <w:r>
        <w:rPr>
          <w:rFonts w:eastAsia="Times New Roman"/>
          <w:color w:val="000000" w:themeColor="text1"/>
        </w:rPr>
        <w:t>a 3-4 mesi dal completamento del ciclo vaccinale</w:t>
      </w:r>
      <w:r w:rsidRPr="00583A24">
        <w:rPr>
          <w:rFonts w:eastAsia="Times New Roman"/>
          <w:color w:val="000000" w:themeColor="text1"/>
        </w:rPr>
        <w:t>)</w:t>
      </w:r>
      <w:r w:rsidR="00A56D3A">
        <w:rPr>
          <w:rFonts w:eastAsia="Times New Roman"/>
          <w:color w:val="000000" w:themeColor="text1"/>
        </w:rPr>
        <w:t xml:space="preserve">, innanzitutto per </w:t>
      </w:r>
      <w:r>
        <w:rPr>
          <w:rFonts w:eastAsia="Times New Roman"/>
          <w:color w:val="000000" w:themeColor="text1"/>
        </w:rPr>
        <w:t>anziani e fragili</w:t>
      </w:r>
    </w:p>
    <w:p w:rsidR="001626C3" w:rsidRPr="00583A24" w:rsidRDefault="00A951A4"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 xml:space="preserve">Attuare strategie </w:t>
      </w:r>
      <w:r w:rsidR="009E40E3">
        <w:t xml:space="preserve">di provata efficacia </w:t>
      </w:r>
      <w:r>
        <w:t>per con</w:t>
      </w:r>
      <w:r w:rsidR="009E40E3">
        <w:t xml:space="preserve">trastare l’esitazione vaccinale, </w:t>
      </w:r>
      <w:r w:rsidR="001626C3">
        <w:t xml:space="preserve">in particolare </w:t>
      </w:r>
      <w:r>
        <w:t xml:space="preserve">per </w:t>
      </w:r>
      <w:r w:rsidR="001626C3">
        <w:t xml:space="preserve">gli over 50 a rischio elevato di malattia grave e </w:t>
      </w:r>
      <w:r>
        <w:t xml:space="preserve">per </w:t>
      </w:r>
      <w:r w:rsidR="001626C3">
        <w:t xml:space="preserve">la fascia 12-19 </w:t>
      </w:r>
      <w:r w:rsidR="00AF0139">
        <w:t xml:space="preserve">al fine di </w:t>
      </w:r>
      <w:r w:rsidR="009E40E3">
        <w:t xml:space="preserve">ridurre la circolazione del virus nelle </w:t>
      </w:r>
      <w:r w:rsidR="001626C3">
        <w:t>scuole</w:t>
      </w:r>
    </w:p>
    <w:p w:rsidR="007D2BB8" w:rsidRPr="008A228F" w:rsidRDefault="001626C3" w:rsidP="001626C3">
      <w:pPr>
        <w:pStyle w:val="Paragrafoelenco"/>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rPr>
          <w:b/>
        </w:rPr>
        <w:t>Mascherine</w:t>
      </w:r>
    </w:p>
    <w:p w:rsidR="007D2BB8" w:rsidRPr="007D2BB8" w:rsidRDefault="001626C3" w:rsidP="007D2BB8">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Istituire l’obbligo di mascherina FFP2 nei luoghi pubblici al chiuso e sui mezzi di trasporto</w:t>
      </w:r>
    </w:p>
    <w:p w:rsidR="001626C3" w:rsidRPr="00583A24" w:rsidRDefault="001626C3" w:rsidP="001626C3">
      <w:pPr>
        <w:pStyle w:val="Paragrafoelenco"/>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rPr>
          <w:b/>
        </w:rPr>
        <w:t>G</w:t>
      </w:r>
      <w:r w:rsidRPr="002435D1">
        <w:rPr>
          <w:b/>
        </w:rPr>
        <w:t>reenpass</w:t>
      </w:r>
    </w:p>
    <w:p w:rsidR="001626C3" w:rsidRPr="00583A24" w:rsidRDefault="001626C3"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 xml:space="preserve">Allineare la validità del green pass </w:t>
      </w:r>
      <w:r w:rsidR="006042E7">
        <w:t xml:space="preserve">rafforzato </w:t>
      </w:r>
      <w:r>
        <w:t xml:space="preserve">ai tempi </w:t>
      </w:r>
      <w:r w:rsidR="008807AE">
        <w:t xml:space="preserve">stabiliti </w:t>
      </w:r>
      <w:r>
        <w:t>per la somministrazione della dose di richiamo</w:t>
      </w:r>
    </w:p>
    <w:p w:rsidR="001626C3" w:rsidRPr="00583A24" w:rsidRDefault="001626C3"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 xml:space="preserve">Estendere l’obbligo del green pass base </w:t>
      </w:r>
      <w:r w:rsidR="008807AE">
        <w:t xml:space="preserve">ai </w:t>
      </w:r>
      <w:r>
        <w:t>luoghi di ritrovo dove al momento non è richiesto</w:t>
      </w:r>
      <w:r w:rsidR="006042E7">
        <w:t xml:space="preserve"> (es. </w:t>
      </w:r>
      <w:r>
        <w:t xml:space="preserve">centri commerciali, </w:t>
      </w:r>
      <w:r w:rsidR="006042E7">
        <w:t>luoghi di culto)</w:t>
      </w:r>
    </w:p>
    <w:p w:rsidR="001626C3" w:rsidRPr="00583A24" w:rsidRDefault="00CB3727" w:rsidP="001626C3">
      <w:pPr>
        <w:pStyle w:val="Paragrafoelenco"/>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rPr>
          <w:b/>
        </w:rPr>
        <w:t>Altri interventi</w:t>
      </w:r>
    </w:p>
    <w:p w:rsidR="001626C3" w:rsidRPr="00583A24" w:rsidRDefault="001626C3"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Ridurre la capienza massima dei luoghi di aggregazione</w:t>
      </w:r>
      <w:r w:rsidR="00CB3727">
        <w:t xml:space="preserve"> (es.</w:t>
      </w:r>
      <w:r>
        <w:t xml:space="preserve"> discoteche, stadi, cinema, teatri</w:t>
      </w:r>
      <w:r w:rsidR="00CB3727">
        <w:t>)</w:t>
      </w:r>
    </w:p>
    <w:p w:rsidR="001626C3" w:rsidRPr="00583A24" w:rsidRDefault="00CB3727"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Vietare lo svolgimento d</w:t>
      </w:r>
      <w:r w:rsidR="001626C3">
        <w:t xml:space="preserve">i grandi eventi </w:t>
      </w:r>
      <w:r>
        <w:t xml:space="preserve">pubblici </w:t>
      </w:r>
      <w:r w:rsidR="001626C3">
        <w:t>per il Capodanno</w:t>
      </w:r>
    </w:p>
    <w:p w:rsidR="001626C3" w:rsidRPr="00583A24" w:rsidRDefault="00CB3727"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t xml:space="preserve">Incentivare lo </w:t>
      </w:r>
      <w:r w:rsidR="001626C3" w:rsidRPr="00347C3E">
        <w:rPr>
          <w:i/>
        </w:rPr>
        <w:t>smartworking</w:t>
      </w:r>
    </w:p>
    <w:p w:rsidR="001626C3" w:rsidRPr="00583A24" w:rsidRDefault="00CB3727" w:rsidP="001626C3">
      <w:pPr>
        <w:pStyle w:val="Paragrafoelenco"/>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rPr>
      </w:pPr>
      <w:r>
        <w:rPr>
          <w:rFonts w:eastAsia="Times New Roman"/>
          <w:color w:val="000000" w:themeColor="text1"/>
        </w:rPr>
        <w:t xml:space="preserve">Emanare </w:t>
      </w:r>
      <w:r w:rsidR="001626C3">
        <w:rPr>
          <w:rFonts w:eastAsia="Times New Roman"/>
          <w:color w:val="000000" w:themeColor="text1"/>
        </w:rPr>
        <w:t>norme per una corretta areazione e v</w:t>
      </w:r>
      <w:r w:rsidR="001626C3" w:rsidRPr="00583A24">
        <w:rPr>
          <w:rFonts w:eastAsia="Times New Roman"/>
          <w:color w:val="000000" w:themeColor="text1"/>
        </w:rPr>
        <w:t xml:space="preserve">entilazione </w:t>
      </w:r>
      <w:r w:rsidR="001626C3">
        <w:rPr>
          <w:rFonts w:eastAsia="Times New Roman"/>
          <w:color w:val="000000" w:themeColor="text1"/>
        </w:rPr>
        <w:t xml:space="preserve">nei </w:t>
      </w:r>
      <w:r w:rsidR="001626C3" w:rsidRPr="00583A24">
        <w:rPr>
          <w:rFonts w:eastAsia="Times New Roman"/>
          <w:color w:val="000000" w:themeColor="text1"/>
        </w:rPr>
        <w:t>locali scolastici</w:t>
      </w:r>
      <w:r>
        <w:rPr>
          <w:rFonts w:eastAsia="Times New Roman"/>
          <w:color w:val="000000" w:themeColor="text1"/>
        </w:rPr>
        <w:t>e nei luoghi aperti al pubblico</w:t>
      </w:r>
    </w:p>
    <w:p w:rsidR="007B682B" w:rsidRDefault="00666867" w:rsidP="00BD67DE">
      <w:pPr>
        <w:spacing w:after="120" w:line="276" w:lineRule="auto"/>
        <w:rPr>
          <w:rStyle w:val="Hyperlink0"/>
        </w:rPr>
      </w:pPr>
      <w:r w:rsidRPr="00234B97">
        <w:rPr>
          <w:i/>
          <w:iCs/>
        </w:rPr>
        <w:t>Il</w:t>
      </w:r>
      <w:r w:rsidR="00CE577D" w:rsidRPr="00234B97">
        <w:rPr>
          <w:i/>
          <w:iCs/>
        </w:rPr>
        <w:t xml:space="preserve"> monitoraggio GIMBE dell'epidemia di COVID-19 è disponibile a: </w:t>
      </w:r>
      <w:hyperlink r:id="rId13" w:history="1">
        <w:r w:rsidR="00CE577D" w:rsidRPr="00234B97">
          <w:rPr>
            <w:rStyle w:val="Hyperlink0"/>
          </w:rPr>
          <w:t>https://coronavirus.gimbe.org</w:t>
        </w:r>
      </w:hyperlink>
    </w:p>
    <w:p w:rsidR="00297667" w:rsidRPr="008F4EDC" w:rsidRDefault="00CE577D" w:rsidP="008F4EDC">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4" w:history="1">
        <w:r w:rsidRPr="00234B97">
          <w:rPr>
            <w:rStyle w:val="Hyperlink1"/>
          </w:rPr>
          <w:t>ufficio.stampa@gimbe.org</w:t>
        </w:r>
      </w:hyperlink>
    </w:p>
    <w:p w:rsidR="007B682B" w:rsidRPr="008E7049" w:rsidRDefault="001203E4" w:rsidP="00656118">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584564" w:rsidRPr="00234B97" w:rsidRDefault="008F4EDC">
      <w:pPr>
        <w:jc w:val="center"/>
        <w:rPr>
          <w:b/>
          <w:bCs/>
          <w:color w:val="00457D"/>
          <w:sz w:val="24"/>
          <w:szCs w:val="24"/>
          <w:u w:color="00457D"/>
        </w:rPr>
      </w:pPr>
      <w:r>
        <w:rPr>
          <w:b/>
          <w:bCs/>
          <w:noProof/>
          <w:color w:val="00457D"/>
          <w:sz w:val="24"/>
          <w:szCs w:val="24"/>
          <w:u w:color="00457D"/>
        </w:rPr>
        <w:drawing>
          <wp:inline distT="0" distB="0" distL="0" distR="0">
            <wp:extent cx="5760000" cy="3193390"/>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7B682B" w:rsidRPr="00234B97" w:rsidRDefault="007B682B">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8F4EDC">
        <w:rPr>
          <w:b/>
          <w:bCs/>
          <w:noProof/>
          <w:color w:val="00457D"/>
          <w:sz w:val="24"/>
          <w:szCs w:val="24"/>
          <w:u w:color="00457D"/>
        </w:rPr>
        <w:drawing>
          <wp:inline distT="0" distB="0" distL="0" distR="0">
            <wp:extent cx="5760000" cy="309465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094654"/>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8F4EDC"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extent cx="9360000" cy="4810624"/>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8F4EDC" w:rsidP="00E10DC3">
      <w:pPr>
        <w:spacing w:after="0"/>
        <w:jc w:val="center"/>
        <w:rPr>
          <w:color w:val="auto"/>
        </w:rPr>
      </w:pPr>
      <w:r>
        <w:rPr>
          <w:noProof/>
          <w:color w:val="auto"/>
        </w:rPr>
        <w:drawing>
          <wp:inline distT="0" distB="0" distL="0" distR="0">
            <wp:extent cx="5760000" cy="2812165"/>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812165"/>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8F4EDC" w:rsidP="000E770E">
      <w:pPr>
        <w:spacing w:after="0" w:line="276" w:lineRule="auto"/>
        <w:jc w:val="center"/>
        <w:rPr>
          <w:color w:val="auto"/>
        </w:rPr>
      </w:pPr>
      <w:r>
        <w:rPr>
          <w:noProof/>
          <w:color w:val="auto"/>
        </w:rPr>
        <w:drawing>
          <wp:inline distT="0" distB="0" distL="0" distR="0">
            <wp:extent cx="5760000" cy="3159622"/>
            <wp:effectExtent l="0" t="0" r="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59622"/>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FB6128" w:rsidRPr="008E7049" w:rsidRDefault="00FB6128" w:rsidP="00FB6128">
      <w:pPr>
        <w:spacing w:after="0"/>
        <w:jc w:val="center"/>
        <w:rPr>
          <w:b/>
          <w:bCs/>
          <w:color w:val="00457D"/>
          <w:sz w:val="24"/>
          <w:szCs w:val="24"/>
          <w:u w:color="00457D"/>
        </w:rPr>
      </w:pPr>
      <w:r w:rsidRPr="008E7049">
        <w:rPr>
          <w:b/>
          <w:bCs/>
          <w:color w:val="00457D"/>
          <w:sz w:val="24"/>
          <w:szCs w:val="24"/>
          <w:u w:color="00457D"/>
        </w:rPr>
        <w:lastRenderedPageBreak/>
        <w:t>Figura 6</w:t>
      </w:r>
    </w:p>
    <w:p w:rsidR="00A03AAC" w:rsidRPr="00333BB6" w:rsidRDefault="008F4EDC" w:rsidP="00FB6128">
      <w:pPr>
        <w:spacing w:after="0"/>
        <w:jc w:val="center"/>
        <w:rPr>
          <w:b/>
          <w:bCs/>
          <w:color w:val="FF0000"/>
          <w:sz w:val="24"/>
          <w:szCs w:val="24"/>
          <w:u w:color="00457D"/>
        </w:rPr>
      </w:pPr>
      <w:r>
        <w:rPr>
          <w:b/>
          <w:bCs/>
          <w:noProof/>
          <w:color w:val="FF0000"/>
          <w:sz w:val="24"/>
          <w:szCs w:val="24"/>
          <w:u w:color="00457D"/>
        </w:rPr>
        <w:drawing>
          <wp:inline distT="0" distB="0" distL="0" distR="0">
            <wp:extent cx="5760000" cy="5710434"/>
            <wp:effectExtent l="0" t="0" r="0" b="50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5710434"/>
                    </a:xfrm>
                    <a:prstGeom prst="rect">
                      <a:avLst/>
                    </a:prstGeom>
                    <a:noFill/>
                  </pic:spPr>
                </pic:pic>
              </a:graphicData>
            </a:graphic>
          </wp:inline>
        </w:drawing>
      </w:r>
    </w:p>
    <w:p w:rsidR="00794F6E" w:rsidRDefault="00794F6E">
      <w:pPr>
        <w:spacing w:after="0" w:line="240" w:lineRule="auto"/>
        <w:rPr>
          <w:b/>
          <w:bCs/>
          <w:color w:val="00457D"/>
          <w:sz w:val="24"/>
          <w:szCs w:val="24"/>
          <w:u w:color="00457D"/>
        </w:rPr>
      </w:pPr>
      <w:r>
        <w:rPr>
          <w:b/>
          <w:bCs/>
          <w:color w:val="00457D"/>
          <w:sz w:val="24"/>
          <w:szCs w:val="24"/>
          <w:u w:color="00457D"/>
        </w:rPr>
        <w:br w:type="page"/>
      </w:r>
    </w:p>
    <w:p w:rsidR="00184E2C" w:rsidRDefault="00CE577D">
      <w:pPr>
        <w:spacing w:after="0"/>
        <w:jc w:val="center"/>
        <w:rPr>
          <w:b/>
          <w:bCs/>
          <w:color w:val="00457D"/>
          <w:sz w:val="24"/>
          <w:szCs w:val="24"/>
          <w:u w:color="00457D"/>
        </w:rPr>
      </w:pPr>
      <w:r w:rsidRPr="00542585">
        <w:rPr>
          <w:b/>
          <w:bCs/>
          <w:color w:val="00457D"/>
          <w:sz w:val="24"/>
          <w:szCs w:val="24"/>
          <w:u w:color="00457D"/>
        </w:rPr>
        <w:lastRenderedPageBreak/>
        <w:t>Figura</w:t>
      </w:r>
      <w:r w:rsidR="005E411F">
        <w:rPr>
          <w:b/>
          <w:bCs/>
          <w:color w:val="00457D"/>
          <w:sz w:val="24"/>
          <w:szCs w:val="24"/>
          <w:u w:color="00457D"/>
        </w:rPr>
        <w:t>7</w:t>
      </w:r>
    </w:p>
    <w:p w:rsidR="003274E5" w:rsidRDefault="008F4EDC" w:rsidP="003274E5">
      <w:pPr>
        <w:spacing w:after="0"/>
        <w:jc w:val="center"/>
        <w:rPr>
          <w:b/>
          <w:bCs/>
          <w:color w:val="00457D"/>
          <w:sz w:val="24"/>
          <w:szCs w:val="24"/>
          <w:u w:color="00457D"/>
        </w:rPr>
      </w:pPr>
      <w:r>
        <w:rPr>
          <w:b/>
          <w:bCs/>
          <w:noProof/>
          <w:color w:val="00457D"/>
          <w:sz w:val="24"/>
          <w:szCs w:val="24"/>
          <w:u w:color="00457D"/>
        </w:rPr>
        <w:drawing>
          <wp:inline distT="0" distB="0" distL="0" distR="0">
            <wp:extent cx="5760000" cy="2829899"/>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829899"/>
                    </a:xfrm>
                    <a:prstGeom prst="rect">
                      <a:avLst/>
                    </a:prstGeom>
                    <a:noFill/>
                  </pic:spPr>
                </pic:pic>
              </a:graphicData>
            </a:graphic>
          </wp:inline>
        </w:drawing>
      </w:r>
    </w:p>
    <w:p w:rsidR="00794F6E" w:rsidRDefault="00794F6E" w:rsidP="003274E5">
      <w:pPr>
        <w:spacing w:after="0"/>
        <w:jc w:val="center"/>
        <w:rPr>
          <w:b/>
          <w:bCs/>
          <w:color w:val="00457D"/>
          <w:sz w:val="24"/>
          <w:szCs w:val="24"/>
          <w:u w:color="00457D"/>
        </w:rPr>
      </w:pPr>
    </w:p>
    <w:p w:rsidR="007B682B" w:rsidRPr="00914317" w:rsidRDefault="006176B8" w:rsidP="005E411F">
      <w:pPr>
        <w:spacing w:after="0" w:line="240" w:lineRule="auto"/>
        <w:jc w:val="center"/>
        <w:rPr>
          <w:b/>
          <w:bCs/>
          <w:color w:val="00457D"/>
          <w:sz w:val="24"/>
          <w:szCs w:val="24"/>
          <w:u w:color="00457D"/>
        </w:rPr>
      </w:pPr>
      <w:r w:rsidRPr="00914317">
        <w:rPr>
          <w:b/>
          <w:bCs/>
          <w:color w:val="00457D"/>
          <w:sz w:val="24"/>
          <w:szCs w:val="24"/>
          <w:u w:color="00457D"/>
        </w:rPr>
        <w:t xml:space="preserve">Figura </w:t>
      </w:r>
      <w:r w:rsidR="005E411F">
        <w:rPr>
          <w:b/>
          <w:bCs/>
          <w:color w:val="00457D"/>
          <w:sz w:val="24"/>
          <w:szCs w:val="24"/>
          <w:u w:color="00457D"/>
        </w:rPr>
        <w:t>8</w:t>
      </w:r>
    </w:p>
    <w:p w:rsidR="00542585" w:rsidRDefault="008F4EDC" w:rsidP="00F529F2">
      <w:pPr>
        <w:jc w:val="center"/>
        <w:rPr>
          <w:b/>
          <w:bCs/>
          <w:color w:val="00457D"/>
          <w:sz w:val="24"/>
          <w:szCs w:val="24"/>
          <w:u w:color="00457D"/>
        </w:rPr>
      </w:pPr>
      <w:r>
        <w:rPr>
          <w:b/>
          <w:bCs/>
          <w:noProof/>
          <w:color w:val="00457D"/>
          <w:sz w:val="24"/>
          <w:szCs w:val="24"/>
          <w:u w:color="00457D"/>
        </w:rPr>
        <w:drawing>
          <wp:inline distT="0" distB="0" distL="0" distR="0">
            <wp:extent cx="5760000" cy="452313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4523138"/>
                    </a:xfrm>
                    <a:prstGeom prst="rect">
                      <a:avLst/>
                    </a:prstGeom>
                    <a:noFill/>
                  </pic:spPr>
                </pic:pic>
              </a:graphicData>
            </a:graphic>
          </wp:inline>
        </w:drawing>
      </w: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lastRenderedPageBreak/>
        <w:t xml:space="preserve">Figura </w:t>
      </w:r>
      <w:r w:rsidR="005E411F">
        <w:rPr>
          <w:b/>
          <w:bCs/>
          <w:color w:val="00457D"/>
          <w:sz w:val="24"/>
          <w:szCs w:val="24"/>
          <w:u w:color="00457D"/>
        </w:rPr>
        <w:t>9</w:t>
      </w:r>
    </w:p>
    <w:p w:rsidR="00DB1360" w:rsidRDefault="008F4EDC"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62711"/>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362711"/>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736C14" w:rsidRDefault="001B3764" w:rsidP="00DB1360">
      <w:pPr>
        <w:spacing w:after="0" w:line="240" w:lineRule="auto"/>
        <w:jc w:val="center"/>
        <w:rPr>
          <w:b/>
          <w:bCs/>
          <w:color w:val="00457D"/>
          <w:sz w:val="24"/>
          <w:szCs w:val="24"/>
          <w:u w:color="00457D"/>
        </w:rPr>
      </w:pPr>
      <w:r w:rsidRPr="00466C2D">
        <w:rPr>
          <w:b/>
          <w:bCs/>
          <w:color w:val="00457D"/>
          <w:sz w:val="24"/>
          <w:szCs w:val="24"/>
          <w:u w:color="00457D"/>
        </w:rPr>
        <w:t>Figura</w:t>
      </w:r>
      <w:r w:rsidR="005E411F">
        <w:rPr>
          <w:b/>
          <w:bCs/>
          <w:color w:val="00457D"/>
          <w:sz w:val="24"/>
          <w:szCs w:val="24"/>
          <w:u w:color="00457D"/>
        </w:rPr>
        <w:t>10</w:t>
      </w:r>
    </w:p>
    <w:p w:rsidR="00736C14" w:rsidRDefault="00726EE0"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6070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360705"/>
                    </a:xfrm>
                    <a:prstGeom prst="rect">
                      <a:avLst/>
                    </a:prstGeom>
                    <a:noFill/>
                  </pic:spPr>
                </pic:pic>
              </a:graphicData>
            </a:graphic>
          </wp:inline>
        </w:drawing>
      </w:r>
    </w:p>
    <w:p w:rsidR="00736C14" w:rsidRDefault="00736C14" w:rsidP="00DB1360">
      <w:pPr>
        <w:spacing w:after="0" w:line="240" w:lineRule="auto"/>
        <w:jc w:val="center"/>
        <w:rPr>
          <w:b/>
          <w:bCs/>
          <w:color w:val="00457D"/>
          <w:sz w:val="24"/>
          <w:szCs w:val="24"/>
          <w:u w:color="00457D"/>
        </w:rPr>
      </w:pP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lastRenderedPageBreak/>
        <w:t>Figura 1</w:t>
      </w:r>
      <w:r w:rsidR="005E411F">
        <w:rPr>
          <w:b/>
          <w:bCs/>
          <w:color w:val="00457D"/>
          <w:sz w:val="24"/>
          <w:szCs w:val="24"/>
          <w:u w:color="00457D"/>
        </w:rPr>
        <w:t>1</w:t>
      </w:r>
    </w:p>
    <w:p w:rsidR="001B3764" w:rsidRPr="00466C2D" w:rsidRDefault="00490CAB"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064926"/>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064926"/>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005129" w:rsidRPr="00466C2D" w:rsidRDefault="00E10DC3" w:rsidP="00005129">
      <w:pPr>
        <w:spacing w:after="0" w:line="240" w:lineRule="auto"/>
        <w:jc w:val="center"/>
        <w:rPr>
          <w:b/>
          <w:bCs/>
          <w:color w:val="00457D"/>
          <w:sz w:val="24"/>
          <w:szCs w:val="24"/>
          <w:u w:color="00457D"/>
        </w:rPr>
      </w:pPr>
      <w:r w:rsidRPr="00466C2D">
        <w:rPr>
          <w:b/>
          <w:bCs/>
          <w:color w:val="00457D"/>
          <w:sz w:val="24"/>
          <w:szCs w:val="24"/>
          <w:u w:color="00457D"/>
        </w:rPr>
        <w:t>Figura 1</w:t>
      </w:r>
      <w:r w:rsidR="001626C3">
        <w:rPr>
          <w:b/>
          <w:bCs/>
          <w:color w:val="00457D"/>
          <w:sz w:val="24"/>
          <w:szCs w:val="24"/>
          <w:u w:color="00457D"/>
        </w:rPr>
        <w:t>2</w:t>
      </w:r>
    </w:p>
    <w:p w:rsidR="00205B01" w:rsidRPr="003F6A89" w:rsidRDefault="00726EE0" w:rsidP="00012B67">
      <w:pPr>
        <w:spacing w:line="276" w:lineRule="auto"/>
        <w:jc w:val="center"/>
        <w:rPr>
          <w:color w:val="FF0000"/>
        </w:rPr>
      </w:pPr>
      <w:r>
        <w:rPr>
          <w:noProof/>
          <w:color w:val="FF0000"/>
        </w:rPr>
        <w:drawing>
          <wp:inline distT="0" distB="0" distL="0" distR="0">
            <wp:extent cx="5760000" cy="3688275"/>
            <wp:effectExtent l="0" t="0" r="0" b="762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688275"/>
                    </a:xfrm>
                    <a:prstGeom prst="rect">
                      <a:avLst/>
                    </a:prstGeom>
                    <a:noFill/>
                  </pic:spPr>
                </pic:pic>
              </a:graphicData>
            </a:graphic>
          </wp:inline>
        </w:drawing>
      </w:r>
    </w:p>
    <w:p w:rsidR="00794F6E" w:rsidRDefault="00794F6E">
      <w:pPr>
        <w:spacing w:after="0" w:line="240" w:lineRule="auto"/>
        <w:rPr>
          <w:b/>
          <w:bCs/>
          <w:color w:val="00457D"/>
          <w:sz w:val="24"/>
          <w:szCs w:val="24"/>
          <w:u w:color="00457D"/>
        </w:rPr>
      </w:pPr>
    </w:p>
    <w:p w:rsidR="001626C3" w:rsidRDefault="001626C3">
      <w:pPr>
        <w:spacing w:after="0" w:line="240" w:lineRule="auto"/>
        <w:rPr>
          <w:b/>
          <w:bCs/>
          <w:color w:val="00457D"/>
          <w:sz w:val="24"/>
          <w:szCs w:val="24"/>
          <w:u w:color="00457D"/>
        </w:rPr>
      </w:pPr>
      <w:r>
        <w:rPr>
          <w:b/>
          <w:bCs/>
          <w:color w:val="00457D"/>
          <w:sz w:val="24"/>
          <w:szCs w:val="24"/>
          <w:u w:color="00457D"/>
        </w:rPr>
        <w:br w:type="page"/>
      </w:r>
    </w:p>
    <w:p w:rsidR="00F01E45" w:rsidRPr="00914317" w:rsidRDefault="00184E2C" w:rsidP="00622991">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1626C3">
        <w:rPr>
          <w:b/>
          <w:bCs/>
          <w:color w:val="00457D"/>
          <w:sz w:val="24"/>
          <w:szCs w:val="24"/>
          <w:u w:color="00457D"/>
        </w:rPr>
        <w:t>3</w:t>
      </w:r>
    </w:p>
    <w:p w:rsidR="001C3537" w:rsidRDefault="00726EE0" w:rsidP="00622991">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884960"/>
            <wp:effectExtent l="0" t="0" r="0" b="12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884960"/>
                    </a:xfrm>
                    <a:prstGeom prst="rect">
                      <a:avLst/>
                    </a:prstGeom>
                    <a:noFill/>
                  </pic:spPr>
                </pic:pic>
              </a:graphicData>
            </a:graphic>
          </wp:inline>
        </w:drawing>
      </w:r>
    </w:p>
    <w:p w:rsidR="00333BB6" w:rsidRDefault="00333BB6" w:rsidP="00622991">
      <w:pPr>
        <w:spacing w:after="0" w:line="240" w:lineRule="auto"/>
        <w:jc w:val="center"/>
        <w:rPr>
          <w:b/>
          <w:bCs/>
          <w:color w:val="00457D"/>
          <w:sz w:val="24"/>
          <w:szCs w:val="24"/>
          <w:u w:color="00457D"/>
        </w:rPr>
      </w:pPr>
    </w:p>
    <w:p w:rsidR="00775180" w:rsidRDefault="00775180">
      <w:pPr>
        <w:spacing w:after="0" w:line="240" w:lineRule="auto"/>
        <w:rPr>
          <w:b/>
          <w:bCs/>
          <w:color w:val="00457D"/>
          <w:sz w:val="24"/>
          <w:szCs w:val="24"/>
          <w:u w:color="00457D"/>
        </w:rPr>
      </w:pPr>
    </w:p>
    <w:p w:rsidR="00775180" w:rsidRDefault="00775180">
      <w:pPr>
        <w:spacing w:after="0" w:line="240" w:lineRule="auto"/>
        <w:rPr>
          <w:b/>
          <w:bCs/>
          <w:color w:val="00457D"/>
          <w:sz w:val="24"/>
          <w:szCs w:val="24"/>
          <w:u w:color="00457D"/>
        </w:rPr>
        <w:sectPr w:rsidR="00775180">
          <w:pgSz w:w="11900" w:h="16840"/>
          <w:pgMar w:top="1134" w:right="1134" w:bottom="1418" w:left="1134" w:header="709" w:footer="709" w:gutter="0"/>
          <w:cols w:space="720"/>
        </w:sectPr>
      </w:pPr>
    </w:p>
    <w:p w:rsidR="00F26C68" w:rsidRDefault="00775180" w:rsidP="00F26C68">
      <w:pPr>
        <w:spacing w:line="240" w:lineRule="auto"/>
        <w:jc w:val="center"/>
        <w:rPr>
          <w:b/>
          <w:bCs/>
          <w:color w:val="00457D"/>
          <w:sz w:val="24"/>
          <w:szCs w:val="24"/>
          <w:u w:color="00457D"/>
        </w:rPr>
      </w:pPr>
      <w:r w:rsidRPr="00F26C68">
        <w:rPr>
          <w:b/>
          <w:bCs/>
          <w:color w:val="00457D"/>
          <w:sz w:val="24"/>
          <w:szCs w:val="24"/>
          <w:u w:color="00457D"/>
        </w:rPr>
        <w:lastRenderedPageBreak/>
        <w:t>Figura 1</w:t>
      </w:r>
      <w:r w:rsidR="001626C3">
        <w:rPr>
          <w:b/>
          <w:bCs/>
          <w:color w:val="00457D"/>
          <w:sz w:val="24"/>
          <w:szCs w:val="24"/>
          <w:u w:color="00457D"/>
        </w:rPr>
        <w:t>4</w:t>
      </w:r>
    </w:p>
    <w:p w:rsidR="004F2E6B" w:rsidRPr="00F26C68" w:rsidRDefault="004F2E6B" w:rsidP="00F26C68">
      <w:pPr>
        <w:spacing w:line="240" w:lineRule="auto"/>
        <w:jc w:val="center"/>
        <w:rPr>
          <w:b/>
          <w:bCs/>
          <w:color w:val="00457D"/>
          <w:sz w:val="24"/>
          <w:szCs w:val="24"/>
          <w:u w:color="00457D"/>
        </w:rPr>
      </w:pPr>
      <w:r>
        <w:rPr>
          <w:b/>
          <w:bCs/>
          <w:noProof/>
          <w:color w:val="00457D"/>
          <w:sz w:val="24"/>
          <w:szCs w:val="24"/>
          <w:u w:color="00457D"/>
        </w:rPr>
        <w:drawing>
          <wp:inline distT="0" distB="0" distL="0" distR="0">
            <wp:extent cx="9360000" cy="5401468"/>
            <wp:effectExtent l="0" t="0" r="0" b="889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60000" cy="5401468"/>
                    </a:xfrm>
                    <a:prstGeom prst="rect">
                      <a:avLst/>
                    </a:prstGeom>
                    <a:noFill/>
                  </pic:spPr>
                </pic:pic>
              </a:graphicData>
            </a:graphic>
          </wp:inline>
        </w:drawing>
      </w:r>
    </w:p>
    <w:p w:rsidR="00F26C68" w:rsidRDefault="00F26C68">
      <w:pPr>
        <w:spacing w:after="0" w:line="240" w:lineRule="auto"/>
        <w:rPr>
          <w:b/>
          <w:bCs/>
          <w:color w:val="00457D"/>
          <w:sz w:val="24"/>
          <w:szCs w:val="24"/>
          <w:u w:color="00457D"/>
        </w:rPr>
        <w:sectPr w:rsidR="00F26C68" w:rsidSect="00775180">
          <w:pgSz w:w="16840" w:h="11900" w:orient="landscape"/>
          <w:pgMar w:top="1134" w:right="1134" w:bottom="1134" w:left="1418" w:header="709" w:footer="709" w:gutter="0"/>
          <w:cols w:space="720"/>
          <w:docGrid w:linePitch="299"/>
        </w:sectPr>
      </w:pPr>
    </w:p>
    <w:p w:rsidR="00333BB6" w:rsidRPr="00914317" w:rsidRDefault="00333BB6" w:rsidP="00622991">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1626C3">
        <w:rPr>
          <w:b/>
          <w:bCs/>
          <w:color w:val="00457D"/>
          <w:sz w:val="24"/>
          <w:szCs w:val="24"/>
          <w:u w:color="00457D"/>
        </w:rPr>
        <w:t>5</w:t>
      </w:r>
    </w:p>
    <w:p w:rsidR="00953D24" w:rsidRDefault="00726EE0" w:rsidP="00622991">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70353"/>
            <wp:effectExtent l="0" t="0" r="0" b="190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370353"/>
                    </a:xfrm>
                    <a:prstGeom prst="rect">
                      <a:avLst/>
                    </a:prstGeom>
                    <a:noFill/>
                  </pic:spPr>
                </pic:pic>
              </a:graphicData>
            </a:graphic>
          </wp:inline>
        </w:drawing>
      </w:r>
    </w:p>
    <w:p w:rsidR="00E56B56" w:rsidRDefault="00E56B56" w:rsidP="00622991">
      <w:pPr>
        <w:spacing w:after="0" w:line="240" w:lineRule="auto"/>
        <w:jc w:val="center"/>
        <w:rPr>
          <w:b/>
          <w:bCs/>
          <w:color w:val="00457D"/>
          <w:sz w:val="24"/>
          <w:szCs w:val="24"/>
          <w:u w:color="00457D"/>
        </w:rPr>
      </w:pPr>
    </w:p>
    <w:p w:rsidR="001C5BEA" w:rsidRPr="00D001BF" w:rsidRDefault="001C5BEA" w:rsidP="001C5BEA">
      <w:pPr>
        <w:spacing w:after="0" w:line="240" w:lineRule="auto"/>
        <w:jc w:val="center"/>
        <w:rPr>
          <w:b/>
          <w:bCs/>
          <w:color w:val="00457D"/>
          <w:sz w:val="24"/>
          <w:szCs w:val="24"/>
          <w:u w:color="00457D"/>
        </w:rPr>
      </w:pPr>
      <w:r w:rsidRPr="00D001BF">
        <w:rPr>
          <w:b/>
          <w:bCs/>
          <w:color w:val="00457D"/>
          <w:sz w:val="24"/>
          <w:szCs w:val="24"/>
          <w:u w:color="00457D"/>
        </w:rPr>
        <w:t>Figura 1</w:t>
      </w:r>
      <w:r w:rsidR="001626C3">
        <w:rPr>
          <w:b/>
          <w:bCs/>
          <w:color w:val="00457D"/>
          <w:sz w:val="24"/>
          <w:szCs w:val="24"/>
          <w:u w:color="00457D"/>
        </w:rPr>
        <w:t>6</w:t>
      </w:r>
    </w:p>
    <w:p w:rsidR="00BC2423" w:rsidRDefault="000E4A1A" w:rsidP="00466C2D">
      <w:pPr>
        <w:spacing w:after="0" w:line="240" w:lineRule="auto"/>
        <w:jc w:val="center"/>
        <w:rPr>
          <w:b/>
          <w:bCs/>
          <w:color w:val="00457D"/>
          <w:sz w:val="24"/>
          <w:szCs w:val="24"/>
          <w:u w:color="00457D"/>
        </w:rPr>
      </w:pPr>
      <w:r>
        <w:rPr>
          <w:noProof/>
          <w:color w:val="auto"/>
        </w:rPr>
        <w:drawing>
          <wp:inline distT="0" distB="0" distL="0" distR="0">
            <wp:extent cx="5760000" cy="4336291"/>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36291"/>
                    </a:xfrm>
                    <a:prstGeom prst="rect">
                      <a:avLst/>
                    </a:prstGeom>
                    <a:noFill/>
                  </pic:spPr>
                </pic:pic>
              </a:graphicData>
            </a:graphic>
          </wp:inline>
        </w:drawing>
      </w:r>
      <w:r w:rsidR="00BC2423">
        <w:rPr>
          <w:b/>
          <w:bCs/>
          <w:color w:val="00457D"/>
          <w:sz w:val="24"/>
          <w:szCs w:val="24"/>
          <w:u w:color="00457D"/>
        </w:rPr>
        <w:br w:type="page"/>
      </w:r>
    </w:p>
    <w:p w:rsidR="00662C85" w:rsidRPr="00662C85" w:rsidRDefault="00CE577D" w:rsidP="00662C85">
      <w:pPr>
        <w:spacing w:line="276" w:lineRule="auto"/>
        <w:jc w:val="center"/>
        <w:rPr>
          <w:color w:val="00457D"/>
        </w:rPr>
      </w:pPr>
      <w:r w:rsidRPr="001C3537">
        <w:rPr>
          <w:b/>
          <w:bCs/>
          <w:color w:val="00457D"/>
          <w:sz w:val="24"/>
          <w:szCs w:val="24"/>
          <w:u w:color="00457D"/>
        </w:rPr>
        <w:lastRenderedPageBreak/>
        <w:t xml:space="preserve">Tabella 1. Indicatori regionali: settimana </w:t>
      </w:r>
      <w:r w:rsidR="00726EE0">
        <w:rPr>
          <w:b/>
          <w:bCs/>
          <w:color w:val="00457D"/>
          <w:sz w:val="24"/>
          <w:szCs w:val="24"/>
          <w:u w:color="00457D"/>
        </w:rPr>
        <w:t>15</w:t>
      </w:r>
      <w:r w:rsidR="00662C85">
        <w:rPr>
          <w:b/>
          <w:bCs/>
          <w:color w:val="00457D"/>
          <w:sz w:val="24"/>
          <w:szCs w:val="24"/>
          <w:u w:color="00457D"/>
        </w:rPr>
        <w:t>-</w:t>
      </w:r>
      <w:r w:rsidR="00726EE0">
        <w:rPr>
          <w:b/>
          <w:bCs/>
          <w:color w:val="00457D"/>
          <w:sz w:val="24"/>
          <w:szCs w:val="24"/>
          <w:u w:color="00457D"/>
        </w:rPr>
        <w:t>21</w:t>
      </w:r>
      <w:r w:rsidR="00794F6E" w:rsidRPr="001C3537">
        <w:rPr>
          <w:b/>
          <w:bCs/>
          <w:color w:val="00457D"/>
          <w:sz w:val="24"/>
          <w:szCs w:val="24"/>
          <w:u w:color="00457D"/>
        </w:rPr>
        <w:t xml:space="preserve"> dicembre</w:t>
      </w:r>
      <w:r w:rsidRPr="001C3537">
        <w:rPr>
          <w:b/>
          <w:bCs/>
          <w:color w:val="00457D"/>
          <w:sz w:val="24"/>
          <w:szCs w:val="24"/>
          <w:u w:color="00457D"/>
        </w:rPr>
        <w:t xml:space="preserve"> 2021</w:t>
      </w:r>
    </w:p>
    <w:tbl>
      <w:tblPr>
        <w:tblW w:w="9639" w:type="dxa"/>
        <w:tblInd w:w="-5" w:type="dxa"/>
        <w:tblCellMar>
          <w:left w:w="70" w:type="dxa"/>
          <w:right w:w="70" w:type="dxa"/>
        </w:tblCellMar>
        <w:tblLook w:val="04A0" w:firstRow="1" w:lastRow="0" w:firstColumn="1" w:lastColumn="0" w:noHBand="0" w:noVBand="1"/>
      </w:tblPr>
      <w:tblGrid>
        <w:gridCol w:w="2268"/>
        <w:gridCol w:w="1660"/>
        <w:gridCol w:w="1317"/>
        <w:gridCol w:w="2126"/>
        <w:gridCol w:w="2268"/>
      </w:tblGrid>
      <w:tr w:rsidR="00726EE0" w:rsidRPr="00726EE0" w:rsidTr="00726EE0">
        <w:trPr>
          <w:trHeight w:val="907"/>
        </w:trPr>
        <w:tc>
          <w:tcPr>
            <w:tcW w:w="2268"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726EE0">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726EE0">
              <w:rPr>
                <w:rFonts w:eastAsia="Times New Roman" w:cs="Calibri"/>
                <w:b/>
                <w:bCs/>
                <w:color w:val="FFFFFF"/>
                <w:sz w:val="21"/>
                <w:szCs w:val="21"/>
                <w:bdr w:val="none" w:sz="0" w:space="0" w:color="auto"/>
              </w:rPr>
              <w:t>Casi attualmente positivi per 100.000 abitanti</w:t>
            </w:r>
          </w:p>
        </w:tc>
        <w:tc>
          <w:tcPr>
            <w:tcW w:w="1317" w:type="dxa"/>
            <w:tcBorders>
              <w:top w:val="single" w:sz="4" w:space="0" w:color="00457D"/>
              <w:left w:val="nil"/>
              <w:bottom w:val="single" w:sz="4" w:space="0" w:color="00457D"/>
              <w:right w:val="single" w:sz="4" w:space="0" w:color="FFFFFF"/>
            </w:tcBorders>
            <w:shd w:val="clear" w:color="000000" w:fill="00457D"/>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726EE0">
              <w:rPr>
                <w:rFonts w:eastAsia="Times New Roman" w:cs="Calibri"/>
                <w:b/>
                <w:bCs/>
                <w:color w:val="FFFFFF"/>
                <w:bdr w:val="none" w:sz="0" w:space="0" w:color="auto"/>
              </w:rPr>
              <w:t xml:space="preserve">Variazione </w:t>
            </w:r>
            <w:r w:rsidRPr="00726EE0">
              <w:rPr>
                <w:rFonts w:eastAsia="Times New Roman" w:cs="Calibri"/>
                <w:b/>
                <w:bCs/>
                <w:color w:val="FFFFFF"/>
                <w:bdr w:val="none" w:sz="0" w:space="0" w:color="auto"/>
              </w:rPr>
              <w:br/>
              <w:t>% nuovi casi</w:t>
            </w:r>
          </w:p>
        </w:tc>
        <w:tc>
          <w:tcPr>
            <w:tcW w:w="2126" w:type="dxa"/>
            <w:tcBorders>
              <w:top w:val="single" w:sz="4" w:space="0" w:color="00457D"/>
              <w:left w:val="nil"/>
              <w:bottom w:val="single" w:sz="4" w:space="0" w:color="00457D"/>
              <w:right w:val="single" w:sz="4" w:space="0" w:color="FFFFFF"/>
            </w:tcBorders>
            <w:shd w:val="clear" w:color="000000" w:fill="00457D"/>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726EE0">
              <w:rPr>
                <w:rFonts w:eastAsia="Times New Roman" w:cs="Calibri"/>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726EE0">
              <w:rPr>
                <w:rFonts w:eastAsia="Times New Roman" w:cs="Calibri"/>
                <w:b/>
                <w:bCs/>
                <w:color w:val="FFFFFF"/>
                <w:bdr w:val="none" w:sz="0" w:space="0" w:color="auto"/>
              </w:rPr>
              <w:t xml:space="preserve">Posti letto in terapia intensiva occupati da </w:t>
            </w:r>
            <w:r w:rsidRPr="00726EE0">
              <w:rPr>
                <w:rFonts w:eastAsia="Times New Roman" w:cs="Calibri"/>
                <w:b/>
                <w:bCs/>
                <w:color w:val="FFFFFF"/>
                <w:bdr w:val="none" w:sz="0" w:space="0" w:color="auto"/>
              </w:rPr>
              <w:br/>
              <w:t>pazienti COVID−19</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547</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38,0%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9,7%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10,5%</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346</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37,3%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10,6%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0,0%</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470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45,1%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23,2%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12,4%</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479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49,3%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12,7%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5,4%</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994</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32,2%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12,0%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12,0%</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673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12,4%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23,4%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16,6%</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689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29,4%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14,3%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13,6%</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558</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57,1%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22,9%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14,2%</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743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82,9%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12,8%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10,5%</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438</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39,3%</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18,2%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15,6%</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80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59,2%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5,1%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5,1%</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652</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51,0%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14,3%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10,2%</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1.075</w:t>
            </w:r>
          </w:p>
        </w:tc>
        <w:tc>
          <w:tcPr>
            <w:tcW w:w="131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-23,9%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18,0%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19,0%</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580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18,6%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19,1%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27,8%</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195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57,6%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6,1%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4,4%</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261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43,7%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7,2%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5,9%</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450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42,1%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14,7%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7,8%</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492</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54,6%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7,2%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10,7%</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475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86,3%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8,5%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10,5%</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751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23,0%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23,2%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26EE0">
              <w:rPr>
                <w:rFonts w:eastAsia="Times New Roman" w:cs="Calibri"/>
                <w:color w:val="006100"/>
                <w:bdr w:val="none" w:sz="0" w:space="0" w:color="auto"/>
              </w:rPr>
              <w:t>3,0%</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26EE0">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1.287</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18,1%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17,6%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26EE0">
              <w:rPr>
                <w:rFonts w:eastAsia="Times New Roman" w:cs="Calibri"/>
                <w:color w:val="9C0006"/>
                <w:bdr w:val="none" w:sz="0" w:space="0" w:color="auto"/>
              </w:rPr>
              <w:t>16,5%</w:t>
            </w:r>
          </w:p>
        </w:tc>
      </w:tr>
      <w:tr w:rsidR="00726EE0" w:rsidRPr="00726EE0" w:rsidTr="00726EE0">
        <w:trPr>
          <w:trHeight w:val="340"/>
        </w:trPr>
        <w:tc>
          <w:tcPr>
            <w:tcW w:w="2268" w:type="dxa"/>
            <w:tcBorders>
              <w:top w:val="nil"/>
              <w:left w:val="single" w:sz="4" w:space="0" w:color="00457D"/>
              <w:bottom w:val="single" w:sz="4" w:space="0" w:color="00457D"/>
              <w:right w:val="single" w:sz="4" w:space="0" w:color="00457D"/>
            </w:tcBorders>
            <w:shd w:val="clear" w:color="000000" w:fill="00457D"/>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726EE0">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726EE0">
              <w:rPr>
                <w:rFonts w:eastAsia="Times New Roman" w:cs="Calibri"/>
                <w:b/>
                <w:bCs/>
                <w:color w:val="9C0006"/>
                <w:bdr w:val="none" w:sz="0" w:space="0" w:color="auto"/>
              </w:rPr>
              <w:t>644</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726EE0">
              <w:rPr>
                <w:rFonts w:eastAsia="Times New Roman" w:cs="Calibri"/>
                <w:b/>
                <w:bCs/>
                <w:color w:val="9C0006"/>
                <w:bdr w:val="none" w:sz="0" w:space="0" w:color="auto"/>
              </w:rPr>
              <w:t>42,3%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726EE0">
              <w:rPr>
                <w:rFonts w:eastAsia="Times New Roman" w:cs="Calibri"/>
                <w:b/>
                <w:bCs/>
                <w:color w:val="006100"/>
                <w:bdr w:val="none" w:sz="0" w:space="0" w:color="auto"/>
              </w:rPr>
              <w:t>13,4%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726EE0">
              <w:rPr>
                <w:rFonts w:eastAsia="Times New Roman" w:cs="Calibri"/>
                <w:b/>
                <w:bCs/>
                <w:color w:val="9C0006"/>
                <w:bdr w:val="none" w:sz="0" w:space="0" w:color="auto"/>
              </w:rPr>
              <w:t>11,1%</w:t>
            </w:r>
          </w:p>
        </w:tc>
      </w:tr>
      <w:tr w:rsidR="00726EE0" w:rsidRPr="00726EE0" w:rsidTr="00726EE0">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726EE0" w:rsidRPr="00726EE0" w:rsidRDefault="00726EE0" w:rsidP="00726EE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726EE0">
              <w:rPr>
                <w:rFonts w:eastAsia="Times New Roman" w:cs="Calibri"/>
                <w:color w:val="auto"/>
                <w:sz w:val="20"/>
                <w:szCs w:val="20"/>
                <w:bdr w:val="none" w:sz="0" w:space="0" w:color="auto"/>
              </w:rPr>
              <w:t>Nota: nella prima colonna rosso, verde e giallo indicano rispettivamente una performance regionale in peggioramento, in miglioramento o stabile, rispetto alla settimana precedente.</w:t>
            </w:r>
            <w:r w:rsidRPr="00726EE0">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726EE0">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5E38B7" w:rsidRDefault="005E38B7">
      <w:pPr>
        <w:spacing w:after="0" w:line="240" w:lineRule="auto"/>
      </w:pPr>
      <w:r>
        <w:br w:type="page"/>
      </w:r>
    </w:p>
    <w:p w:rsidR="005E38B7" w:rsidRPr="00F441F1" w:rsidRDefault="005E38B7" w:rsidP="005E38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5E38B7" w:rsidRDefault="005E38B7" w:rsidP="005E38B7">
      <w:pPr>
        <w:spacing w:after="80" w:line="240" w:lineRule="auto"/>
        <w:jc w:val="center"/>
        <w:rPr>
          <w:b/>
          <w:bCs/>
          <w:color w:val="00457D"/>
          <w:spacing w:val="-3"/>
          <w:sz w:val="10"/>
          <w:szCs w:val="10"/>
          <w:u w:color="00457D"/>
        </w:rPr>
      </w:pPr>
    </w:p>
    <w:tbl>
      <w:tblPr>
        <w:tblStyle w:val="TableNormal"/>
        <w:tblW w:w="73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3118"/>
      </w:tblGrid>
      <w:tr w:rsidR="005E38B7" w:rsidRPr="005672CD" w:rsidTr="005E38B7">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Provincia</w:t>
            </w:r>
          </w:p>
        </w:tc>
        <w:tc>
          <w:tcPr>
            <w:tcW w:w="3118"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5E38B7" w:rsidRPr="005672CD" w:rsidRDefault="005E38B7" w:rsidP="00726EE0">
            <w:pPr>
              <w:spacing w:after="0" w:line="240" w:lineRule="auto"/>
              <w:jc w:val="center"/>
              <w:rPr>
                <w:rFonts w:cs="Calibri"/>
                <w:szCs w:val="20"/>
              </w:rPr>
            </w:pPr>
            <w:r w:rsidRPr="005672CD">
              <w:rPr>
                <w:rFonts w:cs="Calibri"/>
                <w:b/>
                <w:bCs/>
                <w:color w:val="FFFFFF"/>
                <w:szCs w:val="20"/>
                <w:u w:color="FFFFFF"/>
              </w:rPr>
              <w:t xml:space="preserve">Nuovi casi per 100.000 abitanti </w:t>
            </w:r>
            <w:r w:rsidR="00726EE0">
              <w:rPr>
                <w:rFonts w:cs="Calibri"/>
                <w:b/>
                <w:bCs/>
                <w:color w:val="FFFFFF"/>
                <w:szCs w:val="20"/>
                <w:u w:color="FFFFFF"/>
              </w:rPr>
              <w:t>15-21</w:t>
            </w:r>
            <w:r w:rsidR="00794F6E">
              <w:rPr>
                <w:rFonts w:cs="Calibri"/>
                <w:b/>
                <w:bCs/>
                <w:color w:val="FFFFFF"/>
                <w:szCs w:val="20"/>
                <w:u w:color="FFFFFF"/>
              </w:rPr>
              <w:t xml:space="preserve"> dicembre</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Teramo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221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Pescara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195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Chieti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183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L'Aquila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166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Matera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153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Potenza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130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Reggio di Calabria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333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Vibo Valentia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219</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Cosenza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152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Crotone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146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Catanzaro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123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Napoli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268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Caserta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197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Benevento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185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Salerno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184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Avellino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134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Rimini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518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Reggio nell'Emilia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438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Forlì-Cesena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424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Ravenna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385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Bologna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351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Ferrara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306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Modena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304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Parma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246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Piacenza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230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Trieste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556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Pordenone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405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Gorizia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348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Udine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315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Latina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292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Roma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276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Frosinone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242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Viterbo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206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Rieti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158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Imperia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861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Savona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387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La Spezia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312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Genova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285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Milano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450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Lodi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421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Monza e della Brianza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412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Varese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411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Pavia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339</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Como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333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Mantova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322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Brescia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280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Cremona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268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Sondrio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264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Lecco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225</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Bergamo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190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Ancona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353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Fermo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338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Macerata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257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Ascoli Piceno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227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Pesaro e Urbino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226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Campobasso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Isernia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29</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Bolzano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433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Trento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314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Verbano-Cusio-Ossola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386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Torino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370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Biella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370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Asti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330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Cuneo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318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Novara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298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Alessandria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189</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Vercelli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174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Brindisi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161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Foggia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144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Lecce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98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Bari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91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Barletta-Andria-Trani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83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Taranto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68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Cagliari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123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Nuoro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120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Oristano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118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Sassari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92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Sud Sardegna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92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Caltanissetta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302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Messina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280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Enna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201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Trapani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201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Catania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198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Siracusa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176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Agrigento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131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Palermo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129</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Ragusa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107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Livorno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291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Pistoia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280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Grosseto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264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Arezzo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254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Siena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229</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Lucca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213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Massa Carrara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212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Pisa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210</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Firenze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207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Prato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162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Perugia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246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Terni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218</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Aosta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353</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Treviso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714</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Vicenza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597</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Venezia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556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Padova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542</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Verona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451</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Rovigo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356</w:t>
            </w:r>
          </w:p>
        </w:tc>
      </w:tr>
      <w:tr w:rsidR="00726EE0"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rPr>
                <w:rFonts w:cs="Calibri"/>
              </w:rPr>
            </w:pPr>
            <w:r>
              <w:rPr>
                <w:rFonts w:cs="Calibri"/>
              </w:rPr>
              <w:t>Belluno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726EE0" w:rsidRPr="00662C85" w:rsidRDefault="00726EE0" w:rsidP="00726EE0">
            <w:pPr>
              <w:spacing w:after="0" w:line="240" w:lineRule="auto"/>
              <w:jc w:val="center"/>
              <w:rPr>
                <w:rFonts w:cs="Calibri"/>
              </w:rPr>
            </w:pPr>
            <w:r>
              <w:rPr>
                <w:rFonts w:cs="Calibri"/>
              </w:rPr>
              <w:t>326</w:t>
            </w:r>
          </w:p>
        </w:tc>
      </w:tr>
    </w:tbl>
    <w:p w:rsidR="005E38B7" w:rsidRDefault="005E38B7" w:rsidP="005E38B7">
      <w:pPr>
        <w:widowControl w:val="0"/>
        <w:spacing w:after="80" w:line="240" w:lineRule="auto"/>
        <w:jc w:val="center"/>
      </w:pPr>
    </w:p>
    <w:p w:rsidR="005E38B7" w:rsidRPr="00234B97" w:rsidRDefault="005E38B7"/>
    <w:sectPr w:rsidR="005E38B7" w:rsidRPr="00234B97" w:rsidSect="00386929">
      <w:pgSz w:w="11900" w:h="16840"/>
      <w:pgMar w:top="1134" w:right="1134" w:bottom="1418" w:left="1134" w:header="709" w:footer="70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464644" w16cid:durableId="256DE43A"/>
  <w16cid:commentId w16cid:paraId="600299F5" w16cid:durableId="256DE43B"/>
  <w16cid:commentId w16cid:paraId="5ED9447D" w16cid:durableId="256DE43C"/>
  <w16cid:commentId w16cid:paraId="50254C3F" w16cid:durableId="256DE43D"/>
  <w16cid:commentId w16cid:paraId="5F3B72B9" w16cid:durableId="256DE45C"/>
  <w16cid:commentId w16cid:paraId="41EAE8C0" w16cid:durableId="256DE43E"/>
  <w16cid:commentId w16cid:paraId="6BEFDBBF" w16cid:durableId="256DE43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2C9" w:rsidRDefault="00D802C9">
      <w:pPr>
        <w:spacing w:after="0" w:line="240" w:lineRule="auto"/>
      </w:pPr>
      <w:r>
        <w:separator/>
      </w:r>
    </w:p>
  </w:endnote>
  <w:endnote w:type="continuationSeparator" w:id="0">
    <w:p w:rsidR="00D802C9" w:rsidRDefault="00D80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2C9" w:rsidRDefault="00D802C9">
      <w:pPr>
        <w:spacing w:after="0" w:line="240" w:lineRule="auto"/>
      </w:pPr>
      <w:r>
        <w:separator/>
      </w:r>
    </w:p>
  </w:footnote>
  <w:footnote w:type="continuationSeparator" w:id="0">
    <w:p w:rsidR="00D802C9" w:rsidRDefault="00D80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3"/>
  </w:num>
  <w:num w:numId="4">
    <w:abstractNumId w:val="12"/>
  </w:num>
  <w:num w:numId="5">
    <w:abstractNumId w:val="13"/>
  </w:num>
  <w:num w:numId="6">
    <w:abstractNumId w:val="30"/>
  </w:num>
  <w:num w:numId="7">
    <w:abstractNumId w:val="19"/>
  </w:num>
  <w:num w:numId="8">
    <w:abstractNumId w:val="2"/>
  </w:num>
  <w:num w:numId="9">
    <w:abstractNumId w:val="27"/>
  </w:num>
  <w:num w:numId="10">
    <w:abstractNumId w:val="6"/>
  </w:num>
  <w:num w:numId="11">
    <w:abstractNumId w:val="29"/>
  </w:num>
  <w:num w:numId="12">
    <w:abstractNumId w:val="0"/>
  </w:num>
  <w:num w:numId="13">
    <w:abstractNumId w:val="9"/>
  </w:num>
  <w:num w:numId="14">
    <w:abstractNumId w:val="23"/>
  </w:num>
  <w:num w:numId="15">
    <w:abstractNumId w:val="26"/>
  </w:num>
  <w:num w:numId="16">
    <w:abstractNumId w:val="11"/>
  </w:num>
  <w:num w:numId="17">
    <w:abstractNumId w:val="5"/>
  </w:num>
  <w:num w:numId="18">
    <w:abstractNumId w:val="14"/>
  </w:num>
  <w:num w:numId="19">
    <w:abstractNumId w:val="22"/>
  </w:num>
  <w:num w:numId="20">
    <w:abstractNumId w:val="4"/>
  </w:num>
  <w:num w:numId="21">
    <w:abstractNumId w:val="25"/>
  </w:num>
  <w:num w:numId="22">
    <w:abstractNumId w:val="16"/>
  </w:num>
  <w:num w:numId="23">
    <w:abstractNumId w:val="18"/>
  </w:num>
  <w:num w:numId="24">
    <w:abstractNumId w:val="21"/>
  </w:num>
  <w:num w:numId="25">
    <w:abstractNumId w:val="1"/>
  </w:num>
  <w:num w:numId="26">
    <w:abstractNumId w:val="20"/>
  </w:num>
  <w:num w:numId="27">
    <w:abstractNumId w:val="8"/>
  </w:num>
  <w:num w:numId="28">
    <w:abstractNumId w:val="28"/>
  </w:num>
  <w:num w:numId="29">
    <w:abstractNumId w:val="24"/>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22A7"/>
    <w:rsid w:val="00002300"/>
    <w:rsid w:val="00004BE3"/>
    <w:rsid w:val="00004BF7"/>
    <w:rsid w:val="00004CA3"/>
    <w:rsid w:val="00005129"/>
    <w:rsid w:val="00005172"/>
    <w:rsid w:val="000056DE"/>
    <w:rsid w:val="000066F6"/>
    <w:rsid w:val="0000714A"/>
    <w:rsid w:val="00007BF9"/>
    <w:rsid w:val="00007D52"/>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3800"/>
    <w:rsid w:val="00033A78"/>
    <w:rsid w:val="00033CE4"/>
    <w:rsid w:val="0003499E"/>
    <w:rsid w:val="00034A98"/>
    <w:rsid w:val="000352B4"/>
    <w:rsid w:val="00036D4B"/>
    <w:rsid w:val="000373F1"/>
    <w:rsid w:val="00037451"/>
    <w:rsid w:val="00037A0A"/>
    <w:rsid w:val="00037F01"/>
    <w:rsid w:val="000403D3"/>
    <w:rsid w:val="00040D5E"/>
    <w:rsid w:val="000410EA"/>
    <w:rsid w:val="000415C2"/>
    <w:rsid w:val="00041D6E"/>
    <w:rsid w:val="000421A9"/>
    <w:rsid w:val="00042E7E"/>
    <w:rsid w:val="00043C39"/>
    <w:rsid w:val="00044665"/>
    <w:rsid w:val="000453E7"/>
    <w:rsid w:val="00046B65"/>
    <w:rsid w:val="00051038"/>
    <w:rsid w:val="0005206B"/>
    <w:rsid w:val="00052578"/>
    <w:rsid w:val="000542D3"/>
    <w:rsid w:val="000552E2"/>
    <w:rsid w:val="00056C03"/>
    <w:rsid w:val="000572F4"/>
    <w:rsid w:val="00057324"/>
    <w:rsid w:val="0005772C"/>
    <w:rsid w:val="00057C36"/>
    <w:rsid w:val="00057E5F"/>
    <w:rsid w:val="0006040F"/>
    <w:rsid w:val="00061D4E"/>
    <w:rsid w:val="00062223"/>
    <w:rsid w:val="000625F5"/>
    <w:rsid w:val="00063723"/>
    <w:rsid w:val="000653E7"/>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62C3"/>
    <w:rsid w:val="00077B4C"/>
    <w:rsid w:val="00077B7F"/>
    <w:rsid w:val="000803DA"/>
    <w:rsid w:val="00080BE8"/>
    <w:rsid w:val="00080F14"/>
    <w:rsid w:val="0008362E"/>
    <w:rsid w:val="00083804"/>
    <w:rsid w:val="0008457A"/>
    <w:rsid w:val="00085386"/>
    <w:rsid w:val="00085D13"/>
    <w:rsid w:val="000871FB"/>
    <w:rsid w:val="00087236"/>
    <w:rsid w:val="0009249D"/>
    <w:rsid w:val="0009411D"/>
    <w:rsid w:val="00095584"/>
    <w:rsid w:val="00095667"/>
    <w:rsid w:val="00095DC5"/>
    <w:rsid w:val="00096350"/>
    <w:rsid w:val="000A00BA"/>
    <w:rsid w:val="000A08BA"/>
    <w:rsid w:val="000A0EDA"/>
    <w:rsid w:val="000A1093"/>
    <w:rsid w:val="000A422E"/>
    <w:rsid w:val="000A6581"/>
    <w:rsid w:val="000A6DB2"/>
    <w:rsid w:val="000A72BA"/>
    <w:rsid w:val="000B0548"/>
    <w:rsid w:val="000B0AC0"/>
    <w:rsid w:val="000B119C"/>
    <w:rsid w:val="000B1B66"/>
    <w:rsid w:val="000B21CF"/>
    <w:rsid w:val="000B242E"/>
    <w:rsid w:val="000B2449"/>
    <w:rsid w:val="000B25F9"/>
    <w:rsid w:val="000B3CDF"/>
    <w:rsid w:val="000B5AC9"/>
    <w:rsid w:val="000B6238"/>
    <w:rsid w:val="000C07AC"/>
    <w:rsid w:val="000C0A45"/>
    <w:rsid w:val="000C565B"/>
    <w:rsid w:val="000C63F8"/>
    <w:rsid w:val="000C6B69"/>
    <w:rsid w:val="000C7105"/>
    <w:rsid w:val="000C789B"/>
    <w:rsid w:val="000D0625"/>
    <w:rsid w:val="000D0980"/>
    <w:rsid w:val="000D1250"/>
    <w:rsid w:val="000D24D7"/>
    <w:rsid w:val="000D2A90"/>
    <w:rsid w:val="000D2CAA"/>
    <w:rsid w:val="000D3B36"/>
    <w:rsid w:val="000D40CB"/>
    <w:rsid w:val="000D5878"/>
    <w:rsid w:val="000D5B61"/>
    <w:rsid w:val="000D5C61"/>
    <w:rsid w:val="000D75CD"/>
    <w:rsid w:val="000D7E45"/>
    <w:rsid w:val="000E1A5A"/>
    <w:rsid w:val="000E2D17"/>
    <w:rsid w:val="000E476D"/>
    <w:rsid w:val="000E4A1A"/>
    <w:rsid w:val="000E5AB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EBD"/>
    <w:rsid w:val="00101803"/>
    <w:rsid w:val="001022BC"/>
    <w:rsid w:val="00102EF5"/>
    <w:rsid w:val="00103B2C"/>
    <w:rsid w:val="0010442F"/>
    <w:rsid w:val="00104974"/>
    <w:rsid w:val="00104DDA"/>
    <w:rsid w:val="0010568D"/>
    <w:rsid w:val="00106801"/>
    <w:rsid w:val="001104E4"/>
    <w:rsid w:val="00112E06"/>
    <w:rsid w:val="001130FB"/>
    <w:rsid w:val="00114088"/>
    <w:rsid w:val="00114459"/>
    <w:rsid w:val="00115B80"/>
    <w:rsid w:val="00116006"/>
    <w:rsid w:val="00116C93"/>
    <w:rsid w:val="00117E10"/>
    <w:rsid w:val="001203E4"/>
    <w:rsid w:val="00120DCD"/>
    <w:rsid w:val="00121EB7"/>
    <w:rsid w:val="00122302"/>
    <w:rsid w:val="0012327E"/>
    <w:rsid w:val="00123878"/>
    <w:rsid w:val="00123934"/>
    <w:rsid w:val="0012399B"/>
    <w:rsid w:val="00124890"/>
    <w:rsid w:val="0012540D"/>
    <w:rsid w:val="00126938"/>
    <w:rsid w:val="00127307"/>
    <w:rsid w:val="00127892"/>
    <w:rsid w:val="001304B0"/>
    <w:rsid w:val="0013077F"/>
    <w:rsid w:val="001324D5"/>
    <w:rsid w:val="00135006"/>
    <w:rsid w:val="00135D77"/>
    <w:rsid w:val="00135DBC"/>
    <w:rsid w:val="001367B8"/>
    <w:rsid w:val="0014031D"/>
    <w:rsid w:val="001410D3"/>
    <w:rsid w:val="0014184C"/>
    <w:rsid w:val="00141E72"/>
    <w:rsid w:val="00141F0A"/>
    <w:rsid w:val="00141F2F"/>
    <w:rsid w:val="00142677"/>
    <w:rsid w:val="001429C0"/>
    <w:rsid w:val="00144669"/>
    <w:rsid w:val="00144E5A"/>
    <w:rsid w:val="0014500F"/>
    <w:rsid w:val="00145AD6"/>
    <w:rsid w:val="00147243"/>
    <w:rsid w:val="001473B8"/>
    <w:rsid w:val="00150022"/>
    <w:rsid w:val="00150920"/>
    <w:rsid w:val="001513A9"/>
    <w:rsid w:val="001518FD"/>
    <w:rsid w:val="001527E3"/>
    <w:rsid w:val="001532BC"/>
    <w:rsid w:val="001533C7"/>
    <w:rsid w:val="001533DC"/>
    <w:rsid w:val="001546C9"/>
    <w:rsid w:val="00154EE5"/>
    <w:rsid w:val="00157CBE"/>
    <w:rsid w:val="00157F8B"/>
    <w:rsid w:val="00161281"/>
    <w:rsid w:val="00161AEE"/>
    <w:rsid w:val="001626C3"/>
    <w:rsid w:val="00162B3C"/>
    <w:rsid w:val="00162BE4"/>
    <w:rsid w:val="0016301A"/>
    <w:rsid w:val="0016350E"/>
    <w:rsid w:val="00163CCF"/>
    <w:rsid w:val="001667ED"/>
    <w:rsid w:val="0016753E"/>
    <w:rsid w:val="0016781B"/>
    <w:rsid w:val="00167984"/>
    <w:rsid w:val="00167C65"/>
    <w:rsid w:val="00171468"/>
    <w:rsid w:val="001715BB"/>
    <w:rsid w:val="00171FB8"/>
    <w:rsid w:val="0017205A"/>
    <w:rsid w:val="0017383E"/>
    <w:rsid w:val="00173E38"/>
    <w:rsid w:val="001753F4"/>
    <w:rsid w:val="00175709"/>
    <w:rsid w:val="00176590"/>
    <w:rsid w:val="00176B1E"/>
    <w:rsid w:val="00177874"/>
    <w:rsid w:val="001803BE"/>
    <w:rsid w:val="0018079D"/>
    <w:rsid w:val="00181994"/>
    <w:rsid w:val="00181F5C"/>
    <w:rsid w:val="00183B21"/>
    <w:rsid w:val="00184068"/>
    <w:rsid w:val="00184E2C"/>
    <w:rsid w:val="00186853"/>
    <w:rsid w:val="00186FBE"/>
    <w:rsid w:val="00187EBF"/>
    <w:rsid w:val="00191EB1"/>
    <w:rsid w:val="0019345D"/>
    <w:rsid w:val="00194F60"/>
    <w:rsid w:val="001956DC"/>
    <w:rsid w:val="001956DE"/>
    <w:rsid w:val="00197134"/>
    <w:rsid w:val="00197435"/>
    <w:rsid w:val="001A156C"/>
    <w:rsid w:val="001A1A34"/>
    <w:rsid w:val="001A1D07"/>
    <w:rsid w:val="001A25C7"/>
    <w:rsid w:val="001A2A7F"/>
    <w:rsid w:val="001A2CC0"/>
    <w:rsid w:val="001A2F4F"/>
    <w:rsid w:val="001A3E0F"/>
    <w:rsid w:val="001A3E43"/>
    <w:rsid w:val="001A4ADB"/>
    <w:rsid w:val="001A503E"/>
    <w:rsid w:val="001A50D6"/>
    <w:rsid w:val="001A5713"/>
    <w:rsid w:val="001A633C"/>
    <w:rsid w:val="001A65C5"/>
    <w:rsid w:val="001A7237"/>
    <w:rsid w:val="001A7CDE"/>
    <w:rsid w:val="001B0691"/>
    <w:rsid w:val="001B0764"/>
    <w:rsid w:val="001B3047"/>
    <w:rsid w:val="001B3764"/>
    <w:rsid w:val="001B3DE6"/>
    <w:rsid w:val="001B4693"/>
    <w:rsid w:val="001B71EA"/>
    <w:rsid w:val="001B723C"/>
    <w:rsid w:val="001C0EBF"/>
    <w:rsid w:val="001C3537"/>
    <w:rsid w:val="001C3E66"/>
    <w:rsid w:val="001C5BEA"/>
    <w:rsid w:val="001C7E16"/>
    <w:rsid w:val="001D0234"/>
    <w:rsid w:val="001D0943"/>
    <w:rsid w:val="001D0E98"/>
    <w:rsid w:val="001D224C"/>
    <w:rsid w:val="001D22BD"/>
    <w:rsid w:val="001D26AD"/>
    <w:rsid w:val="001D48DB"/>
    <w:rsid w:val="001D4DDE"/>
    <w:rsid w:val="001D5B10"/>
    <w:rsid w:val="001D7E62"/>
    <w:rsid w:val="001E1FB2"/>
    <w:rsid w:val="001E2196"/>
    <w:rsid w:val="001E4724"/>
    <w:rsid w:val="001E481E"/>
    <w:rsid w:val="001E49E6"/>
    <w:rsid w:val="001E5259"/>
    <w:rsid w:val="001E5653"/>
    <w:rsid w:val="001E6262"/>
    <w:rsid w:val="001E7AB9"/>
    <w:rsid w:val="001E7D82"/>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200400"/>
    <w:rsid w:val="002008E2"/>
    <w:rsid w:val="00201768"/>
    <w:rsid w:val="00201D62"/>
    <w:rsid w:val="00202793"/>
    <w:rsid w:val="00204D79"/>
    <w:rsid w:val="00205B01"/>
    <w:rsid w:val="0020699D"/>
    <w:rsid w:val="00207EFE"/>
    <w:rsid w:val="00210040"/>
    <w:rsid w:val="002122FF"/>
    <w:rsid w:val="002127CE"/>
    <w:rsid w:val="002127D1"/>
    <w:rsid w:val="00212F66"/>
    <w:rsid w:val="00213464"/>
    <w:rsid w:val="00213DE0"/>
    <w:rsid w:val="00214B7C"/>
    <w:rsid w:val="002158E7"/>
    <w:rsid w:val="00216973"/>
    <w:rsid w:val="00216F85"/>
    <w:rsid w:val="002171F6"/>
    <w:rsid w:val="002222F6"/>
    <w:rsid w:val="00223DBB"/>
    <w:rsid w:val="00223F5C"/>
    <w:rsid w:val="00224675"/>
    <w:rsid w:val="00226698"/>
    <w:rsid w:val="00226C11"/>
    <w:rsid w:val="00227577"/>
    <w:rsid w:val="002330ED"/>
    <w:rsid w:val="002348FC"/>
    <w:rsid w:val="00234B97"/>
    <w:rsid w:val="00234E8A"/>
    <w:rsid w:val="002351A0"/>
    <w:rsid w:val="00235552"/>
    <w:rsid w:val="00236626"/>
    <w:rsid w:val="002369FF"/>
    <w:rsid w:val="00236FB0"/>
    <w:rsid w:val="0024188A"/>
    <w:rsid w:val="002427A3"/>
    <w:rsid w:val="00243949"/>
    <w:rsid w:val="0024483B"/>
    <w:rsid w:val="00244983"/>
    <w:rsid w:val="00245030"/>
    <w:rsid w:val="00245DC3"/>
    <w:rsid w:val="00246954"/>
    <w:rsid w:val="0024739E"/>
    <w:rsid w:val="00247670"/>
    <w:rsid w:val="00247BA3"/>
    <w:rsid w:val="00250437"/>
    <w:rsid w:val="002515D1"/>
    <w:rsid w:val="00251A96"/>
    <w:rsid w:val="0025323D"/>
    <w:rsid w:val="00253DD5"/>
    <w:rsid w:val="002540D8"/>
    <w:rsid w:val="00254744"/>
    <w:rsid w:val="002549B0"/>
    <w:rsid w:val="002569A9"/>
    <w:rsid w:val="002572A2"/>
    <w:rsid w:val="002573BE"/>
    <w:rsid w:val="0026223C"/>
    <w:rsid w:val="00262272"/>
    <w:rsid w:val="002634F1"/>
    <w:rsid w:val="00263A36"/>
    <w:rsid w:val="00263DA4"/>
    <w:rsid w:val="0026464D"/>
    <w:rsid w:val="00265C72"/>
    <w:rsid w:val="00265ECF"/>
    <w:rsid w:val="00266358"/>
    <w:rsid w:val="002667D7"/>
    <w:rsid w:val="002669FF"/>
    <w:rsid w:val="00266BEA"/>
    <w:rsid w:val="00266FB9"/>
    <w:rsid w:val="0026717A"/>
    <w:rsid w:val="0026757D"/>
    <w:rsid w:val="002676BD"/>
    <w:rsid w:val="0026792F"/>
    <w:rsid w:val="00267F98"/>
    <w:rsid w:val="00272094"/>
    <w:rsid w:val="002739E8"/>
    <w:rsid w:val="00273C22"/>
    <w:rsid w:val="00275060"/>
    <w:rsid w:val="00275B6C"/>
    <w:rsid w:val="00275C72"/>
    <w:rsid w:val="00275FFE"/>
    <w:rsid w:val="00276FFD"/>
    <w:rsid w:val="00281537"/>
    <w:rsid w:val="00282D8E"/>
    <w:rsid w:val="0028387B"/>
    <w:rsid w:val="002846B6"/>
    <w:rsid w:val="00286961"/>
    <w:rsid w:val="00286F0E"/>
    <w:rsid w:val="002870DE"/>
    <w:rsid w:val="0029023D"/>
    <w:rsid w:val="00290AD4"/>
    <w:rsid w:val="00290E33"/>
    <w:rsid w:val="00291E7C"/>
    <w:rsid w:val="00291ECD"/>
    <w:rsid w:val="0029423D"/>
    <w:rsid w:val="0029562D"/>
    <w:rsid w:val="00296666"/>
    <w:rsid w:val="002970AF"/>
    <w:rsid w:val="00297667"/>
    <w:rsid w:val="002A0FB9"/>
    <w:rsid w:val="002A225E"/>
    <w:rsid w:val="002A2883"/>
    <w:rsid w:val="002A35BD"/>
    <w:rsid w:val="002A407A"/>
    <w:rsid w:val="002A4098"/>
    <w:rsid w:val="002A50E7"/>
    <w:rsid w:val="002A53C2"/>
    <w:rsid w:val="002B0423"/>
    <w:rsid w:val="002B20E2"/>
    <w:rsid w:val="002B2371"/>
    <w:rsid w:val="002B3E49"/>
    <w:rsid w:val="002B6B31"/>
    <w:rsid w:val="002B7A43"/>
    <w:rsid w:val="002C0EEE"/>
    <w:rsid w:val="002C16AA"/>
    <w:rsid w:val="002C19C1"/>
    <w:rsid w:val="002C23F8"/>
    <w:rsid w:val="002C2AF9"/>
    <w:rsid w:val="002C4CF0"/>
    <w:rsid w:val="002C672C"/>
    <w:rsid w:val="002C7BFD"/>
    <w:rsid w:val="002C7D11"/>
    <w:rsid w:val="002D15EC"/>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BAF"/>
    <w:rsid w:val="002E7DDE"/>
    <w:rsid w:val="002F4065"/>
    <w:rsid w:val="002F5606"/>
    <w:rsid w:val="002F60B6"/>
    <w:rsid w:val="002F6277"/>
    <w:rsid w:val="002F6D59"/>
    <w:rsid w:val="002F6DDF"/>
    <w:rsid w:val="002F76B6"/>
    <w:rsid w:val="002F7E69"/>
    <w:rsid w:val="002F7EF9"/>
    <w:rsid w:val="00300770"/>
    <w:rsid w:val="00301555"/>
    <w:rsid w:val="00301F67"/>
    <w:rsid w:val="00302774"/>
    <w:rsid w:val="00304225"/>
    <w:rsid w:val="00305C43"/>
    <w:rsid w:val="00305D40"/>
    <w:rsid w:val="00306478"/>
    <w:rsid w:val="00306641"/>
    <w:rsid w:val="003068D2"/>
    <w:rsid w:val="00310997"/>
    <w:rsid w:val="00312170"/>
    <w:rsid w:val="0031239E"/>
    <w:rsid w:val="00312A53"/>
    <w:rsid w:val="00312D49"/>
    <w:rsid w:val="00312EB1"/>
    <w:rsid w:val="00315A37"/>
    <w:rsid w:val="00315CB0"/>
    <w:rsid w:val="00317E3D"/>
    <w:rsid w:val="00320D92"/>
    <w:rsid w:val="00321CCA"/>
    <w:rsid w:val="00321D29"/>
    <w:rsid w:val="00322631"/>
    <w:rsid w:val="00322C39"/>
    <w:rsid w:val="003245C8"/>
    <w:rsid w:val="00325D76"/>
    <w:rsid w:val="00326426"/>
    <w:rsid w:val="0032674E"/>
    <w:rsid w:val="00326AB4"/>
    <w:rsid w:val="003274E5"/>
    <w:rsid w:val="00330F1C"/>
    <w:rsid w:val="00330F23"/>
    <w:rsid w:val="00331A02"/>
    <w:rsid w:val="00332BC9"/>
    <w:rsid w:val="00332E22"/>
    <w:rsid w:val="00333BB6"/>
    <w:rsid w:val="00333D4F"/>
    <w:rsid w:val="003350E5"/>
    <w:rsid w:val="0033511B"/>
    <w:rsid w:val="00337022"/>
    <w:rsid w:val="00337427"/>
    <w:rsid w:val="003375DC"/>
    <w:rsid w:val="00337B53"/>
    <w:rsid w:val="00340152"/>
    <w:rsid w:val="00340216"/>
    <w:rsid w:val="003408FB"/>
    <w:rsid w:val="0034119B"/>
    <w:rsid w:val="00342065"/>
    <w:rsid w:val="00342A3A"/>
    <w:rsid w:val="00345585"/>
    <w:rsid w:val="0034565E"/>
    <w:rsid w:val="00346171"/>
    <w:rsid w:val="003461BD"/>
    <w:rsid w:val="00350108"/>
    <w:rsid w:val="0035087A"/>
    <w:rsid w:val="00351746"/>
    <w:rsid w:val="00353CBD"/>
    <w:rsid w:val="00354B9D"/>
    <w:rsid w:val="0035543D"/>
    <w:rsid w:val="003565D0"/>
    <w:rsid w:val="00357327"/>
    <w:rsid w:val="00360D63"/>
    <w:rsid w:val="00360F67"/>
    <w:rsid w:val="003612F6"/>
    <w:rsid w:val="003614B8"/>
    <w:rsid w:val="00361905"/>
    <w:rsid w:val="0036518B"/>
    <w:rsid w:val="0036634C"/>
    <w:rsid w:val="00366CCB"/>
    <w:rsid w:val="00367020"/>
    <w:rsid w:val="00367AEB"/>
    <w:rsid w:val="0037026E"/>
    <w:rsid w:val="00370F56"/>
    <w:rsid w:val="003726E1"/>
    <w:rsid w:val="003727A7"/>
    <w:rsid w:val="00373CA2"/>
    <w:rsid w:val="0037430E"/>
    <w:rsid w:val="003744DF"/>
    <w:rsid w:val="003747F1"/>
    <w:rsid w:val="00376A63"/>
    <w:rsid w:val="00376B91"/>
    <w:rsid w:val="00382074"/>
    <w:rsid w:val="0038374F"/>
    <w:rsid w:val="00384423"/>
    <w:rsid w:val="00385025"/>
    <w:rsid w:val="00385C48"/>
    <w:rsid w:val="00386929"/>
    <w:rsid w:val="003874BF"/>
    <w:rsid w:val="003908B8"/>
    <w:rsid w:val="00390F8F"/>
    <w:rsid w:val="00391BD8"/>
    <w:rsid w:val="00391D3F"/>
    <w:rsid w:val="003920FB"/>
    <w:rsid w:val="0039246E"/>
    <w:rsid w:val="003932D6"/>
    <w:rsid w:val="00393652"/>
    <w:rsid w:val="00393F63"/>
    <w:rsid w:val="00394447"/>
    <w:rsid w:val="00394992"/>
    <w:rsid w:val="0039505A"/>
    <w:rsid w:val="003950EC"/>
    <w:rsid w:val="00396346"/>
    <w:rsid w:val="003A051C"/>
    <w:rsid w:val="003A0661"/>
    <w:rsid w:val="003A0D49"/>
    <w:rsid w:val="003A1AD0"/>
    <w:rsid w:val="003A2395"/>
    <w:rsid w:val="003A27B9"/>
    <w:rsid w:val="003A3BE0"/>
    <w:rsid w:val="003A422A"/>
    <w:rsid w:val="003A5301"/>
    <w:rsid w:val="003A5C42"/>
    <w:rsid w:val="003A62BF"/>
    <w:rsid w:val="003B0176"/>
    <w:rsid w:val="003B0299"/>
    <w:rsid w:val="003B02F3"/>
    <w:rsid w:val="003B0352"/>
    <w:rsid w:val="003B037E"/>
    <w:rsid w:val="003B0622"/>
    <w:rsid w:val="003B19AE"/>
    <w:rsid w:val="003B3D8B"/>
    <w:rsid w:val="003B53A4"/>
    <w:rsid w:val="003B5F29"/>
    <w:rsid w:val="003B632B"/>
    <w:rsid w:val="003B6B24"/>
    <w:rsid w:val="003B6F85"/>
    <w:rsid w:val="003B720F"/>
    <w:rsid w:val="003C0C5D"/>
    <w:rsid w:val="003C1341"/>
    <w:rsid w:val="003C17AF"/>
    <w:rsid w:val="003C186F"/>
    <w:rsid w:val="003C1BE8"/>
    <w:rsid w:val="003C1DF7"/>
    <w:rsid w:val="003C2801"/>
    <w:rsid w:val="003C47EA"/>
    <w:rsid w:val="003C4E72"/>
    <w:rsid w:val="003C5AEF"/>
    <w:rsid w:val="003C620D"/>
    <w:rsid w:val="003C6C3F"/>
    <w:rsid w:val="003C724A"/>
    <w:rsid w:val="003D049D"/>
    <w:rsid w:val="003D1170"/>
    <w:rsid w:val="003D2A0B"/>
    <w:rsid w:val="003D353F"/>
    <w:rsid w:val="003D3EE4"/>
    <w:rsid w:val="003D4011"/>
    <w:rsid w:val="003D4106"/>
    <w:rsid w:val="003D4657"/>
    <w:rsid w:val="003D4BA4"/>
    <w:rsid w:val="003D4BF6"/>
    <w:rsid w:val="003D4D75"/>
    <w:rsid w:val="003D514B"/>
    <w:rsid w:val="003D5397"/>
    <w:rsid w:val="003D5649"/>
    <w:rsid w:val="003D7D3B"/>
    <w:rsid w:val="003E083A"/>
    <w:rsid w:val="003E1DB5"/>
    <w:rsid w:val="003E293F"/>
    <w:rsid w:val="003E33FF"/>
    <w:rsid w:val="003E35A0"/>
    <w:rsid w:val="003E3679"/>
    <w:rsid w:val="003E3C44"/>
    <w:rsid w:val="003E3EB4"/>
    <w:rsid w:val="003E3FDD"/>
    <w:rsid w:val="003E49D4"/>
    <w:rsid w:val="003E512B"/>
    <w:rsid w:val="003E5D4D"/>
    <w:rsid w:val="003E5E24"/>
    <w:rsid w:val="003E6288"/>
    <w:rsid w:val="003E6CFB"/>
    <w:rsid w:val="003E6F3B"/>
    <w:rsid w:val="003E77B8"/>
    <w:rsid w:val="003F07EE"/>
    <w:rsid w:val="003F0B7E"/>
    <w:rsid w:val="003F0EDE"/>
    <w:rsid w:val="003F1259"/>
    <w:rsid w:val="003F1D57"/>
    <w:rsid w:val="003F2987"/>
    <w:rsid w:val="003F5167"/>
    <w:rsid w:val="003F5612"/>
    <w:rsid w:val="003F6A5F"/>
    <w:rsid w:val="003F6A89"/>
    <w:rsid w:val="003F6C05"/>
    <w:rsid w:val="003F7223"/>
    <w:rsid w:val="00400FA8"/>
    <w:rsid w:val="00402E63"/>
    <w:rsid w:val="0040351E"/>
    <w:rsid w:val="00403D87"/>
    <w:rsid w:val="004041F5"/>
    <w:rsid w:val="004044E5"/>
    <w:rsid w:val="00405588"/>
    <w:rsid w:val="004055EE"/>
    <w:rsid w:val="00406554"/>
    <w:rsid w:val="00407F58"/>
    <w:rsid w:val="0041023E"/>
    <w:rsid w:val="004127E6"/>
    <w:rsid w:val="004129D3"/>
    <w:rsid w:val="0041325C"/>
    <w:rsid w:val="00413881"/>
    <w:rsid w:val="00413AEA"/>
    <w:rsid w:val="00414033"/>
    <w:rsid w:val="00414839"/>
    <w:rsid w:val="00414912"/>
    <w:rsid w:val="004149C0"/>
    <w:rsid w:val="00415795"/>
    <w:rsid w:val="004167BB"/>
    <w:rsid w:val="00417326"/>
    <w:rsid w:val="00417D75"/>
    <w:rsid w:val="00420736"/>
    <w:rsid w:val="00421389"/>
    <w:rsid w:val="0042267C"/>
    <w:rsid w:val="0042340E"/>
    <w:rsid w:val="0043299D"/>
    <w:rsid w:val="00432C1D"/>
    <w:rsid w:val="00434350"/>
    <w:rsid w:val="00435333"/>
    <w:rsid w:val="00435DD8"/>
    <w:rsid w:val="00437754"/>
    <w:rsid w:val="0043788D"/>
    <w:rsid w:val="00440059"/>
    <w:rsid w:val="0044051F"/>
    <w:rsid w:val="004405AB"/>
    <w:rsid w:val="00440DF1"/>
    <w:rsid w:val="004410BB"/>
    <w:rsid w:val="0044264D"/>
    <w:rsid w:val="004428D2"/>
    <w:rsid w:val="00442D9F"/>
    <w:rsid w:val="00443AF2"/>
    <w:rsid w:val="00443F5B"/>
    <w:rsid w:val="00444814"/>
    <w:rsid w:val="00444CD7"/>
    <w:rsid w:val="0044576F"/>
    <w:rsid w:val="00445E8D"/>
    <w:rsid w:val="00446B62"/>
    <w:rsid w:val="00450520"/>
    <w:rsid w:val="00450606"/>
    <w:rsid w:val="00450FC6"/>
    <w:rsid w:val="0045113F"/>
    <w:rsid w:val="00451468"/>
    <w:rsid w:val="00451EEA"/>
    <w:rsid w:val="004535DC"/>
    <w:rsid w:val="0045576F"/>
    <w:rsid w:val="00455C5F"/>
    <w:rsid w:val="00456315"/>
    <w:rsid w:val="00457225"/>
    <w:rsid w:val="004572B2"/>
    <w:rsid w:val="00457621"/>
    <w:rsid w:val="00457942"/>
    <w:rsid w:val="00460941"/>
    <w:rsid w:val="00460D0D"/>
    <w:rsid w:val="0046121C"/>
    <w:rsid w:val="00461433"/>
    <w:rsid w:val="00463915"/>
    <w:rsid w:val="004642E7"/>
    <w:rsid w:val="00465213"/>
    <w:rsid w:val="00465DF9"/>
    <w:rsid w:val="00466C2D"/>
    <w:rsid w:val="00471002"/>
    <w:rsid w:val="0047216B"/>
    <w:rsid w:val="00472289"/>
    <w:rsid w:val="00472A5B"/>
    <w:rsid w:val="00473630"/>
    <w:rsid w:val="00474D7E"/>
    <w:rsid w:val="00475624"/>
    <w:rsid w:val="004759A5"/>
    <w:rsid w:val="00476376"/>
    <w:rsid w:val="004770F1"/>
    <w:rsid w:val="00477725"/>
    <w:rsid w:val="0047778D"/>
    <w:rsid w:val="00477B91"/>
    <w:rsid w:val="00477E2C"/>
    <w:rsid w:val="00477F83"/>
    <w:rsid w:val="0048071C"/>
    <w:rsid w:val="00480E53"/>
    <w:rsid w:val="004821B7"/>
    <w:rsid w:val="004824DB"/>
    <w:rsid w:val="00482785"/>
    <w:rsid w:val="0048371B"/>
    <w:rsid w:val="00483C7A"/>
    <w:rsid w:val="00484A42"/>
    <w:rsid w:val="00485372"/>
    <w:rsid w:val="00485811"/>
    <w:rsid w:val="004867DF"/>
    <w:rsid w:val="004875F7"/>
    <w:rsid w:val="00490739"/>
    <w:rsid w:val="00490CAB"/>
    <w:rsid w:val="0049135C"/>
    <w:rsid w:val="00491484"/>
    <w:rsid w:val="004919DD"/>
    <w:rsid w:val="004920AE"/>
    <w:rsid w:val="0049213B"/>
    <w:rsid w:val="0049218A"/>
    <w:rsid w:val="004921A6"/>
    <w:rsid w:val="0049267B"/>
    <w:rsid w:val="00492A5B"/>
    <w:rsid w:val="00493216"/>
    <w:rsid w:val="0049544D"/>
    <w:rsid w:val="0049549E"/>
    <w:rsid w:val="00495A9F"/>
    <w:rsid w:val="00496B48"/>
    <w:rsid w:val="00497D65"/>
    <w:rsid w:val="00497E19"/>
    <w:rsid w:val="004A0F1A"/>
    <w:rsid w:val="004A19D1"/>
    <w:rsid w:val="004A3027"/>
    <w:rsid w:val="004A309A"/>
    <w:rsid w:val="004A3B4B"/>
    <w:rsid w:val="004A447F"/>
    <w:rsid w:val="004A51BE"/>
    <w:rsid w:val="004A7B51"/>
    <w:rsid w:val="004B102C"/>
    <w:rsid w:val="004B1E0F"/>
    <w:rsid w:val="004B248A"/>
    <w:rsid w:val="004B3E0A"/>
    <w:rsid w:val="004B512D"/>
    <w:rsid w:val="004B5CB6"/>
    <w:rsid w:val="004B6438"/>
    <w:rsid w:val="004B6B3C"/>
    <w:rsid w:val="004C0E6D"/>
    <w:rsid w:val="004C18D7"/>
    <w:rsid w:val="004C3357"/>
    <w:rsid w:val="004C465D"/>
    <w:rsid w:val="004C62E3"/>
    <w:rsid w:val="004C70BD"/>
    <w:rsid w:val="004C75FC"/>
    <w:rsid w:val="004D0234"/>
    <w:rsid w:val="004D0247"/>
    <w:rsid w:val="004D0801"/>
    <w:rsid w:val="004D0D54"/>
    <w:rsid w:val="004D0E27"/>
    <w:rsid w:val="004D1C78"/>
    <w:rsid w:val="004D26F0"/>
    <w:rsid w:val="004D2A97"/>
    <w:rsid w:val="004D2E6B"/>
    <w:rsid w:val="004D3C41"/>
    <w:rsid w:val="004D3CD7"/>
    <w:rsid w:val="004D49EC"/>
    <w:rsid w:val="004D52D6"/>
    <w:rsid w:val="004D5525"/>
    <w:rsid w:val="004D562D"/>
    <w:rsid w:val="004D5CB3"/>
    <w:rsid w:val="004D5CBF"/>
    <w:rsid w:val="004D7ABD"/>
    <w:rsid w:val="004E117D"/>
    <w:rsid w:val="004E18F8"/>
    <w:rsid w:val="004E220C"/>
    <w:rsid w:val="004E289D"/>
    <w:rsid w:val="004E3F56"/>
    <w:rsid w:val="004E3F72"/>
    <w:rsid w:val="004E555F"/>
    <w:rsid w:val="004E6084"/>
    <w:rsid w:val="004E6C61"/>
    <w:rsid w:val="004F0669"/>
    <w:rsid w:val="004F07A7"/>
    <w:rsid w:val="004F17AF"/>
    <w:rsid w:val="004F2DDA"/>
    <w:rsid w:val="004F2E6B"/>
    <w:rsid w:val="004F4849"/>
    <w:rsid w:val="004F6556"/>
    <w:rsid w:val="004F70C6"/>
    <w:rsid w:val="004F798A"/>
    <w:rsid w:val="0050002C"/>
    <w:rsid w:val="00500148"/>
    <w:rsid w:val="00500C6B"/>
    <w:rsid w:val="00504F29"/>
    <w:rsid w:val="00505750"/>
    <w:rsid w:val="00505A98"/>
    <w:rsid w:val="00505C8D"/>
    <w:rsid w:val="00506BF3"/>
    <w:rsid w:val="00507572"/>
    <w:rsid w:val="005110E4"/>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3071C"/>
    <w:rsid w:val="00530B88"/>
    <w:rsid w:val="00530CC1"/>
    <w:rsid w:val="00531712"/>
    <w:rsid w:val="00531EFE"/>
    <w:rsid w:val="005329DE"/>
    <w:rsid w:val="00533B1C"/>
    <w:rsid w:val="0053578B"/>
    <w:rsid w:val="00535B9E"/>
    <w:rsid w:val="0053669F"/>
    <w:rsid w:val="00536726"/>
    <w:rsid w:val="00536DC0"/>
    <w:rsid w:val="005378B1"/>
    <w:rsid w:val="00540EB3"/>
    <w:rsid w:val="00542585"/>
    <w:rsid w:val="0054316E"/>
    <w:rsid w:val="00544321"/>
    <w:rsid w:val="00544794"/>
    <w:rsid w:val="00545404"/>
    <w:rsid w:val="005455CA"/>
    <w:rsid w:val="00547203"/>
    <w:rsid w:val="00547B69"/>
    <w:rsid w:val="00547F28"/>
    <w:rsid w:val="005521C0"/>
    <w:rsid w:val="00553823"/>
    <w:rsid w:val="00553FF4"/>
    <w:rsid w:val="005549FE"/>
    <w:rsid w:val="00554C0B"/>
    <w:rsid w:val="00554F5B"/>
    <w:rsid w:val="00555BDA"/>
    <w:rsid w:val="00555D82"/>
    <w:rsid w:val="005568AB"/>
    <w:rsid w:val="00557FA5"/>
    <w:rsid w:val="00560DC0"/>
    <w:rsid w:val="00561D9B"/>
    <w:rsid w:val="0056300B"/>
    <w:rsid w:val="00563184"/>
    <w:rsid w:val="00565708"/>
    <w:rsid w:val="00566BD9"/>
    <w:rsid w:val="005672CD"/>
    <w:rsid w:val="00567F60"/>
    <w:rsid w:val="00570A0E"/>
    <w:rsid w:val="00571451"/>
    <w:rsid w:val="00572677"/>
    <w:rsid w:val="0057319F"/>
    <w:rsid w:val="00573388"/>
    <w:rsid w:val="0057352F"/>
    <w:rsid w:val="00573CC2"/>
    <w:rsid w:val="00576516"/>
    <w:rsid w:val="005776BB"/>
    <w:rsid w:val="00580465"/>
    <w:rsid w:val="00580D28"/>
    <w:rsid w:val="00582285"/>
    <w:rsid w:val="00583951"/>
    <w:rsid w:val="00584564"/>
    <w:rsid w:val="00584F59"/>
    <w:rsid w:val="0058585F"/>
    <w:rsid w:val="00587698"/>
    <w:rsid w:val="0058785D"/>
    <w:rsid w:val="005913E3"/>
    <w:rsid w:val="0059338C"/>
    <w:rsid w:val="005943D6"/>
    <w:rsid w:val="00594D45"/>
    <w:rsid w:val="0059524A"/>
    <w:rsid w:val="00595E1C"/>
    <w:rsid w:val="00595E53"/>
    <w:rsid w:val="00596736"/>
    <w:rsid w:val="00596E5A"/>
    <w:rsid w:val="005979B2"/>
    <w:rsid w:val="005A102B"/>
    <w:rsid w:val="005A115D"/>
    <w:rsid w:val="005A1383"/>
    <w:rsid w:val="005A138A"/>
    <w:rsid w:val="005A162B"/>
    <w:rsid w:val="005A2F3C"/>
    <w:rsid w:val="005A3333"/>
    <w:rsid w:val="005A4857"/>
    <w:rsid w:val="005A52DD"/>
    <w:rsid w:val="005A6770"/>
    <w:rsid w:val="005A735E"/>
    <w:rsid w:val="005A755B"/>
    <w:rsid w:val="005A7880"/>
    <w:rsid w:val="005B103D"/>
    <w:rsid w:val="005B129C"/>
    <w:rsid w:val="005B1AF1"/>
    <w:rsid w:val="005B3275"/>
    <w:rsid w:val="005B3D56"/>
    <w:rsid w:val="005B4786"/>
    <w:rsid w:val="005B48EF"/>
    <w:rsid w:val="005B4F47"/>
    <w:rsid w:val="005B5BC3"/>
    <w:rsid w:val="005B5BD7"/>
    <w:rsid w:val="005B6229"/>
    <w:rsid w:val="005C1BAF"/>
    <w:rsid w:val="005C1E30"/>
    <w:rsid w:val="005C1E56"/>
    <w:rsid w:val="005C2C9D"/>
    <w:rsid w:val="005C335F"/>
    <w:rsid w:val="005C40D9"/>
    <w:rsid w:val="005C4488"/>
    <w:rsid w:val="005C52AD"/>
    <w:rsid w:val="005C61A2"/>
    <w:rsid w:val="005C6FBE"/>
    <w:rsid w:val="005C7C17"/>
    <w:rsid w:val="005D08F1"/>
    <w:rsid w:val="005D1676"/>
    <w:rsid w:val="005D18C9"/>
    <w:rsid w:val="005D1A29"/>
    <w:rsid w:val="005D1E21"/>
    <w:rsid w:val="005D214D"/>
    <w:rsid w:val="005D3686"/>
    <w:rsid w:val="005D5B02"/>
    <w:rsid w:val="005D5E18"/>
    <w:rsid w:val="005E0815"/>
    <w:rsid w:val="005E0EA1"/>
    <w:rsid w:val="005E19B1"/>
    <w:rsid w:val="005E1B40"/>
    <w:rsid w:val="005E236E"/>
    <w:rsid w:val="005E26E5"/>
    <w:rsid w:val="005E375E"/>
    <w:rsid w:val="005E38B7"/>
    <w:rsid w:val="005E3BF0"/>
    <w:rsid w:val="005E3CC5"/>
    <w:rsid w:val="005E411F"/>
    <w:rsid w:val="005E5FFA"/>
    <w:rsid w:val="005E7ECA"/>
    <w:rsid w:val="005F14E1"/>
    <w:rsid w:val="005F1BEA"/>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3956"/>
    <w:rsid w:val="006042E7"/>
    <w:rsid w:val="006049EE"/>
    <w:rsid w:val="00605F09"/>
    <w:rsid w:val="0060713D"/>
    <w:rsid w:val="00610E6C"/>
    <w:rsid w:val="0061216F"/>
    <w:rsid w:val="006121D4"/>
    <w:rsid w:val="00613848"/>
    <w:rsid w:val="00614210"/>
    <w:rsid w:val="00614835"/>
    <w:rsid w:val="0061581B"/>
    <w:rsid w:val="00615DC1"/>
    <w:rsid w:val="0061675A"/>
    <w:rsid w:val="00617672"/>
    <w:rsid w:val="006176B8"/>
    <w:rsid w:val="00617D14"/>
    <w:rsid w:val="0062012B"/>
    <w:rsid w:val="006204CC"/>
    <w:rsid w:val="00622991"/>
    <w:rsid w:val="006236A4"/>
    <w:rsid w:val="006237F8"/>
    <w:rsid w:val="00624679"/>
    <w:rsid w:val="00624898"/>
    <w:rsid w:val="00624DFE"/>
    <w:rsid w:val="00626103"/>
    <w:rsid w:val="0062682F"/>
    <w:rsid w:val="00630FF7"/>
    <w:rsid w:val="0063151F"/>
    <w:rsid w:val="00631870"/>
    <w:rsid w:val="00632644"/>
    <w:rsid w:val="00632798"/>
    <w:rsid w:val="00632B7B"/>
    <w:rsid w:val="00634030"/>
    <w:rsid w:val="00634936"/>
    <w:rsid w:val="006362D6"/>
    <w:rsid w:val="006369E2"/>
    <w:rsid w:val="00636A4A"/>
    <w:rsid w:val="00636D6F"/>
    <w:rsid w:val="006370BE"/>
    <w:rsid w:val="00637C16"/>
    <w:rsid w:val="00637ECB"/>
    <w:rsid w:val="00637F15"/>
    <w:rsid w:val="006404C4"/>
    <w:rsid w:val="00640F5E"/>
    <w:rsid w:val="00641764"/>
    <w:rsid w:val="00641859"/>
    <w:rsid w:val="00643C9B"/>
    <w:rsid w:val="0064474F"/>
    <w:rsid w:val="006473B3"/>
    <w:rsid w:val="006479B3"/>
    <w:rsid w:val="00647D99"/>
    <w:rsid w:val="00647FC0"/>
    <w:rsid w:val="006501A2"/>
    <w:rsid w:val="00650970"/>
    <w:rsid w:val="00651334"/>
    <w:rsid w:val="00651524"/>
    <w:rsid w:val="00652231"/>
    <w:rsid w:val="006533D4"/>
    <w:rsid w:val="006533D8"/>
    <w:rsid w:val="00653636"/>
    <w:rsid w:val="0065366C"/>
    <w:rsid w:val="00653A32"/>
    <w:rsid w:val="00655803"/>
    <w:rsid w:val="00655A1E"/>
    <w:rsid w:val="00656118"/>
    <w:rsid w:val="00656F03"/>
    <w:rsid w:val="006603AC"/>
    <w:rsid w:val="006608D4"/>
    <w:rsid w:val="00660954"/>
    <w:rsid w:val="00662C85"/>
    <w:rsid w:val="00663407"/>
    <w:rsid w:val="00663DCF"/>
    <w:rsid w:val="006642BB"/>
    <w:rsid w:val="00664F82"/>
    <w:rsid w:val="006662C5"/>
    <w:rsid w:val="00666867"/>
    <w:rsid w:val="00666A47"/>
    <w:rsid w:val="00672C34"/>
    <w:rsid w:val="00672F5A"/>
    <w:rsid w:val="0067368F"/>
    <w:rsid w:val="00673E96"/>
    <w:rsid w:val="006743B7"/>
    <w:rsid w:val="00676314"/>
    <w:rsid w:val="00677ADA"/>
    <w:rsid w:val="00677B01"/>
    <w:rsid w:val="0068026F"/>
    <w:rsid w:val="0068195B"/>
    <w:rsid w:val="00684004"/>
    <w:rsid w:val="0068405E"/>
    <w:rsid w:val="006850DD"/>
    <w:rsid w:val="00686C1B"/>
    <w:rsid w:val="00690B90"/>
    <w:rsid w:val="00691E7E"/>
    <w:rsid w:val="006927A5"/>
    <w:rsid w:val="00692A2C"/>
    <w:rsid w:val="00694315"/>
    <w:rsid w:val="00694ABC"/>
    <w:rsid w:val="00694C16"/>
    <w:rsid w:val="00694C54"/>
    <w:rsid w:val="00695005"/>
    <w:rsid w:val="0069612A"/>
    <w:rsid w:val="00696746"/>
    <w:rsid w:val="006A03AB"/>
    <w:rsid w:val="006A204B"/>
    <w:rsid w:val="006A22DD"/>
    <w:rsid w:val="006A37A7"/>
    <w:rsid w:val="006A3F3C"/>
    <w:rsid w:val="006A5D49"/>
    <w:rsid w:val="006A7099"/>
    <w:rsid w:val="006B344A"/>
    <w:rsid w:val="006B365C"/>
    <w:rsid w:val="006B3B7F"/>
    <w:rsid w:val="006B6E29"/>
    <w:rsid w:val="006B75AC"/>
    <w:rsid w:val="006B77FA"/>
    <w:rsid w:val="006C08D3"/>
    <w:rsid w:val="006C142C"/>
    <w:rsid w:val="006C147D"/>
    <w:rsid w:val="006C1992"/>
    <w:rsid w:val="006C1AB3"/>
    <w:rsid w:val="006C2782"/>
    <w:rsid w:val="006C2BF6"/>
    <w:rsid w:val="006C2FDF"/>
    <w:rsid w:val="006C322E"/>
    <w:rsid w:val="006C3678"/>
    <w:rsid w:val="006C7761"/>
    <w:rsid w:val="006C78E5"/>
    <w:rsid w:val="006D0DB7"/>
    <w:rsid w:val="006D1931"/>
    <w:rsid w:val="006D26E1"/>
    <w:rsid w:val="006D2E9D"/>
    <w:rsid w:val="006D32F4"/>
    <w:rsid w:val="006D3C23"/>
    <w:rsid w:val="006D60A3"/>
    <w:rsid w:val="006D67CC"/>
    <w:rsid w:val="006D6A4B"/>
    <w:rsid w:val="006E201D"/>
    <w:rsid w:val="006E2AC2"/>
    <w:rsid w:val="006E2BC3"/>
    <w:rsid w:val="006E2DDC"/>
    <w:rsid w:val="006E2E12"/>
    <w:rsid w:val="006E4065"/>
    <w:rsid w:val="006E44E8"/>
    <w:rsid w:val="006E4555"/>
    <w:rsid w:val="006E4E9A"/>
    <w:rsid w:val="006E5F58"/>
    <w:rsid w:val="006E6EF5"/>
    <w:rsid w:val="006E6F88"/>
    <w:rsid w:val="006E759D"/>
    <w:rsid w:val="006F0419"/>
    <w:rsid w:val="006F05AA"/>
    <w:rsid w:val="006F1B45"/>
    <w:rsid w:val="006F2768"/>
    <w:rsid w:val="006F3DD6"/>
    <w:rsid w:val="006F4447"/>
    <w:rsid w:val="006F46F1"/>
    <w:rsid w:val="006F5548"/>
    <w:rsid w:val="006F5A3D"/>
    <w:rsid w:val="006F6446"/>
    <w:rsid w:val="006F6B3E"/>
    <w:rsid w:val="006F7494"/>
    <w:rsid w:val="00701FEB"/>
    <w:rsid w:val="00705146"/>
    <w:rsid w:val="00705A25"/>
    <w:rsid w:val="00705BEA"/>
    <w:rsid w:val="00707895"/>
    <w:rsid w:val="00707C7F"/>
    <w:rsid w:val="00710276"/>
    <w:rsid w:val="00710899"/>
    <w:rsid w:val="007111CC"/>
    <w:rsid w:val="0071252F"/>
    <w:rsid w:val="007126C0"/>
    <w:rsid w:val="0071308F"/>
    <w:rsid w:val="0071337F"/>
    <w:rsid w:val="007135C5"/>
    <w:rsid w:val="00713E29"/>
    <w:rsid w:val="007145F8"/>
    <w:rsid w:val="00714C4E"/>
    <w:rsid w:val="00715C90"/>
    <w:rsid w:val="00715CA2"/>
    <w:rsid w:val="00716676"/>
    <w:rsid w:val="00716FA6"/>
    <w:rsid w:val="0072059E"/>
    <w:rsid w:val="00720639"/>
    <w:rsid w:val="00721048"/>
    <w:rsid w:val="00721D49"/>
    <w:rsid w:val="007237EA"/>
    <w:rsid w:val="00724FE4"/>
    <w:rsid w:val="00725AE5"/>
    <w:rsid w:val="00726EE0"/>
    <w:rsid w:val="00727126"/>
    <w:rsid w:val="007273EF"/>
    <w:rsid w:val="007275D3"/>
    <w:rsid w:val="00727B91"/>
    <w:rsid w:val="00730711"/>
    <w:rsid w:val="00731555"/>
    <w:rsid w:val="0073276E"/>
    <w:rsid w:val="007328D1"/>
    <w:rsid w:val="00732E1A"/>
    <w:rsid w:val="007334AB"/>
    <w:rsid w:val="00733C9C"/>
    <w:rsid w:val="00733EDF"/>
    <w:rsid w:val="007355A6"/>
    <w:rsid w:val="00735B0D"/>
    <w:rsid w:val="00736022"/>
    <w:rsid w:val="00736B4B"/>
    <w:rsid w:val="00736C14"/>
    <w:rsid w:val="007403B2"/>
    <w:rsid w:val="00741703"/>
    <w:rsid w:val="00741B18"/>
    <w:rsid w:val="007433AC"/>
    <w:rsid w:val="00743F51"/>
    <w:rsid w:val="00745607"/>
    <w:rsid w:val="007459B0"/>
    <w:rsid w:val="00745D53"/>
    <w:rsid w:val="00746D21"/>
    <w:rsid w:val="00747B61"/>
    <w:rsid w:val="00750B6D"/>
    <w:rsid w:val="0075163A"/>
    <w:rsid w:val="00753317"/>
    <w:rsid w:val="00753DEA"/>
    <w:rsid w:val="00753E57"/>
    <w:rsid w:val="007575B8"/>
    <w:rsid w:val="00757965"/>
    <w:rsid w:val="00760751"/>
    <w:rsid w:val="00760FA9"/>
    <w:rsid w:val="007627B7"/>
    <w:rsid w:val="007634C0"/>
    <w:rsid w:val="00763956"/>
    <w:rsid w:val="0076460C"/>
    <w:rsid w:val="00764772"/>
    <w:rsid w:val="00765343"/>
    <w:rsid w:val="007654A2"/>
    <w:rsid w:val="007654DA"/>
    <w:rsid w:val="00766C89"/>
    <w:rsid w:val="007672F4"/>
    <w:rsid w:val="00770441"/>
    <w:rsid w:val="00770468"/>
    <w:rsid w:val="00771925"/>
    <w:rsid w:val="00774250"/>
    <w:rsid w:val="00775180"/>
    <w:rsid w:val="007756ED"/>
    <w:rsid w:val="00775DC3"/>
    <w:rsid w:val="00776FE3"/>
    <w:rsid w:val="00777916"/>
    <w:rsid w:val="00781526"/>
    <w:rsid w:val="007825E9"/>
    <w:rsid w:val="00782610"/>
    <w:rsid w:val="00782A95"/>
    <w:rsid w:val="007831C1"/>
    <w:rsid w:val="00784E4D"/>
    <w:rsid w:val="00790569"/>
    <w:rsid w:val="00790EA2"/>
    <w:rsid w:val="007917C5"/>
    <w:rsid w:val="00791E54"/>
    <w:rsid w:val="0079301A"/>
    <w:rsid w:val="007936A8"/>
    <w:rsid w:val="00793A6D"/>
    <w:rsid w:val="00793BD4"/>
    <w:rsid w:val="00793D2F"/>
    <w:rsid w:val="00793FA3"/>
    <w:rsid w:val="007945DD"/>
    <w:rsid w:val="00794F6E"/>
    <w:rsid w:val="00796514"/>
    <w:rsid w:val="00796F41"/>
    <w:rsid w:val="00797AB7"/>
    <w:rsid w:val="007A01BF"/>
    <w:rsid w:val="007A0D05"/>
    <w:rsid w:val="007A2B0B"/>
    <w:rsid w:val="007A2D20"/>
    <w:rsid w:val="007A5044"/>
    <w:rsid w:val="007A602C"/>
    <w:rsid w:val="007A6242"/>
    <w:rsid w:val="007A69F8"/>
    <w:rsid w:val="007A6E24"/>
    <w:rsid w:val="007A7FFB"/>
    <w:rsid w:val="007B0A1A"/>
    <w:rsid w:val="007B1735"/>
    <w:rsid w:val="007B2AD3"/>
    <w:rsid w:val="007B2B6D"/>
    <w:rsid w:val="007B2CD4"/>
    <w:rsid w:val="007B33B7"/>
    <w:rsid w:val="007B398D"/>
    <w:rsid w:val="007B43CC"/>
    <w:rsid w:val="007B4655"/>
    <w:rsid w:val="007B682B"/>
    <w:rsid w:val="007B6DAF"/>
    <w:rsid w:val="007C11CB"/>
    <w:rsid w:val="007C4ED4"/>
    <w:rsid w:val="007C52BF"/>
    <w:rsid w:val="007C5961"/>
    <w:rsid w:val="007C59CB"/>
    <w:rsid w:val="007C6E4D"/>
    <w:rsid w:val="007D101B"/>
    <w:rsid w:val="007D10E0"/>
    <w:rsid w:val="007D1633"/>
    <w:rsid w:val="007D2352"/>
    <w:rsid w:val="007D2680"/>
    <w:rsid w:val="007D29FD"/>
    <w:rsid w:val="007D2BB8"/>
    <w:rsid w:val="007D3363"/>
    <w:rsid w:val="007D47A3"/>
    <w:rsid w:val="007D5A05"/>
    <w:rsid w:val="007D5F8C"/>
    <w:rsid w:val="007D70D0"/>
    <w:rsid w:val="007E07AE"/>
    <w:rsid w:val="007E0A27"/>
    <w:rsid w:val="007E1912"/>
    <w:rsid w:val="007E1F3B"/>
    <w:rsid w:val="007E2283"/>
    <w:rsid w:val="007E2586"/>
    <w:rsid w:val="007E30D5"/>
    <w:rsid w:val="007E3D23"/>
    <w:rsid w:val="007E4710"/>
    <w:rsid w:val="007E4775"/>
    <w:rsid w:val="007E5D35"/>
    <w:rsid w:val="007E629F"/>
    <w:rsid w:val="007E79D7"/>
    <w:rsid w:val="007F1012"/>
    <w:rsid w:val="007F139F"/>
    <w:rsid w:val="007F1BAD"/>
    <w:rsid w:val="007F2079"/>
    <w:rsid w:val="007F391B"/>
    <w:rsid w:val="007F4CB5"/>
    <w:rsid w:val="007F4E31"/>
    <w:rsid w:val="007F5B75"/>
    <w:rsid w:val="007F6C2C"/>
    <w:rsid w:val="007F6D39"/>
    <w:rsid w:val="007F79CD"/>
    <w:rsid w:val="007F79F1"/>
    <w:rsid w:val="008002F6"/>
    <w:rsid w:val="008005C0"/>
    <w:rsid w:val="00801062"/>
    <w:rsid w:val="00801B23"/>
    <w:rsid w:val="00801F3C"/>
    <w:rsid w:val="008020E7"/>
    <w:rsid w:val="00803E96"/>
    <w:rsid w:val="0080443D"/>
    <w:rsid w:val="008061EC"/>
    <w:rsid w:val="00811174"/>
    <w:rsid w:val="008119C5"/>
    <w:rsid w:val="00811B49"/>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7BE"/>
    <w:rsid w:val="0083354D"/>
    <w:rsid w:val="00833A0A"/>
    <w:rsid w:val="00836403"/>
    <w:rsid w:val="00836563"/>
    <w:rsid w:val="00836759"/>
    <w:rsid w:val="008376AB"/>
    <w:rsid w:val="00837F1E"/>
    <w:rsid w:val="00840EBB"/>
    <w:rsid w:val="0084280A"/>
    <w:rsid w:val="00842C8F"/>
    <w:rsid w:val="008434F4"/>
    <w:rsid w:val="008436F7"/>
    <w:rsid w:val="00843C5C"/>
    <w:rsid w:val="008444B0"/>
    <w:rsid w:val="008456D9"/>
    <w:rsid w:val="0084571A"/>
    <w:rsid w:val="00846200"/>
    <w:rsid w:val="0084665B"/>
    <w:rsid w:val="0085003A"/>
    <w:rsid w:val="008502AF"/>
    <w:rsid w:val="00851CCD"/>
    <w:rsid w:val="00852C4B"/>
    <w:rsid w:val="00854918"/>
    <w:rsid w:val="0085491E"/>
    <w:rsid w:val="008551BE"/>
    <w:rsid w:val="008552D6"/>
    <w:rsid w:val="0085655A"/>
    <w:rsid w:val="00857AB0"/>
    <w:rsid w:val="00860EFA"/>
    <w:rsid w:val="008610FE"/>
    <w:rsid w:val="008617F3"/>
    <w:rsid w:val="00861A3B"/>
    <w:rsid w:val="00863261"/>
    <w:rsid w:val="00864639"/>
    <w:rsid w:val="008663EB"/>
    <w:rsid w:val="00866C02"/>
    <w:rsid w:val="008673F0"/>
    <w:rsid w:val="00867620"/>
    <w:rsid w:val="00867F5D"/>
    <w:rsid w:val="008703FF"/>
    <w:rsid w:val="00870881"/>
    <w:rsid w:val="0087125A"/>
    <w:rsid w:val="00872355"/>
    <w:rsid w:val="0087236F"/>
    <w:rsid w:val="00872CB5"/>
    <w:rsid w:val="008738A0"/>
    <w:rsid w:val="00875B0E"/>
    <w:rsid w:val="00875ED5"/>
    <w:rsid w:val="00877372"/>
    <w:rsid w:val="008777DB"/>
    <w:rsid w:val="008807AE"/>
    <w:rsid w:val="0088094C"/>
    <w:rsid w:val="00880B5D"/>
    <w:rsid w:val="00880C14"/>
    <w:rsid w:val="008823A3"/>
    <w:rsid w:val="0088256B"/>
    <w:rsid w:val="008828FB"/>
    <w:rsid w:val="00883915"/>
    <w:rsid w:val="00883D66"/>
    <w:rsid w:val="00884B82"/>
    <w:rsid w:val="00885FFC"/>
    <w:rsid w:val="008864FB"/>
    <w:rsid w:val="008867EF"/>
    <w:rsid w:val="00890638"/>
    <w:rsid w:val="008947F5"/>
    <w:rsid w:val="008948AD"/>
    <w:rsid w:val="00894C91"/>
    <w:rsid w:val="008A0975"/>
    <w:rsid w:val="008A1771"/>
    <w:rsid w:val="008A1ACA"/>
    <w:rsid w:val="008A2274"/>
    <w:rsid w:val="008A228F"/>
    <w:rsid w:val="008A297F"/>
    <w:rsid w:val="008A299E"/>
    <w:rsid w:val="008A3887"/>
    <w:rsid w:val="008A3B8C"/>
    <w:rsid w:val="008A44E1"/>
    <w:rsid w:val="008A5F85"/>
    <w:rsid w:val="008A6C7F"/>
    <w:rsid w:val="008A7B7E"/>
    <w:rsid w:val="008B15D8"/>
    <w:rsid w:val="008B1D8F"/>
    <w:rsid w:val="008B22E8"/>
    <w:rsid w:val="008B2AAF"/>
    <w:rsid w:val="008B33A7"/>
    <w:rsid w:val="008B3B5E"/>
    <w:rsid w:val="008B4CFE"/>
    <w:rsid w:val="008B58F8"/>
    <w:rsid w:val="008B5F68"/>
    <w:rsid w:val="008B625F"/>
    <w:rsid w:val="008C05C3"/>
    <w:rsid w:val="008C1196"/>
    <w:rsid w:val="008C1A88"/>
    <w:rsid w:val="008C1F7C"/>
    <w:rsid w:val="008C27CE"/>
    <w:rsid w:val="008C4763"/>
    <w:rsid w:val="008C5E4E"/>
    <w:rsid w:val="008C626F"/>
    <w:rsid w:val="008C677D"/>
    <w:rsid w:val="008C684A"/>
    <w:rsid w:val="008C6E0A"/>
    <w:rsid w:val="008D00D2"/>
    <w:rsid w:val="008D21DE"/>
    <w:rsid w:val="008D351A"/>
    <w:rsid w:val="008D3CA5"/>
    <w:rsid w:val="008D5B8B"/>
    <w:rsid w:val="008D5FB8"/>
    <w:rsid w:val="008D7A28"/>
    <w:rsid w:val="008D7B00"/>
    <w:rsid w:val="008E0517"/>
    <w:rsid w:val="008E1A1B"/>
    <w:rsid w:val="008E1CD0"/>
    <w:rsid w:val="008E2689"/>
    <w:rsid w:val="008E304D"/>
    <w:rsid w:val="008E33A1"/>
    <w:rsid w:val="008E4092"/>
    <w:rsid w:val="008E4B12"/>
    <w:rsid w:val="008E7049"/>
    <w:rsid w:val="008F0A73"/>
    <w:rsid w:val="008F11C8"/>
    <w:rsid w:val="008F284F"/>
    <w:rsid w:val="008F29A1"/>
    <w:rsid w:val="008F2AB2"/>
    <w:rsid w:val="008F3DF3"/>
    <w:rsid w:val="008F41E1"/>
    <w:rsid w:val="008F4EDC"/>
    <w:rsid w:val="008F66E7"/>
    <w:rsid w:val="008F76A3"/>
    <w:rsid w:val="00900B1E"/>
    <w:rsid w:val="0090300F"/>
    <w:rsid w:val="00903DE5"/>
    <w:rsid w:val="00905FCC"/>
    <w:rsid w:val="009061FE"/>
    <w:rsid w:val="00906BDB"/>
    <w:rsid w:val="00907D11"/>
    <w:rsid w:val="00910EAA"/>
    <w:rsid w:val="00912454"/>
    <w:rsid w:val="009129F1"/>
    <w:rsid w:val="00913ACC"/>
    <w:rsid w:val="00913BEB"/>
    <w:rsid w:val="00913E30"/>
    <w:rsid w:val="00914317"/>
    <w:rsid w:val="00916DF2"/>
    <w:rsid w:val="00920965"/>
    <w:rsid w:val="00921171"/>
    <w:rsid w:val="009216B6"/>
    <w:rsid w:val="009231D3"/>
    <w:rsid w:val="00924945"/>
    <w:rsid w:val="00924D28"/>
    <w:rsid w:val="00924D62"/>
    <w:rsid w:val="0092593F"/>
    <w:rsid w:val="00930098"/>
    <w:rsid w:val="0093219B"/>
    <w:rsid w:val="009322D3"/>
    <w:rsid w:val="009332D3"/>
    <w:rsid w:val="009346D0"/>
    <w:rsid w:val="00935328"/>
    <w:rsid w:val="00935401"/>
    <w:rsid w:val="00936B4D"/>
    <w:rsid w:val="00936D85"/>
    <w:rsid w:val="009403CB"/>
    <w:rsid w:val="00940E5B"/>
    <w:rsid w:val="00941445"/>
    <w:rsid w:val="00942B70"/>
    <w:rsid w:val="00942F02"/>
    <w:rsid w:val="00944092"/>
    <w:rsid w:val="00946299"/>
    <w:rsid w:val="0094638F"/>
    <w:rsid w:val="009466A4"/>
    <w:rsid w:val="00946F37"/>
    <w:rsid w:val="00947096"/>
    <w:rsid w:val="00947330"/>
    <w:rsid w:val="00947865"/>
    <w:rsid w:val="00952462"/>
    <w:rsid w:val="0095311B"/>
    <w:rsid w:val="00953D24"/>
    <w:rsid w:val="00955021"/>
    <w:rsid w:val="00955B70"/>
    <w:rsid w:val="009562A0"/>
    <w:rsid w:val="0095662D"/>
    <w:rsid w:val="00957769"/>
    <w:rsid w:val="00957924"/>
    <w:rsid w:val="00957E32"/>
    <w:rsid w:val="00961084"/>
    <w:rsid w:val="009615E6"/>
    <w:rsid w:val="00961D34"/>
    <w:rsid w:val="009630F6"/>
    <w:rsid w:val="009643C6"/>
    <w:rsid w:val="0096654A"/>
    <w:rsid w:val="00971726"/>
    <w:rsid w:val="00971802"/>
    <w:rsid w:val="00971D6F"/>
    <w:rsid w:val="00972DD8"/>
    <w:rsid w:val="00973EE1"/>
    <w:rsid w:val="0097494A"/>
    <w:rsid w:val="00975A2D"/>
    <w:rsid w:val="00975FC3"/>
    <w:rsid w:val="009762C3"/>
    <w:rsid w:val="0097785F"/>
    <w:rsid w:val="009809FC"/>
    <w:rsid w:val="00980BB4"/>
    <w:rsid w:val="0098299E"/>
    <w:rsid w:val="00982AA4"/>
    <w:rsid w:val="00982E58"/>
    <w:rsid w:val="00982FBA"/>
    <w:rsid w:val="00983763"/>
    <w:rsid w:val="00984496"/>
    <w:rsid w:val="0098487C"/>
    <w:rsid w:val="00984C2B"/>
    <w:rsid w:val="00984FFB"/>
    <w:rsid w:val="00985E6B"/>
    <w:rsid w:val="00986267"/>
    <w:rsid w:val="00986C25"/>
    <w:rsid w:val="0098713B"/>
    <w:rsid w:val="009905F1"/>
    <w:rsid w:val="00991024"/>
    <w:rsid w:val="00992766"/>
    <w:rsid w:val="00993472"/>
    <w:rsid w:val="00993DFA"/>
    <w:rsid w:val="00993E22"/>
    <w:rsid w:val="00997C03"/>
    <w:rsid w:val="00997E70"/>
    <w:rsid w:val="009A1C72"/>
    <w:rsid w:val="009A1DFB"/>
    <w:rsid w:val="009A1E61"/>
    <w:rsid w:val="009A3154"/>
    <w:rsid w:val="009A341F"/>
    <w:rsid w:val="009A34E5"/>
    <w:rsid w:val="009A389D"/>
    <w:rsid w:val="009A3BFF"/>
    <w:rsid w:val="009A4229"/>
    <w:rsid w:val="009A4F94"/>
    <w:rsid w:val="009A5F9F"/>
    <w:rsid w:val="009A647E"/>
    <w:rsid w:val="009A6621"/>
    <w:rsid w:val="009B067C"/>
    <w:rsid w:val="009B13A0"/>
    <w:rsid w:val="009B2C8D"/>
    <w:rsid w:val="009B2F08"/>
    <w:rsid w:val="009B371B"/>
    <w:rsid w:val="009B4B46"/>
    <w:rsid w:val="009B5DA0"/>
    <w:rsid w:val="009B6252"/>
    <w:rsid w:val="009B71E8"/>
    <w:rsid w:val="009B7CBC"/>
    <w:rsid w:val="009C0E68"/>
    <w:rsid w:val="009C0F77"/>
    <w:rsid w:val="009C32CB"/>
    <w:rsid w:val="009C36F3"/>
    <w:rsid w:val="009C41D8"/>
    <w:rsid w:val="009C44C5"/>
    <w:rsid w:val="009C48C9"/>
    <w:rsid w:val="009D052A"/>
    <w:rsid w:val="009D348E"/>
    <w:rsid w:val="009D4A03"/>
    <w:rsid w:val="009D710A"/>
    <w:rsid w:val="009D74BC"/>
    <w:rsid w:val="009E0CAE"/>
    <w:rsid w:val="009E269C"/>
    <w:rsid w:val="009E2750"/>
    <w:rsid w:val="009E27B4"/>
    <w:rsid w:val="009E40E3"/>
    <w:rsid w:val="009E41F3"/>
    <w:rsid w:val="009E42F7"/>
    <w:rsid w:val="009E4CC9"/>
    <w:rsid w:val="009E53C6"/>
    <w:rsid w:val="009E6B01"/>
    <w:rsid w:val="009E7E3F"/>
    <w:rsid w:val="009F18AC"/>
    <w:rsid w:val="009F33ED"/>
    <w:rsid w:val="009F5E5D"/>
    <w:rsid w:val="009F73FD"/>
    <w:rsid w:val="009F764A"/>
    <w:rsid w:val="009F77A2"/>
    <w:rsid w:val="00A00F54"/>
    <w:rsid w:val="00A01528"/>
    <w:rsid w:val="00A02B6E"/>
    <w:rsid w:val="00A03998"/>
    <w:rsid w:val="00A03AAC"/>
    <w:rsid w:val="00A03F9C"/>
    <w:rsid w:val="00A047C6"/>
    <w:rsid w:val="00A058D9"/>
    <w:rsid w:val="00A06C04"/>
    <w:rsid w:val="00A06D49"/>
    <w:rsid w:val="00A07987"/>
    <w:rsid w:val="00A108BA"/>
    <w:rsid w:val="00A110EF"/>
    <w:rsid w:val="00A1291F"/>
    <w:rsid w:val="00A12C1B"/>
    <w:rsid w:val="00A12ECD"/>
    <w:rsid w:val="00A13133"/>
    <w:rsid w:val="00A13153"/>
    <w:rsid w:val="00A1387C"/>
    <w:rsid w:val="00A13AE3"/>
    <w:rsid w:val="00A13EAB"/>
    <w:rsid w:val="00A13F38"/>
    <w:rsid w:val="00A14CE0"/>
    <w:rsid w:val="00A15244"/>
    <w:rsid w:val="00A153C5"/>
    <w:rsid w:val="00A156F8"/>
    <w:rsid w:val="00A16EF0"/>
    <w:rsid w:val="00A1731E"/>
    <w:rsid w:val="00A17AAF"/>
    <w:rsid w:val="00A22D49"/>
    <w:rsid w:val="00A24D7C"/>
    <w:rsid w:val="00A25280"/>
    <w:rsid w:val="00A25891"/>
    <w:rsid w:val="00A263C6"/>
    <w:rsid w:val="00A303CB"/>
    <w:rsid w:val="00A303F6"/>
    <w:rsid w:val="00A30596"/>
    <w:rsid w:val="00A3065C"/>
    <w:rsid w:val="00A314DD"/>
    <w:rsid w:val="00A321C6"/>
    <w:rsid w:val="00A32AD4"/>
    <w:rsid w:val="00A33529"/>
    <w:rsid w:val="00A33BE7"/>
    <w:rsid w:val="00A33F59"/>
    <w:rsid w:val="00A346DD"/>
    <w:rsid w:val="00A36909"/>
    <w:rsid w:val="00A37905"/>
    <w:rsid w:val="00A37F61"/>
    <w:rsid w:val="00A40F01"/>
    <w:rsid w:val="00A42754"/>
    <w:rsid w:val="00A438B3"/>
    <w:rsid w:val="00A44550"/>
    <w:rsid w:val="00A44EAA"/>
    <w:rsid w:val="00A45C23"/>
    <w:rsid w:val="00A46150"/>
    <w:rsid w:val="00A46611"/>
    <w:rsid w:val="00A46946"/>
    <w:rsid w:val="00A46CEC"/>
    <w:rsid w:val="00A46E1B"/>
    <w:rsid w:val="00A46F1D"/>
    <w:rsid w:val="00A47155"/>
    <w:rsid w:val="00A474BF"/>
    <w:rsid w:val="00A47542"/>
    <w:rsid w:val="00A51B01"/>
    <w:rsid w:val="00A51CC9"/>
    <w:rsid w:val="00A525F7"/>
    <w:rsid w:val="00A53C37"/>
    <w:rsid w:val="00A553F8"/>
    <w:rsid w:val="00A554EF"/>
    <w:rsid w:val="00A5573C"/>
    <w:rsid w:val="00A5586E"/>
    <w:rsid w:val="00A564F2"/>
    <w:rsid w:val="00A56ABF"/>
    <w:rsid w:val="00A56D3A"/>
    <w:rsid w:val="00A5775A"/>
    <w:rsid w:val="00A60B78"/>
    <w:rsid w:val="00A60D85"/>
    <w:rsid w:val="00A64725"/>
    <w:rsid w:val="00A64FB3"/>
    <w:rsid w:val="00A65462"/>
    <w:rsid w:val="00A700EF"/>
    <w:rsid w:val="00A703E5"/>
    <w:rsid w:val="00A7130A"/>
    <w:rsid w:val="00A72492"/>
    <w:rsid w:val="00A74C39"/>
    <w:rsid w:val="00A75312"/>
    <w:rsid w:val="00A75868"/>
    <w:rsid w:val="00A76391"/>
    <w:rsid w:val="00A76E11"/>
    <w:rsid w:val="00A7772E"/>
    <w:rsid w:val="00A77BBF"/>
    <w:rsid w:val="00A80B27"/>
    <w:rsid w:val="00A81E2A"/>
    <w:rsid w:val="00A8444F"/>
    <w:rsid w:val="00A85051"/>
    <w:rsid w:val="00A86B88"/>
    <w:rsid w:val="00A86CE3"/>
    <w:rsid w:val="00A87AF2"/>
    <w:rsid w:val="00A914AC"/>
    <w:rsid w:val="00A94175"/>
    <w:rsid w:val="00A941CA"/>
    <w:rsid w:val="00A94F9E"/>
    <w:rsid w:val="00A951A4"/>
    <w:rsid w:val="00AA014E"/>
    <w:rsid w:val="00AA149F"/>
    <w:rsid w:val="00AA1561"/>
    <w:rsid w:val="00AA1E07"/>
    <w:rsid w:val="00AA212C"/>
    <w:rsid w:val="00AA33DA"/>
    <w:rsid w:val="00AA3622"/>
    <w:rsid w:val="00AA3B0A"/>
    <w:rsid w:val="00AA3F44"/>
    <w:rsid w:val="00AA4374"/>
    <w:rsid w:val="00AA58B0"/>
    <w:rsid w:val="00AA6389"/>
    <w:rsid w:val="00AA64E5"/>
    <w:rsid w:val="00AA6C06"/>
    <w:rsid w:val="00AA7725"/>
    <w:rsid w:val="00AB1094"/>
    <w:rsid w:val="00AB1454"/>
    <w:rsid w:val="00AB1727"/>
    <w:rsid w:val="00AB2BE7"/>
    <w:rsid w:val="00AB3133"/>
    <w:rsid w:val="00AB4E9F"/>
    <w:rsid w:val="00AB6121"/>
    <w:rsid w:val="00AB62F8"/>
    <w:rsid w:val="00AC1851"/>
    <w:rsid w:val="00AC1A43"/>
    <w:rsid w:val="00AC22AB"/>
    <w:rsid w:val="00AC2B7E"/>
    <w:rsid w:val="00AC2F43"/>
    <w:rsid w:val="00AC451C"/>
    <w:rsid w:val="00AC62A8"/>
    <w:rsid w:val="00AD1E10"/>
    <w:rsid w:val="00AD2EF1"/>
    <w:rsid w:val="00AD4BCC"/>
    <w:rsid w:val="00AD5A55"/>
    <w:rsid w:val="00AD5A92"/>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A72"/>
    <w:rsid w:val="00AE7D92"/>
    <w:rsid w:val="00AF0139"/>
    <w:rsid w:val="00AF08E9"/>
    <w:rsid w:val="00AF0F8E"/>
    <w:rsid w:val="00AF1020"/>
    <w:rsid w:val="00AF12C3"/>
    <w:rsid w:val="00AF16A2"/>
    <w:rsid w:val="00AF30DA"/>
    <w:rsid w:val="00AF3E34"/>
    <w:rsid w:val="00AF432C"/>
    <w:rsid w:val="00AF47DF"/>
    <w:rsid w:val="00AF5D96"/>
    <w:rsid w:val="00AF6AB2"/>
    <w:rsid w:val="00AF6DD7"/>
    <w:rsid w:val="00AF7B6E"/>
    <w:rsid w:val="00B00C4C"/>
    <w:rsid w:val="00B03E87"/>
    <w:rsid w:val="00B0473F"/>
    <w:rsid w:val="00B05121"/>
    <w:rsid w:val="00B063E2"/>
    <w:rsid w:val="00B07EF4"/>
    <w:rsid w:val="00B11517"/>
    <w:rsid w:val="00B12B0E"/>
    <w:rsid w:val="00B132E7"/>
    <w:rsid w:val="00B137B8"/>
    <w:rsid w:val="00B140FC"/>
    <w:rsid w:val="00B14D76"/>
    <w:rsid w:val="00B17F0A"/>
    <w:rsid w:val="00B254AD"/>
    <w:rsid w:val="00B305F0"/>
    <w:rsid w:val="00B30901"/>
    <w:rsid w:val="00B30C5E"/>
    <w:rsid w:val="00B32455"/>
    <w:rsid w:val="00B324DC"/>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C56"/>
    <w:rsid w:val="00B46E4C"/>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E79"/>
    <w:rsid w:val="00B6203D"/>
    <w:rsid w:val="00B635A4"/>
    <w:rsid w:val="00B649F9"/>
    <w:rsid w:val="00B66203"/>
    <w:rsid w:val="00B668A8"/>
    <w:rsid w:val="00B672EA"/>
    <w:rsid w:val="00B67538"/>
    <w:rsid w:val="00B70699"/>
    <w:rsid w:val="00B70759"/>
    <w:rsid w:val="00B7201F"/>
    <w:rsid w:val="00B72828"/>
    <w:rsid w:val="00B740D8"/>
    <w:rsid w:val="00B7494F"/>
    <w:rsid w:val="00B74FCA"/>
    <w:rsid w:val="00B75A9C"/>
    <w:rsid w:val="00B7657B"/>
    <w:rsid w:val="00B77E16"/>
    <w:rsid w:val="00B80C2A"/>
    <w:rsid w:val="00B81071"/>
    <w:rsid w:val="00B8174F"/>
    <w:rsid w:val="00B81B08"/>
    <w:rsid w:val="00B83727"/>
    <w:rsid w:val="00B842A4"/>
    <w:rsid w:val="00B85EBA"/>
    <w:rsid w:val="00B86D74"/>
    <w:rsid w:val="00B86D95"/>
    <w:rsid w:val="00B86DE1"/>
    <w:rsid w:val="00B90481"/>
    <w:rsid w:val="00B90D08"/>
    <w:rsid w:val="00B91F2F"/>
    <w:rsid w:val="00B91F34"/>
    <w:rsid w:val="00B922F0"/>
    <w:rsid w:val="00B92CB4"/>
    <w:rsid w:val="00B935C1"/>
    <w:rsid w:val="00B94292"/>
    <w:rsid w:val="00B9485B"/>
    <w:rsid w:val="00B9495B"/>
    <w:rsid w:val="00B950D8"/>
    <w:rsid w:val="00B951CE"/>
    <w:rsid w:val="00B951EB"/>
    <w:rsid w:val="00BA058F"/>
    <w:rsid w:val="00BA0BFE"/>
    <w:rsid w:val="00BA0E9E"/>
    <w:rsid w:val="00BA184B"/>
    <w:rsid w:val="00BA213A"/>
    <w:rsid w:val="00BA25F4"/>
    <w:rsid w:val="00BA37C0"/>
    <w:rsid w:val="00BA43D6"/>
    <w:rsid w:val="00BA66B2"/>
    <w:rsid w:val="00BA7ED4"/>
    <w:rsid w:val="00BB04A6"/>
    <w:rsid w:val="00BB07D7"/>
    <w:rsid w:val="00BB0B64"/>
    <w:rsid w:val="00BB16C6"/>
    <w:rsid w:val="00BB1851"/>
    <w:rsid w:val="00BB383A"/>
    <w:rsid w:val="00BB5F01"/>
    <w:rsid w:val="00BB60A5"/>
    <w:rsid w:val="00BB793E"/>
    <w:rsid w:val="00BC0336"/>
    <w:rsid w:val="00BC0433"/>
    <w:rsid w:val="00BC1FCA"/>
    <w:rsid w:val="00BC2423"/>
    <w:rsid w:val="00BC338E"/>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7F8"/>
    <w:rsid w:val="00BD36AF"/>
    <w:rsid w:val="00BD3F2E"/>
    <w:rsid w:val="00BD4719"/>
    <w:rsid w:val="00BD4CEC"/>
    <w:rsid w:val="00BD5050"/>
    <w:rsid w:val="00BD67DE"/>
    <w:rsid w:val="00BD684B"/>
    <w:rsid w:val="00BD6AC0"/>
    <w:rsid w:val="00BD7112"/>
    <w:rsid w:val="00BD7ADC"/>
    <w:rsid w:val="00BD7DAB"/>
    <w:rsid w:val="00BE1761"/>
    <w:rsid w:val="00BE26B2"/>
    <w:rsid w:val="00BE32A5"/>
    <w:rsid w:val="00BE3414"/>
    <w:rsid w:val="00BE3893"/>
    <w:rsid w:val="00BE3F28"/>
    <w:rsid w:val="00BE3F2B"/>
    <w:rsid w:val="00BE5078"/>
    <w:rsid w:val="00BE5310"/>
    <w:rsid w:val="00BE6B62"/>
    <w:rsid w:val="00BE774D"/>
    <w:rsid w:val="00BF05A8"/>
    <w:rsid w:val="00BF12A8"/>
    <w:rsid w:val="00BF1551"/>
    <w:rsid w:val="00BF270D"/>
    <w:rsid w:val="00BF36B3"/>
    <w:rsid w:val="00BF469C"/>
    <w:rsid w:val="00BF55B6"/>
    <w:rsid w:val="00BF5C23"/>
    <w:rsid w:val="00BF7794"/>
    <w:rsid w:val="00C00CFE"/>
    <w:rsid w:val="00C02CEF"/>
    <w:rsid w:val="00C03625"/>
    <w:rsid w:val="00C049FB"/>
    <w:rsid w:val="00C04A14"/>
    <w:rsid w:val="00C07B82"/>
    <w:rsid w:val="00C10469"/>
    <w:rsid w:val="00C1172E"/>
    <w:rsid w:val="00C12AB9"/>
    <w:rsid w:val="00C14970"/>
    <w:rsid w:val="00C15A30"/>
    <w:rsid w:val="00C15EAF"/>
    <w:rsid w:val="00C15F87"/>
    <w:rsid w:val="00C16995"/>
    <w:rsid w:val="00C174AA"/>
    <w:rsid w:val="00C21A63"/>
    <w:rsid w:val="00C22774"/>
    <w:rsid w:val="00C23477"/>
    <w:rsid w:val="00C235D7"/>
    <w:rsid w:val="00C24A58"/>
    <w:rsid w:val="00C24DC9"/>
    <w:rsid w:val="00C2588C"/>
    <w:rsid w:val="00C25CCC"/>
    <w:rsid w:val="00C2652A"/>
    <w:rsid w:val="00C265DE"/>
    <w:rsid w:val="00C269F1"/>
    <w:rsid w:val="00C26E1B"/>
    <w:rsid w:val="00C27C15"/>
    <w:rsid w:val="00C30159"/>
    <w:rsid w:val="00C30D3B"/>
    <w:rsid w:val="00C31A2B"/>
    <w:rsid w:val="00C31A5D"/>
    <w:rsid w:val="00C320D6"/>
    <w:rsid w:val="00C33661"/>
    <w:rsid w:val="00C35270"/>
    <w:rsid w:val="00C3740F"/>
    <w:rsid w:val="00C40581"/>
    <w:rsid w:val="00C40A92"/>
    <w:rsid w:val="00C41B42"/>
    <w:rsid w:val="00C4313A"/>
    <w:rsid w:val="00C43985"/>
    <w:rsid w:val="00C44288"/>
    <w:rsid w:val="00C4440A"/>
    <w:rsid w:val="00C44F88"/>
    <w:rsid w:val="00C45B48"/>
    <w:rsid w:val="00C45FA1"/>
    <w:rsid w:val="00C464DA"/>
    <w:rsid w:val="00C46FF1"/>
    <w:rsid w:val="00C50B1C"/>
    <w:rsid w:val="00C50BD9"/>
    <w:rsid w:val="00C510AB"/>
    <w:rsid w:val="00C52085"/>
    <w:rsid w:val="00C5216E"/>
    <w:rsid w:val="00C526A6"/>
    <w:rsid w:val="00C5279E"/>
    <w:rsid w:val="00C534E1"/>
    <w:rsid w:val="00C53812"/>
    <w:rsid w:val="00C54017"/>
    <w:rsid w:val="00C54FAD"/>
    <w:rsid w:val="00C550FD"/>
    <w:rsid w:val="00C5672F"/>
    <w:rsid w:val="00C569D7"/>
    <w:rsid w:val="00C57BD2"/>
    <w:rsid w:val="00C60722"/>
    <w:rsid w:val="00C61D81"/>
    <w:rsid w:val="00C6367C"/>
    <w:rsid w:val="00C63886"/>
    <w:rsid w:val="00C644BF"/>
    <w:rsid w:val="00C65468"/>
    <w:rsid w:val="00C6598C"/>
    <w:rsid w:val="00C66BFE"/>
    <w:rsid w:val="00C66C47"/>
    <w:rsid w:val="00C70295"/>
    <w:rsid w:val="00C702F9"/>
    <w:rsid w:val="00C71231"/>
    <w:rsid w:val="00C718CD"/>
    <w:rsid w:val="00C73150"/>
    <w:rsid w:val="00C744C9"/>
    <w:rsid w:val="00C75102"/>
    <w:rsid w:val="00C760F3"/>
    <w:rsid w:val="00C817D6"/>
    <w:rsid w:val="00C81A82"/>
    <w:rsid w:val="00C82D0C"/>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32C"/>
    <w:rsid w:val="00C97388"/>
    <w:rsid w:val="00C974D4"/>
    <w:rsid w:val="00CA0901"/>
    <w:rsid w:val="00CA2A80"/>
    <w:rsid w:val="00CA6ACC"/>
    <w:rsid w:val="00CA73D7"/>
    <w:rsid w:val="00CA7ACB"/>
    <w:rsid w:val="00CB0E1E"/>
    <w:rsid w:val="00CB20B0"/>
    <w:rsid w:val="00CB2555"/>
    <w:rsid w:val="00CB2C68"/>
    <w:rsid w:val="00CB3727"/>
    <w:rsid w:val="00CB3BD4"/>
    <w:rsid w:val="00CB49DD"/>
    <w:rsid w:val="00CB5C32"/>
    <w:rsid w:val="00CB5CD3"/>
    <w:rsid w:val="00CB5E57"/>
    <w:rsid w:val="00CB6568"/>
    <w:rsid w:val="00CB7A6F"/>
    <w:rsid w:val="00CB7AA3"/>
    <w:rsid w:val="00CC0DB4"/>
    <w:rsid w:val="00CC2FB5"/>
    <w:rsid w:val="00CC5999"/>
    <w:rsid w:val="00CC620E"/>
    <w:rsid w:val="00CC6E57"/>
    <w:rsid w:val="00CC6E95"/>
    <w:rsid w:val="00CC723C"/>
    <w:rsid w:val="00CC75F9"/>
    <w:rsid w:val="00CC7750"/>
    <w:rsid w:val="00CC7A39"/>
    <w:rsid w:val="00CD03D4"/>
    <w:rsid w:val="00CD06DE"/>
    <w:rsid w:val="00CD09A4"/>
    <w:rsid w:val="00CD0E65"/>
    <w:rsid w:val="00CD10F7"/>
    <w:rsid w:val="00CD2020"/>
    <w:rsid w:val="00CD29D5"/>
    <w:rsid w:val="00CD409D"/>
    <w:rsid w:val="00CD4B38"/>
    <w:rsid w:val="00CD53ED"/>
    <w:rsid w:val="00CD582C"/>
    <w:rsid w:val="00CD5A84"/>
    <w:rsid w:val="00CD74C7"/>
    <w:rsid w:val="00CD7610"/>
    <w:rsid w:val="00CE09E6"/>
    <w:rsid w:val="00CE0F85"/>
    <w:rsid w:val="00CE119C"/>
    <w:rsid w:val="00CE26B3"/>
    <w:rsid w:val="00CE3EAA"/>
    <w:rsid w:val="00CE547E"/>
    <w:rsid w:val="00CE577D"/>
    <w:rsid w:val="00CE58E8"/>
    <w:rsid w:val="00CE5B08"/>
    <w:rsid w:val="00CE670D"/>
    <w:rsid w:val="00CE72C7"/>
    <w:rsid w:val="00CF062A"/>
    <w:rsid w:val="00CF11B3"/>
    <w:rsid w:val="00CF2295"/>
    <w:rsid w:val="00CF2721"/>
    <w:rsid w:val="00CF3AB6"/>
    <w:rsid w:val="00CF456C"/>
    <w:rsid w:val="00CF5DEB"/>
    <w:rsid w:val="00CF68DE"/>
    <w:rsid w:val="00CF72E9"/>
    <w:rsid w:val="00CF74E2"/>
    <w:rsid w:val="00D001BF"/>
    <w:rsid w:val="00D00D7E"/>
    <w:rsid w:val="00D00E9B"/>
    <w:rsid w:val="00D01A49"/>
    <w:rsid w:val="00D01B87"/>
    <w:rsid w:val="00D0282D"/>
    <w:rsid w:val="00D02D5E"/>
    <w:rsid w:val="00D0315E"/>
    <w:rsid w:val="00D0330D"/>
    <w:rsid w:val="00D0379C"/>
    <w:rsid w:val="00D03965"/>
    <w:rsid w:val="00D03C0F"/>
    <w:rsid w:val="00D04E11"/>
    <w:rsid w:val="00D067F0"/>
    <w:rsid w:val="00D06F8F"/>
    <w:rsid w:val="00D1010A"/>
    <w:rsid w:val="00D12939"/>
    <w:rsid w:val="00D1391B"/>
    <w:rsid w:val="00D1563D"/>
    <w:rsid w:val="00D1624F"/>
    <w:rsid w:val="00D17415"/>
    <w:rsid w:val="00D203E1"/>
    <w:rsid w:val="00D20A66"/>
    <w:rsid w:val="00D21777"/>
    <w:rsid w:val="00D225B0"/>
    <w:rsid w:val="00D22854"/>
    <w:rsid w:val="00D23836"/>
    <w:rsid w:val="00D241E2"/>
    <w:rsid w:val="00D25531"/>
    <w:rsid w:val="00D257A4"/>
    <w:rsid w:val="00D25F6D"/>
    <w:rsid w:val="00D26A8F"/>
    <w:rsid w:val="00D30329"/>
    <w:rsid w:val="00D30930"/>
    <w:rsid w:val="00D325D0"/>
    <w:rsid w:val="00D33951"/>
    <w:rsid w:val="00D34004"/>
    <w:rsid w:val="00D34302"/>
    <w:rsid w:val="00D3433F"/>
    <w:rsid w:val="00D36B44"/>
    <w:rsid w:val="00D37DB1"/>
    <w:rsid w:val="00D405FC"/>
    <w:rsid w:val="00D41BA2"/>
    <w:rsid w:val="00D42384"/>
    <w:rsid w:val="00D42875"/>
    <w:rsid w:val="00D42AAE"/>
    <w:rsid w:val="00D43896"/>
    <w:rsid w:val="00D44FB8"/>
    <w:rsid w:val="00D45C5F"/>
    <w:rsid w:val="00D46B30"/>
    <w:rsid w:val="00D50EF0"/>
    <w:rsid w:val="00D50EF2"/>
    <w:rsid w:val="00D50FC1"/>
    <w:rsid w:val="00D511EF"/>
    <w:rsid w:val="00D538B5"/>
    <w:rsid w:val="00D540E6"/>
    <w:rsid w:val="00D5452F"/>
    <w:rsid w:val="00D54B4A"/>
    <w:rsid w:val="00D55C02"/>
    <w:rsid w:val="00D563B4"/>
    <w:rsid w:val="00D56BB9"/>
    <w:rsid w:val="00D5785E"/>
    <w:rsid w:val="00D61C25"/>
    <w:rsid w:val="00D62A37"/>
    <w:rsid w:val="00D62CC9"/>
    <w:rsid w:val="00D63D7A"/>
    <w:rsid w:val="00D64DEC"/>
    <w:rsid w:val="00D65B96"/>
    <w:rsid w:val="00D6645A"/>
    <w:rsid w:val="00D707B3"/>
    <w:rsid w:val="00D718F5"/>
    <w:rsid w:val="00D71F7F"/>
    <w:rsid w:val="00D729A6"/>
    <w:rsid w:val="00D744AC"/>
    <w:rsid w:val="00D75179"/>
    <w:rsid w:val="00D76765"/>
    <w:rsid w:val="00D7724D"/>
    <w:rsid w:val="00D7796E"/>
    <w:rsid w:val="00D77EAE"/>
    <w:rsid w:val="00D802C9"/>
    <w:rsid w:val="00D80DD9"/>
    <w:rsid w:val="00D8144D"/>
    <w:rsid w:val="00D82264"/>
    <w:rsid w:val="00D828A0"/>
    <w:rsid w:val="00D82F01"/>
    <w:rsid w:val="00D82FAF"/>
    <w:rsid w:val="00D83353"/>
    <w:rsid w:val="00D84781"/>
    <w:rsid w:val="00D84790"/>
    <w:rsid w:val="00D9230D"/>
    <w:rsid w:val="00D936AC"/>
    <w:rsid w:val="00D93F71"/>
    <w:rsid w:val="00D943DC"/>
    <w:rsid w:val="00D94910"/>
    <w:rsid w:val="00D94FF1"/>
    <w:rsid w:val="00D9517B"/>
    <w:rsid w:val="00D952E7"/>
    <w:rsid w:val="00D956D2"/>
    <w:rsid w:val="00D95AF5"/>
    <w:rsid w:val="00DA02A0"/>
    <w:rsid w:val="00DA0EE7"/>
    <w:rsid w:val="00DA1178"/>
    <w:rsid w:val="00DA133A"/>
    <w:rsid w:val="00DA1853"/>
    <w:rsid w:val="00DA1A9D"/>
    <w:rsid w:val="00DA2B4C"/>
    <w:rsid w:val="00DA33DB"/>
    <w:rsid w:val="00DA3756"/>
    <w:rsid w:val="00DA39C5"/>
    <w:rsid w:val="00DA672A"/>
    <w:rsid w:val="00DA708A"/>
    <w:rsid w:val="00DA7117"/>
    <w:rsid w:val="00DB1167"/>
    <w:rsid w:val="00DB1360"/>
    <w:rsid w:val="00DB26FB"/>
    <w:rsid w:val="00DB2CEA"/>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31F1"/>
    <w:rsid w:val="00DC3704"/>
    <w:rsid w:val="00DC3CB4"/>
    <w:rsid w:val="00DC4350"/>
    <w:rsid w:val="00DC4862"/>
    <w:rsid w:val="00DC513A"/>
    <w:rsid w:val="00DC6175"/>
    <w:rsid w:val="00DC637B"/>
    <w:rsid w:val="00DC6EA0"/>
    <w:rsid w:val="00DC770C"/>
    <w:rsid w:val="00DD0F99"/>
    <w:rsid w:val="00DD1090"/>
    <w:rsid w:val="00DD2ADA"/>
    <w:rsid w:val="00DD30B2"/>
    <w:rsid w:val="00DD3438"/>
    <w:rsid w:val="00DD5C2C"/>
    <w:rsid w:val="00DD6DE7"/>
    <w:rsid w:val="00DD73D5"/>
    <w:rsid w:val="00DD78C8"/>
    <w:rsid w:val="00DD7F2C"/>
    <w:rsid w:val="00DE0043"/>
    <w:rsid w:val="00DE0A4B"/>
    <w:rsid w:val="00DE15D2"/>
    <w:rsid w:val="00DE17EB"/>
    <w:rsid w:val="00DE279D"/>
    <w:rsid w:val="00DE3995"/>
    <w:rsid w:val="00DE6192"/>
    <w:rsid w:val="00DE68D8"/>
    <w:rsid w:val="00DE7474"/>
    <w:rsid w:val="00DE7E8F"/>
    <w:rsid w:val="00DF0EB0"/>
    <w:rsid w:val="00DF2577"/>
    <w:rsid w:val="00DF2E7F"/>
    <w:rsid w:val="00DF56AC"/>
    <w:rsid w:val="00DF6FFD"/>
    <w:rsid w:val="00DF7F37"/>
    <w:rsid w:val="00E00F2C"/>
    <w:rsid w:val="00E02403"/>
    <w:rsid w:val="00E027E8"/>
    <w:rsid w:val="00E04F3B"/>
    <w:rsid w:val="00E05220"/>
    <w:rsid w:val="00E05F83"/>
    <w:rsid w:val="00E06871"/>
    <w:rsid w:val="00E07201"/>
    <w:rsid w:val="00E075CE"/>
    <w:rsid w:val="00E1041B"/>
    <w:rsid w:val="00E10CD6"/>
    <w:rsid w:val="00E10DC3"/>
    <w:rsid w:val="00E11711"/>
    <w:rsid w:val="00E129D4"/>
    <w:rsid w:val="00E12A5F"/>
    <w:rsid w:val="00E13512"/>
    <w:rsid w:val="00E146CB"/>
    <w:rsid w:val="00E154C3"/>
    <w:rsid w:val="00E168E8"/>
    <w:rsid w:val="00E17C28"/>
    <w:rsid w:val="00E20002"/>
    <w:rsid w:val="00E2010C"/>
    <w:rsid w:val="00E2042C"/>
    <w:rsid w:val="00E2195C"/>
    <w:rsid w:val="00E21BD0"/>
    <w:rsid w:val="00E21E4A"/>
    <w:rsid w:val="00E2256F"/>
    <w:rsid w:val="00E2532F"/>
    <w:rsid w:val="00E26273"/>
    <w:rsid w:val="00E26609"/>
    <w:rsid w:val="00E300F1"/>
    <w:rsid w:val="00E31DD1"/>
    <w:rsid w:val="00E32D9C"/>
    <w:rsid w:val="00E33122"/>
    <w:rsid w:val="00E33744"/>
    <w:rsid w:val="00E33CA9"/>
    <w:rsid w:val="00E355FA"/>
    <w:rsid w:val="00E35A73"/>
    <w:rsid w:val="00E36ACB"/>
    <w:rsid w:val="00E3714A"/>
    <w:rsid w:val="00E37174"/>
    <w:rsid w:val="00E404D6"/>
    <w:rsid w:val="00E40793"/>
    <w:rsid w:val="00E41153"/>
    <w:rsid w:val="00E412E8"/>
    <w:rsid w:val="00E41677"/>
    <w:rsid w:val="00E41FA3"/>
    <w:rsid w:val="00E420D8"/>
    <w:rsid w:val="00E42527"/>
    <w:rsid w:val="00E430A3"/>
    <w:rsid w:val="00E46480"/>
    <w:rsid w:val="00E466E5"/>
    <w:rsid w:val="00E467E8"/>
    <w:rsid w:val="00E47A88"/>
    <w:rsid w:val="00E47D74"/>
    <w:rsid w:val="00E50207"/>
    <w:rsid w:val="00E50967"/>
    <w:rsid w:val="00E50DB3"/>
    <w:rsid w:val="00E538CF"/>
    <w:rsid w:val="00E53DB8"/>
    <w:rsid w:val="00E54306"/>
    <w:rsid w:val="00E558E4"/>
    <w:rsid w:val="00E56B15"/>
    <w:rsid w:val="00E56B56"/>
    <w:rsid w:val="00E600E6"/>
    <w:rsid w:val="00E60808"/>
    <w:rsid w:val="00E6094F"/>
    <w:rsid w:val="00E618D5"/>
    <w:rsid w:val="00E62318"/>
    <w:rsid w:val="00E62D7E"/>
    <w:rsid w:val="00E635AF"/>
    <w:rsid w:val="00E640D2"/>
    <w:rsid w:val="00E64C44"/>
    <w:rsid w:val="00E679F1"/>
    <w:rsid w:val="00E67F80"/>
    <w:rsid w:val="00E7186A"/>
    <w:rsid w:val="00E71BC7"/>
    <w:rsid w:val="00E71FFF"/>
    <w:rsid w:val="00E73ECC"/>
    <w:rsid w:val="00E749D4"/>
    <w:rsid w:val="00E758A1"/>
    <w:rsid w:val="00E765CD"/>
    <w:rsid w:val="00E76D8A"/>
    <w:rsid w:val="00E7721C"/>
    <w:rsid w:val="00E77426"/>
    <w:rsid w:val="00E77B0B"/>
    <w:rsid w:val="00E802A1"/>
    <w:rsid w:val="00E80699"/>
    <w:rsid w:val="00E82446"/>
    <w:rsid w:val="00E82977"/>
    <w:rsid w:val="00E83335"/>
    <w:rsid w:val="00E83634"/>
    <w:rsid w:val="00E83882"/>
    <w:rsid w:val="00E838BE"/>
    <w:rsid w:val="00E84324"/>
    <w:rsid w:val="00E858E0"/>
    <w:rsid w:val="00E8692F"/>
    <w:rsid w:val="00E914EB"/>
    <w:rsid w:val="00E91DC0"/>
    <w:rsid w:val="00E926BB"/>
    <w:rsid w:val="00E93B9A"/>
    <w:rsid w:val="00E9541D"/>
    <w:rsid w:val="00E97680"/>
    <w:rsid w:val="00E97CA3"/>
    <w:rsid w:val="00EA05C9"/>
    <w:rsid w:val="00EA0787"/>
    <w:rsid w:val="00EA10DD"/>
    <w:rsid w:val="00EA24C3"/>
    <w:rsid w:val="00EA4155"/>
    <w:rsid w:val="00EA429E"/>
    <w:rsid w:val="00EA50E2"/>
    <w:rsid w:val="00EA5BB5"/>
    <w:rsid w:val="00EA6AE2"/>
    <w:rsid w:val="00EB034D"/>
    <w:rsid w:val="00EB1389"/>
    <w:rsid w:val="00EB16CF"/>
    <w:rsid w:val="00EB21C9"/>
    <w:rsid w:val="00EB2EE9"/>
    <w:rsid w:val="00EB3216"/>
    <w:rsid w:val="00EB3A2B"/>
    <w:rsid w:val="00EB63CA"/>
    <w:rsid w:val="00EB6539"/>
    <w:rsid w:val="00EB6697"/>
    <w:rsid w:val="00EC0339"/>
    <w:rsid w:val="00EC03A5"/>
    <w:rsid w:val="00EC05B7"/>
    <w:rsid w:val="00EC06E2"/>
    <w:rsid w:val="00EC0703"/>
    <w:rsid w:val="00EC2B72"/>
    <w:rsid w:val="00EC401B"/>
    <w:rsid w:val="00EC4CC2"/>
    <w:rsid w:val="00EC5B15"/>
    <w:rsid w:val="00ED24DE"/>
    <w:rsid w:val="00ED316F"/>
    <w:rsid w:val="00ED47EC"/>
    <w:rsid w:val="00ED709C"/>
    <w:rsid w:val="00ED7456"/>
    <w:rsid w:val="00ED7B5B"/>
    <w:rsid w:val="00ED7F42"/>
    <w:rsid w:val="00EE1262"/>
    <w:rsid w:val="00EE265E"/>
    <w:rsid w:val="00EE280D"/>
    <w:rsid w:val="00EE385A"/>
    <w:rsid w:val="00EE417D"/>
    <w:rsid w:val="00EE489D"/>
    <w:rsid w:val="00EE55C6"/>
    <w:rsid w:val="00EE6872"/>
    <w:rsid w:val="00EE6E7C"/>
    <w:rsid w:val="00EE782D"/>
    <w:rsid w:val="00EE7BA6"/>
    <w:rsid w:val="00EF05E9"/>
    <w:rsid w:val="00EF0A5F"/>
    <w:rsid w:val="00EF166A"/>
    <w:rsid w:val="00EF2FDC"/>
    <w:rsid w:val="00EF4A8B"/>
    <w:rsid w:val="00EF64BE"/>
    <w:rsid w:val="00EF6CF6"/>
    <w:rsid w:val="00EF6DC3"/>
    <w:rsid w:val="00F00978"/>
    <w:rsid w:val="00F01E45"/>
    <w:rsid w:val="00F03DC7"/>
    <w:rsid w:val="00F047AA"/>
    <w:rsid w:val="00F0509D"/>
    <w:rsid w:val="00F0538C"/>
    <w:rsid w:val="00F05E94"/>
    <w:rsid w:val="00F07317"/>
    <w:rsid w:val="00F101DD"/>
    <w:rsid w:val="00F106B7"/>
    <w:rsid w:val="00F10F26"/>
    <w:rsid w:val="00F112A8"/>
    <w:rsid w:val="00F117F4"/>
    <w:rsid w:val="00F119C3"/>
    <w:rsid w:val="00F12077"/>
    <w:rsid w:val="00F122C0"/>
    <w:rsid w:val="00F12951"/>
    <w:rsid w:val="00F134C8"/>
    <w:rsid w:val="00F13AD1"/>
    <w:rsid w:val="00F14A72"/>
    <w:rsid w:val="00F15458"/>
    <w:rsid w:val="00F1592D"/>
    <w:rsid w:val="00F15C76"/>
    <w:rsid w:val="00F15D70"/>
    <w:rsid w:val="00F17918"/>
    <w:rsid w:val="00F17D4C"/>
    <w:rsid w:val="00F20F9C"/>
    <w:rsid w:val="00F2127F"/>
    <w:rsid w:val="00F21976"/>
    <w:rsid w:val="00F22EF9"/>
    <w:rsid w:val="00F23E06"/>
    <w:rsid w:val="00F26C68"/>
    <w:rsid w:val="00F2750E"/>
    <w:rsid w:val="00F27836"/>
    <w:rsid w:val="00F27FC0"/>
    <w:rsid w:val="00F304F2"/>
    <w:rsid w:val="00F305D9"/>
    <w:rsid w:val="00F31B40"/>
    <w:rsid w:val="00F3221C"/>
    <w:rsid w:val="00F34894"/>
    <w:rsid w:val="00F4004D"/>
    <w:rsid w:val="00F407F6"/>
    <w:rsid w:val="00F40FCE"/>
    <w:rsid w:val="00F416BF"/>
    <w:rsid w:val="00F441F1"/>
    <w:rsid w:val="00F44AE4"/>
    <w:rsid w:val="00F454DA"/>
    <w:rsid w:val="00F45600"/>
    <w:rsid w:val="00F458BE"/>
    <w:rsid w:val="00F45A03"/>
    <w:rsid w:val="00F463B8"/>
    <w:rsid w:val="00F470D4"/>
    <w:rsid w:val="00F47218"/>
    <w:rsid w:val="00F51467"/>
    <w:rsid w:val="00F51F39"/>
    <w:rsid w:val="00F52330"/>
    <w:rsid w:val="00F529F2"/>
    <w:rsid w:val="00F52DDA"/>
    <w:rsid w:val="00F54427"/>
    <w:rsid w:val="00F551FA"/>
    <w:rsid w:val="00F55396"/>
    <w:rsid w:val="00F553EF"/>
    <w:rsid w:val="00F5685E"/>
    <w:rsid w:val="00F56C0A"/>
    <w:rsid w:val="00F575A4"/>
    <w:rsid w:val="00F577C1"/>
    <w:rsid w:val="00F604BA"/>
    <w:rsid w:val="00F614A1"/>
    <w:rsid w:val="00F63151"/>
    <w:rsid w:val="00F645D0"/>
    <w:rsid w:val="00F64A4A"/>
    <w:rsid w:val="00F65203"/>
    <w:rsid w:val="00F65592"/>
    <w:rsid w:val="00F663F8"/>
    <w:rsid w:val="00F66EB5"/>
    <w:rsid w:val="00F678B6"/>
    <w:rsid w:val="00F7077A"/>
    <w:rsid w:val="00F720D8"/>
    <w:rsid w:val="00F72194"/>
    <w:rsid w:val="00F72734"/>
    <w:rsid w:val="00F72B0C"/>
    <w:rsid w:val="00F72FD4"/>
    <w:rsid w:val="00F7332F"/>
    <w:rsid w:val="00F7357D"/>
    <w:rsid w:val="00F7419D"/>
    <w:rsid w:val="00F7555E"/>
    <w:rsid w:val="00F75859"/>
    <w:rsid w:val="00F75938"/>
    <w:rsid w:val="00F75BEE"/>
    <w:rsid w:val="00F75D8A"/>
    <w:rsid w:val="00F75FCC"/>
    <w:rsid w:val="00F772F5"/>
    <w:rsid w:val="00F77D1F"/>
    <w:rsid w:val="00F77DC0"/>
    <w:rsid w:val="00F809CD"/>
    <w:rsid w:val="00F8233A"/>
    <w:rsid w:val="00F825E1"/>
    <w:rsid w:val="00F82848"/>
    <w:rsid w:val="00F83402"/>
    <w:rsid w:val="00F83B09"/>
    <w:rsid w:val="00F86251"/>
    <w:rsid w:val="00F92CFC"/>
    <w:rsid w:val="00F93CAD"/>
    <w:rsid w:val="00F93DAF"/>
    <w:rsid w:val="00F94CF7"/>
    <w:rsid w:val="00F95688"/>
    <w:rsid w:val="00F96518"/>
    <w:rsid w:val="00F970BE"/>
    <w:rsid w:val="00F97375"/>
    <w:rsid w:val="00FA0A87"/>
    <w:rsid w:val="00FA2822"/>
    <w:rsid w:val="00FA2E1B"/>
    <w:rsid w:val="00FA3F2B"/>
    <w:rsid w:val="00FA3FEB"/>
    <w:rsid w:val="00FA445A"/>
    <w:rsid w:val="00FA59F5"/>
    <w:rsid w:val="00FA709B"/>
    <w:rsid w:val="00FA791F"/>
    <w:rsid w:val="00FB0E8B"/>
    <w:rsid w:val="00FB15D0"/>
    <w:rsid w:val="00FB396D"/>
    <w:rsid w:val="00FB3FE9"/>
    <w:rsid w:val="00FB4235"/>
    <w:rsid w:val="00FB4258"/>
    <w:rsid w:val="00FB53E2"/>
    <w:rsid w:val="00FB606D"/>
    <w:rsid w:val="00FB6128"/>
    <w:rsid w:val="00FC0FA2"/>
    <w:rsid w:val="00FC1222"/>
    <w:rsid w:val="00FC29A4"/>
    <w:rsid w:val="00FC42D8"/>
    <w:rsid w:val="00FC5534"/>
    <w:rsid w:val="00FC5A8C"/>
    <w:rsid w:val="00FC64DD"/>
    <w:rsid w:val="00FC6F9A"/>
    <w:rsid w:val="00FC7FD9"/>
    <w:rsid w:val="00FD03FA"/>
    <w:rsid w:val="00FD07CB"/>
    <w:rsid w:val="00FD0889"/>
    <w:rsid w:val="00FD0D93"/>
    <w:rsid w:val="00FD15C5"/>
    <w:rsid w:val="00FD2D0B"/>
    <w:rsid w:val="00FD4218"/>
    <w:rsid w:val="00FD5775"/>
    <w:rsid w:val="00FD5BEE"/>
    <w:rsid w:val="00FD6AEE"/>
    <w:rsid w:val="00FD6C11"/>
    <w:rsid w:val="00FD7913"/>
    <w:rsid w:val="00FE1310"/>
    <w:rsid w:val="00FE1CCB"/>
    <w:rsid w:val="00FE2956"/>
    <w:rsid w:val="00FE2CC8"/>
    <w:rsid w:val="00FE2F96"/>
    <w:rsid w:val="00FE452F"/>
    <w:rsid w:val="00FE462E"/>
    <w:rsid w:val="00FE50E9"/>
    <w:rsid w:val="00FE61B8"/>
    <w:rsid w:val="00FE6A95"/>
    <w:rsid w:val="00FE71F0"/>
    <w:rsid w:val="00FE754C"/>
    <w:rsid w:val="00FE7E64"/>
    <w:rsid w:val="00FF0A58"/>
    <w:rsid w:val="00FF2742"/>
    <w:rsid w:val="00FF32D9"/>
    <w:rsid w:val="00FF42E8"/>
    <w:rsid w:val="00FF4B84"/>
    <w:rsid w:val="00FF504D"/>
    <w:rsid w:val="00FF566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694D6"/>
  <w15:docId w15:val="{0963696D-B99F-42AE-817A-4C1B86F1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775180"/>
    <w:pPr>
      <w:spacing w:after="160" w:line="259" w:lineRule="auto"/>
    </w:pPr>
    <w:rPr>
      <w:rFonts w:ascii="Calibri" w:hAnsi="Calibri" w:cs="Arial Unicode MS"/>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86929"/>
    <w:rPr>
      <w:u w:val="single"/>
    </w:rPr>
  </w:style>
  <w:style w:type="table" w:customStyle="1" w:styleId="TableNormal">
    <w:name w:val="Table Normal"/>
    <w:rsid w:val="00386929"/>
    <w:tblPr>
      <w:tblInd w:w="0" w:type="dxa"/>
      <w:tblCellMar>
        <w:top w:w="0" w:type="dxa"/>
        <w:left w:w="0" w:type="dxa"/>
        <w:bottom w:w="0" w:type="dxa"/>
        <w:right w:w="0" w:type="dxa"/>
      </w:tblCellMar>
    </w:tblPr>
  </w:style>
  <w:style w:type="paragraph" w:customStyle="1" w:styleId="Intestazioneepidipagina">
    <w:name w:val="Intestazione e piè di pagina"/>
    <w:rsid w:val="00386929"/>
    <w:pPr>
      <w:tabs>
        <w:tab w:val="right" w:pos="9020"/>
      </w:tabs>
    </w:pPr>
    <w:rPr>
      <w:rFonts w:ascii="Helvetica Neue" w:hAnsi="Helvetica Neue" w:cs="Arial Unicode MS"/>
      <w:color w:val="000000"/>
      <w:sz w:val="24"/>
      <w:szCs w:val="24"/>
    </w:rPr>
  </w:style>
  <w:style w:type="paragraph" w:styleId="Paragrafoelenco">
    <w:name w:val="List Paragraph"/>
    <w:uiPriority w:val="34"/>
    <w:qFormat/>
    <w:rsid w:val="00386929"/>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rsid w:val="00386929"/>
    <w:pPr>
      <w:numPr>
        <w:numId w:val="1"/>
      </w:numPr>
    </w:pPr>
  </w:style>
  <w:style w:type="paragraph" w:customStyle="1" w:styleId="Didefault">
    <w:name w:val="Di default"/>
    <w:rsid w:val="00386929"/>
    <w:pPr>
      <w:spacing w:before="160" w:line="288" w:lineRule="auto"/>
    </w:pPr>
    <w:rPr>
      <w:rFonts w:ascii="Helvetica Neue" w:eastAsia="Helvetica Neue" w:hAnsi="Helvetica Neue" w:cs="Helvetica Neue"/>
      <w:color w:val="000000"/>
      <w:sz w:val="24"/>
      <w:szCs w:val="24"/>
    </w:rPr>
  </w:style>
  <w:style w:type="numbering" w:customStyle="1" w:styleId="Stileimportato2">
    <w:name w:val="Stile importato 2"/>
    <w:rsid w:val="00386929"/>
    <w:pPr>
      <w:numPr>
        <w:numId w:val="3"/>
      </w:numPr>
    </w:pPr>
  </w:style>
  <w:style w:type="character" w:customStyle="1" w:styleId="Link">
    <w:name w:val="Link"/>
    <w:rsid w:val="00386929"/>
    <w:rPr>
      <w:color w:val="0563C1"/>
      <w:u w:val="single" w:color="0563C1"/>
    </w:rPr>
  </w:style>
  <w:style w:type="character" w:customStyle="1" w:styleId="Hyperlink0">
    <w:name w:val="Hyperlink.0"/>
    <w:basedOn w:val="Link"/>
    <w:rsid w:val="00386929"/>
    <w:rPr>
      <w:rFonts w:ascii="Calibri" w:eastAsia="Calibri" w:hAnsi="Calibri" w:cs="Calibri"/>
      <w:i/>
      <w:iCs/>
      <w:color w:val="0563C1"/>
      <w:u w:val="single" w:color="0563C1"/>
    </w:rPr>
  </w:style>
  <w:style w:type="character" w:customStyle="1" w:styleId="Hyperlink1">
    <w:name w:val="Hyperlink.1"/>
    <w:basedOn w:val="Link"/>
    <w:rsid w:val="00386929"/>
    <w:rPr>
      <w:rFonts w:ascii="Calibri" w:eastAsia="Calibri" w:hAnsi="Calibri" w:cs="Calibri"/>
      <w:color w:val="0563C1"/>
      <w:sz w:val="20"/>
      <w:szCs w:val="20"/>
      <w:u w:val="single" w:color="0563C1"/>
    </w:rPr>
  </w:style>
  <w:style w:type="paragraph" w:styleId="Testocommento">
    <w:name w:val="annotation text"/>
    <w:basedOn w:val="Normale"/>
    <w:link w:val="TestocommentoCarattere"/>
    <w:uiPriority w:val="99"/>
    <w:unhideWhenUsed/>
    <w:rsid w:val="00386929"/>
    <w:pPr>
      <w:spacing w:line="240" w:lineRule="auto"/>
    </w:pPr>
    <w:rPr>
      <w:sz w:val="20"/>
      <w:szCs w:val="20"/>
    </w:rPr>
  </w:style>
  <w:style w:type="character" w:customStyle="1" w:styleId="TestocommentoCarattere">
    <w:name w:val="Testo commento Carattere"/>
    <w:basedOn w:val="Carpredefinitoparagrafo"/>
    <w:link w:val="Testocommento"/>
    <w:uiPriority w:val="99"/>
    <w:rsid w:val="00386929"/>
    <w:rPr>
      <w:rFonts w:ascii="Calibri" w:hAnsi="Calibri" w:cs="Arial Unicode MS"/>
      <w:color w:val="000000"/>
      <w:u w:color="000000"/>
    </w:rPr>
  </w:style>
  <w:style w:type="character" w:styleId="Rimandocommento">
    <w:name w:val="annotation reference"/>
    <w:basedOn w:val="Carpredefinitoparagrafo"/>
    <w:uiPriority w:val="99"/>
    <w:semiHidden/>
    <w:unhideWhenUsed/>
    <w:rsid w:val="00386929"/>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gimbe.or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github.com/italia/covid19-opendata-vaccini/blob/master/dati/platea-dose-addizionale-booster.csv"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centro.iss.it/coronavirus/bollettino/Bollettino-sorveglianza-integrata-COVID-19_15-dicembre-2021.pdf"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ronavirus.gimbe.org/var/contenuti/valori_target_vaccini_Figliuolo_13_26_dicembre_2021.pdf" TargetMode="External"/><Relationship Id="rId14" Type="http://schemas.openxmlformats.org/officeDocument/2006/relationships/hyperlink" Target="mailto:ufficio.stampa@gimbe.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https://github.com/italia/covid19-opendata-vaccini/tree/master/dati"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51524-DD4E-4075-A703-9B308212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2599</Words>
  <Characters>14817</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5</cp:revision>
  <cp:lastPrinted>2021-12-01T14:58:00Z</cp:lastPrinted>
  <dcterms:created xsi:type="dcterms:W3CDTF">2021-12-29T08:08:00Z</dcterms:created>
  <dcterms:modified xsi:type="dcterms:W3CDTF">2021-12-29T08:09:00Z</dcterms:modified>
</cp:coreProperties>
</file>