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27FDE" w14:textId="7C548790" w:rsidR="00D33696" w:rsidRPr="008E70C3" w:rsidRDefault="000814C4" w:rsidP="00D33696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 w:rsidRPr="001A78A9">
        <w:rPr>
          <w:b/>
          <w:bCs/>
          <w:color w:val="auto"/>
          <w:sz w:val="32"/>
          <w:szCs w:val="31"/>
        </w:rPr>
        <w:t>COMUNICATO STAMPA</w:t>
      </w:r>
      <w:r w:rsidR="00D21CBA" w:rsidRPr="001A78A9">
        <w:rPr>
          <w:b/>
          <w:bCs/>
          <w:color w:val="FF0000"/>
          <w:sz w:val="32"/>
          <w:szCs w:val="31"/>
        </w:rPr>
        <w:br/>
      </w:r>
      <w:r w:rsidR="00D33696" w:rsidRPr="00D33696">
        <w:rPr>
          <w:b/>
          <w:bCs/>
          <w:color w:val="auto"/>
          <w:sz w:val="30"/>
          <w:szCs w:val="30"/>
        </w:rPr>
        <w:t>CORONAVIRUS: IMPENNATA DEI CONTAGI</w:t>
      </w:r>
      <w:r w:rsidR="00D33696">
        <w:rPr>
          <w:b/>
          <w:bCs/>
          <w:color w:val="auto"/>
          <w:sz w:val="30"/>
          <w:szCs w:val="30"/>
        </w:rPr>
        <w:t>,</w:t>
      </w:r>
      <w:r w:rsidR="00D33696" w:rsidRPr="00D33696">
        <w:rPr>
          <w:b/>
          <w:bCs/>
          <w:color w:val="auto"/>
          <w:sz w:val="30"/>
          <w:szCs w:val="30"/>
        </w:rPr>
        <w:t xml:space="preserve"> +58,9%</w:t>
      </w:r>
      <w:r w:rsidR="00D33696">
        <w:rPr>
          <w:b/>
          <w:bCs/>
          <w:color w:val="auto"/>
          <w:sz w:val="30"/>
          <w:szCs w:val="30"/>
        </w:rPr>
        <w:t xml:space="preserve"> </w:t>
      </w:r>
      <w:r w:rsidR="00D33696" w:rsidRPr="00D33696">
        <w:rPr>
          <w:b/>
          <w:bCs/>
          <w:color w:val="auto"/>
          <w:sz w:val="30"/>
          <w:szCs w:val="30"/>
        </w:rPr>
        <w:t>IN UNA SETTIMANA. AUMENTANO RICOVERI ORDINARI (</w:t>
      </w:r>
      <w:r w:rsidR="00C12EF1">
        <w:rPr>
          <w:b/>
          <w:bCs/>
          <w:color w:val="auto"/>
          <w:sz w:val="30"/>
          <w:szCs w:val="30"/>
        </w:rPr>
        <w:t>+</w:t>
      </w:r>
      <w:r w:rsidR="00D33696" w:rsidRPr="00D33696">
        <w:rPr>
          <w:b/>
          <w:bCs/>
          <w:color w:val="auto"/>
          <w:sz w:val="30"/>
          <w:szCs w:val="30"/>
        </w:rPr>
        <w:t>14,4%) E TERAPIE INTENSIVE (+12,6%).</w:t>
      </w:r>
    </w:p>
    <w:p w14:paraId="2DE233B5" w14:textId="6BB568D8" w:rsidR="00D33696" w:rsidRDefault="008762B7" w:rsidP="00D33696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 w:rsidRPr="00D84E6A">
        <w:rPr>
          <w:b/>
          <w:bCs/>
          <w:color w:val="auto"/>
          <w:sz w:val="30"/>
          <w:szCs w:val="30"/>
        </w:rPr>
        <w:t xml:space="preserve">CAMPAGNA VACCINALE IN STALLO: </w:t>
      </w:r>
      <w:r w:rsidR="00D33696">
        <w:rPr>
          <w:b/>
          <w:bCs/>
          <w:color w:val="auto"/>
          <w:sz w:val="30"/>
          <w:szCs w:val="30"/>
        </w:rPr>
        <w:t xml:space="preserve">ATTUALMENTE NON PROTETTI </w:t>
      </w:r>
      <w:r w:rsidR="00D84E6A" w:rsidRPr="00D84E6A">
        <w:rPr>
          <w:b/>
          <w:bCs/>
          <w:color w:val="auto"/>
          <w:sz w:val="30"/>
          <w:szCs w:val="30"/>
        </w:rPr>
        <w:t>4,03 MILIONI DI NON VACCINATI, 5,51 MILIONI SENZA TERZA DOSE E 4,</w:t>
      </w:r>
      <w:r w:rsidR="00204BD9">
        <w:rPr>
          <w:b/>
          <w:bCs/>
          <w:color w:val="auto"/>
          <w:sz w:val="30"/>
          <w:szCs w:val="30"/>
        </w:rPr>
        <w:t>05</w:t>
      </w:r>
      <w:r w:rsidR="00D84E6A" w:rsidRPr="00D84E6A">
        <w:rPr>
          <w:b/>
          <w:bCs/>
          <w:color w:val="auto"/>
          <w:sz w:val="30"/>
          <w:szCs w:val="30"/>
        </w:rPr>
        <w:t xml:space="preserve"> MILIONI </w:t>
      </w:r>
      <w:r w:rsidR="00D33696">
        <w:rPr>
          <w:b/>
          <w:bCs/>
          <w:color w:val="auto"/>
          <w:sz w:val="30"/>
          <w:szCs w:val="30"/>
        </w:rPr>
        <w:t>DI FRAGILI</w:t>
      </w:r>
      <w:r w:rsidR="00D84E6A" w:rsidRPr="00D84E6A">
        <w:rPr>
          <w:b/>
          <w:bCs/>
          <w:color w:val="auto"/>
          <w:sz w:val="30"/>
          <w:szCs w:val="30"/>
        </w:rPr>
        <w:t xml:space="preserve"> SENZA QUARTA DOSE.</w:t>
      </w:r>
    </w:p>
    <w:p w14:paraId="6E243CA6" w14:textId="66AB87AE" w:rsidR="00D21CBA" w:rsidRPr="00B70844" w:rsidRDefault="00B70844" w:rsidP="005433E2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ABOLI</w:t>
      </w:r>
      <w:r w:rsidR="00D33696">
        <w:rPr>
          <w:b/>
          <w:bCs/>
          <w:color w:val="auto"/>
          <w:sz w:val="30"/>
          <w:szCs w:val="30"/>
        </w:rPr>
        <w:t xml:space="preserve">RE </w:t>
      </w:r>
      <w:r w:rsidRPr="00B70844">
        <w:rPr>
          <w:b/>
          <w:bCs/>
          <w:color w:val="auto"/>
          <w:sz w:val="30"/>
          <w:szCs w:val="30"/>
        </w:rPr>
        <w:t>ISOLAMENTO PO</w:t>
      </w:r>
      <w:bookmarkStart w:id="0" w:name="_GoBack"/>
      <w:bookmarkEnd w:id="0"/>
      <w:r w:rsidRPr="00B70844">
        <w:rPr>
          <w:b/>
          <w:bCs/>
          <w:color w:val="auto"/>
          <w:sz w:val="30"/>
          <w:szCs w:val="30"/>
        </w:rPr>
        <w:t>SITIVI: ANTISCIENTIFIC</w:t>
      </w:r>
      <w:r w:rsidR="00D33696">
        <w:rPr>
          <w:b/>
          <w:bCs/>
          <w:color w:val="auto"/>
          <w:sz w:val="30"/>
          <w:szCs w:val="30"/>
        </w:rPr>
        <w:t>O</w:t>
      </w:r>
      <w:r w:rsidRPr="00B70844">
        <w:rPr>
          <w:b/>
          <w:bCs/>
          <w:color w:val="auto"/>
          <w:sz w:val="30"/>
          <w:szCs w:val="30"/>
        </w:rPr>
        <w:t xml:space="preserve"> E RISCHIOS</w:t>
      </w:r>
      <w:r w:rsidR="00D33696">
        <w:rPr>
          <w:b/>
          <w:bCs/>
          <w:color w:val="auto"/>
          <w:sz w:val="30"/>
          <w:szCs w:val="30"/>
        </w:rPr>
        <w:t>O</w:t>
      </w:r>
      <w:r w:rsidR="004E43E7">
        <w:rPr>
          <w:b/>
          <w:bCs/>
          <w:color w:val="auto"/>
          <w:sz w:val="30"/>
          <w:szCs w:val="30"/>
        </w:rPr>
        <w:t xml:space="preserve"> </w:t>
      </w:r>
      <w:r w:rsidR="00D33696">
        <w:rPr>
          <w:b/>
          <w:bCs/>
          <w:color w:val="auto"/>
          <w:sz w:val="30"/>
          <w:szCs w:val="30"/>
        </w:rPr>
        <w:br/>
      </w:r>
      <w:r w:rsidR="004E43E7">
        <w:rPr>
          <w:b/>
          <w:bCs/>
          <w:color w:val="auto"/>
          <w:sz w:val="30"/>
          <w:szCs w:val="30"/>
        </w:rPr>
        <w:t>PER LA SALUTE PUBBLICA</w:t>
      </w:r>
      <w:r w:rsidRPr="00B70844">
        <w:rPr>
          <w:b/>
          <w:bCs/>
          <w:color w:val="auto"/>
          <w:sz w:val="30"/>
          <w:szCs w:val="30"/>
        </w:rPr>
        <w:t xml:space="preserve"> </w:t>
      </w:r>
    </w:p>
    <w:p w14:paraId="7F37ADED" w14:textId="49966693" w:rsidR="00D21CBA" w:rsidRPr="000636C7" w:rsidRDefault="00D21CBA" w:rsidP="00D21CBA">
      <w:pPr>
        <w:spacing w:after="200" w:line="276" w:lineRule="auto"/>
        <w:jc w:val="both"/>
        <w:rPr>
          <w:b/>
          <w:bCs/>
          <w:color w:val="FF0000"/>
          <w:spacing w:val="-2"/>
          <w:sz w:val="24"/>
          <w:szCs w:val="24"/>
        </w:rPr>
      </w:pPr>
      <w:r w:rsidRPr="00B70844">
        <w:rPr>
          <w:b/>
          <w:bCs/>
          <w:color w:val="auto"/>
          <w:spacing w:val="-2"/>
          <w:sz w:val="24"/>
          <w:szCs w:val="24"/>
        </w:rPr>
        <w:t xml:space="preserve">IL MONITORAGGIO DELLA FONDAZIONE GIMBE RILEVA, NELLA SETTIMANA 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15-21</w:t>
      </w:r>
      <w:r w:rsidR="00302DFF" w:rsidRPr="00B70844">
        <w:rPr>
          <w:b/>
          <w:bCs/>
          <w:color w:val="auto"/>
          <w:spacing w:val="-2"/>
          <w:sz w:val="24"/>
          <w:szCs w:val="24"/>
        </w:rPr>
        <w:t xml:space="preserve"> GIUGNO, UN AUMENTO DEI </w:t>
      </w:r>
      <w:r w:rsidRPr="00B70844">
        <w:rPr>
          <w:b/>
          <w:bCs/>
          <w:color w:val="auto"/>
          <w:spacing w:val="-2"/>
          <w:sz w:val="24"/>
          <w:szCs w:val="24"/>
        </w:rPr>
        <w:t>NUOVI CASI (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255.442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) IN TUTTE LE REGIONI ITALIANE. IN 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105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 PROVINCE SI </w:t>
      </w:r>
      <w:r w:rsidR="00302DFF" w:rsidRPr="00B70844">
        <w:rPr>
          <w:b/>
          <w:bCs/>
          <w:color w:val="auto"/>
          <w:spacing w:val="-2"/>
          <w:sz w:val="24"/>
          <w:szCs w:val="24"/>
        </w:rPr>
        <w:t xml:space="preserve">REGISTRA </w:t>
      </w:r>
      <w:r w:rsidRPr="00B70844">
        <w:rPr>
          <w:b/>
          <w:bCs/>
          <w:color w:val="auto"/>
          <w:spacing w:val="-2"/>
          <w:sz w:val="24"/>
          <w:szCs w:val="24"/>
        </w:rPr>
        <w:t>UN INCREMENTO PERCENTUALE DEI NUOVI CASI</w:t>
      </w:r>
      <w:r w:rsidR="00775ED7" w:rsidRPr="00B70844">
        <w:rPr>
          <w:b/>
          <w:bCs/>
          <w:color w:val="auto"/>
          <w:spacing w:val="-2"/>
          <w:sz w:val="24"/>
          <w:szCs w:val="24"/>
        </w:rPr>
        <w:t>,</w:t>
      </w:r>
      <w:r w:rsidR="00302DFF" w:rsidRPr="00B70844">
        <w:rPr>
          <w:b/>
          <w:bCs/>
          <w:color w:val="auto"/>
          <w:spacing w:val="-2"/>
          <w:sz w:val="24"/>
          <w:szCs w:val="24"/>
        </w:rPr>
        <w:t xml:space="preserve"> INCIDENZA SUPERIORE AI 500 CASI PER 100.000 ABITANTI</w:t>
      </w:r>
      <w:r w:rsidR="00D13AD1">
        <w:rPr>
          <w:b/>
          <w:bCs/>
          <w:color w:val="auto"/>
          <w:spacing w:val="-2"/>
          <w:sz w:val="24"/>
          <w:szCs w:val="24"/>
        </w:rPr>
        <w:t xml:space="preserve"> IN 16 PROVINCE</w:t>
      </w:r>
      <w:r w:rsidR="00302DFF" w:rsidRPr="00B70844">
        <w:rPr>
          <w:b/>
          <w:bCs/>
          <w:color w:val="auto"/>
          <w:spacing w:val="-2"/>
          <w:sz w:val="24"/>
          <w:szCs w:val="24"/>
        </w:rPr>
        <w:t xml:space="preserve">. 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IN 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SALITA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 GLI INDICATORI OSPEDALIERI</w:t>
      </w:r>
      <w:r w:rsidR="00B70844">
        <w:rPr>
          <w:b/>
          <w:bCs/>
          <w:color w:val="auto"/>
          <w:spacing w:val="-2"/>
          <w:sz w:val="24"/>
          <w:szCs w:val="24"/>
        </w:rPr>
        <w:t xml:space="preserve"> CON L’AREA MEDICA CHE SEGNA</w:t>
      </w:r>
      <w:r w:rsidR="00D13AD1">
        <w:rPr>
          <w:b/>
          <w:bCs/>
          <w:color w:val="auto"/>
          <w:spacing w:val="-2"/>
          <w:sz w:val="24"/>
          <w:szCs w:val="24"/>
        </w:rPr>
        <w:t xml:space="preserve"> UN</w:t>
      </w:r>
      <w:r w:rsidR="00B70844">
        <w:rPr>
          <w:b/>
          <w:bCs/>
          <w:color w:val="auto"/>
          <w:spacing w:val="-2"/>
          <w:sz w:val="24"/>
          <w:szCs w:val="24"/>
        </w:rPr>
        <w:t xml:space="preserve"> 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 xml:space="preserve">INCREMENTO DI OLTRE 700 POSTI LETTO COVID IN 10 GIORNI. </w:t>
      </w:r>
      <w:r w:rsidR="00D13AD1">
        <w:rPr>
          <w:b/>
          <w:bCs/>
          <w:color w:val="auto"/>
          <w:spacing w:val="-2"/>
          <w:sz w:val="24"/>
          <w:szCs w:val="24"/>
        </w:rPr>
        <w:t>CALANO</w:t>
      </w:r>
      <w:r w:rsidR="00D13AD1" w:rsidRPr="00B70844">
        <w:rPr>
          <w:b/>
          <w:bCs/>
          <w:color w:val="auto"/>
          <w:spacing w:val="-2"/>
          <w:sz w:val="24"/>
          <w:szCs w:val="24"/>
        </w:rPr>
        <w:t xml:space="preserve"> </w:t>
      </w:r>
      <w:r w:rsidR="00302DFF" w:rsidRPr="00B70844">
        <w:rPr>
          <w:b/>
          <w:bCs/>
          <w:color w:val="auto"/>
          <w:spacing w:val="-2"/>
          <w:sz w:val="24"/>
          <w:szCs w:val="24"/>
        </w:rPr>
        <w:t>I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 DECESSI (</w:t>
      </w:r>
      <w:r w:rsidR="00D33696">
        <w:rPr>
          <w:b/>
          <w:bCs/>
          <w:color w:val="auto"/>
          <w:spacing w:val="-2"/>
          <w:sz w:val="24"/>
          <w:szCs w:val="24"/>
        </w:rPr>
        <w:t>-19%</w:t>
      </w:r>
      <w:r w:rsidRPr="00B70844">
        <w:rPr>
          <w:b/>
          <w:bCs/>
          <w:color w:val="auto"/>
          <w:spacing w:val="-2"/>
          <w:sz w:val="24"/>
          <w:szCs w:val="24"/>
        </w:rPr>
        <w:t>). FERME LE PERCENTUALI DI CHI HA RICEVUTO ALMENO UNA DOSE DI VACCINO (88,1% DELLA PLATEA) E DI CHI HA COMPLETATO IL CICLO VACCINALE (86,6% DELLA PLATEA). SONO 6,8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5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 MILIONI I NON VACCINATI, DI CUI 2,8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2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 MILIONI DI GUARITI PROTETTI SOLO TEMPORANEAMENTE. 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7,98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 MILIONI DI PERSONE NON HANNO ANCORA RICEVUTO LA TERZA DOSE, DI CUI </w:t>
      </w:r>
      <w:r w:rsidR="00302DFF" w:rsidRPr="00B70844">
        <w:rPr>
          <w:b/>
          <w:bCs/>
          <w:color w:val="auto"/>
          <w:spacing w:val="-2"/>
          <w:sz w:val="24"/>
          <w:szCs w:val="24"/>
        </w:rPr>
        <w:t>2,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47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 MILIONI DI GUARITI CHE NON POSSONO RICEVERLA NELL’IMMEDIATO. </w:t>
      </w:r>
      <w:r w:rsidR="00302DFF" w:rsidRPr="00B70844">
        <w:rPr>
          <w:b/>
          <w:bCs/>
          <w:color w:val="auto"/>
          <w:spacing w:val="-2"/>
          <w:sz w:val="24"/>
          <w:szCs w:val="24"/>
        </w:rPr>
        <w:t>NETTE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 DIFFERENZE REGIONALI PER LA COPERTURA CON QUARTE DOSI DEGLI IMMUNOCOMPROMESSI (DAL</w:t>
      </w:r>
      <w:r w:rsidR="00775ED7" w:rsidRPr="00B70844">
        <w:rPr>
          <w:b/>
          <w:bCs/>
          <w:color w:val="auto"/>
          <w:spacing w:val="-2"/>
          <w:sz w:val="24"/>
          <w:szCs w:val="24"/>
        </w:rPr>
        <w:t>L’</w:t>
      </w:r>
      <w:r w:rsidR="00302DFF" w:rsidRPr="00B70844">
        <w:rPr>
          <w:b/>
          <w:bCs/>
          <w:color w:val="auto"/>
          <w:spacing w:val="-2"/>
          <w:sz w:val="24"/>
          <w:szCs w:val="24"/>
        </w:rPr>
        <w:t>8,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8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% DELLA CALABRIA AL 100% DEL PIEMONTE) E DEGLI ALTRI FRAGILI (DAL </w:t>
      </w:r>
      <w:r w:rsidR="00A06C7A" w:rsidRPr="00B70844">
        <w:rPr>
          <w:b/>
          <w:bCs/>
          <w:color w:val="auto"/>
          <w:spacing w:val="-2"/>
          <w:sz w:val="24"/>
          <w:szCs w:val="24"/>
        </w:rPr>
        <w:t>5,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5</w:t>
      </w:r>
      <w:r w:rsidRPr="00B70844">
        <w:rPr>
          <w:b/>
          <w:bCs/>
          <w:color w:val="auto"/>
          <w:spacing w:val="-2"/>
          <w:sz w:val="24"/>
          <w:szCs w:val="24"/>
        </w:rPr>
        <w:t xml:space="preserve">% DELLA CALABRIA AL </w:t>
      </w:r>
      <w:r w:rsidR="00A06C7A" w:rsidRPr="00B70844">
        <w:rPr>
          <w:b/>
          <w:bCs/>
          <w:color w:val="auto"/>
          <w:spacing w:val="-2"/>
          <w:sz w:val="24"/>
          <w:szCs w:val="24"/>
        </w:rPr>
        <w:t>3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>9</w:t>
      </w:r>
      <w:r w:rsidR="00A06C7A" w:rsidRPr="00B70844">
        <w:rPr>
          <w:b/>
          <w:bCs/>
          <w:color w:val="auto"/>
          <w:spacing w:val="-2"/>
          <w:sz w:val="24"/>
          <w:szCs w:val="24"/>
        </w:rPr>
        <w:t>,6</w:t>
      </w:r>
      <w:r w:rsidRPr="00B70844">
        <w:rPr>
          <w:b/>
          <w:bCs/>
          <w:color w:val="auto"/>
          <w:spacing w:val="-2"/>
          <w:sz w:val="24"/>
          <w:szCs w:val="24"/>
        </w:rPr>
        <w:t>% DEL PIEMONTE).</w:t>
      </w:r>
      <w:r w:rsidR="00B70844" w:rsidRPr="00B70844">
        <w:rPr>
          <w:b/>
          <w:bCs/>
          <w:color w:val="auto"/>
          <w:spacing w:val="-2"/>
          <w:sz w:val="24"/>
          <w:szCs w:val="24"/>
        </w:rPr>
        <w:t xml:space="preserve"> </w:t>
      </w:r>
      <w:r w:rsidR="00B70844" w:rsidRPr="004E43E7">
        <w:rPr>
          <w:b/>
          <w:bCs/>
          <w:color w:val="auto"/>
          <w:spacing w:val="-2"/>
          <w:sz w:val="24"/>
          <w:szCs w:val="24"/>
        </w:rPr>
        <w:t xml:space="preserve">LA DIFFUSIONE DELLE VARIANTI BA.4 E BA.5 HA CONTRIBUITO AD UNA NETTA RIPRESA DELLA CIRCOLAZIONE VIRALE CON EFFETTI </w:t>
      </w:r>
      <w:r w:rsidR="00D33696" w:rsidRPr="00D33696">
        <w:rPr>
          <w:b/>
          <w:bCs/>
          <w:caps/>
          <w:color w:val="auto"/>
          <w:spacing w:val="-2"/>
          <w:sz w:val="24"/>
          <w:szCs w:val="24"/>
        </w:rPr>
        <w:t>Già</w:t>
      </w:r>
      <w:r w:rsidR="00D33696">
        <w:rPr>
          <w:b/>
          <w:bCs/>
          <w:color w:val="auto"/>
          <w:spacing w:val="-2"/>
          <w:sz w:val="24"/>
          <w:szCs w:val="24"/>
        </w:rPr>
        <w:t xml:space="preserve"> EVIDENTI </w:t>
      </w:r>
      <w:r w:rsidR="004E43E7" w:rsidRPr="004E43E7">
        <w:rPr>
          <w:b/>
          <w:bCs/>
          <w:color w:val="auto"/>
          <w:spacing w:val="-2"/>
          <w:sz w:val="24"/>
          <w:szCs w:val="24"/>
        </w:rPr>
        <w:t>SUGLI OSPEDALI: FONDAMENTALE INDOSSARE LE MASCHERINE NEI LUOGHI AL CHIUSO E POTENZIARE LA CAMPAGNA VACCINALE.</w:t>
      </w:r>
    </w:p>
    <w:p w14:paraId="16186698" w14:textId="77777777" w:rsidR="001F00E4" w:rsidRPr="001A78A9" w:rsidRDefault="000636C7" w:rsidP="001A78A9">
      <w:pPr>
        <w:spacing w:line="276" w:lineRule="auto"/>
        <w:jc w:val="center"/>
        <w:rPr>
          <w:b/>
          <w:bCs/>
          <w:color w:val="auto"/>
          <w:sz w:val="32"/>
          <w:szCs w:val="32"/>
        </w:rPr>
      </w:pPr>
      <w:r>
        <w:rPr>
          <w:rFonts w:cs="Calibri"/>
          <w:b/>
          <w:bCs/>
          <w:color w:val="auto"/>
        </w:rPr>
        <w:t>23</w:t>
      </w:r>
      <w:r w:rsidR="00CE5F5B" w:rsidRPr="001A78A9">
        <w:rPr>
          <w:rFonts w:cs="Calibri"/>
          <w:b/>
          <w:bCs/>
          <w:color w:val="auto"/>
        </w:rPr>
        <w:t xml:space="preserve"> giugno</w:t>
      </w:r>
      <w:r w:rsidR="001F00E4" w:rsidRPr="001A78A9">
        <w:rPr>
          <w:rFonts w:cs="Calibri"/>
          <w:b/>
          <w:bCs/>
          <w:color w:val="auto"/>
        </w:rPr>
        <w:t xml:space="preserve"> 2022 - Fondazione GIMBE, Bologna</w:t>
      </w:r>
    </w:p>
    <w:p w14:paraId="412494AF" w14:textId="1F1ABCBB" w:rsidR="00F6142B" w:rsidRPr="00F6142B" w:rsidRDefault="00F6142B" w:rsidP="00F6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Calibri"/>
          <w:color w:val="auto"/>
          <w:bdr w:val="none" w:sz="0" w:space="0" w:color="auto"/>
        </w:rPr>
      </w:pPr>
      <w:r w:rsidRPr="00F6142B">
        <w:rPr>
          <w:rFonts w:eastAsia="Times New Roman" w:cs="Calibri"/>
          <w:color w:val="auto"/>
          <w:bdr w:val="none" w:sz="0" w:space="0" w:color="auto"/>
        </w:rPr>
        <w:t>Il monitoraggio indipendente della Fondazione GIMBE rileva nella settimana 15-21 giugno 2022, rispetto alla precedente, un aumento di nuovi casi (255.442 vs 160.751) (</w:t>
      </w:r>
      <w:r w:rsidRPr="00F6142B">
        <w:rPr>
          <w:rFonts w:eastAsia="Times New Roman" w:cs="Calibri"/>
          <w:color w:val="auto"/>
          <w:highlight w:val="yellow"/>
          <w:bdr w:val="none" w:sz="0" w:space="0" w:color="auto"/>
        </w:rPr>
        <w:t>figura 1</w:t>
      </w:r>
      <w:r w:rsidRPr="00F6142B">
        <w:rPr>
          <w:rFonts w:eastAsia="Times New Roman" w:cs="Calibri"/>
          <w:color w:val="auto"/>
          <w:bdr w:val="none" w:sz="0" w:space="0" w:color="auto"/>
        </w:rPr>
        <w:t>) e una diminuzione dei decessi (337 vs 416) (</w:t>
      </w:r>
      <w:r w:rsidRPr="00F6142B">
        <w:rPr>
          <w:rFonts w:eastAsia="Times New Roman" w:cs="Calibri"/>
          <w:color w:val="auto"/>
          <w:highlight w:val="yellow"/>
          <w:bdr w:val="none" w:sz="0" w:space="0" w:color="auto"/>
        </w:rPr>
        <w:t>figura 2</w:t>
      </w:r>
      <w:r w:rsidRPr="00F6142B">
        <w:rPr>
          <w:rFonts w:eastAsia="Times New Roman" w:cs="Calibri"/>
          <w:color w:val="auto"/>
          <w:bdr w:val="none" w:sz="0" w:space="0" w:color="auto"/>
        </w:rPr>
        <w:t>). In calo i casi attualmente positivi (599.930 vs 603.882</w:t>
      </w:r>
      <w:r w:rsidR="00321C2D" w:rsidRPr="00F6142B">
        <w:rPr>
          <w:rFonts w:eastAsia="Times New Roman" w:cs="Calibri"/>
          <w:color w:val="auto"/>
          <w:bdr w:val="none" w:sz="0" w:space="0" w:color="auto"/>
        </w:rPr>
        <w:t>)</w:t>
      </w:r>
      <w:r w:rsidR="00321C2D">
        <w:rPr>
          <w:rFonts w:eastAsia="Times New Roman" w:cs="Calibri"/>
          <w:color w:val="auto"/>
          <w:bdr w:val="none" w:sz="0" w:space="0" w:color="auto"/>
        </w:rPr>
        <w:t xml:space="preserve"> e</w:t>
      </w:r>
      <w:r w:rsidR="00321C2D" w:rsidRPr="00F6142B">
        <w:rPr>
          <w:rFonts w:eastAsia="Times New Roman" w:cs="Calibri"/>
          <w:color w:val="auto"/>
          <w:bdr w:val="none" w:sz="0" w:space="0" w:color="auto"/>
        </w:rPr>
        <w:t xml:space="preserve"> </w:t>
      </w:r>
      <w:r w:rsidRPr="00F6142B">
        <w:rPr>
          <w:rFonts w:eastAsia="Times New Roman" w:cs="Calibri"/>
          <w:color w:val="auto"/>
          <w:bdr w:val="none" w:sz="0" w:space="0" w:color="auto"/>
        </w:rPr>
        <w:t>le persone in isolamento domiciliare (594.921 vs 599.500),</w:t>
      </w:r>
      <w:r w:rsidR="00321C2D">
        <w:rPr>
          <w:rFonts w:eastAsia="Times New Roman" w:cs="Calibri"/>
          <w:color w:val="auto"/>
          <w:bdr w:val="none" w:sz="0" w:space="0" w:color="auto"/>
        </w:rPr>
        <w:t xml:space="preserve"> mentre</w:t>
      </w:r>
      <w:r w:rsidRPr="00F6142B">
        <w:rPr>
          <w:rFonts w:eastAsia="Times New Roman" w:cs="Calibri"/>
          <w:color w:val="auto"/>
          <w:bdr w:val="none" w:sz="0" w:space="0" w:color="auto"/>
        </w:rPr>
        <w:t xml:space="preserve"> </w:t>
      </w:r>
      <w:r>
        <w:rPr>
          <w:rFonts w:eastAsia="Times New Roman" w:cs="Calibri"/>
          <w:color w:val="auto"/>
          <w:bdr w:val="none" w:sz="0" w:space="0" w:color="auto"/>
        </w:rPr>
        <w:t xml:space="preserve">aumentano </w:t>
      </w:r>
      <w:r w:rsidRPr="00F6142B">
        <w:rPr>
          <w:rFonts w:eastAsia="Times New Roman" w:cs="Calibri"/>
          <w:color w:val="auto"/>
          <w:bdr w:val="none" w:sz="0" w:space="0" w:color="auto"/>
        </w:rPr>
        <w:t>i ricoveri con sintomi (4.803 vs 4.199) e le terapie intensive (206 vs 183) (</w:t>
      </w:r>
      <w:r w:rsidRPr="00F6142B">
        <w:rPr>
          <w:rFonts w:eastAsia="Times New Roman" w:cs="Calibri"/>
          <w:color w:val="auto"/>
          <w:highlight w:val="yellow"/>
          <w:bdr w:val="none" w:sz="0" w:space="0" w:color="auto"/>
        </w:rPr>
        <w:t>figura 3</w:t>
      </w:r>
      <w:r w:rsidRPr="00F6142B">
        <w:rPr>
          <w:rFonts w:eastAsia="Times New Roman" w:cs="Calibri"/>
          <w:color w:val="auto"/>
          <w:bdr w:val="none" w:sz="0" w:space="0" w:color="auto"/>
        </w:rPr>
        <w:t>). In dettaglio, rispetto alla settimana precedente, si registrano le seguenti variazioni:</w:t>
      </w:r>
    </w:p>
    <w:p w14:paraId="3368D1A5" w14:textId="77777777" w:rsidR="00F6142B" w:rsidRPr="00F6142B" w:rsidRDefault="00F6142B" w:rsidP="00F6142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>Decessi: 337 (-19</w:t>
      </w:r>
      <w:r w:rsidRPr="00F6142B">
        <w:rPr>
          <w:color w:val="auto"/>
        </w:rPr>
        <w:t>%), di cui 52 riferiti a periodi precedenti</w:t>
      </w:r>
    </w:p>
    <w:p w14:paraId="573F7923" w14:textId="77777777" w:rsidR="00F6142B" w:rsidRPr="00F6142B" w:rsidRDefault="00F6142B" w:rsidP="00F6142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F6142B">
        <w:rPr>
          <w:color w:val="auto"/>
        </w:rPr>
        <w:t>Terapia intensiva: +23 (+12,6%)</w:t>
      </w:r>
    </w:p>
    <w:p w14:paraId="39171785" w14:textId="77777777" w:rsidR="00F6142B" w:rsidRPr="00F6142B" w:rsidRDefault="00F6142B" w:rsidP="00F6142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F6142B">
        <w:rPr>
          <w:color w:val="auto"/>
        </w:rPr>
        <w:t>Ricoverati con sintomi: +604 (+14,4%)</w:t>
      </w:r>
    </w:p>
    <w:p w14:paraId="45EE210F" w14:textId="77777777" w:rsidR="00F6142B" w:rsidRPr="00F6142B" w:rsidRDefault="00F6142B" w:rsidP="00F6142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F6142B">
        <w:rPr>
          <w:color w:val="auto"/>
        </w:rPr>
        <w:t>Isolamento domiciliare: -4.579 (-</w:t>
      </w:r>
      <w:r>
        <w:rPr>
          <w:color w:val="auto"/>
        </w:rPr>
        <w:t>0</w:t>
      </w:r>
      <w:r w:rsidRPr="00F6142B">
        <w:rPr>
          <w:color w:val="auto"/>
        </w:rPr>
        <w:t>,8%)</w:t>
      </w:r>
    </w:p>
    <w:p w14:paraId="5B770AD3" w14:textId="77777777" w:rsidR="00F6142B" w:rsidRPr="00F6142B" w:rsidRDefault="00F6142B" w:rsidP="00F6142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F6142B">
        <w:rPr>
          <w:color w:val="auto"/>
        </w:rPr>
        <w:t>Nuovi casi: 255.442 (+58,9%)</w:t>
      </w:r>
    </w:p>
    <w:p w14:paraId="00E71A58" w14:textId="77777777" w:rsidR="00ED5318" w:rsidRPr="00F6142B" w:rsidRDefault="00F6142B" w:rsidP="00F6142B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F6142B">
        <w:rPr>
          <w:color w:val="auto"/>
        </w:rPr>
        <w:t>Casi attualmente positivi: -3.952 (-0,7%)</w:t>
      </w:r>
    </w:p>
    <w:p w14:paraId="3CEA65B4" w14:textId="0881C834" w:rsidR="00117C6A" w:rsidRPr="00981668" w:rsidRDefault="00FA4320" w:rsidP="00981668">
      <w:pPr>
        <w:spacing w:line="276" w:lineRule="auto"/>
        <w:jc w:val="both"/>
        <w:rPr>
          <w:color w:val="auto"/>
        </w:rPr>
      </w:pPr>
      <w:bookmarkStart w:id="1" w:name="_Hlk105580520"/>
      <w:r w:rsidRPr="00393F02">
        <w:rPr>
          <w:b/>
          <w:color w:val="auto"/>
        </w:rPr>
        <w:t xml:space="preserve">Nuovi casi. </w:t>
      </w:r>
      <w:r w:rsidRPr="00393F02">
        <w:rPr>
          <w:color w:val="auto"/>
        </w:rPr>
        <w:t>«</w:t>
      </w:r>
      <w:r w:rsidR="0019090A">
        <w:rPr>
          <w:color w:val="auto"/>
        </w:rPr>
        <w:t>Assistiamo a una n</w:t>
      </w:r>
      <w:r w:rsidR="009062E9">
        <w:rPr>
          <w:color w:val="auto"/>
        </w:rPr>
        <w:t xml:space="preserve">etta impennata </w:t>
      </w:r>
      <w:r w:rsidR="002054E6" w:rsidRPr="00393F02">
        <w:rPr>
          <w:color w:val="auto"/>
        </w:rPr>
        <w:t xml:space="preserve">dei </w:t>
      </w:r>
      <w:r w:rsidR="005200F6" w:rsidRPr="00393F02">
        <w:rPr>
          <w:color w:val="auto"/>
        </w:rPr>
        <w:t>nuovi casi settimanali</w:t>
      </w:r>
      <w:r w:rsidR="00476F59" w:rsidRPr="00393F02">
        <w:rPr>
          <w:color w:val="auto"/>
        </w:rPr>
        <w:t xml:space="preserve"> </w:t>
      </w:r>
      <w:r w:rsidR="002054E6" w:rsidRPr="00393F02">
        <w:rPr>
          <w:color w:val="auto"/>
        </w:rPr>
        <w:t>(</w:t>
      </w:r>
      <w:r w:rsidR="00ED5318" w:rsidRPr="00393F02">
        <w:rPr>
          <w:color w:val="auto"/>
        </w:rPr>
        <w:t>+</w:t>
      </w:r>
      <w:r w:rsidR="00F6142B" w:rsidRPr="00393F02">
        <w:rPr>
          <w:color w:val="auto"/>
        </w:rPr>
        <w:t>58,9</w:t>
      </w:r>
      <w:r w:rsidR="002054E6" w:rsidRPr="00393F02">
        <w:rPr>
          <w:color w:val="auto"/>
        </w:rPr>
        <w:t xml:space="preserve">% rispetto alla settimana precedente) </w:t>
      </w:r>
      <w:r w:rsidR="00476F59" w:rsidRPr="00393F02">
        <w:rPr>
          <w:color w:val="auto"/>
        </w:rPr>
        <w:t>– dichiara Nino Cartabellotta, Presidente della Fondazione GIMBE –</w:t>
      </w:r>
      <w:r w:rsidR="002054E6" w:rsidRPr="00393F02">
        <w:rPr>
          <w:color w:val="auto"/>
        </w:rPr>
        <w:t xml:space="preserve"> che si </w:t>
      </w:r>
      <w:r w:rsidR="00961C02" w:rsidRPr="00393F02">
        <w:rPr>
          <w:color w:val="auto"/>
        </w:rPr>
        <w:t>attestan</w:t>
      </w:r>
      <w:r w:rsidR="002054E6" w:rsidRPr="00393F02">
        <w:rPr>
          <w:color w:val="auto"/>
        </w:rPr>
        <w:t xml:space="preserve">o </w:t>
      </w:r>
      <w:r w:rsidR="00117C6A" w:rsidRPr="00393F02">
        <w:rPr>
          <w:color w:val="auto"/>
        </w:rPr>
        <w:t xml:space="preserve">intorno </w:t>
      </w:r>
      <w:r w:rsidRPr="00393F02">
        <w:rPr>
          <w:color w:val="auto"/>
        </w:rPr>
        <w:t xml:space="preserve">a </w:t>
      </w:r>
      <w:r w:rsidR="00F6142B" w:rsidRPr="00393F02">
        <w:rPr>
          <w:color w:val="auto"/>
        </w:rPr>
        <w:t xml:space="preserve">255 </w:t>
      </w:r>
      <w:r w:rsidR="00B92911" w:rsidRPr="00393F02">
        <w:rPr>
          <w:color w:val="auto"/>
        </w:rPr>
        <w:t>mila</w:t>
      </w:r>
      <w:r w:rsidR="00881A83" w:rsidRPr="00393F02">
        <w:rPr>
          <w:color w:val="auto"/>
        </w:rPr>
        <w:t xml:space="preserve"> </w:t>
      </w:r>
      <w:r w:rsidR="004D0641" w:rsidRPr="00393F02">
        <w:rPr>
          <w:color w:val="auto"/>
        </w:rPr>
        <w:t>con</w:t>
      </w:r>
      <w:r w:rsidRPr="00393F02">
        <w:rPr>
          <w:color w:val="auto"/>
        </w:rPr>
        <w:t xml:space="preserve"> una media mobile a 7 giorni </w:t>
      </w:r>
      <w:r w:rsidR="00ED5318" w:rsidRPr="00393F02">
        <w:rPr>
          <w:color w:val="auto"/>
        </w:rPr>
        <w:t xml:space="preserve">che </w:t>
      </w:r>
      <w:r w:rsidR="00733812" w:rsidRPr="00393F02">
        <w:rPr>
          <w:color w:val="auto"/>
        </w:rPr>
        <w:t>supera</w:t>
      </w:r>
      <w:r w:rsidR="00ED5318" w:rsidRPr="00393F02">
        <w:rPr>
          <w:color w:val="auto"/>
        </w:rPr>
        <w:t xml:space="preserve"> quota </w:t>
      </w:r>
      <w:r w:rsidR="00733812" w:rsidRPr="00393F02">
        <w:rPr>
          <w:color w:val="auto"/>
        </w:rPr>
        <w:t>36</w:t>
      </w:r>
      <w:r w:rsidR="00C15EB5" w:rsidRPr="00393F02">
        <w:rPr>
          <w:color w:val="auto"/>
        </w:rPr>
        <w:t xml:space="preserve"> </w:t>
      </w:r>
      <w:r w:rsidR="008E50A0" w:rsidRPr="00393F02">
        <w:rPr>
          <w:color w:val="auto"/>
        </w:rPr>
        <w:t>mila</w:t>
      </w:r>
      <w:r w:rsidR="00C13A5D" w:rsidRPr="00393F02">
        <w:rPr>
          <w:color w:val="auto"/>
        </w:rPr>
        <w:t xml:space="preserve"> casi</w:t>
      </w:r>
      <w:r w:rsidR="00C15EB5" w:rsidRPr="00393F02">
        <w:rPr>
          <w:color w:val="auto"/>
        </w:rPr>
        <w:t xml:space="preserve"> </w:t>
      </w:r>
      <w:r w:rsidR="009062E9">
        <w:rPr>
          <w:color w:val="auto"/>
        </w:rPr>
        <w:t>al giorno</w:t>
      </w:r>
      <w:r w:rsidRPr="00393F02">
        <w:rPr>
          <w:color w:val="auto"/>
        </w:rPr>
        <w:t>»</w:t>
      </w:r>
      <w:r w:rsidR="003D7565" w:rsidRPr="00393F02">
        <w:rPr>
          <w:color w:val="auto"/>
        </w:rPr>
        <w:t xml:space="preserve"> </w:t>
      </w:r>
      <w:bookmarkEnd w:id="1"/>
      <w:r w:rsidRPr="00393F02">
        <w:rPr>
          <w:color w:val="auto"/>
        </w:rPr>
        <w:t>(</w:t>
      </w:r>
      <w:r w:rsidRPr="00393F02">
        <w:rPr>
          <w:color w:val="auto"/>
          <w:highlight w:val="yellow"/>
        </w:rPr>
        <w:t>figura 4</w:t>
      </w:r>
      <w:r w:rsidRPr="00393F02">
        <w:rPr>
          <w:color w:val="auto"/>
        </w:rPr>
        <w:t>).</w:t>
      </w:r>
      <w:r w:rsidR="00557ACD" w:rsidRPr="00393F02">
        <w:rPr>
          <w:color w:val="auto"/>
        </w:rPr>
        <w:t xml:space="preserve"> N</w:t>
      </w:r>
      <w:r w:rsidR="00AC37CB" w:rsidRPr="00393F02">
        <w:rPr>
          <w:color w:val="auto"/>
        </w:rPr>
        <w:t xml:space="preserve">ella </w:t>
      </w:r>
      <w:r w:rsidR="008568BE" w:rsidRPr="00393F02">
        <w:rPr>
          <w:color w:val="auto"/>
        </w:rPr>
        <w:t xml:space="preserve">settimana </w:t>
      </w:r>
      <w:r w:rsidR="00733812" w:rsidRPr="00393F02">
        <w:rPr>
          <w:rFonts w:eastAsia="Times New Roman" w:cs="Calibri"/>
          <w:color w:val="auto"/>
          <w:bdr w:val="none" w:sz="0" w:space="0" w:color="auto"/>
        </w:rPr>
        <w:t xml:space="preserve">15-21 giugno </w:t>
      </w:r>
      <w:r w:rsidR="00B94762" w:rsidRPr="00981668">
        <w:rPr>
          <w:color w:val="auto"/>
        </w:rPr>
        <w:t>l’</w:t>
      </w:r>
      <w:r w:rsidR="00DC7AAF" w:rsidRPr="00981668">
        <w:rPr>
          <w:color w:val="auto"/>
        </w:rPr>
        <w:t xml:space="preserve">incremento percentuale dei nuovi casi </w:t>
      </w:r>
      <w:r w:rsidR="00B94762" w:rsidRPr="00981668">
        <w:rPr>
          <w:color w:val="auto"/>
        </w:rPr>
        <w:t xml:space="preserve">si registra </w:t>
      </w:r>
      <w:r w:rsidR="00DC7AAF" w:rsidRPr="00981668">
        <w:rPr>
          <w:color w:val="auto"/>
        </w:rPr>
        <w:t xml:space="preserve">in </w:t>
      </w:r>
      <w:r w:rsidR="00ED5318" w:rsidRPr="00981668">
        <w:rPr>
          <w:color w:val="auto"/>
        </w:rPr>
        <w:t xml:space="preserve">tutte le Regioni: </w:t>
      </w:r>
      <w:r w:rsidR="00393F02" w:rsidRPr="00981668">
        <w:rPr>
          <w:color w:val="auto"/>
        </w:rPr>
        <w:t>dal +31,3% della Valle D</w:t>
      </w:r>
      <w:r w:rsidR="0019090A">
        <w:rPr>
          <w:color w:val="auto"/>
        </w:rPr>
        <w:t>’</w:t>
      </w:r>
      <w:r w:rsidR="00393F02" w:rsidRPr="00981668">
        <w:rPr>
          <w:color w:val="auto"/>
        </w:rPr>
        <w:t xml:space="preserve">Aosta al +91,5% del </w:t>
      </w:r>
      <w:r w:rsidR="0019090A" w:rsidRPr="00981668">
        <w:rPr>
          <w:color w:val="auto"/>
        </w:rPr>
        <w:t>Friuli-Venezia Giulia</w:t>
      </w:r>
      <w:r w:rsidR="00FB5602" w:rsidRPr="00981668">
        <w:rPr>
          <w:color w:val="auto"/>
        </w:rPr>
        <w:t xml:space="preserve"> </w:t>
      </w:r>
      <w:r w:rsidR="008568BE" w:rsidRPr="00981668">
        <w:rPr>
          <w:color w:val="auto"/>
        </w:rPr>
        <w:t>(</w:t>
      </w:r>
      <w:r w:rsidR="008568BE" w:rsidRPr="00981668">
        <w:rPr>
          <w:color w:val="auto"/>
          <w:highlight w:val="yellow"/>
        </w:rPr>
        <w:t>tabella 1</w:t>
      </w:r>
      <w:r w:rsidR="008568BE" w:rsidRPr="00981668">
        <w:rPr>
          <w:color w:val="auto"/>
        </w:rPr>
        <w:t>).</w:t>
      </w:r>
      <w:r w:rsidR="00D74F90" w:rsidRPr="00981668">
        <w:rPr>
          <w:color w:val="auto"/>
        </w:rPr>
        <w:t xml:space="preserve"> </w:t>
      </w:r>
      <w:r w:rsidR="001647A3" w:rsidRPr="00981668">
        <w:rPr>
          <w:color w:val="auto"/>
        </w:rPr>
        <w:t xml:space="preserve">Rispetto alla settimana precedente, </w:t>
      </w:r>
      <w:r w:rsidR="009062E9">
        <w:rPr>
          <w:color w:val="auto"/>
        </w:rPr>
        <w:t xml:space="preserve">solo </w:t>
      </w:r>
      <w:r w:rsidR="00A018E7" w:rsidRPr="00981668">
        <w:rPr>
          <w:color w:val="auto"/>
        </w:rPr>
        <w:t xml:space="preserve">in </w:t>
      </w:r>
      <w:r w:rsidR="009D50D1" w:rsidRPr="00981668">
        <w:rPr>
          <w:color w:val="auto"/>
        </w:rPr>
        <w:t>2</w:t>
      </w:r>
      <w:r w:rsidR="00A018E7" w:rsidRPr="00981668">
        <w:rPr>
          <w:color w:val="auto"/>
        </w:rPr>
        <w:t xml:space="preserve"> Province si registra una riduzione percentuale dei nuovi casi (</w:t>
      </w:r>
      <w:r w:rsidR="009D50D1" w:rsidRPr="00981668">
        <w:rPr>
          <w:color w:val="auto"/>
        </w:rPr>
        <w:t>Caltanissetta -10,2% e Vibo Valentia -10,2</w:t>
      </w:r>
      <w:r w:rsidR="0019090A" w:rsidRPr="00981668">
        <w:rPr>
          <w:color w:val="auto"/>
        </w:rPr>
        <w:t>%)</w:t>
      </w:r>
      <w:r w:rsidR="0019090A">
        <w:rPr>
          <w:color w:val="auto"/>
        </w:rPr>
        <w:t>,</w:t>
      </w:r>
      <w:r w:rsidR="0019090A" w:rsidRPr="00981668">
        <w:rPr>
          <w:color w:val="auto"/>
        </w:rPr>
        <w:t xml:space="preserve"> </w:t>
      </w:r>
      <w:r w:rsidR="009062E9">
        <w:rPr>
          <w:color w:val="auto"/>
        </w:rPr>
        <w:t xml:space="preserve">mentre </w:t>
      </w:r>
      <w:r w:rsidR="00D21CBA" w:rsidRPr="00981668">
        <w:rPr>
          <w:color w:val="auto"/>
        </w:rPr>
        <w:lastRenderedPageBreak/>
        <w:t xml:space="preserve">salgono da </w:t>
      </w:r>
      <w:r w:rsidR="009D50D1" w:rsidRPr="00981668">
        <w:rPr>
          <w:color w:val="auto"/>
        </w:rPr>
        <w:t>99</w:t>
      </w:r>
      <w:r w:rsidR="00D21CBA" w:rsidRPr="00981668">
        <w:rPr>
          <w:color w:val="auto"/>
        </w:rPr>
        <w:t xml:space="preserve"> a</w:t>
      </w:r>
      <w:r w:rsidR="00DC7AAF" w:rsidRPr="00981668">
        <w:rPr>
          <w:color w:val="auto"/>
        </w:rPr>
        <w:t xml:space="preserve"> </w:t>
      </w:r>
      <w:r w:rsidR="009D50D1" w:rsidRPr="00981668">
        <w:rPr>
          <w:color w:val="auto"/>
        </w:rPr>
        <w:t>105</w:t>
      </w:r>
      <w:r w:rsidR="00D21CBA" w:rsidRPr="00981668">
        <w:rPr>
          <w:color w:val="auto"/>
        </w:rPr>
        <w:t xml:space="preserve"> le Province in cui si rileva un </w:t>
      </w:r>
      <w:r w:rsidR="00F073D2" w:rsidRPr="00981668">
        <w:rPr>
          <w:color w:val="auto"/>
        </w:rPr>
        <w:t>aumento</w:t>
      </w:r>
      <w:r w:rsidR="00A018E7" w:rsidRPr="00981668">
        <w:rPr>
          <w:color w:val="auto"/>
        </w:rPr>
        <w:t xml:space="preserve"> </w:t>
      </w:r>
      <w:r w:rsidR="00014C7B" w:rsidRPr="00981668">
        <w:rPr>
          <w:color w:val="auto"/>
        </w:rPr>
        <w:t>(</w:t>
      </w:r>
      <w:r w:rsidR="00DC7AAF" w:rsidRPr="00981668">
        <w:rPr>
          <w:color w:val="auto"/>
        </w:rPr>
        <w:t>dal +</w:t>
      </w:r>
      <w:r w:rsidR="009D50D1" w:rsidRPr="00981668">
        <w:rPr>
          <w:color w:val="auto"/>
        </w:rPr>
        <w:t>5,6</w:t>
      </w:r>
      <w:r w:rsidR="00DC7AAF" w:rsidRPr="00981668">
        <w:rPr>
          <w:color w:val="auto"/>
        </w:rPr>
        <w:t xml:space="preserve">% di </w:t>
      </w:r>
      <w:r w:rsidR="009D50D1" w:rsidRPr="00981668">
        <w:rPr>
          <w:color w:val="auto"/>
        </w:rPr>
        <w:t>Crotone</w:t>
      </w:r>
      <w:r w:rsidR="00DC7AAF" w:rsidRPr="00981668">
        <w:rPr>
          <w:color w:val="auto"/>
        </w:rPr>
        <w:t xml:space="preserve"> al </w:t>
      </w:r>
      <w:r w:rsidR="00117C6A" w:rsidRPr="00981668">
        <w:rPr>
          <w:color w:val="auto"/>
        </w:rPr>
        <w:t>+</w:t>
      </w:r>
      <w:r w:rsidR="00ED5318" w:rsidRPr="00981668">
        <w:rPr>
          <w:color w:val="auto"/>
        </w:rPr>
        <w:t>1</w:t>
      </w:r>
      <w:r w:rsidR="009D50D1" w:rsidRPr="00981668">
        <w:rPr>
          <w:color w:val="auto"/>
        </w:rPr>
        <w:t>31</w:t>
      </w:r>
      <w:r w:rsidR="00ED5318" w:rsidRPr="00981668">
        <w:rPr>
          <w:color w:val="auto"/>
        </w:rPr>
        <w:t>,</w:t>
      </w:r>
      <w:r w:rsidR="009D50D1" w:rsidRPr="00981668">
        <w:rPr>
          <w:color w:val="auto"/>
        </w:rPr>
        <w:t>7</w:t>
      </w:r>
      <w:r w:rsidR="00BA097A" w:rsidRPr="00981668">
        <w:rPr>
          <w:color w:val="auto"/>
        </w:rPr>
        <w:t xml:space="preserve">% </w:t>
      </w:r>
      <w:r w:rsidR="00DC7AAF" w:rsidRPr="00981668">
        <w:rPr>
          <w:color w:val="auto"/>
        </w:rPr>
        <w:t xml:space="preserve">di </w:t>
      </w:r>
      <w:r w:rsidR="009D50D1" w:rsidRPr="00981668">
        <w:rPr>
          <w:color w:val="auto"/>
        </w:rPr>
        <w:t>Reggio Calabria</w:t>
      </w:r>
      <w:r w:rsidR="00014C7B" w:rsidRPr="00981668">
        <w:rPr>
          <w:color w:val="auto"/>
        </w:rPr>
        <w:t>)</w:t>
      </w:r>
      <w:r w:rsidR="00D1612B" w:rsidRPr="00981668">
        <w:rPr>
          <w:color w:val="auto"/>
        </w:rPr>
        <w:t xml:space="preserve">. </w:t>
      </w:r>
      <w:r w:rsidR="00981668" w:rsidRPr="00981668">
        <w:rPr>
          <w:color w:val="auto"/>
        </w:rPr>
        <w:t>In 16 Province l’incidenza super</w:t>
      </w:r>
      <w:r w:rsidR="009062E9">
        <w:rPr>
          <w:color w:val="auto"/>
        </w:rPr>
        <w:t>a</w:t>
      </w:r>
      <w:r w:rsidR="00981668" w:rsidRPr="00981668">
        <w:rPr>
          <w:color w:val="auto"/>
        </w:rPr>
        <w:t xml:space="preserve"> </w:t>
      </w:r>
      <w:r w:rsidR="009062E9">
        <w:rPr>
          <w:color w:val="auto"/>
        </w:rPr>
        <w:t>i</w:t>
      </w:r>
      <w:r w:rsidR="00981668" w:rsidRPr="00981668">
        <w:rPr>
          <w:color w:val="auto"/>
        </w:rPr>
        <w:t xml:space="preserve"> 500 casi </w:t>
      </w:r>
      <w:r w:rsidR="00EC02BE" w:rsidRPr="00981668">
        <w:rPr>
          <w:color w:val="auto"/>
        </w:rPr>
        <w:t>per 100.000 abitanti</w:t>
      </w:r>
      <w:r w:rsidR="00981668" w:rsidRPr="00981668">
        <w:rPr>
          <w:color w:val="auto"/>
        </w:rPr>
        <w:t xml:space="preserve">: Cagliari (934), Sud Sardegna (705), Roma (635), Ragusa (607), Palermo (602), Venezia (592), Rimini (583), Catania (583), Treviso (580), Siracusa (579), Forlì-Cesena (570), Ravenna (555), Udine (526), Terni (505), Foggia (503), </w:t>
      </w:r>
      <w:r w:rsidR="00981668">
        <w:rPr>
          <w:color w:val="auto"/>
        </w:rPr>
        <w:t>Bologna (502)</w:t>
      </w:r>
      <w:r w:rsidR="00981668" w:rsidRPr="00981668">
        <w:rPr>
          <w:color w:val="auto"/>
        </w:rPr>
        <w:t xml:space="preserve"> </w:t>
      </w:r>
      <w:r w:rsidR="00C13A5D" w:rsidRPr="00981668">
        <w:rPr>
          <w:color w:val="auto"/>
        </w:rPr>
        <w:t>(</w:t>
      </w:r>
      <w:r w:rsidR="00C13A5D" w:rsidRPr="00981668">
        <w:rPr>
          <w:color w:val="auto"/>
          <w:highlight w:val="yellow"/>
        </w:rPr>
        <w:t>tabella 2</w:t>
      </w:r>
      <w:r w:rsidR="00C13A5D" w:rsidRPr="00981668">
        <w:rPr>
          <w:color w:val="auto"/>
        </w:rPr>
        <w:t>).</w:t>
      </w:r>
    </w:p>
    <w:p w14:paraId="074C8C07" w14:textId="04483F11" w:rsidR="00AF5F63" w:rsidRPr="00620765" w:rsidRDefault="00AF5F63" w:rsidP="00AF5F63">
      <w:pPr>
        <w:jc w:val="both"/>
      </w:pPr>
      <w:r w:rsidRPr="00302DFF">
        <w:rPr>
          <w:b/>
          <w:bCs/>
        </w:rPr>
        <w:t>Nuove varianti</w:t>
      </w:r>
      <w:r w:rsidRPr="00302DFF">
        <w:t xml:space="preserve">. </w:t>
      </w:r>
      <w:r>
        <w:t xml:space="preserve">La </w:t>
      </w:r>
      <w:hyperlink r:id="rId8" w:history="1">
        <w:r w:rsidRPr="000D3076">
          <w:rPr>
            <w:rStyle w:val="Collegamentoipertestuale"/>
          </w:rPr>
          <w:t xml:space="preserve">flash </w:t>
        </w:r>
        <w:proofErr w:type="spellStart"/>
        <w:r w:rsidRPr="000D3076">
          <w:rPr>
            <w:rStyle w:val="Collegamentoipertestuale"/>
          </w:rPr>
          <w:t>survey</w:t>
        </w:r>
        <w:proofErr w:type="spellEnd"/>
        <w:r w:rsidRPr="000D3076">
          <w:rPr>
            <w:rStyle w:val="Collegamentoipertestuale"/>
          </w:rPr>
          <w:t xml:space="preserve"> dell’Istituto Superiore di Sanità</w:t>
        </w:r>
      </w:hyperlink>
      <w:r w:rsidR="0019090A">
        <w:t xml:space="preserve"> condotta </w:t>
      </w:r>
      <w:r>
        <w:t>su campioni del 7 giugno conferma l’aumentata prevalenza delle sotto-varianti BA.4 e BA.5, rispettivamente all’11,4% (</w:t>
      </w:r>
      <w:proofErr w:type="spellStart"/>
      <w:r>
        <w:t>range</w:t>
      </w:r>
      <w:proofErr w:type="spellEnd"/>
      <w:r>
        <w:t xml:space="preserve"> 0-32,3%) e al </w:t>
      </w:r>
      <w:r w:rsidRPr="000D3076">
        <w:t>23,</w:t>
      </w:r>
      <w:r>
        <w:t>2</w:t>
      </w:r>
      <w:r w:rsidRPr="000D3076">
        <w:t xml:space="preserve">% </w:t>
      </w:r>
      <w:r w:rsidR="0019090A" w:rsidRPr="000D3076">
        <w:t>(</w:t>
      </w:r>
      <w:proofErr w:type="spellStart"/>
      <w:r w:rsidRPr="000D3076">
        <w:t>range</w:t>
      </w:r>
      <w:proofErr w:type="spellEnd"/>
      <w:r w:rsidRPr="000D3076">
        <w:t xml:space="preserve"> 8</w:t>
      </w:r>
      <w:r>
        <w:t>-</w:t>
      </w:r>
      <w:r w:rsidRPr="000D3076">
        <w:t>100%)</w:t>
      </w:r>
      <w:r>
        <w:t>, a scapito della BA</w:t>
      </w:r>
      <w:r w:rsidR="0019090A">
        <w:t>.</w:t>
      </w:r>
      <w:r>
        <w:t xml:space="preserve">2 che scende al </w:t>
      </w:r>
      <w:r w:rsidRPr="000D3076">
        <w:t>6</w:t>
      </w:r>
      <w:r>
        <w:t>3</w:t>
      </w:r>
      <w:r w:rsidRPr="000D3076">
        <w:t xml:space="preserve">% </w:t>
      </w:r>
      <w:r w:rsidR="0019090A" w:rsidRPr="000D3076">
        <w:t>(</w:t>
      </w:r>
      <w:proofErr w:type="spellStart"/>
      <w:r w:rsidRPr="000D3076">
        <w:t>range</w:t>
      </w:r>
      <w:proofErr w:type="spellEnd"/>
      <w:r w:rsidRPr="000D3076">
        <w:t xml:space="preserve"> 0% - 85,7%)</w:t>
      </w:r>
      <w:r>
        <w:t xml:space="preserve">. </w:t>
      </w:r>
      <w:r w:rsidRPr="00302DFF">
        <w:t>«</w:t>
      </w:r>
      <w:r>
        <w:t xml:space="preserve">Gli ampi margini di incertezza </w:t>
      </w:r>
      <w:r w:rsidRPr="00302DFF">
        <w:t xml:space="preserve">– spiega Cartabellotta – </w:t>
      </w:r>
      <w:r w:rsidR="0019090A">
        <w:t>sono determinati da</w:t>
      </w:r>
      <w:r>
        <w:t xml:space="preserve"> un campionamento statistico insufficiente che, insieme alla cadenza mensile </w:t>
      </w:r>
      <w:proofErr w:type="gramStart"/>
      <w:r>
        <w:t>d</w:t>
      </w:r>
      <w:r w:rsidR="0099603C">
        <w:t>e</w:t>
      </w:r>
      <w:r>
        <w:t xml:space="preserve">lla </w:t>
      </w:r>
      <w:r w:rsidRPr="00302DFF">
        <w:t>flash</w:t>
      </w:r>
      <w:proofErr w:type="gramEnd"/>
      <w:r w:rsidRPr="00302DFF">
        <w:t xml:space="preserve"> </w:t>
      </w:r>
      <w:proofErr w:type="spellStart"/>
      <w:r w:rsidRPr="00302DFF">
        <w:t>survey</w:t>
      </w:r>
      <w:proofErr w:type="spellEnd"/>
      <w:r>
        <w:t>, indicano che le attività di sequenziamento nel nostro Paese non sono state adeguatamente potenziate</w:t>
      </w:r>
      <w:r w:rsidR="009062E9">
        <w:t xml:space="preserve"> </w:t>
      </w:r>
      <w:r>
        <w:t>per rispondere tempestivamente all</w:t>
      </w:r>
      <w:r w:rsidR="009062E9">
        <w:t xml:space="preserve">a diffusione </w:t>
      </w:r>
      <w:r>
        <w:t>di nuove varianti</w:t>
      </w:r>
      <w:r w:rsidRPr="00302DFF">
        <w:t>».</w:t>
      </w:r>
      <w:r>
        <w:t xml:space="preserve"> Al momento evidenze e dati confermano che</w:t>
      </w:r>
      <w:r w:rsidR="009062E9">
        <w:t xml:space="preserve"> </w:t>
      </w:r>
      <w:r w:rsidRPr="00302DFF">
        <w:t xml:space="preserve">BA.4 e BA.5 </w:t>
      </w:r>
      <w:r>
        <w:t xml:space="preserve">non si associano ad una maggior gravità della malattia COVID-19, </w:t>
      </w:r>
      <w:r w:rsidR="009062E9">
        <w:t xml:space="preserve">ma sono più </w:t>
      </w:r>
      <w:r w:rsidRPr="00302DFF">
        <w:t>trasmissibili</w:t>
      </w:r>
      <w:r w:rsidR="009062E9">
        <w:t xml:space="preserve"> di </w:t>
      </w:r>
      <w:r w:rsidRPr="00302DFF">
        <w:t>BA.2 e</w:t>
      </w:r>
      <w:r w:rsidR="009062E9">
        <w:t xml:space="preserve">d hanno </w:t>
      </w:r>
      <w:r w:rsidRPr="00302DFF">
        <w:t xml:space="preserve">una maggior capacità di evadere la protezione immunitaria da vaccino e da pregressa infezione, aumentando la probabilità di reinfezione. </w:t>
      </w:r>
      <w:r w:rsidR="0019090A" w:rsidRPr="00302DFF">
        <w:t>«</w:t>
      </w:r>
      <w:r w:rsidR="0019090A">
        <w:t>L</w:t>
      </w:r>
      <w:r w:rsidR="0019090A" w:rsidRPr="00302DFF">
        <w:t xml:space="preserve">’eventuale impatto sui ricoveri ospedalieri </w:t>
      </w:r>
      <w:r w:rsidR="0019090A">
        <w:t>delle nuove varianti</w:t>
      </w:r>
      <w:r w:rsidR="0019090A" w:rsidRPr="00302DFF">
        <w:t xml:space="preserve"> </w:t>
      </w:r>
      <w:r w:rsidRPr="00302DFF">
        <w:t>–</w:t>
      </w:r>
      <w:r>
        <w:t xml:space="preserve"> commenta </w:t>
      </w:r>
      <w:r w:rsidRPr="00302DFF">
        <w:t xml:space="preserve">Cartabellotta –dipende dall’entità nell’aumento dei casi, </w:t>
      </w:r>
      <w:r w:rsidR="009062E9">
        <w:t xml:space="preserve">oltre che </w:t>
      </w:r>
      <w:r>
        <w:t>dai tassi di</w:t>
      </w:r>
      <w:r w:rsidRPr="00302DFF">
        <w:t xml:space="preserve"> copertura vaccinale </w:t>
      </w:r>
      <w:r>
        <w:t xml:space="preserve">della popolazione </w:t>
      </w:r>
      <w:r w:rsidRPr="00302DFF">
        <w:t xml:space="preserve">con tre dosi, o quattro nelle persone vulnerabili».  </w:t>
      </w:r>
    </w:p>
    <w:p w14:paraId="1EA49B1F" w14:textId="1355B919" w:rsidR="00ED5318" w:rsidRPr="007A3A16" w:rsidRDefault="00AF5F63" w:rsidP="00D44AA7">
      <w:pPr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Reinfezioni</w:t>
      </w:r>
      <w:r>
        <w:rPr>
          <w:color w:val="auto"/>
        </w:rPr>
        <w:t xml:space="preserve">. Secondo </w:t>
      </w:r>
      <w:hyperlink r:id="rId9" w:history="1">
        <w:r>
          <w:rPr>
            <w:rStyle w:val="Collegamentoipertestuale"/>
            <w:color w:val="auto"/>
          </w:rPr>
          <w:t>l’ultimo report dell’Istituto Superiore di Sanità</w:t>
        </w:r>
      </w:hyperlink>
      <w:r>
        <w:rPr>
          <w:rStyle w:val="Collegamentoipertestuale"/>
          <w:color w:val="auto"/>
          <w:u w:val="none"/>
        </w:rPr>
        <w:t>,</w:t>
      </w:r>
      <w:r>
        <w:rPr>
          <w:color w:val="auto"/>
        </w:rPr>
        <w:t xml:space="preserve"> nel periodo 24 agosto 2021-12 giugno 2022 sono state registrate in Italia oltre 532 mila reinfezioni, pari al 4% del totale dei casi. La loro incidenza nella settimana 9-15 giugno si è attestata al 7,4% (n. 13.152 reinfezioni)</w:t>
      </w:r>
      <w:r w:rsidR="0019090A">
        <w:rPr>
          <w:color w:val="auto"/>
        </w:rPr>
        <w:t>,</w:t>
      </w:r>
      <w:r>
        <w:rPr>
          <w:color w:val="auto"/>
        </w:rPr>
        <w:t xml:space="preserve"> in aumento rispetto alla settimana precedente (6,3%). «</w:t>
      </w:r>
      <w:r w:rsidR="00200155">
        <w:rPr>
          <w:color w:val="auto"/>
        </w:rPr>
        <w:t xml:space="preserve">Il rischio di reinfezione </w:t>
      </w:r>
      <w:r>
        <w:rPr>
          <w:color w:val="auto"/>
        </w:rPr>
        <w:t>– spiega Cartabellotta –</w:t>
      </w:r>
      <w:r w:rsidR="009062E9">
        <w:rPr>
          <w:color w:val="auto"/>
        </w:rPr>
        <w:t xml:space="preserve"> </w:t>
      </w:r>
      <w:r w:rsidR="00200155">
        <w:rPr>
          <w:color w:val="auto"/>
        </w:rPr>
        <w:t>è maggiore per alcune categorie</w:t>
      </w:r>
      <w:r w:rsidRPr="003C4C76">
        <w:rPr>
          <w:color w:val="auto"/>
        </w:rPr>
        <w:t xml:space="preserve">: </w:t>
      </w:r>
      <w:r>
        <w:rPr>
          <w:color w:val="auto"/>
        </w:rPr>
        <w:t xml:space="preserve">le </w:t>
      </w:r>
      <w:r w:rsidRPr="003C4C76">
        <w:rPr>
          <w:color w:val="auto"/>
        </w:rPr>
        <w:t xml:space="preserve">persone d’età 12-49 anni rispetto agli over 50, </w:t>
      </w:r>
      <w:r>
        <w:rPr>
          <w:color w:val="auto"/>
        </w:rPr>
        <w:t xml:space="preserve">le </w:t>
      </w:r>
      <w:r w:rsidRPr="003C4C76">
        <w:rPr>
          <w:color w:val="auto"/>
        </w:rPr>
        <w:t xml:space="preserve">donne rispetto agli uomini, </w:t>
      </w:r>
      <w:r>
        <w:rPr>
          <w:color w:val="auto"/>
        </w:rPr>
        <w:t xml:space="preserve">le </w:t>
      </w:r>
      <w:r w:rsidRPr="003C4C76">
        <w:rPr>
          <w:color w:val="auto"/>
        </w:rPr>
        <w:t xml:space="preserve">persone con prima diagnosi di COVID-19 notificata da oltre 210 giorni, </w:t>
      </w:r>
      <w:r>
        <w:rPr>
          <w:color w:val="auto"/>
        </w:rPr>
        <w:t xml:space="preserve">le </w:t>
      </w:r>
      <w:r w:rsidRPr="003C4C76">
        <w:rPr>
          <w:color w:val="auto"/>
        </w:rPr>
        <w:t xml:space="preserve">persone non vaccinate </w:t>
      </w:r>
      <w:r>
        <w:rPr>
          <w:color w:val="auto"/>
        </w:rPr>
        <w:t xml:space="preserve">(che presentano il rischio maggiore di reinfezione) </w:t>
      </w:r>
      <w:r w:rsidRPr="003C4C76">
        <w:rPr>
          <w:color w:val="auto"/>
        </w:rPr>
        <w:t xml:space="preserve">o vaccinate con almeno una dose da oltre 120 giorni, </w:t>
      </w:r>
      <w:r>
        <w:rPr>
          <w:color w:val="auto"/>
        </w:rPr>
        <w:t xml:space="preserve">gli </w:t>
      </w:r>
      <w:r w:rsidRPr="007A3A16">
        <w:rPr>
          <w:color w:val="auto"/>
        </w:rPr>
        <w:t>operatori sanitari rispetto al resto della popolazione</w:t>
      </w:r>
      <w:r w:rsidR="007A3A16" w:rsidRPr="007A3A16">
        <w:rPr>
          <w:color w:val="auto"/>
        </w:rPr>
        <w:t>».</w:t>
      </w:r>
    </w:p>
    <w:p w14:paraId="2BDFBF0B" w14:textId="5C367B08" w:rsidR="00981668" w:rsidRPr="007A3A16" w:rsidRDefault="007A3A16" w:rsidP="00D44AA7">
      <w:pPr>
        <w:spacing w:line="276" w:lineRule="auto"/>
        <w:jc w:val="both"/>
        <w:rPr>
          <w:color w:val="auto"/>
        </w:rPr>
      </w:pPr>
      <w:r w:rsidRPr="007A3A16">
        <w:rPr>
          <w:b/>
          <w:color w:val="auto"/>
        </w:rPr>
        <w:t>Testing</w:t>
      </w:r>
      <w:r w:rsidRPr="007A3A16">
        <w:rPr>
          <w:color w:val="auto"/>
        </w:rPr>
        <w:t>. Si registra un aumento del numero dei tamponi totali (+12,6%): da 1.155.381 della settimana 8-14 giugno 2022 a 1.300.905 della settimana 15-21 giugno 2022. In particolare i tamponi rapidi sono aumentati del 16,1% (+139.103), mentre quelli molecolari sono aumentati del 2,2% (+6.421) (</w:t>
      </w:r>
      <w:r w:rsidRPr="007A3A16">
        <w:rPr>
          <w:color w:val="auto"/>
          <w:highlight w:val="yellow"/>
        </w:rPr>
        <w:t>figura 5</w:t>
      </w:r>
      <w:r w:rsidRPr="007A3A16">
        <w:rPr>
          <w:color w:val="auto"/>
        </w:rPr>
        <w:t xml:space="preserve">). La media mobile a 7 giorni del tasso di positività </w:t>
      </w:r>
      <w:r w:rsidR="00200155">
        <w:rPr>
          <w:color w:val="auto"/>
        </w:rPr>
        <w:t>sale</w:t>
      </w:r>
      <w:r w:rsidR="00200155" w:rsidRPr="007A3A16">
        <w:rPr>
          <w:color w:val="auto"/>
        </w:rPr>
        <w:t xml:space="preserve"> </w:t>
      </w:r>
      <w:r w:rsidRPr="007A3A16">
        <w:rPr>
          <w:color w:val="auto"/>
        </w:rPr>
        <w:t>dal 6,9% al 9,5% per i tamponi molecolari e dal 16,3% al 23% per gli antigenici rapidi (</w:t>
      </w:r>
      <w:r w:rsidRPr="007A3A16">
        <w:rPr>
          <w:color w:val="auto"/>
          <w:highlight w:val="yellow"/>
        </w:rPr>
        <w:t>figura 6</w:t>
      </w:r>
      <w:r w:rsidRPr="007A3A16">
        <w:rPr>
          <w:color w:val="auto"/>
        </w:rPr>
        <w:t>).</w:t>
      </w:r>
    </w:p>
    <w:p w14:paraId="41B0C71D" w14:textId="77777777" w:rsidR="00D7558B" w:rsidRPr="007A3A16" w:rsidRDefault="00C27708" w:rsidP="00D44AA7">
      <w:pPr>
        <w:spacing w:line="276" w:lineRule="auto"/>
        <w:jc w:val="both"/>
        <w:rPr>
          <w:color w:val="auto"/>
        </w:rPr>
      </w:pPr>
      <w:bookmarkStart w:id="2" w:name="_Hlk85025666"/>
      <w:r w:rsidRPr="00A63F18">
        <w:rPr>
          <w:b/>
          <w:color w:val="auto"/>
        </w:rPr>
        <w:t xml:space="preserve">Ospedalizzazioni. </w:t>
      </w:r>
      <w:r w:rsidR="002348FC" w:rsidRPr="00A63F18">
        <w:rPr>
          <w:color w:val="auto"/>
        </w:rPr>
        <w:t>«</w:t>
      </w:r>
      <w:r w:rsidR="003120AF" w:rsidRPr="00A63F18">
        <w:rPr>
          <w:color w:val="auto"/>
        </w:rPr>
        <w:t>Sul fronte degli</w:t>
      </w:r>
      <w:r w:rsidR="00932E57" w:rsidRPr="00A63F18">
        <w:rPr>
          <w:color w:val="auto"/>
        </w:rPr>
        <w:t xml:space="preserve"> </w:t>
      </w:r>
      <w:r w:rsidR="002723FF" w:rsidRPr="00A63F18">
        <w:rPr>
          <w:color w:val="auto"/>
        </w:rPr>
        <w:t>ospedali</w:t>
      </w:r>
      <w:r w:rsidR="00974518" w:rsidRPr="00A63F18">
        <w:rPr>
          <w:color w:val="auto"/>
        </w:rPr>
        <w:t xml:space="preserve"> </w:t>
      </w:r>
      <w:r w:rsidR="00582BAE" w:rsidRPr="00A63F18">
        <w:rPr>
          <w:color w:val="auto"/>
        </w:rPr>
        <w:t xml:space="preserve">– </w:t>
      </w:r>
      <w:r w:rsidR="002348FC" w:rsidRPr="00A63F18">
        <w:rPr>
          <w:color w:val="auto"/>
        </w:rPr>
        <w:t xml:space="preserve">afferma </w:t>
      </w:r>
      <w:r w:rsidR="004222A8" w:rsidRPr="00A63F18">
        <w:rPr>
          <w:color w:val="auto"/>
        </w:rPr>
        <w:t xml:space="preserve">Marco Mosti, Direttore Operativo della Fondazione GIMBE </w:t>
      </w:r>
      <w:r w:rsidR="00B813D5" w:rsidRPr="00A63F18">
        <w:rPr>
          <w:color w:val="auto"/>
        </w:rPr>
        <w:t>–</w:t>
      </w:r>
      <w:r w:rsidR="00A63F18" w:rsidRPr="00A63F18">
        <w:rPr>
          <w:color w:val="auto"/>
        </w:rPr>
        <w:t xml:space="preserve"> l’incremento dei </w:t>
      </w:r>
      <w:r w:rsidR="00A63F18" w:rsidRPr="003F28D2">
        <w:rPr>
          <w:color w:val="auto"/>
        </w:rPr>
        <w:t xml:space="preserve">nuovi </w:t>
      </w:r>
      <w:r w:rsidR="00A63F18">
        <w:rPr>
          <w:color w:val="auto"/>
        </w:rPr>
        <w:t xml:space="preserve">casi </w:t>
      </w:r>
      <w:r w:rsidR="00A63F18" w:rsidRPr="003F28D2">
        <w:rPr>
          <w:color w:val="auto"/>
        </w:rPr>
        <w:t>ha determinato un</w:t>
      </w:r>
      <w:r w:rsidR="00A63F18">
        <w:rPr>
          <w:color w:val="auto"/>
        </w:rPr>
        <w:t>’</w:t>
      </w:r>
      <w:r w:rsidR="00A63F18" w:rsidRPr="003F28D2">
        <w:rPr>
          <w:color w:val="auto"/>
        </w:rPr>
        <w:t xml:space="preserve">inversione di tendenza </w:t>
      </w:r>
      <w:r w:rsidR="00A63F18">
        <w:rPr>
          <w:color w:val="auto"/>
        </w:rPr>
        <w:t xml:space="preserve">nei ricoveri sia </w:t>
      </w:r>
      <w:r w:rsidR="00A63F18" w:rsidRPr="003F28D2">
        <w:rPr>
          <w:color w:val="auto"/>
        </w:rPr>
        <w:t>in area medica (+</w:t>
      </w:r>
      <w:r w:rsidR="007A3A16">
        <w:rPr>
          <w:color w:val="auto"/>
        </w:rPr>
        <w:t>14,4</w:t>
      </w:r>
      <w:r w:rsidR="00A63F18" w:rsidRPr="003F28D2">
        <w:rPr>
          <w:color w:val="auto"/>
        </w:rPr>
        <w:t>%)</w:t>
      </w:r>
      <w:r w:rsidR="00A63F18">
        <w:rPr>
          <w:color w:val="auto"/>
        </w:rPr>
        <w:t xml:space="preserve"> che </w:t>
      </w:r>
      <w:r w:rsidR="00A63F18" w:rsidRPr="007A3A16">
        <w:rPr>
          <w:color w:val="auto"/>
        </w:rPr>
        <w:t>in terapia intensiva (+</w:t>
      </w:r>
      <w:r w:rsidR="007A3A16" w:rsidRPr="007A3A16">
        <w:rPr>
          <w:color w:val="auto"/>
        </w:rPr>
        <w:t>12,6</w:t>
      </w:r>
      <w:r w:rsidR="00A63F18" w:rsidRPr="007A3A16">
        <w:rPr>
          <w:color w:val="auto"/>
        </w:rPr>
        <w:t xml:space="preserve">%)». In </w:t>
      </w:r>
      <w:r w:rsidR="00A63F18" w:rsidRPr="006B2A7B">
        <w:rPr>
          <w:color w:val="auto"/>
        </w:rPr>
        <w:t xml:space="preserve">particolare, in area critica dal minimo di </w:t>
      </w:r>
      <w:r w:rsidR="007A3A16" w:rsidRPr="006B2A7B">
        <w:rPr>
          <w:color w:val="auto"/>
        </w:rPr>
        <w:t>183</w:t>
      </w:r>
      <w:r w:rsidR="00A63F18" w:rsidRPr="006B2A7B">
        <w:rPr>
          <w:color w:val="auto"/>
        </w:rPr>
        <w:t xml:space="preserve"> del 1</w:t>
      </w:r>
      <w:r w:rsidR="007A3A16" w:rsidRPr="006B2A7B">
        <w:rPr>
          <w:color w:val="auto"/>
        </w:rPr>
        <w:t>2</w:t>
      </w:r>
      <w:r w:rsidR="00A63F18" w:rsidRPr="006B2A7B">
        <w:rPr>
          <w:color w:val="auto"/>
        </w:rPr>
        <w:t xml:space="preserve"> </w:t>
      </w:r>
      <w:r w:rsidR="009775E6" w:rsidRPr="006B2A7B">
        <w:rPr>
          <w:color w:val="auto"/>
        </w:rPr>
        <w:t>giu</w:t>
      </w:r>
      <w:r w:rsidR="007A3A16" w:rsidRPr="006B2A7B">
        <w:rPr>
          <w:color w:val="auto"/>
        </w:rPr>
        <w:t>g</w:t>
      </w:r>
      <w:r w:rsidR="009775E6" w:rsidRPr="006B2A7B">
        <w:rPr>
          <w:color w:val="auto"/>
        </w:rPr>
        <w:t>n</w:t>
      </w:r>
      <w:r w:rsidR="007A3A16" w:rsidRPr="006B2A7B">
        <w:rPr>
          <w:color w:val="auto"/>
        </w:rPr>
        <w:t>o</w:t>
      </w:r>
      <w:r w:rsidR="00A63F18" w:rsidRPr="006B2A7B">
        <w:rPr>
          <w:color w:val="auto"/>
        </w:rPr>
        <w:t xml:space="preserve"> i </w:t>
      </w:r>
      <w:r w:rsidR="009062E9">
        <w:rPr>
          <w:color w:val="auto"/>
        </w:rPr>
        <w:t>posti letto occupati</w:t>
      </w:r>
      <w:r w:rsidR="00A63F18" w:rsidRPr="006B2A7B">
        <w:rPr>
          <w:color w:val="auto"/>
        </w:rPr>
        <w:t xml:space="preserve"> sono </w:t>
      </w:r>
      <w:r w:rsidR="007A3A16" w:rsidRPr="006B2A7B">
        <w:rPr>
          <w:color w:val="auto"/>
        </w:rPr>
        <w:t>saliti</w:t>
      </w:r>
      <w:r w:rsidR="00A63F18" w:rsidRPr="006B2A7B">
        <w:rPr>
          <w:color w:val="auto"/>
        </w:rPr>
        <w:t xml:space="preserve"> a </w:t>
      </w:r>
      <w:r w:rsidR="007A3A16" w:rsidRPr="006B2A7B">
        <w:rPr>
          <w:color w:val="auto"/>
        </w:rPr>
        <w:t>206</w:t>
      </w:r>
      <w:r w:rsidR="00A63F18" w:rsidRPr="006B2A7B">
        <w:rPr>
          <w:color w:val="auto"/>
        </w:rPr>
        <w:t xml:space="preserve"> il </w:t>
      </w:r>
      <w:r w:rsidR="007A3A16" w:rsidRPr="006B2A7B">
        <w:rPr>
          <w:color w:val="auto"/>
        </w:rPr>
        <w:t>2</w:t>
      </w:r>
      <w:r w:rsidR="00A63F18" w:rsidRPr="006B2A7B">
        <w:rPr>
          <w:color w:val="auto"/>
        </w:rPr>
        <w:t xml:space="preserve">1 giugno; in area medica, invece, dopo aver toccato il minimo di </w:t>
      </w:r>
      <w:r w:rsidR="007A3A16" w:rsidRPr="006B2A7B">
        <w:rPr>
          <w:color w:val="auto"/>
        </w:rPr>
        <w:t>4.076</w:t>
      </w:r>
      <w:r w:rsidR="00A63F18" w:rsidRPr="006B2A7B">
        <w:rPr>
          <w:color w:val="auto"/>
        </w:rPr>
        <w:t xml:space="preserve"> </w:t>
      </w:r>
      <w:r w:rsidR="007A3A16" w:rsidRPr="006B2A7B">
        <w:rPr>
          <w:color w:val="auto"/>
        </w:rPr>
        <w:t>l’</w:t>
      </w:r>
      <w:r w:rsidR="00A63F18" w:rsidRPr="006B2A7B">
        <w:rPr>
          <w:color w:val="auto"/>
        </w:rPr>
        <w:t>1</w:t>
      </w:r>
      <w:r w:rsidR="007A3A16" w:rsidRPr="006B2A7B">
        <w:rPr>
          <w:color w:val="auto"/>
        </w:rPr>
        <w:t>1</w:t>
      </w:r>
      <w:r w:rsidR="00A63F18" w:rsidRPr="006B2A7B">
        <w:rPr>
          <w:color w:val="auto"/>
        </w:rPr>
        <w:t xml:space="preserve"> </w:t>
      </w:r>
      <w:r w:rsidR="007A3A16" w:rsidRPr="006B2A7B">
        <w:rPr>
          <w:color w:val="auto"/>
        </w:rPr>
        <w:t>giugno, sono risaliti a quota 4</w:t>
      </w:r>
      <w:r w:rsidR="00A63F18" w:rsidRPr="006B2A7B">
        <w:rPr>
          <w:color w:val="auto"/>
        </w:rPr>
        <w:t>.</w:t>
      </w:r>
      <w:r w:rsidR="007A3A16" w:rsidRPr="006B2A7B">
        <w:rPr>
          <w:color w:val="auto"/>
        </w:rPr>
        <w:t>803</w:t>
      </w:r>
      <w:r w:rsidR="00A63F18" w:rsidRPr="006B2A7B">
        <w:rPr>
          <w:color w:val="auto"/>
        </w:rPr>
        <w:t xml:space="preserve"> il </w:t>
      </w:r>
      <w:r w:rsidR="007A3A16" w:rsidRPr="006B2A7B">
        <w:rPr>
          <w:color w:val="auto"/>
        </w:rPr>
        <w:t>2</w:t>
      </w:r>
      <w:r w:rsidR="00A63F18" w:rsidRPr="006B2A7B">
        <w:rPr>
          <w:color w:val="auto"/>
        </w:rPr>
        <w:t>1 giugno (</w:t>
      </w:r>
      <w:r w:rsidR="00A63F18" w:rsidRPr="006B2A7B">
        <w:rPr>
          <w:color w:val="auto"/>
          <w:highlight w:val="yellow"/>
        </w:rPr>
        <w:t>figura 7</w:t>
      </w:r>
      <w:r w:rsidR="00A63F18" w:rsidRPr="006B2A7B">
        <w:rPr>
          <w:color w:val="auto"/>
        </w:rPr>
        <w:t>).</w:t>
      </w:r>
      <w:r w:rsidR="008751B7" w:rsidRPr="006B2A7B">
        <w:rPr>
          <w:color w:val="auto"/>
        </w:rPr>
        <w:t xml:space="preserve"> </w:t>
      </w:r>
      <w:r w:rsidR="00913182" w:rsidRPr="006B2A7B">
        <w:rPr>
          <w:color w:val="auto"/>
        </w:rPr>
        <w:t xml:space="preserve">Al </w:t>
      </w:r>
      <w:r w:rsidR="007A3A16" w:rsidRPr="006B2A7B">
        <w:rPr>
          <w:color w:val="auto"/>
        </w:rPr>
        <w:t>21</w:t>
      </w:r>
      <w:r w:rsidR="00B17FEF" w:rsidRPr="006B2A7B">
        <w:rPr>
          <w:color w:val="auto"/>
        </w:rPr>
        <w:t xml:space="preserve"> giugno</w:t>
      </w:r>
      <w:r w:rsidR="00894BA6" w:rsidRPr="006B2A7B">
        <w:rPr>
          <w:color w:val="auto"/>
        </w:rPr>
        <w:t xml:space="preserve"> </w:t>
      </w:r>
      <w:r w:rsidR="002348FC" w:rsidRPr="006B2A7B">
        <w:rPr>
          <w:color w:val="auto"/>
        </w:rPr>
        <w:t xml:space="preserve">il tasso </w:t>
      </w:r>
      <w:r w:rsidR="00894BA6" w:rsidRPr="006B2A7B">
        <w:rPr>
          <w:color w:val="auto"/>
        </w:rPr>
        <w:t xml:space="preserve">nazionale </w:t>
      </w:r>
      <w:r w:rsidR="002348FC" w:rsidRPr="006B2A7B">
        <w:rPr>
          <w:color w:val="auto"/>
        </w:rPr>
        <w:t xml:space="preserve">di occupazione </w:t>
      </w:r>
      <w:r w:rsidR="004C18D7" w:rsidRPr="006B2A7B">
        <w:rPr>
          <w:color w:val="auto"/>
        </w:rPr>
        <w:t xml:space="preserve">da parte di pazienti COVID </w:t>
      </w:r>
      <w:r w:rsidR="00074E5F" w:rsidRPr="006B2A7B">
        <w:rPr>
          <w:color w:val="auto"/>
        </w:rPr>
        <w:t xml:space="preserve">è </w:t>
      </w:r>
      <w:r w:rsidR="00C0045A" w:rsidRPr="006B2A7B">
        <w:rPr>
          <w:color w:val="auto"/>
        </w:rPr>
        <w:t>del</w:t>
      </w:r>
      <w:r w:rsidR="00322F21" w:rsidRPr="006B2A7B">
        <w:rPr>
          <w:color w:val="auto"/>
        </w:rPr>
        <w:t xml:space="preserve"> </w:t>
      </w:r>
      <w:r w:rsidR="00FF0C75" w:rsidRPr="006B2A7B">
        <w:rPr>
          <w:color w:val="auto"/>
        </w:rPr>
        <w:t>7</w:t>
      </w:r>
      <w:r w:rsidR="00B17FEF" w:rsidRPr="006B2A7B">
        <w:rPr>
          <w:color w:val="auto"/>
        </w:rPr>
        <w:t>,</w:t>
      </w:r>
      <w:r w:rsidR="004D2B35" w:rsidRPr="006B2A7B">
        <w:rPr>
          <w:color w:val="auto"/>
        </w:rPr>
        <w:t>5</w:t>
      </w:r>
      <w:r w:rsidR="002E37EA" w:rsidRPr="006B2A7B">
        <w:rPr>
          <w:color w:val="auto"/>
        </w:rPr>
        <w:t xml:space="preserve">% in area medica </w:t>
      </w:r>
      <w:r w:rsidR="00D7558B" w:rsidRPr="006B2A7B">
        <w:rPr>
          <w:color w:val="auto"/>
        </w:rPr>
        <w:t xml:space="preserve">(dal </w:t>
      </w:r>
      <w:r w:rsidR="00FF0C75" w:rsidRPr="006B2A7B">
        <w:rPr>
          <w:color w:val="auto"/>
        </w:rPr>
        <w:t>3,6</w:t>
      </w:r>
      <w:r w:rsidR="00D7558B" w:rsidRPr="006B2A7B">
        <w:rPr>
          <w:color w:val="auto"/>
        </w:rPr>
        <w:t xml:space="preserve">% del </w:t>
      </w:r>
      <w:r w:rsidR="00FF0C75" w:rsidRPr="006B2A7B">
        <w:rPr>
          <w:color w:val="auto"/>
        </w:rPr>
        <w:t>Piemonte</w:t>
      </w:r>
      <w:r w:rsidR="00D7558B" w:rsidRPr="006B2A7B">
        <w:rPr>
          <w:color w:val="auto"/>
        </w:rPr>
        <w:t xml:space="preserve"> al </w:t>
      </w:r>
      <w:r w:rsidR="00FF0C75" w:rsidRPr="006B2A7B">
        <w:rPr>
          <w:color w:val="auto"/>
        </w:rPr>
        <w:t>17,2</w:t>
      </w:r>
      <w:r w:rsidR="00D7558B" w:rsidRPr="006B2A7B">
        <w:rPr>
          <w:color w:val="auto"/>
        </w:rPr>
        <w:t>% d</w:t>
      </w:r>
      <w:r w:rsidR="00FF0C75" w:rsidRPr="006B2A7B">
        <w:rPr>
          <w:color w:val="auto"/>
        </w:rPr>
        <w:t>i Umbria e</w:t>
      </w:r>
      <w:r w:rsidR="00BA097A" w:rsidRPr="006B2A7B">
        <w:rPr>
          <w:color w:val="auto"/>
        </w:rPr>
        <w:t xml:space="preserve"> </w:t>
      </w:r>
      <w:r w:rsidR="00FF0C75" w:rsidRPr="006B2A7B">
        <w:rPr>
          <w:color w:val="auto"/>
        </w:rPr>
        <w:t>Sicilia</w:t>
      </w:r>
      <w:r w:rsidR="00BA097A" w:rsidRPr="006B2A7B">
        <w:rPr>
          <w:color w:val="auto"/>
        </w:rPr>
        <w:t xml:space="preserve">) </w:t>
      </w:r>
      <w:r w:rsidR="002E37EA" w:rsidRPr="006B2A7B">
        <w:rPr>
          <w:color w:val="auto"/>
        </w:rPr>
        <w:t>e</w:t>
      </w:r>
      <w:r w:rsidR="000D67CD" w:rsidRPr="006B2A7B">
        <w:rPr>
          <w:color w:val="auto"/>
        </w:rPr>
        <w:t xml:space="preserve"> del</w:t>
      </w:r>
      <w:r w:rsidR="002E37EA" w:rsidRPr="006B2A7B">
        <w:rPr>
          <w:color w:val="auto"/>
        </w:rPr>
        <w:t xml:space="preserve"> </w:t>
      </w:r>
      <w:r w:rsidR="00BA097A" w:rsidRPr="006B2A7B">
        <w:rPr>
          <w:color w:val="auto"/>
        </w:rPr>
        <w:t>2</w:t>
      </w:r>
      <w:r w:rsidR="00FF0C75" w:rsidRPr="006B2A7B">
        <w:rPr>
          <w:color w:val="auto"/>
        </w:rPr>
        <w:t>,2</w:t>
      </w:r>
      <w:r w:rsidR="002348FC" w:rsidRPr="006B2A7B">
        <w:rPr>
          <w:color w:val="auto"/>
        </w:rPr>
        <w:t>% in area critica</w:t>
      </w:r>
      <w:bookmarkEnd w:id="2"/>
      <w:r w:rsidR="00D7558B" w:rsidRPr="006B2A7B">
        <w:rPr>
          <w:color w:val="auto"/>
        </w:rPr>
        <w:t xml:space="preserve"> (dallo 0% </w:t>
      </w:r>
      <w:r w:rsidR="004D2B35" w:rsidRPr="006B2A7B">
        <w:rPr>
          <w:color w:val="auto"/>
        </w:rPr>
        <w:t>d</w:t>
      </w:r>
      <w:r w:rsidR="006B2A7B" w:rsidRPr="006B2A7B">
        <w:rPr>
          <w:color w:val="auto"/>
        </w:rPr>
        <w:t>i Basilicata</w:t>
      </w:r>
      <w:r w:rsidR="00D7558B" w:rsidRPr="006B2A7B">
        <w:rPr>
          <w:color w:val="auto"/>
        </w:rPr>
        <w:t xml:space="preserve"> </w:t>
      </w:r>
      <w:r w:rsidR="006B2A7B" w:rsidRPr="006B2A7B">
        <w:rPr>
          <w:color w:val="auto"/>
        </w:rPr>
        <w:t xml:space="preserve">e Provincia Autonoma di Trento </w:t>
      </w:r>
      <w:r w:rsidR="00D7558B" w:rsidRPr="006B2A7B">
        <w:rPr>
          <w:color w:val="auto"/>
        </w:rPr>
        <w:t xml:space="preserve">al </w:t>
      </w:r>
      <w:r w:rsidR="004D2B35" w:rsidRPr="006B2A7B">
        <w:rPr>
          <w:color w:val="auto"/>
        </w:rPr>
        <w:t>7</w:t>
      </w:r>
      <w:r w:rsidR="00D7558B" w:rsidRPr="006B2A7B">
        <w:rPr>
          <w:color w:val="auto"/>
        </w:rPr>
        <w:t>,</w:t>
      </w:r>
      <w:r w:rsidR="004D2B35" w:rsidRPr="006B2A7B">
        <w:rPr>
          <w:color w:val="auto"/>
        </w:rPr>
        <w:t>7% della Valle D’Aosta</w:t>
      </w:r>
      <w:r w:rsidR="00D7558B" w:rsidRPr="006B2A7B">
        <w:rPr>
          <w:color w:val="auto"/>
        </w:rPr>
        <w:t>)</w:t>
      </w:r>
      <w:r w:rsidR="00341691" w:rsidRPr="006B2A7B">
        <w:rPr>
          <w:color w:val="auto"/>
        </w:rPr>
        <w:t xml:space="preserve"> </w:t>
      </w:r>
      <w:r w:rsidR="004B6DC2" w:rsidRPr="006B2A7B">
        <w:rPr>
          <w:color w:val="auto"/>
        </w:rPr>
        <w:t>(</w:t>
      </w:r>
      <w:r w:rsidR="004B6DC2" w:rsidRPr="006B2A7B">
        <w:rPr>
          <w:color w:val="auto"/>
          <w:highlight w:val="yellow"/>
        </w:rPr>
        <w:t xml:space="preserve">figura </w:t>
      </w:r>
      <w:r w:rsidR="008751B7" w:rsidRPr="006B2A7B">
        <w:rPr>
          <w:color w:val="auto"/>
          <w:highlight w:val="yellow"/>
        </w:rPr>
        <w:t>8</w:t>
      </w:r>
      <w:r w:rsidR="004B6DC2" w:rsidRPr="006B2A7B">
        <w:rPr>
          <w:color w:val="auto"/>
        </w:rPr>
        <w:t>)</w:t>
      </w:r>
      <w:r w:rsidR="00341691" w:rsidRPr="006B2A7B">
        <w:rPr>
          <w:color w:val="auto"/>
        </w:rPr>
        <w:t>.</w:t>
      </w:r>
      <w:r w:rsidR="008D2843" w:rsidRPr="006B2A7B">
        <w:rPr>
          <w:color w:val="auto"/>
        </w:rPr>
        <w:t xml:space="preserve"> </w:t>
      </w:r>
      <w:r w:rsidR="00BD67DE" w:rsidRPr="006B2A7B">
        <w:rPr>
          <w:color w:val="auto"/>
        </w:rPr>
        <w:t>«</w:t>
      </w:r>
      <w:r w:rsidR="00ED5318" w:rsidRPr="006B2A7B">
        <w:rPr>
          <w:color w:val="auto"/>
        </w:rPr>
        <w:t xml:space="preserve">In lieve aumento </w:t>
      </w:r>
      <w:r w:rsidR="00900C2C" w:rsidRPr="006B2A7B">
        <w:rPr>
          <w:color w:val="auto"/>
        </w:rPr>
        <w:t>gli</w:t>
      </w:r>
      <w:r w:rsidR="00322F21" w:rsidRPr="006B2A7B">
        <w:rPr>
          <w:color w:val="auto"/>
        </w:rPr>
        <w:t xml:space="preserve"> ingressi giornalieri in terapia intensiva </w:t>
      </w:r>
      <w:r w:rsidR="00D1612B" w:rsidRPr="006B2A7B">
        <w:rPr>
          <w:color w:val="auto"/>
        </w:rPr>
        <w:t xml:space="preserve">– </w:t>
      </w:r>
      <w:r w:rsidR="00451468" w:rsidRPr="006B2A7B">
        <w:rPr>
          <w:color w:val="auto"/>
        </w:rPr>
        <w:t>puntualizza Mosti</w:t>
      </w:r>
      <w:r w:rsidR="00931C11" w:rsidRPr="006B2A7B">
        <w:rPr>
          <w:color w:val="auto"/>
        </w:rPr>
        <w:t xml:space="preserve"> </w:t>
      </w:r>
      <w:r w:rsidR="00451468" w:rsidRPr="006B2A7B">
        <w:rPr>
          <w:color w:val="auto"/>
        </w:rPr>
        <w:t>–</w:t>
      </w:r>
      <w:r w:rsidR="00322F21" w:rsidRPr="006B2A7B">
        <w:rPr>
          <w:color w:val="auto"/>
        </w:rPr>
        <w:t xml:space="preserve"> con</w:t>
      </w:r>
      <w:r w:rsidR="0093662D" w:rsidRPr="006B2A7B">
        <w:rPr>
          <w:color w:val="auto"/>
        </w:rPr>
        <w:t xml:space="preserve"> </w:t>
      </w:r>
      <w:r w:rsidR="00322F21" w:rsidRPr="006B2A7B">
        <w:rPr>
          <w:color w:val="auto"/>
        </w:rPr>
        <w:t xml:space="preserve">una </w:t>
      </w:r>
      <w:r w:rsidR="00BD67DE" w:rsidRPr="006B2A7B">
        <w:rPr>
          <w:color w:val="auto"/>
        </w:rPr>
        <w:t xml:space="preserve">media mobile a 7 giorni </w:t>
      </w:r>
      <w:r w:rsidR="00074E5F" w:rsidRPr="006B2A7B">
        <w:rPr>
          <w:color w:val="auto"/>
        </w:rPr>
        <w:t xml:space="preserve">di </w:t>
      </w:r>
      <w:r w:rsidR="00ED5318" w:rsidRPr="006B2A7B">
        <w:rPr>
          <w:color w:val="auto"/>
        </w:rPr>
        <w:t>2</w:t>
      </w:r>
      <w:r w:rsidR="007A3A16" w:rsidRPr="006B2A7B">
        <w:rPr>
          <w:color w:val="auto"/>
        </w:rPr>
        <w:t>3</w:t>
      </w:r>
      <w:r w:rsidR="000D67CD" w:rsidRPr="006B2A7B">
        <w:rPr>
          <w:color w:val="auto"/>
        </w:rPr>
        <w:t xml:space="preserve"> </w:t>
      </w:r>
      <w:r w:rsidR="00547F28" w:rsidRPr="006B2A7B">
        <w:rPr>
          <w:color w:val="auto"/>
        </w:rPr>
        <w:t>ingressi/die</w:t>
      </w:r>
      <w:r w:rsidR="000D67CD" w:rsidRPr="006B2A7B">
        <w:rPr>
          <w:color w:val="auto"/>
        </w:rPr>
        <w:t xml:space="preserve"> rispetto ai </w:t>
      </w:r>
      <w:r w:rsidR="007A3A16" w:rsidRPr="006B2A7B">
        <w:rPr>
          <w:color w:val="auto"/>
        </w:rPr>
        <w:t>20</w:t>
      </w:r>
      <w:r w:rsidR="000D67CD" w:rsidRPr="006B2A7B">
        <w:rPr>
          <w:color w:val="auto"/>
        </w:rPr>
        <w:t xml:space="preserve"> della settimana precedente</w:t>
      </w:r>
      <w:r w:rsidR="00D42AAE" w:rsidRPr="007A3A16">
        <w:rPr>
          <w:color w:val="auto"/>
        </w:rPr>
        <w:t>»</w:t>
      </w:r>
      <w:r w:rsidR="00BD67DE" w:rsidRPr="007A3A16">
        <w:rPr>
          <w:color w:val="auto"/>
        </w:rPr>
        <w:t xml:space="preserve"> (</w:t>
      </w:r>
      <w:r w:rsidR="00BD67DE" w:rsidRPr="007A3A16">
        <w:rPr>
          <w:color w:val="auto"/>
          <w:highlight w:val="yellow"/>
        </w:rPr>
        <w:t>figura</w:t>
      </w:r>
      <w:r w:rsidR="00C91686" w:rsidRPr="007A3A16">
        <w:rPr>
          <w:color w:val="auto"/>
          <w:highlight w:val="yellow"/>
        </w:rPr>
        <w:t xml:space="preserve"> </w:t>
      </w:r>
      <w:r w:rsidR="008751B7" w:rsidRPr="007A3A16">
        <w:rPr>
          <w:color w:val="auto"/>
          <w:highlight w:val="yellow"/>
        </w:rPr>
        <w:t>9</w:t>
      </w:r>
      <w:r w:rsidR="00BD67DE" w:rsidRPr="007A3A16">
        <w:rPr>
          <w:color w:val="auto"/>
        </w:rPr>
        <w:t>).</w:t>
      </w:r>
    </w:p>
    <w:p w14:paraId="35D36D44" w14:textId="77777777" w:rsidR="007A3A16" w:rsidRPr="00EA300B" w:rsidRDefault="00EA300B" w:rsidP="00D44AA7">
      <w:pPr>
        <w:spacing w:line="276" w:lineRule="auto"/>
        <w:jc w:val="both"/>
        <w:rPr>
          <w:color w:val="auto"/>
        </w:rPr>
      </w:pPr>
      <w:r w:rsidRPr="00EA300B">
        <w:rPr>
          <w:b/>
          <w:color w:val="auto"/>
        </w:rPr>
        <w:t>Decessi</w:t>
      </w:r>
      <w:r w:rsidRPr="00EA300B">
        <w:rPr>
          <w:color w:val="auto"/>
        </w:rPr>
        <w:t xml:space="preserve">. Tornano a scendere </w:t>
      </w:r>
      <w:r w:rsidR="007A3A16" w:rsidRPr="00EA300B">
        <w:rPr>
          <w:color w:val="auto"/>
        </w:rPr>
        <w:t>i decessi: 337 negli ultimi 7 giorni (di cui 52 riferiti a periodi precedenti), con una media di 48 al giorno rispetto ai 59 della settimana precedente.</w:t>
      </w:r>
    </w:p>
    <w:p w14:paraId="0B13995B" w14:textId="77777777" w:rsidR="00972412" w:rsidRPr="00972412" w:rsidRDefault="00972412" w:rsidP="00D44AA7">
      <w:pPr>
        <w:spacing w:line="276" w:lineRule="auto"/>
        <w:jc w:val="both"/>
        <w:rPr>
          <w:color w:val="auto"/>
        </w:rPr>
      </w:pPr>
      <w:r w:rsidRPr="00972412">
        <w:rPr>
          <w:b/>
          <w:color w:val="auto"/>
        </w:rPr>
        <w:t xml:space="preserve">Vaccini: </w:t>
      </w:r>
      <w:r w:rsidRPr="001B4998">
        <w:rPr>
          <w:b/>
          <w:color w:val="auto"/>
        </w:rPr>
        <w:t>somministrazioni.</w:t>
      </w:r>
      <w:r w:rsidRPr="00972412">
        <w:rPr>
          <w:color w:val="auto"/>
        </w:rPr>
        <w:t xml:space="preserve"> Al 22 giugno (aggiornamento ore 06.16) </w:t>
      </w:r>
      <w:r>
        <w:rPr>
          <w:color w:val="auto"/>
        </w:rPr>
        <w:t>l’</w:t>
      </w:r>
      <w:r w:rsidRPr="00972412">
        <w:rPr>
          <w:color w:val="auto"/>
        </w:rPr>
        <w:t>88,1% della platea (n. 50.797.838) ha ricevuto almeno una dose di vaccino (+8.611 rispett</w:t>
      </w:r>
      <w:r>
        <w:rPr>
          <w:color w:val="auto"/>
        </w:rPr>
        <w:t>o alla settimana precedente) e l’</w:t>
      </w:r>
      <w:r w:rsidRPr="00972412">
        <w:rPr>
          <w:color w:val="auto"/>
        </w:rPr>
        <w:t>86,6% (n. 49.920.755) ha completato il ciclo vaccinale (+13.047 rispetto alla settimana precedente).</w:t>
      </w:r>
    </w:p>
    <w:p w14:paraId="09EEEEC3" w14:textId="77777777" w:rsidR="00972412" w:rsidRPr="00972412" w:rsidRDefault="00972412" w:rsidP="00D44AA7">
      <w:pPr>
        <w:spacing w:line="276" w:lineRule="auto"/>
        <w:jc w:val="both"/>
        <w:rPr>
          <w:color w:val="auto"/>
        </w:rPr>
      </w:pPr>
      <w:r w:rsidRPr="00972412">
        <w:rPr>
          <w:b/>
          <w:color w:val="auto"/>
        </w:rPr>
        <w:t xml:space="preserve">Vaccini: nuovi </w:t>
      </w:r>
      <w:r w:rsidRPr="00AE4D1D">
        <w:rPr>
          <w:b/>
          <w:color w:val="auto"/>
        </w:rPr>
        <w:t>vaccinati</w:t>
      </w:r>
      <w:r w:rsidR="00441E41" w:rsidRPr="00AE4D1D">
        <w:rPr>
          <w:b/>
          <w:color w:val="auto"/>
        </w:rPr>
        <w:t>.</w:t>
      </w:r>
      <w:r w:rsidRPr="00AE4D1D">
        <w:rPr>
          <w:color w:val="auto"/>
        </w:rPr>
        <w:t xml:space="preserve"> </w:t>
      </w:r>
      <w:r w:rsidR="009062E9">
        <w:rPr>
          <w:color w:val="auto"/>
        </w:rPr>
        <w:t>N</w:t>
      </w:r>
      <w:r w:rsidRPr="00AE4D1D">
        <w:rPr>
          <w:color w:val="auto"/>
        </w:rPr>
        <w:t>ella settimana 15-21 giugno diminuiscono i nuovi vaccinati</w:t>
      </w:r>
      <w:r w:rsidRPr="00972412">
        <w:rPr>
          <w:color w:val="auto"/>
        </w:rPr>
        <w:t xml:space="preserve">: 2.981 rispetto ai 3.253 della settimana precedente (-8,4%). Di questi il 36,2% è rappresentato dalla fascia 5-11: 1.078, con una </w:t>
      </w:r>
      <w:r w:rsidRPr="00972412">
        <w:rPr>
          <w:color w:val="auto"/>
        </w:rPr>
        <w:lastRenderedPageBreak/>
        <w:t>riduzione del 11,3% rispetto alla settimana precedente. Cala tra gli over 50, più a rischio di malattia grave, il numero di nuovi vaccinati che si attesta a quota 805 (-8,9% rispetto alla settimana precedente) (</w:t>
      </w:r>
      <w:r w:rsidRPr="00972412">
        <w:rPr>
          <w:color w:val="auto"/>
          <w:highlight w:val="yellow"/>
        </w:rPr>
        <w:t>figura 10</w:t>
      </w:r>
      <w:r w:rsidRPr="00972412">
        <w:rPr>
          <w:color w:val="auto"/>
        </w:rPr>
        <w:t>).</w:t>
      </w:r>
    </w:p>
    <w:p w14:paraId="2E4A52E2" w14:textId="77777777" w:rsidR="00972412" w:rsidRDefault="00972412" w:rsidP="00972412">
      <w:pPr>
        <w:spacing w:line="276" w:lineRule="auto"/>
        <w:jc w:val="both"/>
        <w:rPr>
          <w:color w:val="auto"/>
        </w:rPr>
      </w:pPr>
      <w:r w:rsidRPr="00972412">
        <w:rPr>
          <w:b/>
          <w:color w:val="auto"/>
        </w:rPr>
        <w:t>Vaccini: persone non vaccinate</w:t>
      </w:r>
      <w:r w:rsidR="00441E41" w:rsidRPr="00972412">
        <w:rPr>
          <w:color w:val="auto"/>
        </w:rPr>
        <w:t>.</w:t>
      </w:r>
      <w:r w:rsidRPr="00972412">
        <w:rPr>
          <w:color w:val="auto"/>
        </w:rPr>
        <w:t xml:space="preserve"> Al 22 giugno (aggiornamento ore 06.16) sono 6,85 milioni le persone di età superiore a 5 anni che non hanno ricevuto nemmeno una dose di vaccino (</w:t>
      </w:r>
      <w:r w:rsidRPr="001B4998">
        <w:rPr>
          <w:color w:val="auto"/>
          <w:highlight w:val="yellow"/>
        </w:rPr>
        <w:t>figure 11 e 12</w:t>
      </w:r>
      <w:r w:rsidRPr="00972412">
        <w:rPr>
          <w:color w:val="auto"/>
        </w:rPr>
        <w:t xml:space="preserve">), di cui: </w:t>
      </w:r>
    </w:p>
    <w:p w14:paraId="745A69BC" w14:textId="77777777" w:rsidR="00972412" w:rsidRPr="00972412" w:rsidRDefault="00972412" w:rsidP="00874AEA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color w:val="auto"/>
        </w:rPr>
      </w:pPr>
      <w:r w:rsidRPr="00972412">
        <w:rPr>
          <w:color w:val="auto"/>
        </w:rPr>
        <w:t>4,03 milioni attualmente vaccinabili, pari al 7% della platea con nette differenze regionali</w:t>
      </w:r>
      <w:r w:rsidR="009F12CA">
        <w:rPr>
          <w:color w:val="auto"/>
        </w:rPr>
        <w:t>:</w:t>
      </w:r>
      <w:r w:rsidRPr="00972412">
        <w:rPr>
          <w:color w:val="auto"/>
        </w:rPr>
        <w:t xml:space="preserve"> </w:t>
      </w:r>
      <w:r w:rsidR="00874AEA" w:rsidRPr="00874AEA">
        <w:rPr>
          <w:color w:val="auto"/>
        </w:rPr>
        <w:t>dal 4,1% della Provincia Autonoma di Trento al 10,2% della Calabria</w:t>
      </w:r>
      <w:r w:rsidRPr="00972412">
        <w:rPr>
          <w:color w:val="auto"/>
        </w:rPr>
        <w:t>;</w:t>
      </w:r>
    </w:p>
    <w:p w14:paraId="4B9755FF" w14:textId="311AD48C" w:rsidR="00972412" w:rsidRDefault="00972412" w:rsidP="00874AEA">
      <w:pPr>
        <w:pStyle w:val="Paragrafoelenco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972412">
        <w:rPr>
          <w:color w:val="auto"/>
        </w:rPr>
        <w:t>2,82 milioni temporaneamente protette in quanto guarite da COVID-19 da meno di 180 giorni, pari al 4,9% della platea con nette differenze regionali</w:t>
      </w:r>
      <w:r w:rsidR="009F12CA">
        <w:rPr>
          <w:color w:val="auto"/>
        </w:rPr>
        <w:t xml:space="preserve">: </w:t>
      </w:r>
      <w:r w:rsidRPr="00972412">
        <w:rPr>
          <w:color w:val="auto"/>
        </w:rPr>
        <w:t xml:space="preserve">dal 3,0% del Molise al 9,7% </w:t>
      </w:r>
      <w:r w:rsidR="00874AEA" w:rsidRPr="00874AEA">
        <w:rPr>
          <w:color w:val="auto"/>
        </w:rPr>
        <w:t>della Provincia Autonoma di Bolzano</w:t>
      </w:r>
      <w:r w:rsidRPr="00972412">
        <w:rPr>
          <w:color w:val="auto"/>
        </w:rPr>
        <w:t>.</w:t>
      </w:r>
    </w:p>
    <w:p w14:paraId="07CAE57E" w14:textId="77777777" w:rsidR="00972412" w:rsidRPr="00874AEA" w:rsidRDefault="00874AEA" w:rsidP="00D44AA7">
      <w:pPr>
        <w:spacing w:line="276" w:lineRule="auto"/>
        <w:jc w:val="both"/>
        <w:rPr>
          <w:color w:val="auto"/>
        </w:rPr>
      </w:pPr>
      <w:r w:rsidRPr="00874AEA">
        <w:rPr>
          <w:b/>
          <w:color w:val="auto"/>
        </w:rPr>
        <w:t>Vaccini: fascia 5-11 anni</w:t>
      </w:r>
      <w:r w:rsidRPr="00441E41">
        <w:rPr>
          <w:b/>
          <w:color w:val="auto"/>
        </w:rPr>
        <w:t>.</w:t>
      </w:r>
      <w:r w:rsidRPr="00874AEA">
        <w:rPr>
          <w:color w:val="auto"/>
        </w:rPr>
        <w:t xml:space="preserve"> Al 22 giugno (aggiornamento ore 06.16) nella fascia 5-11 anni sono state somministrate 2.584.435 dosi: 1.395.562 hanno ricevuto almeno 1 dose di vaccino (di cui 1.272.988 hanno completato il ciclo vaccinale), con un tasso di copertura nazionale al 38,2% con nette differenze regionali: dal 20,8% della Provincia Autonoma di Bolzano al 53,8% della Puglia (</w:t>
      </w:r>
      <w:r w:rsidRPr="00874AEA">
        <w:rPr>
          <w:color w:val="auto"/>
          <w:highlight w:val="yellow"/>
        </w:rPr>
        <w:t>figura 13</w:t>
      </w:r>
      <w:r w:rsidRPr="00874AEA">
        <w:rPr>
          <w:color w:val="auto"/>
        </w:rPr>
        <w:t>).</w:t>
      </w:r>
    </w:p>
    <w:p w14:paraId="0DD2BBB0" w14:textId="6D58D540" w:rsidR="00441E41" w:rsidRDefault="00874AEA" w:rsidP="00972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color w:val="auto"/>
        </w:rPr>
      </w:pPr>
      <w:r w:rsidRPr="00441E41">
        <w:rPr>
          <w:rFonts w:eastAsia="Times New Roman"/>
          <w:b/>
          <w:color w:val="auto"/>
        </w:rPr>
        <w:t>Vaccini: terza dose</w:t>
      </w:r>
      <w:r w:rsidRPr="00874AEA">
        <w:rPr>
          <w:rFonts w:eastAsia="Times New Roman"/>
          <w:color w:val="auto"/>
        </w:rPr>
        <w:t xml:space="preserve">. Al 22 giugno (aggiornamento ore 06.16) sono state </w:t>
      </w:r>
      <w:r w:rsidRPr="00441E41">
        <w:rPr>
          <w:rFonts w:eastAsia="Times New Roman"/>
          <w:color w:val="auto"/>
        </w:rPr>
        <w:t xml:space="preserve">somministrate 39.720.529 terze dosi con una media mobile a 7 giorni di 5.948 somministrazioni al giorno. In base alla </w:t>
      </w:r>
      <w:hyperlink r:id="rId10" w:history="1">
        <w:r w:rsidR="00441E41" w:rsidRPr="00441E41">
          <w:rPr>
            <w:rStyle w:val="Collegamentoipertestuale"/>
            <w:color w:val="auto"/>
          </w:rPr>
          <w:t>platea ufficiale</w:t>
        </w:r>
      </w:hyperlink>
      <w:r w:rsidRPr="00441E41">
        <w:rPr>
          <w:rFonts w:eastAsia="Times New Roman"/>
          <w:color w:val="auto"/>
        </w:rPr>
        <w:t xml:space="preserve"> (n. 47.703.593), aggiornata al 20 maggio</w:t>
      </w:r>
      <w:r w:rsidR="009F12CA">
        <w:rPr>
          <w:rFonts w:eastAsia="Times New Roman"/>
          <w:color w:val="auto"/>
        </w:rPr>
        <w:t>,</w:t>
      </w:r>
      <w:r w:rsidRPr="00441E41">
        <w:rPr>
          <w:rFonts w:eastAsia="Times New Roman"/>
          <w:color w:val="auto"/>
        </w:rPr>
        <w:t xml:space="preserve"> il tasso di copertura nazionale per le terze dosi è del</w:t>
      </w:r>
      <w:r w:rsidR="009F12CA">
        <w:rPr>
          <w:rFonts w:eastAsia="Times New Roman"/>
          <w:color w:val="auto"/>
        </w:rPr>
        <w:t>l’</w:t>
      </w:r>
      <w:r w:rsidRPr="00441E41">
        <w:rPr>
          <w:rFonts w:eastAsia="Times New Roman"/>
          <w:color w:val="auto"/>
        </w:rPr>
        <w:t>83,3% con nette differenze regionali: dal 77,5% della Sicilia al</w:t>
      </w:r>
      <w:r w:rsidR="00441E41" w:rsidRPr="00441E41">
        <w:rPr>
          <w:rFonts w:eastAsia="Times New Roman"/>
          <w:color w:val="auto"/>
        </w:rPr>
        <w:t>l’</w:t>
      </w:r>
      <w:r w:rsidRPr="00441E41">
        <w:rPr>
          <w:rFonts w:eastAsia="Times New Roman"/>
          <w:color w:val="auto"/>
        </w:rPr>
        <w:t>87,3% della Valle D</w:t>
      </w:r>
      <w:r w:rsidR="009F12CA">
        <w:rPr>
          <w:rFonts w:eastAsia="Times New Roman"/>
          <w:color w:val="auto"/>
        </w:rPr>
        <w:t>’</w:t>
      </w:r>
      <w:r w:rsidRPr="00441E41">
        <w:rPr>
          <w:rFonts w:eastAsia="Times New Roman"/>
          <w:color w:val="auto"/>
        </w:rPr>
        <w:t xml:space="preserve">Aosta. Sono 7,98 milioni le persone </w:t>
      </w:r>
      <w:r w:rsidRPr="00874AEA">
        <w:rPr>
          <w:rFonts w:eastAsia="Times New Roman"/>
          <w:color w:val="auto"/>
        </w:rPr>
        <w:t xml:space="preserve">che non hanno ancora ricevuto la dose </w:t>
      </w:r>
      <w:r w:rsidRPr="001B4998">
        <w:rPr>
          <w:rFonts w:eastAsia="Times New Roman"/>
          <w:i/>
          <w:color w:val="auto"/>
        </w:rPr>
        <w:t>bo</w:t>
      </w:r>
      <w:r w:rsidR="00441E41" w:rsidRPr="001B4998">
        <w:rPr>
          <w:rFonts w:eastAsia="Times New Roman"/>
          <w:i/>
          <w:color w:val="auto"/>
        </w:rPr>
        <w:t>oster</w:t>
      </w:r>
      <w:r w:rsidR="00441E41">
        <w:rPr>
          <w:rFonts w:eastAsia="Times New Roman"/>
          <w:color w:val="auto"/>
        </w:rPr>
        <w:t xml:space="preserve"> (</w:t>
      </w:r>
      <w:r w:rsidR="00441E41" w:rsidRPr="00441E41">
        <w:rPr>
          <w:rFonts w:eastAsia="Times New Roman"/>
          <w:color w:val="auto"/>
          <w:highlight w:val="yellow"/>
        </w:rPr>
        <w:t>figure 14 e 15</w:t>
      </w:r>
      <w:r w:rsidR="00441E41">
        <w:rPr>
          <w:rFonts w:eastAsia="Times New Roman"/>
          <w:color w:val="auto"/>
        </w:rPr>
        <w:t>), di cui:</w:t>
      </w:r>
    </w:p>
    <w:p w14:paraId="68770928" w14:textId="2478D173" w:rsidR="00441E41" w:rsidRPr="00441E41" w:rsidRDefault="00874AEA" w:rsidP="00441E41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357" w:hanging="357"/>
        <w:jc w:val="both"/>
        <w:rPr>
          <w:rFonts w:eastAsia="Times New Roman"/>
          <w:color w:val="auto"/>
        </w:rPr>
      </w:pPr>
      <w:r w:rsidRPr="00874AEA">
        <w:rPr>
          <w:rFonts w:eastAsia="Times New Roman"/>
          <w:color w:val="auto"/>
        </w:rPr>
        <w:t xml:space="preserve">5,51 </w:t>
      </w:r>
      <w:r w:rsidRPr="00441E41">
        <w:rPr>
          <w:rFonts w:eastAsia="Times New Roman"/>
          <w:color w:val="auto"/>
        </w:rPr>
        <w:t xml:space="preserve">milioni possono riceverla subito, pari </w:t>
      </w:r>
      <w:r w:rsidR="009F12CA" w:rsidRPr="00441E41">
        <w:rPr>
          <w:rFonts w:eastAsia="Times New Roman"/>
          <w:color w:val="auto"/>
        </w:rPr>
        <w:t>a</w:t>
      </w:r>
      <w:r w:rsidR="009F12CA">
        <w:rPr>
          <w:rFonts w:eastAsia="Times New Roman"/>
          <w:color w:val="auto"/>
        </w:rPr>
        <w:t>ll’</w:t>
      </w:r>
      <w:r w:rsidRPr="00441E41">
        <w:rPr>
          <w:rFonts w:eastAsia="Times New Roman"/>
          <w:color w:val="auto"/>
        </w:rPr>
        <w:t>11,5% della platea con nette differenze regionali</w:t>
      </w:r>
      <w:r w:rsidR="009F12CA">
        <w:rPr>
          <w:rFonts w:eastAsia="Times New Roman"/>
          <w:color w:val="auto"/>
        </w:rPr>
        <w:t>:</w:t>
      </w:r>
      <w:r w:rsidRPr="00441E41">
        <w:rPr>
          <w:rFonts w:eastAsia="Times New Roman"/>
          <w:color w:val="auto"/>
        </w:rPr>
        <w:t xml:space="preserve"> dal</w:t>
      </w:r>
      <w:r w:rsidR="009F12CA">
        <w:rPr>
          <w:rFonts w:eastAsia="Times New Roman"/>
          <w:color w:val="auto"/>
        </w:rPr>
        <w:t>l’</w:t>
      </w:r>
      <w:r w:rsidRPr="00441E41">
        <w:rPr>
          <w:rFonts w:eastAsia="Times New Roman"/>
          <w:color w:val="auto"/>
        </w:rPr>
        <w:t xml:space="preserve">8,2% della Basilicata al 16,8% della </w:t>
      </w:r>
      <w:r w:rsidR="00441E41" w:rsidRPr="00441E41">
        <w:rPr>
          <w:rFonts w:eastAsia="Times New Roman"/>
          <w:color w:val="auto"/>
        </w:rPr>
        <w:t>Provincia Autonoma di Bolzano;</w:t>
      </w:r>
    </w:p>
    <w:p w14:paraId="39A7228B" w14:textId="77777777" w:rsidR="00972412" w:rsidRDefault="00874AEA" w:rsidP="00441E41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357" w:hanging="357"/>
        <w:jc w:val="both"/>
        <w:rPr>
          <w:rFonts w:eastAsia="Times New Roman"/>
          <w:color w:val="auto"/>
        </w:rPr>
      </w:pPr>
      <w:r w:rsidRPr="00441E41">
        <w:rPr>
          <w:rFonts w:eastAsia="Times New Roman"/>
          <w:color w:val="auto"/>
        </w:rPr>
        <w:t xml:space="preserve">2,47 milioni </w:t>
      </w:r>
      <w:r w:rsidRPr="00874AEA">
        <w:rPr>
          <w:rFonts w:eastAsia="Times New Roman"/>
          <w:color w:val="auto"/>
        </w:rPr>
        <w:t>non possono riceverla nell’immediato in quanto guarite da meno di 120 giorni, pari al 5,2% della platea con nette differenze regionali</w:t>
      </w:r>
      <w:r w:rsidR="009F12CA">
        <w:rPr>
          <w:rFonts w:eastAsia="Times New Roman"/>
          <w:color w:val="auto"/>
        </w:rPr>
        <w:t>:</w:t>
      </w:r>
      <w:r w:rsidRPr="00874AEA">
        <w:rPr>
          <w:rFonts w:eastAsia="Times New Roman"/>
          <w:color w:val="auto"/>
        </w:rPr>
        <w:t xml:space="preserve"> dal 2,4% della Valle D</w:t>
      </w:r>
      <w:r w:rsidR="009F12CA">
        <w:rPr>
          <w:rFonts w:eastAsia="Times New Roman"/>
          <w:color w:val="auto"/>
        </w:rPr>
        <w:t>’</w:t>
      </w:r>
      <w:r w:rsidRPr="00874AEA">
        <w:rPr>
          <w:rFonts w:eastAsia="Times New Roman"/>
          <w:color w:val="auto"/>
        </w:rPr>
        <w:t>Aosta al 8</w:t>
      </w:r>
      <w:r w:rsidR="00441E41">
        <w:rPr>
          <w:rFonts w:eastAsia="Times New Roman"/>
          <w:color w:val="auto"/>
        </w:rPr>
        <w:t>% dell'Umbria</w:t>
      </w:r>
      <w:r w:rsidR="009F12CA">
        <w:rPr>
          <w:rFonts w:eastAsia="Times New Roman"/>
          <w:color w:val="auto"/>
        </w:rPr>
        <w:t>.</w:t>
      </w:r>
    </w:p>
    <w:p w14:paraId="5BE4EE42" w14:textId="77777777" w:rsidR="00441E41" w:rsidRPr="00441E41" w:rsidRDefault="00441E41" w:rsidP="0044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eastAsia="Times New Roman"/>
          <w:color w:val="auto"/>
        </w:rPr>
      </w:pPr>
    </w:p>
    <w:p w14:paraId="789549EB" w14:textId="77777777" w:rsidR="004C00B7" w:rsidRPr="00F33CE4" w:rsidRDefault="004C00B7" w:rsidP="00D44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76" w:lineRule="auto"/>
        <w:jc w:val="both"/>
        <w:rPr>
          <w:color w:val="auto"/>
        </w:rPr>
      </w:pPr>
      <w:r w:rsidRPr="00F33CE4">
        <w:rPr>
          <w:rFonts w:eastAsia="Times New Roman"/>
          <w:b/>
          <w:color w:val="auto"/>
        </w:rPr>
        <w:t>Vaccini: efficacia.</w:t>
      </w:r>
      <w:r w:rsidRPr="00F33CE4">
        <w:rPr>
          <w:rFonts w:eastAsia="Times New Roman"/>
          <w:color w:val="auto"/>
        </w:rPr>
        <w:t xml:space="preserve"> I </w:t>
      </w:r>
      <w:hyperlink r:id="rId11" w:history="1">
        <w:r w:rsidRPr="00F33CE4">
          <w:rPr>
            <w:rStyle w:val="Collegamentoipertestuale"/>
            <w:color w:val="auto"/>
          </w:rPr>
          <w:t>dati dell’Istituto Superiore di Sanità</w:t>
        </w:r>
      </w:hyperlink>
      <w:r w:rsidRPr="00F33CE4">
        <w:rPr>
          <w:color w:val="auto"/>
        </w:rPr>
        <w:t xml:space="preserve"> dimostrano che:</w:t>
      </w:r>
    </w:p>
    <w:p w14:paraId="1241A473" w14:textId="77777777" w:rsidR="004C00B7" w:rsidRPr="00F33CE4" w:rsidRDefault="004C00B7" w:rsidP="00D44AA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76" w:lineRule="auto"/>
        <w:ind w:left="357" w:hanging="357"/>
        <w:jc w:val="both"/>
        <w:rPr>
          <w:color w:val="auto"/>
        </w:rPr>
      </w:pPr>
      <w:r w:rsidRPr="00F33CE4">
        <w:rPr>
          <w:color w:val="auto"/>
        </w:rPr>
        <w:t xml:space="preserve">l’efficacia sulla diagnosi rimane sostanzialmente stabile dal </w:t>
      </w:r>
      <w:r w:rsidR="00F33CE4" w:rsidRPr="00F33CE4">
        <w:rPr>
          <w:color w:val="auto"/>
        </w:rPr>
        <w:t>40,8</w:t>
      </w:r>
      <w:r w:rsidRPr="00F33CE4">
        <w:rPr>
          <w:color w:val="auto"/>
        </w:rPr>
        <w:t>% per i vaccinati con due dosi entro 90 giorni al 45,</w:t>
      </w:r>
      <w:r w:rsidR="006031AD" w:rsidRPr="00F33CE4">
        <w:rPr>
          <w:color w:val="auto"/>
        </w:rPr>
        <w:t>9</w:t>
      </w:r>
      <w:r w:rsidRPr="00F33CE4">
        <w:rPr>
          <w:color w:val="auto"/>
        </w:rPr>
        <w:t>% per i vaccinati da più di 120 giorni, per poi salire al 5</w:t>
      </w:r>
      <w:r w:rsidR="006031AD" w:rsidRPr="00F33CE4">
        <w:rPr>
          <w:color w:val="auto"/>
        </w:rPr>
        <w:t>5,</w:t>
      </w:r>
      <w:r w:rsidR="00F33CE4" w:rsidRPr="00F33CE4">
        <w:rPr>
          <w:color w:val="auto"/>
        </w:rPr>
        <w:t>2</w:t>
      </w:r>
      <w:r w:rsidRPr="00F33CE4">
        <w:rPr>
          <w:color w:val="auto"/>
        </w:rPr>
        <w:t xml:space="preserve">% dopo il richiamo; </w:t>
      </w:r>
    </w:p>
    <w:p w14:paraId="7B4E8ECA" w14:textId="77777777" w:rsidR="004C00B7" w:rsidRPr="00F33CE4" w:rsidRDefault="004C00B7" w:rsidP="00D44AA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76" w:lineRule="auto"/>
        <w:ind w:left="357" w:hanging="357"/>
        <w:jc w:val="both"/>
        <w:rPr>
          <w:color w:val="auto"/>
        </w:rPr>
      </w:pPr>
      <w:r w:rsidRPr="00F33CE4">
        <w:rPr>
          <w:color w:val="auto"/>
        </w:rPr>
        <w:t>l’efficacia sulla malattia severa rimane sostanzialmente stabile dal</w:t>
      </w:r>
      <w:r w:rsidR="006031AD" w:rsidRPr="00F33CE4">
        <w:rPr>
          <w:color w:val="auto"/>
        </w:rPr>
        <w:t xml:space="preserve"> 69,</w:t>
      </w:r>
      <w:r w:rsidR="00F33CE4" w:rsidRPr="00F33CE4">
        <w:rPr>
          <w:color w:val="auto"/>
        </w:rPr>
        <w:t>2</w:t>
      </w:r>
      <w:r w:rsidRPr="00F33CE4">
        <w:rPr>
          <w:color w:val="auto"/>
        </w:rPr>
        <w:t xml:space="preserve">% per i vaccinati con due dosi entro 90 giorni al </w:t>
      </w:r>
      <w:r w:rsidR="00F33CE4" w:rsidRPr="00F33CE4">
        <w:rPr>
          <w:color w:val="auto"/>
        </w:rPr>
        <w:t>71</w:t>
      </w:r>
      <w:r w:rsidRPr="00F33CE4">
        <w:rPr>
          <w:color w:val="auto"/>
        </w:rPr>
        <w:t>% per i vaccinati da più di 120 giorni, per poi salire all’8</w:t>
      </w:r>
      <w:r w:rsidR="006031AD" w:rsidRPr="00F33CE4">
        <w:rPr>
          <w:color w:val="auto"/>
        </w:rPr>
        <w:t>6,</w:t>
      </w:r>
      <w:r w:rsidR="00F33CE4" w:rsidRPr="00F33CE4">
        <w:rPr>
          <w:color w:val="auto"/>
        </w:rPr>
        <w:t>5</w:t>
      </w:r>
      <w:r w:rsidRPr="00F33CE4">
        <w:rPr>
          <w:color w:val="auto"/>
        </w:rPr>
        <w:t>% dopo il richiamo.</w:t>
      </w:r>
    </w:p>
    <w:p w14:paraId="0FC8D25F" w14:textId="77777777" w:rsidR="00F33CE4" w:rsidRPr="00F33CE4" w:rsidRDefault="00F33CE4" w:rsidP="00D44AA7">
      <w:pPr>
        <w:spacing w:line="276" w:lineRule="auto"/>
        <w:jc w:val="both"/>
        <w:rPr>
          <w:color w:val="auto"/>
        </w:rPr>
      </w:pPr>
      <w:r w:rsidRPr="00F33CE4">
        <w:rPr>
          <w:color w:val="auto"/>
        </w:rPr>
        <w:t>Complessivamente nelle persone vaccinate con ciclo completo (più eventuale dose di richiamo), rispetto a quelle non vaccinate, nelle varie fasce d’età si riduce l’incidenza di diagnosi (del 4,3-59,8%): fanno eccezione la fascia 5-11 anni per la quale le diagnosi tra i vaccinati segnano un +22,6% rispetto ai non vaccinati e la fascia 40-59 con un +10,4%. In tutte le fasce di età si riduce soprattutto l</w:t>
      </w:r>
      <w:r w:rsidR="00000FEF">
        <w:rPr>
          <w:color w:val="auto"/>
        </w:rPr>
        <w:t>’</w:t>
      </w:r>
      <w:r w:rsidRPr="00F33CE4">
        <w:rPr>
          <w:color w:val="auto"/>
        </w:rPr>
        <w:t xml:space="preserve">incidenza di malattia grave (del 24-78,9% per ricoveri ordinari; del </w:t>
      </w:r>
      <w:r>
        <w:rPr>
          <w:color w:val="auto"/>
        </w:rPr>
        <w:t>42,1</w:t>
      </w:r>
      <w:r w:rsidRPr="00F33CE4">
        <w:rPr>
          <w:color w:val="auto"/>
        </w:rPr>
        <w:t>-85% per le terapie intensive) e decesso (del 42,5-88,4%) (</w:t>
      </w:r>
      <w:r w:rsidRPr="00F33CE4">
        <w:rPr>
          <w:color w:val="auto"/>
          <w:highlight w:val="yellow"/>
        </w:rPr>
        <w:t>figura 16</w:t>
      </w:r>
      <w:r w:rsidRPr="00F33CE4">
        <w:rPr>
          <w:color w:val="auto"/>
        </w:rPr>
        <w:t>).</w:t>
      </w:r>
    </w:p>
    <w:p w14:paraId="263B4B13" w14:textId="77777777" w:rsidR="00441E41" w:rsidRPr="00441E41" w:rsidRDefault="00441E41" w:rsidP="00D44AA7">
      <w:pPr>
        <w:spacing w:line="276" w:lineRule="auto"/>
        <w:jc w:val="both"/>
        <w:rPr>
          <w:color w:val="auto"/>
        </w:rPr>
      </w:pPr>
      <w:r w:rsidRPr="00441E41">
        <w:rPr>
          <w:b/>
          <w:color w:val="auto"/>
        </w:rPr>
        <w:t>Vaccini: quarta dose persone immunocompromesse.</w:t>
      </w:r>
      <w:r w:rsidRPr="00441E41">
        <w:rPr>
          <w:color w:val="auto"/>
        </w:rPr>
        <w:t xml:space="preserve"> Al 22 giugno (aggiornamento ore 06.16) sono state somministrate 316.667 quarte dosi, con una media mobile di 1.862 somministrazioni al giorno, in calo rispetto alle 2.283 della scorsa settimana (-18,4%) (</w:t>
      </w:r>
      <w:r w:rsidRPr="00441E41">
        <w:rPr>
          <w:color w:val="auto"/>
          <w:highlight w:val="yellow"/>
        </w:rPr>
        <w:t>figura 17</w:t>
      </w:r>
      <w:r w:rsidRPr="00441E41">
        <w:rPr>
          <w:color w:val="auto"/>
        </w:rPr>
        <w:t xml:space="preserve">). In base alla </w:t>
      </w:r>
      <w:hyperlink r:id="rId12" w:history="1">
        <w:r w:rsidRPr="00441E41">
          <w:rPr>
            <w:rStyle w:val="Collegamentoipertestuale"/>
            <w:color w:val="auto"/>
          </w:rPr>
          <w:t>platea ufficiale</w:t>
        </w:r>
      </w:hyperlink>
      <w:r w:rsidRPr="00441E41">
        <w:rPr>
          <w:color w:val="auto"/>
        </w:rPr>
        <w:t xml:space="preserve"> (n. 791.376), aggiornata al 20 maggio, il tasso di copertura nazionale per le quarte dosi è del 40% con nette differenze regionali: dal</w:t>
      </w:r>
      <w:r>
        <w:rPr>
          <w:color w:val="auto"/>
        </w:rPr>
        <w:t>l’</w:t>
      </w:r>
      <w:r w:rsidRPr="00441E41">
        <w:rPr>
          <w:color w:val="auto"/>
        </w:rPr>
        <w:t>8,8% della Calabria al 100% del Piemonte (</w:t>
      </w:r>
      <w:r w:rsidRPr="00441E41">
        <w:rPr>
          <w:color w:val="auto"/>
          <w:highlight w:val="yellow"/>
        </w:rPr>
        <w:t>figura 18</w:t>
      </w:r>
      <w:r w:rsidRPr="00441E41">
        <w:rPr>
          <w:color w:val="auto"/>
        </w:rPr>
        <w:t>).</w:t>
      </w:r>
    </w:p>
    <w:p w14:paraId="4BBBD318" w14:textId="77777777" w:rsidR="00441E41" w:rsidRDefault="00441E41" w:rsidP="00D44AA7">
      <w:pPr>
        <w:spacing w:line="276" w:lineRule="auto"/>
        <w:jc w:val="both"/>
        <w:rPr>
          <w:color w:val="auto"/>
        </w:rPr>
      </w:pPr>
      <w:r w:rsidRPr="00441E41">
        <w:rPr>
          <w:b/>
          <w:color w:val="auto"/>
        </w:rPr>
        <w:t>Vaccini: quarta dose over 80, fragili (60-79 anni) e ospiti RSA</w:t>
      </w:r>
      <w:r w:rsidRPr="00441E41">
        <w:rPr>
          <w:color w:val="auto"/>
        </w:rPr>
        <w:t xml:space="preserve">.  Al 22 </w:t>
      </w:r>
      <w:r w:rsidRPr="00526DCB">
        <w:rPr>
          <w:color w:val="auto"/>
        </w:rPr>
        <w:t>giugno (aggiornamento ore 06.16) sono state somministrate 845.043 quarte dosi, con una media mobile di 5.669 somministrazioni al giorno, in calo rispetto alle 6.820 della scorsa settimana (-16,9%) (</w:t>
      </w:r>
      <w:r w:rsidRPr="00526DCB">
        <w:rPr>
          <w:color w:val="auto"/>
          <w:highlight w:val="yellow"/>
        </w:rPr>
        <w:t>figura 19</w:t>
      </w:r>
      <w:r w:rsidRPr="00526DCB">
        <w:rPr>
          <w:color w:val="auto"/>
        </w:rPr>
        <w:t xml:space="preserve">). In base alla </w:t>
      </w:r>
      <w:hyperlink r:id="rId13" w:history="1">
        <w:r w:rsidR="00526DCB" w:rsidRPr="00526DCB">
          <w:rPr>
            <w:rStyle w:val="Collegamentoipertestuale"/>
            <w:color w:val="auto"/>
          </w:rPr>
          <w:t>platea ufficiale</w:t>
        </w:r>
      </w:hyperlink>
      <w:r w:rsidRPr="00441E41">
        <w:rPr>
          <w:color w:val="auto"/>
        </w:rPr>
        <w:t xml:space="preserve"> (n. 4.422.597 di cui 2.795.910 di over 80, 1.538.588 pazienti fragili della fascia di età 60-79 </w:t>
      </w:r>
      <w:r w:rsidR="00130464">
        <w:rPr>
          <w:color w:val="auto"/>
        </w:rPr>
        <w:t xml:space="preserve">anni </w:t>
      </w:r>
      <w:r w:rsidRPr="00441E41">
        <w:rPr>
          <w:color w:val="auto"/>
        </w:rPr>
        <w:t xml:space="preserve">e 88.099 ospiti delle RSA che non </w:t>
      </w:r>
      <w:r w:rsidRPr="00441E41">
        <w:rPr>
          <w:color w:val="auto"/>
        </w:rPr>
        <w:lastRenderedPageBreak/>
        <w:t>ricadono nelle categorie precedenti), aggiornata al 20 maggio, il tasso di copertura nazionale per le quarte dosi è del 19,1% con nette differenze regionali: dal 5,5% della Calabria al 39,6% del Piemonte (</w:t>
      </w:r>
      <w:r w:rsidRPr="00526DCB">
        <w:rPr>
          <w:color w:val="auto"/>
          <w:highlight w:val="yellow"/>
        </w:rPr>
        <w:t>figura 20</w:t>
      </w:r>
      <w:r w:rsidRPr="00441E41">
        <w:rPr>
          <w:color w:val="auto"/>
        </w:rPr>
        <w:t>).</w:t>
      </w:r>
    </w:p>
    <w:p w14:paraId="7F9E2C96" w14:textId="12C24838" w:rsidR="00AF5F63" w:rsidRPr="00526DCB" w:rsidRDefault="00AF5F63" w:rsidP="00AF5F63">
      <w:pPr>
        <w:spacing w:line="276" w:lineRule="auto"/>
        <w:jc w:val="both"/>
        <w:rPr>
          <w:color w:val="FF0000"/>
        </w:rPr>
      </w:pPr>
      <w:r w:rsidRPr="004B0317">
        <w:t>«</w:t>
      </w:r>
      <w:r>
        <w:t xml:space="preserve">La progressiva diffusione delle varianti BA.4 e BA.5 </w:t>
      </w:r>
      <w:r w:rsidRPr="004B0317">
        <w:t>– conclude Cartabellotta –</w:t>
      </w:r>
      <w:r w:rsidR="009062E9">
        <w:t xml:space="preserve"> ha contribuito </w:t>
      </w:r>
      <w:r>
        <w:t xml:space="preserve">ad una netta </w:t>
      </w:r>
      <w:r w:rsidRPr="004B0317">
        <w:t xml:space="preserve">ripresa della circolazione virale in </w:t>
      </w:r>
      <w:r>
        <w:t>tutto il Paese con effetti</w:t>
      </w:r>
      <w:r w:rsidR="009062E9">
        <w:t xml:space="preserve"> </w:t>
      </w:r>
      <w:r w:rsidR="0004762F">
        <w:t xml:space="preserve">già </w:t>
      </w:r>
      <w:r>
        <w:t xml:space="preserve">evidenti anche </w:t>
      </w:r>
      <w:r w:rsidR="0004762F">
        <w:t xml:space="preserve">sugli </w:t>
      </w:r>
      <w:r>
        <w:t>ospedali</w:t>
      </w:r>
      <w:r w:rsidR="00EE02EB">
        <w:t>:</w:t>
      </w:r>
      <w:r>
        <w:t xml:space="preserve"> in particolare</w:t>
      </w:r>
      <w:r w:rsidR="0004762F">
        <w:t>,</w:t>
      </w:r>
      <w:r>
        <w:t xml:space="preserve"> in area medica</w:t>
      </w:r>
      <w:r w:rsidR="009062E9">
        <w:t xml:space="preserve"> dove in 10 giorni si registra un </w:t>
      </w:r>
      <w:r w:rsidR="00EE02EB">
        <w:t xml:space="preserve">incremento di </w:t>
      </w:r>
      <w:r w:rsidR="009062E9">
        <w:t xml:space="preserve">oltre 700 posti letto </w:t>
      </w:r>
      <w:r w:rsidR="004E43E7">
        <w:t xml:space="preserve">occupati da pazienti </w:t>
      </w:r>
      <w:r w:rsidR="00EE02EB">
        <w:t>COVID</w:t>
      </w:r>
      <w:r>
        <w:t xml:space="preserve">. Di conseguenza, </w:t>
      </w:r>
      <w:r w:rsidR="009062E9">
        <w:t xml:space="preserve">la Fondazione GIMBE </w:t>
      </w:r>
      <w:r>
        <w:t>invita alla cautela per almeno tre ragioni. Innanzitutto il numero dei positivi (</w:t>
      </w:r>
      <w:r w:rsidR="0081273D">
        <w:t xml:space="preserve">circa </w:t>
      </w:r>
      <w:r>
        <w:t xml:space="preserve">600 mila) è largamente sottostimato </w:t>
      </w:r>
      <w:r w:rsidR="0081273D">
        <w:t xml:space="preserve">per il massiccio utilizzo dei </w:t>
      </w:r>
      <w:r w:rsidR="007277B1">
        <w:t xml:space="preserve">tamponi </w:t>
      </w:r>
      <w:r w:rsidR="0081273D">
        <w:t xml:space="preserve">fai-da-te </w:t>
      </w:r>
      <w:r w:rsidR="007277B1">
        <w:t>con notifica parziale dei test positivi</w:t>
      </w:r>
      <w:r>
        <w:t xml:space="preserve">; in secondo luogo, è impossibile </w:t>
      </w:r>
      <w:r w:rsidR="007277B1">
        <w:t>stimare</w:t>
      </w:r>
      <w:r>
        <w:t xml:space="preserve"> l’entità di questa risalita</w:t>
      </w:r>
      <w:r w:rsidR="001B4998">
        <w:t xml:space="preserve"> d’</w:t>
      </w:r>
      <w:r>
        <w:t xml:space="preserve">inizio estate e i tempi </w:t>
      </w:r>
      <w:r w:rsidR="00EE02EB">
        <w:t xml:space="preserve">per </w:t>
      </w:r>
      <w:r>
        <w:t>raggiung</w:t>
      </w:r>
      <w:r w:rsidR="00EE02EB">
        <w:t xml:space="preserve">ere il </w:t>
      </w:r>
      <w:r>
        <w:t xml:space="preserve">picco; infine, lo stallo della campagna vaccinale ha </w:t>
      </w:r>
      <w:r w:rsidRPr="00526DCB">
        <w:rPr>
          <w:color w:val="auto"/>
        </w:rPr>
        <w:t xml:space="preserve">generato una popolazione </w:t>
      </w:r>
      <w:r w:rsidR="00D84E6A">
        <w:rPr>
          <w:color w:val="auto"/>
        </w:rPr>
        <w:t xml:space="preserve">attualmente </w:t>
      </w:r>
      <w:r w:rsidRPr="00526DCB">
        <w:rPr>
          <w:color w:val="auto"/>
        </w:rPr>
        <w:t xml:space="preserve">suscettibile all’infezione molto estesa: </w:t>
      </w:r>
      <w:r w:rsidR="00D84E6A">
        <w:rPr>
          <w:color w:val="auto"/>
        </w:rPr>
        <w:t>4,03</w:t>
      </w:r>
      <w:r w:rsidRPr="00526DCB">
        <w:rPr>
          <w:color w:val="auto"/>
        </w:rPr>
        <w:t xml:space="preserve"> milioni di non vaccinati, </w:t>
      </w:r>
      <w:r w:rsidR="00D84E6A">
        <w:rPr>
          <w:color w:val="auto"/>
        </w:rPr>
        <w:t>5,51</w:t>
      </w:r>
      <w:r w:rsidRPr="00526DCB">
        <w:rPr>
          <w:color w:val="auto"/>
        </w:rPr>
        <w:t xml:space="preserve"> milioni senza terza dose e </w:t>
      </w:r>
      <w:r w:rsidR="00526DCB" w:rsidRPr="00526DCB">
        <w:rPr>
          <w:color w:val="auto"/>
        </w:rPr>
        <w:t>4,</w:t>
      </w:r>
      <w:r w:rsidR="00204BD9">
        <w:rPr>
          <w:color w:val="auto"/>
        </w:rPr>
        <w:t>05</w:t>
      </w:r>
      <w:r w:rsidRPr="00526DCB">
        <w:rPr>
          <w:color w:val="auto"/>
        </w:rPr>
        <w:t xml:space="preserve"> mi</w:t>
      </w:r>
      <w:r>
        <w:t xml:space="preserve">lioni di persone vulnerabili senza quarta dose. Di conseguenza, in questa fase della pandemia </w:t>
      </w:r>
      <w:r w:rsidR="007277B1">
        <w:t xml:space="preserve">è fondamentale </w:t>
      </w:r>
      <w:r>
        <w:t xml:space="preserve">ridurre la circolazione virale, in particolare </w:t>
      </w:r>
      <w:r w:rsidRPr="004B0317">
        <w:t>indossa</w:t>
      </w:r>
      <w:r>
        <w:t xml:space="preserve">ndo </w:t>
      </w:r>
      <w:r w:rsidRPr="004B0317">
        <w:t>la mascherina nei locali al chiuso, specialmente se affollati e/o poco ventilati</w:t>
      </w:r>
      <w:r w:rsidR="00EE02EB">
        <w:t xml:space="preserve"> e in condizioni di grandi assembramenti anche all’aperto</w:t>
      </w:r>
      <w:r>
        <w:t>. Le Istituzioni, dal canto loro, devono potenziare la campagna vaccinale in tutte le persone a rischio di malattia grave, aumentando l</w:t>
      </w:r>
      <w:r w:rsidR="007277B1">
        <w:t xml:space="preserve">a copertura con </w:t>
      </w:r>
      <w:r>
        <w:t xml:space="preserve">la terza dose negli over 50 e </w:t>
      </w:r>
      <w:r w:rsidR="007277B1">
        <w:t xml:space="preserve">con la </w:t>
      </w:r>
      <w:r>
        <w:t xml:space="preserve">quarta dose in tutte le persone vulnerabili incluse nella platea. </w:t>
      </w:r>
      <w:r w:rsidR="007277B1">
        <w:rPr>
          <w:i/>
          <w:iCs/>
        </w:rPr>
        <w:t xml:space="preserve">Last </w:t>
      </w:r>
      <w:proofErr w:type="spellStart"/>
      <w:r w:rsidR="007277B1">
        <w:rPr>
          <w:i/>
          <w:iCs/>
        </w:rPr>
        <w:t>not</w:t>
      </w:r>
      <w:proofErr w:type="spellEnd"/>
      <w:r w:rsidR="007277B1">
        <w:rPr>
          <w:i/>
          <w:iCs/>
        </w:rPr>
        <w:t xml:space="preserve"> </w:t>
      </w:r>
      <w:proofErr w:type="spellStart"/>
      <w:r w:rsidR="007277B1">
        <w:rPr>
          <w:i/>
          <w:iCs/>
        </w:rPr>
        <w:t>but</w:t>
      </w:r>
      <w:proofErr w:type="spellEnd"/>
      <w:r w:rsidR="007277B1">
        <w:rPr>
          <w:i/>
          <w:iCs/>
        </w:rPr>
        <w:t xml:space="preserve"> </w:t>
      </w:r>
      <w:proofErr w:type="spellStart"/>
      <w:r w:rsidR="007277B1">
        <w:rPr>
          <w:i/>
          <w:iCs/>
        </w:rPr>
        <w:t>least</w:t>
      </w:r>
      <w:proofErr w:type="spellEnd"/>
      <w:r w:rsidR="007277B1">
        <w:t xml:space="preserve">, </w:t>
      </w:r>
      <w:r>
        <w:t>evitare di disorientare la popolazione con proposte antiscientifiche e rischiose per la salute pubblica, quale l’abolizione dell’isolamento per i positivi</w:t>
      </w:r>
      <w:r w:rsidRPr="004B0317">
        <w:t>».</w:t>
      </w:r>
    </w:p>
    <w:p w14:paraId="722173C5" w14:textId="77777777" w:rsidR="00E23CF9" w:rsidRPr="00D44AA7" w:rsidRDefault="00666867" w:rsidP="00BD67DE">
      <w:pPr>
        <w:spacing w:after="120" w:line="276" w:lineRule="auto"/>
        <w:rPr>
          <w:rStyle w:val="Hyperlink0"/>
        </w:rPr>
      </w:pPr>
      <w:r w:rsidRPr="00D44AA7">
        <w:rPr>
          <w:i/>
          <w:iCs/>
        </w:rPr>
        <w:t>Il</w:t>
      </w:r>
      <w:r w:rsidR="00CE577D" w:rsidRPr="00D44AA7">
        <w:rPr>
          <w:i/>
          <w:iCs/>
        </w:rPr>
        <w:t xml:space="preserve"> monitoraggio GIMBE dell'epidemia COVID-19 è disponibile a: </w:t>
      </w:r>
      <w:hyperlink r:id="rId14" w:history="1">
        <w:r w:rsidR="00CE577D" w:rsidRPr="00D44AA7">
          <w:rPr>
            <w:rStyle w:val="Hyperlink0"/>
          </w:rPr>
          <w:t>https://coronavirus.gimbe.org</w:t>
        </w:r>
      </w:hyperlink>
    </w:p>
    <w:p w14:paraId="08634162" w14:textId="77777777" w:rsidR="009B392C" w:rsidRPr="00D44AA7" w:rsidRDefault="009B392C" w:rsidP="00BD67DE">
      <w:pPr>
        <w:spacing w:after="120" w:line="276" w:lineRule="auto"/>
        <w:rPr>
          <w:rStyle w:val="Hyperlink0"/>
        </w:rPr>
      </w:pPr>
    </w:p>
    <w:p w14:paraId="62D006F8" w14:textId="77777777" w:rsidR="00044ABB" w:rsidRPr="00D44AA7" w:rsidRDefault="00CE577D" w:rsidP="00C46A82">
      <w:pPr>
        <w:spacing w:after="120"/>
        <w:rPr>
          <w:rFonts w:eastAsia="Calibri" w:cs="Calibri"/>
          <w:color w:val="0563C1"/>
          <w:sz w:val="20"/>
          <w:szCs w:val="20"/>
          <w:u w:val="single" w:color="0563C1"/>
        </w:rPr>
      </w:pPr>
      <w:r w:rsidRPr="00D44AA7">
        <w:rPr>
          <w:b/>
          <w:bCs/>
        </w:rPr>
        <w:t>CONTATTI</w:t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Bologna</w:t>
      </w:r>
      <w:r w:rsidRPr="00D44AA7">
        <w:rPr>
          <w:sz w:val="20"/>
          <w:szCs w:val="20"/>
        </w:rPr>
        <w:br/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15" w:history="1">
        <w:r w:rsidRPr="00D44AA7">
          <w:rPr>
            <w:rStyle w:val="Hyperlink1"/>
          </w:rPr>
          <w:t>ufficio.stampa@gimbe.org</w:t>
        </w:r>
      </w:hyperlink>
    </w:p>
    <w:p w14:paraId="61A8450A" w14:textId="77777777" w:rsidR="00F43DFC" w:rsidRPr="00D44AA7" w:rsidRDefault="001203E4" w:rsidP="00D304E2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  <w:r w:rsidR="00CE577D" w:rsidRPr="00D44AA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</w:p>
    <w:p w14:paraId="7435AEA4" w14:textId="356BBE50" w:rsidR="00EA300B" w:rsidRPr="00D44AA7" w:rsidRDefault="00323B61" w:rsidP="00EA300B">
      <w:pPr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32DAE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266.95pt">
            <v:imagedata r:id="rId16" o:title="Figura_01_20220623"/>
          </v:shape>
        </w:pict>
      </w:r>
    </w:p>
    <w:p w14:paraId="4A79D0F9" w14:textId="77777777" w:rsidR="00266D51" w:rsidRPr="00D44AA7" w:rsidRDefault="00266D51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E52C2FD" w14:textId="7A40002E" w:rsidR="00EA300B" w:rsidRPr="00D44AA7" w:rsidRDefault="00CE577D" w:rsidP="00EA300B">
      <w:pPr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2</w:t>
      </w:r>
      <w:r w:rsidRPr="00D44AA7">
        <w:rPr>
          <w:b/>
          <w:bCs/>
          <w:color w:val="00457D"/>
          <w:sz w:val="24"/>
          <w:szCs w:val="24"/>
          <w:u w:color="00457D"/>
        </w:rPr>
        <w:br/>
      </w:r>
      <w:r w:rsidR="00323B61">
        <w:rPr>
          <w:b/>
          <w:bCs/>
          <w:noProof/>
          <w:color w:val="00457D"/>
          <w:sz w:val="24"/>
          <w:szCs w:val="24"/>
          <w:u w:color="00457D"/>
        </w:rPr>
        <w:pict w14:anchorId="0453EA9D">
          <v:shape id="_x0000_i1026" type="#_x0000_t75" style="width:453.05pt;height:251.3pt">
            <v:imagedata r:id="rId17" o:title="Figura_02_20220623"/>
          </v:shape>
        </w:pict>
      </w:r>
    </w:p>
    <w:p w14:paraId="080F3848" w14:textId="77777777" w:rsidR="007B682B" w:rsidRPr="00D44AA7" w:rsidRDefault="00CE577D">
      <w:pPr>
        <w:jc w:val="center"/>
        <w:sectPr w:rsidR="007B682B" w:rsidRPr="00D44AA7" w:rsidSect="00AC5C5B">
          <w:pgSz w:w="11900" w:h="16840"/>
          <w:pgMar w:top="993" w:right="1134" w:bottom="993" w:left="1134" w:header="709" w:footer="709" w:gutter="0"/>
          <w:cols w:space="720"/>
        </w:sectPr>
      </w:pPr>
      <w:r w:rsidRPr="00D44AA7">
        <w:rPr>
          <w:b/>
          <w:bCs/>
          <w:color w:val="00457D"/>
          <w:sz w:val="24"/>
          <w:szCs w:val="24"/>
          <w:u w:color="00457D"/>
        </w:rPr>
        <w:br/>
      </w:r>
    </w:p>
    <w:p w14:paraId="4AEEE9DD" w14:textId="77777777" w:rsidR="007B682B" w:rsidRPr="00D44AA7" w:rsidRDefault="00CE577D" w:rsidP="00466C2D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3</w:t>
      </w:r>
    </w:p>
    <w:p w14:paraId="4A8E969B" w14:textId="61F11CC2" w:rsidR="00EA300B" w:rsidRPr="00D44AA7" w:rsidRDefault="00323B61">
      <w:pPr>
        <w:spacing w:after="0" w:line="360" w:lineRule="auto"/>
        <w:jc w:val="center"/>
        <w:sectPr w:rsidR="00EA300B" w:rsidRPr="00D44AA7" w:rsidSect="005B4AE1">
          <w:pgSz w:w="16840" w:h="11900" w:orient="landscape"/>
          <w:pgMar w:top="992" w:right="1134" w:bottom="709" w:left="1134" w:header="709" w:footer="709" w:gutter="0"/>
          <w:cols w:space="720"/>
          <w:docGrid w:linePitch="299"/>
        </w:sectPr>
      </w:pPr>
      <w:r>
        <w:rPr>
          <w:noProof/>
        </w:rPr>
        <w:pict w14:anchorId="7A23D1BD">
          <v:shape id="_x0000_i1027" type="#_x0000_t75" style="width:727.45pt;height:374.25pt">
            <v:imagedata r:id="rId18" o:title="Figura_03_20220623"/>
          </v:shape>
        </w:pict>
      </w:r>
    </w:p>
    <w:p w14:paraId="5B34918C" w14:textId="77777777" w:rsidR="00184E2C" w:rsidRPr="00D44AA7" w:rsidRDefault="00E10DC3" w:rsidP="00E10DC3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4</w:t>
      </w:r>
    </w:p>
    <w:p w14:paraId="0AC08E84" w14:textId="22007E78" w:rsidR="00EA300B" w:rsidRPr="00D44AA7" w:rsidRDefault="008479E9" w:rsidP="00E10DC3">
      <w:pPr>
        <w:spacing w:after="0"/>
        <w:jc w:val="center"/>
        <w:rPr>
          <w:color w:val="auto"/>
        </w:rPr>
      </w:pPr>
      <w:r>
        <w:rPr>
          <w:noProof/>
          <w:color w:val="auto"/>
        </w:rPr>
        <w:pict w14:anchorId="20C35A62">
          <v:shape id="_x0000_i1028" type="#_x0000_t75" style="width:481.6pt;height:235pt">
            <v:imagedata r:id="rId19" o:title="Figura_04_20220623"/>
          </v:shape>
        </w:pict>
      </w:r>
    </w:p>
    <w:p w14:paraId="18280B96" w14:textId="77777777" w:rsidR="00FB6128" w:rsidRPr="00D44AA7" w:rsidRDefault="00FB6128" w:rsidP="00E10DC3">
      <w:pPr>
        <w:spacing w:after="0"/>
        <w:jc w:val="center"/>
        <w:rPr>
          <w:color w:val="auto"/>
        </w:rPr>
      </w:pPr>
    </w:p>
    <w:p w14:paraId="535144B8" w14:textId="77777777" w:rsidR="00FB6128" w:rsidRPr="00D44AA7" w:rsidRDefault="00FB6128" w:rsidP="00FB6128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5</w:t>
      </w:r>
    </w:p>
    <w:p w14:paraId="6FC62EC4" w14:textId="613F12BB" w:rsidR="00EA300B" w:rsidRPr="00D44AA7" w:rsidRDefault="008479E9" w:rsidP="000E770E">
      <w:pPr>
        <w:spacing w:after="0" w:line="276" w:lineRule="auto"/>
        <w:jc w:val="center"/>
        <w:rPr>
          <w:color w:val="auto"/>
        </w:rPr>
      </w:pPr>
      <w:r>
        <w:rPr>
          <w:noProof/>
          <w:color w:val="auto"/>
        </w:rPr>
        <w:pict w14:anchorId="08B52BC3">
          <v:shape id="_x0000_i1029" type="#_x0000_t75" style="width:480.9pt;height:260.15pt">
            <v:imagedata r:id="rId20" o:title="Figura_05_20220623"/>
          </v:shape>
        </w:pict>
      </w:r>
    </w:p>
    <w:p w14:paraId="20FD12EF" w14:textId="77777777" w:rsidR="000E770E" w:rsidRPr="00D44AA7" w:rsidRDefault="000E770E" w:rsidP="00626103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7CC2CDF" w14:textId="77777777" w:rsidR="00FB6128" w:rsidRPr="00D44AA7" w:rsidRDefault="00FB6128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5EE23CE1" w14:textId="77777777" w:rsidR="00D93FAE" w:rsidRPr="00D44AA7" w:rsidRDefault="00D93FAE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6</w:t>
      </w:r>
    </w:p>
    <w:p w14:paraId="284663B9" w14:textId="52935234" w:rsidR="00EA300B" w:rsidRPr="00D44AA7" w:rsidRDefault="008479E9" w:rsidP="00F9470A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5F0D1B01">
          <v:shape id="_x0000_i1030" type="#_x0000_t75" style="width:481.6pt;height:257.45pt">
            <v:imagedata r:id="rId21" o:title="Figura_06_20220623"/>
          </v:shape>
        </w:pict>
      </w:r>
    </w:p>
    <w:p w14:paraId="2F6C7DD6" w14:textId="77777777" w:rsidR="00D93FAE" w:rsidRPr="00D44AA7" w:rsidRDefault="00D93FAE" w:rsidP="00D93FAE">
      <w:pPr>
        <w:spacing w:after="0" w:line="240" w:lineRule="auto"/>
        <w:jc w:val="center"/>
        <w:rPr>
          <w:b/>
          <w:bCs/>
          <w:color w:val="00457D"/>
          <w:sz w:val="8"/>
          <w:szCs w:val="14"/>
          <w:u w:color="00457D"/>
        </w:rPr>
      </w:pPr>
    </w:p>
    <w:p w14:paraId="7024351C" w14:textId="77777777" w:rsidR="00061647" w:rsidRPr="00D44AA7" w:rsidRDefault="0006164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3816601E" w14:textId="77777777" w:rsidR="00A03AAC" w:rsidRPr="00D44AA7" w:rsidRDefault="00D93FAE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1E3B61" w:rsidRPr="00D44AA7">
        <w:rPr>
          <w:b/>
          <w:bCs/>
          <w:color w:val="00457D"/>
          <w:sz w:val="24"/>
          <w:szCs w:val="24"/>
          <w:u w:color="00457D"/>
        </w:rPr>
        <w:t>7</w:t>
      </w:r>
    </w:p>
    <w:p w14:paraId="4D723CEF" w14:textId="02E96F7A" w:rsidR="00EA300B" w:rsidRPr="00D44AA7" w:rsidRDefault="008479E9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545B5146">
          <v:shape id="_x0000_i1031" type="#_x0000_t75" style="width:480.9pt;height:240.45pt">
            <v:imagedata r:id="rId22" o:title="Figura_07_20220623"/>
          </v:shape>
        </w:pict>
      </w:r>
    </w:p>
    <w:p w14:paraId="32987517" w14:textId="77777777" w:rsidR="008751B7" w:rsidRPr="00D44AA7" w:rsidRDefault="008751B7" w:rsidP="008751B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1DD0CC26" w14:textId="77777777" w:rsidR="008751B7" w:rsidRPr="00D44AA7" w:rsidRDefault="008751B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6E348AA5" w14:textId="77777777" w:rsidR="008751B7" w:rsidRPr="00D44AA7" w:rsidRDefault="008751B7" w:rsidP="008751B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8</w:t>
      </w:r>
    </w:p>
    <w:p w14:paraId="70B7C8A9" w14:textId="7F5EBBA4" w:rsidR="006B2A7B" w:rsidRPr="00D44AA7" w:rsidRDefault="008479E9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39280C7B">
          <v:shape id="_x0000_i1032" type="#_x0000_t75" style="width:481.6pt;height:447.6pt">
            <v:imagedata r:id="rId23" o:title="Figura_08_20220623"/>
          </v:shape>
        </w:pict>
      </w:r>
    </w:p>
    <w:p w14:paraId="5599EAD0" w14:textId="77777777" w:rsidR="002879EE" w:rsidRPr="00D44AA7" w:rsidRDefault="002879EE">
      <w:pPr>
        <w:spacing w:after="0"/>
        <w:jc w:val="center"/>
        <w:rPr>
          <w:b/>
          <w:bCs/>
          <w:color w:val="00457D"/>
          <w:sz w:val="10"/>
          <w:szCs w:val="12"/>
          <w:u w:color="00457D"/>
        </w:rPr>
      </w:pPr>
    </w:p>
    <w:p w14:paraId="0CD20B4D" w14:textId="77777777" w:rsidR="00184E2C" w:rsidRPr="00D44AA7" w:rsidRDefault="00CE577D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</w:t>
      </w:r>
      <w:r w:rsidR="00E10DC3" w:rsidRPr="00D44AA7">
        <w:rPr>
          <w:b/>
          <w:bCs/>
          <w:color w:val="00457D"/>
          <w:sz w:val="24"/>
          <w:szCs w:val="24"/>
          <w:u w:color="00457D"/>
        </w:rPr>
        <w:t xml:space="preserve"> </w:t>
      </w:r>
      <w:r w:rsidR="008751B7" w:rsidRPr="00D44AA7">
        <w:rPr>
          <w:b/>
          <w:bCs/>
          <w:color w:val="00457D"/>
          <w:sz w:val="24"/>
          <w:szCs w:val="24"/>
          <w:u w:color="00457D"/>
        </w:rPr>
        <w:t>9</w:t>
      </w:r>
    </w:p>
    <w:p w14:paraId="7108455D" w14:textId="5275E856" w:rsidR="00EA300B" w:rsidRPr="00D44AA7" w:rsidRDefault="008479E9" w:rsidP="003274E5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612C48F5">
          <v:shape id="_x0000_i1033" type="#_x0000_t75" style="width:463.9pt;height:224.85pt">
            <v:imagedata r:id="rId24" o:title="Figura_09_20220623"/>
          </v:shape>
        </w:pict>
      </w:r>
    </w:p>
    <w:p w14:paraId="6559EA0F" w14:textId="77777777" w:rsidR="008751B7" w:rsidRPr="00D44AA7" w:rsidRDefault="008751B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4575233B" w14:textId="77777777" w:rsidR="001B3764" w:rsidRPr="00D44AA7" w:rsidRDefault="00736C14" w:rsidP="00DB136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1</w:t>
      </w:r>
      <w:r w:rsidR="00030535" w:rsidRPr="00D44AA7">
        <w:rPr>
          <w:b/>
          <w:bCs/>
          <w:color w:val="00457D"/>
          <w:sz w:val="24"/>
          <w:szCs w:val="24"/>
          <w:u w:color="00457D"/>
        </w:rPr>
        <w:t>0</w:t>
      </w:r>
    </w:p>
    <w:p w14:paraId="39D569D9" w14:textId="589B0338" w:rsidR="001B3764" w:rsidRPr="00D44AA7" w:rsidRDefault="008479E9" w:rsidP="005C1E56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006589E1">
          <v:shape id="_x0000_i1034" type="#_x0000_t75" style="width:481.6pt;height:305.65pt">
            <v:imagedata r:id="rId25" o:title="Figura_10_20220623"/>
          </v:shape>
        </w:pict>
      </w:r>
    </w:p>
    <w:p w14:paraId="4B4A7463" w14:textId="77777777" w:rsidR="008751B7" w:rsidRPr="00D44AA7" w:rsidRDefault="008751B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025FC98B" w14:textId="77777777" w:rsidR="00211923" w:rsidRPr="00D44AA7" w:rsidRDefault="00211923" w:rsidP="00211923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D022C4" w:rsidRPr="00D44AA7">
        <w:rPr>
          <w:b/>
          <w:bCs/>
          <w:color w:val="00457D"/>
          <w:sz w:val="24"/>
          <w:szCs w:val="24"/>
          <w:u w:color="00457D"/>
        </w:rPr>
        <w:t>1</w:t>
      </w:r>
      <w:r w:rsidR="00D54DDF" w:rsidRPr="00D44AA7">
        <w:rPr>
          <w:b/>
          <w:bCs/>
          <w:color w:val="00457D"/>
          <w:sz w:val="24"/>
          <w:szCs w:val="24"/>
          <w:u w:color="00457D"/>
        </w:rPr>
        <w:t>1</w:t>
      </w:r>
    </w:p>
    <w:p w14:paraId="2FC3893A" w14:textId="6182C244" w:rsidR="00244900" w:rsidRPr="00D44AA7" w:rsidRDefault="008479E9" w:rsidP="00012B67">
      <w:pPr>
        <w:spacing w:line="276" w:lineRule="auto"/>
        <w:jc w:val="center"/>
        <w:rPr>
          <w:color w:val="FF0000"/>
        </w:rPr>
      </w:pPr>
      <w:r>
        <w:rPr>
          <w:noProof/>
          <w:color w:val="FF0000"/>
        </w:rPr>
        <w:pict w14:anchorId="30FD89FD">
          <v:shape id="_x0000_i1035" type="#_x0000_t75" style="width:480.9pt;height:303.6pt">
            <v:imagedata r:id="rId26" o:title="Figura_11_20220623"/>
          </v:shape>
        </w:pict>
      </w:r>
    </w:p>
    <w:p w14:paraId="7B744498" w14:textId="77777777" w:rsidR="00E03BC7" w:rsidRPr="00D44AA7" w:rsidRDefault="00E03BC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367879D9" w14:textId="77777777" w:rsidR="00D54DDF" w:rsidRPr="00D44AA7" w:rsidRDefault="00D54DDF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46E752C6" w14:textId="77777777" w:rsidR="00D54DDF" w:rsidRPr="00D44AA7" w:rsidRDefault="00D54DDF" w:rsidP="004B6DC2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12</w:t>
      </w:r>
    </w:p>
    <w:p w14:paraId="335F40B6" w14:textId="77777777" w:rsidR="00BE48B0" w:rsidRDefault="00BE48B0" w:rsidP="004B6DC2">
      <w:pPr>
        <w:spacing w:after="0" w:line="240" w:lineRule="auto"/>
        <w:jc w:val="center"/>
        <w:rPr>
          <w:b/>
          <w:bCs/>
          <w:noProof/>
          <w:color w:val="00457D"/>
          <w:sz w:val="12"/>
          <w:szCs w:val="12"/>
          <w:u w:color="00457D"/>
        </w:rPr>
      </w:pPr>
    </w:p>
    <w:p w14:paraId="6842443B" w14:textId="153BF36C" w:rsidR="00244900" w:rsidRPr="00D44AA7" w:rsidRDefault="008479E9" w:rsidP="004B6DC2">
      <w:pPr>
        <w:spacing w:after="0" w:line="240" w:lineRule="auto"/>
        <w:jc w:val="center"/>
        <w:rPr>
          <w:b/>
          <w:bCs/>
          <w:color w:val="00457D"/>
          <w:sz w:val="12"/>
          <w:szCs w:val="12"/>
          <w:u w:color="00457D"/>
        </w:rPr>
      </w:pPr>
      <w:r>
        <w:rPr>
          <w:b/>
          <w:bCs/>
          <w:noProof/>
          <w:color w:val="00457D"/>
          <w:sz w:val="12"/>
          <w:szCs w:val="12"/>
          <w:u w:color="00457D"/>
        </w:rPr>
        <w:pict w14:anchorId="506BB361">
          <v:shape id="_x0000_i1036" type="#_x0000_t75" style="width:451.7pt;height:340.3pt">
            <v:imagedata r:id="rId27" o:title="Figura_12_20220623"/>
          </v:shape>
        </w:pict>
      </w:r>
    </w:p>
    <w:p w14:paraId="51407B87" w14:textId="77777777" w:rsidR="004D2B35" w:rsidRPr="004D2B35" w:rsidRDefault="004D2B35" w:rsidP="00E03BC7">
      <w:pPr>
        <w:spacing w:after="0" w:line="240" w:lineRule="auto"/>
        <w:jc w:val="center"/>
        <w:rPr>
          <w:b/>
          <w:bCs/>
          <w:color w:val="00457D"/>
          <w:sz w:val="12"/>
          <w:szCs w:val="12"/>
          <w:u w:color="00457D"/>
        </w:rPr>
      </w:pPr>
    </w:p>
    <w:p w14:paraId="31CFB9B1" w14:textId="77777777" w:rsidR="004B6407" w:rsidRDefault="004B6DC2" w:rsidP="00E03BC7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1E3B61" w:rsidRPr="00D44AA7">
        <w:rPr>
          <w:b/>
          <w:bCs/>
          <w:color w:val="00457D"/>
          <w:sz w:val="24"/>
          <w:szCs w:val="24"/>
          <w:u w:color="00457D"/>
        </w:rPr>
        <w:t>1</w:t>
      </w:r>
      <w:r w:rsidR="00D54DDF" w:rsidRPr="00D44AA7">
        <w:rPr>
          <w:b/>
          <w:bCs/>
          <w:color w:val="00457D"/>
          <w:sz w:val="24"/>
          <w:szCs w:val="24"/>
          <w:u w:color="00457D"/>
        </w:rPr>
        <w:t>3</w:t>
      </w:r>
    </w:p>
    <w:p w14:paraId="0913985E" w14:textId="315A2604" w:rsidR="00244900" w:rsidRDefault="008479E9" w:rsidP="00E03BC7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pict w14:anchorId="7877DC4A">
          <v:shape id="_x0000_i1037" type="#_x0000_t75" style="width:425.2pt;height:319.9pt">
            <v:imagedata r:id="rId28" o:title="Figura_13_2022062"/>
          </v:shape>
        </w:pict>
      </w:r>
    </w:p>
    <w:p w14:paraId="4FC8F230" w14:textId="77777777" w:rsidR="006B2A7B" w:rsidRPr="00D44AA7" w:rsidRDefault="006B2A7B" w:rsidP="00E03BC7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6B000370" w14:textId="77777777" w:rsidR="00C359C9" w:rsidRPr="00D44AA7" w:rsidRDefault="00C359C9" w:rsidP="00BE48B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1E3B61" w:rsidRPr="00D44AA7">
        <w:rPr>
          <w:b/>
          <w:bCs/>
          <w:color w:val="00457D"/>
          <w:sz w:val="24"/>
          <w:szCs w:val="24"/>
          <w:u w:color="00457D"/>
        </w:rPr>
        <w:t>1</w:t>
      </w:r>
      <w:r w:rsidR="00D54DDF" w:rsidRPr="00D44AA7">
        <w:rPr>
          <w:b/>
          <w:bCs/>
          <w:color w:val="00457D"/>
          <w:sz w:val="24"/>
          <w:szCs w:val="24"/>
          <w:u w:color="00457D"/>
        </w:rPr>
        <w:t>4</w:t>
      </w:r>
    </w:p>
    <w:p w14:paraId="7A90BE05" w14:textId="22F5C66A" w:rsidR="00244900" w:rsidRPr="00D44AA7" w:rsidRDefault="008479E9" w:rsidP="00C359C9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6335AF8E">
          <v:shape id="_x0000_i1038" type="#_x0000_t75" style="width:481.6pt;height:291.4pt">
            <v:imagedata r:id="rId29" o:title="Figura_14_20220623"/>
          </v:shape>
        </w:pict>
      </w:r>
    </w:p>
    <w:p w14:paraId="1DD6BA08" w14:textId="77777777" w:rsidR="006E14AA" w:rsidRPr="00D44AA7" w:rsidRDefault="006E14AA" w:rsidP="00C359C9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51AB9441" w14:textId="77777777" w:rsidR="00D54DDF" w:rsidRPr="00D44AA7" w:rsidRDefault="00BE48B0" w:rsidP="00BE48B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15</w:t>
      </w:r>
    </w:p>
    <w:p w14:paraId="3E63692A" w14:textId="77777777" w:rsidR="00FF3D45" w:rsidRPr="00D44AA7" w:rsidRDefault="00FF3D45" w:rsidP="00235E4D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  <w:sectPr w:rsidR="00FF3D45" w:rsidRPr="00D44AA7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06C64B26" w14:textId="77777777" w:rsidR="004C00B7" w:rsidRDefault="004C00B7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003DB0F3" w14:textId="72C6A581" w:rsidR="00244900" w:rsidRPr="00D44AA7" w:rsidRDefault="008479E9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  <w:sectPr w:rsidR="00244900" w:rsidRPr="00D44AA7" w:rsidSect="00235E4D">
          <w:type w:val="continuous"/>
          <w:pgSz w:w="11900" w:h="16840"/>
          <w:pgMar w:top="1418" w:right="1134" w:bottom="1134" w:left="1134" w:header="709" w:footer="709" w:gutter="0"/>
          <w:cols w:space="720"/>
          <w:docGrid w:linePitch="299"/>
        </w:sect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017422EA">
          <v:shape id="_x0000_i1039" type="#_x0000_t75" style="width:461.2pt;height:347.1pt">
            <v:imagedata r:id="rId30" o:title="Figura_15_20220623"/>
          </v:shape>
        </w:pict>
      </w:r>
    </w:p>
    <w:p w14:paraId="59B9F9F9" w14:textId="77777777" w:rsidR="004C00B7" w:rsidRPr="00D44AA7" w:rsidRDefault="004C00B7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16</w:t>
      </w:r>
    </w:p>
    <w:p w14:paraId="4EB798EE" w14:textId="2CC2E3FC" w:rsidR="004C00B7" w:rsidRPr="00D44AA7" w:rsidRDefault="008479E9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5AA1E65B">
          <v:shape id="_x0000_i1040" type="#_x0000_t75" style="width:713.2pt;height:406.85pt">
            <v:imagedata r:id="rId31" o:title="Figura_16_20220623"/>
          </v:shape>
        </w:pict>
      </w:r>
    </w:p>
    <w:p w14:paraId="7472B1A8" w14:textId="77777777" w:rsidR="004C00B7" w:rsidRPr="00D44AA7" w:rsidRDefault="004C00B7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  <w:sectPr w:rsidR="004C00B7" w:rsidRPr="00D44AA7" w:rsidSect="004C00B7">
          <w:pgSz w:w="16840" w:h="11900" w:orient="landscape"/>
          <w:pgMar w:top="1134" w:right="1418" w:bottom="1134" w:left="1134" w:header="709" w:footer="709" w:gutter="0"/>
          <w:cols w:space="720"/>
          <w:docGrid w:linePitch="299"/>
        </w:sectPr>
      </w:pPr>
    </w:p>
    <w:p w14:paraId="6F167A02" w14:textId="77777777" w:rsidR="00FF3D45" w:rsidRPr="00D44AA7" w:rsidRDefault="00FF3D45" w:rsidP="00FF3D45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4C00B7" w:rsidRPr="00D44AA7">
        <w:rPr>
          <w:b/>
          <w:bCs/>
          <w:color w:val="00457D"/>
          <w:sz w:val="24"/>
          <w:szCs w:val="24"/>
          <w:u w:color="00457D"/>
        </w:rPr>
        <w:t>7</w:t>
      </w:r>
    </w:p>
    <w:p w14:paraId="4C5381DB" w14:textId="30FDD3A0" w:rsidR="00244900" w:rsidRPr="00D44AA7" w:rsidRDefault="008479E9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542E015B">
          <v:shape id="_x0000_i1041" type="#_x0000_t75" style="width:480.9pt;height:281.2pt">
            <v:imagedata r:id="rId32" o:title="Figura_17_20220623"/>
          </v:shape>
        </w:pict>
      </w:r>
    </w:p>
    <w:p w14:paraId="3AA99463" w14:textId="77777777" w:rsidR="009D0980" w:rsidRPr="00D44AA7" w:rsidRDefault="009D0980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16AE6E0A" w14:textId="77777777" w:rsidR="009D0980" w:rsidRPr="00D44AA7" w:rsidRDefault="009D0980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1</w:t>
      </w:r>
      <w:r w:rsidR="004C00B7" w:rsidRPr="00D44AA7">
        <w:rPr>
          <w:b/>
          <w:bCs/>
          <w:color w:val="00457D"/>
          <w:sz w:val="24"/>
          <w:szCs w:val="24"/>
          <w:u w:color="00457D"/>
        </w:rPr>
        <w:t>8</w:t>
      </w:r>
    </w:p>
    <w:p w14:paraId="3CC02177" w14:textId="77777777" w:rsidR="007E1AAC" w:rsidRDefault="007E1AAC" w:rsidP="006E14AA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</w:p>
    <w:p w14:paraId="07B7F478" w14:textId="52C6431F" w:rsidR="009D0980" w:rsidRPr="00D44AA7" w:rsidRDefault="008479E9" w:rsidP="009F62F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091CBC60">
          <v:shape id="_x0000_i1042" type="#_x0000_t75" style="width:446.25pt;height:362.05pt">
            <v:imagedata r:id="rId33" o:title="Figura_18_20220623"/>
          </v:shape>
        </w:pict>
      </w:r>
      <w:r w:rsidR="009D0980"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372A52EC" w14:textId="77777777" w:rsidR="00D71401" w:rsidRPr="00D44AA7" w:rsidRDefault="00FF3D45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4C00B7" w:rsidRPr="00D44AA7">
        <w:rPr>
          <w:b/>
          <w:bCs/>
          <w:color w:val="00457D"/>
          <w:sz w:val="24"/>
          <w:szCs w:val="24"/>
          <w:u w:color="00457D"/>
        </w:rPr>
        <w:t>9</w:t>
      </w:r>
    </w:p>
    <w:p w14:paraId="6DBBEB78" w14:textId="1455BA15" w:rsidR="00244900" w:rsidRPr="00D44AA7" w:rsidRDefault="008479E9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1A64E4AF">
          <v:shape id="_x0000_i1043" type="#_x0000_t75" style="width:480.9pt;height:280.55pt">
            <v:imagedata r:id="rId34" o:title="Figura_19_20220623"/>
          </v:shape>
        </w:pict>
      </w:r>
    </w:p>
    <w:p w14:paraId="5D453C39" w14:textId="77777777" w:rsidR="009D0980" w:rsidRPr="00D44AA7" w:rsidRDefault="009D0980" w:rsidP="009D098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44244A9F" w14:textId="77777777" w:rsidR="009D0980" w:rsidRPr="00D44AA7" w:rsidRDefault="009D0980" w:rsidP="009D098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4C00B7" w:rsidRPr="00D44AA7">
        <w:rPr>
          <w:b/>
          <w:bCs/>
          <w:color w:val="00457D"/>
          <w:sz w:val="24"/>
          <w:szCs w:val="24"/>
          <w:u w:color="00457D"/>
        </w:rPr>
        <w:t>20</w:t>
      </w:r>
    </w:p>
    <w:p w14:paraId="3F4F8F87" w14:textId="77777777" w:rsidR="0054617C" w:rsidRPr="00D44AA7" w:rsidRDefault="0054617C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6A41F8BF" w14:textId="77777777" w:rsidR="00C359C9" w:rsidRDefault="00C359C9" w:rsidP="00E03BC7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7FF094E5" w14:textId="52F20F3B" w:rsidR="00244900" w:rsidRPr="00D44AA7" w:rsidRDefault="008479E9" w:rsidP="00E03BC7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  <w:sectPr w:rsidR="00244900" w:rsidRPr="00D44AA7" w:rsidSect="005B4AE1">
          <w:pgSz w:w="11900" w:h="16840"/>
          <w:pgMar w:top="1134" w:right="1134" w:bottom="1418" w:left="1134" w:header="709" w:footer="709" w:gutter="0"/>
          <w:cols w:space="720"/>
        </w:sect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6C42A178">
          <v:shape id="_x0000_i1044" type="#_x0000_t75" style="width:447.6pt;height:355.9pt">
            <v:imagedata r:id="rId35" o:title="Figura_20_20220623"/>
          </v:shape>
        </w:pict>
      </w:r>
    </w:p>
    <w:p w14:paraId="4B8D0968" w14:textId="77777777" w:rsidR="004D2B35" w:rsidRDefault="004D16FF" w:rsidP="004D2B35">
      <w:pPr>
        <w:spacing w:after="60" w:line="276" w:lineRule="auto"/>
        <w:jc w:val="center"/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 xml:space="preserve">Tabella 1. Indicatori regionali: settimana </w:t>
      </w:r>
      <w:r w:rsidR="00874044">
        <w:rPr>
          <w:b/>
          <w:bCs/>
          <w:color w:val="00457D"/>
          <w:sz w:val="24"/>
          <w:szCs w:val="24"/>
          <w:u w:color="00457D"/>
        </w:rPr>
        <w:t>15</w:t>
      </w:r>
      <w:r w:rsidR="001857E7">
        <w:rPr>
          <w:b/>
          <w:bCs/>
          <w:color w:val="00457D"/>
          <w:sz w:val="24"/>
          <w:szCs w:val="24"/>
          <w:u w:color="00457D"/>
        </w:rPr>
        <w:t>-</w:t>
      </w:r>
      <w:r w:rsidR="00874044">
        <w:rPr>
          <w:b/>
          <w:bCs/>
          <w:color w:val="00457D"/>
          <w:sz w:val="24"/>
          <w:szCs w:val="24"/>
          <w:u w:color="00457D"/>
        </w:rPr>
        <w:t>2</w:t>
      </w:r>
      <w:r w:rsidR="004D2B35">
        <w:rPr>
          <w:b/>
          <w:bCs/>
          <w:color w:val="00457D"/>
          <w:sz w:val="24"/>
          <w:szCs w:val="24"/>
          <w:u w:color="00457D"/>
        </w:rPr>
        <w:t>1</w:t>
      </w:r>
      <w:r w:rsidR="001857E7">
        <w:rPr>
          <w:b/>
          <w:bCs/>
          <w:color w:val="00457D"/>
          <w:sz w:val="24"/>
          <w:szCs w:val="24"/>
          <w:u w:color="00457D"/>
        </w:rPr>
        <w:t xml:space="preserve"> giugno</w:t>
      </w:r>
      <w:r w:rsidRPr="00D44AA7">
        <w:rPr>
          <w:b/>
          <w:bCs/>
          <w:color w:val="00457D"/>
          <w:sz w:val="24"/>
          <w:szCs w:val="24"/>
          <w:u w:color="00457D"/>
        </w:rPr>
        <w:t xml:space="preserve"> 2022</w:t>
      </w:r>
      <w:r w:rsidR="00902C3F" w:rsidRPr="00D44AA7">
        <w:t xml:space="preserve"> </w:t>
      </w:r>
    </w:p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386"/>
        <w:gridCol w:w="2322"/>
        <w:gridCol w:w="2356"/>
      </w:tblGrid>
      <w:tr w:rsidR="00874044" w:rsidRPr="00874044" w14:paraId="297BF9B6" w14:textId="77777777" w:rsidTr="00874044">
        <w:trPr>
          <w:trHeight w:val="907"/>
        </w:trPr>
        <w:tc>
          <w:tcPr>
            <w:tcW w:w="21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7CAEAA2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701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53C19B8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Casi attualmente positivi per 100.000 abitanti</w:t>
            </w:r>
          </w:p>
        </w:tc>
        <w:tc>
          <w:tcPr>
            <w:tcW w:w="1386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578D82C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874044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322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809DE0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356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3D98C9A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874044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874044" w:rsidRPr="00874044" w14:paraId="7FF2EBDC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142774E4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Abruzzo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8BC0407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1.536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FF35908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64,1%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5AB7599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7,8%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DCB6BC9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1,1%</w:t>
            </w:r>
          </w:p>
        </w:tc>
      </w:tr>
      <w:tr w:rsidR="00874044" w:rsidRPr="00874044" w14:paraId="41D776EF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254F6237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Basilicata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7177A53B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2.060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60AACB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69,2%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28FB747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11,0%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4E76E26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0,0%</w:t>
            </w:r>
          </w:p>
        </w:tc>
      </w:tr>
      <w:tr w:rsidR="00874044" w:rsidRPr="00874044" w14:paraId="65CEBE1D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01FA848C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Calabria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02BB9A8C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1.694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2249C5D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66,2%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18F92C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14,8%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BFE4CA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3,8%</w:t>
            </w:r>
          </w:p>
        </w:tc>
      </w:tr>
      <w:tr w:rsidR="00874044" w:rsidRPr="00874044" w14:paraId="5A56C822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47604D0E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Campania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478E8D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1.433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D89DA1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57,5%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C7FCD7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8,2%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DF926E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2,8%</w:t>
            </w:r>
          </w:p>
        </w:tc>
      </w:tr>
      <w:tr w:rsidR="00874044" w:rsidRPr="00874044" w14:paraId="4627C7ED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4E48943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Emilia Romagna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16A25D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638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039B317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61,2%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098765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8,2%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4009A2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2,9%</w:t>
            </w:r>
          </w:p>
        </w:tc>
      </w:tr>
      <w:tr w:rsidR="00874044" w:rsidRPr="00874044" w14:paraId="5EFD5669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F2DBA8B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Friuli Venezia Giulia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185A5278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672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C1A95B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91,5%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2ED87D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7,8%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D7FE83D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4,0%</w:t>
            </w:r>
          </w:p>
        </w:tc>
      </w:tr>
      <w:tr w:rsidR="00874044" w:rsidRPr="00874044" w14:paraId="6D7E294B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37E8DA6E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Lazio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B107118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2.182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0CF9C5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59,3%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7AD3108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8,2%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A3EFD09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5,1%</w:t>
            </w:r>
          </w:p>
        </w:tc>
      </w:tr>
      <w:tr w:rsidR="00874044" w:rsidRPr="00874044" w14:paraId="6A0C50E6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1C031916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Liguria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DE617C4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598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F2A8B9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61,7%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E396A48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9,5%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BAF2ADD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1,8%</w:t>
            </w:r>
          </w:p>
        </w:tc>
      </w:tr>
      <w:tr w:rsidR="00874044" w:rsidRPr="00874044" w14:paraId="54CF3487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58887FB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Lombardia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11D58EC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607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8D29BF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62,3%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2B542DE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6,1%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ED3221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0,9%</w:t>
            </w:r>
          </w:p>
        </w:tc>
      </w:tr>
      <w:tr w:rsidR="00874044" w:rsidRPr="00874044" w14:paraId="01264675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2C1F0206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Marche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C9D77F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247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01146FC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53,6%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1DCE0C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7,8%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1A7103B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1,7%</w:t>
            </w:r>
          </w:p>
        </w:tc>
      </w:tr>
      <w:tr w:rsidR="00874044" w:rsidRPr="00874044" w14:paraId="66250EC7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3469B1A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Molise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5D0122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607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A55A7F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53,6%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318A01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4,0%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2C18C0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5,1%</w:t>
            </w:r>
          </w:p>
        </w:tc>
      </w:tr>
      <w:tr w:rsidR="00874044" w:rsidRPr="00874044" w14:paraId="77117194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36B4D14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Piemonte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1CD09E6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720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201A17C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59,4%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39CDF39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3,6%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442C6AFE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1,1%</w:t>
            </w:r>
          </w:p>
        </w:tc>
      </w:tr>
      <w:tr w:rsidR="00874044" w:rsidRPr="00874044" w14:paraId="5E471A00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33F3CC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Prov. Aut. Bolzano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C0B0ABC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525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EA7BEE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33,7%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453F11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10,2%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354261D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2,0%</w:t>
            </w:r>
          </w:p>
        </w:tc>
      </w:tr>
      <w:tr w:rsidR="00874044" w:rsidRPr="00874044" w14:paraId="30A8C672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8BD485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Prov. Aut. Trento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08C2EDB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387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CEE62D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74,7%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4051F54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6,0%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33B2FE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0,0%</w:t>
            </w:r>
          </w:p>
        </w:tc>
      </w:tr>
      <w:tr w:rsidR="00874044" w:rsidRPr="00874044" w14:paraId="338D8063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5D1D8FB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Puglia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E7DFFA7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689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2C5AE2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51,8%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4B67A5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7,5%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77F23C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2,0%</w:t>
            </w:r>
          </w:p>
        </w:tc>
      </w:tr>
      <w:tr w:rsidR="00874044" w:rsidRPr="00874044" w14:paraId="259A4C7A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68314AE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Sardegna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DBD325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1.028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E406F3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61,2%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8F6B14B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6,4%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AFC8C2C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3,4%</w:t>
            </w:r>
          </w:p>
        </w:tc>
      </w:tr>
      <w:tr w:rsidR="00874044" w:rsidRPr="00874044" w14:paraId="224C6EF2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2B74ABA7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Sicilia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5E9FC8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1.172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C88F51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35,8%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D2E9851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17,2%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F96411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2,8%</w:t>
            </w:r>
          </w:p>
        </w:tc>
      </w:tr>
      <w:tr w:rsidR="00874044" w:rsidRPr="00874044" w14:paraId="655F41D5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948EDFD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Toscana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DDEE5F7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868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B29138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59,6%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1DE802D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5,4%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FE8144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2,1%</w:t>
            </w:r>
          </w:p>
        </w:tc>
      </w:tr>
      <w:tr w:rsidR="00874044" w:rsidRPr="00874044" w14:paraId="6041D957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126D784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Umbria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CAAE9F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1.035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3DF9EB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44,0%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4D8025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17,2%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DDD5CE6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1,2%</w:t>
            </w:r>
          </w:p>
        </w:tc>
      </w:tr>
      <w:tr w:rsidR="00874044" w:rsidRPr="00874044" w14:paraId="32D590B9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93BCD2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Valle D'Aosta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6391B64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434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7DCB23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31,3%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8AD5DCB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12,9%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DF3F39D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7,7%</w:t>
            </w:r>
          </w:p>
        </w:tc>
      </w:tr>
      <w:tr w:rsidR="00874044" w:rsidRPr="00874044" w14:paraId="6423B98B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461DD602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dr w:val="none" w:sz="0" w:space="0" w:color="auto"/>
              </w:rPr>
              <w:t>Veneto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1A7EB8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882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203B453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9C0006"/>
                <w:bdr w:val="none" w:sz="0" w:space="0" w:color="auto"/>
              </w:rPr>
              <w:t>81,2%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329878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4,7%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B4228CA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color w:val="006100"/>
                <w:bdr w:val="none" w:sz="0" w:space="0" w:color="auto"/>
              </w:rPr>
              <w:t>1,2%</w:t>
            </w:r>
          </w:p>
        </w:tc>
      </w:tr>
      <w:tr w:rsidR="00874044" w:rsidRPr="00874044" w14:paraId="72A01CF9" w14:textId="77777777" w:rsidTr="0087404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bottom"/>
            <w:hideMark/>
          </w:tcPr>
          <w:p w14:paraId="4991EEE0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7E85D7F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  <w:t>1.013</w:t>
            </w:r>
          </w:p>
        </w:tc>
        <w:tc>
          <w:tcPr>
            <w:tcW w:w="138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FBC3C8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9C0006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9C0006"/>
                <w:bdr w:val="none" w:sz="0" w:space="0" w:color="auto"/>
              </w:rPr>
              <w:t>58,9%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36C1B9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  <w:t>7,5%</w:t>
            </w:r>
          </w:p>
        </w:tc>
        <w:tc>
          <w:tcPr>
            <w:tcW w:w="235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56AF0AF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</w:pPr>
            <w:r w:rsidRPr="00874044"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  <w:t>2,2%</w:t>
            </w:r>
          </w:p>
        </w:tc>
      </w:tr>
      <w:tr w:rsidR="00874044" w:rsidRPr="00874044" w14:paraId="57A87356" w14:textId="77777777" w:rsidTr="00874044">
        <w:trPr>
          <w:trHeight w:val="1710"/>
        </w:trPr>
        <w:tc>
          <w:tcPr>
            <w:tcW w:w="9887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03846D87" w14:textId="77777777" w:rsidR="00874044" w:rsidRPr="00D44AA7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D44AA7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Note:</w:t>
            </w:r>
          </w:p>
          <w:p w14:paraId="0A6A8B45" w14:textId="77777777" w:rsidR="00874044" w:rsidRPr="00D44AA7" w:rsidRDefault="00874044" w:rsidP="00874044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D44AA7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I dati della Regione Sicilia </w:t>
            </w:r>
            <w:r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e della Regione Friuli-Venezia Giulia </w:t>
            </w:r>
            <w:r w:rsidRPr="00D44AA7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risentono di ricalcoli avvenuti nell’ultima settimana.</w:t>
            </w:r>
          </w:p>
          <w:p w14:paraId="346D8486" w14:textId="77777777" w:rsidR="00874044" w:rsidRPr="00D44AA7" w:rsidRDefault="00874044" w:rsidP="00874044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D44AA7">
              <w:rPr>
                <w:rFonts w:eastAsia="Times New Roman" w:cs="Calibri"/>
                <w:sz w:val="20"/>
                <w:szCs w:val="20"/>
              </w:rPr>
              <w:t>A seguito di comunicazione ricevuta dalla Regione Basilicata si segnala che il numero dei casi attualmente positivi della Regione Basilicata è in corso di revisione da parte della stessa.</w:t>
            </w:r>
          </w:p>
          <w:p w14:paraId="6881D3D5" w14:textId="77777777" w:rsidR="00874044" w:rsidRPr="00874044" w:rsidRDefault="00874044" w:rsidP="00874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</w:t>
            </w:r>
            <w:r w:rsidRPr="004D2B35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ella prima colonna i colori rosso, verde e giallo indicano rispettivamente una performance regionale in peggioramento, in miglioramento o stabile, rispetto alla settimana precedente.</w:t>
            </w:r>
            <w:r w:rsidRPr="004D2B35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4D2B35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Nelle ultime 2 colonne i colori rosso e verde indicano rispettivamente un valore superiore o inferiore rispetto alla media nazionale (dati Agenas).</w:t>
            </w:r>
          </w:p>
        </w:tc>
      </w:tr>
    </w:tbl>
    <w:p w14:paraId="745D85BA" w14:textId="77777777" w:rsidR="004D16FF" w:rsidRPr="00D44AA7" w:rsidRDefault="004D16FF" w:rsidP="004D16FF">
      <w:pPr>
        <w:spacing w:after="0" w:line="240" w:lineRule="auto"/>
      </w:pPr>
      <w:r w:rsidRPr="00D44AA7">
        <w:br w:type="page"/>
      </w:r>
    </w:p>
    <w:p w14:paraId="42E02875" w14:textId="77777777" w:rsidR="004D16FF" w:rsidRPr="00D44AA7" w:rsidRDefault="004D16FF" w:rsidP="008955B7">
      <w:pPr>
        <w:spacing w:after="8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Tabella 2. Nuovi casi nell’ultima se</w:t>
      </w:r>
      <w:r w:rsidR="008955B7" w:rsidRPr="00D44AA7">
        <w:rPr>
          <w:b/>
          <w:bCs/>
          <w:color w:val="00457D"/>
          <w:sz w:val="24"/>
          <w:szCs w:val="24"/>
          <w:u w:color="00457D"/>
        </w:rPr>
        <w:t>ttimana suddivisi per provincia</w:t>
      </w:r>
    </w:p>
    <w:tbl>
      <w:tblPr>
        <w:tblStyle w:val="TableNormal"/>
        <w:tblW w:w="80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2000"/>
        <w:gridCol w:w="2248"/>
        <w:gridCol w:w="2100"/>
        <w:gridCol w:w="1727"/>
      </w:tblGrid>
      <w:tr w:rsidR="00745BD1" w:rsidRPr="00D44AA7" w14:paraId="72F781B1" w14:textId="77777777" w:rsidTr="004150D5">
        <w:trPr>
          <w:trHeight w:val="481"/>
          <w:tblHeader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CDBF5" w14:textId="77777777" w:rsidR="00745BD1" w:rsidRPr="00D44AA7" w:rsidRDefault="00745BD1" w:rsidP="00775550">
            <w:pPr>
              <w:spacing w:after="0" w:line="240" w:lineRule="auto"/>
              <w:rPr>
                <w:rFonts w:cs="Calibri"/>
                <w:szCs w:val="20"/>
              </w:rPr>
            </w:pPr>
            <w:r w:rsidRPr="00D44AA7">
              <w:rPr>
                <w:rFonts w:cs="Calibri"/>
                <w:b/>
                <w:bCs/>
                <w:color w:val="FFFFFF"/>
                <w:szCs w:val="20"/>
                <w:u w:color="FFFFFF"/>
              </w:rPr>
              <w:t>Regione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F1C78" w14:textId="77777777" w:rsidR="00745BD1" w:rsidRPr="00D44AA7" w:rsidRDefault="00745BD1" w:rsidP="00775550">
            <w:pPr>
              <w:spacing w:after="0" w:line="240" w:lineRule="auto"/>
              <w:rPr>
                <w:rFonts w:cs="Calibri"/>
                <w:szCs w:val="20"/>
              </w:rPr>
            </w:pPr>
            <w:r w:rsidRPr="00D44AA7">
              <w:rPr>
                <w:rFonts w:cs="Calibri"/>
                <w:b/>
                <w:bCs/>
                <w:color w:val="FFFFFF"/>
                <w:szCs w:val="20"/>
                <w:u w:color="FFFFFF"/>
              </w:rPr>
              <w:t>Provincia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418F6" w14:textId="77777777" w:rsidR="00745BD1" w:rsidRPr="00D44AA7" w:rsidRDefault="00745BD1" w:rsidP="001E4ABD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D44AA7">
              <w:rPr>
                <w:rFonts w:cs="Calibri"/>
                <w:b/>
                <w:bCs/>
                <w:color w:val="FFFFFF"/>
                <w:szCs w:val="20"/>
                <w:u w:color="FFFFFF"/>
              </w:rPr>
              <w:t xml:space="preserve">Nuovi casi per </w:t>
            </w:r>
            <w:r w:rsidR="00936C2E" w:rsidRPr="00D44AA7">
              <w:rPr>
                <w:rFonts w:cs="Calibri"/>
                <w:b/>
                <w:bCs/>
                <w:color w:val="FFFFFF"/>
                <w:szCs w:val="20"/>
                <w:u w:color="FFFFFF"/>
              </w:rPr>
              <w:br/>
            </w:r>
            <w:r w:rsidRPr="00D44AA7">
              <w:rPr>
                <w:rFonts w:cs="Calibri"/>
                <w:b/>
                <w:bCs/>
                <w:color w:val="FFFFFF"/>
                <w:szCs w:val="20"/>
                <w:u w:color="FFFFFF"/>
              </w:rPr>
              <w:t xml:space="preserve">100.000 abitanti </w:t>
            </w:r>
            <w:r w:rsidRPr="00D44AA7">
              <w:rPr>
                <w:rFonts w:cs="Calibri"/>
                <w:b/>
                <w:bCs/>
                <w:color w:val="FFFFFF"/>
                <w:szCs w:val="20"/>
                <w:u w:color="FFFFFF"/>
              </w:rPr>
              <w:br/>
            </w:r>
            <w:r w:rsidR="001E4ABD">
              <w:rPr>
                <w:rFonts w:cs="Calibri"/>
                <w:b/>
                <w:bCs/>
                <w:color w:val="FFFFFF"/>
                <w:szCs w:val="20"/>
                <w:u w:color="FFFFFF"/>
              </w:rPr>
              <w:t>15</w:t>
            </w:r>
            <w:r w:rsidR="004D2B35">
              <w:rPr>
                <w:rFonts w:cs="Calibri"/>
                <w:b/>
                <w:bCs/>
                <w:color w:val="FFFFFF"/>
                <w:szCs w:val="20"/>
                <w:u w:color="FFFFFF"/>
              </w:rPr>
              <w:t>-</w:t>
            </w:r>
            <w:r w:rsidR="001E4ABD">
              <w:rPr>
                <w:rFonts w:cs="Calibri"/>
                <w:b/>
                <w:bCs/>
                <w:color w:val="FFFFFF"/>
                <w:szCs w:val="20"/>
                <w:u w:color="FFFFFF"/>
              </w:rPr>
              <w:t>2</w:t>
            </w:r>
            <w:r w:rsidR="004D2B35">
              <w:rPr>
                <w:rFonts w:cs="Calibri"/>
                <w:b/>
                <w:bCs/>
                <w:color w:val="FFFFFF"/>
                <w:szCs w:val="20"/>
                <w:u w:color="FFFFFF"/>
              </w:rPr>
              <w:t>1</w:t>
            </w:r>
            <w:r w:rsidR="001857E7">
              <w:rPr>
                <w:rFonts w:cs="Calibri"/>
                <w:b/>
                <w:bCs/>
                <w:color w:val="FFFFFF"/>
                <w:szCs w:val="20"/>
                <w:u w:color="FFFFFF"/>
              </w:rPr>
              <w:t xml:space="preserve"> giugno</w:t>
            </w:r>
            <w:r w:rsidRPr="00D44AA7">
              <w:rPr>
                <w:rFonts w:cs="Calibri"/>
                <w:b/>
                <w:bCs/>
                <w:color w:val="FFFFFF"/>
                <w:szCs w:val="20"/>
                <w:u w:color="FFFFFF"/>
              </w:rPr>
              <w:t xml:space="preserve"> 2022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18FE6864" w14:textId="77777777" w:rsidR="00745BD1" w:rsidRPr="00D44AA7" w:rsidRDefault="00745BD1" w:rsidP="006013F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u w:color="FFFFFF"/>
              </w:rPr>
            </w:pPr>
            <w:r w:rsidRPr="00D44AA7">
              <w:rPr>
                <w:rFonts w:cs="Calibri"/>
                <w:b/>
                <w:bCs/>
                <w:color w:val="FFFFFF"/>
                <w:szCs w:val="20"/>
                <w:u w:color="FFFFFF"/>
              </w:rPr>
              <w:t>Variazione % nuovi casi</w:t>
            </w:r>
          </w:p>
        </w:tc>
      </w:tr>
      <w:tr w:rsidR="001E4ABD" w:rsidRPr="004D2B35" w14:paraId="1FC846C6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375A7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Abruzzo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954D5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L'Aquila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C49D22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493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5CCE05F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79,7%</w:t>
            </w:r>
          </w:p>
        </w:tc>
      </w:tr>
      <w:tr w:rsidR="001E4ABD" w:rsidRPr="004D2B35" w14:paraId="365FA8BC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4FDE7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Abruzzo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1742F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Pescara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70EA9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486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1E4ECD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78,8%</w:t>
            </w:r>
          </w:p>
        </w:tc>
      </w:tr>
      <w:tr w:rsidR="001E4ABD" w:rsidRPr="004D2B35" w14:paraId="0D457CDB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D914F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Abruzzo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05BA9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Chieti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D5216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435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A6F5CB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47,5%</w:t>
            </w:r>
          </w:p>
        </w:tc>
      </w:tr>
      <w:tr w:rsidR="001E4ABD" w:rsidRPr="004D2B35" w14:paraId="0E6492E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D387E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Abruzzo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1127B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Teramo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2D9B47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408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8AAE01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60,4%</w:t>
            </w:r>
          </w:p>
        </w:tc>
      </w:tr>
      <w:tr w:rsidR="001E4ABD" w:rsidRPr="004D2B35" w14:paraId="6404AC2B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645DA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Basilicata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693F7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Potenza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B548E4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387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1BA52BC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76,2%</w:t>
            </w:r>
          </w:p>
        </w:tc>
      </w:tr>
      <w:tr w:rsidR="001E4ABD" w:rsidRPr="004D2B35" w14:paraId="0E3B1491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4DDE7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Basilicata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5C5AD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Matera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15BB42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338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6BD7B96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58,6%</w:t>
            </w:r>
          </w:p>
        </w:tc>
      </w:tr>
      <w:tr w:rsidR="001E4ABD" w:rsidRPr="004D2B35" w14:paraId="4516932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90C7C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Calabria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4E0E7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Catanzaro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8DC2E5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389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E7AB8F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39,0%</w:t>
            </w:r>
          </w:p>
        </w:tc>
      </w:tr>
      <w:tr w:rsidR="001E4ABD" w:rsidRPr="004D2B35" w14:paraId="2C9E2EF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190F1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Calabria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640AB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Reggio di Calabria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FB0A63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350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3CA229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131,7%</w:t>
            </w:r>
          </w:p>
        </w:tc>
      </w:tr>
      <w:tr w:rsidR="001E4ABD" w:rsidRPr="004D2B35" w14:paraId="1984A1B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7D5D9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Calabria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7BBD0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Cosenza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105DBC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349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7E8D01C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70,9%</w:t>
            </w:r>
          </w:p>
        </w:tc>
      </w:tr>
      <w:tr w:rsidR="001E4ABD" w:rsidRPr="004D2B35" w14:paraId="2B1874AC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3C66F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Calabria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45B1E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Crotone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C76F12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218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1FCD23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5,6%</w:t>
            </w:r>
          </w:p>
        </w:tc>
      </w:tr>
      <w:tr w:rsidR="001E4ABD" w:rsidRPr="004D2B35" w14:paraId="1E248D89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40C04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Calabria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1D3CC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Vibo Valentia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B2A2F2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99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721FE4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006100"/>
              </w:rPr>
              <w:t>-10,2%</w:t>
            </w:r>
          </w:p>
        </w:tc>
      </w:tr>
      <w:tr w:rsidR="001E4ABD" w:rsidRPr="004D2B35" w14:paraId="1D09C16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568CE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Campania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681C0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Napoli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076B71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436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AB1AB6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61,4%</w:t>
            </w:r>
          </w:p>
        </w:tc>
      </w:tr>
      <w:tr w:rsidR="001E4ABD" w:rsidRPr="004D2B35" w14:paraId="51D8F4C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4E23C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Campania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BE5C9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Salerno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F2A62F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427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6DE1BAF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50,4%</w:t>
            </w:r>
          </w:p>
        </w:tc>
      </w:tr>
      <w:tr w:rsidR="001E4ABD" w:rsidRPr="004D2B35" w14:paraId="01557138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330E8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Campania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BFEB5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Caserta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B3395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360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FABEAA3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58,2%</w:t>
            </w:r>
          </w:p>
        </w:tc>
      </w:tr>
      <w:tr w:rsidR="001E4ABD" w:rsidRPr="004D2B35" w14:paraId="754D157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E52A8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Campania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9CD42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Avellino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82FAE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357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5E09F53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51,6%</w:t>
            </w:r>
          </w:p>
        </w:tc>
      </w:tr>
      <w:tr w:rsidR="001E4ABD" w:rsidRPr="004D2B35" w14:paraId="564F5CC8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3D0F5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Campania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82040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Benevento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E1335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241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E7B96A7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42,9%</w:t>
            </w:r>
          </w:p>
        </w:tc>
      </w:tr>
      <w:tr w:rsidR="001E4ABD" w:rsidRPr="004D2B35" w14:paraId="4B69E882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A755E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96377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Rimini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DA6F7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583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EF36B5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101,5%</w:t>
            </w:r>
          </w:p>
        </w:tc>
      </w:tr>
      <w:tr w:rsidR="001E4ABD" w:rsidRPr="004D2B35" w14:paraId="1F79750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099F6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3482D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Forlì-Cesena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8C3ED6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570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D534B3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86,0%</w:t>
            </w:r>
          </w:p>
        </w:tc>
      </w:tr>
      <w:tr w:rsidR="001E4ABD" w:rsidRPr="004D2B35" w14:paraId="6A2AE0B6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8AF3D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B973B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Ravenna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983F6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555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6C5B7DA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54,0%</w:t>
            </w:r>
          </w:p>
        </w:tc>
      </w:tr>
      <w:tr w:rsidR="001E4ABD" w:rsidRPr="004D2B35" w14:paraId="53565A72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FBA10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5C52A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Bologna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DB4F06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502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5734CCF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59,1%</w:t>
            </w:r>
          </w:p>
        </w:tc>
      </w:tr>
      <w:tr w:rsidR="001E4ABD" w:rsidRPr="004D2B35" w14:paraId="2BCF84F6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D8989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619B4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Ferrara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8F2A97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397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861D25A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46,5%</w:t>
            </w:r>
          </w:p>
        </w:tc>
      </w:tr>
      <w:tr w:rsidR="001E4ABD" w:rsidRPr="004D2B35" w14:paraId="39960244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2CA90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5D85A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Reggio nell'Emilia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DE1BA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383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4D7E5C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74,8%</w:t>
            </w:r>
          </w:p>
        </w:tc>
      </w:tr>
      <w:tr w:rsidR="001E4ABD" w:rsidRPr="004D2B35" w14:paraId="50B63BC4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E1CCC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7A0BF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Parma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28FCFD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368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B7E209F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34,8%</w:t>
            </w:r>
          </w:p>
        </w:tc>
      </w:tr>
      <w:tr w:rsidR="001E4ABD" w:rsidRPr="004D2B35" w14:paraId="6EFF1AE1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1FBD6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B1BAD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Modena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587F6C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366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51D457A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55,3%</w:t>
            </w:r>
          </w:p>
        </w:tc>
      </w:tr>
      <w:tr w:rsidR="001E4ABD" w:rsidRPr="004D2B35" w14:paraId="1D3A60AF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B7277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Emilia Romagna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71F8A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Piacenza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5C8172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240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6DED266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37,3%</w:t>
            </w:r>
          </w:p>
        </w:tc>
      </w:tr>
      <w:tr w:rsidR="001E4ABD" w:rsidRPr="004D2B35" w14:paraId="63F73734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9BD3F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Friuli Venezia Giulia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1EB17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Udine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8C3305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526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D8E379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104,3%</w:t>
            </w:r>
          </w:p>
        </w:tc>
      </w:tr>
      <w:tr w:rsidR="001E4ABD" w:rsidRPr="004D2B35" w14:paraId="77B8AAD2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0DAB3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Friuli Venezia Giulia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6D66D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Pordenone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0E4EF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481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4F86146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86,4%</w:t>
            </w:r>
          </w:p>
        </w:tc>
      </w:tr>
      <w:tr w:rsidR="001E4ABD" w:rsidRPr="004D2B35" w14:paraId="33015839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7E25D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Friuli Venezia Giulia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7D693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Gorizia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3A35D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385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E30D8F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114,0%</w:t>
            </w:r>
          </w:p>
        </w:tc>
      </w:tr>
      <w:tr w:rsidR="001E4ABD" w:rsidRPr="004D2B35" w14:paraId="584D6D92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A2555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Friuli Venezia Giulia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B144F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Trieste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AEDD4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373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56C56DE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55,7%</w:t>
            </w:r>
          </w:p>
        </w:tc>
      </w:tr>
      <w:tr w:rsidR="001E4ABD" w:rsidRPr="004D2B35" w14:paraId="0893AEB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715BA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Lazio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D6A2F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Roma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368A29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635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85F3C2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58,0%</w:t>
            </w:r>
          </w:p>
        </w:tc>
      </w:tr>
      <w:tr w:rsidR="001E4ABD" w:rsidRPr="004D2B35" w14:paraId="19730D0C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A2505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Lazio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F0D36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Latina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E9E571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465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E13D22E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58,8%</w:t>
            </w:r>
          </w:p>
        </w:tc>
      </w:tr>
      <w:tr w:rsidR="001E4ABD" w:rsidRPr="004D2B35" w14:paraId="6A3683D1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8532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Lazio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2A2E0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Frosinone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345A99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435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D845ED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89,9%</w:t>
            </w:r>
          </w:p>
        </w:tc>
      </w:tr>
      <w:tr w:rsidR="001E4ABD" w:rsidRPr="004D2B35" w14:paraId="57C02CF6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6BC77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Lazio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D0C2B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Rieti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CB3BE1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391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7C4E633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60,2%</w:t>
            </w:r>
          </w:p>
        </w:tc>
      </w:tr>
      <w:tr w:rsidR="001E4ABD" w:rsidRPr="004D2B35" w14:paraId="7F98475C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89ABB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Lazio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8D56D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Viterbo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4A056D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322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DBEE65C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43,4%</w:t>
            </w:r>
          </w:p>
        </w:tc>
      </w:tr>
      <w:tr w:rsidR="001E4ABD" w:rsidRPr="004D2B35" w14:paraId="311C2DA3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F6A2D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Liguria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D2B74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La Spezia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CED59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474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AE5132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53,4%</w:t>
            </w:r>
          </w:p>
        </w:tc>
      </w:tr>
      <w:tr w:rsidR="001E4ABD" w:rsidRPr="004D2B35" w14:paraId="12256EC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0F8CB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Liguria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966C1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Genova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BED613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456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12777A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75,2%</w:t>
            </w:r>
          </w:p>
        </w:tc>
      </w:tr>
      <w:tr w:rsidR="001E4ABD" w:rsidRPr="004D2B35" w14:paraId="07B427C1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18662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Liguria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1371B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Savona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FE058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249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02788B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46,4%</w:t>
            </w:r>
          </w:p>
        </w:tc>
      </w:tr>
      <w:tr w:rsidR="001E4ABD" w:rsidRPr="004D2B35" w14:paraId="4691050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65B9B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Liguria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93200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Imperia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3F923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236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6D9A4B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25,7%</w:t>
            </w:r>
          </w:p>
        </w:tc>
      </w:tr>
      <w:tr w:rsidR="001E4ABD" w:rsidRPr="004D2B35" w14:paraId="7B37439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7AC3B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lastRenderedPageBreak/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B446F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Milano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1222C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431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9CD11F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73,2%</w:t>
            </w:r>
          </w:p>
        </w:tc>
      </w:tr>
      <w:tr w:rsidR="001E4ABD" w:rsidRPr="004D2B35" w14:paraId="4DC7C0A8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28E94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8AE2B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Monza e della Brianza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29A6EE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413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DF5E7BB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58,3%</w:t>
            </w:r>
          </w:p>
        </w:tc>
      </w:tr>
      <w:tr w:rsidR="001E4ABD" w:rsidRPr="004D2B35" w14:paraId="0655463E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36D11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FF191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Lecco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729619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386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FF5088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74,2%</w:t>
            </w:r>
          </w:p>
        </w:tc>
      </w:tr>
      <w:tr w:rsidR="001E4ABD" w:rsidRPr="004D2B35" w14:paraId="466DE7C9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745D2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26E74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Como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837285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355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3CD4F7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65,9%</w:t>
            </w:r>
          </w:p>
        </w:tc>
      </w:tr>
      <w:tr w:rsidR="001E4ABD" w:rsidRPr="004D2B35" w14:paraId="519CAC81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61F14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71C97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Pavia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49EB0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353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3CAAEB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58,5%</w:t>
            </w:r>
          </w:p>
        </w:tc>
      </w:tr>
      <w:tr w:rsidR="001E4ABD" w:rsidRPr="004D2B35" w14:paraId="056C7486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92BE1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940B9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Mantova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8C99E4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344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0F86CA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87,4%</w:t>
            </w:r>
          </w:p>
        </w:tc>
      </w:tr>
      <w:tr w:rsidR="001E4ABD" w:rsidRPr="004D2B35" w14:paraId="5DB5B47C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BEDAE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E169F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Varese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AA5D6D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306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CF09BE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55,9%</w:t>
            </w:r>
          </w:p>
        </w:tc>
      </w:tr>
      <w:tr w:rsidR="001E4ABD" w:rsidRPr="004D2B35" w14:paraId="5E6E863B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D9D9A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7ED48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Brescia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AAF243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302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B1CE44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44,0%</w:t>
            </w:r>
          </w:p>
        </w:tc>
      </w:tr>
      <w:tr w:rsidR="001E4ABD" w:rsidRPr="004D2B35" w14:paraId="73F7F84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206AB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AB9E5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Lodi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E5521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296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D8BB6F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73,0%</w:t>
            </w:r>
          </w:p>
        </w:tc>
      </w:tr>
      <w:tr w:rsidR="001E4ABD" w:rsidRPr="004D2B35" w14:paraId="17A9EEC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FD8D8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2A0DC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Sondrio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5FD141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284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AEB806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90,6%</w:t>
            </w:r>
          </w:p>
        </w:tc>
      </w:tr>
      <w:tr w:rsidR="001E4ABD" w:rsidRPr="004D2B35" w14:paraId="0EE1830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3AD9D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C486E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Cremona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78AFA0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273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3F66731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52,0%</w:t>
            </w:r>
          </w:p>
        </w:tc>
      </w:tr>
      <w:tr w:rsidR="001E4ABD" w:rsidRPr="004D2B35" w14:paraId="246370B9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6BFD7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Lombardia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E8270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Bergamo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2E458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197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82E544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47,0%</w:t>
            </w:r>
          </w:p>
        </w:tc>
      </w:tr>
      <w:tr w:rsidR="001E4ABD" w:rsidRPr="004D2B35" w14:paraId="4F53D24B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E82FB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Marche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7B566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Ancona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AE5582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378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8131686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55,8%</w:t>
            </w:r>
          </w:p>
        </w:tc>
      </w:tr>
      <w:tr w:rsidR="001E4ABD" w:rsidRPr="004D2B35" w14:paraId="7B561EE0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B7694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Marche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4DAC9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Ascoli Piceno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E21B3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368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33B7721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45,5%</w:t>
            </w:r>
          </w:p>
        </w:tc>
      </w:tr>
      <w:tr w:rsidR="001E4ABD" w:rsidRPr="004D2B35" w14:paraId="7CA22C70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EB7B2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Marche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E1344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Macerata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A06EB4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366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0C3A51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62,2%</w:t>
            </w:r>
          </w:p>
        </w:tc>
      </w:tr>
      <w:tr w:rsidR="001E4ABD" w:rsidRPr="004D2B35" w14:paraId="66998EA6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8FBBE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Marche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28401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Fermo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2FB4F5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358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93DE57B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52,1%</w:t>
            </w:r>
          </w:p>
        </w:tc>
      </w:tr>
      <w:tr w:rsidR="001E4ABD" w:rsidRPr="004D2B35" w14:paraId="6E6F516A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0276E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Marche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978A4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Pesaro e Urbino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9FA466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298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472AD4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43,9%</w:t>
            </w:r>
          </w:p>
        </w:tc>
      </w:tr>
      <w:tr w:rsidR="001E4ABD" w:rsidRPr="004D2B35" w14:paraId="46C7DFC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9345D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Molise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EA5BF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Campobasso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D5C714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407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043094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56,8%</w:t>
            </w:r>
          </w:p>
        </w:tc>
      </w:tr>
      <w:tr w:rsidR="001E4ABD" w:rsidRPr="004D2B35" w14:paraId="63469B5E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E0C03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Molise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3ADF8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Isernia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9E77C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254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066653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40,8%</w:t>
            </w:r>
          </w:p>
        </w:tc>
      </w:tr>
      <w:tr w:rsidR="001E4ABD" w:rsidRPr="004D2B35" w14:paraId="07A77E8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C3468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P.A. Bolzano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76948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Bolzano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2C9179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381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4D5C306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31,8%</w:t>
            </w:r>
          </w:p>
        </w:tc>
      </w:tr>
      <w:tr w:rsidR="001E4ABD" w:rsidRPr="004D2B35" w14:paraId="7633DA18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AD76C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P.A. Trento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B28E8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Trento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13A464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304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196833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74,7%</w:t>
            </w:r>
          </w:p>
        </w:tc>
      </w:tr>
      <w:tr w:rsidR="001E4ABD" w:rsidRPr="004D2B35" w14:paraId="3E7C5A3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42CF1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Piemonte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108A3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Torino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9425EC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312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37F877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59,0%</w:t>
            </w:r>
          </w:p>
        </w:tc>
      </w:tr>
      <w:tr w:rsidR="001E4ABD" w:rsidRPr="004D2B35" w14:paraId="22CD2A5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9E9B9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Piemonte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C4E4D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Vercelli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8C3A9D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306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0B17473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64,0%</w:t>
            </w:r>
          </w:p>
        </w:tc>
      </w:tr>
      <w:tr w:rsidR="001E4ABD" w:rsidRPr="004D2B35" w14:paraId="6191035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DDCE7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Piemonte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460E3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Verbano-Cusio-Ossola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9CE253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301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6A34B6B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57,4%</w:t>
            </w:r>
          </w:p>
        </w:tc>
      </w:tr>
      <w:tr w:rsidR="001E4ABD" w:rsidRPr="004D2B35" w14:paraId="5B65F963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3AE92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Piemonte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0FDD0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Biella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A03209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286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1AC55D7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43,1%</w:t>
            </w:r>
          </w:p>
        </w:tc>
      </w:tr>
      <w:tr w:rsidR="001E4ABD" w:rsidRPr="004D2B35" w14:paraId="2C447B0A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1D347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Piemonte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72897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Novara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10FBD6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264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9A3DE0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61,0%</w:t>
            </w:r>
          </w:p>
        </w:tc>
      </w:tr>
      <w:tr w:rsidR="001E4ABD" w:rsidRPr="004D2B35" w14:paraId="63DBBF5B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30FF1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Piemonte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B78BC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Alessandria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7AD48C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254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338C49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71,2%</w:t>
            </w:r>
          </w:p>
        </w:tc>
      </w:tr>
      <w:tr w:rsidR="001E4ABD" w:rsidRPr="004D2B35" w14:paraId="0B20B24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48FDE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Piemonte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40188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Cuneo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F89AB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210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054AA93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61,9%</w:t>
            </w:r>
          </w:p>
        </w:tc>
      </w:tr>
      <w:tr w:rsidR="001E4ABD" w:rsidRPr="004D2B35" w14:paraId="078723A9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63A93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Piemonte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5FFDB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Asti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947786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156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DBA1A14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38,1%</w:t>
            </w:r>
          </w:p>
        </w:tc>
      </w:tr>
      <w:tr w:rsidR="001E4ABD" w:rsidRPr="004D2B35" w14:paraId="68F0EBB4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6FB09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Puglia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D5ACA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Foggia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4CD86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503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C16FCE7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49,8%</w:t>
            </w:r>
          </w:p>
        </w:tc>
      </w:tr>
      <w:tr w:rsidR="001E4ABD" w:rsidRPr="004D2B35" w14:paraId="0AE3E283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8F44A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Puglia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49F34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Barletta-Andria-Trani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074D4D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449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F2D60B4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71,6%</w:t>
            </w:r>
          </w:p>
        </w:tc>
      </w:tr>
      <w:tr w:rsidR="001E4ABD" w:rsidRPr="004D2B35" w14:paraId="7832CF53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757EA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Puglia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8895F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Bari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ED577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404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B41D91C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40,5%</w:t>
            </w:r>
          </w:p>
        </w:tc>
      </w:tr>
      <w:tr w:rsidR="001E4ABD" w:rsidRPr="004D2B35" w14:paraId="7D116B5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48A04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Puglia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39D13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Lecce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1AC88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398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48C7FD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54,9%</w:t>
            </w:r>
          </w:p>
        </w:tc>
      </w:tr>
      <w:tr w:rsidR="001E4ABD" w:rsidRPr="004D2B35" w14:paraId="09A96F20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4FDBB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Puglia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AC158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Brindisi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C1C78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333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B10AC2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78,3%</w:t>
            </w:r>
          </w:p>
        </w:tc>
      </w:tr>
      <w:tr w:rsidR="001E4ABD" w:rsidRPr="004D2B35" w14:paraId="1742228E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18C40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Puglia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24996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Taranto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1EF1D7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298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630BFFE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48,7%</w:t>
            </w:r>
          </w:p>
        </w:tc>
      </w:tr>
      <w:tr w:rsidR="001E4ABD" w:rsidRPr="004D2B35" w14:paraId="3A3031FF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346CA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Sardegna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398FB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Cagliari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4C71FF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934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FBE14C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75,7%</w:t>
            </w:r>
          </w:p>
        </w:tc>
      </w:tr>
      <w:tr w:rsidR="001E4ABD" w:rsidRPr="004D2B35" w14:paraId="6D93A5FA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FAC87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Sardegna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EA873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Sud Sardegna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51B24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705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931263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42,6%</w:t>
            </w:r>
          </w:p>
        </w:tc>
      </w:tr>
      <w:tr w:rsidR="001E4ABD" w:rsidRPr="004D2B35" w14:paraId="08606BB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53693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Sardegna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F87DD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Oristano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0125B5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486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D1060DA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18,2%</w:t>
            </w:r>
          </w:p>
        </w:tc>
      </w:tr>
      <w:tr w:rsidR="001E4ABD" w:rsidRPr="004D2B35" w14:paraId="660710A9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10B06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Sardegna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4D563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Sassari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F11EF9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380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B3E09B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93,8%</w:t>
            </w:r>
          </w:p>
        </w:tc>
      </w:tr>
      <w:tr w:rsidR="001E4ABD" w:rsidRPr="004D2B35" w14:paraId="6A7A5213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170E2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lastRenderedPageBreak/>
              <w:t>Sardegna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75B3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Nuoro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C42846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350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649DB9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50,3%</w:t>
            </w:r>
          </w:p>
        </w:tc>
      </w:tr>
      <w:tr w:rsidR="001E4ABD" w:rsidRPr="004D2B35" w14:paraId="7898884E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AB866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50260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Ragusa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CF2007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607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A0C6556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48,0%</w:t>
            </w:r>
          </w:p>
        </w:tc>
      </w:tr>
      <w:tr w:rsidR="001E4ABD" w:rsidRPr="004D2B35" w14:paraId="1666C3B4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B2000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B8421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Palermo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CC70FC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602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E1713FE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47,1%</w:t>
            </w:r>
          </w:p>
        </w:tc>
      </w:tr>
      <w:tr w:rsidR="001E4ABD" w:rsidRPr="004D2B35" w14:paraId="5FB931F2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6E99D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0FE76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Catania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2E2E37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583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8AFEA3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32,7%</w:t>
            </w:r>
          </w:p>
        </w:tc>
      </w:tr>
      <w:tr w:rsidR="001E4ABD" w:rsidRPr="004D2B35" w14:paraId="5A0B3C4B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DF55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790D8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Siracusa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09ADFF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579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964C5F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30,3%</w:t>
            </w:r>
          </w:p>
        </w:tc>
      </w:tr>
      <w:tr w:rsidR="001E4ABD" w:rsidRPr="004D2B35" w14:paraId="70E3FFBA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14DF7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CE9AD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Messina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183C8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445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8D7910A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33,8%</w:t>
            </w:r>
          </w:p>
        </w:tc>
      </w:tr>
      <w:tr w:rsidR="001E4ABD" w:rsidRPr="004D2B35" w14:paraId="6EC7B35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D66D4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2ABCB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Agrigento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96B1C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361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82F6F26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41,4%</w:t>
            </w:r>
          </w:p>
        </w:tc>
      </w:tr>
      <w:tr w:rsidR="001E4ABD" w:rsidRPr="004D2B35" w14:paraId="646F99E0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37BC5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42189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Trapani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B767B2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307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4121300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28,0%</w:t>
            </w:r>
          </w:p>
        </w:tc>
      </w:tr>
      <w:tr w:rsidR="001E4ABD" w:rsidRPr="004D2B35" w14:paraId="03D978C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6F0D07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53998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Caltanissetta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360E5C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307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DD1C75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006100"/>
              </w:rPr>
              <w:t>-2,6%</w:t>
            </w:r>
          </w:p>
        </w:tc>
      </w:tr>
      <w:tr w:rsidR="001E4ABD" w:rsidRPr="004D2B35" w14:paraId="7B46EFCE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FB1CC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Sicilia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8C81E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Enna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0FCF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304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CD5A5D1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9,6%</w:t>
            </w:r>
          </w:p>
        </w:tc>
      </w:tr>
      <w:tr w:rsidR="001E4ABD" w:rsidRPr="004D2B35" w14:paraId="4DBEA0D6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6AAA7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1AA88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Pisa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BFB195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474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00C950C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45,5%</w:t>
            </w:r>
          </w:p>
        </w:tc>
      </w:tr>
      <w:tr w:rsidR="001E4ABD" w:rsidRPr="004D2B35" w14:paraId="7C68031E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2D036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E8D2E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Livorno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EF8FC7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405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16BB76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52,6%</w:t>
            </w:r>
          </w:p>
        </w:tc>
      </w:tr>
      <w:tr w:rsidR="001E4ABD" w:rsidRPr="004D2B35" w14:paraId="2EDAB4E4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4C9D2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35690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Lucca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0B5AE1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401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1AA570E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70,7%</w:t>
            </w:r>
          </w:p>
        </w:tc>
      </w:tr>
      <w:tr w:rsidR="001E4ABD" w:rsidRPr="004D2B35" w14:paraId="785D0400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5A4B9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12EBF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Firenze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F37C8F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384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5FE505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66,5%</w:t>
            </w:r>
          </w:p>
        </w:tc>
      </w:tr>
      <w:tr w:rsidR="001E4ABD" w:rsidRPr="004D2B35" w14:paraId="7B412011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6F718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62454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Massa Carrara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092983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347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88A4335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55,2%</w:t>
            </w:r>
          </w:p>
        </w:tc>
      </w:tr>
      <w:tr w:rsidR="001E4ABD" w:rsidRPr="004D2B35" w14:paraId="728B26B1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7827E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9EDEB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Pistoia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D41078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344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F887F5F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49,8%</w:t>
            </w:r>
          </w:p>
        </w:tc>
      </w:tr>
      <w:tr w:rsidR="001E4ABD" w:rsidRPr="004D2B35" w14:paraId="02F557E8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585A9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97800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Siena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18A44D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332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2640A8A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44,2%</w:t>
            </w:r>
          </w:p>
        </w:tc>
      </w:tr>
      <w:tr w:rsidR="001E4ABD" w:rsidRPr="004D2B35" w14:paraId="00B3DE9C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3A17D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B1E55B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Arezzo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B8B8C4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328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494EF7A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84,4%</w:t>
            </w:r>
          </w:p>
        </w:tc>
      </w:tr>
      <w:tr w:rsidR="001E4ABD" w:rsidRPr="004D2B35" w14:paraId="35DB4B4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6FBE7F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EBCDF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Grosseto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49CBE0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297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31EF64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47,2%</w:t>
            </w:r>
          </w:p>
        </w:tc>
      </w:tr>
      <w:tr w:rsidR="001E4ABD" w:rsidRPr="004D2B35" w14:paraId="3F91AC94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E3A6D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Toscana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83EA2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Prato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BAE3E3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283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FC54FC3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78,4%</w:t>
            </w:r>
          </w:p>
        </w:tc>
      </w:tr>
      <w:tr w:rsidR="001E4ABD" w:rsidRPr="004D2B35" w14:paraId="10F1114F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96813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Umbria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E7A71E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Terni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031413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505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D25DF36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57,0%</w:t>
            </w:r>
          </w:p>
        </w:tc>
      </w:tr>
      <w:tr w:rsidR="001E4ABD" w:rsidRPr="004D2B35" w14:paraId="3E44D04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31AC64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Umbria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AF1DA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Perugia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1107F3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445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06ADA4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39,3%</w:t>
            </w:r>
          </w:p>
        </w:tc>
      </w:tr>
      <w:tr w:rsidR="001E4ABD" w:rsidRPr="004D2B35" w14:paraId="327CC2F4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F7F32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Valle d'Aosta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376565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Aosta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39D23F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226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8438CC8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22,7%</w:t>
            </w:r>
          </w:p>
        </w:tc>
      </w:tr>
      <w:tr w:rsidR="001E4ABD" w:rsidRPr="004D2B35" w14:paraId="15DAF1D2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4FCC8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Veneto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653DB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Venezia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FE6397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592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B3F48D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93,0%</w:t>
            </w:r>
          </w:p>
        </w:tc>
      </w:tr>
      <w:tr w:rsidR="001E4ABD" w:rsidRPr="004D2B35" w14:paraId="33B2AE86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7BCD3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Veneto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7CC59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Treviso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B43EEA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580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5DE7EC9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75,7%</w:t>
            </w:r>
          </w:p>
        </w:tc>
      </w:tr>
      <w:tr w:rsidR="001E4ABD" w:rsidRPr="004D2B35" w14:paraId="6C733D12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DE2BC9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Veneto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42A772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Belluno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1E89B2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495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953DDF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105,4%</w:t>
            </w:r>
          </w:p>
        </w:tc>
      </w:tr>
      <w:tr w:rsidR="001E4ABD" w:rsidRPr="004D2B35" w14:paraId="7456ABAD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FACA10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Veneto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26784A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Padova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E19CB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485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7467080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75,9%</w:t>
            </w:r>
          </w:p>
        </w:tc>
      </w:tr>
      <w:tr w:rsidR="001E4ABD" w:rsidRPr="004D2B35" w14:paraId="4A869CB7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050023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Veneto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E314F6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Verona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A7D776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447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201CF9D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82,6%</w:t>
            </w:r>
          </w:p>
        </w:tc>
      </w:tr>
      <w:tr w:rsidR="001E4ABD" w:rsidRPr="004D2B35" w14:paraId="788F09B5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36FADD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Veneto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42B6B8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Vicenza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6880CB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430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B21BE52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81,1%</w:t>
            </w:r>
          </w:p>
        </w:tc>
      </w:tr>
      <w:tr w:rsidR="001E4ABD" w:rsidRPr="004D2B35" w14:paraId="4EBA64E9" w14:textId="77777777" w:rsidTr="001E4ABD">
        <w:tblPrEx>
          <w:shd w:val="clear" w:color="auto" w:fill="CDD4E9"/>
        </w:tblPrEx>
        <w:trPr>
          <w:trHeight w:val="20"/>
          <w:jc w:val="center"/>
        </w:trPr>
        <w:tc>
          <w:tcPr>
            <w:tcW w:w="20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744E41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Veneto</w:t>
            </w:r>
          </w:p>
        </w:tc>
        <w:tc>
          <w:tcPr>
            <w:tcW w:w="224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EAE3DC" w14:textId="77777777" w:rsidR="001E4ABD" w:rsidRPr="00D44AA7" w:rsidRDefault="001E4ABD" w:rsidP="001E4ABD">
            <w:pPr>
              <w:spacing w:after="0" w:line="240" w:lineRule="auto"/>
              <w:contextualSpacing/>
              <w:rPr>
                <w:rFonts w:cs="Calibri"/>
              </w:rPr>
            </w:pPr>
            <w:r>
              <w:t>Rovigo</w:t>
            </w:r>
          </w:p>
        </w:tc>
        <w:tc>
          <w:tcPr>
            <w:tcW w:w="210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345D5D" w14:textId="77777777" w:rsidR="001E4ABD" w:rsidRPr="00D44AA7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408</w:t>
            </w:r>
          </w:p>
        </w:tc>
        <w:tc>
          <w:tcPr>
            <w:tcW w:w="172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BEEAEF3" w14:textId="77777777" w:rsidR="001E4ABD" w:rsidRPr="004D2B35" w:rsidRDefault="001E4ABD" w:rsidP="001E4ABD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</w:rPr>
            </w:pPr>
            <w:r>
              <w:rPr>
                <w:color w:val="9C0006"/>
              </w:rPr>
              <w:t>80,5%</w:t>
            </w:r>
          </w:p>
        </w:tc>
      </w:tr>
      <w:tr w:rsidR="00D91289" w:rsidRPr="00D44AA7" w14:paraId="1CF18560" w14:textId="77777777" w:rsidTr="004150D5">
        <w:tblPrEx>
          <w:shd w:val="clear" w:color="auto" w:fill="CDD4E9"/>
        </w:tblPrEx>
        <w:trPr>
          <w:trHeight w:val="567"/>
          <w:jc w:val="center"/>
        </w:trPr>
        <w:tc>
          <w:tcPr>
            <w:tcW w:w="8075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BE272B" w14:textId="77777777" w:rsidR="00D91289" w:rsidRPr="00D44AA7" w:rsidRDefault="002B5E81" w:rsidP="001E4AB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44AA7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</w:t>
            </w:r>
          </w:p>
        </w:tc>
      </w:tr>
    </w:tbl>
    <w:p w14:paraId="789664CD" w14:textId="77777777" w:rsidR="0080409E" w:rsidRPr="00D44AA7" w:rsidRDefault="0080409E" w:rsidP="004D16FF"/>
    <w:p w14:paraId="3CA5FDC4" w14:textId="77777777" w:rsidR="00764162" w:rsidRPr="00D44AA7" w:rsidRDefault="00764162"/>
    <w:p w14:paraId="47051441" w14:textId="77777777" w:rsidR="005E38B7" w:rsidRPr="00D44AA7" w:rsidRDefault="005E38B7" w:rsidP="005E38B7">
      <w:pPr>
        <w:widowControl w:val="0"/>
        <w:spacing w:after="80" w:line="240" w:lineRule="auto"/>
        <w:jc w:val="center"/>
      </w:pPr>
    </w:p>
    <w:p w14:paraId="28E6E977" w14:textId="77777777" w:rsidR="005E38B7" w:rsidRPr="00D44AA7" w:rsidRDefault="005E38B7"/>
    <w:sectPr w:rsidR="005E38B7" w:rsidRPr="00D44AA7" w:rsidSect="005B4AE1">
      <w:pgSz w:w="11900" w:h="16840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CDE4B" w14:textId="77777777" w:rsidR="008479E9" w:rsidRDefault="008479E9">
      <w:pPr>
        <w:spacing w:after="0" w:line="240" w:lineRule="auto"/>
      </w:pPr>
      <w:r>
        <w:separator/>
      </w:r>
    </w:p>
  </w:endnote>
  <w:endnote w:type="continuationSeparator" w:id="0">
    <w:p w14:paraId="6203E2A7" w14:textId="77777777" w:rsidR="008479E9" w:rsidRDefault="0084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2BE8A" w14:textId="77777777" w:rsidR="008479E9" w:rsidRDefault="008479E9">
      <w:pPr>
        <w:spacing w:after="0" w:line="240" w:lineRule="auto"/>
      </w:pPr>
      <w:r>
        <w:separator/>
      </w:r>
    </w:p>
  </w:footnote>
  <w:footnote w:type="continuationSeparator" w:id="0">
    <w:p w14:paraId="6B25F68B" w14:textId="77777777" w:rsidR="008479E9" w:rsidRDefault="0084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87F41"/>
    <w:multiLevelType w:val="hybridMultilevel"/>
    <w:tmpl w:val="43D6B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6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19"/>
  </w:num>
  <w:num w:numId="13">
    <w:abstractNumId w:val="21"/>
  </w:num>
  <w:num w:numId="14">
    <w:abstractNumId w:val="4"/>
  </w:num>
  <w:num w:numId="15">
    <w:abstractNumId w:val="17"/>
  </w:num>
  <w:num w:numId="16">
    <w:abstractNumId w:val="15"/>
  </w:num>
  <w:num w:numId="17">
    <w:abstractNumId w:val="18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43C6"/>
    <w:rsid w:val="00004BE3"/>
    <w:rsid w:val="00004BF7"/>
    <w:rsid w:val="00004CA3"/>
    <w:rsid w:val="00004D92"/>
    <w:rsid w:val="00005129"/>
    <w:rsid w:val="00005172"/>
    <w:rsid w:val="000056DE"/>
    <w:rsid w:val="000066F6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55C"/>
    <w:rsid w:val="0001299A"/>
    <w:rsid w:val="00012B67"/>
    <w:rsid w:val="0001337E"/>
    <w:rsid w:val="00014385"/>
    <w:rsid w:val="00014C7B"/>
    <w:rsid w:val="00015574"/>
    <w:rsid w:val="00015BAE"/>
    <w:rsid w:val="00016690"/>
    <w:rsid w:val="00017890"/>
    <w:rsid w:val="0002043C"/>
    <w:rsid w:val="000206F4"/>
    <w:rsid w:val="0002125E"/>
    <w:rsid w:val="00021C19"/>
    <w:rsid w:val="000222A5"/>
    <w:rsid w:val="00023784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99E"/>
    <w:rsid w:val="00034A98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3D3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C39"/>
    <w:rsid w:val="00044665"/>
    <w:rsid w:val="00044ABB"/>
    <w:rsid w:val="00044C9B"/>
    <w:rsid w:val="00044EB9"/>
    <w:rsid w:val="000453E7"/>
    <w:rsid w:val="0004577B"/>
    <w:rsid w:val="00046B65"/>
    <w:rsid w:val="0004762F"/>
    <w:rsid w:val="00047BCE"/>
    <w:rsid w:val="0005001A"/>
    <w:rsid w:val="00051038"/>
    <w:rsid w:val="0005206B"/>
    <w:rsid w:val="000523C5"/>
    <w:rsid w:val="00052578"/>
    <w:rsid w:val="000531D1"/>
    <w:rsid w:val="000542D3"/>
    <w:rsid w:val="0005433B"/>
    <w:rsid w:val="00054A26"/>
    <w:rsid w:val="00054D1D"/>
    <w:rsid w:val="000552E2"/>
    <w:rsid w:val="0005670B"/>
    <w:rsid w:val="00056C03"/>
    <w:rsid w:val="000572F4"/>
    <w:rsid w:val="00057324"/>
    <w:rsid w:val="0005772C"/>
    <w:rsid w:val="00057C36"/>
    <w:rsid w:val="00057E5F"/>
    <w:rsid w:val="00057F3D"/>
    <w:rsid w:val="0006040F"/>
    <w:rsid w:val="00060FAC"/>
    <w:rsid w:val="00061647"/>
    <w:rsid w:val="00061D4E"/>
    <w:rsid w:val="00062223"/>
    <w:rsid w:val="000625F5"/>
    <w:rsid w:val="00063092"/>
    <w:rsid w:val="000636C7"/>
    <w:rsid w:val="00063723"/>
    <w:rsid w:val="0006525F"/>
    <w:rsid w:val="000653E7"/>
    <w:rsid w:val="0006599B"/>
    <w:rsid w:val="00065C95"/>
    <w:rsid w:val="00066602"/>
    <w:rsid w:val="0006669C"/>
    <w:rsid w:val="000668DA"/>
    <w:rsid w:val="00067039"/>
    <w:rsid w:val="000673B6"/>
    <w:rsid w:val="00067B8B"/>
    <w:rsid w:val="00071568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4C4"/>
    <w:rsid w:val="000814F9"/>
    <w:rsid w:val="00081B96"/>
    <w:rsid w:val="0008271E"/>
    <w:rsid w:val="0008362E"/>
    <w:rsid w:val="00083804"/>
    <w:rsid w:val="00083DE2"/>
    <w:rsid w:val="0008457A"/>
    <w:rsid w:val="00084E0B"/>
    <w:rsid w:val="00085386"/>
    <w:rsid w:val="00085AF6"/>
    <w:rsid w:val="00085D13"/>
    <w:rsid w:val="000867DD"/>
    <w:rsid w:val="000871FB"/>
    <w:rsid w:val="00087236"/>
    <w:rsid w:val="00087B77"/>
    <w:rsid w:val="00087ED7"/>
    <w:rsid w:val="00091A87"/>
    <w:rsid w:val="00091D56"/>
    <w:rsid w:val="00092022"/>
    <w:rsid w:val="0009249D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422E"/>
    <w:rsid w:val="000A53F4"/>
    <w:rsid w:val="000A57A1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AC9"/>
    <w:rsid w:val="000B6238"/>
    <w:rsid w:val="000B68AC"/>
    <w:rsid w:val="000B6BAC"/>
    <w:rsid w:val="000C07AC"/>
    <w:rsid w:val="000C0A45"/>
    <w:rsid w:val="000C0B9A"/>
    <w:rsid w:val="000C1E98"/>
    <w:rsid w:val="000C22FE"/>
    <w:rsid w:val="000C2BD2"/>
    <w:rsid w:val="000C3C3C"/>
    <w:rsid w:val="000C3DE4"/>
    <w:rsid w:val="000C4285"/>
    <w:rsid w:val="000C46E0"/>
    <w:rsid w:val="000C63F8"/>
    <w:rsid w:val="000C645E"/>
    <w:rsid w:val="000C6B69"/>
    <w:rsid w:val="000C7105"/>
    <w:rsid w:val="000C789B"/>
    <w:rsid w:val="000C7A89"/>
    <w:rsid w:val="000D0625"/>
    <w:rsid w:val="000D08C8"/>
    <w:rsid w:val="000D0980"/>
    <w:rsid w:val="000D1250"/>
    <w:rsid w:val="000D1503"/>
    <w:rsid w:val="000D1F5C"/>
    <w:rsid w:val="000D24D7"/>
    <w:rsid w:val="000D2A90"/>
    <w:rsid w:val="000D2CAA"/>
    <w:rsid w:val="000D3B36"/>
    <w:rsid w:val="000D40CB"/>
    <w:rsid w:val="000D4370"/>
    <w:rsid w:val="000D57B4"/>
    <w:rsid w:val="000D5878"/>
    <w:rsid w:val="000D5B61"/>
    <w:rsid w:val="000D5C61"/>
    <w:rsid w:val="000D67CD"/>
    <w:rsid w:val="000D7077"/>
    <w:rsid w:val="000D75CD"/>
    <w:rsid w:val="000D7645"/>
    <w:rsid w:val="000D7A69"/>
    <w:rsid w:val="000D7DCE"/>
    <w:rsid w:val="000D7E45"/>
    <w:rsid w:val="000D7EE3"/>
    <w:rsid w:val="000E0BCB"/>
    <w:rsid w:val="000E0C48"/>
    <w:rsid w:val="000E1A5A"/>
    <w:rsid w:val="000E1ABF"/>
    <w:rsid w:val="000E1C12"/>
    <w:rsid w:val="000E238A"/>
    <w:rsid w:val="000E2D17"/>
    <w:rsid w:val="000E3472"/>
    <w:rsid w:val="000E476D"/>
    <w:rsid w:val="000E4901"/>
    <w:rsid w:val="000E4A1A"/>
    <w:rsid w:val="000E4D79"/>
    <w:rsid w:val="000E506B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63CB"/>
    <w:rsid w:val="000F6D38"/>
    <w:rsid w:val="000F6EBD"/>
    <w:rsid w:val="000F6FE7"/>
    <w:rsid w:val="000F704A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42F"/>
    <w:rsid w:val="001047B6"/>
    <w:rsid w:val="00104974"/>
    <w:rsid w:val="00104B88"/>
    <w:rsid w:val="00104DDA"/>
    <w:rsid w:val="0010568D"/>
    <w:rsid w:val="00106801"/>
    <w:rsid w:val="00106888"/>
    <w:rsid w:val="00106B84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F04"/>
    <w:rsid w:val="00113F85"/>
    <w:rsid w:val="00114088"/>
    <w:rsid w:val="00114459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3E4"/>
    <w:rsid w:val="0012099D"/>
    <w:rsid w:val="00120DCD"/>
    <w:rsid w:val="00120F46"/>
    <w:rsid w:val="00121EB7"/>
    <w:rsid w:val="00122302"/>
    <w:rsid w:val="0012327E"/>
    <w:rsid w:val="0012383F"/>
    <w:rsid w:val="00123878"/>
    <w:rsid w:val="00123934"/>
    <w:rsid w:val="0012399B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78AD"/>
    <w:rsid w:val="0014031D"/>
    <w:rsid w:val="001410D3"/>
    <w:rsid w:val="0014184C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500F"/>
    <w:rsid w:val="00145D4E"/>
    <w:rsid w:val="00146286"/>
    <w:rsid w:val="00147243"/>
    <w:rsid w:val="001473B8"/>
    <w:rsid w:val="00147D1B"/>
    <w:rsid w:val="00150022"/>
    <w:rsid w:val="00150920"/>
    <w:rsid w:val="00150E81"/>
    <w:rsid w:val="00150F3B"/>
    <w:rsid w:val="001513A9"/>
    <w:rsid w:val="001518FD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5554"/>
    <w:rsid w:val="001667ED"/>
    <w:rsid w:val="00166F65"/>
    <w:rsid w:val="0016753E"/>
    <w:rsid w:val="0016781B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234"/>
    <w:rsid w:val="00176590"/>
    <w:rsid w:val="00176B1E"/>
    <w:rsid w:val="00177874"/>
    <w:rsid w:val="001803BE"/>
    <w:rsid w:val="0018079D"/>
    <w:rsid w:val="00181994"/>
    <w:rsid w:val="00181F5C"/>
    <w:rsid w:val="00182713"/>
    <w:rsid w:val="0018288F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F5"/>
    <w:rsid w:val="00187EBF"/>
    <w:rsid w:val="0019090A"/>
    <w:rsid w:val="00190ADC"/>
    <w:rsid w:val="00190DB2"/>
    <w:rsid w:val="00191EB1"/>
    <w:rsid w:val="00192428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9E4"/>
    <w:rsid w:val="001A156C"/>
    <w:rsid w:val="001A1A34"/>
    <w:rsid w:val="001A1D07"/>
    <w:rsid w:val="001A1D6C"/>
    <w:rsid w:val="001A25C7"/>
    <w:rsid w:val="001A2A7F"/>
    <w:rsid w:val="001A2CC0"/>
    <w:rsid w:val="001A2F1B"/>
    <w:rsid w:val="001A2F4F"/>
    <w:rsid w:val="001A3572"/>
    <w:rsid w:val="001A37AC"/>
    <w:rsid w:val="001A3E0F"/>
    <w:rsid w:val="001A3E43"/>
    <w:rsid w:val="001A49EA"/>
    <w:rsid w:val="001A4ADB"/>
    <w:rsid w:val="001A503E"/>
    <w:rsid w:val="001A50D6"/>
    <w:rsid w:val="001A5713"/>
    <w:rsid w:val="001A5A00"/>
    <w:rsid w:val="001A633C"/>
    <w:rsid w:val="001A65C5"/>
    <w:rsid w:val="001A6AD7"/>
    <w:rsid w:val="001A7237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C0240"/>
    <w:rsid w:val="001C0EBF"/>
    <w:rsid w:val="001C167C"/>
    <w:rsid w:val="001C20F5"/>
    <w:rsid w:val="001C3537"/>
    <w:rsid w:val="001C3B3C"/>
    <w:rsid w:val="001C3D01"/>
    <w:rsid w:val="001C3E66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8BD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E62"/>
    <w:rsid w:val="001D7FE5"/>
    <w:rsid w:val="001E1327"/>
    <w:rsid w:val="001E1FB2"/>
    <w:rsid w:val="001E2196"/>
    <w:rsid w:val="001E2453"/>
    <w:rsid w:val="001E297F"/>
    <w:rsid w:val="001E3B61"/>
    <w:rsid w:val="001E4641"/>
    <w:rsid w:val="001E4724"/>
    <w:rsid w:val="001E481E"/>
    <w:rsid w:val="001E49E6"/>
    <w:rsid w:val="001E4ABD"/>
    <w:rsid w:val="001E509A"/>
    <w:rsid w:val="001E5259"/>
    <w:rsid w:val="001E5653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30E7"/>
    <w:rsid w:val="001F3785"/>
    <w:rsid w:val="001F4334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400"/>
    <w:rsid w:val="002006FB"/>
    <w:rsid w:val="002008E2"/>
    <w:rsid w:val="00200DB8"/>
    <w:rsid w:val="00201768"/>
    <w:rsid w:val="00201A2D"/>
    <w:rsid w:val="00201D62"/>
    <w:rsid w:val="0020223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7D85"/>
    <w:rsid w:val="00207EFE"/>
    <w:rsid w:val="00210040"/>
    <w:rsid w:val="002101D9"/>
    <w:rsid w:val="00210AF9"/>
    <w:rsid w:val="00211453"/>
    <w:rsid w:val="00211923"/>
    <w:rsid w:val="00211CA6"/>
    <w:rsid w:val="002122FF"/>
    <w:rsid w:val="002127CE"/>
    <w:rsid w:val="002127D1"/>
    <w:rsid w:val="00212F66"/>
    <w:rsid w:val="00213464"/>
    <w:rsid w:val="00213DE0"/>
    <w:rsid w:val="00213F85"/>
    <w:rsid w:val="00214B7C"/>
    <w:rsid w:val="0021525D"/>
    <w:rsid w:val="002158E7"/>
    <w:rsid w:val="00216973"/>
    <w:rsid w:val="00216F85"/>
    <w:rsid w:val="00217016"/>
    <w:rsid w:val="002171F6"/>
    <w:rsid w:val="00217A58"/>
    <w:rsid w:val="00217C57"/>
    <w:rsid w:val="002202C1"/>
    <w:rsid w:val="00220BCF"/>
    <w:rsid w:val="002222F6"/>
    <w:rsid w:val="0022308F"/>
    <w:rsid w:val="00223DBB"/>
    <w:rsid w:val="00223F5C"/>
    <w:rsid w:val="00224675"/>
    <w:rsid w:val="0022481D"/>
    <w:rsid w:val="0022544D"/>
    <w:rsid w:val="00226698"/>
    <w:rsid w:val="00226C11"/>
    <w:rsid w:val="00227577"/>
    <w:rsid w:val="002330ED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40195"/>
    <w:rsid w:val="002408C1"/>
    <w:rsid w:val="00240E19"/>
    <w:rsid w:val="00240E86"/>
    <w:rsid w:val="00241542"/>
    <w:rsid w:val="0024188A"/>
    <w:rsid w:val="002427A3"/>
    <w:rsid w:val="00242AB2"/>
    <w:rsid w:val="00242C77"/>
    <w:rsid w:val="00242F2C"/>
    <w:rsid w:val="00243535"/>
    <w:rsid w:val="00243949"/>
    <w:rsid w:val="0024483B"/>
    <w:rsid w:val="00244900"/>
    <w:rsid w:val="00244983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D32"/>
    <w:rsid w:val="0025323D"/>
    <w:rsid w:val="00253DD5"/>
    <w:rsid w:val="002540D8"/>
    <w:rsid w:val="00254613"/>
    <w:rsid w:val="00254744"/>
    <w:rsid w:val="002549B0"/>
    <w:rsid w:val="00254CC7"/>
    <w:rsid w:val="00254DBE"/>
    <w:rsid w:val="00255240"/>
    <w:rsid w:val="002560A9"/>
    <w:rsid w:val="002569A9"/>
    <w:rsid w:val="00257103"/>
    <w:rsid w:val="002572A2"/>
    <w:rsid w:val="002573BE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42CF"/>
    <w:rsid w:val="0026464D"/>
    <w:rsid w:val="00264850"/>
    <w:rsid w:val="00265C72"/>
    <w:rsid w:val="00265ECF"/>
    <w:rsid w:val="00266358"/>
    <w:rsid w:val="00266588"/>
    <w:rsid w:val="002667D7"/>
    <w:rsid w:val="002669FF"/>
    <w:rsid w:val="00266BBA"/>
    <w:rsid w:val="00266BEA"/>
    <w:rsid w:val="00266D51"/>
    <w:rsid w:val="00266FB9"/>
    <w:rsid w:val="0026717A"/>
    <w:rsid w:val="0026757D"/>
    <w:rsid w:val="002676BD"/>
    <w:rsid w:val="0026792F"/>
    <w:rsid w:val="00267F98"/>
    <w:rsid w:val="00267FC6"/>
    <w:rsid w:val="00272094"/>
    <w:rsid w:val="002723FF"/>
    <w:rsid w:val="002739E8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81537"/>
    <w:rsid w:val="00282D8E"/>
    <w:rsid w:val="0028387B"/>
    <w:rsid w:val="00283CCD"/>
    <w:rsid w:val="002846B6"/>
    <w:rsid w:val="00284E3A"/>
    <w:rsid w:val="002851AE"/>
    <w:rsid w:val="00285319"/>
    <w:rsid w:val="00286961"/>
    <w:rsid w:val="00286F0E"/>
    <w:rsid w:val="002870DE"/>
    <w:rsid w:val="002879EE"/>
    <w:rsid w:val="0029023D"/>
    <w:rsid w:val="00290AD4"/>
    <w:rsid w:val="00290DF8"/>
    <w:rsid w:val="00290E33"/>
    <w:rsid w:val="00290E59"/>
    <w:rsid w:val="00291E7C"/>
    <w:rsid w:val="00291ECD"/>
    <w:rsid w:val="0029275F"/>
    <w:rsid w:val="0029423D"/>
    <w:rsid w:val="0029562D"/>
    <w:rsid w:val="00295927"/>
    <w:rsid w:val="00296666"/>
    <w:rsid w:val="00296AF1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549"/>
    <w:rsid w:val="002A264E"/>
    <w:rsid w:val="002A2883"/>
    <w:rsid w:val="002A300B"/>
    <w:rsid w:val="002A35BD"/>
    <w:rsid w:val="002A407A"/>
    <w:rsid w:val="002A4098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CCB"/>
    <w:rsid w:val="002B3E49"/>
    <w:rsid w:val="002B3EF3"/>
    <w:rsid w:val="002B47C0"/>
    <w:rsid w:val="002B4F83"/>
    <w:rsid w:val="002B50CC"/>
    <w:rsid w:val="002B53AA"/>
    <w:rsid w:val="002B59E2"/>
    <w:rsid w:val="002B5AE9"/>
    <w:rsid w:val="002B5E81"/>
    <w:rsid w:val="002B66F4"/>
    <w:rsid w:val="002B6B31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E12"/>
    <w:rsid w:val="002C23F8"/>
    <w:rsid w:val="002C29AD"/>
    <w:rsid w:val="002C2AF9"/>
    <w:rsid w:val="002C3E8F"/>
    <w:rsid w:val="002C43D7"/>
    <w:rsid w:val="002C449C"/>
    <w:rsid w:val="002C4CF0"/>
    <w:rsid w:val="002C5910"/>
    <w:rsid w:val="002C5E04"/>
    <w:rsid w:val="002C672C"/>
    <w:rsid w:val="002C6B93"/>
    <w:rsid w:val="002C7BFD"/>
    <w:rsid w:val="002C7D11"/>
    <w:rsid w:val="002D13D6"/>
    <w:rsid w:val="002D15EC"/>
    <w:rsid w:val="002D19DA"/>
    <w:rsid w:val="002D1ACC"/>
    <w:rsid w:val="002D270C"/>
    <w:rsid w:val="002D287E"/>
    <w:rsid w:val="002D288E"/>
    <w:rsid w:val="002D30A6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63F1"/>
    <w:rsid w:val="002E732B"/>
    <w:rsid w:val="002E76BD"/>
    <w:rsid w:val="002E7BAF"/>
    <w:rsid w:val="002E7DDE"/>
    <w:rsid w:val="002F0760"/>
    <w:rsid w:val="002F0B13"/>
    <w:rsid w:val="002F1A2D"/>
    <w:rsid w:val="002F1D1A"/>
    <w:rsid w:val="002F262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770"/>
    <w:rsid w:val="00301555"/>
    <w:rsid w:val="00301A05"/>
    <w:rsid w:val="00301F67"/>
    <w:rsid w:val="00302173"/>
    <w:rsid w:val="00302774"/>
    <w:rsid w:val="00302DFF"/>
    <w:rsid w:val="003033A7"/>
    <w:rsid w:val="00303AA0"/>
    <w:rsid w:val="00304225"/>
    <w:rsid w:val="00304954"/>
    <w:rsid w:val="003049F6"/>
    <w:rsid w:val="00305C43"/>
    <w:rsid w:val="00305D40"/>
    <w:rsid w:val="00305FD6"/>
    <w:rsid w:val="00306478"/>
    <w:rsid w:val="00306641"/>
    <w:rsid w:val="003068D2"/>
    <w:rsid w:val="00306EC3"/>
    <w:rsid w:val="003076C1"/>
    <w:rsid w:val="00310449"/>
    <w:rsid w:val="003106B8"/>
    <w:rsid w:val="00310997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78F9"/>
    <w:rsid w:val="00317A4C"/>
    <w:rsid w:val="00317E3D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3B61"/>
    <w:rsid w:val="0032415F"/>
    <w:rsid w:val="003245C8"/>
    <w:rsid w:val="00324695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A02"/>
    <w:rsid w:val="00332BC9"/>
    <w:rsid w:val="00332E22"/>
    <w:rsid w:val="00332FBA"/>
    <w:rsid w:val="003332F1"/>
    <w:rsid w:val="00333BB6"/>
    <w:rsid w:val="00333D4F"/>
    <w:rsid w:val="003350E5"/>
    <w:rsid w:val="0033511B"/>
    <w:rsid w:val="00337022"/>
    <w:rsid w:val="00337427"/>
    <w:rsid w:val="003375DC"/>
    <w:rsid w:val="00337B53"/>
    <w:rsid w:val="00340152"/>
    <w:rsid w:val="00340216"/>
    <w:rsid w:val="003408FB"/>
    <w:rsid w:val="00340B2D"/>
    <w:rsid w:val="0034119B"/>
    <w:rsid w:val="00341691"/>
    <w:rsid w:val="00342065"/>
    <w:rsid w:val="0034228C"/>
    <w:rsid w:val="003422C4"/>
    <w:rsid w:val="00342A3A"/>
    <w:rsid w:val="0034324C"/>
    <w:rsid w:val="00345444"/>
    <w:rsid w:val="00345585"/>
    <w:rsid w:val="0034565E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4DD"/>
    <w:rsid w:val="00353CBD"/>
    <w:rsid w:val="00354B9D"/>
    <w:rsid w:val="0035543D"/>
    <w:rsid w:val="003562C6"/>
    <w:rsid w:val="003565D0"/>
    <w:rsid w:val="00357327"/>
    <w:rsid w:val="00357363"/>
    <w:rsid w:val="00360D63"/>
    <w:rsid w:val="00360F67"/>
    <w:rsid w:val="003612F6"/>
    <w:rsid w:val="003614B8"/>
    <w:rsid w:val="00361905"/>
    <w:rsid w:val="00361FB1"/>
    <w:rsid w:val="003621FC"/>
    <w:rsid w:val="003628BF"/>
    <w:rsid w:val="00362BBB"/>
    <w:rsid w:val="00362CAB"/>
    <w:rsid w:val="00362FDB"/>
    <w:rsid w:val="00363039"/>
    <w:rsid w:val="003631E5"/>
    <w:rsid w:val="0036469A"/>
    <w:rsid w:val="003649A1"/>
    <w:rsid w:val="00364ED4"/>
    <w:rsid w:val="0036518B"/>
    <w:rsid w:val="00365280"/>
    <w:rsid w:val="0036535A"/>
    <w:rsid w:val="0036634C"/>
    <w:rsid w:val="00366CCB"/>
    <w:rsid w:val="00367020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430E"/>
    <w:rsid w:val="003744DF"/>
    <w:rsid w:val="0037469D"/>
    <w:rsid w:val="003747F1"/>
    <w:rsid w:val="0037564C"/>
    <w:rsid w:val="003763C5"/>
    <w:rsid w:val="00376A63"/>
    <w:rsid w:val="00376B57"/>
    <w:rsid w:val="00376B91"/>
    <w:rsid w:val="00376E88"/>
    <w:rsid w:val="00380127"/>
    <w:rsid w:val="00380531"/>
    <w:rsid w:val="00382074"/>
    <w:rsid w:val="00382557"/>
    <w:rsid w:val="0038374F"/>
    <w:rsid w:val="00383A18"/>
    <w:rsid w:val="00383FBD"/>
    <w:rsid w:val="00384423"/>
    <w:rsid w:val="00385025"/>
    <w:rsid w:val="00385142"/>
    <w:rsid w:val="00385C48"/>
    <w:rsid w:val="0038657C"/>
    <w:rsid w:val="003874BF"/>
    <w:rsid w:val="003874D0"/>
    <w:rsid w:val="003879A8"/>
    <w:rsid w:val="00387D4E"/>
    <w:rsid w:val="00387ED6"/>
    <w:rsid w:val="003908B8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60C1"/>
    <w:rsid w:val="003A6257"/>
    <w:rsid w:val="003A62BF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3D1D"/>
    <w:rsid w:val="003B3D8B"/>
    <w:rsid w:val="003B4640"/>
    <w:rsid w:val="003B4A61"/>
    <w:rsid w:val="003B4F88"/>
    <w:rsid w:val="003B53A4"/>
    <w:rsid w:val="003B5F29"/>
    <w:rsid w:val="003B632B"/>
    <w:rsid w:val="003B6513"/>
    <w:rsid w:val="003B6B24"/>
    <w:rsid w:val="003B6F85"/>
    <w:rsid w:val="003B720F"/>
    <w:rsid w:val="003C0321"/>
    <w:rsid w:val="003C0756"/>
    <w:rsid w:val="003C0BF8"/>
    <w:rsid w:val="003C0C5D"/>
    <w:rsid w:val="003C1341"/>
    <w:rsid w:val="003C17AF"/>
    <w:rsid w:val="003C186F"/>
    <w:rsid w:val="003C1BE8"/>
    <w:rsid w:val="003C1DF7"/>
    <w:rsid w:val="003C2801"/>
    <w:rsid w:val="003C29FE"/>
    <w:rsid w:val="003C2DBB"/>
    <w:rsid w:val="003C3E71"/>
    <w:rsid w:val="003C47EA"/>
    <w:rsid w:val="003C4E72"/>
    <w:rsid w:val="003C5AEF"/>
    <w:rsid w:val="003C620D"/>
    <w:rsid w:val="003C69BE"/>
    <w:rsid w:val="003C6C3F"/>
    <w:rsid w:val="003C724A"/>
    <w:rsid w:val="003C7263"/>
    <w:rsid w:val="003C7892"/>
    <w:rsid w:val="003D049D"/>
    <w:rsid w:val="003D05A8"/>
    <w:rsid w:val="003D1170"/>
    <w:rsid w:val="003D18B2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CF1"/>
    <w:rsid w:val="003F3D44"/>
    <w:rsid w:val="003F434E"/>
    <w:rsid w:val="003F4BBB"/>
    <w:rsid w:val="003F5167"/>
    <w:rsid w:val="003F534E"/>
    <w:rsid w:val="003F5612"/>
    <w:rsid w:val="003F6A5F"/>
    <w:rsid w:val="003F6A89"/>
    <w:rsid w:val="003F6C05"/>
    <w:rsid w:val="003F7223"/>
    <w:rsid w:val="003F7469"/>
    <w:rsid w:val="003F7493"/>
    <w:rsid w:val="003F77B9"/>
    <w:rsid w:val="00400FA8"/>
    <w:rsid w:val="0040190A"/>
    <w:rsid w:val="00401C4B"/>
    <w:rsid w:val="004024E8"/>
    <w:rsid w:val="00402E63"/>
    <w:rsid w:val="00403151"/>
    <w:rsid w:val="0040351E"/>
    <w:rsid w:val="00403BEB"/>
    <w:rsid w:val="00403D87"/>
    <w:rsid w:val="00403F26"/>
    <w:rsid w:val="004041F5"/>
    <w:rsid w:val="004044E5"/>
    <w:rsid w:val="00405588"/>
    <w:rsid w:val="004055EE"/>
    <w:rsid w:val="00406554"/>
    <w:rsid w:val="004066D0"/>
    <w:rsid w:val="004071AC"/>
    <w:rsid w:val="00407426"/>
    <w:rsid w:val="00407F58"/>
    <w:rsid w:val="0041023E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7326"/>
    <w:rsid w:val="00417C5E"/>
    <w:rsid w:val="00417D75"/>
    <w:rsid w:val="00420736"/>
    <w:rsid w:val="00421389"/>
    <w:rsid w:val="004222A8"/>
    <w:rsid w:val="0042267C"/>
    <w:rsid w:val="004230E7"/>
    <w:rsid w:val="0042340E"/>
    <w:rsid w:val="004235BB"/>
    <w:rsid w:val="00423EC1"/>
    <w:rsid w:val="00424111"/>
    <w:rsid w:val="004243B2"/>
    <w:rsid w:val="004254C7"/>
    <w:rsid w:val="00426290"/>
    <w:rsid w:val="004262FC"/>
    <w:rsid w:val="00431177"/>
    <w:rsid w:val="004315A5"/>
    <w:rsid w:val="004317DC"/>
    <w:rsid w:val="00431BFD"/>
    <w:rsid w:val="0043242C"/>
    <w:rsid w:val="00432864"/>
    <w:rsid w:val="0043299D"/>
    <w:rsid w:val="00432C1D"/>
    <w:rsid w:val="00433412"/>
    <w:rsid w:val="00434350"/>
    <w:rsid w:val="00435333"/>
    <w:rsid w:val="004358B8"/>
    <w:rsid w:val="00435DD8"/>
    <w:rsid w:val="0043665F"/>
    <w:rsid w:val="00436FD3"/>
    <w:rsid w:val="00437754"/>
    <w:rsid w:val="0043788D"/>
    <w:rsid w:val="00440059"/>
    <w:rsid w:val="0044051F"/>
    <w:rsid w:val="004405AB"/>
    <w:rsid w:val="00440642"/>
    <w:rsid w:val="00440DA1"/>
    <w:rsid w:val="00440DF1"/>
    <w:rsid w:val="004410BB"/>
    <w:rsid w:val="00441E41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432"/>
    <w:rsid w:val="00446B62"/>
    <w:rsid w:val="00446BB6"/>
    <w:rsid w:val="00447C34"/>
    <w:rsid w:val="00447CB6"/>
    <w:rsid w:val="00450520"/>
    <w:rsid w:val="00450606"/>
    <w:rsid w:val="00450FC6"/>
    <w:rsid w:val="0045113F"/>
    <w:rsid w:val="00451468"/>
    <w:rsid w:val="00451CF0"/>
    <w:rsid w:val="00451EEA"/>
    <w:rsid w:val="00453366"/>
    <w:rsid w:val="004535DC"/>
    <w:rsid w:val="0045421C"/>
    <w:rsid w:val="00455764"/>
    <w:rsid w:val="0045576F"/>
    <w:rsid w:val="00455AE7"/>
    <w:rsid w:val="00455C5F"/>
    <w:rsid w:val="00455FD5"/>
    <w:rsid w:val="00456315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2A52"/>
    <w:rsid w:val="00463915"/>
    <w:rsid w:val="004642E7"/>
    <w:rsid w:val="004649D9"/>
    <w:rsid w:val="00464CCF"/>
    <w:rsid w:val="00465094"/>
    <w:rsid w:val="00465213"/>
    <w:rsid w:val="00465C37"/>
    <w:rsid w:val="00465DF9"/>
    <w:rsid w:val="004668E6"/>
    <w:rsid w:val="00466C2D"/>
    <w:rsid w:val="00467C34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DB"/>
    <w:rsid w:val="0048254D"/>
    <w:rsid w:val="0048276B"/>
    <w:rsid w:val="00482785"/>
    <w:rsid w:val="00482E79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DBE"/>
    <w:rsid w:val="0048730A"/>
    <w:rsid w:val="0048747E"/>
    <w:rsid w:val="004875F7"/>
    <w:rsid w:val="00487710"/>
    <w:rsid w:val="0048771D"/>
    <w:rsid w:val="00490739"/>
    <w:rsid w:val="00490CAB"/>
    <w:rsid w:val="0049135C"/>
    <w:rsid w:val="00491484"/>
    <w:rsid w:val="004919DD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9F2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9D1"/>
    <w:rsid w:val="004A3027"/>
    <w:rsid w:val="004A309A"/>
    <w:rsid w:val="004A3673"/>
    <w:rsid w:val="004A3B4B"/>
    <w:rsid w:val="004A447F"/>
    <w:rsid w:val="004A51BE"/>
    <w:rsid w:val="004A5D10"/>
    <w:rsid w:val="004A671F"/>
    <w:rsid w:val="004A702F"/>
    <w:rsid w:val="004A7619"/>
    <w:rsid w:val="004A7B51"/>
    <w:rsid w:val="004A7CFD"/>
    <w:rsid w:val="004A7D7C"/>
    <w:rsid w:val="004B0168"/>
    <w:rsid w:val="004B0317"/>
    <w:rsid w:val="004B0AA5"/>
    <w:rsid w:val="004B102C"/>
    <w:rsid w:val="004B1639"/>
    <w:rsid w:val="004B1E0F"/>
    <w:rsid w:val="004B248A"/>
    <w:rsid w:val="004B316D"/>
    <w:rsid w:val="004B3E0A"/>
    <w:rsid w:val="004B3EBB"/>
    <w:rsid w:val="004B4ECE"/>
    <w:rsid w:val="004B512D"/>
    <w:rsid w:val="004B5C6E"/>
    <w:rsid w:val="004B5CB6"/>
    <w:rsid w:val="004B6407"/>
    <w:rsid w:val="004B6438"/>
    <w:rsid w:val="004B6A39"/>
    <w:rsid w:val="004B6B3C"/>
    <w:rsid w:val="004B6DC2"/>
    <w:rsid w:val="004B7A79"/>
    <w:rsid w:val="004C00B7"/>
    <w:rsid w:val="004C0E6D"/>
    <w:rsid w:val="004C18D7"/>
    <w:rsid w:val="004C3357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6FF"/>
    <w:rsid w:val="004D1763"/>
    <w:rsid w:val="004D1B4B"/>
    <w:rsid w:val="004D1C78"/>
    <w:rsid w:val="004D26F0"/>
    <w:rsid w:val="004D2A97"/>
    <w:rsid w:val="004D2B35"/>
    <w:rsid w:val="004D2E6B"/>
    <w:rsid w:val="004D3112"/>
    <w:rsid w:val="004D39E9"/>
    <w:rsid w:val="004D3C41"/>
    <w:rsid w:val="004D3CD7"/>
    <w:rsid w:val="004D3DFD"/>
    <w:rsid w:val="004D49EC"/>
    <w:rsid w:val="004D4C65"/>
    <w:rsid w:val="004D52D6"/>
    <w:rsid w:val="004D5525"/>
    <w:rsid w:val="004D562D"/>
    <w:rsid w:val="004D5881"/>
    <w:rsid w:val="004D5CB3"/>
    <w:rsid w:val="004D5CBF"/>
    <w:rsid w:val="004D7ABD"/>
    <w:rsid w:val="004D7C29"/>
    <w:rsid w:val="004D7E87"/>
    <w:rsid w:val="004E0DD7"/>
    <w:rsid w:val="004E102A"/>
    <w:rsid w:val="004E117D"/>
    <w:rsid w:val="004E18F8"/>
    <w:rsid w:val="004E1B35"/>
    <w:rsid w:val="004E220C"/>
    <w:rsid w:val="004E289D"/>
    <w:rsid w:val="004E3F56"/>
    <w:rsid w:val="004E3F72"/>
    <w:rsid w:val="004E4163"/>
    <w:rsid w:val="004E43E7"/>
    <w:rsid w:val="004E506C"/>
    <w:rsid w:val="004E555F"/>
    <w:rsid w:val="004E6084"/>
    <w:rsid w:val="004E61A3"/>
    <w:rsid w:val="004E6816"/>
    <w:rsid w:val="004E6C61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4849"/>
    <w:rsid w:val="004F5848"/>
    <w:rsid w:val="004F6556"/>
    <w:rsid w:val="004F70C6"/>
    <w:rsid w:val="004F798A"/>
    <w:rsid w:val="0050002C"/>
    <w:rsid w:val="00500148"/>
    <w:rsid w:val="00500C6B"/>
    <w:rsid w:val="00501B5F"/>
    <w:rsid w:val="00502D2D"/>
    <w:rsid w:val="00502EE7"/>
    <w:rsid w:val="00503C5E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10F4E"/>
    <w:rsid w:val="005110E4"/>
    <w:rsid w:val="00511BFE"/>
    <w:rsid w:val="00512377"/>
    <w:rsid w:val="00513024"/>
    <w:rsid w:val="00513780"/>
    <w:rsid w:val="00514887"/>
    <w:rsid w:val="00514F57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65EC"/>
    <w:rsid w:val="005268E4"/>
    <w:rsid w:val="00526970"/>
    <w:rsid w:val="00526D10"/>
    <w:rsid w:val="00526D94"/>
    <w:rsid w:val="00526DCB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54A9"/>
    <w:rsid w:val="0053578B"/>
    <w:rsid w:val="00535B9E"/>
    <w:rsid w:val="0053669F"/>
    <w:rsid w:val="0053670D"/>
    <w:rsid w:val="00536726"/>
    <w:rsid w:val="00536DC0"/>
    <w:rsid w:val="00537521"/>
    <w:rsid w:val="005378B1"/>
    <w:rsid w:val="005402F8"/>
    <w:rsid w:val="00540EB3"/>
    <w:rsid w:val="005416FD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1035"/>
    <w:rsid w:val="00551283"/>
    <w:rsid w:val="00551C90"/>
    <w:rsid w:val="005521C0"/>
    <w:rsid w:val="00552753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7000"/>
    <w:rsid w:val="005574C5"/>
    <w:rsid w:val="0055798A"/>
    <w:rsid w:val="00557ACD"/>
    <w:rsid w:val="00557FA5"/>
    <w:rsid w:val="0056003D"/>
    <w:rsid w:val="00560DC0"/>
    <w:rsid w:val="00561D9B"/>
    <w:rsid w:val="00562977"/>
    <w:rsid w:val="0056300B"/>
    <w:rsid w:val="00563184"/>
    <w:rsid w:val="005644D5"/>
    <w:rsid w:val="00565708"/>
    <w:rsid w:val="00566BD9"/>
    <w:rsid w:val="005672CD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564"/>
    <w:rsid w:val="00584F59"/>
    <w:rsid w:val="0058585F"/>
    <w:rsid w:val="00585ADD"/>
    <w:rsid w:val="00585B70"/>
    <w:rsid w:val="005862A2"/>
    <w:rsid w:val="0058640B"/>
    <w:rsid w:val="00586DA6"/>
    <w:rsid w:val="005870B9"/>
    <w:rsid w:val="0058746E"/>
    <w:rsid w:val="00587698"/>
    <w:rsid w:val="0058785D"/>
    <w:rsid w:val="00590266"/>
    <w:rsid w:val="005906F8"/>
    <w:rsid w:val="005912B5"/>
    <w:rsid w:val="005913E3"/>
    <w:rsid w:val="00591406"/>
    <w:rsid w:val="00592B6E"/>
    <w:rsid w:val="0059338C"/>
    <w:rsid w:val="00594286"/>
    <w:rsid w:val="005943D6"/>
    <w:rsid w:val="00594D45"/>
    <w:rsid w:val="00594D89"/>
    <w:rsid w:val="00594FA3"/>
    <w:rsid w:val="0059524A"/>
    <w:rsid w:val="00595E1C"/>
    <w:rsid w:val="00595E53"/>
    <w:rsid w:val="00595F72"/>
    <w:rsid w:val="00596109"/>
    <w:rsid w:val="00596736"/>
    <w:rsid w:val="00596E5A"/>
    <w:rsid w:val="005979B2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F3C"/>
    <w:rsid w:val="005A2F89"/>
    <w:rsid w:val="005A3332"/>
    <w:rsid w:val="005A3333"/>
    <w:rsid w:val="005A3C0A"/>
    <w:rsid w:val="005A434C"/>
    <w:rsid w:val="005A4857"/>
    <w:rsid w:val="005A52DD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BD7"/>
    <w:rsid w:val="005B5F58"/>
    <w:rsid w:val="005B6229"/>
    <w:rsid w:val="005B6ACD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1496"/>
    <w:rsid w:val="005D1676"/>
    <w:rsid w:val="005D18C9"/>
    <w:rsid w:val="005D1A29"/>
    <w:rsid w:val="005D1D1E"/>
    <w:rsid w:val="005D1E21"/>
    <w:rsid w:val="005D214D"/>
    <w:rsid w:val="005D3686"/>
    <w:rsid w:val="005D485D"/>
    <w:rsid w:val="005D5B02"/>
    <w:rsid w:val="005D5D21"/>
    <w:rsid w:val="005D5E08"/>
    <w:rsid w:val="005D5E18"/>
    <w:rsid w:val="005D63FA"/>
    <w:rsid w:val="005D672E"/>
    <w:rsid w:val="005D750D"/>
    <w:rsid w:val="005E0753"/>
    <w:rsid w:val="005E0815"/>
    <w:rsid w:val="005E0EA1"/>
    <w:rsid w:val="005E19B1"/>
    <w:rsid w:val="005E19F0"/>
    <w:rsid w:val="005E1B40"/>
    <w:rsid w:val="005E236E"/>
    <w:rsid w:val="005E23F3"/>
    <w:rsid w:val="005E26E5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E37"/>
    <w:rsid w:val="005F69C0"/>
    <w:rsid w:val="005F766B"/>
    <w:rsid w:val="00600184"/>
    <w:rsid w:val="00601177"/>
    <w:rsid w:val="006013F1"/>
    <w:rsid w:val="006026F8"/>
    <w:rsid w:val="00602E7A"/>
    <w:rsid w:val="006031AD"/>
    <w:rsid w:val="00603956"/>
    <w:rsid w:val="006042E7"/>
    <w:rsid w:val="006049EE"/>
    <w:rsid w:val="00605B30"/>
    <w:rsid w:val="00605F09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81B"/>
    <w:rsid w:val="0061588C"/>
    <w:rsid w:val="00615BC9"/>
    <w:rsid w:val="00615C81"/>
    <w:rsid w:val="00615DC1"/>
    <w:rsid w:val="006163E5"/>
    <w:rsid w:val="0061675A"/>
    <w:rsid w:val="00617672"/>
    <w:rsid w:val="006176B8"/>
    <w:rsid w:val="006179CD"/>
    <w:rsid w:val="00617ADC"/>
    <w:rsid w:val="00617D14"/>
    <w:rsid w:val="0062012B"/>
    <w:rsid w:val="006203EA"/>
    <w:rsid w:val="006204CC"/>
    <w:rsid w:val="00621BD2"/>
    <w:rsid w:val="006222EF"/>
    <w:rsid w:val="00622991"/>
    <w:rsid w:val="00623175"/>
    <w:rsid w:val="006236A4"/>
    <w:rsid w:val="006237F8"/>
    <w:rsid w:val="00624679"/>
    <w:rsid w:val="00624898"/>
    <w:rsid w:val="006248CB"/>
    <w:rsid w:val="00624DFE"/>
    <w:rsid w:val="00626103"/>
    <w:rsid w:val="0062682F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4BF"/>
    <w:rsid w:val="00633B10"/>
    <w:rsid w:val="00634030"/>
    <w:rsid w:val="00634433"/>
    <w:rsid w:val="00634936"/>
    <w:rsid w:val="006352F9"/>
    <w:rsid w:val="006362D6"/>
    <w:rsid w:val="0063692A"/>
    <w:rsid w:val="006369E2"/>
    <w:rsid w:val="00636A4A"/>
    <w:rsid w:val="00636D6F"/>
    <w:rsid w:val="006370BE"/>
    <w:rsid w:val="006372AB"/>
    <w:rsid w:val="00637C16"/>
    <w:rsid w:val="00637ECB"/>
    <w:rsid w:val="00637F15"/>
    <w:rsid w:val="00640005"/>
    <w:rsid w:val="006404C4"/>
    <w:rsid w:val="006404C6"/>
    <w:rsid w:val="00640F5E"/>
    <w:rsid w:val="00641764"/>
    <w:rsid w:val="00641859"/>
    <w:rsid w:val="00641BE8"/>
    <w:rsid w:val="00641EC1"/>
    <w:rsid w:val="0064366A"/>
    <w:rsid w:val="00643731"/>
    <w:rsid w:val="00643937"/>
    <w:rsid w:val="00643C9B"/>
    <w:rsid w:val="00643DAD"/>
    <w:rsid w:val="0064474F"/>
    <w:rsid w:val="00645CFD"/>
    <w:rsid w:val="0064650F"/>
    <w:rsid w:val="00646CE4"/>
    <w:rsid w:val="006473B3"/>
    <w:rsid w:val="006479B3"/>
    <w:rsid w:val="00647D99"/>
    <w:rsid w:val="00647FC0"/>
    <w:rsid w:val="006501A2"/>
    <w:rsid w:val="00650970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A32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951"/>
    <w:rsid w:val="006662C5"/>
    <w:rsid w:val="006666A9"/>
    <w:rsid w:val="00666867"/>
    <w:rsid w:val="00666A47"/>
    <w:rsid w:val="00670CB5"/>
    <w:rsid w:val="00670CBD"/>
    <w:rsid w:val="00670CE4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61A1"/>
    <w:rsid w:val="00676314"/>
    <w:rsid w:val="00676B7B"/>
    <w:rsid w:val="006771CE"/>
    <w:rsid w:val="00677ADA"/>
    <w:rsid w:val="00677B01"/>
    <w:rsid w:val="0068026F"/>
    <w:rsid w:val="0068195B"/>
    <w:rsid w:val="0068281C"/>
    <w:rsid w:val="00684004"/>
    <w:rsid w:val="0068405E"/>
    <w:rsid w:val="006847E4"/>
    <w:rsid w:val="006850DD"/>
    <w:rsid w:val="0068557B"/>
    <w:rsid w:val="00686C1B"/>
    <w:rsid w:val="006908CD"/>
    <w:rsid w:val="00690B90"/>
    <w:rsid w:val="00691E7E"/>
    <w:rsid w:val="006927A5"/>
    <w:rsid w:val="00692A2C"/>
    <w:rsid w:val="00692CF0"/>
    <w:rsid w:val="00692DB1"/>
    <w:rsid w:val="006934A7"/>
    <w:rsid w:val="00693BF3"/>
    <w:rsid w:val="00694315"/>
    <w:rsid w:val="00694ABC"/>
    <w:rsid w:val="00694C16"/>
    <w:rsid w:val="00694C54"/>
    <w:rsid w:val="00694C8E"/>
    <w:rsid w:val="00695005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305E"/>
    <w:rsid w:val="006A37A7"/>
    <w:rsid w:val="006A3AEF"/>
    <w:rsid w:val="006A3F3C"/>
    <w:rsid w:val="006A4C22"/>
    <w:rsid w:val="006A5D49"/>
    <w:rsid w:val="006A6A5C"/>
    <w:rsid w:val="006A7099"/>
    <w:rsid w:val="006A7F61"/>
    <w:rsid w:val="006B0B88"/>
    <w:rsid w:val="006B0D74"/>
    <w:rsid w:val="006B1CCB"/>
    <w:rsid w:val="006B2137"/>
    <w:rsid w:val="006B2A7B"/>
    <w:rsid w:val="006B344A"/>
    <w:rsid w:val="006B3522"/>
    <w:rsid w:val="006B365C"/>
    <w:rsid w:val="006B3B3A"/>
    <w:rsid w:val="006B3B7F"/>
    <w:rsid w:val="006B4376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992"/>
    <w:rsid w:val="006C1AB3"/>
    <w:rsid w:val="006C1B58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515D"/>
    <w:rsid w:val="006C7761"/>
    <w:rsid w:val="006C78E5"/>
    <w:rsid w:val="006C79D4"/>
    <w:rsid w:val="006D0DB7"/>
    <w:rsid w:val="006D1931"/>
    <w:rsid w:val="006D20F2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60A3"/>
    <w:rsid w:val="006D67CC"/>
    <w:rsid w:val="006D6A4B"/>
    <w:rsid w:val="006D749A"/>
    <w:rsid w:val="006D7865"/>
    <w:rsid w:val="006D7CA8"/>
    <w:rsid w:val="006E14A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E9A"/>
    <w:rsid w:val="006E4EC3"/>
    <w:rsid w:val="006E55DD"/>
    <w:rsid w:val="006E5F58"/>
    <w:rsid w:val="006E6EF5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B0"/>
    <w:rsid w:val="006F5A3D"/>
    <w:rsid w:val="006F626D"/>
    <w:rsid w:val="006F6446"/>
    <w:rsid w:val="006F6B3E"/>
    <w:rsid w:val="006F7494"/>
    <w:rsid w:val="006F7DB6"/>
    <w:rsid w:val="00700DD0"/>
    <w:rsid w:val="00701098"/>
    <w:rsid w:val="007013E8"/>
    <w:rsid w:val="00701FEB"/>
    <w:rsid w:val="00702D43"/>
    <w:rsid w:val="007044C6"/>
    <w:rsid w:val="00705146"/>
    <w:rsid w:val="00705A25"/>
    <w:rsid w:val="00705BEA"/>
    <w:rsid w:val="0070616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422"/>
    <w:rsid w:val="00716676"/>
    <w:rsid w:val="00716FA6"/>
    <w:rsid w:val="00717415"/>
    <w:rsid w:val="007176F0"/>
    <w:rsid w:val="0072059E"/>
    <w:rsid w:val="00720639"/>
    <w:rsid w:val="00720EB2"/>
    <w:rsid w:val="0072103C"/>
    <w:rsid w:val="00721048"/>
    <w:rsid w:val="00721D49"/>
    <w:rsid w:val="007230A4"/>
    <w:rsid w:val="007232FF"/>
    <w:rsid w:val="007237EA"/>
    <w:rsid w:val="007243DC"/>
    <w:rsid w:val="00724FE4"/>
    <w:rsid w:val="00725AE5"/>
    <w:rsid w:val="007267B6"/>
    <w:rsid w:val="00726D38"/>
    <w:rsid w:val="00726EE0"/>
    <w:rsid w:val="00727126"/>
    <w:rsid w:val="007273EF"/>
    <w:rsid w:val="007275D3"/>
    <w:rsid w:val="007277B1"/>
    <w:rsid w:val="00727B91"/>
    <w:rsid w:val="00730711"/>
    <w:rsid w:val="00731284"/>
    <w:rsid w:val="00731555"/>
    <w:rsid w:val="0073276E"/>
    <w:rsid w:val="007328D1"/>
    <w:rsid w:val="00732E1A"/>
    <w:rsid w:val="00733177"/>
    <w:rsid w:val="007334AB"/>
    <w:rsid w:val="00733812"/>
    <w:rsid w:val="00733C9C"/>
    <w:rsid w:val="00733EC8"/>
    <w:rsid w:val="00733EDF"/>
    <w:rsid w:val="00734C40"/>
    <w:rsid w:val="007355A6"/>
    <w:rsid w:val="00735B0D"/>
    <w:rsid w:val="00736022"/>
    <w:rsid w:val="00736793"/>
    <w:rsid w:val="00736B4B"/>
    <w:rsid w:val="00736C14"/>
    <w:rsid w:val="00737DCD"/>
    <w:rsid w:val="007403B2"/>
    <w:rsid w:val="00741566"/>
    <w:rsid w:val="00741703"/>
    <w:rsid w:val="00741B18"/>
    <w:rsid w:val="00741B46"/>
    <w:rsid w:val="00742773"/>
    <w:rsid w:val="007433A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B61"/>
    <w:rsid w:val="00750B6D"/>
    <w:rsid w:val="0075139D"/>
    <w:rsid w:val="0075163A"/>
    <w:rsid w:val="00751D3E"/>
    <w:rsid w:val="00752906"/>
    <w:rsid w:val="00752DD8"/>
    <w:rsid w:val="00753317"/>
    <w:rsid w:val="00753DEA"/>
    <w:rsid w:val="00753E57"/>
    <w:rsid w:val="00754FB8"/>
    <w:rsid w:val="007553D7"/>
    <w:rsid w:val="00755427"/>
    <w:rsid w:val="007567B7"/>
    <w:rsid w:val="00756894"/>
    <w:rsid w:val="007575B8"/>
    <w:rsid w:val="00757965"/>
    <w:rsid w:val="00757CE0"/>
    <w:rsid w:val="00760751"/>
    <w:rsid w:val="00760CD8"/>
    <w:rsid w:val="00760FA9"/>
    <w:rsid w:val="0076144A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90569"/>
    <w:rsid w:val="00790AC7"/>
    <w:rsid w:val="00790EA2"/>
    <w:rsid w:val="0079118B"/>
    <w:rsid w:val="007915AC"/>
    <w:rsid w:val="007917C5"/>
    <w:rsid w:val="00791E54"/>
    <w:rsid w:val="00792A25"/>
    <w:rsid w:val="0079301A"/>
    <w:rsid w:val="007936A8"/>
    <w:rsid w:val="00793A6D"/>
    <w:rsid w:val="00793BD4"/>
    <w:rsid w:val="00793D2F"/>
    <w:rsid w:val="00793FA3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D05"/>
    <w:rsid w:val="007A2B0B"/>
    <w:rsid w:val="007A2D20"/>
    <w:rsid w:val="007A3184"/>
    <w:rsid w:val="007A3A16"/>
    <w:rsid w:val="007A3E8B"/>
    <w:rsid w:val="007A45A3"/>
    <w:rsid w:val="007A4810"/>
    <w:rsid w:val="007A4C12"/>
    <w:rsid w:val="007A5044"/>
    <w:rsid w:val="007A602C"/>
    <w:rsid w:val="007A6242"/>
    <w:rsid w:val="007A69F8"/>
    <w:rsid w:val="007A6C37"/>
    <w:rsid w:val="007A6E24"/>
    <w:rsid w:val="007A7FFB"/>
    <w:rsid w:val="007B0611"/>
    <w:rsid w:val="007B06BC"/>
    <w:rsid w:val="007B0A1A"/>
    <w:rsid w:val="007B1735"/>
    <w:rsid w:val="007B1C55"/>
    <w:rsid w:val="007B2AD3"/>
    <w:rsid w:val="007B2B6D"/>
    <w:rsid w:val="007B2CD4"/>
    <w:rsid w:val="007B33B7"/>
    <w:rsid w:val="007B36FD"/>
    <w:rsid w:val="007B398D"/>
    <w:rsid w:val="007B43CC"/>
    <w:rsid w:val="007B4655"/>
    <w:rsid w:val="007B4B60"/>
    <w:rsid w:val="007B5BBD"/>
    <w:rsid w:val="007B682B"/>
    <w:rsid w:val="007B6DAF"/>
    <w:rsid w:val="007C10A6"/>
    <w:rsid w:val="007C1124"/>
    <w:rsid w:val="007C11CB"/>
    <w:rsid w:val="007C16E7"/>
    <w:rsid w:val="007C1D27"/>
    <w:rsid w:val="007C22C2"/>
    <w:rsid w:val="007C27F4"/>
    <w:rsid w:val="007C4150"/>
    <w:rsid w:val="007C4320"/>
    <w:rsid w:val="007C4ED4"/>
    <w:rsid w:val="007C52BF"/>
    <w:rsid w:val="007C5375"/>
    <w:rsid w:val="007C5961"/>
    <w:rsid w:val="007C59CB"/>
    <w:rsid w:val="007C6181"/>
    <w:rsid w:val="007C6E4D"/>
    <w:rsid w:val="007C7630"/>
    <w:rsid w:val="007C7E75"/>
    <w:rsid w:val="007D03C2"/>
    <w:rsid w:val="007D0AAB"/>
    <w:rsid w:val="007D101B"/>
    <w:rsid w:val="007D10E0"/>
    <w:rsid w:val="007D1633"/>
    <w:rsid w:val="007D1A69"/>
    <w:rsid w:val="007D2352"/>
    <w:rsid w:val="007D2680"/>
    <w:rsid w:val="007D29FD"/>
    <w:rsid w:val="007D2BB8"/>
    <w:rsid w:val="007D2CB1"/>
    <w:rsid w:val="007D3167"/>
    <w:rsid w:val="007D3363"/>
    <w:rsid w:val="007D47A3"/>
    <w:rsid w:val="007D50FA"/>
    <w:rsid w:val="007D5A05"/>
    <w:rsid w:val="007D5F8C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6B7E"/>
    <w:rsid w:val="007F6C2C"/>
    <w:rsid w:val="007F6D39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B83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1174"/>
    <w:rsid w:val="00811762"/>
    <w:rsid w:val="008119C5"/>
    <w:rsid w:val="00811B49"/>
    <w:rsid w:val="00811CBC"/>
    <w:rsid w:val="00812023"/>
    <w:rsid w:val="0081273D"/>
    <w:rsid w:val="008127B8"/>
    <w:rsid w:val="008134AE"/>
    <w:rsid w:val="00813661"/>
    <w:rsid w:val="00813DD6"/>
    <w:rsid w:val="00813F9F"/>
    <w:rsid w:val="00814786"/>
    <w:rsid w:val="00814DCC"/>
    <w:rsid w:val="00815D0F"/>
    <w:rsid w:val="00815E48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2041"/>
    <w:rsid w:val="00822759"/>
    <w:rsid w:val="0082308F"/>
    <w:rsid w:val="00824DF6"/>
    <w:rsid w:val="0082558A"/>
    <w:rsid w:val="00825C99"/>
    <w:rsid w:val="00826C47"/>
    <w:rsid w:val="00826F29"/>
    <w:rsid w:val="00827B8E"/>
    <w:rsid w:val="00830F30"/>
    <w:rsid w:val="0083203D"/>
    <w:rsid w:val="008327BE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34F4"/>
    <w:rsid w:val="008436F7"/>
    <w:rsid w:val="00843B66"/>
    <w:rsid w:val="00843C5C"/>
    <w:rsid w:val="008444B0"/>
    <w:rsid w:val="00844619"/>
    <w:rsid w:val="00844B03"/>
    <w:rsid w:val="008456D9"/>
    <w:rsid w:val="0084571A"/>
    <w:rsid w:val="00845A3F"/>
    <w:rsid w:val="00845D3F"/>
    <w:rsid w:val="00846200"/>
    <w:rsid w:val="008463FF"/>
    <w:rsid w:val="0084641B"/>
    <w:rsid w:val="0084665B"/>
    <w:rsid w:val="00846966"/>
    <w:rsid w:val="008479E9"/>
    <w:rsid w:val="0085003A"/>
    <w:rsid w:val="008502AF"/>
    <w:rsid w:val="00851CCD"/>
    <w:rsid w:val="0085291E"/>
    <w:rsid w:val="00852C4B"/>
    <w:rsid w:val="00853E22"/>
    <w:rsid w:val="00854918"/>
    <w:rsid w:val="0085491E"/>
    <w:rsid w:val="008551BE"/>
    <w:rsid w:val="008552D6"/>
    <w:rsid w:val="00855694"/>
    <w:rsid w:val="00855BD1"/>
    <w:rsid w:val="0085654E"/>
    <w:rsid w:val="0085655A"/>
    <w:rsid w:val="008568BE"/>
    <w:rsid w:val="008574A0"/>
    <w:rsid w:val="00857AB0"/>
    <w:rsid w:val="008602F0"/>
    <w:rsid w:val="00860D87"/>
    <w:rsid w:val="00860EFA"/>
    <w:rsid w:val="008610FE"/>
    <w:rsid w:val="008617F3"/>
    <w:rsid w:val="00861A3B"/>
    <w:rsid w:val="00862034"/>
    <w:rsid w:val="00863261"/>
    <w:rsid w:val="00864639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881"/>
    <w:rsid w:val="0087125A"/>
    <w:rsid w:val="00871650"/>
    <w:rsid w:val="00872355"/>
    <w:rsid w:val="0087236F"/>
    <w:rsid w:val="00872CB5"/>
    <w:rsid w:val="008731C5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B7"/>
    <w:rsid w:val="00876CA0"/>
    <w:rsid w:val="00876E0A"/>
    <w:rsid w:val="00877372"/>
    <w:rsid w:val="008777DB"/>
    <w:rsid w:val="008807AE"/>
    <w:rsid w:val="0088094C"/>
    <w:rsid w:val="00880B59"/>
    <w:rsid w:val="00880B5D"/>
    <w:rsid w:val="00880C14"/>
    <w:rsid w:val="0088142A"/>
    <w:rsid w:val="00881788"/>
    <w:rsid w:val="00881A83"/>
    <w:rsid w:val="008823A3"/>
    <w:rsid w:val="0088256B"/>
    <w:rsid w:val="008828C6"/>
    <w:rsid w:val="008828FB"/>
    <w:rsid w:val="00883915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38"/>
    <w:rsid w:val="00890898"/>
    <w:rsid w:val="00891337"/>
    <w:rsid w:val="00891DCD"/>
    <w:rsid w:val="008927DE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1196"/>
    <w:rsid w:val="008C1577"/>
    <w:rsid w:val="008C1A88"/>
    <w:rsid w:val="008C1B1B"/>
    <w:rsid w:val="008C1F7C"/>
    <w:rsid w:val="008C20AE"/>
    <w:rsid w:val="008C27CE"/>
    <w:rsid w:val="008C3364"/>
    <w:rsid w:val="008C4763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21DE"/>
    <w:rsid w:val="008D22CA"/>
    <w:rsid w:val="008D2843"/>
    <w:rsid w:val="008D2E90"/>
    <w:rsid w:val="008D351A"/>
    <w:rsid w:val="008D395A"/>
    <w:rsid w:val="008D3A27"/>
    <w:rsid w:val="008D3CA5"/>
    <w:rsid w:val="008D5B8B"/>
    <w:rsid w:val="008D5FB8"/>
    <w:rsid w:val="008D6312"/>
    <w:rsid w:val="008D6B31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E46"/>
    <w:rsid w:val="008E4092"/>
    <w:rsid w:val="008E4B12"/>
    <w:rsid w:val="008E50A0"/>
    <w:rsid w:val="008E68B1"/>
    <w:rsid w:val="008E7049"/>
    <w:rsid w:val="008E70C3"/>
    <w:rsid w:val="008F01DF"/>
    <w:rsid w:val="008F022F"/>
    <w:rsid w:val="008F039D"/>
    <w:rsid w:val="008F04B0"/>
    <w:rsid w:val="008F0A73"/>
    <w:rsid w:val="008F11C8"/>
    <w:rsid w:val="008F2195"/>
    <w:rsid w:val="008F284F"/>
    <w:rsid w:val="008F29A1"/>
    <w:rsid w:val="008F2AB2"/>
    <w:rsid w:val="008F3730"/>
    <w:rsid w:val="008F3DF3"/>
    <w:rsid w:val="008F41E1"/>
    <w:rsid w:val="008F4656"/>
    <w:rsid w:val="008F4EDC"/>
    <w:rsid w:val="008F66E7"/>
    <w:rsid w:val="008F76A3"/>
    <w:rsid w:val="00900B1E"/>
    <w:rsid w:val="00900C2C"/>
    <w:rsid w:val="00900FCD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CC"/>
    <w:rsid w:val="009061FE"/>
    <w:rsid w:val="009062E9"/>
    <w:rsid w:val="00906BDB"/>
    <w:rsid w:val="00906FB7"/>
    <w:rsid w:val="00907463"/>
    <w:rsid w:val="00907D11"/>
    <w:rsid w:val="00910EAA"/>
    <w:rsid w:val="00910F5F"/>
    <w:rsid w:val="0091168C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7B70"/>
    <w:rsid w:val="00920965"/>
    <w:rsid w:val="00921171"/>
    <w:rsid w:val="009216B6"/>
    <w:rsid w:val="00922A53"/>
    <w:rsid w:val="0092307C"/>
    <w:rsid w:val="009231D3"/>
    <w:rsid w:val="0092344C"/>
    <w:rsid w:val="00923E84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FD7"/>
    <w:rsid w:val="009341DB"/>
    <w:rsid w:val="0093429F"/>
    <w:rsid w:val="009346D0"/>
    <w:rsid w:val="00935100"/>
    <w:rsid w:val="00935328"/>
    <w:rsid w:val="00935401"/>
    <w:rsid w:val="009358D0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462"/>
    <w:rsid w:val="0095311B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6"/>
    <w:rsid w:val="0096190C"/>
    <w:rsid w:val="009619D7"/>
    <w:rsid w:val="00961C02"/>
    <w:rsid w:val="00961D34"/>
    <w:rsid w:val="00962F4F"/>
    <w:rsid w:val="009630F6"/>
    <w:rsid w:val="009643C6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3B91"/>
    <w:rsid w:val="00973EE1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99E"/>
    <w:rsid w:val="00982AA4"/>
    <w:rsid w:val="00982C0A"/>
    <w:rsid w:val="00982E58"/>
    <w:rsid w:val="00982FBA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E6B"/>
    <w:rsid w:val="00985F02"/>
    <w:rsid w:val="00986267"/>
    <w:rsid w:val="00986C25"/>
    <w:rsid w:val="0098713B"/>
    <w:rsid w:val="0098799E"/>
    <w:rsid w:val="0099024A"/>
    <w:rsid w:val="00990312"/>
    <w:rsid w:val="009905F1"/>
    <w:rsid w:val="00990A83"/>
    <w:rsid w:val="00991024"/>
    <w:rsid w:val="00991CB2"/>
    <w:rsid w:val="00991D73"/>
    <w:rsid w:val="00991EF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B067C"/>
    <w:rsid w:val="009B13A0"/>
    <w:rsid w:val="009B286F"/>
    <w:rsid w:val="009B2C8D"/>
    <w:rsid w:val="009B2F08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E47"/>
    <w:rsid w:val="009C32CB"/>
    <w:rsid w:val="009C36F3"/>
    <w:rsid w:val="009C37A0"/>
    <w:rsid w:val="009C41D8"/>
    <w:rsid w:val="009C44C5"/>
    <w:rsid w:val="009C468E"/>
    <w:rsid w:val="009C46A5"/>
    <w:rsid w:val="009C48C9"/>
    <w:rsid w:val="009C4904"/>
    <w:rsid w:val="009C7A93"/>
    <w:rsid w:val="009D052A"/>
    <w:rsid w:val="009D0980"/>
    <w:rsid w:val="009D0C36"/>
    <w:rsid w:val="009D1699"/>
    <w:rsid w:val="009D2A6C"/>
    <w:rsid w:val="009D348E"/>
    <w:rsid w:val="009D4A03"/>
    <w:rsid w:val="009D4FEE"/>
    <w:rsid w:val="009D5082"/>
    <w:rsid w:val="009D50D1"/>
    <w:rsid w:val="009D560A"/>
    <w:rsid w:val="009D710A"/>
    <w:rsid w:val="009D726A"/>
    <w:rsid w:val="009D74BC"/>
    <w:rsid w:val="009E0CAE"/>
    <w:rsid w:val="009E269C"/>
    <w:rsid w:val="009E2750"/>
    <w:rsid w:val="009E27B4"/>
    <w:rsid w:val="009E40E3"/>
    <w:rsid w:val="009E41F3"/>
    <w:rsid w:val="009E42F7"/>
    <w:rsid w:val="009E4CC9"/>
    <w:rsid w:val="009E53C6"/>
    <w:rsid w:val="009E6107"/>
    <w:rsid w:val="009E6B01"/>
    <w:rsid w:val="009E6CF1"/>
    <w:rsid w:val="009E7E3F"/>
    <w:rsid w:val="009F0FD6"/>
    <w:rsid w:val="009F12CA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73FD"/>
    <w:rsid w:val="009F764A"/>
    <w:rsid w:val="009F7725"/>
    <w:rsid w:val="009F77A2"/>
    <w:rsid w:val="009F7F37"/>
    <w:rsid w:val="00A00F54"/>
    <w:rsid w:val="00A014E1"/>
    <w:rsid w:val="00A01528"/>
    <w:rsid w:val="00A018E7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8D9"/>
    <w:rsid w:val="00A06A84"/>
    <w:rsid w:val="00A06C04"/>
    <w:rsid w:val="00A06C7A"/>
    <w:rsid w:val="00A06D49"/>
    <w:rsid w:val="00A07987"/>
    <w:rsid w:val="00A10167"/>
    <w:rsid w:val="00A108BA"/>
    <w:rsid w:val="00A110EF"/>
    <w:rsid w:val="00A119AD"/>
    <w:rsid w:val="00A1291F"/>
    <w:rsid w:val="00A12C1B"/>
    <w:rsid w:val="00A12ECD"/>
    <w:rsid w:val="00A13012"/>
    <w:rsid w:val="00A13133"/>
    <w:rsid w:val="00A13153"/>
    <w:rsid w:val="00A1387C"/>
    <w:rsid w:val="00A13A12"/>
    <w:rsid w:val="00A13AE3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BE4"/>
    <w:rsid w:val="00A16EF0"/>
    <w:rsid w:val="00A1731E"/>
    <w:rsid w:val="00A17AAF"/>
    <w:rsid w:val="00A20EFA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CF"/>
    <w:rsid w:val="00A26D24"/>
    <w:rsid w:val="00A27021"/>
    <w:rsid w:val="00A2742D"/>
    <w:rsid w:val="00A303CB"/>
    <w:rsid w:val="00A303F6"/>
    <w:rsid w:val="00A30596"/>
    <w:rsid w:val="00A3065C"/>
    <w:rsid w:val="00A306BD"/>
    <w:rsid w:val="00A309A5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777A"/>
    <w:rsid w:val="00A37905"/>
    <w:rsid w:val="00A37F61"/>
    <w:rsid w:val="00A40F01"/>
    <w:rsid w:val="00A42390"/>
    <w:rsid w:val="00A4253C"/>
    <w:rsid w:val="00A42754"/>
    <w:rsid w:val="00A438B3"/>
    <w:rsid w:val="00A43AD7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E1B"/>
    <w:rsid w:val="00A46F1D"/>
    <w:rsid w:val="00A47155"/>
    <w:rsid w:val="00A474BF"/>
    <w:rsid w:val="00A47542"/>
    <w:rsid w:val="00A47A28"/>
    <w:rsid w:val="00A47F6F"/>
    <w:rsid w:val="00A50579"/>
    <w:rsid w:val="00A5060E"/>
    <w:rsid w:val="00A5083C"/>
    <w:rsid w:val="00A50F88"/>
    <w:rsid w:val="00A51744"/>
    <w:rsid w:val="00A51B01"/>
    <w:rsid w:val="00A51CC9"/>
    <w:rsid w:val="00A51DC5"/>
    <w:rsid w:val="00A525F7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B78"/>
    <w:rsid w:val="00A60D85"/>
    <w:rsid w:val="00A61C84"/>
    <w:rsid w:val="00A62994"/>
    <w:rsid w:val="00A63F18"/>
    <w:rsid w:val="00A64725"/>
    <w:rsid w:val="00A64FB3"/>
    <w:rsid w:val="00A65245"/>
    <w:rsid w:val="00A65462"/>
    <w:rsid w:val="00A6754C"/>
    <w:rsid w:val="00A700EF"/>
    <w:rsid w:val="00A701A5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18EE"/>
    <w:rsid w:val="00A81E2A"/>
    <w:rsid w:val="00A8223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A006A"/>
    <w:rsid w:val="00AA00FA"/>
    <w:rsid w:val="00AA014E"/>
    <w:rsid w:val="00AA044F"/>
    <w:rsid w:val="00AA0600"/>
    <w:rsid w:val="00AA118D"/>
    <w:rsid w:val="00AA149F"/>
    <w:rsid w:val="00AA1561"/>
    <w:rsid w:val="00AA1E07"/>
    <w:rsid w:val="00AA20B8"/>
    <w:rsid w:val="00AA212C"/>
    <w:rsid w:val="00AA33DA"/>
    <w:rsid w:val="00AA3622"/>
    <w:rsid w:val="00AA3B0A"/>
    <w:rsid w:val="00AA3F44"/>
    <w:rsid w:val="00AA4374"/>
    <w:rsid w:val="00AA58B0"/>
    <w:rsid w:val="00AA6389"/>
    <w:rsid w:val="00AA64E5"/>
    <w:rsid w:val="00AA686E"/>
    <w:rsid w:val="00AA6C06"/>
    <w:rsid w:val="00AA70A1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3133"/>
    <w:rsid w:val="00AB4E9F"/>
    <w:rsid w:val="00AB6121"/>
    <w:rsid w:val="00AB62F8"/>
    <w:rsid w:val="00AC04E9"/>
    <w:rsid w:val="00AC0C0A"/>
    <w:rsid w:val="00AC1587"/>
    <w:rsid w:val="00AC1851"/>
    <w:rsid w:val="00AC1A43"/>
    <w:rsid w:val="00AC1B85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CE2"/>
    <w:rsid w:val="00AD0D1E"/>
    <w:rsid w:val="00AD1316"/>
    <w:rsid w:val="00AD1A67"/>
    <w:rsid w:val="00AD1DD0"/>
    <w:rsid w:val="00AD1E10"/>
    <w:rsid w:val="00AD2CBB"/>
    <w:rsid w:val="00AD2EF1"/>
    <w:rsid w:val="00AD3E3C"/>
    <w:rsid w:val="00AD46ED"/>
    <w:rsid w:val="00AD4768"/>
    <w:rsid w:val="00AD4BCC"/>
    <w:rsid w:val="00AD4F13"/>
    <w:rsid w:val="00AD55CB"/>
    <w:rsid w:val="00AD55D2"/>
    <w:rsid w:val="00AD5A55"/>
    <w:rsid w:val="00AD5A92"/>
    <w:rsid w:val="00AD5B7E"/>
    <w:rsid w:val="00AD5CBB"/>
    <w:rsid w:val="00AD68D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F00A2"/>
    <w:rsid w:val="00AF0139"/>
    <w:rsid w:val="00AF0411"/>
    <w:rsid w:val="00AF08E9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40DE"/>
    <w:rsid w:val="00AF47DF"/>
    <w:rsid w:val="00AF5D96"/>
    <w:rsid w:val="00AF5F63"/>
    <w:rsid w:val="00AF6AB2"/>
    <w:rsid w:val="00AF6DD7"/>
    <w:rsid w:val="00AF7B6E"/>
    <w:rsid w:val="00B00C4C"/>
    <w:rsid w:val="00B00E7E"/>
    <w:rsid w:val="00B00F13"/>
    <w:rsid w:val="00B018B9"/>
    <w:rsid w:val="00B01FE0"/>
    <w:rsid w:val="00B02115"/>
    <w:rsid w:val="00B02692"/>
    <w:rsid w:val="00B02719"/>
    <w:rsid w:val="00B03E87"/>
    <w:rsid w:val="00B03FFD"/>
    <w:rsid w:val="00B043C1"/>
    <w:rsid w:val="00B0473F"/>
    <w:rsid w:val="00B04959"/>
    <w:rsid w:val="00B05121"/>
    <w:rsid w:val="00B054AB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32E7"/>
    <w:rsid w:val="00B1353C"/>
    <w:rsid w:val="00B137B8"/>
    <w:rsid w:val="00B13E97"/>
    <w:rsid w:val="00B13FB6"/>
    <w:rsid w:val="00B140FC"/>
    <w:rsid w:val="00B14D76"/>
    <w:rsid w:val="00B14DCD"/>
    <w:rsid w:val="00B153B3"/>
    <w:rsid w:val="00B157BD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305F0"/>
    <w:rsid w:val="00B30632"/>
    <w:rsid w:val="00B30901"/>
    <w:rsid w:val="00B30C5E"/>
    <w:rsid w:val="00B31DC3"/>
    <w:rsid w:val="00B32455"/>
    <w:rsid w:val="00B324DC"/>
    <w:rsid w:val="00B32A3E"/>
    <w:rsid w:val="00B339C4"/>
    <w:rsid w:val="00B33C4C"/>
    <w:rsid w:val="00B33EDF"/>
    <w:rsid w:val="00B34124"/>
    <w:rsid w:val="00B34469"/>
    <w:rsid w:val="00B34C35"/>
    <w:rsid w:val="00B34E04"/>
    <w:rsid w:val="00B34EC0"/>
    <w:rsid w:val="00B35AE0"/>
    <w:rsid w:val="00B35FF2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A83"/>
    <w:rsid w:val="00B46108"/>
    <w:rsid w:val="00B4610A"/>
    <w:rsid w:val="00B4655D"/>
    <w:rsid w:val="00B46AEB"/>
    <w:rsid w:val="00B46C56"/>
    <w:rsid w:val="00B46E4C"/>
    <w:rsid w:val="00B46F5D"/>
    <w:rsid w:val="00B47135"/>
    <w:rsid w:val="00B47552"/>
    <w:rsid w:val="00B47865"/>
    <w:rsid w:val="00B50183"/>
    <w:rsid w:val="00B51419"/>
    <w:rsid w:val="00B514EF"/>
    <w:rsid w:val="00B51B74"/>
    <w:rsid w:val="00B520C2"/>
    <w:rsid w:val="00B52247"/>
    <w:rsid w:val="00B52AF9"/>
    <w:rsid w:val="00B53CEF"/>
    <w:rsid w:val="00B54301"/>
    <w:rsid w:val="00B5440F"/>
    <w:rsid w:val="00B544B1"/>
    <w:rsid w:val="00B54779"/>
    <w:rsid w:val="00B54FC9"/>
    <w:rsid w:val="00B555ED"/>
    <w:rsid w:val="00B561D7"/>
    <w:rsid w:val="00B56876"/>
    <w:rsid w:val="00B570A6"/>
    <w:rsid w:val="00B60BF7"/>
    <w:rsid w:val="00B619C2"/>
    <w:rsid w:val="00B61E79"/>
    <w:rsid w:val="00B6203D"/>
    <w:rsid w:val="00B620E7"/>
    <w:rsid w:val="00B62A7C"/>
    <w:rsid w:val="00B635A4"/>
    <w:rsid w:val="00B64004"/>
    <w:rsid w:val="00B649F9"/>
    <w:rsid w:val="00B655B5"/>
    <w:rsid w:val="00B66203"/>
    <w:rsid w:val="00B667E8"/>
    <w:rsid w:val="00B668A8"/>
    <w:rsid w:val="00B672EA"/>
    <w:rsid w:val="00B67538"/>
    <w:rsid w:val="00B67F5D"/>
    <w:rsid w:val="00B70699"/>
    <w:rsid w:val="00B70759"/>
    <w:rsid w:val="00B70844"/>
    <w:rsid w:val="00B7174B"/>
    <w:rsid w:val="00B7198E"/>
    <w:rsid w:val="00B71C79"/>
    <w:rsid w:val="00B7201F"/>
    <w:rsid w:val="00B7225F"/>
    <w:rsid w:val="00B72828"/>
    <w:rsid w:val="00B7322A"/>
    <w:rsid w:val="00B735D1"/>
    <w:rsid w:val="00B740D8"/>
    <w:rsid w:val="00B7494F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EAA"/>
    <w:rsid w:val="00B81071"/>
    <w:rsid w:val="00B813D5"/>
    <w:rsid w:val="00B8174F"/>
    <w:rsid w:val="00B81B08"/>
    <w:rsid w:val="00B81F4F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843"/>
    <w:rsid w:val="00B92911"/>
    <w:rsid w:val="00B92CB4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7239"/>
    <w:rsid w:val="00BA0010"/>
    <w:rsid w:val="00BA058F"/>
    <w:rsid w:val="00BA061F"/>
    <w:rsid w:val="00BA097A"/>
    <w:rsid w:val="00BA0BFE"/>
    <w:rsid w:val="00BA0E9E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49C3"/>
    <w:rsid w:val="00BB4E1A"/>
    <w:rsid w:val="00BB5F01"/>
    <w:rsid w:val="00BB60A5"/>
    <w:rsid w:val="00BB793E"/>
    <w:rsid w:val="00BC0336"/>
    <w:rsid w:val="00BC0433"/>
    <w:rsid w:val="00BC0D4D"/>
    <w:rsid w:val="00BC1FCA"/>
    <w:rsid w:val="00BC2423"/>
    <w:rsid w:val="00BC2E90"/>
    <w:rsid w:val="00BC307C"/>
    <w:rsid w:val="00BC338E"/>
    <w:rsid w:val="00BC33D8"/>
    <w:rsid w:val="00BC3557"/>
    <w:rsid w:val="00BC432F"/>
    <w:rsid w:val="00BC4CC8"/>
    <w:rsid w:val="00BC4D3E"/>
    <w:rsid w:val="00BC50FD"/>
    <w:rsid w:val="00BC660B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202"/>
    <w:rsid w:val="00BD17DF"/>
    <w:rsid w:val="00BD1F43"/>
    <w:rsid w:val="00BD2319"/>
    <w:rsid w:val="00BD2355"/>
    <w:rsid w:val="00BD2487"/>
    <w:rsid w:val="00BD27F8"/>
    <w:rsid w:val="00BD3048"/>
    <w:rsid w:val="00BD30B2"/>
    <w:rsid w:val="00BD36AF"/>
    <w:rsid w:val="00BD3F2E"/>
    <w:rsid w:val="00BD3FEB"/>
    <w:rsid w:val="00BD4719"/>
    <w:rsid w:val="00BD4CEC"/>
    <w:rsid w:val="00BD4F61"/>
    <w:rsid w:val="00BD5050"/>
    <w:rsid w:val="00BD50D0"/>
    <w:rsid w:val="00BD58A3"/>
    <w:rsid w:val="00BD6745"/>
    <w:rsid w:val="00BD67DE"/>
    <w:rsid w:val="00BD684B"/>
    <w:rsid w:val="00BD6AC0"/>
    <w:rsid w:val="00BD7112"/>
    <w:rsid w:val="00BD7ADC"/>
    <w:rsid w:val="00BD7DAB"/>
    <w:rsid w:val="00BE0225"/>
    <w:rsid w:val="00BE0E22"/>
    <w:rsid w:val="00BE1761"/>
    <w:rsid w:val="00BE26B2"/>
    <w:rsid w:val="00BE2A2C"/>
    <w:rsid w:val="00BE32A5"/>
    <w:rsid w:val="00BE3414"/>
    <w:rsid w:val="00BE3893"/>
    <w:rsid w:val="00BE3A2F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A42"/>
    <w:rsid w:val="00BE6B62"/>
    <w:rsid w:val="00BE73DF"/>
    <w:rsid w:val="00BE75C3"/>
    <w:rsid w:val="00BE774D"/>
    <w:rsid w:val="00BF05A8"/>
    <w:rsid w:val="00BF12A8"/>
    <w:rsid w:val="00BF1551"/>
    <w:rsid w:val="00BF186E"/>
    <w:rsid w:val="00BF270D"/>
    <w:rsid w:val="00BF2A6C"/>
    <w:rsid w:val="00BF36B3"/>
    <w:rsid w:val="00BF3A91"/>
    <w:rsid w:val="00BF3BDA"/>
    <w:rsid w:val="00BF3EA8"/>
    <w:rsid w:val="00BF469C"/>
    <w:rsid w:val="00BF55B6"/>
    <w:rsid w:val="00BF5C23"/>
    <w:rsid w:val="00BF670A"/>
    <w:rsid w:val="00BF6782"/>
    <w:rsid w:val="00BF7794"/>
    <w:rsid w:val="00BF7A2F"/>
    <w:rsid w:val="00C001EF"/>
    <w:rsid w:val="00C001FD"/>
    <w:rsid w:val="00C0045A"/>
    <w:rsid w:val="00C00927"/>
    <w:rsid w:val="00C00CFE"/>
    <w:rsid w:val="00C01D45"/>
    <w:rsid w:val="00C02CEF"/>
    <w:rsid w:val="00C02E02"/>
    <w:rsid w:val="00C03625"/>
    <w:rsid w:val="00C0383E"/>
    <w:rsid w:val="00C0446E"/>
    <w:rsid w:val="00C045B2"/>
    <w:rsid w:val="00C04958"/>
    <w:rsid w:val="00C049FB"/>
    <w:rsid w:val="00C04A14"/>
    <w:rsid w:val="00C07B82"/>
    <w:rsid w:val="00C10293"/>
    <w:rsid w:val="00C10469"/>
    <w:rsid w:val="00C10693"/>
    <w:rsid w:val="00C11059"/>
    <w:rsid w:val="00C1172E"/>
    <w:rsid w:val="00C1245A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498"/>
    <w:rsid w:val="00C16995"/>
    <w:rsid w:val="00C174AA"/>
    <w:rsid w:val="00C17A73"/>
    <w:rsid w:val="00C20D17"/>
    <w:rsid w:val="00C20D68"/>
    <w:rsid w:val="00C2160C"/>
    <w:rsid w:val="00C21A63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B5F"/>
    <w:rsid w:val="00C35270"/>
    <w:rsid w:val="00C356F9"/>
    <w:rsid w:val="00C359C9"/>
    <w:rsid w:val="00C3612A"/>
    <w:rsid w:val="00C36726"/>
    <w:rsid w:val="00C3740F"/>
    <w:rsid w:val="00C40581"/>
    <w:rsid w:val="00C40A92"/>
    <w:rsid w:val="00C41089"/>
    <w:rsid w:val="00C41B42"/>
    <w:rsid w:val="00C42751"/>
    <w:rsid w:val="00C4313A"/>
    <w:rsid w:val="00C43985"/>
    <w:rsid w:val="00C43BFF"/>
    <w:rsid w:val="00C44288"/>
    <w:rsid w:val="00C44312"/>
    <w:rsid w:val="00C4440A"/>
    <w:rsid w:val="00C44F88"/>
    <w:rsid w:val="00C45B48"/>
    <w:rsid w:val="00C45FA1"/>
    <w:rsid w:val="00C464DA"/>
    <w:rsid w:val="00C46585"/>
    <w:rsid w:val="00C465BC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4E1"/>
    <w:rsid w:val="00C53812"/>
    <w:rsid w:val="00C54017"/>
    <w:rsid w:val="00C5474A"/>
    <w:rsid w:val="00C54E12"/>
    <w:rsid w:val="00C54FAD"/>
    <w:rsid w:val="00C550FD"/>
    <w:rsid w:val="00C559EC"/>
    <w:rsid w:val="00C5672F"/>
    <w:rsid w:val="00C569D7"/>
    <w:rsid w:val="00C56CEA"/>
    <w:rsid w:val="00C5723E"/>
    <w:rsid w:val="00C57BD2"/>
    <w:rsid w:val="00C60299"/>
    <w:rsid w:val="00C60722"/>
    <w:rsid w:val="00C6096C"/>
    <w:rsid w:val="00C61A51"/>
    <w:rsid w:val="00C61D81"/>
    <w:rsid w:val="00C6227B"/>
    <w:rsid w:val="00C6239E"/>
    <w:rsid w:val="00C62BE4"/>
    <w:rsid w:val="00C63099"/>
    <w:rsid w:val="00C6367C"/>
    <w:rsid w:val="00C63886"/>
    <w:rsid w:val="00C64286"/>
    <w:rsid w:val="00C644BF"/>
    <w:rsid w:val="00C64A91"/>
    <w:rsid w:val="00C65468"/>
    <w:rsid w:val="00C6598C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1231"/>
    <w:rsid w:val="00C718CD"/>
    <w:rsid w:val="00C71BE9"/>
    <w:rsid w:val="00C721C9"/>
    <w:rsid w:val="00C73150"/>
    <w:rsid w:val="00C744C9"/>
    <w:rsid w:val="00C75102"/>
    <w:rsid w:val="00C75EC4"/>
    <w:rsid w:val="00C760F3"/>
    <w:rsid w:val="00C761A9"/>
    <w:rsid w:val="00C76A43"/>
    <w:rsid w:val="00C808C1"/>
    <w:rsid w:val="00C8158C"/>
    <w:rsid w:val="00C817D6"/>
    <w:rsid w:val="00C81A82"/>
    <w:rsid w:val="00C8230F"/>
    <w:rsid w:val="00C82D0C"/>
    <w:rsid w:val="00C83164"/>
    <w:rsid w:val="00C83D13"/>
    <w:rsid w:val="00C84407"/>
    <w:rsid w:val="00C847B4"/>
    <w:rsid w:val="00C84C0B"/>
    <w:rsid w:val="00C85275"/>
    <w:rsid w:val="00C85367"/>
    <w:rsid w:val="00C853CC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AC9"/>
    <w:rsid w:val="00C95BCB"/>
    <w:rsid w:val="00C95BFF"/>
    <w:rsid w:val="00C971AD"/>
    <w:rsid w:val="00C9732C"/>
    <w:rsid w:val="00C97388"/>
    <w:rsid w:val="00C974D4"/>
    <w:rsid w:val="00C976DA"/>
    <w:rsid w:val="00CA0901"/>
    <w:rsid w:val="00CA1A31"/>
    <w:rsid w:val="00CA225A"/>
    <w:rsid w:val="00CA324C"/>
    <w:rsid w:val="00CA4A08"/>
    <w:rsid w:val="00CA5502"/>
    <w:rsid w:val="00CA5C35"/>
    <w:rsid w:val="00CA6ACC"/>
    <w:rsid w:val="00CA73D7"/>
    <w:rsid w:val="00CA7733"/>
    <w:rsid w:val="00CA7ACB"/>
    <w:rsid w:val="00CB0E1E"/>
    <w:rsid w:val="00CB100E"/>
    <w:rsid w:val="00CB10D7"/>
    <w:rsid w:val="00CB1ED3"/>
    <w:rsid w:val="00CB20B0"/>
    <w:rsid w:val="00CB2555"/>
    <w:rsid w:val="00CB2C68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A6F"/>
    <w:rsid w:val="00CB7AA3"/>
    <w:rsid w:val="00CC0AB4"/>
    <w:rsid w:val="00CC0DB4"/>
    <w:rsid w:val="00CC2211"/>
    <w:rsid w:val="00CC2FB5"/>
    <w:rsid w:val="00CC3450"/>
    <w:rsid w:val="00CC4CA6"/>
    <w:rsid w:val="00CC5144"/>
    <w:rsid w:val="00CC5691"/>
    <w:rsid w:val="00CC5999"/>
    <w:rsid w:val="00CC620E"/>
    <w:rsid w:val="00CC6E57"/>
    <w:rsid w:val="00CC6E95"/>
    <w:rsid w:val="00CC723C"/>
    <w:rsid w:val="00CC75F9"/>
    <w:rsid w:val="00CC7750"/>
    <w:rsid w:val="00CC7A39"/>
    <w:rsid w:val="00CD03D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26B3"/>
    <w:rsid w:val="00CE3EAA"/>
    <w:rsid w:val="00CE4B95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62A"/>
    <w:rsid w:val="00CF11B3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B"/>
    <w:rsid w:val="00CF68DE"/>
    <w:rsid w:val="00CF698D"/>
    <w:rsid w:val="00CF6A71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67F0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7415"/>
    <w:rsid w:val="00D174F8"/>
    <w:rsid w:val="00D175C4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B78"/>
    <w:rsid w:val="00D3124D"/>
    <w:rsid w:val="00D325D0"/>
    <w:rsid w:val="00D33606"/>
    <w:rsid w:val="00D33696"/>
    <w:rsid w:val="00D33951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405F9"/>
    <w:rsid w:val="00D405FC"/>
    <w:rsid w:val="00D4139A"/>
    <w:rsid w:val="00D41BA2"/>
    <w:rsid w:val="00D42384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B30"/>
    <w:rsid w:val="00D47306"/>
    <w:rsid w:val="00D476FE"/>
    <w:rsid w:val="00D50EF0"/>
    <w:rsid w:val="00D50EF2"/>
    <w:rsid w:val="00D50FC1"/>
    <w:rsid w:val="00D511EF"/>
    <w:rsid w:val="00D513E3"/>
    <w:rsid w:val="00D51D9F"/>
    <w:rsid w:val="00D5251A"/>
    <w:rsid w:val="00D538B5"/>
    <w:rsid w:val="00D540E6"/>
    <w:rsid w:val="00D5452F"/>
    <w:rsid w:val="00D54B4A"/>
    <w:rsid w:val="00D54DDF"/>
    <w:rsid w:val="00D55046"/>
    <w:rsid w:val="00D553C3"/>
    <w:rsid w:val="00D557BC"/>
    <w:rsid w:val="00D557FA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2CE"/>
    <w:rsid w:val="00D72919"/>
    <w:rsid w:val="00D729A6"/>
    <w:rsid w:val="00D72D69"/>
    <w:rsid w:val="00D73279"/>
    <w:rsid w:val="00D744AC"/>
    <w:rsid w:val="00D74F90"/>
    <w:rsid w:val="00D75179"/>
    <w:rsid w:val="00D7558B"/>
    <w:rsid w:val="00D757EC"/>
    <w:rsid w:val="00D758FA"/>
    <w:rsid w:val="00D76765"/>
    <w:rsid w:val="00D7724D"/>
    <w:rsid w:val="00D77446"/>
    <w:rsid w:val="00D7796E"/>
    <w:rsid w:val="00D77BFB"/>
    <w:rsid w:val="00D77D4F"/>
    <w:rsid w:val="00D77EAE"/>
    <w:rsid w:val="00D80DD9"/>
    <w:rsid w:val="00D8144D"/>
    <w:rsid w:val="00D81615"/>
    <w:rsid w:val="00D82264"/>
    <w:rsid w:val="00D8240D"/>
    <w:rsid w:val="00D828A0"/>
    <w:rsid w:val="00D82A51"/>
    <w:rsid w:val="00D82F01"/>
    <w:rsid w:val="00D82FAF"/>
    <w:rsid w:val="00D83353"/>
    <w:rsid w:val="00D83C97"/>
    <w:rsid w:val="00D8437D"/>
    <w:rsid w:val="00D84781"/>
    <w:rsid w:val="00D84790"/>
    <w:rsid w:val="00D8485D"/>
    <w:rsid w:val="00D84E6A"/>
    <w:rsid w:val="00D8565C"/>
    <w:rsid w:val="00D85BD3"/>
    <w:rsid w:val="00D86017"/>
    <w:rsid w:val="00D87040"/>
    <w:rsid w:val="00D8764F"/>
    <w:rsid w:val="00D87BFE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EF3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CE"/>
    <w:rsid w:val="00DB1167"/>
    <w:rsid w:val="00DB1360"/>
    <w:rsid w:val="00DB19B0"/>
    <w:rsid w:val="00DB21EC"/>
    <w:rsid w:val="00DB26FB"/>
    <w:rsid w:val="00DB2CEA"/>
    <w:rsid w:val="00DB2DC0"/>
    <w:rsid w:val="00DB3A64"/>
    <w:rsid w:val="00DB436B"/>
    <w:rsid w:val="00DB51B3"/>
    <w:rsid w:val="00DB5E0F"/>
    <w:rsid w:val="00DB6A15"/>
    <w:rsid w:val="00DB70BE"/>
    <w:rsid w:val="00DB7EB6"/>
    <w:rsid w:val="00DB7F67"/>
    <w:rsid w:val="00DC0FBB"/>
    <w:rsid w:val="00DC12BC"/>
    <w:rsid w:val="00DC12E1"/>
    <w:rsid w:val="00DC15CF"/>
    <w:rsid w:val="00DC15ED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704"/>
    <w:rsid w:val="00DC39E5"/>
    <w:rsid w:val="00DC3CB4"/>
    <w:rsid w:val="00DC3EDD"/>
    <w:rsid w:val="00DC4350"/>
    <w:rsid w:val="00DC4862"/>
    <w:rsid w:val="00DC513A"/>
    <w:rsid w:val="00DC6175"/>
    <w:rsid w:val="00DC637B"/>
    <w:rsid w:val="00DC6EA0"/>
    <w:rsid w:val="00DC770C"/>
    <w:rsid w:val="00DC790E"/>
    <w:rsid w:val="00DC7AAF"/>
    <w:rsid w:val="00DD0F99"/>
    <w:rsid w:val="00DD1090"/>
    <w:rsid w:val="00DD132F"/>
    <w:rsid w:val="00DD2ADA"/>
    <w:rsid w:val="00DD30B2"/>
    <w:rsid w:val="00DD32EC"/>
    <w:rsid w:val="00DD3438"/>
    <w:rsid w:val="00DD3D7F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E6A"/>
    <w:rsid w:val="00DE279D"/>
    <w:rsid w:val="00DE2DDF"/>
    <w:rsid w:val="00DE3995"/>
    <w:rsid w:val="00DE4D9C"/>
    <w:rsid w:val="00DE5F4A"/>
    <w:rsid w:val="00DE6192"/>
    <w:rsid w:val="00DE68D8"/>
    <w:rsid w:val="00DE6EE2"/>
    <w:rsid w:val="00DE7474"/>
    <w:rsid w:val="00DE7E8F"/>
    <w:rsid w:val="00DF0BC0"/>
    <w:rsid w:val="00DF0EB0"/>
    <w:rsid w:val="00DF2577"/>
    <w:rsid w:val="00DF2815"/>
    <w:rsid w:val="00DF2939"/>
    <w:rsid w:val="00DF2A02"/>
    <w:rsid w:val="00DF2E7F"/>
    <w:rsid w:val="00DF2EAF"/>
    <w:rsid w:val="00DF30EE"/>
    <w:rsid w:val="00DF3FAB"/>
    <w:rsid w:val="00DF56AC"/>
    <w:rsid w:val="00DF5ABC"/>
    <w:rsid w:val="00DF6AE7"/>
    <w:rsid w:val="00DF6FFD"/>
    <w:rsid w:val="00DF7F37"/>
    <w:rsid w:val="00E00F2C"/>
    <w:rsid w:val="00E02403"/>
    <w:rsid w:val="00E027E8"/>
    <w:rsid w:val="00E03BC7"/>
    <w:rsid w:val="00E04F3B"/>
    <w:rsid w:val="00E05220"/>
    <w:rsid w:val="00E0525E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5CE"/>
    <w:rsid w:val="00E0776D"/>
    <w:rsid w:val="00E079E0"/>
    <w:rsid w:val="00E1041B"/>
    <w:rsid w:val="00E10CD6"/>
    <w:rsid w:val="00E10DC3"/>
    <w:rsid w:val="00E11711"/>
    <w:rsid w:val="00E1175A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8E8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3CF9"/>
    <w:rsid w:val="00E23DC3"/>
    <w:rsid w:val="00E24263"/>
    <w:rsid w:val="00E2532F"/>
    <w:rsid w:val="00E25A51"/>
    <w:rsid w:val="00E26273"/>
    <w:rsid w:val="00E263B1"/>
    <w:rsid w:val="00E26609"/>
    <w:rsid w:val="00E27C46"/>
    <w:rsid w:val="00E300F1"/>
    <w:rsid w:val="00E3038F"/>
    <w:rsid w:val="00E30B7A"/>
    <w:rsid w:val="00E31DD1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2C1A"/>
    <w:rsid w:val="00E538CF"/>
    <w:rsid w:val="00E53C87"/>
    <w:rsid w:val="00E53DB8"/>
    <w:rsid w:val="00E54306"/>
    <w:rsid w:val="00E558D4"/>
    <w:rsid w:val="00E558E4"/>
    <w:rsid w:val="00E55A2B"/>
    <w:rsid w:val="00E569DA"/>
    <w:rsid w:val="00E56B15"/>
    <w:rsid w:val="00E56B56"/>
    <w:rsid w:val="00E5730C"/>
    <w:rsid w:val="00E600E6"/>
    <w:rsid w:val="00E605BC"/>
    <w:rsid w:val="00E60808"/>
    <w:rsid w:val="00E6094F"/>
    <w:rsid w:val="00E61326"/>
    <w:rsid w:val="00E61434"/>
    <w:rsid w:val="00E614AA"/>
    <w:rsid w:val="00E618D5"/>
    <w:rsid w:val="00E61A10"/>
    <w:rsid w:val="00E62318"/>
    <w:rsid w:val="00E6298B"/>
    <w:rsid w:val="00E62D7E"/>
    <w:rsid w:val="00E630AC"/>
    <w:rsid w:val="00E6329F"/>
    <w:rsid w:val="00E635AF"/>
    <w:rsid w:val="00E64086"/>
    <w:rsid w:val="00E640D2"/>
    <w:rsid w:val="00E6449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1798"/>
    <w:rsid w:val="00E7186A"/>
    <w:rsid w:val="00E71B51"/>
    <w:rsid w:val="00E71BC7"/>
    <w:rsid w:val="00E71FFF"/>
    <w:rsid w:val="00E73ECC"/>
    <w:rsid w:val="00E74240"/>
    <w:rsid w:val="00E7471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21C"/>
    <w:rsid w:val="00E77426"/>
    <w:rsid w:val="00E77B0B"/>
    <w:rsid w:val="00E800DE"/>
    <w:rsid w:val="00E802A1"/>
    <w:rsid w:val="00E80699"/>
    <w:rsid w:val="00E80725"/>
    <w:rsid w:val="00E81FD3"/>
    <w:rsid w:val="00E82446"/>
    <w:rsid w:val="00E82708"/>
    <w:rsid w:val="00E82977"/>
    <w:rsid w:val="00E82C39"/>
    <w:rsid w:val="00E83335"/>
    <w:rsid w:val="00E83634"/>
    <w:rsid w:val="00E83882"/>
    <w:rsid w:val="00E838BE"/>
    <w:rsid w:val="00E84324"/>
    <w:rsid w:val="00E85820"/>
    <w:rsid w:val="00E858E0"/>
    <w:rsid w:val="00E85B74"/>
    <w:rsid w:val="00E8692F"/>
    <w:rsid w:val="00E86BBB"/>
    <w:rsid w:val="00E8769D"/>
    <w:rsid w:val="00E912AE"/>
    <w:rsid w:val="00E914EB"/>
    <w:rsid w:val="00E9195F"/>
    <w:rsid w:val="00E91DC0"/>
    <w:rsid w:val="00E926BB"/>
    <w:rsid w:val="00E92D25"/>
    <w:rsid w:val="00E9315C"/>
    <w:rsid w:val="00E93873"/>
    <w:rsid w:val="00E93B9A"/>
    <w:rsid w:val="00E93DFD"/>
    <w:rsid w:val="00E94BC6"/>
    <w:rsid w:val="00E953D1"/>
    <w:rsid w:val="00E9541D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34D"/>
    <w:rsid w:val="00EB040E"/>
    <w:rsid w:val="00EB1389"/>
    <w:rsid w:val="00EB16CF"/>
    <w:rsid w:val="00EB21C9"/>
    <w:rsid w:val="00EB2EE9"/>
    <w:rsid w:val="00EB3216"/>
    <w:rsid w:val="00EB3A2B"/>
    <w:rsid w:val="00EB493D"/>
    <w:rsid w:val="00EB4A40"/>
    <w:rsid w:val="00EB5BE2"/>
    <w:rsid w:val="00EB63CA"/>
    <w:rsid w:val="00EB6539"/>
    <w:rsid w:val="00EB6697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819"/>
    <w:rsid w:val="00EC5B15"/>
    <w:rsid w:val="00EC5F03"/>
    <w:rsid w:val="00ED14DB"/>
    <w:rsid w:val="00ED17DB"/>
    <w:rsid w:val="00ED24DE"/>
    <w:rsid w:val="00ED316F"/>
    <w:rsid w:val="00ED402E"/>
    <w:rsid w:val="00ED4412"/>
    <w:rsid w:val="00ED4606"/>
    <w:rsid w:val="00ED47EC"/>
    <w:rsid w:val="00ED48D3"/>
    <w:rsid w:val="00ED52C8"/>
    <w:rsid w:val="00ED5318"/>
    <w:rsid w:val="00ED6992"/>
    <w:rsid w:val="00ED69DE"/>
    <w:rsid w:val="00ED6B96"/>
    <w:rsid w:val="00ED709C"/>
    <w:rsid w:val="00ED7456"/>
    <w:rsid w:val="00ED74BA"/>
    <w:rsid w:val="00ED786F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E16"/>
    <w:rsid w:val="00EE417D"/>
    <w:rsid w:val="00EE489D"/>
    <w:rsid w:val="00EE5241"/>
    <w:rsid w:val="00EE53A4"/>
    <w:rsid w:val="00EE55C6"/>
    <w:rsid w:val="00EE5687"/>
    <w:rsid w:val="00EE5E14"/>
    <w:rsid w:val="00EE6330"/>
    <w:rsid w:val="00EE651A"/>
    <w:rsid w:val="00EE6829"/>
    <w:rsid w:val="00EE6872"/>
    <w:rsid w:val="00EE6AFC"/>
    <w:rsid w:val="00EE6E27"/>
    <w:rsid w:val="00EE6E7C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8EE"/>
    <w:rsid w:val="00EF2F72"/>
    <w:rsid w:val="00EF2FDC"/>
    <w:rsid w:val="00EF398A"/>
    <w:rsid w:val="00EF4A8B"/>
    <w:rsid w:val="00EF4EFE"/>
    <w:rsid w:val="00EF64BE"/>
    <w:rsid w:val="00EF6C6E"/>
    <w:rsid w:val="00EF6CF6"/>
    <w:rsid w:val="00EF6D1F"/>
    <w:rsid w:val="00EF6DC3"/>
    <w:rsid w:val="00EF73AC"/>
    <w:rsid w:val="00F00978"/>
    <w:rsid w:val="00F01E45"/>
    <w:rsid w:val="00F02206"/>
    <w:rsid w:val="00F02A69"/>
    <w:rsid w:val="00F02B02"/>
    <w:rsid w:val="00F03DC7"/>
    <w:rsid w:val="00F04192"/>
    <w:rsid w:val="00F04383"/>
    <w:rsid w:val="00F047AA"/>
    <w:rsid w:val="00F0509D"/>
    <w:rsid w:val="00F0538C"/>
    <w:rsid w:val="00F05E94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7F4"/>
    <w:rsid w:val="00F119C3"/>
    <w:rsid w:val="00F11D93"/>
    <w:rsid w:val="00F12077"/>
    <w:rsid w:val="00F122C0"/>
    <w:rsid w:val="00F123D5"/>
    <w:rsid w:val="00F1254B"/>
    <w:rsid w:val="00F12951"/>
    <w:rsid w:val="00F134C8"/>
    <w:rsid w:val="00F134D7"/>
    <w:rsid w:val="00F13603"/>
    <w:rsid w:val="00F13AD1"/>
    <w:rsid w:val="00F13BC9"/>
    <w:rsid w:val="00F14A72"/>
    <w:rsid w:val="00F15458"/>
    <w:rsid w:val="00F1592D"/>
    <w:rsid w:val="00F15C76"/>
    <w:rsid w:val="00F15D70"/>
    <w:rsid w:val="00F16A4B"/>
    <w:rsid w:val="00F16AC3"/>
    <w:rsid w:val="00F1758E"/>
    <w:rsid w:val="00F17918"/>
    <w:rsid w:val="00F17D4C"/>
    <w:rsid w:val="00F20059"/>
    <w:rsid w:val="00F20699"/>
    <w:rsid w:val="00F20F9C"/>
    <w:rsid w:val="00F2127F"/>
    <w:rsid w:val="00F21976"/>
    <w:rsid w:val="00F228E3"/>
    <w:rsid w:val="00F22EF9"/>
    <w:rsid w:val="00F23616"/>
    <w:rsid w:val="00F23D8B"/>
    <w:rsid w:val="00F23E06"/>
    <w:rsid w:val="00F250B2"/>
    <w:rsid w:val="00F26897"/>
    <w:rsid w:val="00F26C68"/>
    <w:rsid w:val="00F2750E"/>
    <w:rsid w:val="00F27836"/>
    <w:rsid w:val="00F27B62"/>
    <w:rsid w:val="00F27F03"/>
    <w:rsid w:val="00F27FC0"/>
    <w:rsid w:val="00F304F2"/>
    <w:rsid w:val="00F305D9"/>
    <w:rsid w:val="00F317C1"/>
    <w:rsid w:val="00F31B40"/>
    <w:rsid w:val="00F3221C"/>
    <w:rsid w:val="00F32FC8"/>
    <w:rsid w:val="00F3347A"/>
    <w:rsid w:val="00F337C1"/>
    <w:rsid w:val="00F33CE4"/>
    <w:rsid w:val="00F34894"/>
    <w:rsid w:val="00F36D90"/>
    <w:rsid w:val="00F4004D"/>
    <w:rsid w:val="00F407F6"/>
    <w:rsid w:val="00F40FCE"/>
    <w:rsid w:val="00F416BF"/>
    <w:rsid w:val="00F41F65"/>
    <w:rsid w:val="00F420D4"/>
    <w:rsid w:val="00F43424"/>
    <w:rsid w:val="00F43DFC"/>
    <w:rsid w:val="00F43FE9"/>
    <w:rsid w:val="00F441F1"/>
    <w:rsid w:val="00F44541"/>
    <w:rsid w:val="00F44AE4"/>
    <w:rsid w:val="00F454DA"/>
    <w:rsid w:val="00F45600"/>
    <w:rsid w:val="00F458BE"/>
    <w:rsid w:val="00F459BA"/>
    <w:rsid w:val="00F45A03"/>
    <w:rsid w:val="00F463B8"/>
    <w:rsid w:val="00F46D77"/>
    <w:rsid w:val="00F470D4"/>
    <w:rsid w:val="00F47218"/>
    <w:rsid w:val="00F4754E"/>
    <w:rsid w:val="00F510E2"/>
    <w:rsid w:val="00F51467"/>
    <w:rsid w:val="00F519BE"/>
    <w:rsid w:val="00F51F39"/>
    <w:rsid w:val="00F52330"/>
    <w:rsid w:val="00F529F2"/>
    <w:rsid w:val="00F52DDA"/>
    <w:rsid w:val="00F53962"/>
    <w:rsid w:val="00F54086"/>
    <w:rsid w:val="00F54427"/>
    <w:rsid w:val="00F54572"/>
    <w:rsid w:val="00F546D2"/>
    <w:rsid w:val="00F54D19"/>
    <w:rsid w:val="00F54E5C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EB5"/>
    <w:rsid w:val="00F66FC8"/>
    <w:rsid w:val="00F678B6"/>
    <w:rsid w:val="00F706DD"/>
    <w:rsid w:val="00F7077A"/>
    <w:rsid w:val="00F720D8"/>
    <w:rsid w:val="00F72194"/>
    <w:rsid w:val="00F72734"/>
    <w:rsid w:val="00F72B0C"/>
    <w:rsid w:val="00F72F2D"/>
    <w:rsid w:val="00F72FD4"/>
    <w:rsid w:val="00F7332F"/>
    <w:rsid w:val="00F7357D"/>
    <w:rsid w:val="00F73BB8"/>
    <w:rsid w:val="00F7419D"/>
    <w:rsid w:val="00F746B2"/>
    <w:rsid w:val="00F74E2C"/>
    <w:rsid w:val="00F7555E"/>
    <w:rsid w:val="00F75859"/>
    <w:rsid w:val="00F75938"/>
    <w:rsid w:val="00F75BEE"/>
    <w:rsid w:val="00F75D8A"/>
    <w:rsid w:val="00F75FCC"/>
    <w:rsid w:val="00F760AC"/>
    <w:rsid w:val="00F7649F"/>
    <w:rsid w:val="00F76A6A"/>
    <w:rsid w:val="00F7703E"/>
    <w:rsid w:val="00F772F5"/>
    <w:rsid w:val="00F77D1F"/>
    <w:rsid w:val="00F77DC0"/>
    <w:rsid w:val="00F809CD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470A"/>
    <w:rsid w:val="00F94CF7"/>
    <w:rsid w:val="00F9519D"/>
    <w:rsid w:val="00F95688"/>
    <w:rsid w:val="00F96518"/>
    <w:rsid w:val="00F97056"/>
    <w:rsid w:val="00F97074"/>
    <w:rsid w:val="00F970BE"/>
    <w:rsid w:val="00F97375"/>
    <w:rsid w:val="00FA0A87"/>
    <w:rsid w:val="00FA2822"/>
    <w:rsid w:val="00FA2E1B"/>
    <w:rsid w:val="00FA34F5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709B"/>
    <w:rsid w:val="00FA791F"/>
    <w:rsid w:val="00FA79F8"/>
    <w:rsid w:val="00FB08AE"/>
    <w:rsid w:val="00FB0E8B"/>
    <w:rsid w:val="00FB15D0"/>
    <w:rsid w:val="00FB22A4"/>
    <w:rsid w:val="00FB26BC"/>
    <w:rsid w:val="00FB396D"/>
    <w:rsid w:val="00FB3D6E"/>
    <w:rsid w:val="00FB3FE9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2693"/>
    <w:rsid w:val="00FC2717"/>
    <w:rsid w:val="00FC2984"/>
    <w:rsid w:val="00FC29A4"/>
    <w:rsid w:val="00FC37E0"/>
    <w:rsid w:val="00FC42D8"/>
    <w:rsid w:val="00FC5534"/>
    <w:rsid w:val="00FC5A8C"/>
    <w:rsid w:val="00FC63A1"/>
    <w:rsid w:val="00FC64DD"/>
    <w:rsid w:val="00FC6F9A"/>
    <w:rsid w:val="00FC70DF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99F"/>
    <w:rsid w:val="00FE1310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4921F"/>
  <w15:docId w15:val="{BF3EA948-BCF3-4D9B-BA75-F81B67E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D2B3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thub.com/italia/covid19-opendata-vaccini/blob/master/dati/platea-second-booster.csv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hyperlink" Target="https://github.com/italia/covid19-opendata-vaccini/blob/master/dati/platea-booster-immunocompromessi.csv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icentro.iss.it/coronavirus/bollettino/Bollettino-sorveglianza-integrata-COVID-19_15-giugno-2022.pd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gimbe.or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hyperlink" Target="https://github.com/italia/covid19-opendata-vaccini/blob/master/dati/platea-dose-addizionale-booster.csv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s://www.epicentro.iss.it/coronavirus/bollettino/Bollettino-sorveglianza-integrata-COVID-19_15-giugno-2022.pdf" TargetMode="External"/><Relationship Id="rId14" Type="http://schemas.openxmlformats.org/officeDocument/2006/relationships/hyperlink" Target="https://coronavirus.gimbe.org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hyperlink" Target="https://www.iss.it/documents/20126/0/Relazione+tecnica+Flash+7+giugno+2022.pdf/4e9299a5-f54a-734c-6427-1565539a2e4f?t=165546796001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8DDC-55F2-47BE-93E3-3DA4565F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Cartabellotta</dc:creator>
  <cp:lastModifiedBy>Roberto Luceri</cp:lastModifiedBy>
  <cp:revision>9</cp:revision>
  <cp:lastPrinted>2022-05-04T09:11:00Z</cp:lastPrinted>
  <dcterms:created xsi:type="dcterms:W3CDTF">2022-06-22T11:09:00Z</dcterms:created>
  <dcterms:modified xsi:type="dcterms:W3CDTF">2022-06-22T13:52:00Z</dcterms:modified>
</cp:coreProperties>
</file>