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2" w:rsidRPr="00BF1EEA" w:rsidRDefault="00124E32" w:rsidP="002A7332">
      <w:pPr>
        <w:jc w:val="center"/>
        <w:rPr>
          <w:b/>
          <w:bCs/>
          <w:sz w:val="36"/>
          <w:szCs w:val="36"/>
        </w:rPr>
      </w:pPr>
      <w:r w:rsidRPr="00BF1EEA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61160A" w:rsidRPr="00696EC7" w:rsidRDefault="002C5AF4" w:rsidP="00C92B2C">
      <w:pPr>
        <w:spacing w:after="120"/>
        <w:jc w:val="center"/>
        <w:rPr>
          <w:b/>
          <w:sz w:val="32"/>
          <w:szCs w:val="32"/>
        </w:rPr>
      </w:pPr>
      <w:r w:rsidRPr="00696EC7">
        <w:rPr>
          <w:b/>
          <w:sz w:val="32"/>
          <w:szCs w:val="32"/>
        </w:rPr>
        <w:t>CORONAVIRUS:</w:t>
      </w:r>
      <w:r w:rsidR="0030124C" w:rsidRPr="00696EC7">
        <w:rPr>
          <w:b/>
          <w:sz w:val="32"/>
          <w:szCs w:val="32"/>
        </w:rPr>
        <w:t xml:space="preserve"> </w:t>
      </w:r>
      <w:r w:rsidR="00DB01EF">
        <w:rPr>
          <w:b/>
          <w:sz w:val="32"/>
          <w:szCs w:val="32"/>
        </w:rPr>
        <w:t xml:space="preserve">SBIADISCONO </w:t>
      </w:r>
      <w:r w:rsidR="00F4221F">
        <w:rPr>
          <w:b/>
          <w:sz w:val="32"/>
          <w:szCs w:val="32"/>
        </w:rPr>
        <w:t xml:space="preserve">EFFETTI </w:t>
      </w:r>
      <w:r w:rsidR="008E7282">
        <w:rPr>
          <w:b/>
          <w:sz w:val="32"/>
          <w:szCs w:val="32"/>
        </w:rPr>
        <w:t>MISURE RESTRITTIVE</w:t>
      </w:r>
      <w:r w:rsidR="00F4221F">
        <w:rPr>
          <w:b/>
          <w:sz w:val="32"/>
          <w:szCs w:val="32"/>
        </w:rPr>
        <w:t xml:space="preserve">, </w:t>
      </w:r>
      <w:r w:rsidR="00630D47">
        <w:rPr>
          <w:b/>
          <w:sz w:val="32"/>
          <w:szCs w:val="32"/>
        </w:rPr>
        <w:br/>
      </w:r>
      <w:r w:rsidR="00F4221F" w:rsidRPr="00162F69">
        <w:rPr>
          <w:b/>
          <w:sz w:val="32"/>
          <w:szCs w:val="32"/>
        </w:rPr>
        <w:t xml:space="preserve">POCHI VACCINI </w:t>
      </w:r>
      <w:r w:rsidR="00DB01EF">
        <w:rPr>
          <w:b/>
          <w:sz w:val="32"/>
          <w:szCs w:val="32"/>
        </w:rPr>
        <w:t>IN CASCINA</w:t>
      </w:r>
      <w:r w:rsidR="00CE09E6">
        <w:rPr>
          <w:b/>
          <w:sz w:val="32"/>
          <w:szCs w:val="32"/>
        </w:rPr>
        <w:t xml:space="preserve"> </w:t>
      </w:r>
      <w:r w:rsidR="00F4221F">
        <w:rPr>
          <w:b/>
          <w:sz w:val="32"/>
          <w:szCs w:val="32"/>
        </w:rPr>
        <w:t xml:space="preserve">E </w:t>
      </w:r>
      <w:r w:rsidR="008E7282">
        <w:rPr>
          <w:b/>
          <w:sz w:val="32"/>
          <w:szCs w:val="32"/>
        </w:rPr>
        <w:t xml:space="preserve">INCERTEZZE </w:t>
      </w:r>
      <w:r w:rsidR="00CE09E6">
        <w:rPr>
          <w:b/>
          <w:sz w:val="32"/>
          <w:szCs w:val="32"/>
        </w:rPr>
        <w:t xml:space="preserve">SU IMPATTO </w:t>
      </w:r>
      <w:r w:rsidR="00CE09E6" w:rsidRPr="00696EC7">
        <w:rPr>
          <w:b/>
          <w:sz w:val="32"/>
          <w:szCs w:val="32"/>
        </w:rPr>
        <w:t>VA</w:t>
      </w:r>
      <w:bookmarkStart w:id="0" w:name="_GoBack"/>
      <w:bookmarkEnd w:id="0"/>
      <w:r w:rsidR="00CE09E6" w:rsidRPr="00696EC7">
        <w:rPr>
          <w:b/>
          <w:sz w:val="32"/>
          <w:szCs w:val="32"/>
        </w:rPr>
        <w:t>RIANT</w:t>
      </w:r>
      <w:r w:rsidR="00CE09E6">
        <w:rPr>
          <w:b/>
          <w:sz w:val="32"/>
          <w:szCs w:val="32"/>
        </w:rPr>
        <w:t>E</w:t>
      </w:r>
      <w:r w:rsidR="00CE09E6" w:rsidRPr="00696EC7">
        <w:rPr>
          <w:b/>
          <w:sz w:val="32"/>
          <w:szCs w:val="32"/>
        </w:rPr>
        <w:t xml:space="preserve"> </w:t>
      </w:r>
      <w:r w:rsidR="00540352" w:rsidRPr="00696EC7">
        <w:rPr>
          <w:b/>
          <w:sz w:val="32"/>
          <w:szCs w:val="32"/>
        </w:rPr>
        <w:t>UK</w:t>
      </w:r>
      <w:r w:rsidR="00C92B2C">
        <w:rPr>
          <w:b/>
          <w:sz w:val="32"/>
          <w:szCs w:val="32"/>
        </w:rPr>
        <w:t>.</w:t>
      </w:r>
      <w:r w:rsidR="00C92B2C">
        <w:rPr>
          <w:b/>
          <w:sz w:val="32"/>
          <w:szCs w:val="32"/>
        </w:rPr>
        <w:br/>
        <w:t xml:space="preserve">INDISPENSABILE </w:t>
      </w:r>
      <w:r w:rsidR="0019180C">
        <w:rPr>
          <w:b/>
          <w:sz w:val="32"/>
          <w:szCs w:val="32"/>
        </w:rPr>
        <w:t>RIVALUTARE PIANO GESTIONE PANDEMIA.</w:t>
      </w:r>
    </w:p>
    <w:p w:rsidR="003852CD" w:rsidRPr="0030124C" w:rsidRDefault="00AF55A7" w:rsidP="00AF55A7">
      <w:pPr>
        <w:spacing w:after="120"/>
        <w:jc w:val="both"/>
        <w:rPr>
          <w:b/>
          <w:sz w:val="23"/>
          <w:szCs w:val="23"/>
        </w:rPr>
      </w:pPr>
      <w:r w:rsidRPr="0030124C">
        <w:rPr>
          <w:b/>
          <w:sz w:val="23"/>
          <w:szCs w:val="23"/>
        </w:rPr>
        <w:t>IL MONI</w:t>
      </w:r>
      <w:r w:rsidR="00B276DB" w:rsidRPr="0030124C">
        <w:rPr>
          <w:b/>
          <w:sz w:val="23"/>
          <w:szCs w:val="23"/>
        </w:rPr>
        <w:t xml:space="preserve">TORAGGIO DELLA FONDAZIONE </w:t>
      </w:r>
      <w:r w:rsidR="00E61480" w:rsidRPr="0030124C">
        <w:rPr>
          <w:b/>
          <w:sz w:val="23"/>
          <w:szCs w:val="23"/>
        </w:rPr>
        <w:t>GIMBE</w:t>
      </w:r>
      <w:r w:rsidR="00B276DB" w:rsidRPr="0030124C">
        <w:rPr>
          <w:b/>
          <w:sz w:val="23"/>
          <w:szCs w:val="23"/>
        </w:rPr>
        <w:t xml:space="preserve"> </w:t>
      </w:r>
      <w:r w:rsidRPr="0030124C">
        <w:rPr>
          <w:b/>
          <w:sz w:val="23"/>
          <w:szCs w:val="23"/>
        </w:rPr>
        <w:t xml:space="preserve">NELLA SETTIMANA </w:t>
      </w:r>
      <w:r w:rsidR="00B33192" w:rsidRPr="0030124C">
        <w:rPr>
          <w:b/>
          <w:sz w:val="23"/>
          <w:szCs w:val="23"/>
        </w:rPr>
        <w:t>16</w:t>
      </w:r>
      <w:r w:rsidR="000009D8" w:rsidRPr="0030124C">
        <w:rPr>
          <w:b/>
          <w:sz w:val="23"/>
          <w:szCs w:val="23"/>
        </w:rPr>
        <w:t>-</w:t>
      </w:r>
      <w:r w:rsidR="00B33192" w:rsidRPr="0030124C">
        <w:rPr>
          <w:b/>
          <w:sz w:val="23"/>
          <w:szCs w:val="23"/>
        </w:rPr>
        <w:t>22</w:t>
      </w:r>
      <w:r w:rsidR="00180E36" w:rsidRPr="0030124C">
        <w:rPr>
          <w:b/>
          <w:sz w:val="23"/>
          <w:szCs w:val="23"/>
        </w:rPr>
        <w:t xml:space="preserve"> DICEMBRE</w:t>
      </w:r>
      <w:r w:rsidR="00B276DB" w:rsidRPr="0030124C">
        <w:rPr>
          <w:b/>
          <w:sz w:val="23"/>
          <w:szCs w:val="23"/>
        </w:rPr>
        <w:t xml:space="preserve"> </w:t>
      </w:r>
      <w:r w:rsidR="001A542A">
        <w:rPr>
          <w:b/>
          <w:sz w:val="23"/>
          <w:szCs w:val="23"/>
        </w:rPr>
        <w:t>RILEVA</w:t>
      </w:r>
      <w:r w:rsidR="001A542A" w:rsidRPr="0030124C">
        <w:rPr>
          <w:b/>
          <w:sz w:val="23"/>
          <w:szCs w:val="23"/>
        </w:rPr>
        <w:t xml:space="preserve"> </w:t>
      </w:r>
      <w:r w:rsidR="0013076F" w:rsidRPr="0030124C">
        <w:rPr>
          <w:b/>
          <w:sz w:val="23"/>
          <w:szCs w:val="23"/>
        </w:rPr>
        <w:t xml:space="preserve">UN </w:t>
      </w:r>
      <w:r w:rsidR="004C50CE">
        <w:rPr>
          <w:b/>
          <w:sz w:val="23"/>
          <w:szCs w:val="23"/>
        </w:rPr>
        <w:t>LEGGERO</w:t>
      </w:r>
      <w:r w:rsidR="004C50CE" w:rsidRPr="0030124C">
        <w:rPr>
          <w:b/>
          <w:sz w:val="23"/>
          <w:szCs w:val="23"/>
        </w:rPr>
        <w:t xml:space="preserve"> </w:t>
      </w:r>
      <w:r w:rsidR="009C4F75" w:rsidRPr="0030124C">
        <w:rPr>
          <w:b/>
          <w:sz w:val="23"/>
          <w:szCs w:val="23"/>
        </w:rPr>
        <w:t>RALLENTAMENTO NELLA CRESCITA D</w:t>
      </w:r>
      <w:r w:rsidR="0091637D" w:rsidRPr="0030124C">
        <w:rPr>
          <w:b/>
          <w:sz w:val="23"/>
          <w:szCs w:val="23"/>
        </w:rPr>
        <w:t>E</w:t>
      </w:r>
      <w:r w:rsidR="00B4477E" w:rsidRPr="0030124C">
        <w:rPr>
          <w:b/>
          <w:sz w:val="23"/>
          <w:szCs w:val="23"/>
        </w:rPr>
        <w:t>I NUOVI CASI</w:t>
      </w:r>
      <w:r w:rsidR="00ED06A4" w:rsidRPr="0030124C">
        <w:rPr>
          <w:b/>
          <w:sz w:val="23"/>
          <w:szCs w:val="23"/>
        </w:rPr>
        <w:t>.</w:t>
      </w:r>
      <w:r w:rsidR="00B4477E" w:rsidRPr="0030124C">
        <w:rPr>
          <w:b/>
          <w:sz w:val="23"/>
          <w:szCs w:val="23"/>
        </w:rPr>
        <w:t xml:space="preserve"> </w:t>
      </w:r>
      <w:r w:rsidR="00D573B7" w:rsidRPr="0030124C">
        <w:rPr>
          <w:b/>
          <w:sz w:val="23"/>
          <w:szCs w:val="23"/>
        </w:rPr>
        <w:t xml:space="preserve">SI RIDUCE </w:t>
      </w:r>
      <w:r w:rsidR="00B4477E" w:rsidRPr="0030124C">
        <w:rPr>
          <w:b/>
          <w:sz w:val="23"/>
          <w:szCs w:val="23"/>
        </w:rPr>
        <w:t xml:space="preserve">LA PRESSIONE SUGLI OSPEDALI, </w:t>
      </w:r>
      <w:r w:rsidR="00ED06A4" w:rsidRPr="0030124C">
        <w:rPr>
          <w:b/>
          <w:sz w:val="23"/>
          <w:szCs w:val="23"/>
        </w:rPr>
        <w:t xml:space="preserve">MA AREA MEDICA E </w:t>
      </w:r>
      <w:r w:rsidR="00E61480" w:rsidRPr="0030124C">
        <w:rPr>
          <w:b/>
          <w:sz w:val="23"/>
          <w:szCs w:val="23"/>
        </w:rPr>
        <w:t xml:space="preserve">TERAPIE INTENSIVE </w:t>
      </w:r>
      <w:r w:rsidR="0089039D" w:rsidRPr="0030124C">
        <w:rPr>
          <w:b/>
          <w:sz w:val="23"/>
          <w:szCs w:val="23"/>
        </w:rPr>
        <w:t>RIMANGONO</w:t>
      </w:r>
      <w:r w:rsidR="003852CD" w:rsidRPr="0030124C">
        <w:rPr>
          <w:b/>
          <w:sz w:val="23"/>
          <w:szCs w:val="23"/>
        </w:rPr>
        <w:t xml:space="preserve"> </w:t>
      </w:r>
      <w:r w:rsidR="0038066D" w:rsidRPr="0030124C">
        <w:rPr>
          <w:b/>
          <w:sz w:val="23"/>
          <w:szCs w:val="23"/>
        </w:rPr>
        <w:t xml:space="preserve">SOPRA SOGLIA DI SATURAZIONE </w:t>
      </w:r>
      <w:r w:rsidR="00C82B51" w:rsidRPr="0030124C">
        <w:rPr>
          <w:b/>
          <w:sz w:val="23"/>
          <w:szCs w:val="23"/>
        </w:rPr>
        <w:t xml:space="preserve">RISPETTIVAMENTE </w:t>
      </w:r>
      <w:r w:rsidR="00BC6293" w:rsidRPr="0030124C">
        <w:rPr>
          <w:b/>
          <w:sz w:val="23"/>
          <w:szCs w:val="23"/>
        </w:rPr>
        <w:t xml:space="preserve">IN </w:t>
      </w:r>
      <w:r w:rsidR="00EE3A14" w:rsidRPr="0030124C">
        <w:rPr>
          <w:b/>
          <w:sz w:val="23"/>
          <w:szCs w:val="23"/>
        </w:rPr>
        <w:t xml:space="preserve">9 </w:t>
      </w:r>
      <w:r w:rsidR="00C82B51" w:rsidRPr="0030124C">
        <w:rPr>
          <w:b/>
          <w:sz w:val="23"/>
          <w:szCs w:val="23"/>
        </w:rPr>
        <w:t xml:space="preserve">E </w:t>
      </w:r>
      <w:r w:rsidR="008F3F84">
        <w:rPr>
          <w:b/>
          <w:sz w:val="23"/>
          <w:szCs w:val="23"/>
        </w:rPr>
        <w:t>8</w:t>
      </w:r>
      <w:r w:rsidR="008F3F84" w:rsidRPr="0030124C">
        <w:rPr>
          <w:b/>
          <w:sz w:val="23"/>
          <w:szCs w:val="23"/>
        </w:rPr>
        <w:t xml:space="preserve"> </w:t>
      </w:r>
      <w:r w:rsidR="00BC6293" w:rsidRPr="0030124C">
        <w:rPr>
          <w:b/>
          <w:sz w:val="23"/>
          <w:szCs w:val="23"/>
        </w:rPr>
        <w:t>REGIONI</w:t>
      </w:r>
      <w:r w:rsidR="00A16704" w:rsidRPr="0030124C">
        <w:rPr>
          <w:b/>
          <w:sz w:val="23"/>
          <w:szCs w:val="23"/>
        </w:rPr>
        <w:t>.</w:t>
      </w:r>
      <w:r w:rsidR="00EA569B" w:rsidRPr="0030124C">
        <w:rPr>
          <w:b/>
          <w:sz w:val="23"/>
          <w:szCs w:val="23"/>
        </w:rPr>
        <w:t xml:space="preserve"> </w:t>
      </w:r>
      <w:r w:rsidR="00EE3A14" w:rsidRPr="0030124C">
        <w:rPr>
          <w:b/>
          <w:sz w:val="23"/>
          <w:szCs w:val="23"/>
        </w:rPr>
        <w:t>IN LIEVE RIDUZIONE</w:t>
      </w:r>
      <w:r w:rsidR="0010669B" w:rsidRPr="0030124C">
        <w:rPr>
          <w:b/>
          <w:sz w:val="23"/>
          <w:szCs w:val="23"/>
        </w:rPr>
        <w:t xml:space="preserve"> </w:t>
      </w:r>
      <w:r w:rsidR="00EA569B" w:rsidRPr="0030124C">
        <w:rPr>
          <w:b/>
          <w:sz w:val="23"/>
          <w:szCs w:val="23"/>
        </w:rPr>
        <w:t>IL NUMERO DEI DECESSI</w:t>
      </w:r>
      <w:r w:rsidR="0030124C" w:rsidRPr="0030124C">
        <w:rPr>
          <w:b/>
          <w:sz w:val="23"/>
          <w:szCs w:val="23"/>
        </w:rPr>
        <w:t xml:space="preserve"> CHE SFIORANO</w:t>
      </w:r>
      <w:r w:rsidR="001A542A">
        <w:rPr>
          <w:b/>
          <w:sz w:val="23"/>
          <w:szCs w:val="23"/>
        </w:rPr>
        <w:t xml:space="preserve"> COMUNQUE</w:t>
      </w:r>
      <w:r w:rsidR="0030124C" w:rsidRPr="0030124C">
        <w:rPr>
          <w:b/>
          <w:sz w:val="23"/>
          <w:szCs w:val="23"/>
        </w:rPr>
        <w:t xml:space="preserve"> I 4</w:t>
      </w:r>
      <w:r w:rsidR="001A542A">
        <w:rPr>
          <w:b/>
          <w:sz w:val="23"/>
          <w:szCs w:val="23"/>
        </w:rPr>
        <w:t>.</w:t>
      </w:r>
      <w:r w:rsidR="0030124C" w:rsidRPr="0030124C">
        <w:rPr>
          <w:b/>
          <w:sz w:val="23"/>
          <w:szCs w:val="23"/>
        </w:rPr>
        <w:t>000</w:t>
      </w:r>
      <w:r w:rsidR="001A542A">
        <w:rPr>
          <w:b/>
          <w:sz w:val="23"/>
          <w:szCs w:val="23"/>
        </w:rPr>
        <w:t xml:space="preserve"> IN UNA SETTIMANA</w:t>
      </w:r>
      <w:r w:rsidR="00EA569B" w:rsidRPr="0030124C">
        <w:rPr>
          <w:b/>
          <w:sz w:val="23"/>
          <w:szCs w:val="23"/>
        </w:rPr>
        <w:t>.</w:t>
      </w:r>
      <w:r w:rsidR="00BC6293" w:rsidRPr="0030124C">
        <w:rPr>
          <w:b/>
          <w:sz w:val="23"/>
          <w:szCs w:val="23"/>
        </w:rPr>
        <w:t xml:space="preserve"> </w:t>
      </w:r>
      <w:r w:rsidR="00630D47">
        <w:rPr>
          <w:b/>
          <w:sz w:val="23"/>
          <w:szCs w:val="23"/>
        </w:rPr>
        <w:t>VACCINI</w:t>
      </w:r>
      <w:r w:rsidR="004C50CE">
        <w:rPr>
          <w:b/>
          <w:sz w:val="23"/>
          <w:szCs w:val="23"/>
        </w:rPr>
        <w:t xml:space="preserve">: </w:t>
      </w:r>
      <w:r w:rsidR="00630D47">
        <w:rPr>
          <w:b/>
          <w:sz w:val="23"/>
          <w:szCs w:val="23"/>
        </w:rPr>
        <w:t>IN ITALIA ACCORDI PER OLTRE 202</w:t>
      </w:r>
      <w:r w:rsidR="00EE3A14" w:rsidRPr="0030124C">
        <w:rPr>
          <w:b/>
          <w:sz w:val="23"/>
          <w:szCs w:val="23"/>
        </w:rPr>
        <w:t xml:space="preserve"> MILIONI DI </w:t>
      </w:r>
      <w:r w:rsidR="0030124C">
        <w:rPr>
          <w:b/>
          <w:sz w:val="23"/>
          <w:szCs w:val="23"/>
        </w:rPr>
        <w:t>DOSI</w:t>
      </w:r>
      <w:r w:rsidR="00630D47">
        <w:rPr>
          <w:b/>
          <w:sz w:val="23"/>
          <w:szCs w:val="23"/>
        </w:rPr>
        <w:t>,</w:t>
      </w:r>
      <w:r w:rsidR="0030124C">
        <w:rPr>
          <w:b/>
          <w:sz w:val="23"/>
          <w:szCs w:val="23"/>
        </w:rPr>
        <w:t xml:space="preserve"> </w:t>
      </w:r>
      <w:r w:rsidR="00630D47">
        <w:rPr>
          <w:b/>
          <w:sz w:val="23"/>
          <w:szCs w:val="23"/>
        </w:rPr>
        <w:t xml:space="preserve">MA DISPONIBILITÀ </w:t>
      </w:r>
      <w:r w:rsidR="004C50CE">
        <w:rPr>
          <w:b/>
          <w:sz w:val="23"/>
          <w:szCs w:val="23"/>
        </w:rPr>
        <w:t xml:space="preserve">CERTE SOLO </w:t>
      </w:r>
      <w:r w:rsidR="00630D47">
        <w:rPr>
          <w:b/>
          <w:sz w:val="23"/>
          <w:szCs w:val="23"/>
        </w:rPr>
        <w:t>PER 10 MILIONI ENTRO MARZO E</w:t>
      </w:r>
      <w:r w:rsidR="004C50CE">
        <w:rPr>
          <w:b/>
          <w:sz w:val="23"/>
          <w:szCs w:val="23"/>
        </w:rPr>
        <w:t xml:space="preserve"> </w:t>
      </w:r>
      <w:r w:rsidR="00EE3A14" w:rsidRPr="0030124C">
        <w:rPr>
          <w:b/>
          <w:sz w:val="23"/>
          <w:szCs w:val="23"/>
        </w:rPr>
        <w:t>22,8 MILIONI</w:t>
      </w:r>
      <w:r w:rsidR="00630D47">
        <w:rPr>
          <w:b/>
          <w:sz w:val="23"/>
          <w:szCs w:val="23"/>
        </w:rPr>
        <w:t xml:space="preserve"> </w:t>
      </w:r>
      <w:r w:rsidR="009E5B4E">
        <w:rPr>
          <w:b/>
          <w:sz w:val="23"/>
          <w:szCs w:val="23"/>
        </w:rPr>
        <w:t>PER</w:t>
      </w:r>
      <w:r w:rsidR="00630D47">
        <w:rPr>
          <w:b/>
          <w:sz w:val="23"/>
          <w:szCs w:val="23"/>
        </w:rPr>
        <w:t xml:space="preserve"> GIUGNO</w:t>
      </w:r>
      <w:r w:rsidR="00EE3A14" w:rsidRPr="0030124C">
        <w:rPr>
          <w:b/>
          <w:sz w:val="23"/>
          <w:szCs w:val="23"/>
        </w:rPr>
        <w:t xml:space="preserve">. CONSIDERANDO </w:t>
      </w:r>
      <w:r w:rsidR="001503C2">
        <w:rPr>
          <w:b/>
          <w:sz w:val="23"/>
          <w:szCs w:val="23"/>
        </w:rPr>
        <w:t xml:space="preserve">IL PROGRESSIVO </w:t>
      </w:r>
      <w:r w:rsidR="00EE3A14" w:rsidRPr="0030124C">
        <w:rPr>
          <w:b/>
          <w:sz w:val="23"/>
          <w:szCs w:val="23"/>
        </w:rPr>
        <w:t xml:space="preserve">ESAURIMENTO </w:t>
      </w:r>
      <w:r w:rsidR="00FC3AF4" w:rsidRPr="0030124C">
        <w:rPr>
          <w:b/>
          <w:sz w:val="23"/>
          <w:szCs w:val="23"/>
        </w:rPr>
        <w:t xml:space="preserve">DEGLI </w:t>
      </w:r>
      <w:r w:rsidR="00EE3A14" w:rsidRPr="0030124C">
        <w:rPr>
          <w:b/>
          <w:sz w:val="23"/>
          <w:szCs w:val="23"/>
        </w:rPr>
        <w:t xml:space="preserve">EFFETTI </w:t>
      </w:r>
      <w:r w:rsidR="00FC3AF4" w:rsidRPr="0030124C">
        <w:rPr>
          <w:b/>
          <w:sz w:val="23"/>
          <w:szCs w:val="23"/>
        </w:rPr>
        <w:t xml:space="preserve">DELLE </w:t>
      </w:r>
      <w:r w:rsidR="00EE3A14" w:rsidRPr="0030124C">
        <w:rPr>
          <w:b/>
          <w:sz w:val="23"/>
          <w:szCs w:val="23"/>
        </w:rPr>
        <w:t xml:space="preserve">MISURE </w:t>
      </w:r>
      <w:r w:rsidR="001503C2">
        <w:rPr>
          <w:b/>
          <w:sz w:val="23"/>
          <w:szCs w:val="23"/>
        </w:rPr>
        <w:t xml:space="preserve">DI </w:t>
      </w:r>
      <w:r w:rsidR="00EE3A14" w:rsidRPr="0036380C">
        <w:rPr>
          <w:b/>
          <w:sz w:val="23"/>
          <w:szCs w:val="23"/>
        </w:rPr>
        <w:t>CONTENIMENTO</w:t>
      </w:r>
      <w:r w:rsidR="00C92B2C">
        <w:rPr>
          <w:b/>
          <w:sz w:val="23"/>
          <w:szCs w:val="23"/>
        </w:rPr>
        <w:t xml:space="preserve"> E </w:t>
      </w:r>
      <w:r w:rsidR="00FC3AF4" w:rsidRPr="0030124C">
        <w:rPr>
          <w:b/>
          <w:sz w:val="23"/>
          <w:szCs w:val="23"/>
        </w:rPr>
        <w:t xml:space="preserve">IL </w:t>
      </w:r>
      <w:r w:rsidR="0030124C">
        <w:rPr>
          <w:b/>
          <w:sz w:val="23"/>
          <w:szCs w:val="23"/>
        </w:rPr>
        <w:t xml:space="preserve">POSSIBILE IMPATTO </w:t>
      </w:r>
      <w:r w:rsidR="00630D47">
        <w:rPr>
          <w:b/>
          <w:sz w:val="23"/>
          <w:szCs w:val="23"/>
        </w:rPr>
        <w:t xml:space="preserve">DELLA </w:t>
      </w:r>
      <w:r w:rsidR="0030124C">
        <w:rPr>
          <w:b/>
          <w:sz w:val="23"/>
          <w:szCs w:val="23"/>
        </w:rPr>
        <w:t>VARIANTE UK</w:t>
      </w:r>
      <w:r w:rsidR="0036380C">
        <w:rPr>
          <w:b/>
          <w:sz w:val="23"/>
          <w:szCs w:val="23"/>
        </w:rPr>
        <w:t>,</w:t>
      </w:r>
      <w:r w:rsidR="0030124C">
        <w:rPr>
          <w:b/>
          <w:sz w:val="23"/>
          <w:szCs w:val="23"/>
        </w:rPr>
        <w:t xml:space="preserve"> </w:t>
      </w:r>
      <w:r w:rsidR="00C92B2C">
        <w:rPr>
          <w:b/>
          <w:sz w:val="23"/>
          <w:szCs w:val="23"/>
        </w:rPr>
        <w:t xml:space="preserve">LA FONDAZIONE GIMBE RITIENE INDISPENSABILE </w:t>
      </w:r>
      <w:r w:rsidR="00954956">
        <w:rPr>
          <w:b/>
          <w:sz w:val="23"/>
          <w:szCs w:val="23"/>
        </w:rPr>
        <w:t>RIVALUTARE</w:t>
      </w:r>
      <w:r w:rsidR="00FC3AF4" w:rsidRPr="0030124C">
        <w:rPr>
          <w:b/>
          <w:sz w:val="23"/>
          <w:szCs w:val="23"/>
        </w:rPr>
        <w:t xml:space="preserve"> </w:t>
      </w:r>
      <w:r w:rsidR="00954956">
        <w:rPr>
          <w:b/>
          <w:sz w:val="23"/>
          <w:szCs w:val="23"/>
        </w:rPr>
        <w:t xml:space="preserve">IL </w:t>
      </w:r>
      <w:r w:rsidR="00FC3AF4" w:rsidRPr="0030124C">
        <w:rPr>
          <w:b/>
          <w:sz w:val="23"/>
          <w:szCs w:val="23"/>
        </w:rPr>
        <w:t xml:space="preserve">PIANO </w:t>
      </w:r>
      <w:r w:rsidR="0030124C">
        <w:rPr>
          <w:b/>
          <w:sz w:val="23"/>
          <w:szCs w:val="23"/>
        </w:rPr>
        <w:t xml:space="preserve">DI </w:t>
      </w:r>
      <w:r w:rsidR="001A542A">
        <w:rPr>
          <w:b/>
          <w:sz w:val="23"/>
          <w:szCs w:val="23"/>
        </w:rPr>
        <w:t xml:space="preserve">GESTIONE </w:t>
      </w:r>
      <w:r w:rsidR="0084200E">
        <w:rPr>
          <w:b/>
          <w:sz w:val="23"/>
          <w:szCs w:val="23"/>
        </w:rPr>
        <w:t>DELLA PANDEMIA</w:t>
      </w:r>
      <w:r w:rsidR="00FC3AF4" w:rsidRPr="0030124C">
        <w:rPr>
          <w:b/>
          <w:sz w:val="23"/>
          <w:szCs w:val="23"/>
        </w:rPr>
        <w:t>.</w:t>
      </w:r>
    </w:p>
    <w:p w:rsidR="00B443D8" w:rsidRPr="00B33192" w:rsidRDefault="00B33192" w:rsidP="00EC6CAA">
      <w:pPr>
        <w:spacing w:after="12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B33192">
        <w:rPr>
          <w:rFonts w:ascii="Calibri" w:eastAsia="Calibri" w:hAnsi="Calibri" w:cs="Times New Roman"/>
          <w:b/>
          <w:bCs/>
          <w:sz w:val="24"/>
          <w:szCs w:val="24"/>
        </w:rPr>
        <w:t>23</w:t>
      </w:r>
      <w:r w:rsidR="00667A0A" w:rsidRPr="00B3319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180E36" w:rsidRPr="00B33192">
        <w:rPr>
          <w:rFonts w:ascii="Calibri" w:eastAsia="Calibri" w:hAnsi="Calibri" w:cs="Times New Roman"/>
          <w:b/>
          <w:bCs/>
          <w:sz w:val="24"/>
          <w:szCs w:val="24"/>
        </w:rPr>
        <w:t>dicembre</w:t>
      </w:r>
      <w:r w:rsidR="007D6A5B" w:rsidRPr="00B3319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7F3F63" w:rsidRPr="00B33192">
        <w:rPr>
          <w:rFonts w:ascii="Calibri" w:eastAsia="Calibri" w:hAnsi="Calibri" w:cs="Times New Roman"/>
          <w:b/>
          <w:bCs/>
          <w:sz w:val="24"/>
          <w:szCs w:val="24"/>
        </w:rPr>
        <w:t>2020</w:t>
      </w:r>
      <w:r w:rsidR="00B443D8" w:rsidRPr="00B33192">
        <w:rPr>
          <w:rFonts w:ascii="Calibri" w:eastAsia="Calibri" w:hAnsi="Calibri" w:cs="Times New Roman"/>
          <w:b/>
          <w:bCs/>
          <w:sz w:val="24"/>
          <w:szCs w:val="24"/>
        </w:rPr>
        <w:t xml:space="preserve"> - Fondazione GIMBE, Bologna</w:t>
      </w:r>
    </w:p>
    <w:p w:rsidR="00756BF5" w:rsidRPr="004C0DD6" w:rsidRDefault="00406DC9" w:rsidP="0050520B">
      <w:pPr>
        <w:jc w:val="both"/>
        <w:rPr>
          <w:color w:val="000000" w:themeColor="text1"/>
        </w:rPr>
      </w:pPr>
      <w:r w:rsidRPr="004C0DD6">
        <w:rPr>
          <w:color w:val="000000" w:themeColor="text1"/>
        </w:rPr>
        <w:t xml:space="preserve">Il monitoraggio indipendente della Fondazione GIMBE </w:t>
      </w:r>
      <w:r w:rsidR="00F0762F" w:rsidRPr="004C0DD6">
        <w:rPr>
          <w:color w:val="000000" w:themeColor="text1"/>
        </w:rPr>
        <w:t>conferma</w:t>
      </w:r>
      <w:r w:rsidR="00B276DB" w:rsidRPr="004C0DD6">
        <w:rPr>
          <w:color w:val="000000" w:themeColor="text1"/>
        </w:rPr>
        <w:t xml:space="preserve"> </w:t>
      </w:r>
      <w:r w:rsidRPr="004C0DD6">
        <w:rPr>
          <w:color w:val="000000" w:themeColor="text1"/>
        </w:rPr>
        <w:t>n</w:t>
      </w:r>
      <w:r w:rsidR="00DD06F4" w:rsidRPr="004C0DD6">
        <w:rPr>
          <w:color w:val="000000" w:themeColor="text1"/>
        </w:rPr>
        <w:t xml:space="preserve">ella settimana </w:t>
      </w:r>
      <w:r w:rsidR="00B33192" w:rsidRPr="004C0DD6">
        <w:rPr>
          <w:color w:val="000000" w:themeColor="text1"/>
        </w:rPr>
        <w:t>16</w:t>
      </w:r>
      <w:r w:rsidR="00667A0A" w:rsidRPr="004C0DD6">
        <w:rPr>
          <w:color w:val="000000" w:themeColor="text1"/>
        </w:rPr>
        <w:t>-</w:t>
      </w:r>
      <w:r w:rsidR="00B33192" w:rsidRPr="004C0DD6">
        <w:rPr>
          <w:color w:val="000000" w:themeColor="text1"/>
        </w:rPr>
        <w:t>22</w:t>
      </w:r>
      <w:r w:rsidR="00180E36" w:rsidRPr="004C0DD6">
        <w:rPr>
          <w:color w:val="000000" w:themeColor="text1"/>
        </w:rPr>
        <w:t xml:space="preserve"> dicembre</w:t>
      </w:r>
      <w:r w:rsidR="00A73F90" w:rsidRPr="004C0DD6">
        <w:rPr>
          <w:color w:val="000000" w:themeColor="text1"/>
        </w:rPr>
        <w:t xml:space="preserve">, rispetto alla precedente, </w:t>
      </w:r>
      <w:r w:rsidR="00147FE2" w:rsidRPr="004C0DD6">
        <w:rPr>
          <w:color w:val="000000" w:themeColor="text1"/>
        </w:rPr>
        <w:t>un</w:t>
      </w:r>
      <w:r w:rsidR="00F5179B" w:rsidRPr="004C0DD6">
        <w:rPr>
          <w:color w:val="000000" w:themeColor="text1"/>
        </w:rPr>
        <w:t>a</w:t>
      </w:r>
      <w:r w:rsidR="00AC1FCE" w:rsidRPr="004C0DD6">
        <w:rPr>
          <w:color w:val="000000" w:themeColor="text1"/>
        </w:rPr>
        <w:t xml:space="preserve"> </w:t>
      </w:r>
      <w:r w:rsidR="00D573B7">
        <w:rPr>
          <w:color w:val="000000" w:themeColor="text1"/>
        </w:rPr>
        <w:t xml:space="preserve">lieve </w:t>
      </w:r>
      <w:r w:rsidR="00AC1FCE" w:rsidRPr="004C0DD6">
        <w:rPr>
          <w:color w:val="000000" w:themeColor="text1"/>
        </w:rPr>
        <w:t>flessione</w:t>
      </w:r>
      <w:r w:rsidR="0079793A" w:rsidRPr="004C0DD6">
        <w:rPr>
          <w:color w:val="000000" w:themeColor="text1"/>
        </w:rPr>
        <w:t xml:space="preserve"> </w:t>
      </w:r>
      <w:r w:rsidR="00DD06F4" w:rsidRPr="004C0DD6">
        <w:rPr>
          <w:color w:val="000000" w:themeColor="text1"/>
        </w:rPr>
        <w:t>dei nuovi casi (</w:t>
      </w:r>
      <w:r w:rsidR="004C0DD6" w:rsidRPr="004C0DD6">
        <w:rPr>
          <w:color w:val="000000" w:themeColor="text1"/>
        </w:rPr>
        <w:t xml:space="preserve">106.794 vs </w:t>
      </w:r>
      <w:r w:rsidR="000009D8" w:rsidRPr="004C0DD6">
        <w:rPr>
          <w:color w:val="000000" w:themeColor="text1"/>
        </w:rPr>
        <w:t>113.182</w:t>
      </w:r>
      <w:r w:rsidR="00796E28" w:rsidRPr="004C0DD6">
        <w:rPr>
          <w:color w:val="000000" w:themeColor="text1"/>
        </w:rPr>
        <w:t>)</w:t>
      </w:r>
      <w:r w:rsidR="00F0762F" w:rsidRPr="004C0DD6">
        <w:rPr>
          <w:color w:val="000000" w:themeColor="text1"/>
        </w:rPr>
        <w:t xml:space="preserve">, </w:t>
      </w:r>
      <w:r w:rsidR="002E1E49" w:rsidRPr="004C0DD6">
        <w:rPr>
          <w:color w:val="000000" w:themeColor="text1"/>
        </w:rPr>
        <w:t xml:space="preserve">a fronte di </w:t>
      </w:r>
      <w:r w:rsidR="007D6A5B" w:rsidRPr="004C0DD6">
        <w:rPr>
          <w:color w:val="000000" w:themeColor="text1"/>
        </w:rPr>
        <w:t xml:space="preserve">una </w:t>
      </w:r>
      <w:r w:rsidR="004C0DD6" w:rsidRPr="004C0DD6">
        <w:rPr>
          <w:color w:val="000000" w:themeColor="text1"/>
        </w:rPr>
        <w:t xml:space="preserve">sostanziale stabilità dei </w:t>
      </w:r>
      <w:r w:rsidR="006B448E" w:rsidRPr="004C0DD6">
        <w:rPr>
          <w:color w:val="000000" w:themeColor="text1"/>
        </w:rPr>
        <w:t>casi testati (</w:t>
      </w:r>
      <w:r w:rsidR="004C0DD6" w:rsidRPr="004C0DD6">
        <w:rPr>
          <w:color w:val="000000" w:themeColor="text1"/>
        </w:rPr>
        <w:t xml:space="preserve">465.534 vs </w:t>
      </w:r>
      <w:r w:rsidR="000009D8" w:rsidRPr="004C0DD6">
        <w:rPr>
          <w:color w:val="000000" w:themeColor="text1"/>
        </w:rPr>
        <w:t>462.645</w:t>
      </w:r>
      <w:r w:rsidR="004D602F" w:rsidRPr="004C0DD6">
        <w:rPr>
          <w:color w:val="000000" w:themeColor="text1"/>
        </w:rPr>
        <w:t>)</w:t>
      </w:r>
      <w:r w:rsidR="00BD2C5E" w:rsidRPr="004C0DD6">
        <w:rPr>
          <w:color w:val="000000" w:themeColor="text1"/>
        </w:rPr>
        <w:t xml:space="preserve"> e </w:t>
      </w:r>
      <w:r w:rsidR="00D573B7">
        <w:rPr>
          <w:color w:val="000000" w:themeColor="text1"/>
        </w:rPr>
        <w:t>in linea con la</w:t>
      </w:r>
      <w:r w:rsidR="004C0DD6" w:rsidRPr="004C0DD6">
        <w:rPr>
          <w:color w:val="000000" w:themeColor="text1"/>
        </w:rPr>
        <w:t xml:space="preserve"> </w:t>
      </w:r>
      <w:r w:rsidR="00D573B7">
        <w:rPr>
          <w:color w:val="000000" w:themeColor="text1"/>
        </w:rPr>
        <w:t xml:space="preserve">riduzione </w:t>
      </w:r>
      <w:r w:rsidR="004C0DD6" w:rsidRPr="004C0DD6">
        <w:rPr>
          <w:color w:val="000000" w:themeColor="text1"/>
        </w:rPr>
        <w:t xml:space="preserve">del </w:t>
      </w:r>
      <w:r w:rsidR="00703E54" w:rsidRPr="004C0DD6">
        <w:rPr>
          <w:color w:val="000000" w:themeColor="text1"/>
        </w:rPr>
        <w:t>rapporto positivi/casi testati (</w:t>
      </w:r>
      <w:r w:rsidR="004C0DD6" w:rsidRPr="004C0DD6">
        <w:rPr>
          <w:color w:val="000000" w:themeColor="text1"/>
        </w:rPr>
        <w:t xml:space="preserve">22,9% vs </w:t>
      </w:r>
      <w:r w:rsidR="000009D8" w:rsidRPr="004C0DD6">
        <w:rPr>
          <w:color w:val="000000" w:themeColor="text1"/>
        </w:rPr>
        <w:t>24,5%</w:t>
      </w:r>
      <w:r w:rsidR="00703E54" w:rsidRPr="004C0DD6">
        <w:rPr>
          <w:color w:val="000000" w:themeColor="text1"/>
        </w:rPr>
        <w:t>)</w:t>
      </w:r>
      <w:r w:rsidR="006B448E" w:rsidRPr="004C0DD6">
        <w:rPr>
          <w:color w:val="000000" w:themeColor="text1"/>
        </w:rPr>
        <w:t xml:space="preserve">. </w:t>
      </w:r>
      <w:r w:rsidR="00F2260D">
        <w:rPr>
          <w:color w:val="000000" w:themeColor="text1"/>
        </w:rPr>
        <w:t>Si riducono</w:t>
      </w:r>
      <w:r w:rsidR="00F2260D" w:rsidRPr="004C0DD6">
        <w:rPr>
          <w:color w:val="000000" w:themeColor="text1"/>
        </w:rPr>
        <w:t xml:space="preserve"> </w:t>
      </w:r>
      <w:r w:rsidR="003B22C9" w:rsidRPr="004C0DD6">
        <w:rPr>
          <w:color w:val="000000" w:themeColor="text1"/>
        </w:rPr>
        <w:t>del</w:t>
      </w:r>
      <w:r w:rsidR="00383D9D" w:rsidRPr="004C0DD6">
        <w:rPr>
          <w:color w:val="000000" w:themeColor="text1"/>
        </w:rPr>
        <w:t xml:space="preserve"> </w:t>
      </w:r>
      <w:r w:rsidR="004C0DD6" w:rsidRPr="004C0DD6">
        <w:rPr>
          <w:color w:val="000000" w:themeColor="text1"/>
        </w:rPr>
        <w:t>9,2</w:t>
      </w:r>
      <w:r w:rsidR="0050520B" w:rsidRPr="004C0DD6">
        <w:rPr>
          <w:color w:val="000000" w:themeColor="text1"/>
        </w:rPr>
        <w:t xml:space="preserve">% </w:t>
      </w:r>
      <w:r w:rsidR="006B448E" w:rsidRPr="004C0DD6">
        <w:rPr>
          <w:color w:val="000000" w:themeColor="text1"/>
        </w:rPr>
        <w:t>i</w:t>
      </w:r>
      <w:r w:rsidR="00D33012" w:rsidRPr="004C0DD6">
        <w:rPr>
          <w:color w:val="000000" w:themeColor="text1"/>
        </w:rPr>
        <w:t xml:space="preserve"> casi attualmente positivi (</w:t>
      </w:r>
      <w:r w:rsidR="004C0DD6" w:rsidRPr="004C0DD6">
        <w:rPr>
          <w:color w:val="000000" w:themeColor="text1"/>
        </w:rPr>
        <w:t xml:space="preserve">605.955 vs </w:t>
      </w:r>
      <w:r w:rsidR="000009D8" w:rsidRPr="004C0DD6">
        <w:rPr>
          <w:color w:val="000000" w:themeColor="text1"/>
        </w:rPr>
        <w:t>667.303</w:t>
      </w:r>
      <w:r w:rsidR="00D33012" w:rsidRPr="004C0DD6">
        <w:rPr>
          <w:color w:val="000000" w:themeColor="text1"/>
        </w:rPr>
        <w:t>)</w:t>
      </w:r>
      <w:r w:rsidR="006B448E" w:rsidRPr="004C0DD6">
        <w:rPr>
          <w:color w:val="000000" w:themeColor="text1"/>
        </w:rPr>
        <w:t xml:space="preserve"> e</w:t>
      </w:r>
      <w:r w:rsidR="003F4EAB" w:rsidRPr="004C0DD6">
        <w:rPr>
          <w:color w:val="000000" w:themeColor="text1"/>
        </w:rPr>
        <w:t>,</w:t>
      </w:r>
      <w:r w:rsidR="005B05C3" w:rsidRPr="004C0DD6">
        <w:rPr>
          <w:color w:val="000000" w:themeColor="text1"/>
        </w:rPr>
        <w:t xml:space="preserve"> sul </w:t>
      </w:r>
      <w:r w:rsidR="003F4EAB" w:rsidRPr="004C0DD6">
        <w:rPr>
          <w:color w:val="000000" w:themeColor="text1"/>
        </w:rPr>
        <w:t xml:space="preserve">fronte </w:t>
      </w:r>
      <w:r w:rsidR="006B448E" w:rsidRPr="004C0DD6">
        <w:rPr>
          <w:color w:val="000000" w:themeColor="text1"/>
        </w:rPr>
        <w:t>degli ospedali</w:t>
      </w:r>
      <w:r w:rsidR="00E12F28" w:rsidRPr="004C0DD6">
        <w:rPr>
          <w:color w:val="000000" w:themeColor="text1"/>
        </w:rPr>
        <w:t>,</w:t>
      </w:r>
      <w:r w:rsidR="0079793A" w:rsidRPr="004C0DD6">
        <w:rPr>
          <w:color w:val="000000" w:themeColor="text1"/>
        </w:rPr>
        <w:t xml:space="preserve"> </w:t>
      </w:r>
      <w:r w:rsidR="00665201" w:rsidRPr="004C0DD6">
        <w:rPr>
          <w:color w:val="000000" w:themeColor="text1"/>
        </w:rPr>
        <w:t>diminuiscono</w:t>
      </w:r>
      <w:r w:rsidR="0079793A" w:rsidRPr="004C0DD6">
        <w:rPr>
          <w:color w:val="000000" w:themeColor="text1"/>
        </w:rPr>
        <w:t xml:space="preserve"> </w:t>
      </w:r>
      <w:r w:rsidR="00F5179B" w:rsidRPr="004C0DD6">
        <w:rPr>
          <w:color w:val="000000" w:themeColor="text1"/>
        </w:rPr>
        <w:t>ricover</w:t>
      </w:r>
      <w:r w:rsidR="008F1BD5" w:rsidRPr="004C0DD6">
        <w:rPr>
          <w:color w:val="000000" w:themeColor="text1"/>
        </w:rPr>
        <w:t>i con sintomi</w:t>
      </w:r>
      <w:r w:rsidR="0079793A" w:rsidRPr="004C0DD6">
        <w:rPr>
          <w:color w:val="000000" w:themeColor="text1"/>
        </w:rPr>
        <w:t xml:space="preserve"> </w:t>
      </w:r>
      <w:r w:rsidR="007B4206" w:rsidRPr="004C0DD6">
        <w:rPr>
          <w:color w:val="000000" w:themeColor="text1"/>
        </w:rPr>
        <w:t>(</w:t>
      </w:r>
      <w:r w:rsidR="004C0DD6" w:rsidRPr="004C0DD6">
        <w:rPr>
          <w:color w:val="000000" w:themeColor="text1"/>
        </w:rPr>
        <w:t xml:space="preserve">24.948 vs </w:t>
      </w:r>
      <w:r w:rsidR="005B0E13" w:rsidRPr="004C0DD6">
        <w:rPr>
          <w:color w:val="000000" w:themeColor="text1"/>
        </w:rPr>
        <w:t>27.342</w:t>
      </w:r>
      <w:r w:rsidR="007B4206" w:rsidRPr="004C0DD6">
        <w:rPr>
          <w:color w:val="000000" w:themeColor="text1"/>
        </w:rPr>
        <w:t>)</w:t>
      </w:r>
      <w:r w:rsidR="0079793A" w:rsidRPr="004C0DD6">
        <w:rPr>
          <w:color w:val="000000" w:themeColor="text1"/>
        </w:rPr>
        <w:t xml:space="preserve"> </w:t>
      </w:r>
      <w:r w:rsidR="00383D9D" w:rsidRPr="004C0DD6">
        <w:rPr>
          <w:color w:val="000000" w:themeColor="text1"/>
        </w:rPr>
        <w:t>e terapie intensive</w:t>
      </w:r>
      <w:r w:rsidR="0046598E" w:rsidRPr="004C0DD6">
        <w:rPr>
          <w:color w:val="000000" w:themeColor="text1"/>
        </w:rPr>
        <w:t xml:space="preserve"> (</w:t>
      </w:r>
      <w:r w:rsidR="004C0DD6" w:rsidRPr="004C0DD6">
        <w:rPr>
          <w:color w:val="000000" w:themeColor="text1"/>
        </w:rPr>
        <w:t xml:space="preserve">2.687 vs </w:t>
      </w:r>
      <w:r w:rsidR="005B0E13" w:rsidRPr="004C0DD6">
        <w:rPr>
          <w:color w:val="000000" w:themeColor="text1"/>
        </w:rPr>
        <w:t>3.003</w:t>
      </w:r>
      <w:r w:rsidR="00F469C4" w:rsidRPr="004C0DD6">
        <w:rPr>
          <w:color w:val="000000" w:themeColor="text1"/>
        </w:rPr>
        <w:t>)</w:t>
      </w:r>
      <w:r w:rsidR="00F5179B" w:rsidRPr="004C0DD6">
        <w:rPr>
          <w:color w:val="000000" w:themeColor="text1"/>
        </w:rPr>
        <w:t xml:space="preserve">; </w:t>
      </w:r>
      <w:r w:rsidR="003B22C9" w:rsidRPr="004C0DD6">
        <w:rPr>
          <w:color w:val="000000" w:themeColor="text1"/>
        </w:rPr>
        <w:t xml:space="preserve">in </w:t>
      </w:r>
      <w:r w:rsidR="00FE5A14">
        <w:rPr>
          <w:color w:val="000000" w:themeColor="text1"/>
        </w:rPr>
        <w:t>calo</w:t>
      </w:r>
      <w:r w:rsidR="00FE5A14" w:rsidRPr="004C0DD6">
        <w:rPr>
          <w:color w:val="000000" w:themeColor="text1"/>
        </w:rPr>
        <w:t xml:space="preserve"> </w:t>
      </w:r>
      <w:r w:rsidR="00667A0A" w:rsidRPr="004C0DD6">
        <w:rPr>
          <w:color w:val="000000" w:themeColor="text1"/>
        </w:rPr>
        <w:t xml:space="preserve">anche </w:t>
      </w:r>
      <w:r w:rsidR="008A2AB7" w:rsidRPr="004C0DD6">
        <w:rPr>
          <w:color w:val="000000" w:themeColor="text1"/>
        </w:rPr>
        <w:t xml:space="preserve">i </w:t>
      </w:r>
      <w:r w:rsidR="00F469C4" w:rsidRPr="004C0DD6">
        <w:rPr>
          <w:color w:val="000000" w:themeColor="text1"/>
        </w:rPr>
        <w:t>decessi</w:t>
      </w:r>
      <w:r w:rsidR="00BE59CF" w:rsidRPr="004C0DD6">
        <w:rPr>
          <w:color w:val="000000" w:themeColor="text1"/>
        </w:rPr>
        <w:t xml:space="preserve"> (</w:t>
      </w:r>
      <w:r w:rsidR="004C0DD6" w:rsidRPr="004C0DD6">
        <w:rPr>
          <w:color w:val="000000" w:themeColor="text1"/>
        </w:rPr>
        <w:t xml:space="preserve">3.985 vs </w:t>
      </w:r>
      <w:r w:rsidR="005B0E13" w:rsidRPr="004C0DD6">
        <w:rPr>
          <w:color w:val="000000" w:themeColor="text1"/>
        </w:rPr>
        <w:t>4.617</w:t>
      </w:r>
      <w:r w:rsidR="00BE59CF" w:rsidRPr="004C0DD6">
        <w:rPr>
          <w:color w:val="000000" w:themeColor="text1"/>
        </w:rPr>
        <w:t>)</w:t>
      </w:r>
      <w:r w:rsidR="0061393A" w:rsidRPr="004C0DD6">
        <w:rPr>
          <w:color w:val="000000" w:themeColor="text1"/>
        </w:rPr>
        <w:t>.</w:t>
      </w:r>
      <w:r w:rsidR="0079793A" w:rsidRPr="004C0DD6">
        <w:rPr>
          <w:color w:val="000000" w:themeColor="text1"/>
        </w:rPr>
        <w:t xml:space="preserve"> </w:t>
      </w:r>
      <w:r w:rsidR="0069637C" w:rsidRPr="004C0DD6">
        <w:rPr>
          <w:color w:val="000000" w:themeColor="text1"/>
        </w:rPr>
        <w:t xml:space="preserve">In </w:t>
      </w:r>
      <w:r w:rsidR="00C036E5" w:rsidRPr="004C0DD6">
        <w:rPr>
          <w:color w:val="000000" w:themeColor="text1"/>
        </w:rPr>
        <w:t>dettaglio</w:t>
      </w:r>
      <w:r w:rsidR="003442B9" w:rsidRPr="004C0DD6">
        <w:rPr>
          <w:color w:val="000000" w:themeColor="text1"/>
        </w:rPr>
        <w:t xml:space="preserve">, </w:t>
      </w:r>
      <w:r w:rsidR="00BE59CF" w:rsidRPr="004C0DD6">
        <w:rPr>
          <w:color w:val="000000" w:themeColor="text1"/>
        </w:rPr>
        <w:t xml:space="preserve">rispetto alla settimana precedente, </w:t>
      </w:r>
      <w:r w:rsidR="00742EE2" w:rsidRPr="004C0DD6">
        <w:rPr>
          <w:color w:val="000000" w:themeColor="text1"/>
        </w:rPr>
        <w:t>si registrano le seguenti variazioni</w:t>
      </w:r>
      <w:r w:rsidR="0069637C" w:rsidRPr="004C0DD6">
        <w:rPr>
          <w:color w:val="000000" w:themeColor="text1"/>
        </w:rPr>
        <w:t>:</w:t>
      </w:r>
    </w:p>
    <w:p w:rsidR="005E1B70" w:rsidRPr="004C0DD6" w:rsidRDefault="00300572" w:rsidP="004C0DD6">
      <w:pPr>
        <w:pStyle w:val="Paragrafoelenco"/>
        <w:numPr>
          <w:ilvl w:val="0"/>
          <w:numId w:val="2"/>
        </w:numPr>
        <w:spacing w:after="120" w:line="276" w:lineRule="auto"/>
        <w:jc w:val="both"/>
        <w:rPr>
          <w:color w:val="000000" w:themeColor="text1"/>
        </w:rPr>
      </w:pPr>
      <w:r w:rsidRPr="004C0DD6">
        <w:rPr>
          <w:color w:val="000000" w:themeColor="text1"/>
        </w:rPr>
        <w:t>D</w:t>
      </w:r>
      <w:r w:rsidR="005E1B70" w:rsidRPr="004C0DD6">
        <w:rPr>
          <w:color w:val="000000" w:themeColor="text1"/>
        </w:rPr>
        <w:t>ecessi</w:t>
      </w:r>
      <w:r w:rsidR="00383D9D" w:rsidRPr="004C0DD6">
        <w:rPr>
          <w:color w:val="000000" w:themeColor="text1"/>
        </w:rPr>
        <w:t xml:space="preserve">: </w:t>
      </w:r>
      <w:r w:rsidR="004C0DD6" w:rsidRPr="004C0DD6">
        <w:rPr>
          <w:color w:val="000000" w:themeColor="text1"/>
        </w:rPr>
        <w:t xml:space="preserve">3.985 </w:t>
      </w:r>
      <w:r w:rsidR="003442B9" w:rsidRPr="004C0DD6">
        <w:rPr>
          <w:color w:val="000000" w:themeColor="text1"/>
        </w:rPr>
        <w:t>(</w:t>
      </w:r>
      <w:r w:rsidR="003D10F8" w:rsidRPr="004C0DD6">
        <w:rPr>
          <w:color w:val="000000" w:themeColor="text1"/>
        </w:rPr>
        <w:t>-</w:t>
      </w:r>
      <w:r w:rsidR="004C0DD6" w:rsidRPr="004C0DD6">
        <w:rPr>
          <w:color w:val="000000" w:themeColor="text1"/>
        </w:rPr>
        <w:t>13</w:t>
      </w:r>
      <w:r w:rsidR="005B0E13" w:rsidRPr="004C0DD6">
        <w:rPr>
          <w:color w:val="000000" w:themeColor="text1"/>
        </w:rPr>
        <w:t>,</w:t>
      </w:r>
      <w:r w:rsidR="004C0DD6" w:rsidRPr="004C0DD6">
        <w:rPr>
          <w:color w:val="000000" w:themeColor="text1"/>
        </w:rPr>
        <w:t>7</w:t>
      </w:r>
      <w:r w:rsidR="005862D2" w:rsidRPr="004C0DD6">
        <w:rPr>
          <w:color w:val="000000" w:themeColor="text1"/>
        </w:rPr>
        <w:t>%)</w:t>
      </w:r>
    </w:p>
    <w:p w:rsidR="005E1B70" w:rsidRPr="004C0DD6" w:rsidRDefault="005E1B70" w:rsidP="007D6881">
      <w:pPr>
        <w:pStyle w:val="Paragrafoelenco"/>
        <w:numPr>
          <w:ilvl w:val="0"/>
          <w:numId w:val="2"/>
        </w:numPr>
        <w:spacing w:after="120" w:line="276" w:lineRule="auto"/>
        <w:jc w:val="both"/>
        <w:rPr>
          <w:color w:val="000000" w:themeColor="text1"/>
        </w:rPr>
      </w:pPr>
      <w:r w:rsidRPr="004C0DD6">
        <w:rPr>
          <w:color w:val="000000" w:themeColor="text1"/>
        </w:rPr>
        <w:t xml:space="preserve">Terapia intensiva: </w:t>
      </w:r>
      <w:r w:rsidR="00383D9D" w:rsidRPr="004C0DD6">
        <w:rPr>
          <w:color w:val="000000" w:themeColor="text1"/>
        </w:rPr>
        <w:t>-</w:t>
      </w:r>
      <w:r w:rsidR="004C0DD6" w:rsidRPr="004C0DD6">
        <w:rPr>
          <w:color w:val="000000" w:themeColor="text1"/>
        </w:rPr>
        <w:t>316</w:t>
      </w:r>
      <w:r w:rsidR="00667A0A" w:rsidRPr="004C0DD6">
        <w:rPr>
          <w:color w:val="000000" w:themeColor="text1"/>
        </w:rPr>
        <w:t xml:space="preserve"> </w:t>
      </w:r>
      <w:r w:rsidR="005862D2" w:rsidRPr="004C0DD6">
        <w:rPr>
          <w:color w:val="000000" w:themeColor="text1"/>
        </w:rPr>
        <w:t>(</w:t>
      </w:r>
      <w:r w:rsidR="00667A0A" w:rsidRPr="004C0DD6">
        <w:rPr>
          <w:color w:val="000000" w:themeColor="text1"/>
        </w:rPr>
        <w:t>-</w:t>
      </w:r>
      <w:r w:rsidR="007D6881" w:rsidRPr="004C0DD6">
        <w:rPr>
          <w:color w:val="000000" w:themeColor="text1"/>
        </w:rPr>
        <w:t>10,</w:t>
      </w:r>
      <w:r w:rsidR="004C0DD6" w:rsidRPr="004C0DD6">
        <w:rPr>
          <w:color w:val="000000" w:themeColor="text1"/>
        </w:rPr>
        <w:t>5</w:t>
      </w:r>
      <w:r w:rsidR="003565EE" w:rsidRPr="004C0DD6">
        <w:rPr>
          <w:color w:val="000000" w:themeColor="text1"/>
        </w:rPr>
        <w:t>%</w:t>
      </w:r>
      <w:r w:rsidR="005862D2" w:rsidRPr="004C0DD6">
        <w:rPr>
          <w:color w:val="000000" w:themeColor="text1"/>
        </w:rPr>
        <w:t>)</w:t>
      </w:r>
    </w:p>
    <w:p w:rsidR="00DD06F4" w:rsidRPr="004C0DD6" w:rsidRDefault="00DD06F4" w:rsidP="000F1FFA">
      <w:pPr>
        <w:pStyle w:val="Paragrafoelenco"/>
        <w:numPr>
          <w:ilvl w:val="0"/>
          <w:numId w:val="2"/>
        </w:numPr>
        <w:spacing w:after="120" w:line="276" w:lineRule="auto"/>
        <w:jc w:val="both"/>
        <w:rPr>
          <w:color w:val="000000" w:themeColor="text1"/>
        </w:rPr>
      </w:pPr>
      <w:r w:rsidRPr="004C0DD6">
        <w:rPr>
          <w:color w:val="000000" w:themeColor="text1"/>
        </w:rPr>
        <w:t xml:space="preserve">Ricoverati con sintomi: </w:t>
      </w:r>
      <w:r w:rsidR="00383D9D" w:rsidRPr="004C0DD6">
        <w:rPr>
          <w:color w:val="000000" w:themeColor="text1"/>
        </w:rPr>
        <w:t>-</w:t>
      </w:r>
      <w:r w:rsidR="007D6881" w:rsidRPr="004C0DD6">
        <w:rPr>
          <w:color w:val="000000" w:themeColor="text1"/>
        </w:rPr>
        <w:t>2.</w:t>
      </w:r>
      <w:r w:rsidR="004C0DD6" w:rsidRPr="004C0DD6">
        <w:rPr>
          <w:color w:val="000000" w:themeColor="text1"/>
        </w:rPr>
        <w:t>394</w:t>
      </w:r>
      <w:r w:rsidR="00667A0A" w:rsidRPr="004C0DD6">
        <w:rPr>
          <w:color w:val="000000" w:themeColor="text1"/>
        </w:rPr>
        <w:t xml:space="preserve"> (-</w:t>
      </w:r>
      <w:r w:rsidR="004C0DD6" w:rsidRPr="004C0DD6">
        <w:rPr>
          <w:color w:val="000000" w:themeColor="text1"/>
        </w:rPr>
        <w:t>8</w:t>
      </w:r>
      <w:r w:rsidR="007D6881" w:rsidRPr="004C0DD6">
        <w:rPr>
          <w:color w:val="000000" w:themeColor="text1"/>
        </w:rPr>
        <w:t>,</w:t>
      </w:r>
      <w:r w:rsidR="004C0DD6" w:rsidRPr="004C0DD6">
        <w:rPr>
          <w:color w:val="000000" w:themeColor="text1"/>
        </w:rPr>
        <w:t>8</w:t>
      </w:r>
      <w:r w:rsidR="00667A0A" w:rsidRPr="004C0DD6">
        <w:rPr>
          <w:color w:val="000000" w:themeColor="text1"/>
        </w:rPr>
        <w:t>%</w:t>
      </w:r>
      <w:r w:rsidR="005862D2" w:rsidRPr="004C0DD6">
        <w:rPr>
          <w:color w:val="000000" w:themeColor="text1"/>
        </w:rPr>
        <w:t>)</w:t>
      </w:r>
    </w:p>
    <w:p w:rsidR="005E1B70" w:rsidRPr="004C0DD6" w:rsidRDefault="00BE59CF" w:rsidP="000F1FFA">
      <w:pPr>
        <w:pStyle w:val="Paragrafoelenco"/>
        <w:numPr>
          <w:ilvl w:val="0"/>
          <w:numId w:val="2"/>
        </w:numPr>
        <w:spacing w:after="120" w:line="276" w:lineRule="auto"/>
        <w:jc w:val="both"/>
        <w:rPr>
          <w:color w:val="000000" w:themeColor="text1"/>
        </w:rPr>
      </w:pPr>
      <w:r w:rsidRPr="004C0DD6">
        <w:rPr>
          <w:color w:val="000000" w:themeColor="text1"/>
        </w:rPr>
        <w:t>Nuovi casi</w:t>
      </w:r>
      <w:r w:rsidR="005E1B70" w:rsidRPr="004C0DD6">
        <w:rPr>
          <w:color w:val="000000" w:themeColor="text1"/>
        </w:rPr>
        <w:t>:</w:t>
      </w:r>
      <w:r w:rsidR="00667A0A" w:rsidRPr="004C0DD6">
        <w:rPr>
          <w:color w:val="000000" w:themeColor="text1"/>
        </w:rPr>
        <w:t xml:space="preserve"> </w:t>
      </w:r>
      <w:r w:rsidR="004C0DD6" w:rsidRPr="004C0DD6">
        <w:rPr>
          <w:color w:val="000000" w:themeColor="text1"/>
        </w:rPr>
        <w:t>106.794</w:t>
      </w:r>
      <w:r w:rsidR="00667A0A" w:rsidRPr="004C0DD6">
        <w:rPr>
          <w:color w:val="000000" w:themeColor="text1"/>
        </w:rPr>
        <w:t xml:space="preserve"> </w:t>
      </w:r>
      <w:r w:rsidR="00924C50" w:rsidRPr="004C0DD6">
        <w:rPr>
          <w:color w:val="000000" w:themeColor="text1"/>
        </w:rPr>
        <w:t>(</w:t>
      </w:r>
      <w:r w:rsidR="003D10F8" w:rsidRPr="004C0DD6">
        <w:rPr>
          <w:color w:val="000000" w:themeColor="text1"/>
        </w:rPr>
        <w:t>-</w:t>
      </w:r>
      <w:r w:rsidR="004C0DD6" w:rsidRPr="004C0DD6">
        <w:rPr>
          <w:color w:val="000000" w:themeColor="text1"/>
        </w:rPr>
        <w:t>5,6</w:t>
      </w:r>
      <w:r w:rsidR="005862D2" w:rsidRPr="004C0DD6">
        <w:rPr>
          <w:color w:val="000000" w:themeColor="text1"/>
        </w:rPr>
        <w:t>%)</w:t>
      </w:r>
    </w:p>
    <w:p w:rsidR="000B6B1F" w:rsidRPr="004C0DD6" w:rsidRDefault="000B6B1F" w:rsidP="000F1FFA">
      <w:pPr>
        <w:pStyle w:val="Paragrafoelenco"/>
        <w:numPr>
          <w:ilvl w:val="0"/>
          <w:numId w:val="2"/>
        </w:numPr>
        <w:spacing w:after="120" w:line="276" w:lineRule="auto"/>
        <w:jc w:val="both"/>
        <w:rPr>
          <w:color w:val="000000" w:themeColor="text1"/>
        </w:rPr>
      </w:pPr>
      <w:r w:rsidRPr="004C0DD6">
        <w:rPr>
          <w:color w:val="000000" w:themeColor="text1"/>
        </w:rPr>
        <w:t xml:space="preserve">Casi </w:t>
      </w:r>
      <w:r w:rsidR="00487E15" w:rsidRPr="004C0DD6">
        <w:rPr>
          <w:color w:val="000000" w:themeColor="text1"/>
        </w:rPr>
        <w:t>attualmente positivi</w:t>
      </w:r>
      <w:r w:rsidR="00595785" w:rsidRPr="004C0DD6">
        <w:rPr>
          <w:color w:val="000000" w:themeColor="text1"/>
        </w:rPr>
        <w:t xml:space="preserve">: </w:t>
      </w:r>
      <w:r w:rsidR="00CE10B2" w:rsidRPr="004C0DD6">
        <w:rPr>
          <w:color w:val="000000" w:themeColor="text1"/>
        </w:rPr>
        <w:t>-</w:t>
      </w:r>
      <w:r w:rsidR="004C0DD6" w:rsidRPr="004C0DD6">
        <w:rPr>
          <w:color w:val="000000" w:themeColor="text1"/>
        </w:rPr>
        <w:t>61.348</w:t>
      </w:r>
      <w:r w:rsidR="00667A0A" w:rsidRPr="004C0DD6">
        <w:rPr>
          <w:color w:val="000000" w:themeColor="text1"/>
        </w:rPr>
        <w:t xml:space="preserve"> </w:t>
      </w:r>
      <w:r w:rsidR="00F469C4" w:rsidRPr="004C0DD6">
        <w:rPr>
          <w:color w:val="000000" w:themeColor="text1"/>
        </w:rPr>
        <w:t>(</w:t>
      </w:r>
      <w:r w:rsidR="00667A0A" w:rsidRPr="004C0DD6">
        <w:rPr>
          <w:color w:val="000000" w:themeColor="text1"/>
        </w:rPr>
        <w:t>-</w:t>
      </w:r>
      <w:r w:rsidR="00CE10B2" w:rsidRPr="004C0DD6">
        <w:rPr>
          <w:color w:val="000000" w:themeColor="text1"/>
        </w:rPr>
        <w:t>9</w:t>
      </w:r>
      <w:r w:rsidR="00667A0A" w:rsidRPr="004C0DD6">
        <w:rPr>
          <w:color w:val="000000" w:themeColor="text1"/>
        </w:rPr>
        <w:t>,</w:t>
      </w:r>
      <w:r w:rsidR="004C0DD6" w:rsidRPr="004C0DD6">
        <w:rPr>
          <w:color w:val="000000" w:themeColor="text1"/>
        </w:rPr>
        <w:t>2</w:t>
      </w:r>
      <w:r w:rsidR="00FE10CC" w:rsidRPr="004C0DD6">
        <w:rPr>
          <w:color w:val="000000" w:themeColor="text1"/>
        </w:rPr>
        <w:t>%</w:t>
      </w:r>
      <w:r w:rsidRPr="004C0DD6">
        <w:rPr>
          <w:color w:val="000000" w:themeColor="text1"/>
        </w:rPr>
        <w:t>)</w:t>
      </w:r>
    </w:p>
    <w:p w:rsidR="00260775" w:rsidRPr="004C0DD6" w:rsidRDefault="002A3D04" w:rsidP="000F1FFA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color w:val="000000" w:themeColor="text1"/>
        </w:rPr>
      </w:pPr>
      <w:r w:rsidRPr="004C0DD6">
        <w:rPr>
          <w:color w:val="000000" w:themeColor="text1"/>
        </w:rPr>
        <w:t xml:space="preserve">Casi testati </w:t>
      </w:r>
      <w:r w:rsidR="004C0DD6" w:rsidRPr="004C0DD6">
        <w:rPr>
          <w:color w:val="000000" w:themeColor="text1"/>
        </w:rPr>
        <w:t>+2.889</w:t>
      </w:r>
      <w:r w:rsidR="00667A0A" w:rsidRPr="004C0DD6">
        <w:rPr>
          <w:color w:val="000000" w:themeColor="text1"/>
        </w:rPr>
        <w:t xml:space="preserve"> </w:t>
      </w:r>
      <w:r w:rsidR="0092337D" w:rsidRPr="004C0DD6">
        <w:rPr>
          <w:color w:val="000000" w:themeColor="text1"/>
        </w:rPr>
        <w:t>(</w:t>
      </w:r>
      <w:r w:rsidR="004C0DD6" w:rsidRPr="004C0DD6">
        <w:rPr>
          <w:color w:val="000000" w:themeColor="text1"/>
        </w:rPr>
        <w:t>+0,6</w:t>
      </w:r>
      <w:r w:rsidR="003565EE" w:rsidRPr="004C0DD6">
        <w:rPr>
          <w:color w:val="000000" w:themeColor="text1"/>
        </w:rPr>
        <w:t>%</w:t>
      </w:r>
      <w:r w:rsidR="0092337D" w:rsidRPr="004C0DD6">
        <w:rPr>
          <w:color w:val="000000" w:themeColor="text1"/>
        </w:rPr>
        <w:t>)</w:t>
      </w:r>
    </w:p>
    <w:p w:rsidR="00260775" w:rsidRPr="004C0DD6" w:rsidRDefault="00260775" w:rsidP="000F1FFA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color w:val="000000" w:themeColor="text1"/>
        </w:rPr>
      </w:pPr>
      <w:r w:rsidRPr="004C0DD6">
        <w:rPr>
          <w:color w:val="000000" w:themeColor="text1"/>
        </w:rPr>
        <w:t xml:space="preserve">Tamponi totali: </w:t>
      </w:r>
      <w:r w:rsidR="004C0DD6" w:rsidRPr="004C0DD6">
        <w:rPr>
          <w:color w:val="000000" w:themeColor="text1"/>
        </w:rPr>
        <w:t>28.289</w:t>
      </w:r>
      <w:r w:rsidR="00667A0A" w:rsidRPr="004C0DD6">
        <w:rPr>
          <w:color w:val="000000" w:themeColor="text1"/>
        </w:rPr>
        <w:t xml:space="preserve"> </w:t>
      </w:r>
      <w:r w:rsidR="004C0DD6" w:rsidRPr="004C0DD6">
        <w:rPr>
          <w:color w:val="000000" w:themeColor="text1"/>
        </w:rPr>
        <w:t>(+2,6</w:t>
      </w:r>
      <w:r w:rsidR="00A149F4" w:rsidRPr="004C0DD6">
        <w:rPr>
          <w:color w:val="000000" w:themeColor="text1"/>
        </w:rPr>
        <w:t>%</w:t>
      </w:r>
      <w:r w:rsidR="009D6AEE" w:rsidRPr="004C0DD6">
        <w:rPr>
          <w:color w:val="000000" w:themeColor="text1"/>
        </w:rPr>
        <w:t>)</w:t>
      </w:r>
    </w:p>
    <w:p w:rsidR="00D573B7" w:rsidRDefault="0041559A" w:rsidP="00823636">
      <w:pPr>
        <w:jc w:val="both"/>
        <w:rPr>
          <w:rFonts w:cstheme="minorHAnsi"/>
          <w:color w:val="FF0000"/>
        </w:rPr>
      </w:pPr>
      <w:r w:rsidRPr="004C0DD6">
        <w:rPr>
          <w:color w:val="000000" w:themeColor="text1"/>
        </w:rPr>
        <w:t>«</w:t>
      </w:r>
      <w:r w:rsidR="00825CAF" w:rsidRPr="004C0DD6">
        <w:rPr>
          <w:color w:val="000000" w:themeColor="text1"/>
        </w:rPr>
        <w:t>I dati di questa settimana</w:t>
      </w:r>
      <w:r w:rsidR="00AC5E21" w:rsidRPr="004C0DD6">
        <w:rPr>
          <w:color w:val="000000" w:themeColor="text1"/>
        </w:rPr>
        <w:t xml:space="preserve"> </w:t>
      </w:r>
      <w:r w:rsidRPr="004C0DD6">
        <w:rPr>
          <w:color w:val="000000" w:themeColor="text1"/>
        </w:rPr>
        <w:t>–</w:t>
      </w:r>
      <w:r w:rsidR="004D4FAC" w:rsidRPr="004C0DD6">
        <w:rPr>
          <w:color w:val="000000" w:themeColor="text1"/>
        </w:rPr>
        <w:t xml:space="preserve"> dichiara </w:t>
      </w:r>
      <w:r w:rsidR="002B36CD" w:rsidRPr="004C0DD6">
        <w:rPr>
          <w:color w:val="000000" w:themeColor="text1"/>
        </w:rPr>
        <w:t xml:space="preserve">Nino Cartabellotta, Presidente della Fondazione GIMBE </w:t>
      </w:r>
      <w:r w:rsidRPr="004C0DD6">
        <w:rPr>
          <w:color w:val="000000" w:themeColor="text1"/>
        </w:rPr>
        <w:t>–</w:t>
      </w:r>
      <w:r w:rsidR="00825CAF" w:rsidRPr="004C0DD6">
        <w:rPr>
          <w:color w:val="000000" w:themeColor="text1"/>
        </w:rPr>
        <w:t xml:space="preserve"> </w:t>
      </w:r>
      <w:r w:rsidR="003B60B6" w:rsidRPr="004C0DD6">
        <w:rPr>
          <w:color w:val="000000" w:themeColor="text1"/>
        </w:rPr>
        <w:t xml:space="preserve">confermano </w:t>
      </w:r>
      <w:r w:rsidR="00D573B7">
        <w:rPr>
          <w:color w:val="000000" w:themeColor="text1"/>
        </w:rPr>
        <w:t xml:space="preserve">che la frenata del contagio è sempre meno </w:t>
      </w:r>
      <w:r w:rsidR="00630D47">
        <w:rPr>
          <w:color w:val="000000" w:themeColor="text1"/>
        </w:rPr>
        <w:t>evidente</w:t>
      </w:r>
      <w:r w:rsidR="00FE5A14">
        <w:rPr>
          <w:color w:val="000000" w:themeColor="text1"/>
        </w:rPr>
        <w:t xml:space="preserve">, </w:t>
      </w:r>
      <w:r w:rsidR="00D573B7">
        <w:rPr>
          <w:color w:val="000000" w:themeColor="text1"/>
        </w:rPr>
        <w:t xml:space="preserve">come </w:t>
      </w:r>
      <w:r w:rsidR="00ED06A4" w:rsidRPr="004C0DD6">
        <w:rPr>
          <w:color w:val="000000" w:themeColor="text1"/>
        </w:rPr>
        <w:t xml:space="preserve">documentato </w:t>
      </w:r>
      <w:r w:rsidR="00825CAF" w:rsidRPr="004C0DD6">
        <w:rPr>
          <w:color w:val="000000" w:themeColor="text1"/>
        </w:rPr>
        <w:t>dalla</w:t>
      </w:r>
      <w:r w:rsidR="003B60B6" w:rsidRPr="004C0DD6">
        <w:rPr>
          <w:color w:val="000000" w:themeColor="text1"/>
        </w:rPr>
        <w:t xml:space="preserve"> </w:t>
      </w:r>
      <w:r w:rsidR="00630D47">
        <w:rPr>
          <w:color w:val="000000" w:themeColor="text1"/>
        </w:rPr>
        <w:t xml:space="preserve">stabilizzazione </w:t>
      </w:r>
      <w:r w:rsidR="007160AB">
        <w:rPr>
          <w:color w:val="000000" w:themeColor="text1"/>
        </w:rPr>
        <w:t>dei rapporti</w:t>
      </w:r>
      <w:r w:rsidR="00630D47">
        <w:rPr>
          <w:color w:val="000000" w:themeColor="text1"/>
        </w:rPr>
        <w:t xml:space="preserve"> positivi/casi testati e positivi/tamponi totali, dalla </w:t>
      </w:r>
      <w:r w:rsidR="001A542A">
        <w:rPr>
          <w:color w:val="000000" w:themeColor="text1"/>
        </w:rPr>
        <w:t xml:space="preserve">modesta </w:t>
      </w:r>
      <w:r w:rsidR="00665201" w:rsidRPr="004C0DD6">
        <w:rPr>
          <w:color w:val="000000" w:themeColor="text1"/>
        </w:rPr>
        <w:t xml:space="preserve">riduzione </w:t>
      </w:r>
      <w:r w:rsidR="002B36CD" w:rsidRPr="004C0DD6">
        <w:rPr>
          <w:color w:val="000000" w:themeColor="text1"/>
        </w:rPr>
        <w:t>dell’incremento percentuale dei casi</w:t>
      </w:r>
      <w:r w:rsidR="001C646B" w:rsidRPr="004C0DD6">
        <w:rPr>
          <w:color w:val="000000" w:themeColor="text1"/>
        </w:rPr>
        <w:t xml:space="preserve"> totali</w:t>
      </w:r>
      <w:r w:rsidR="0079793A" w:rsidRPr="004C0DD6">
        <w:rPr>
          <w:color w:val="000000" w:themeColor="text1"/>
        </w:rPr>
        <w:t xml:space="preserve"> </w:t>
      </w:r>
      <w:r w:rsidR="00512854" w:rsidRPr="004C0DD6">
        <w:rPr>
          <w:color w:val="000000" w:themeColor="text1"/>
        </w:rPr>
        <w:t>(</w:t>
      </w:r>
      <w:r w:rsidR="004C0DD6" w:rsidRPr="004C0DD6">
        <w:rPr>
          <w:color w:val="000000" w:themeColor="text1"/>
        </w:rPr>
        <w:t xml:space="preserve">5,7% vs </w:t>
      </w:r>
      <w:r w:rsidR="00C82B51" w:rsidRPr="004C0DD6">
        <w:rPr>
          <w:color w:val="000000" w:themeColor="text1"/>
        </w:rPr>
        <w:t>6,4%</w:t>
      </w:r>
      <w:r w:rsidR="00512854" w:rsidRPr="004C2036">
        <w:rPr>
          <w:color w:val="000000" w:themeColor="text1"/>
        </w:rPr>
        <w:t>)</w:t>
      </w:r>
      <w:r w:rsidR="00630D47">
        <w:rPr>
          <w:color w:val="000000" w:themeColor="text1"/>
        </w:rPr>
        <w:t xml:space="preserve"> e </w:t>
      </w:r>
      <w:r w:rsidR="005B7662" w:rsidRPr="004C0DD6">
        <w:rPr>
          <w:color w:val="000000" w:themeColor="text1"/>
        </w:rPr>
        <w:t>d</w:t>
      </w:r>
      <w:r w:rsidR="00825CAF" w:rsidRPr="004C0DD6">
        <w:rPr>
          <w:color w:val="000000" w:themeColor="text1"/>
        </w:rPr>
        <w:t>a</w:t>
      </w:r>
      <w:r w:rsidR="005B7662" w:rsidRPr="004C0DD6">
        <w:rPr>
          <w:color w:val="000000" w:themeColor="text1"/>
        </w:rPr>
        <w:t>l</w:t>
      </w:r>
      <w:r w:rsidR="00D573B7">
        <w:rPr>
          <w:color w:val="000000" w:themeColor="text1"/>
        </w:rPr>
        <w:t xml:space="preserve">la </w:t>
      </w:r>
      <w:r w:rsidR="00FE5A14">
        <w:rPr>
          <w:color w:val="000000" w:themeColor="text1"/>
        </w:rPr>
        <w:t xml:space="preserve">lieve </w:t>
      </w:r>
      <w:r w:rsidR="00D573B7">
        <w:rPr>
          <w:color w:val="000000" w:themeColor="text1"/>
        </w:rPr>
        <w:t>flessione</w:t>
      </w:r>
      <w:r w:rsidR="005B7662" w:rsidRPr="004C0DD6">
        <w:rPr>
          <w:color w:val="000000" w:themeColor="text1"/>
        </w:rPr>
        <w:t xml:space="preserve"> </w:t>
      </w:r>
      <w:r w:rsidR="003B60B6" w:rsidRPr="004C0DD6">
        <w:rPr>
          <w:color w:val="000000" w:themeColor="text1"/>
        </w:rPr>
        <w:t xml:space="preserve">dei </w:t>
      </w:r>
      <w:r w:rsidR="00DA65C2" w:rsidRPr="004C0DD6">
        <w:rPr>
          <w:color w:val="000000" w:themeColor="text1"/>
        </w:rPr>
        <w:t>nuovi</w:t>
      </w:r>
      <w:r w:rsidR="0079793A" w:rsidRPr="004C0DD6">
        <w:rPr>
          <w:color w:val="000000" w:themeColor="text1"/>
        </w:rPr>
        <w:t xml:space="preserve"> </w:t>
      </w:r>
      <w:r w:rsidR="00665201" w:rsidRPr="004C0DD6">
        <w:rPr>
          <w:color w:val="000000" w:themeColor="text1"/>
        </w:rPr>
        <w:t xml:space="preserve">casi </w:t>
      </w:r>
      <w:r w:rsidR="004D4FAC" w:rsidRPr="004C0DD6">
        <w:rPr>
          <w:color w:val="000000" w:themeColor="text1"/>
        </w:rPr>
        <w:t>settimanali</w:t>
      </w:r>
      <w:r w:rsidR="00ED06A4" w:rsidRPr="004C0DD6">
        <w:rPr>
          <w:color w:val="000000" w:themeColor="text1"/>
        </w:rPr>
        <w:t xml:space="preserve"> (-</w:t>
      </w:r>
      <w:r w:rsidR="004C0DD6" w:rsidRPr="004C0DD6">
        <w:rPr>
          <w:color w:val="000000" w:themeColor="text1"/>
        </w:rPr>
        <w:t>5</w:t>
      </w:r>
      <w:r w:rsidR="00ED06A4" w:rsidRPr="004C0DD6">
        <w:rPr>
          <w:color w:val="000000" w:themeColor="text1"/>
        </w:rPr>
        <w:t>,</w:t>
      </w:r>
      <w:r w:rsidR="004C0DD6" w:rsidRPr="004C0DD6">
        <w:rPr>
          <w:color w:val="000000" w:themeColor="text1"/>
        </w:rPr>
        <w:t>6</w:t>
      </w:r>
      <w:r w:rsidR="00ED06A4" w:rsidRPr="004C0DD6">
        <w:rPr>
          <w:color w:val="000000" w:themeColor="text1"/>
        </w:rPr>
        <w:t>%)</w:t>
      </w:r>
      <w:r w:rsidR="00AC5E21" w:rsidRPr="00C35DF1">
        <w:rPr>
          <w:rFonts w:cstheme="minorHAnsi"/>
        </w:rPr>
        <w:t>»</w:t>
      </w:r>
      <w:r w:rsidR="00BB0578">
        <w:rPr>
          <w:rFonts w:cstheme="minorHAnsi"/>
        </w:rPr>
        <w:t xml:space="preserve"> (</w:t>
      </w:r>
      <w:r w:rsidR="00BB0578" w:rsidRPr="008E7282">
        <w:rPr>
          <w:rFonts w:cstheme="minorHAnsi"/>
          <w:highlight w:val="yellow"/>
        </w:rPr>
        <w:t>figura 1</w:t>
      </w:r>
      <w:r w:rsidR="00BB0578">
        <w:rPr>
          <w:rFonts w:cstheme="minorHAnsi"/>
        </w:rPr>
        <w:t>)</w:t>
      </w:r>
      <w:r w:rsidR="00AC5E21" w:rsidRPr="00C35DF1">
        <w:rPr>
          <w:rFonts w:cstheme="minorHAnsi"/>
        </w:rPr>
        <w:t>.</w:t>
      </w:r>
    </w:p>
    <w:p w:rsidR="007E2288" w:rsidRDefault="0030124C" w:rsidP="00823636">
      <w:pPr>
        <w:jc w:val="both"/>
      </w:pPr>
      <w:r>
        <w:rPr>
          <w:color w:val="000000" w:themeColor="text1"/>
        </w:rPr>
        <w:t xml:space="preserve">Se le </w:t>
      </w:r>
      <w:r w:rsidR="001503C2">
        <w:rPr>
          <w:color w:val="000000" w:themeColor="text1"/>
        </w:rPr>
        <w:t>situazioni</w:t>
      </w:r>
      <w:r w:rsidR="00AF0865" w:rsidRPr="007E22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regionali sono </w:t>
      </w:r>
      <w:r w:rsidR="00AF0865" w:rsidRPr="007E2288">
        <w:rPr>
          <w:color w:val="000000" w:themeColor="text1"/>
        </w:rPr>
        <w:t>piuttosto eterogene</w:t>
      </w:r>
      <w:r w:rsidR="001503C2">
        <w:rPr>
          <w:color w:val="000000" w:themeColor="text1"/>
        </w:rPr>
        <w:t>e</w:t>
      </w:r>
      <w:r w:rsidR="00B83963">
        <w:rPr>
          <w:color w:val="000000" w:themeColor="text1"/>
        </w:rPr>
        <w:t xml:space="preserve"> (</w:t>
      </w:r>
      <w:r w:rsidR="00B83963" w:rsidRPr="00B83963">
        <w:rPr>
          <w:color w:val="000000" w:themeColor="text1"/>
          <w:highlight w:val="yellow"/>
        </w:rPr>
        <w:t>tabella</w:t>
      </w:r>
      <w:r w:rsidR="00B83963">
        <w:rPr>
          <w:color w:val="000000" w:themeColor="text1"/>
        </w:rPr>
        <w:t>)</w:t>
      </w:r>
      <w:r w:rsidR="00F2260D">
        <w:rPr>
          <w:color w:val="000000" w:themeColor="text1"/>
        </w:rPr>
        <w:t>,</w:t>
      </w:r>
      <w:r w:rsidR="006631A9" w:rsidRPr="007E22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è evidente che </w:t>
      </w:r>
      <w:r w:rsidR="00F2260D">
        <w:rPr>
          <w:color w:val="000000" w:themeColor="text1"/>
        </w:rPr>
        <w:t xml:space="preserve">in generale </w:t>
      </w:r>
      <w:r>
        <w:rPr>
          <w:color w:val="000000" w:themeColor="text1"/>
        </w:rPr>
        <w:t xml:space="preserve">le </w:t>
      </w:r>
      <w:r w:rsidR="007E2288" w:rsidRPr="007E2288">
        <w:rPr>
          <w:color w:val="000000" w:themeColor="text1"/>
        </w:rPr>
        <w:t>misure di contenimento introdotte con il DPCM del 3 novembre</w:t>
      </w:r>
      <w:r w:rsidR="006631A9" w:rsidRPr="007E22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2020 </w:t>
      </w:r>
      <w:r w:rsidR="00BB0578">
        <w:rPr>
          <w:color w:val="000000" w:themeColor="text1"/>
        </w:rPr>
        <w:t xml:space="preserve">stanno esaurendo </w:t>
      </w:r>
      <w:r>
        <w:rPr>
          <w:color w:val="000000" w:themeColor="text1"/>
        </w:rPr>
        <w:t>i loro effetti</w:t>
      </w:r>
      <w:r w:rsidR="00AF0865" w:rsidRPr="007E2288">
        <w:rPr>
          <w:color w:val="000000" w:themeColor="text1"/>
        </w:rPr>
        <w:t xml:space="preserve">. </w:t>
      </w:r>
      <w:r w:rsidR="006631A9" w:rsidRPr="004C0DD6">
        <w:rPr>
          <w:color w:val="000000" w:themeColor="text1"/>
        </w:rPr>
        <w:t>«</w:t>
      </w:r>
      <w:r w:rsidR="00F2260D">
        <w:rPr>
          <w:color w:val="000000" w:themeColor="text1"/>
        </w:rPr>
        <w:t>L</w:t>
      </w:r>
      <w:r w:rsidR="00BB0578">
        <w:rPr>
          <w:color w:val="000000" w:themeColor="text1"/>
        </w:rPr>
        <w:t xml:space="preserve">’incremento percentuale dei casi </w:t>
      </w:r>
      <w:r w:rsidR="00F2260D">
        <w:rPr>
          <w:color w:val="000000" w:themeColor="text1"/>
        </w:rPr>
        <w:t xml:space="preserve">infatti </w:t>
      </w:r>
      <w:r w:rsidR="007E2288">
        <w:rPr>
          <w:color w:val="000000" w:themeColor="text1"/>
        </w:rPr>
        <w:t xml:space="preserve">– afferma Renata Gili, </w:t>
      </w:r>
      <w:r w:rsidR="007E2288" w:rsidRPr="007E2288">
        <w:rPr>
          <w:color w:val="000000" w:themeColor="text1"/>
        </w:rPr>
        <w:t>Responsabile Ricerca sui Servizi sanitari della Fondazione GIMBE –</w:t>
      </w:r>
      <w:r w:rsidR="008E7282">
        <w:rPr>
          <w:color w:val="000000" w:themeColor="text1"/>
        </w:rPr>
        <w:t xml:space="preserve"> </w:t>
      </w:r>
      <w:r w:rsidR="00587214">
        <w:rPr>
          <w:color w:val="000000" w:themeColor="text1"/>
        </w:rPr>
        <w:t xml:space="preserve">che la scorsa settimana era in flessione </w:t>
      </w:r>
      <w:r w:rsidR="00BB0578">
        <w:rPr>
          <w:color w:val="000000" w:themeColor="text1"/>
        </w:rPr>
        <w:t>in tutto il Paese</w:t>
      </w:r>
      <w:r w:rsidR="00587214">
        <w:rPr>
          <w:color w:val="000000" w:themeColor="text1"/>
        </w:rPr>
        <w:t xml:space="preserve">, questa settimana ha invertito la tendenza </w:t>
      </w:r>
      <w:r w:rsidR="00BB0578">
        <w:rPr>
          <w:color w:val="000000" w:themeColor="text1"/>
        </w:rPr>
        <w:t>in 6 Regioni</w:t>
      </w:r>
      <w:r w:rsidR="007E2288" w:rsidRPr="00C35DF1">
        <w:rPr>
          <w:rFonts w:cstheme="minorHAnsi"/>
        </w:rPr>
        <w:t>».</w:t>
      </w:r>
      <w:r>
        <w:rPr>
          <w:rFonts w:cstheme="minorHAnsi"/>
        </w:rPr>
        <w:t xml:space="preserve"> </w:t>
      </w:r>
      <w:r w:rsidR="007E2288">
        <w:rPr>
          <w:color w:val="000000" w:themeColor="text1"/>
        </w:rPr>
        <w:t xml:space="preserve">Per quanto riguarda </w:t>
      </w:r>
      <w:r w:rsidR="00B83963">
        <w:rPr>
          <w:color w:val="000000" w:themeColor="text1"/>
        </w:rPr>
        <w:t>i ricoveri</w:t>
      </w:r>
      <w:r w:rsidR="007E2288">
        <w:rPr>
          <w:color w:val="000000" w:themeColor="text1"/>
        </w:rPr>
        <w:t xml:space="preserve">, </w:t>
      </w:r>
      <w:r w:rsidR="00B83963">
        <w:rPr>
          <w:color w:val="000000" w:themeColor="text1"/>
        </w:rPr>
        <w:t>continua la lenta discesa delle curve (</w:t>
      </w:r>
      <w:r w:rsidR="00B83963" w:rsidRPr="00B83963">
        <w:rPr>
          <w:color w:val="000000" w:themeColor="text1"/>
          <w:highlight w:val="yellow"/>
        </w:rPr>
        <w:t>figura 2</w:t>
      </w:r>
      <w:r w:rsidR="001503C2">
        <w:rPr>
          <w:color w:val="000000" w:themeColor="text1"/>
        </w:rPr>
        <w:t xml:space="preserve">), ma </w:t>
      </w:r>
      <w:r w:rsidR="00587214">
        <w:rPr>
          <w:color w:val="000000" w:themeColor="text1"/>
        </w:rPr>
        <w:t>l’</w:t>
      </w:r>
      <w:r w:rsidR="00B83963">
        <w:rPr>
          <w:color w:val="000000" w:themeColor="text1"/>
        </w:rPr>
        <w:t xml:space="preserve">occupazione </w:t>
      </w:r>
      <w:r w:rsidR="00B83963" w:rsidRPr="00B33192">
        <w:t xml:space="preserve">da parte di pazienti COVID </w:t>
      </w:r>
      <w:r w:rsidR="00BB0578" w:rsidRPr="00B33192">
        <w:t>super</w:t>
      </w:r>
      <w:r w:rsidR="00BB0578">
        <w:t xml:space="preserve">a </w:t>
      </w:r>
      <w:r w:rsidR="00806876">
        <w:t xml:space="preserve">ancora </w:t>
      </w:r>
      <w:r w:rsidR="00587214">
        <w:t>la soglia del</w:t>
      </w:r>
      <w:r w:rsidR="00B83963" w:rsidRPr="00B33192">
        <w:t xml:space="preserve"> 40% nei reparti di area medica in</w:t>
      </w:r>
      <w:r w:rsidR="00B83963">
        <w:t xml:space="preserve"> </w:t>
      </w:r>
      <w:r w:rsidR="00B83963" w:rsidRPr="008F3F84">
        <w:rPr>
          <w:color w:val="000000" w:themeColor="text1"/>
        </w:rPr>
        <w:t>9</w:t>
      </w:r>
      <w:r w:rsidR="00B83963">
        <w:t xml:space="preserve"> Regioni </w:t>
      </w:r>
      <w:r w:rsidR="00F2260D">
        <w:t xml:space="preserve">e </w:t>
      </w:r>
      <w:r w:rsidR="00587214">
        <w:t xml:space="preserve">quella del </w:t>
      </w:r>
      <w:r w:rsidR="00B83963">
        <w:t xml:space="preserve">30% nei reparti di terapia intensiva in </w:t>
      </w:r>
      <w:r w:rsidR="008F3F84" w:rsidRPr="008F3F84">
        <w:rPr>
          <w:color w:val="000000" w:themeColor="text1"/>
        </w:rPr>
        <w:t>8</w:t>
      </w:r>
      <w:r w:rsidR="00B83963" w:rsidRPr="008F3F84">
        <w:rPr>
          <w:color w:val="000000" w:themeColor="text1"/>
        </w:rPr>
        <w:t xml:space="preserve"> </w:t>
      </w:r>
      <w:r w:rsidR="00B83963">
        <w:t>Regioni (</w:t>
      </w:r>
      <w:r w:rsidR="00B83963" w:rsidRPr="00B83963">
        <w:rPr>
          <w:color w:val="000000" w:themeColor="text1"/>
          <w:highlight w:val="yellow"/>
        </w:rPr>
        <w:t>tabella</w:t>
      </w:r>
      <w:r w:rsidR="00B83963">
        <w:t>). La curva dei decessi sale in maniera meno ripida, ma il numero è ancora molto elevato</w:t>
      </w:r>
      <w:r w:rsidR="00587214">
        <w:t xml:space="preserve"> e sfiora i 4.000</w:t>
      </w:r>
      <w:r w:rsidR="00B83963">
        <w:t xml:space="preserve"> (</w:t>
      </w:r>
      <w:r w:rsidR="00B83963" w:rsidRPr="00B83963">
        <w:rPr>
          <w:color w:val="000000" w:themeColor="text1"/>
          <w:highlight w:val="yellow"/>
        </w:rPr>
        <w:t>figura 2</w:t>
      </w:r>
      <w:r w:rsidR="00B83963">
        <w:t>).</w:t>
      </w:r>
    </w:p>
    <w:p w:rsidR="001A674A" w:rsidRPr="00806876" w:rsidRDefault="00806876" w:rsidP="00823636">
      <w:pPr>
        <w:jc w:val="both"/>
      </w:pPr>
      <w:r w:rsidRPr="00806876">
        <w:lastRenderedPageBreak/>
        <w:t>«</w:t>
      </w:r>
      <w:r w:rsidR="00F2260D">
        <w:t>Al di là del</w:t>
      </w:r>
      <w:r w:rsidR="00F2260D" w:rsidRPr="00806876">
        <w:t xml:space="preserve"> </w:t>
      </w:r>
      <w:r w:rsidRPr="00806876">
        <w:t>potenziamento delle misure restrittive per il periodo di Natale – continua il Presidente – d</w:t>
      </w:r>
      <w:r w:rsidR="00BF2FF1" w:rsidRPr="00806876">
        <w:t xml:space="preserve">ue </w:t>
      </w:r>
      <w:r w:rsidRPr="00806876">
        <w:t xml:space="preserve">fattori influenzeranno nei prossimi mesi l’evoluzione della pandemia nel nostro Paese: l’avvio della campagna vaccinale e la </w:t>
      </w:r>
      <w:r w:rsidR="00F2260D">
        <w:t xml:space="preserve">diffusione della </w:t>
      </w:r>
      <w:r w:rsidRPr="00806876">
        <w:t>variante UK recentemente isolata</w:t>
      </w:r>
      <w:r w:rsidRPr="00C35DF1">
        <w:rPr>
          <w:rFonts w:cstheme="minorHAnsi"/>
        </w:rPr>
        <w:t>».</w:t>
      </w:r>
    </w:p>
    <w:p w:rsidR="0030124C" w:rsidRPr="00806876" w:rsidRDefault="00806876" w:rsidP="0030124C">
      <w:pPr>
        <w:jc w:val="both"/>
        <w:rPr>
          <w:b/>
        </w:rPr>
      </w:pPr>
      <w:bookmarkStart w:id="1" w:name="_Hlk59533182"/>
      <w:r>
        <w:rPr>
          <w:b/>
        </w:rPr>
        <w:t>Campagna vaccinale</w:t>
      </w:r>
      <w:r w:rsidRPr="00806876">
        <w:t>.</w:t>
      </w:r>
      <w:r>
        <w:rPr>
          <w:b/>
        </w:rPr>
        <w:t xml:space="preserve"> </w:t>
      </w:r>
      <w:r w:rsidR="0030124C" w:rsidRPr="00943DD1">
        <w:t>«</w:t>
      </w:r>
      <w:r w:rsidR="0030124C">
        <w:t xml:space="preserve">Al momento </w:t>
      </w:r>
      <w:r w:rsidR="0030124C" w:rsidRPr="00943DD1">
        <w:t>–</w:t>
      </w:r>
      <w:r w:rsidR="0030124C">
        <w:t xml:space="preserve"> spiega </w:t>
      </w:r>
      <w:r w:rsidR="0030124C" w:rsidRPr="00943DD1">
        <w:t>Cartabellotta –</w:t>
      </w:r>
      <w:r w:rsidR="0030124C">
        <w:t xml:space="preserve"> è possibile solo fare previsioni di massima rispetto al raggiungimento di una copertura vaccinale del 60-70% della popolazione</w:t>
      </w:r>
      <w:r w:rsidR="0030124C" w:rsidRPr="00943DD1">
        <w:t>».</w:t>
      </w:r>
      <w:r w:rsidR="00302E52">
        <w:t xml:space="preserve"> </w:t>
      </w:r>
      <w:r w:rsidR="0030124C">
        <w:t xml:space="preserve">Vero è che il piano strategico del Ministero della Salute </w:t>
      </w:r>
      <w:hyperlink r:id="rId8" w:history="1">
        <w:r w:rsidR="0030124C" w:rsidRPr="00F82A06">
          <w:rPr>
            <w:rStyle w:val="Collegamentoipertestuale"/>
          </w:rPr>
          <w:t>Vaccinazione anti-SARS-CoV-2/COVID-19</w:t>
        </w:r>
      </w:hyperlink>
      <w:r w:rsidR="0030124C">
        <w:t xml:space="preserve"> riporta oltre 202 milioni di dosi</w:t>
      </w:r>
      <w:r w:rsidR="00587214">
        <w:t xml:space="preserve"> potenzialmente disponibili</w:t>
      </w:r>
      <w:r w:rsidR="00CE4B8A">
        <w:t xml:space="preserve"> (pari a 101 milioni di cicli vaccinali completi)</w:t>
      </w:r>
      <w:r>
        <w:t>. T</w:t>
      </w:r>
      <w:r w:rsidR="0030124C">
        <w:t xml:space="preserve">uttavia, prima che gli accordi preliminari di acquisto </w:t>
      </w:r>
      <w:r w:rsidR="00142789">
        <w:t xml:space="preserve">si concretizzino in </w:t>
      </w:r>
      <w:r w:rsidR="0030124C">
        <w:t>forniture</w:t>
      </w:r>
      <w:r w:rsidR="00142789">
        <w:t>,</w:t>
      </w:r>
      <w:r w:rsidR="0030124C">
        <w:t xml:space="preserve"> </w:t>
      </w:r>
      <w:r w:rsidR="00F2260D">
        <w:t xml:space="preserve">bisognerà </w:t>
      </w:r>
      <w:r w:rsidR="0030124C">
        <w:t xml:space="preserve">attendere il completamento </w:t>
      </w:r>
      <w:r w:rsidR="00CE4B8A">
        <w:t>de</w:t>
      </w:r>
      <w:r w:rsidR="008E7282">
        <w:t xml:space="preserve">gli </w:t>
      </w:r>
      <w:r w:rsidR="0030124C">
        <w:t>studi clinici in corso, la submission della documentazione completa all’</w:t>
      </w:r>
      <w:r w:rsidR="0030124C" w:rsidRPr="00FF1CC5">
        <w:rPr>
          <w:i/>
        </w:rPr>
        <w:t xml:space="preserve">European Medicines Agency </w:t>
      </w:r>
      <w:r w:rsidR="0030124C">
        <w:t>(EMA)</w:t>
      </w:r>
      <w:r w:rsidR="00142789">
        <w:t xml:space="preserve"> da parte delle aziende produttrici</w:t>
      </w:r>
      <w:r w:rsidR="0030124C">
        <w:t xml:space="preserve"> e la successiva approvazione condizionata, </w:t>
      </w:r>
      <w:r w:rsidR="0030124C">
        <w:rPr>
          <w:color w:val="000000" w:themeColor="text1"/>
        </w:rPr>
        <w:t>ossia l’autorizzazione in condizioni di emergenza per la valutazione di efficacia e sicurezza</w:t>
      </w:r>
      <w:r w:rsidR="0030124C">
        <w:t xml:space="preserve">. </w:t>
      </w:r>
      <w:r w:rsidR="00587214">
        <w:t>Analizzando lo stat</w:t>
      </w:r>
      <w:r w:rsidR="001503C2">
        <w:t>us di approvazione dei vaccini:</w:t>
      </w:r>
    </w:p>
    <w:p w:rsidR="0030124C" w:rsidRDefault="00806876" w:rsidP="0030124C">
      <w:pPr>
        <w:pStyle w:val="Paragrafoelenco"/>
        <w:numPr>
          <w:ilvl w:val="0"/>
          <w:numId w:val="14"/>
        </w:numPr>
        <w:spacing w:after="200" w:line="276" w:lineRule="auto"/>
        <w:jc w:val="both"/>
      </w:pPr>
      <w:r>
        <w:t>L</w:t>
      </w:r>
      <w:r w:rsidR="0030124C">
        <w:t xml:space="preserve">e dosi certe sono </w:t>
      </w:r>
      <w:r w:rsidR="007160AB">
        <w:t xml:space="preserve">solo </w:t>
      </w:r>
      <w:r w:rsidR="0030124C">
        <w:t xml:space="preserve">poco più </w:t>
      </w:r>
      <w:r w:rsidR="00302E52">
        <w:t>di 10 milioni entro marzo</w:t>
      </w:r>
      <w:r w:rsidR="00CE4B8A">
        <w:t xml:space="preserve"> 2021</w:t>
      </w:r>
      <w:r w:rsidR="00302E52">
        <w:t xml:space="preserve"> e </w:t>
      </w:r>
      <w:r w:rsidR="0030124C">
        <w:t>22,8 milion</w:t>
      </w:r>
      <w:r w:rsidR="00302E52">
        <w:t>i entro giugno</w:t>
      </w:r>
      <w:r w:rsidR="00CE4B8A">
        <w:t xml:space="preserve"> 2021</w:t>
      </w:r>
      <w:r w:rsidR="0030124C">
        <w:t xml:space="preserve">: quelle del vaccino Pfizer-BioNTech, approvato dall’EMA il 21 dicembre, e quelle di Moderna che dovrebbe avere il via libera il </w:t>
      </w:r>
      <w:r w:rsidR="00CE4B8A">
        <w:t xml:space="preserve">prossimo </w:t>
      </w:r>
      <w:r w:rsidR="0030124C">
        <w:t xml:space="preserve">6 gennaio. </w:t>
      </w:r>
    </w:p>
    <w:p w:rsidR="0030124C" w:rsidRPr="001F5270" w:rsidRDefault="00587214" w:rsidP="0030124C">
      <w:pPr>
        <w:pStyle w:val="Paragrafoelenco"/>
        <w:numPr>
          <w:ilvl w:val="0"/>
          <w:numId w:val="14"/>
        </w:numPr>
        <w:spacing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I vaccini di </w:t>
      </w:r>
      <w:r w:rsidR="0030124C" w:rsidRPr="001F5270">
        <w:rPr>
          <w:color w:val="000000" w:themeColor="text1"/>
        </w:rPr>
        <w:t xml:space="preserve">AstraZeneca e Johnson &amp; Johnson </w:t>
      </w:r>
      <w:r w:rsidR="0030124C">
        <w:rPr>
          <w:color w:val="000000" w:themeColor="text1"/>
        </w:rPr>
        <w:t xml:space="preserve">sono in fase di </w:t>
      </w:r>
      <w:r w:rsidR="0030124C" w:rsidRPr="00FF1CC5">
        <w:rPr>
          <w:i/>
          <w:color w:val="000000" w:themeColor="text1"/>
        </w:rPr>
        <w:t>rolling review</w:t>
      </w:r>
      <w:r w:rsidR="0030124C">
        <w:rPr>
          <w:color w:val="000000" w:themeColor="text1"/>
        </w:rPr>
        <w:t xml:space="preserve"> (revisione ciclica), ovvero EMA valuta i dati man mano che vengono resi disponibili, ma nessuna delle due aziende ha </w:t>
      </w:r>
      <w:r w:rsidR="0030124C" w:rsidRPr="001F5270">
        <w:rPr>
          <w:color w:val="000000" w:themeColor="text1"/>
        </w:rPr>
        <w:t xml:space="preserve">ancora effettuato la submission </w:t>
      </w:r>
      <w:r w:rsidR="0030124C">
        <w:rPr>
          <w:color w:val="000000" w:themeColor="text1"/>
        </w:rPr>
        <w:t xml:space="preserve">dei dati completi </w:t>
      </w:r>
      <w:r w:rsidR="0030124C" w:rsidRPr="001F5270">
        <w:rPr>
          <w:color w:val="000000" w:themeColor="text1"/>
        </w:rPr>
        <w:t>per l’approvazione condizionata</w:t>
      </w:r>
      <w:r w:rsidR="0030124C">
        <w:rPr>
          <w:color w:val="000000" w:themeColor="text1"/>
        </w:rPr>
        <w:t>.</w:t>
      </w:r>
    </w:p>
    <w:p w:rsidR="0030124C" w:rsidRPr="001F5270" w:rsidRDefault="0030124C" w:rsidP="0030124C">
      <w:pPr>
        <w:pStyle w:val="Paragrafoelenco"/>
        <w:numPr>
          <w:ilvl w:val="0"/>
          <w:numId w:val="14"/>
        </w:numPr>
        <w:spacing w:after="200" w:line="276" w:lineRule="auto"/>
        <w:jc w:val="both"/>
      </w:pPr>
      <w:r>
        <w:t xml:space="preserve">CureVac ha annunciato </w:t>
      </w:r>
      <w:r w:rsidR="001503C2">
        <w:t xml:space="preserve">il 14 dicembre </w:t>
      </w:r>
      <w:r>
        <w:t xml:space="preserve">l’arruolamento del primo paziente </w:t>
      </w:r>
      <w:r w:rsidR="001503C2">
        <w:t xml:space="preserve">nello </w:t>
      </w:r>
      <w:r>
        <w:t>studio di fase 3.</w:t>
      </w:r>
    </w:p>
    <w:p w:rsidR="0030124C" w:rsidRDefault="0030124C" w:rsidP="0030124C">
      <w:pPr>
        <w:pStyle w:val="Paragrafoelenco"/>
        <w:numPr>
          <w:ilvl w:val="0"/>
          <w:numId w:val="14"/>
        </w:numPr>
        <w:spacing w:after="200" w:line="276" w:lineRule="auto"/>
        <w:jc w:val="both"/>
      </w:pPr>
      <w:r>
        <w:t>Sanofi-GSK ha già comunicato lo slittamento della consegna delle dosi al 2022.</w:t>
      </w:r>
    </w:p>
    <w:p w:rsidR="00151911" w:rsidRDefault="004565AC" w:rsidP="0030124C">
      <w:pPr>
        <w:jc w:val="both"/>
        <w:rPr>
          <w:rStyle w:val="Rimandocommento"/>
        </w:rPr>
      </w:pPr>
      <w:r>
        <w:rPr>
          <w:rStyle w:val="Rimandocommen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in">
            <v:imagedata r:id="rId9" o:title="Dosi_vaccino"/>
          </v:shape>
        </w:pict>
      </w:r>
    </w:p>
    <w:p w:rsidR="0030124C" w:rsidRPr="00806876" w:rsidRDefault="00806876" w:rsidP="0030124C">
      <w:pPr>
        <w:jc w:val="both"/>
        <w:rPr>
          <w:b/>
        </w:rPr>
      </w:pPr>
      <w:r>
        <w:rPr>
          <w:b/>
        </w:rPr>
        <w:t>V</w:t>
      </w:r>
      <w:r w:rsidR="0030124C">
        <w:rPr>
          <w:b/>
        </w:rPr>
        <w:t xml:space="preserve">ariante </w:t>
      </w:r>
      <w:r>
        <w:rPr>
          <w:b/>
        </w:rPr>
        <w:t xml:space="preserve">UK </w:t>
      </w:r>
      <w:r w:rsidR="0030124C" w:rsidRPr="00F82A06">
        <w:rPr>
          <w:b/>
        </w:rPr>
        <w:t>di SARS-CoV-2</w:t>
      </w:r>
      <w:r w:rsidRPr="00806876">
        <w:t>.</w:t>
      </w:r>
      <w:r>
        <w:rPr>
          <w:b/>
        </w:rPr>
        <w:t xml:space="preserve"> </w:t>
      </w:r>
      <w:r w:rsidR="00F2260D">
        <w:t xml:space="preserve">Isolata </w:t>
      </w:r>
      <w:r w:rsidR="0030124C">
        <w:t>già ai primi di ottobre</w:t>
      </w:r>
      <w:r w:rsidR="00F330E3">
        <w:t>,</w:t>
      </w:r>
      <w:r w:rsidR="0030124C">
        <w:t xml:space="preserve"> è stata </w:t>
      </w:r>
      <w:r w:rsidR="00F2260D">
        <w:t xml:space="preserve">resa ufficialmente nota </w:t>
      </w:r>
      <w:r w:rsidR="0030124C">
        <w:t xml:space="preserve">solo il 14 dicembre. Il 18 dicembre il </w:t>
      </w:r>
      <w:r w:rsidR="0030124C" w:rsidRPr="00341263">
        <w:rPr>
          <w:i/>
        </w:rPr>
        <w:t xml:space="preserve">New and </w:t>
      </w:r>
      <w:proofErr w:type="spellStart"/>
      <w:r w:rsidR="0030124C" w:rsidRPr="00341263">
        <w:rPr>
          <w:i/>
        </w:rPr>
        <w:t>Emerging</w:t>
      </w:r>
      <w:proofErr w:type="spellEnd"/>
      <w:r w:rsidR="0030124C" w:rsidRPr="00341263">
        <w:rPr>
          <w:i/>
        </w:rPr>
        <w:t xml:space="preserve"> </w:t>
      </w:r>
      <w:proofErr w:type="spellStart"/>
      <w:r w:rsidR="0030124C" w:rsidRPr="00341263">
        <w:rPr>
          <w:i/>
        </w:rPr>
        <w:t>Respiratory</w:t>
      </w:r>
      <w:proofErr w:type="spellEnd"/>
      <w:r w:rsidR="0030124C" w:rsidRPr="00341263">
        <w:rPr>
          <w:i/>
        </w:rPr>
        <w:t xml:space="preserve"> Virus </w:t>
      </w:r>
      <w:proofErr w:type="spellStart"/>
      <w:r w:rsidR="0030124C" w:rsidRPr="00341263">
        <w:rPr>
          <w:i/>
        </w:rPr>
        <w:t>Threats</w:t>
      </w:r>
      <w:proofErr w:type="spellEnd"/>
      <w:r w:rsidR="0030124C" w:rsidRPr="00341263">
        <w:rPr>
          <w:i/>
        </w:rPr>
        <w:t xml:space="preserve"> Advisory Group</w:t>
      </w:r>
      <w:r w:rsidR="0030124C">
        <w:t xml:space="preserve"> (</w:t>
      </w:r>
      <w:r w:rsidR="0030124C" w:rsidRPr="002F74B0">
        <w:t>NERVTAG</w:t>
      </w:r>
      <w:r w:rsidR="0030124C">
        <w:t xml:space="preserve">) – comitato di esperti che supporta il Governo britannico – ha pubblicato un </w:t>
      </w:r>
      <w:hyperlink r:id="rId10" w:history="1">
        <w:r w:rsidR="0030124C" w:rsidRPr="002148CE">
          <w:rPr>
            <w:rStyle w:val="Collegamentoipertestuale"/>
          </w:rPr>
          <w:t>documento</w:t>
        </w:r>
      </w:hyperlink>
      <w:r w:rsidR="0030124C">
        <w:t xml:space="preserve"> dove si afferma che “esistono moderate evidenze di una sostanziale maggior trasmissibilità rispetto ad altre varianti”. Tuttavia</w:t>
      </w:r>
      <w:r w:rsidR="0030124C" w:rsidRPr="00816356">
        <w:t>,</w:t>
      </w:r>
      <w:r w:rsidR="0030124C">
        <w:t xml:space="preserve"> </w:t>
      </w:r>
      <w:r w:rsidR="0030124C" w:rsidRPr="00816356">
        <w:t xml:space="preserve">come </w:t>
      </w:r>
      <w:r w:rsidR="00274ED1">
        <w:t>ribadito</w:t>
      </w:r>
      <w:r w:rsidR="0030124C" w:rsidRPr="00816356">
        <w:t xml:space="preserve"> anche da</w:t>
      </w:r>
      <w:r w:rsidR="0030124C">
        <w:t>l</w:t>
      </w:r>
      <w:r w:rsidR="0030124C" w:rsidRPr="00816356">
        <w:t>l’</w:t>
      </w:r>
      <w:hyperlink r:id="rId11" w:history="1">
        <w:r w:rsidR="0030124C" w:rsidRPr="00816356">
          <w:rPr>
            <w:rStyle w:val="Collegamentoipertestuale"/>
            <w:i/>
          </w:rPr>
          <w:t>European Centre for Disease Prevention and Control</w:t>
        </w:r>
      </w:hyperlink>
      <w:r w:rsidR="00274ED1">
        <w:t xml:space="preserve"> (ECDC) e dal report governativo </w:t>
      </w:r>
      <w:hyperlink r:id="rId12" w:history="1">
        <w:proofErr w:type="spellStart"/>
        <w:r w:rsidR="00274ED1" w:rsidRPr="00274ED1">
          <w:rPr>
            <w:rStyle w:val="Collegamentoipertestuale"/>
          </w:rPr>
          <w:t>Investigation</w:t>
        </w:r>
        <w:proofErr w:type="spellEnd"/>
        <w:r w:rsidR="00274ED1" w:rsidRPr="00274ED1">
          <w:rPr>
            <w:rStyle w:val="Collegamentoipertestuale"/>
          </w:rPr>
          <w:t xml:space="preserve"> of </w:t>
        </w:r>
        <w:proofErr w:type="spellStart"/>
        <w:r w:rsidR="00274ED1" w:rsidRPr="00274ED1">
          <w:rPr>
            <w:rStyle w:val="Collegamentoipertestuale"/>
          </w:rPr>
          <w:t>novel</w:t>
        </w:r>
        <w:proofErr w:type="spellEnd"/>
        <w:r w:rsidR="00274ED1" w:rsidRPr="00274ED1">
          <w:rPr>
            <w:rStyle w:val="Collegamentoipertestuale"/>
          </w:rPr>
          <w:t xml:space="preserve"> SARS-COV-2 </w:t>
        </w:r>
        <w:proofErr w:type="spellStart"/>
        <w:r w:rsidR="00274ED1" w:rsidRPr="00274ED1">
          <w:rPr>
            <w:rStyle w:val="Collegamentoipertestuale"/>
          </w:rPr>
          <w:t>variant</w:t>
        </w:r>
        <w:proofErr w:type="spellEnd"/>
      </w:hyperlink>
      <w:r w:rsidR="00274ED1" w:rsidRPr="00274ED1">
        <w:t xml:space="preserve"> </w:t>
      </w:r>
      <w:r w:rsidR="00625E38">
        <w:t xml:space="preserve">oggi </w:t>
      </w:r>
      <w:r w:rsidR="0030124C" w:rsidRPr="00816356">
        <w:t>s</w:t>
      </w:r>
      <w:r w:rsidR="0030124C">
        <w:t xml:space="preserve">ulla </w:t>
      </w:r>
      <w:r w:rsidR="00625E38">
        <w:t>base delle evidenze disponibili</w:t>
      </w:r>
      <w:r w:rsidR="0030124C">
        <w:t xml:space="preserve"> non è possibile trarre conclusioni definitive su:</w:t>
      </w:r>
    </w:p>
    <w:p w:rsidR="0030124C" w:rsidRDefault="0030124C" w:rsidP="0030124C">
      <w:pPr>
        <w:pStyle w:val="Paragrafoelenco"/>
        <w:numPr>
          <w:ilvl w:val="0"/>
          <w:numId w:val="13"/>
        </w:numPr>
        <w:spacing w:line="276" w:lineRule="auto"/>
        <w:contextualSpacing w:val="0"/>
        <w:jc w:val="both"/>
      </w:pPr>
      <w:r>
        <w:t>meccanismi che determinano la probabile maggior trasmissibilità della variante</w:t>
      </w:r>
      <w:r w:rsidR="00A96DC3">
        <w:t>;</w:t>
      </w:r>
    </w:p>
    <w:p w:rsidR="0030124C" w:rsidRPr="000C1741" w:rsidRDefault="0030124C" w:rsidP="0030124C">
      <w:pPr>
        <w:pStyle w:val="Paragrafoelenco"/>
        <w:numPr>
          <w:ilvl w:val="0"/>
          <w:numId w:val="13"/>
        </w:numPr>
        <w:spacing w:line="276" w:lineRule="auto"/>
        <w:contextualSpacing w:val="0"/>
        <w:jc w:val="both"/>
      </w:pPr>
      <w:r>
        <w:t>conseguenze sulla severità della malattia</w:t>
      </w:r>
      <w:r w:rsidRPr="000C1741">
        <w:t xml:space="preserve">: </w:t>
      </w:r>
      <w:r>
        <w:t xml:space="preserve">nessun dato su </w:t>
      </w:r>
      <w:r w:rsidRPr="00DE13D4">
        <w:t>decorso clinico peggiore, mortalità più elevata o maggior vulnerabilità di particolari gruppi di popolazione</w:t>
      </w:r>
      <w:r w:rsidR="00A96DC3">
        <w:t>;</w:t>
      </w:r>
    </w:p>
    <w:p w:rsidR="0030124C" w:rsidRDefault="0030124C" w:rsidP="0030124C">
      <w:pPr>
        <w:pStyle w:val="Paragrafoelenco"/>
        <w:numPr>
          <w:ilvl w:val="0"/>
          <w:numId w:val="13"/>
        </w:numPr>
        <w:spacing w:line="276" w:lineRule="auto"/>
        <w:contextualSpacing w:val="0"/>
        <w:jc w:val="both"/>
      </w:pPr>
      <w:r>
        <w:t>r</w:t>
      </w:r>
      <w:r w:rsidRPr="000C1741">
        <w:t xml:space="preserve">esistenza alla risposta </w:t>
      </w:r>
      <w:r w:rsidRPr="000C1741">
        <w:rPr>
          <w:rFonts w:asciiTheme="minorHAnsi" w:hAnsiTheme="minorHAnsi" w:cstheme="minorBidi"/>
        </w:rPr>
        <w:t xml:space="preserve">anticorpale </w:t>
      </w:r>
      <w:r w:rsidR="00A96DC3">
        <w:rPr>
          <w:rFonts w:asciiTheme="minorHAnsi" w:hAnsiTheme="minorHAnsi" w:cstheme="minorBidi"/>
        </w:rPr>
        <w:t xml:space="preserve">e relativo impatto sulla </w:t>
      </w:r>
      <w:r w:rsidRPr="000C1741">
        <w:rPr>
          <w:rFonts w:asciiTheme="minorHAnsi" w:hAnsiTheme="minorHAnsi" w:cstheme="minorBidi"/>
        </w:rPr>
        <w:t>possibilità di reinfezione e</w:t>
      </w:r>
      <w:r w:rsidR="00A96DC3">
        <w:rPr>
          <w:rFonts w:asciiTheme="minorHAnsi" w:hAnsiTheme="minorHAnsi" w:cstheme="minorBidi"/>
        </w:rPr>
        <w:t xml:space="preserve">/o sulla riduzione di </w:t>
      </w:r>
      <w:r w:rsidRPr="00DE13D4">
        <w:rPr>
          <w:rFonts w:asciiTheme="minorHAnsi" w:hAnsiTheme="minorHAnsi" w:cstheme="minorBidi"/>
        </w:rPr>
        <w:t>efficacia dei vacci</w:t>
      </w:r>
      <w:r w:rsidRPr="001503C2">
        <w:rPr>
          <w:rFonts w:asciiTheme="minorHAnsi" w:hAnsiTheme="minorHAnsi" w:cstheme="minorBidi"/>
        </w:rPr>
        <w:t>ni</w:t>
      </w:r>
      <w:r w:rsidR="00F330E3">
        <w:rPr>
          <w:rFonts w:asciiTheme="minorHAnsi" w:hAnsiTheme="minorHAnsi" w:cstheme="minorBidi"/>
        </w:rPr>
        <w:t>:</w:t>
      </w:r>
      <w:r w:rsidR="00F330E3" w:rsidRPr="001503C2">
        <w:rPr>
          <w:rFonts w:asciiTheme="minorHAnsi" w:hAnsiTheme="minorHAnsi" w:cstheme="minorBidi"/>
        </w:rPr>
        <w:t xml:space="preserve"> </w:t>
      </w:r>
      <w:r w:rsidRPr="001503C2">
        <w:rPr>
          <w:rFonts w:asciiTheme="minorHAnsi" w:hAnsiTheme="minorHAnsi" w:cstheme="minorBidi"/>
        </w:rPr>
        <w:t xml:space="preserve">su </w:t>
      </w:r>
      <w:r w:rsidR="00A96DC3" w:rsidRPr="001503C2">
        <w:rPr>
          <w:rFonts w:asciiTheme="minorHAnsi" w:hAnsiTheme="minorHAnsi" w:cstheme="minorBidi"/>
        </w:rPr>
        <w:t xml:space="preserve">questo </w:t>
      </w:r>
      <w:r w:rsidRPr="001503C2">
        <w:rPr>
          <w:rFonts w:asciiTheme="minorHAnsi" w:hAnsiTheme="minorHAnsi" w:cstheme="minorBidi"/>
        </w:rPr>
        <w:t xml:space="preserve">Pfizer-BionTech e Moderna hanno annunciato una valutazione che </w:t>
      </w:r>
      <w:r w:rsidR="00630D47">
        <w:rPr>
          <w:rFonts w:asciiTheme="minorHAnsi" w:hAnsiTheme="minorHAnsi" w:cstheme="minorBidi"/>
        </w:rPr>
        <w:t>richiederà</w:t>
      </w:r>
      <w:r w:rsidRPr="001503C2">
        <w:rPr>
          <w:rFonts w:asciiTheme="minorHAnsi" w:hAnsiTheme="minorHAnsi" w:cstheme="minorBidi"/>
        </w:rPr>
        <w:t xml:space="preserve"> </w:t>
      </w:r>
      <w:r w:rsidR="00A96DC3" w:rsidRPr="001503C2">
        <w:rPr>
          <w:rFonts w:asciiTheme="minorHAnsi" w:hAnsiTheme="minorHAnsi" w:cstheme="minorBidi"/>
        </w:rPr>
        <w:t xml:space="preserve">circa 2 </w:t>
      </w:r>
      <w:r w:rsidRPr="001503C2">
        <w:rPr>
          <w:rFonts w:asciiTheme="minorHAnsi" w:hAnsiTheme="minorHAnsi" w:cstheme="minorBidi"/>
        </w:rPr>
        <w:t>settimane e</w:t>
      </w:r>
      <w:r w:rsidR="00A96DC3" w:rsidRPr="001503C2">
        <w:rPr>
          <w:rFonts w:asciiTheme="minorHAnsi" w:hAnsiTheme="minorHAnsi" w:cstheme="minorBidi"/>
        </w:rPr>
        <w:t>,</w:t>
      </w:r>
      <w:r w:rsidRPr="001503C2">
        <w:rPr>
          <w:rFonts w:asciiTheme="minorHAnsi" w:hAnsiTheme="minorHAnsi" w:cstheme="minorBidi"/>
        </w:rPr>
        <w:t xml:space="preserve"> in caso di mancata efficacia </w:t>
      </w:r>
      <w:r w:rsidR="00A96DC3" w:rsidRPr="001503C2">
        <w:rPr>
          <w:rFonts w:asciiTheme="minorHAnsi" w:hAnsiTheme="minorHAnsi" w:cstheme="minorBidi"/>
        </w:rPr>
        <w:t xml:space="preserve">dell’attuale vaccino </w:t>
      </w:r>
      <w:r w:rsidRPr="001503C2">
        <w:rPr>
          <w:rFonts w:asciiTheme="minorHAnsi" w:hAnsiTheme="minorHAnsi" w:cstheme="minorBidi"/>
        </w:rPr>
        <w:t xml:space="preserve">sulla variante </w:t>
      </w:r>
      <w:r w:rsidR="00A96DC3" w:rsidRPr="001503C2">
        <w:rPr>
          <w:rFonts w:asciiTheme="minorHAnsi" w:hAnsiTheme="minorHAnsi" w:cstheme="minorBidi"/>
        </w:rPr>
        <w:t xml:space="preserve">UK, </w:t>
      </w:r>
      <w:r w:rsidR="001503C2" w:rsidRPr="001503C2">
        <w:rPr>
          <w:rFonts w:asciiTheme="minorHAnsi" w:hAnsiTheme="minorHAnsi" w:cstheme="minorBidi"/>
        </w:rPr>
        <w:t xml:space="preserve">prevedono di sintetizzare </w:t>
      </w:r>
      <w:r w:rsidR="00A96DC3" w:rsidRPr="001503C2">
        <w:rPr>
          <w:rFonts w:asciiTheme="minorHAnsi" w:hAnsiTheme="minorHAnsi" w:cstheme="minorBidi"/>
        </w:rPr>
        <w:t xml:space="preserve">un </w:t>
      </w:r>
      <w:r w:rsidR="001503C2" w:rsidRPr="001503C2">
        <w:rPr>
          <w:rFonts w:asciiTheme="minorHAnsi" w:hAnsiTheme="minorHAnsi" w:cstheme="minorBidi"/>
        </w:rPr>
        <w:t>nuovo vaccino in</w:t>
      </w:r>
      <w:r w:rsidRPr="001503C2">
        <w:rPr>
          <w:rFonts w:asciiTheme="minorHAnsi" w:hAnsiTheme="minorHAnsi" w:cstheme="minorBidi"/>
        </w:rPr>
        <w:t xml:space="preserve"> 6 settimane</w:t>
      </w:r>
      <w:r w:rsidR="001503C2">
        <w:rPr>
          <w:rFonts w:asciiTheme="minorHAnsi" w:hAnsiTheme="minorHAnsi" w:cstheme="minorBidi"/>
        </w:rPr>
        <w:t>.</w:t>
      </w:r>
    </w:p>
    <w:p w:rsidR="00D573B7" w:rsidRPr="00630D47" w:rsidRDefault="0030124C" w:rsidP="00630D47">
      <w:pPr>
        <w:spacing w:before="240"/>
        <w:jc w:val="both"/>
      </w:pPr>
      <w:r w:rsidRPr="00943DD1">
        <w:lastRenderedPageBreak/>
        <w:t>«</w:t>
      </w:r>
      <w:r>
        <w:t xml:space="preserve">Considerato che le risposte a questi interrogativi </w:t>
      </w:r>
      <w:r w:rsidR="00274ED1">
        <w:t xml:space="preserve">non </w:t>
      </w:r>
      <w:r>
        <w:t xml:space="preserve">arriveranno </w:t>
      </w:r>
      <w:r w:rsidR="00274ED1">
        <w:t xml:space="preserve">tutte </w:t>
      </w:r>
      <w:r>
        <w:t xml:space="preserve">in tempi brevi </w:t>
      </w:r>
      <w:r w:rsidRPr="00943DD1">
        <w:t>–</w:t>
      </w:r>
      <w:r>
        <w:t xml:space="preserve"> </w:t>
      </w:r>
      <w:r w:rsidR="001A674A">
        <w:t>conclude Cartabellotta</w:t>
      </w:r>
      <w:r>
        <w:t xml:space="preserve"> </w:t>
      </w:r>
      <w:r w:rsidRPr="00943DD1">
        <w:t>–</w:t>
      </w:r>
      <w:r>
        <w:t xml:space="preserve"> </w:t>
      </w:r>
      <w:r w:rsidR="00F330E3">
        <w:t xml:space="preserve">occorre rivalutare complessivamente il piano di gestione pandemica, </w:t>
      </w:r>
      <w:r w:rsidR="00F330E3" w:rsidRPr="00816356">
        <w:t>rafforza</w:t>
      </w:r>
      <w:r w:rsidR="00F330E3">
        <w:t xml:space="preserve">ndo </w:t>
      </w:r>
      <w:r>
        <w:t>ulteriormente le misure di contenimento dell’epidemia, incluso</w:t>
      </w:r>
      <w:r w:rsidRPr="00B56A64">
        <w:rPr>
          <w:color w:val="FF0000"/>
        </w:rPr>
        <w:t xml:space="preserve"> </w:t>
      </w:r>
      <w:r>
        <w:t>il tracciamento dei casi positivi alla nuova variante</w:t>
      </w:r>
      <w:r w:rsidRPr="00943DD1">
        <w:t>»</w:t>
      </w:r>
      <w:r>
        <w:t xml:space="preserve">. Infatti, la </w:t>
      </w:r>
      <w:hyperlink r:id="rId13" w:history="1">
        <w:r w:rsidRPr="005D6FB7">
          <w:rPr>
            <w:rStyle w:val="Collegamentoipertestuale"/>
          </w:rPr>
          <w:t>World Health Organization</w:t>
        </w:r>
      </w:hyperlink>
      <w:r>
        <w:t xml:space="preserve"> e l’</w:t>
      </w:r>
      <w:hyperlink r:id="rId14" w:history="1">
        <w:r w:rsidRPr="005D6FB7">
          <w:rPr>
            <w:rStyle w:val="Collegamentoipertestuale"/>
          </w:rPr>
          <w:t>E</w:t>
        </w:r>
        <w:r>
          <w:rPr>
            <w:rStyle w:val="Collegamentoipertestuale"/>
          </w:rPr>
          <w:t>CDC</w:t>
        </w:r>
      </w:hyperlink>
      <w:r>
        <w:t xml:space="preserve"> raccomandano </w:t>
      </w:r>
      <w:bookmarkEnd w:id="1"/>
      <w:r>
        <w:t xml:space="preserve">di </w:t>
      </w:r>
      <w:r w:rsidRPr="00816356">
        <w:t xml:space="preserve">potenziare </w:t>
      </w:r>
      <w:r>
        <w:t xml:space="preserve">gli sforzi per controllare e prevenire la diffusione del virus sia </w:t>
      </w:r>
      <w:r w:rsidR="00274ED1">
        <w:t>con</w:t>
      </w:r>
      <w:r>
        <w:t xml:space="preserve"> l’intensificazione</w:t>
      </w:r>
      <w:r w:rsidRPr="00B56A64">
        <w:rPr>
          <w:color w:val="FF0000"/>
        </w:rPr>
        <w:t xml:space="preserve"> </w:t>
      </w:r>
      <w:r>
        <w:t xml:space="preserve">delle attività di </w:t>
      </w:r>
      <w:r w:rsidRPr="00D20E43">
        <w:rPr>
          <w:i/>
        </w:rPr>
        <w:t>testing &amp; tracing</w:t>
      </w:r>
      <w:r w:rsidR="00625E38">
        <w:t xml:space="preserve"> </w:t>
      </w:r>
      <w:r>
        <w:t>e di sequenziamento virale, sia continuando a sensibilizzare la popolazione sull’importanza delle misure di distanziamento sociale e sull’uso delle mascherine</w:t>
      </w:r>
      <w:r w:rsidR="00302E52">
        <w:t xml:space="preserve">. Anche </w:t>
      </w:r>
      <w:r w:rsidR="009B25C8">
        <w:t>perché</w:t>
      </w:r>
      <w:r w:rsidR="00302E52">
        <w:t xml:space="preserve">, come ribadito ieri </w:t>
      </w:r>
      <w:r w:rsidR="009B25C8">
        <w:t>dal</w:t>
      </w:r>
      <w:r w:rsidR="00302E52">
        <w:t xml:space="preserve">l’AIFA, la vaccinazione individuale non </w:t>
      </w:r>
      <w:r w:rsidR="00CE09E6">
        <w:t xml:space="preserve">potrà conferire </w:t>
      </w:r>
      <w:r w:rsidR="00302E52">
        <w:t>alcuna “patente di libertà”</w:t>
      </w:r>
      <w:r w:rsidR="00302E52" w:rsidRPr="00943DD1">
        <w:t>»</w:t>
      </w:r>
      <w:r>
        <w:t>.</w:t>
      </w:r>
      <w:r w:rsidR="00625E38">
        <w:t xml:space="preserve"> </w:t>
      </w:r>
    </w:p>
    <w:p w:rsidR="001C4387" w:rsidRPr="0010669B" w:rsidRDefault="00EF3666" w:rsidP="0010669B">
      <w:pPr>
        <w:jc w:val="center"/>
        <w:rPr>
          <w:b/>
          <w:bCs/>
        </w:rPr>
      </w:pPr>
      <w:r w:rsidRPr="0010669B">
        <w:rPr>
          <w:b/>
          <w:bCs/>
        </w:rPr>
        <w:t xml:space="preserve">IL PROSSIMO MONITORAGGIO GIMBE SARÀ PUBBLICATO </w:t>
      </w:r>
      <w:r w:rsidR="00B33192">
        <w:rPr>
          <w:b/>
          <w:bCs/>
        </w:rPr>
        <w:t>VENERD</w:t>
      </w:r>
      <w:r w:rsidRPr="0010669B">
        <w:rPr>
          <w:b/>
          <w:bCs/>
        </w:rPr>
        <w:t xml:space="preserve">Ì </w:t>
      </w:r>
      <w:r w:rsidR="00B33192">
        <w:rPr>
          <w:b/>
          <w:bCs/>
        </w:rPr>
        <w:t>8 GENNAIO 2021</w:t>
      </w:r>
    </w:p>
    <w:p w:rsidR="0010669B" w:rsidRPr="00625E38" w:rsidRDefault="00625E38" w:rsidP="00C34C83">
      <w:pPr>
        <w:spacing w:after="120"/>
        <w:rPr>
          <w:rFonts w:cstheme="minorHAnsi"/>
          <w:i/>
          <w:u w:val="single"/>
        </w:rPr>
      </w:pPr>
      <w:r w:rsidRPr="00497C09">
        <w:rPr>
          <w:rFonts w:cstheme="minorHAnsi"/>
          <w:i/>
        </w:rPr>
        <w:t xml:space="preserve">Il monitoraggio GIMBE dell'epidemia di COVID-19 è disponibile a: </w:t>
      </w:r>
      <w:hyperlink r:id="rId15" w:history="1">
        <w:r w:rsidRPr="00497C09">
          <w:rPr>
            <w:rStyle w:val="Collegamentoipertestuale"/>
            <w:rFonts w:cstheme="minorHAnsi"/>
            <w:i/>
            <w:color w:val="auto"/>
          </w:rPr>
          <w:t>https://coronavirus.gimbe.org</w:t>
        </w:r>
      </w:hyperlink>
    </w:p>
    <w:p w:rsidR="00BC6293" w:rsidRDefault="005127EB" w:rsidP="00C34C83">
      <w:pPr>
        <w:spacing w:after="120"/>
        <w:rPr>
          <w:rStyle w:val="Collegamentoipertestuale"/>
          <w:rFonts w:ascii="Calibri" w:eastAsia="Calibri" w:hAnsi="Calibri" w:cs="Times New Roman"/>
          <w:sz w:val="20"/>
        </w:rPr>
      </w:pP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</w:rPr>
        <w:br/>
      </w:r>
      <w:r w:rsidRPr="00A24080">
        <w:rPr>
          <w:b/>
        </w:rPr>
        <w:t>Fondazione GIMBE</w:t>
      </w:r>
      <w:r w:rsidR="00B71DD4">
        <w:rPr>
          <w:rFonts w:cstheme="minorHAnsi"/>
          <w:i/>
          <w:color w:val="0000FF" w:themeColor="hyperlink"/>
          <w:u w:val="single"/>
        </w:rPr>
        <w:br/>
      </w:r>
      <w:r w:rsidRPr="00652364">
        <w:rPr>
          <w:rFonts w:ascii="Calibri" w:eastAsia="Calibri" w:hAnsi="Calibri" w:cs="Times New Roman"/>
          <w:sz w:val="20"/>
        </w:rPr>
        <w:t>Via Amendola 2 - 40121 Bologna</w:t>
      </w:r>
      <w:r w:rsidR="0095349D"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 w:rsidR="002B4AAD"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16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:rsidR="0030124C" w:rsidRDefault="0030124C" w:rsidP="00844492">
      <w:pPr>
        <w:jc w:val="center"/>
        <w:rPr>
          <w:b/>
          <w:color w:val="1F497D" w:themeColor="text2"/>
          <w:sz w:val="24"/>
        </w:rPr>
      </w:pPr>
    </w:p>
    <w:p w:rsidR="00585FEC" w:rsidRDefault="009440B2" w:rsidP="00844492">
      <w:pPr>
        <w:jc w:val="center"/>
        <w:rPr>
          <w:b/>
          <w:color w:val="1F497D" w:themeColor="text2"/>
          <w:sz w:val="24"/>
        </w:rPr>
      </w:pPr>
      <w:r w:rsidRPr="00057843">
        <w:rPr>
          <w:b/>
          <w:color w:val="1F497D" w:themeColor="text2"/>
          <w:sz w:val="24"/>
        </w:rPr>
        <w:t>Figura 1</w:t>
      </w:r>
    </w:p>
    <w:p w:rsidR="00383D9D" w:rsidRPr="00844492" w:rsidRDefault="00585FEC" w:rsidP="00844492">
      <w:pPr>
        <w:jc w:val="center"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Trend settimanale dei nuovi casi e del rapporto positivi/casi testati</w:t>
      </w:r>
      <w:r w:rsidR="00844492">
        <w:rPr>
          <w:b/>
          <w:color w:val="1F497D" w:themeColor="text2"/>
          <w:sz w:val="24"/>
        </w:rPr>
        <w:br/>
      </w:r>
      <w:r>
        <w:rPr>
          <w:b/>
          <w:noProof/>
          <w:color w:val="1F497D" w:themeColor="text2"/>
          <w:sz w:val="24"/>
        </w:rPr>
        <w:drawing>
          <wp:inline distT="0" distB="0" distL="0" distR="0" wp14:anchorId="4D2F0C13" wp14:editId="20EF1C88">
            <wp:extent cx="5760000" cy="2894396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94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60B6" w:rsidRDefault="003B60B6" w:rsidP="00993455">
      <w:pPr>
        <w:spacing w:after="0" w:line="240" w:lineRule="auto"/>
        <w:rPr>
          <w:b/>
          <w:color w:val="FF0000"/>
          <w:sz w:val="24"/>
        </w:rPr>
      </w:pPr>
    </w:p>
    <w:p w:rsidR="00F041DE" w:rsidRDefault="00F041DE" w:rsidP="00E33365">
      <w:pPr>
        <w:spacing w:after="0" w:line="240" w:lineRule="auto"/>
        <w:rPr>
          <w:b/>
          <w:sz w:val="24"/>
        </w:rPr>
      </w:pPr>
    </w:p>
    <w:p w:rsidR="00585FEC" w:rsidRDefault="00585FEC" w:rsidP="00585FEC">
      <w:pPr>
        <w:jc w:val="center"/>
        <w:rPr>
          <w:b/>
          <w:color w:val="1F497D" w:themeColor="text2"/>
          <w:sz w:val="24"/>
        </w:rPr>
      </w:pPr>
    </w:p>
    <w:p w:rsidR="00A450AD" w:rsidRDefault="00A450AD" w:rsidP="009440B2">
      <w:pPr>
        <w:rPr>
          <w:b/>
          <w:sz w:val="24"/>
        </w:rPr>
        <w:sectPr w:rsidR="00A450AD" w:rsidSect="00F64432">
          <w:footerReference w:type="default" r:id="rId18"/>
          <w:footnotePr>
            <w:numFmt w:val="chicago"/>
          </w:footnotePr>
          <w:type w:val="continuous"/>
          <w:pgSz w:w="11906" w:h="16838"/>
          <w:pgMar w:top="993" w:right="1134" w:bottom="709" w:left="1134" w:header="709" w:footer="836" w:gutter="0"/>
          <w:cols w:space="708"/>
          <w:docGrid w:linePitch="360"/>
        </w:sectPr>
      </w:pPr>
    </w:p>
    <w:p w:rsidR="00180E36" w:rsidRDefault="00B5790F" w:rsidP="00F10847">
      <w:pPr>
        <w:spacing w:after="0" w:line="360" w:lineRule="auto"/>
        <w:jc w:val="center"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 xml:space="preserve">Figura </w:t>
      </w:r>
      <w:r w:rsidR="004C0DD6">
        <w:rPr>
          <w:b/>
          <w:color w:val="1F497D" w:themeColor="text2"/>
          <w:sz w:val="24"/>
        </w:rPr>
        <w:t>2</w:t>
      </w:r>
    </w:p>
    <w:p w:rsidR="00585FEC" w:rsidRDefault="00585FEC" w:rsidP="00F10847">
      <w:pPr>
        <w:spacing w:after="0" w:line="360" w:lineRule="auto"/>
        <w:jc w:val="center"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Trend settimanale di casi attualmente positivi, ricoveri con sintomi, terapie intensive e deceduti</w:t>
      </w:r>
    </w:p>
    <w:p w:rsidR="00571ED4" w:rsidRDefault="004C2036" w:rsidP="00F10847">
      <w:pPr>
        <w:spacing w:after="0" w:line="360" w:lineRule="auto"/>
        <w:jc w:val="center"/>
        <w:rPr>
          <w:b/>
          <w:color w:val="FF0000"/>
          <w:sz w:val="24"/>
        </w:rPr>
      </w:pPr>
      <w:r>
        <w:rPr>
          <w:b/>
          <w:noProof/>
          <w:color w:val="FF0000"/>
          <w:sz w:val="24"/>
        </w:rPr>
        <w:drawing>
          <wp:inline distT="0" distB="0" distL="0" distR="0" wp14:anchorId="102648E7" wp14:editId="27C781F0">
            <wp:extent cx="9360000" cy="4678284"/>
            <wp:effectExtent l="0" t="0" r="0" b="825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678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2B51" w:rsidRPr="00051CB3" w:rsidRDefault="00F10847" w:rsidP="00C82B51">
      <w:pPr>
        <w:spacing w:after="0" w:line="360" w:lineRule="auto"/>
        <w:jc w:val="center"/>
        <w:rPr>
          <w:b/>
          <w:sz w:val="2"/>
          <w:szCs w:val="2"/>
        </w:rPr>
      </w:pPr>
      <w:r>
        <w:rPr>
          <w:b/>
          <w:sz w:val="24"/>
        </w:rPr>
        <w:br w:type="page"/>
      </w:r>
      <w:r w:rsidR="00C82B51" w:rsidRPr="00051CB3">
        <w:rPr>
          <w:b/>
          <w:sz w:val="24"/>
        </w:rPr>
        <w:lastRenderedPageBreak/>
        <w:t xml:space="preserve">Tabella. Indicatori regionali settimana </w:t>
      </w:r>
      <w:r w:rsidR="00C74D3B">
        <w:rPr>
          <w:b/>
          <w:sz w:val="24"/>
        </w:rPr>
        <w:t>16-22</w:t>
      </w:r>
      <w:r w:rsidR="00C82B51" w:rsidRPr="00051CB3">
        <w:rPr>
          <w:b/>
          <w:sz w:val="24"/>
        </w:rPr>
        <w:t xml:space="preserve"> dicembre</w:t>
      </w:r>
    </w:p>
    <w:tbl>
      <w:tblPr>
        <w:tblW w:w="5000" w:type="pct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2127"/>
        <w:gridCol w:w="1665"/>
        <w:gridCol w:w="1998"/>
        <w:gridCol w:w="1795"/>
        <w:gridCol w:w="2280"/>
        <w:gridCol w:w="2283"/>
      </w:tblGrid>
      <w:tr w:rsidR="00C74D3B" w:rsidRPr="004C2036" w:rsidTr="00C74D3B">
        <w:trPr>
          <w:trHeight w:val="850"/>
        </w:trPr>
        <w:tc>
          <w:tcPr>
            <w:tcW w:w="871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b/>
                <w:sz w:val="2"/>
                <w:szCs w:val="2"/>
              </w:rPr>
              <w:br w:type="page"/>
            </w:r>
            <w:r w:rsidRPr="002E195A">
              <w:rPr>
                <w:rFonts w:ascii="Calibri" w:eastAsia="Times New Roman" w:hAnsi="Calibri" w:cs="Calibri"/>
                <w:b/>
                <w:bCs/>
                <w:color w:val="FFFFFF"/>
              </w:rPr>
              <w:t>Regione</w:t>
            </w:r>
          </w:p>
        </w:tc>
        <w:tc>
          <w:tcPr>
            <w:tcW w:w="723" w:type="pct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</w:rPr>
            </w:pPr>
            <w:r w:rsidRPr="00EF1256"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</w:rPr>
              <w:t xml:space="preserve">Casi attualmente positivi per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</w:rPr>
              <w:br/>
            </w:r>
            <w:r w:rsidRPr="00EF1256"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</w:rPr>
              <w:t>100.000 abitanti</w:t>
            </w:r>
          </w:p>
        </w:tc>
        <w:tc>
          <w:tcPr>
            <w:tcW w:w="566" w:type="pct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F125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Incremento 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% casi</w:t>
            </w:r>
          </w:p>
        </w:tc>
        <w:tc>
          <w:tcPr>
            <w:tcW w:w="679" w:type="pct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F125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Casi testati 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per 100.000 abitanti</w:t>
            </w:r>
          </w:p>
        </w:tc>
        <w:tc>
          <w:tcPr>
            <w:tcW w:w="610" w:type="pct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F1256">
              <w:rPr>
                <w:rFonts w:ascii="Calibri" w:eastAsia="Times New Roman" w:hAnsi="Calibri" w:cs="Calibri"/>
                <w:b/>
                <w:bCs/>
                <w:color w:val="FFFFFF"/>
              </w:rPr>
              <w:t>Rapporto positivi/casi testati</w:t>
            </w:r>
          </w:p>
        </w:tc>
        <w:tc>
          <w:tcPr>
            <w:tcW w:w="775" w:type="pct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osti letto in area medica occupati da pazienti COVID−19</w:t>
            </w:r>
          </w:p>
        </w:tc>
        <w:tc>
          <w:tcPr>
            <w:tcW w:w="776" w:type="pct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000000" w:fill="00457D"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osti letto in terapia intensiva occupati da 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br/>
              <w:t>pazienti COVID−19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tcBorders>
              <w:top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Abruzzo</w:t>
            </w:r>
          </w:p>
        </w:tc>
        <w:tc>
          <w:tcPr>
            <w:tcW w:w="723" w:type="pct"/>
            <w:tcBorders>
              <w:top w:val="single" w:sz="4" w:space="0" w:color="00457D"/>
            </w:tcBorders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934</w:t>
            </w:r>
          </w:p>
        </w:tc>
        <w:tc>
          <w:tcPr>
            <w:tcW w:w="566" w:type="pct"/>
            <w:tcBorders>
              <w:top w:val="single" w:sz="4" w:space="0" w:color="00457D"/>
            </w:tcBorders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3,8%</w:t>
            </w:r>
          </w:p>
        </w:tc>
        <w:tc>
          <w:tcPr>
            <w:tcW w:w="679" w:type="pct"/>
            <w:tcBorders>
              <w:top w:val="single" w:sz="4" w:space="0" w:color="00457D"/>
            </w:tcBorders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565</w:t>
            </w:r>
          </w:p>
        </w:tc>
        <w:tc>
          <w:tcPr>
            <w:tcW w:w="610" w:type="pct"/>
            <w:tcBorders>
              <w:top w:val="single" w:sz="4" w:space="0" w:color="00457D"/>
            </w:tcBorders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16,8%</w:t>
            </w:r>
          </w:p>
        </w:tc>
        <w:tc>
          <w:tcPr>
            <w:tcW w:w="775" w:type="pct"/>
            <w:tcBorders>
              <w:top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C74D3B" w:rsidRPr="004C2036" w:rsidRDefault="00C74D3B" w:rsidP="00A9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</w:t>
            </w:r>
            <w:r w:rsidR="00A96DC3">
              <w:rPr>
                <w:rFonts w:ascii="Calibri" w:eastAsia="Times New Roman" w:hAnsi="Calibri" w:cs="Calibri"/>
                <w:color w:val="006100"/>
              </w:rPr>
              <w:t>6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  <w:tc>
          <w:tcPr>
            <w:tcW w:w="776" w:type="pct"/>
            <w:tcBorders>
              <w:top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C74D3B" w:rsidRPr="004C2036" w:rsidRDefault="00C74D3B" w:rsidP="00A9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2</w:t>
            </w:r>
            <w:r w:rsidR="00A96DC3">
              <w:rPr>
                <w:rFonts w:ascii="Calibri" w:eastAsia="Times New Roman" w:hAnsi="Calibri" w:cs="Calibri"/>
                <w:color w:val="006100"/>
              </w:rPr>
              <w:t>2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Basilicata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1.054</w:t>
            </w:r>
          </w:p>
        </w:tc>
        <w:tc>
          <w:tcPr>
            <w:tcW w:w="566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6,0%</w:t>
            </w:r>
          </w:p>
        </w:tc>
        <w:tc>
          <w:tcPr>
            <w:tcW w:w="679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776</w:t>
            </w:r>
          </w:p>
        </w:tc>
        <w:tc>
          <w:tcPr>
            <w:tcW w:w="610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13,1%</w:t>
            </w:r>
          </w:p>
        </w:tc>
        <w:tc>
          <w:tcPr>
            <w:tcW w:w="775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A9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2</w:t>
            </w:r>
            <w:r w:rsidR="00A96DC3">
              <w:rPr>
                <w:rFonts w:ascii="Calibri" w:eastAsia="Times New Roman" w:hAnsi="Calibri" w:cs="Calibri"/>
                <w:color w:val="006100"/>
              </w:rPr>
              <w:t>2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  <w:tc>
          <w:tcPr>
            <w:tcW w:w="776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9%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Calabria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435</w:t>
            </w:r>
          </w:p>
        </w:tc>
        <w:tc>
          <w:tcPr>
            <w:tcW w:w="566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6,7%</w:t>
            </w:r>
          </w:p>
        </w:tc>
        <w:tc>
          <w:tcPr>
            <w:tcW w:w="679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831</w:t>
            </w:r>
          </w:p>
        </w:tc>
        <w:tc>
          <w:tcPr>
            <w:tcW w:w="610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8,4%</w:t>
            </w:r>
          </w:p>
        </w:tc>
        <w:tc>
          <w:tcPr>
            <w:tcW w:w="775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A9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</w:t>
            </w:r>
            <w:r w:rsidR="00A96DC3">
              <w:rPr>
                <w:rFonts w:ascii="Calibri" w:eastAsia="Times New Roman" w:hAnsi="Calibri" w:cs="Calibri"/>
                <w:color w:val="006100"/>
              </w:rPr>
              <w:t>1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  <w:tc>
          <w:tcPr>
            <w:tcW w:w="776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</w:t>
            </w:r>
            <w:r w:rsidR="00A96DC3">
              <w:rPr>
                <w:rFonts w:ascii="Calibri" w:eastAsia="Times New Roman" w:hAnsi="Calibri" w:cs="Calibri"/>
                <w:color w:val="006100"/>
              </w:rPr>
              <w:t>5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</w:tr>
      <w:tr w:rsidR="00C74D3B" w:rsidRPr="004C2036" w:rsidTr="00A96DC3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Campania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1.401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3,6%</w:t>
            </w:r>
          </w:p>
        </w:tc>
        <w:tc>
          <w:tcPr>
            <w:tcW w:w="679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1.037</w:t>
            </w:r>
          </w:p>
        </w:tc>
        <w:tc>
          <w:tcPr>
            <w:tcW w:w="610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10,6%</w:t>
            </w:r>
          </w:p>
        </w:tc>
        <w:tc>
          <w:tcPr>
            <w:tcW w:w="775" w:type="pct"/>
            <w:shd w:val="clear" w:color="auto" w:fill="C6EFCE"/>
            <w:noWrap/>
            <w:vAlign w:val="center"/>
            <w:hideMark/>
          </w:tcPr>
          <w:p w:rsidR="00C74D3B" w:rsidRPr="00A96DC3" w:rsidRDefault="00C74D3B" w:rsidP="00A9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A96DC3">
              <w:rPr>
                <w:rFonts w:ascii="Calibri" w:eastAsia="Times New Roman" w:hAnsi="Calibri" w:cs="Calibri"/>
                <w:color w:val="006100"/>
              </w:rPr>
              <w:t>3</w:t>
            </w:r>
            <w:r w:rsidR="00A96DC3" w:rsidRPr="00A96DC3">
              <w:rPr>
                <w:rFonts w:ascii="Calibri" w:eastAsia="Times New Roman" w:hAnsi="Calibri" w:cs="Calibri"/>
                <w:color w:val="006100"/>
              </w:rPr>
              <w:t>4</w:t>
            </w:r>
            <w:r w:rsidRPr="00A96DC3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  <w:tc>
          <w:tcPr>
            <w:tcW w:w="776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19%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Emilia Romagna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1.340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7,3%</w:t>
            </w:r>
          </w:p>
        </w:tc>
        <w:tc>
          <w:tcPr>
            <w:tcW w:w="679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717</w:t>
            </w:r>
          </w:p>
        </w:tc>
        <w:tc>
          <w:tcPr>
            <w:tcW w:w="610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33,7%</w:t>
            </w:r>
          </w:p>
        </w:tc>
        <w:tc>
          <w:tcPr>
            <w:tcW w:w="775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52%</w:t>
            </w:r>
          </w:p>
        </w:tc>
        <w:tc>
          <w:tcPr>
            <w:tcW w:w="776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A9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2</w:t>
            </w:r>
            <w:r w:rsidR="00A96DC3">
              <w:rPr>
                <w:rFonts w:ascii="Calibri" w:eastAsia="Times New Roman" w:hAnsi="Calibri" w:cs="Calibri"/>
                <w:color w:val="006100"/>
              </w:rPr>
              <w:t>8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Friuli Venezia Giulia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1.088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11,3%</w:t>
            </w:r>
          </w:p>
        </w:tc>
        <w:tc>
          <w:tcPr>
            <w:tcW w:w="679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1.102</w:t>
            </w:r>
          </w:p>
        </w:tc>
        <w:tc>
          <w:tcPr>
            <w:tcW w:w="610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34,8%</w:t>
            </w:r>
          </w:p>
        </w:tc>
        <w:tc>
          <w:tcPr>
            <w:tcW w:w="775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A9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4</w:t>
            </w:r>
            <w:r w:rsidR="00A96DC3">
              <w:rPr>
                <w:rFonts w:ascii="Calibri" w:eastAsia="Times New Roman" w:hAnsi="Calibri" w:cs="Calibri"/>
                <w:color w:val="9C0006"/>
              </w:rPr>
              <w:t>7</w:t>
            </w:r>
            <w:r w:rsidRPr="004C2036">
              <w:rPr>
                <w:rFonts w:ascii="Calibri" w:eastAsia="Times New Roman" w:hAnsi="Calibri" w:cs="Calibri"/>
                <w:color w:val="9C0006"/>
              </w:rPr>
              <w:t>%</w:t>
            </w:r>
          </w:p>
        </w:tc>
        <w:tc>
          <w:tcPr>
            <w:tcW w:w="776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A9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3</w:t>
            </w:r>
            <w:r w:rsidR="00A96DC3">
              <w:rPr>
                <w:rFonts w:ascii="Calibri" w:eastAsia="Times New Roman" w:hAnsi="Calibri" w:cs="Calibri"/>
                <w:color w:val="9C0006"/>
              </w:rPr>
              <w:t>3</w:t>
            </w:r>
            <w:r w:rsidRPr="004C2036">
              <w:rPr>
                <w:rFonts w:ascii="Calibri" w:eastAsia="Times New Roman" w:hAnsi="Calibri" w:cs="Calibri"/>
                <w:color w:val="9C0006"/>
              </w:rPr>
              <w:t>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Lazio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1.292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6,6%</w:t>
            </w:r>
          </w:p>
        </w:tc>
        <w:tc>
          <w:tcPr>
            <w:tcW w:w="679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800</w:t>
            </w:r>
          </w:p>
        </w:tc>
        <w:tc>
          <w:tcPr>
            <w:tcW w:w="610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19,9%</w:t>
            </w:r>
          </w:p>
        </w:tc>
        <w:tc>
          <w:tcPr>
            <w:tcW w:w="775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42%</w:t>
            </w:r>
          </w:p>
        </w:tc>
        <w:tc>
          <w:tcPr>
            <w:tcW w:w="776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A9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3</w:t>
            </w:r>
            <w:r w:rsidR="00A96DC3">
              <w:rPr>
                <w:rFonts w:ascii="Calibri" w:eastAsia="Times New Roman" w:hAnsi="Calibri" w:cs="Calibri"/>
                <w:color w:val="9C0006"/>
              </w:rPr>
              <w:t>1</w:t>
            </w:r>
            <w:r w:rsidRPr="004C2036">
              <w:rPr>
                <w:rFonts w:ascii="Calibri" w:eastAsia="Times New Roman" w:hAnsi="Calibri" w:cs="Calibri"/>
                <w:color w:val="9C0006"/>
              </w:rPr>
              <w:t>%</w:t>
            </w:r>
          </w:p>
        </w:tc>
      </w:tr>
      <w:tr w:rsidR="00C74D3B" w:rsidRPr="004C2036" w:rsidTr="00A96DC3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Liguria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417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3,4%</w:t>
            </w:r>
          </w:p>
        </w:tc>
        <w:tc>
          <w:tcPr>
            <w:tcW w:w="679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488</w:t>
            </w:r>
          </w:p>
        </w:tc>
        <w:tc>
          <w:tcPr>
            <w:tcW w:w="610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25,4%</w:t>
            </w:r>
          </w:p>
        </w:tc>
        <w:tc>
          <w:tcPr>
            <w:tcW w:w="775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A9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4</w:t>
            </w:r>
            <w:r w:rsidR="00A96DC3">
              <w:rPr>
                <w:rFonts w:ascii="Calibri" w:eastAsia="Times New Roman" w:hAnsi="Calibri" w:cs="Calibri"/>
                <w:color w:val="9C0006"/>
              </w:rPr>
              <w:t>3</w:t>
            </w:r>
            <w:r w:rsidRPr="004C2036">
              <w:rPr>
                <w:rFonts w:ascii="Calibri" w:eastAsia="Times New Roman" w:hAnsi="Calibri" w:cs="Calibri"/>
                <w:color w:val="9C0006"/>
              </w:rPr>
              <w:t>%</w:t>
            </w:r>
          </w:p>
        </w:tc>
        <w:tc>
          <w:tcPr>
            <w:tcW w:w="776" w:type="pct"/>
            <w:shd w:val="clear" w:color="auto" w:fill="C6EFCE"/>
            <w:noWrap/>
            <w:vAlign w:val="center"/>
            <w:hideMark/>
          </w:tcPr>
          <w:p w:rsidR="00C74D3B" w:rsidRPr="004C2036" w:rsidRDefault="00A96DC3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A96DC3">
              <w:rPr>
                <w:rFonts w:ascii="Calibri" w:eastAsia="Times New Roman" w:hAnsi="Calibri" w:cs="Calibri"/>
                <w:color w:val="006100"/>
              </w:rPr>
              <w:t>30%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Lombardia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608</w:t>
            </w:r>
          </w:p>
        </w:tc>
        <w:tc>
          <w:tcPr>
            <w:tcW w:w="566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3,5%</w:t>
            </w:r>
          </w:p>
        </w:tc>
        <w:tc>
          <w:tcPr>
            <w:tcW w:w="679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676</w:t>
            </w:r>
          </w:p>
        </w:tc>
        <w:tc>
          <w:tcPr>
            <w:tcW w:w="610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22,7%</w:t>
            </w:r>
          </w:p>
        </w:tc>
        <w:tc>
          <w:tcPr>
            <w:tcW w:w="775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A9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</w:t>
            </w:r>
            <w:r w:rsidR="00A96DC3">
              <w:rPr>
                <w:rFonts w:ascii="Calibri" w:eastAsia="Times New Roman" w:hAnsi="Calibri" w:cs="Calibri"/>
                <w:color w:val="006100"/>
              </w:rPr>
              <w:t>2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  <w:tc>
          <w:tcPr>
            <w:tcW w:w="776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A9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4</w:t>
            </w:r>
            <w:r w:rsidR="00A96DC3">
              <w:rPr>
                <w:rFonts w:ascii="Calibri" w:eastAsia="Times New Roman" w:hAnsi="Calibri" w:cs="Calibri"/>
                <w:color w:val="9C0006"/>
              </w:rPr>
              <w:t>2</w:t>
            </w:r>
            <w:r w:rsidRPr="004C2036">
              <w:rPr>
                <w:rFonts w:ascii="Calibri" w:eastAsia="Times New Roman" w:hAnsi="Calibri" w:cs="Calibri"/>
                <w:color w:val="9C0006"/>
              </w:rPr>
              <w:t>%</w:t>
            </w:r>
          </w:p>
        </w:tc>
      </w:tr>
      <w:tr w:rsidR="00C74D3B" w:rsidRPr="004C2036" w:rsidTr="00A96DC3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Marche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623</w:t>
            </w:r>
          </w:p>
        </w:tc>
        <w:tc>
          <w:tcPr>
            <w:tcW w:w="566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7,4%</w:t>
            </w:r>
          </w:p>
        </w:tc>
        <w:tc>
          <w:tcPr>
            <w:tcW w:w="679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1.367</w:t>
            </w:r>
          </w:p>
        </w:tc>
        <w:tc>
          <w:tcPr>
            <w:tcW w:w="610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12,4%</w:t>
            </w:r>
          </w:p>
        </w:tc>
        <w:tc>
          <w:tcPr>
            <w:tcW w:w="775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A96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</w:t>
            </w:r>
            <w:r w:rsidR="00A96DC3">
              <w:rPr>
                <w:rFonts w:ascii="Calibri" w:eastAsia="Times New Roman" w:hAnsi="Calibri" w:cs="Calibri"/>
                <w:color w:val="006100"/>
              </w:rPr>
              <w:t>6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  <w:tc>
          <w:tcPr>
            <w:tcW w:w="776" w:type="pct"/>
            <w:shd w:val="clear" w:color="auto" w:fill="C6EFCE"/>
            <w:noWrap/>
            <w:vAlign w:val="center"/>
            <w:hideMark/>
          </w:tcPr>
          <w:p w:rsidR="00C74D3B" w:rsidRPr="004C2036" w:rsidRDefault="00A96DC3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A96DC3">
              <w:rPr>
                <w:rFonts w:ascii="Calibri" w:eastAsia="Times New Roman" w:hAnsi="Calibri" w:cs="Calibri"/>
                <w:color w:val="006100"/>
              </w:rPr>
              <w:t>29</w:t>
            </w:r>
            <w:r w:rsidR="00C74D3B" w:rsidRPr="00A96DC3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Molise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816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6,7%</w:t>
            </w:r>
          </w:p>
        </w:tc>
        <w:tc>
          <w:tcPr>
            <w:tcW w:w="679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1.521</w:t>
            </w:r>
          </w:p>
        </w:tc>
        <w:tc>
          <w:tcPr>
            <w:tcW w:w="610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8,3%</w:t>
            </w:r>
          </w:p>
        </w:tc>
        <w:tc>
          <w:tcPr>
            <w:tcW w:w="775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2</w:t>
            </w:r>
            <w:r w:rsidR="00135949">
              <w:rPr>
                <w:rFonts w:ascii="Calibri" w:eastAsia="Times New Roman" w:hAnsi="Calibri" w:cs="Calibri"/>
                <w:color w:val="006100"/>
              </w:rPr>
              <w:t>5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  <w:tc>
          <w:tcPr>
            <w:tcW w:w="776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2</w:t>
            </w:r>
            <w:r w:rsidR="00135949">
              <w:rPr>
                <w:rFonts w:ascii="Calibri" w:eastAsia="Times New Roman" w:hAnsi="Calibri" w:cs="Calibri"/>
                <w:color w:val="006100"/>
              </w:rPr>
              <w:t>4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Piemonte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847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1,8%</w:t>
            </w:r>
          </w:p>
        </w:tc>
        <w:tc>
          <w:tcPr>
            <w:tcW w:w="679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537</w:t>
            </w:r>
          </w:p>
        </w:tc>
        <w:tc>
          <w:tcPr>
            <w:tcW w:w="610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14,3%</w:t>
            </w:r>
          </w:p>
        </w:tc>
        <w:tc>
          <w:tcPr>
            <w:tcW w:w="775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5</w:t>
            </w:r>
            <w:r w:rsidR="00135949">
              <w:rPr>
                <w:rFonts w:ascii="Calibri" w:eastAsia="Times New Roman" w:hAnsi="Calibri" w:cs="Calibri"/>
                <w:color w:val="9C0006"/>
              </w:rPr>
              <w:t>7</w:t>
            </w:r>
            <w:r w:rsidRPr="004C2036">
              <w:rPr>
                <w:rFonts w:ascii="Calibri" w:eastAsia="Times New Roman" w:hAnsi="Calibri" w:cs="Calibri"/>
                <w:color w:val="9C0006"/>
              </w:rPr>
              <w:t>%</w:t>
            </w:r>
          </w:p>
        </w:tc>
        <w:tc>
          <w:tcPr>
            <w:tcW w:w="776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3</w:t>
            </w:r>
            <w:r w:rsidR="00135949">
              <w:rPr>
                <w:rFonts w:ascii="Calibri" w:eastAsia="Times New Roman" w:hAnsi="Calibri" w:cs="Calibri"/>
                <w:color w:val="9C0006"/>
              </w:rPr>
              <w:t>6</w:t>
            </w:r>
            <w:r w:rsidRPr="004C2036">
              <w:rPr>
                <w:rFonts w:ascii="Calibri" w:eastAsia="Times New Roman" w:hAnsi="Calibri" w:cs="Calibri"/>
                <w:color w:val="9C0006"/>
              </w:rPr>
              <w:t>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Prov. Aut. Bolzano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1.761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4,9%</w:t>
            </w:r>
          </w:p>
        </w:tc>
        <w:tc>
          <w:tcPr>
            <w:tcW w:w="679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577</w:t>
            </w:r>
          </w:p>
        </w:tc>
        <w:tc>
          <w:tcPr>
            <w:tcW w:w="610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43,3%</w:t>
            </w:r>
          </w:p>
        </w:tc>
        <w:tc>
          <w:tcPr>
            <w:tcW w:w="775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</w:t>
            </w:r>
            <w:r w:rsidR="00135949">
              <w:rPr>
                <w:rFonts w:ascii="Calibri" w:eastAsia="Times New Roman" w:hAnsi="Calibri" w:cs="Calibri"/>
                <w:color w:val="006100"/>
              </w:rPr>
              <w:t>5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  <w:tc>
          <w:tcPr>
            <w:tcW w:w="776" w:type="pct"/>
            <w:shd w:val="clear" w:color="000000" w:fill="C6EFCE"/>
            <w:noWrap/>
            <w:vAlign w:val="center"/>
            <w:hideMark/>
          </w:tcPr>
          <w:p w:rsidR="00C74D3B" w:rsidRPr="004C2036" w:rsidRDefault="00135949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>
              <w:rPr>
                <w:rFonts w:ascii="Calibri" w:eastAsia="Times New Roman" w:hAnsi="Calibri" w:cs="Calibri"/>
                <w:color w:val="006100"/>
              </w:rPr>
              <w:t>30</w:t>
            </w:r>
            <w:r w:rsidR="00C74D3B"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Prov. Aut. Trento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370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7,7%</w:t>
            </w:r>
          </w:p>
        </w:tc>
        <w:tc>
          <w:tcPr>
            <w:tcW w:w="679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530</w:t>
            </w:r>
          </w:p>
        </w:tc>
        <w:tc>
          <w:tcPr>
            <w:tcW w:w="610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50,4%</w:t>
            </w:r>
          </w:p>
        </w:tc>
        <w:tc>
          <w:tcPr>
            <w:tcW w:w="775" w:type="pct"/>
            <w:shd w:val="clear" w:color="000000" w:fill="FFC7CE"/>
            <w:noWrap/>
            <w:vAlign w:val="center"/>
            <w:hideMark/>
          </w:tcPr>
          <w:p w:rsidR="00C74D3B" w:rsidRPr="004C2036" w:rsidRDefault="00135949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>
              <w:rPr>
                <w:rFonts w:ascii="Calibri" w:eastAsia="Times New Roman" w:hAnsi="Calibri" w:cs="Calibri"/>
                <w:color w:val="9C0006"/>
              </w:rPr>
              <w:t>60</w:t>
            </w:r>
            <w:r w:rsidR="00C74D3B" w:rsidRPr="004C2036">
              <w:rPr>
                <w:rFonts w:ascii="Calibri" w:eastAsia="Times New Roman" w:hAnsi="Calibri" w:cs="Calibri"/>
                <w:color w:val="9C0006"/>
              </w:rPr>
              <w:t>%</w:t>
            </w:r>
          </w:p>
        </w:tc>
        <w:tc>
          <w:tcPr>
            <w:tcW w:w="776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54%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Puglia</w:t>
            </w:r>
          </w:p>
        </w:tc>
        <w:tc>
          <w:tcPr>
            <w:tcW w:w="723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1.323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10,2%</w:t>
            </w:r>
          </w:p>
        </w:tc>
        <w:tc>
          <w:tcPr>
            <w:tcW w:w="679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632</w:t>
            </w:r>
          </w:p>
        </w:tc>
        <w:tc>
          <w:tcPr>
            <w:tcW w:w="610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29,9%</w:t>
            </w:r>
          </w:p>
        </w:tc>
        <w:tc>
          <w:tcPr>
            <w:tcW w:w="775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41%</w:t>
            </w:r>
          </w:p>
        </w:tc>
        <w:tc>
          <w:tcPr>
            <w:tcW w:w="776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3</w:t>
            </w:r>
            <w:r w:rsidR="00135949">
              <w:rPr>
                <w:rFonts w:ascii="Calibri" w:eastAsia="Times New Roman" w:hAnsi="Calibri" w:cs="Calibri"/>
                <w:color w:val="9C0006"/>
              </w:rPr>
              <w:t>7</w:t>
            </w:r>
            <w:r w:rsidRPr="004C2036">
              <w:rPr>
                <w:rFonts w:ascii="Calibri" w:eastAsia="Times New Roman" w:hAnsi="Calibri" w:cs="Calibri"/>
                <w:color w:val="9C0006"/>
              </w:rPr>
              <w:t>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Sardegna</w:t>
            </w:r>
          </w:p>
        </w:tc>
        <w:tc>
          <w:tcPr>
            <w:tcW w:w="723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968</w:t>
            </w:r>
          </w:p>
        </w:tc>
        <w:tc>
          <w:tcPr>
            <w:tcW w:w="566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8,0%</w:t>
            </w:r>
          </w:p>
        </w:tc>
        <w:tc>
          <w:tcPr>
            <w:tcW w:w="679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1.468</w:t>
            </w:r>
          </w:p>
        </w:tc>
        <w:tc>
          <w:tcPr>
            <w:tcW w:w="610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8,8%</w:t>
            </w:r>
          </w:p>
        </w:tc>
        <w:tc>
          <w:tcPr>
            <w:tcW w:w="775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</w:t>
            </w:r>
            <w:r w:rsidR="00135949">
              <w:rPr>
                <w:rFonts w:ascii="Calibri" w:eastAsia="Times New Roman" w:hAnsi="Calibri" w:cs="Calibri"/>
                <w:color w:val="006100"/>
              </w:rPr>
              <w:t>2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  <w:tc>
          <w:tcPr>
            <w:tcW w:w="776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27%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Sicilia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670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7,4%</w:t>
            </w:r>
          </w:p>
        </w:tc>
        <w:tc>
          <w:tcPr>
            <w:tcW w:w="679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705</w:t>
            </w:r>
          </w:p>
        </w:tc>
        <w:tc>
          <w:tcPr>
            <w:tcW w:w="610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16,7%</w:t>
            </w:r>
          </w:p>
        </w:tc>
        <w:tc>
          <w:tcPr>
            <w:tcW w:w="775" w:type="pct"/>
            <w:shd w:val="clear" w:color="000000" w:fill="C6EFCE"/>
            <w:noWrap/>
            <w:vAlign w:val="center"/>
            <w:hideMark/>
          </w:tcPr>
          <w:p w:rsidR="00C74D3B" w:rsidRPr="004C2036" w:rsidRDefault="00135949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>
              <w:rPr>
                <w:rFonts w:ascii="Calibri" w:eastAsia="Times New Roman" w:hAnsi="Calibri" w:cs="Calibri"/>
                <w:color w:val="006100"/>
              </w:rPr>
              <w:t>26</w:t>
            </w:r>
            <w:r w:rsidR="00C74D3B"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  <w:tc>
          <w:tcPr>
            <w:tcW w:w="776" w:type="pct"/>
            <w:shd w:val="clear" w:color="000000" w:fill="C6EFCE"/>
            <w:noWrap/>
            <w:vAlign w:val="center"/>
            <w:hideMark/>
          </w:tcPr>
          <w:p w:rsidR="00C74D3B" w:rsidRPr="004C2036" w:rsidRDefault="00135949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>
              <w:rPr>
                <w:rFonts w:ascii="Calibri" w:eastAsia="Times New Roman" w:hAnsi="Calibri" w:cs="Calibri"/>
                <w:color w:val="006100"/>
              </w:rPr>
              <w:t>22</w:t>
            </w:r>
            <w:r w:rsidR="00C74D3B"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</w:tr>
      <w:tr w:rsidR="00C74D3B" w:rsidRPr="004C2036" w:rsidTr="00135949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Toscana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317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3,0%</w:t>
            </w:r>
          </w:p>
        </w:tc>
        <w:tc>
          <w:tcPr>
            <w:tcW w:w="679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661</w:t>
            </w:r>
          </w:p>
        </w:tc>
        <w:tc>
          <w:tcPr>
            <w:tcW w:w="610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13,9%</w:t>
            </w:r>
          </w:p>
        </w:tc>
        <w:tc>
          <w:tcPr>
            <w:tcW w:w="775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19%</w:t>
            </w:r>
          </w:p>
        </w:tc>
        <w:tc>
          <w:tcPr>
            <w:tcW w:w="77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135949">
              <w:rPr>
                <w:rFonts w:ascii="Calibri" w:eastAsia="Times New Roman" w:hAnsi="Calibri" w:cs="Calibri"/>
                <w:color w:val="006100"/>
              </w:rPr>
              <w:t>3</w:t>
            </w:r>
            <w:r w:rsidR="00135949" w:rsidRPr="00135949">
              <w:rPr>
                <w:rFonts w:ascii="Calibri" w:eastAsia="Times New Roman" w:hAnsi="Calibri" w:cs="Calibri"/>
                <w:color w:val="006100"/>
              </w:rPr>
              <w:t>0</w:t>
            </w:r>
            <w:r w:rsidRPr="00135949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Umbria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423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3,7%</w:t>
            </w:r>
          </w:p>
        </w:tc>
        <w:tc>
          <w:tcPr>
            <w:tcW w:w="679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763</w:t>
            </w:r>
          </w:p>
        </w:tc>
        <w:tc>
          <w:tcPr>
            <w:tcW w:w="610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14,5%</w:t>
            </w:r>
          </w:p>
        </w:tc>
        <w:tc>
          <w:tcPr>
            <w:tcW w:w="775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</w:t>
            </w:r>
            <w:r w:rsidR="00135949">
              <w:rPr>
                <w:rFonts w:ascii="Calibri" w:eastAsia="Times New Roman" w:hAnsi="Calibri" w:cs="Calibri"/>
                <w:color w:val="006100"/>
              </w:rPr>
              <w:t>1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  <w:tc>
          <w:tcPr>
            <w:tcW w:w="776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3</w:t>
            </w:r>
            <w:r w:rsidR="00135949">
              <w:rPr>
                <w:rFonts w:ascii="Calibri" w:eastAsia="Times New Roman" w:hAnsi="Calibri" w:cs="Calibri"/>
                <w:color w:val="9C0006"/>
              </w:rPr>
              <w:t>4</w:t>
            </w:r>
            <w:r w:rsidRPr="004C2036">
              <w:rPr>
                <w:rFonts w:ascii="Calibri" w:eastAsia="Times New Roman" w:hAnsi="Calibri" w:cs="Calibri"/>
                <w:color w:val="9C0006"/>
              </w:rPr>
              <w:t>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Valle D'Aosta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363</w:t>
            </w:r>
          </w:p>
        </w:tc>
        <w:tc>
          <w:tcPr>
            <w:tcW w:w="566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2,4%</w:t>
            </w:r>
          </w:p>
        </w:tc>
        <w:tc>
          <w:tcPr>
            <w:tcW w:w="679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800</w:t>
            </w:r>
          </w:p>
        </w:tc>
        <w:tc>
          <w:tcPr>
            <w:tcW w:w="610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16,7%</w:t>
            </w:r>
          </w:p>
        </w:tc>
        <w:tc>
          <w:tcPr>
            <w:tcW w:w="775" w:type="pct"/>
            <w:shd w:val="clear" w:color="000000" w:fill="FFC7CE"/>
            <w:noWrap/>
            <w:vAlign w:val="center"/>
            <w:hideMark/>
          </w:tcPr>
          <w:p w:rsidR="00C74D3B" w:rsidRPr="004C2036" w:rsidRDefault="00135949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>
              <w:rPr>
                <w:rFonts w:ascii="Calibri" w:eastAsia="Times New Roman" w:hAnsi="Calibri" w:cs="Calibri"/>
                <w:color w:val="9C0006"/>
              </w:rPr>
              <w:t>51</w:t>
            </w:r>
            <w:r w:rsidR="00C74D3B" w:rsidRPr="004C2036">
              <w:rPr>
                <w:rFonts w:ascii="Calibri" w:eastAsia="Times New Roman" w:hAnsi="Calibri" w:cs="Calibri"/>
                <w:color w:val="9C0006"/>
              </w:rPr>
              <w:t>%</w:t>
            </w:r>
          </w:p>
        </w:tc>
        <w:tc>
          <w:tcPr>
            <w:tcW w:w="776" w:type="pct"/>
            <w:shd w:val="clear" w:color="000000" w:fill="C6EFCE"/>
            <w:noWrap/>
            <w:vAlign w:val="center"/>
            <w:hideMark/>
          </w:tcPr>
          <w:p w:rsidR="00C74D3B" w:rsidRPr="004C2036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</w:t>
            </w:r>
            <w:r w:rsidR="00135949">
              <w:rPr>
                <w:rFonts w:ascii="Calibri" w:eastAsia="Times New Roman" w:hAnsi="Calibri" w:cs="Calibri"/>
                <w:color w:val="006100"/>
              </w:rPr>
              <w:t>5</w:t>
            </w:r>
            <w:r w:rsidRPr="004C2036">
              <w:rPr>
                <w:rFonts w:ascii="Calibri" w:eastAsia="Times New Roman" w:hAnsi="Calibri" w:cs="Calibri"/>
                <w:color w:val="006100"/>
              </w:rPr>
              <w:t>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auto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036">
              <w:rPr>
                <w:rFonts w:ascii="Calibri" w:eastAsia="Times New Roman" w:hAnsi="Calibri" w:cs="Calibri"/>
                <w:color w:val="000000"/>
              </w:rPr>
              <w:t>Veneto</w:t>
            </w:r>
          </w:p>
        </w:tc>
        <w:tc>
          <w:tcPr>
            <w:tcW w:w="723" w:type="pct"/>
            <w:shd w:val="clear" w:color="auto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2.091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13,1%</w:t>
            </w:r>
          </w:p>
        </w:tc>
        <w:tc>
          <w:tcPr>
            <w:tcW w:w="679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764</w:t>
            </w:r>
          </w:p>
        </w:tc>
        <w:tc>
          <w:tcPr>
            <w:tcW w:w="610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4C2036">
              <w:rPr>
                <w:rFonts w:ascii="Calibri" w:eastAsia="Times New Roman" w:hAnsi="Calibri" w:cs="Calibri"/>
                <w:color w:val="006100"/>
              </w:rPr>
              <w:t>68,8%</w:t>
            </w:r>
          </w:p>
        </w:tc>
        <w:tc>
          <w:tcPr>
            <w:tcW w:w="775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4</w:t>
            </w:r>
            <w:r w:rsidR="00135949">
              <w:rPr>
                <w:rFonts w:ascii="Calibri" w:eastAsia="Times New Roman" w:hAnsi="Calibri" w:cs="Calibri"/>
                <w:color w:val="9C0006"/>
              </w:rPr>
              <w:t>5</w:t>
            </w:r>
            <w:r w:rsidRPr="004C2036">
              <w:rPr>
                <w:rFonts w:ascii="Calibri" w:eastAsia="Times New Roman" w:hAnsi="Calibri" w:cs="Calibri"/>
                <w:color w:val="9C0006"/>
              </w:rPr>
              <w:t>%</w:t>
            </w:r>
          </w:p>
        </w:tc>
        <w:tc>
          <w:tcPr>
            <w:tcW w:w="776" w:type="pct"/>
            <w:shd w:val="clear" w:color="000000" w:fill="FFC7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4C2036">
              <w:rPr>
                <w:rFonts w:ascii="Calibri" w:eastAsia="Times New Roman" w:hAnsi="Calibri" w:cs="Calibri"/>
                <w:color w:val="9C0006"/>
              </w:rPr>
              <w:t>35%</w:t>
            </w:r>
          </w:p>
        </w:tc>
      </w:tr>
      <w:tr w:rsidR="00C74D3B" w:rsidRPr="004C2036" w:rsidTr="00C74D3B">
        <w:trPr>
          <w:trHeight w:val="329"/>
        </w:trPr>
        <w:tc>
          <w:tcPr>
            <w:tcW w:w="871" w:type="pct"/>
            <w:shd w:val="clear" w:color="auto" w:fill="00457D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203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ITALIA</w:t>
            </w:r>
          </w:p>
        </w:tc>
        <w:tc>
          <w:tcPr>
            <w:tcW w:w="723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</w:rPr>
            </w:pPr>
            <w:r w:rsidRPr="004C2036">
              <w:rPr>
                <w:rFonts w:ascii="Calibri" w:eastAsia="Times New Roman" w:hAnsi="Calibri" w:cs="Calibri"/>
                <w:b/>
                <w:bCs/>
                <w:color w:val="006100"/>
              </w:rPr>
              <w:t>1.004</w:t>
            </w:r>
          </w:p>
        </w:tc>
        <w:tc>
          <w:tcPr>
            <w:tcW w:w="566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</w:rPr>
            </w:pPr>
            <w:r w:rsidRPr="004C2036">
              <w:rPr>
                <w:rFonts w:ascii="Calibri" w:eastAsia="Times New Roman" w:hAnsi="Calibri" w:cs="Calibri"/>
                <w:b/>
                <w:bCs/>
                <w:color w:val="006100"/>
              </w:rPr>
              <w:t>5,7%</w:t>
            </w:r>
          </w:p>
        </w:tc>
        <w:tc>
          <w:tcPr>
            <w:tcW w:w="679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</w:rPr>
            </w:pPr>
            <w:r w:rsidRPr="00C74D3B">
              <w:rPr>
                <w:rFonts w:ascii="Calibri" w:eastAsia="Times New Roman" w:hAnsi="Calibri" w:cs="Calibri"/>
                <w:b/>
                <w:bCs/>
                <w:color w:val="006100"/>
              </w:rPr>
              <w:t>771</w:t>
            </w:r>
          </w:p>
        </w:tc>
        <w:tc>
          <w:tcPr>
            <w:tcW w:w="610" w:type="pct"/>
            <w:shd w:val="clear" w:color="auto" w:fill="C6EFCE"/>
            <w:noWrap/>
            <w:vAlign w:val="center"/>
            <w:hideMark/>
          </w:tcPr>
          <w:p w:rsidR="00C74D3B" w:rsidRPr="004C2036" w:rsidRDefault="00C74D3B" w:rsidP="00C74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6100"/>
              </w:rPr>
              <w:t>22,9%</w:t>
            </w:r>
          </w:p>
        </w:tc>
        <w:tc>
          <w:tcPr>
            <w:tcW w:w="775" w:type="pct"/>
            <w:shd w:val="clear" w:color="000000" w:fill="C6EFCE"/>
            <w:noWrap/>
            <w:vAlign w:val="center"/>
            <w:hideMark/>
          </w:tcPr>
          <w:p w:rsidR="00C74D3B" w:rsidRPr="00135949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</w:rPr>
            </w:pPr>
            <w:r w:rsidRPr="00135949">
              <w:rPr>
                <w:rFonts w:ascii="Calibri" w:eastAsia="Times New Roman" w:hAnsi="Calibri" w:cs="Calibri"/>
                <w:b/>
                <w:color w:val="006100"/>
              </w:rPr>
              <w:t>3</w:t>
            </w:r>
            <w:r w:rsidR="00135949" w:rsidRPr="00135949">
              <w:rPr>
                <w:rFonts w:ascii="Calibri" w:eastAsia="Times New Roman" w:hAnsi="Calibri" w:cs="Calibri"/>
                <w:b/>
                <w:color w:val="006100"/>
              </w:rPr>
              <w:t>8</w:t>
            </w:r>
            <w:r w:rsidRPr="00135949">
              <w:rPr>
                <w:rFonts w:ascii="Calibri" w:eastAsia="Times New Roman" w:hAnsi="Calibri" w:cs="Calibri"/>
                <w:b/>
                <w:color w:val="006100"/>
              </w:rPr>
              <w:t>%</w:t>
            </w:r>
          </w:p>
        </w:tc>
        <w:tc>
          <w:tcPr>
            <w:tcW w:w="776" w:type="pct"/>
            <w:shd w:val="clear" w:color="000000" w:fill="FFC7CE"/>
            <w:noWrap/>
            <w:vAlign w:val="center"/>
            <w:hideMark/>
          </w:tcPr>
          <w:p w:rsidR="00C74D3B" w:rsidRPr="00135949" w:rsidRDefault="00C74D3B" w:rsidP="00135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</w:rPr>
            </w:pPr>
            <w:r w:rsidRPr="00135949">
              <w:rPr>
                <w:rFonts w:ascii="Calibri" w:eastAsia="Times New Roman" w:hAnsi="Calibri" w:cs="Calibri"/>
                <w:b/>
                <w:color w:val="9C0006"/>
              </w:rPr>
              <w:t>3</w:t>
            </w:r>
            <w:r w:rsidR="00135949" w:rsidRPr="00135949">
              <w:rPr>
                <w:rFonts w:ascii="Calibri" w:eastAsia="Times New Roman" w:hAnsi="Calibri" w:cs="Calibri"/>
                <w:b/>
                <w:color w:val="9C0006"/>
              </w:rPr>
              <w:t>1</w:t>
            </w:r>
            <w:r w:rsidRPr="00135949">
              <w:rPr>
                <w:rFonts w:ascii="Calibri" w:eastAsia="Times New Roman" w:hAnsi="Calibri" w:cs="Calibri"/>
                <w:b/>
                <w:color w:val="9C0006"/>
              </w:rPr>
              <w:t>%</w:t>
            </w:r>
          </w:p>
        </w:tc>
      </w:tr>
      <w:tr w:rsidR="00C74D3B" w:rsidRPr="0094110A" w:rsidTr="00E07395">
        <w:trPr>
          <w:trHeight w:val="624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:rsidR="00C74D3B" w:rsidRPr="00196558" w:rsidRDefault="00C74D3B" w:rsidP="00E0739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1"/>
              </w:rPr>
            </w:pPr>
            <w:r w:rsidRPr="00EF1256"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 xml:space="preserve">Nota: nelle prime 4 colonne rosso e verde indicano rispettivamente una performance regionale in peggioramento, o in miglioramento, rispetto alla settimana precedente; </w:t>
            </w:r>
            <w:r w:rsidRPr="00EF1256"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br/>
              <w:t>nelle ultime 2 colonne rosso e verde indicano il superamento, o meno, della soglia di saturazione del 40% per l’area medica e del 30% per le terapie intensive (dati Agenas).</w:t>
            </w:r>
          </w:p>
        </w:tc>
      </w:tr>
    </w:tbl>
    <w:p w:rsidR="004C2036" w:rsidRPr="00C82B51" w:rsidRDefault="004C2036" w:rsidP="00C82B51">
      <w:pPr>
        <w:spacing w:after="0" w:line="240" w:lineRule="auto"/>
        <w:rPr>
          <w:b/>
          <w:sz w:val="10"/>
          <w:szCs w:val="10"/>
        </w:rPr>
      </w:pPr>
    </w:p>
    <w:sectPr w:rsidR="004C2036" w:rsidRPr="00C82B51" w:rsidSect="009D067F">
      <w:footnotePr>
        <w:numFmt w:val="chicago"/>
      </w:footnotePr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1466" w16cex:dateUtc="2020-11-25T16:35:00Z"/>
  <w16cex:commentExtensible w16cex:durableId="23691406" w16cex:dateUtc="2020-11-25T16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AC" w:rsidRDefault="004565AC">
      <w:pPr>
        <w:spacing w:after="0" w:line="240" w:lineRule="auto"/>
      </w:pPr>
      <w:r>
        <w:separator/>
      </w:r>
    </w:p>
  </w:endnote>
  <w:endnote w:type="continuationSeparator" w:id="0">
    <w:p w:rsidR="004565AC" w:rsidRDefault="0045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2DD" w:rsidRDefault="008422DD" w:rsidP="00F64432">
    <w:pPr>
      <w:pStyle w:val="Pidipa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AC" w:rsidRDefault="004565AC">
      <w:pPr>
        <w:spacing w:after="0" w:line="240" w:lineRule="auto"/>
      </w:pPr>
      <w:r>
        <w:separator/>
      </w:r>
    </w:p>
  </w:footnote>
  <w:footnote w:type="continuationSeparator" w:id="0">
    <w:p w:rsidR="004565AC" w:rsidRDefault="0045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7FB"/>
    <w:multiLevelType w:val="hybridMultilevel"/>
    <w:tmpl w:val="8C2CD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0DC3"/>
    <w:multiLevelType w:val="hybridMultilevel"/>
    <w:tmpl w:val="78360B0C"/>
    <w:lvl w:ilvl="0" w:tplc="86D8772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5B44"/>
    <w:multiLevelType w:val="hybridMultilevel"/>
    <w:tmpl w:val="CC4C06C0"/>
    <w:lvl w:ilvl="0" w:tplc="79A07C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F1F6E"/>
    <w:multiLevelType w:val="hybridMultilevel"/>
    <w:tmpl w:val="0E6E0B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449C9"/>
    <w:multiLevelType w:val="hybridMultilevel"/>
    <w:tmpl w:val="D02A6AF8"/>
    <w:lvl w:ilvl="0" w:tplc="2EB2B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20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E5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4B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2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0E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A9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E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6D3F6A"/>
    <w:multiLevelType w:val="hybridMultilevel"/>
    <w:tmpl w:val="264A6A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091C98"/>
    <w:multiLevelType w:val="hybridMultilevel"/>
    <w:tmpl w:val="65E47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576D1"/>
    <w:multiLevelType w:val="hybridMultilevel"/>
    <w:tmpl w:val="9F3C44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6B1F18"/>
    <w:multiLevelType w:val="hybridMultilevel"/>
    <w:tmpl w:val="29E45C22"/>
    <w:lvl w:ilvl="0" w:tplc="4E2AF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77073"/>
    <w:multiLevelType w:val="hybridMultilevel"/>
    <w:tmpl w:val="82463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4474C"/>
    <w:multiLevelType w:val="hybridMultilevel"/>
    <w:tmpl w:val="C68A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733EE"/>
    <w:multiLevelType w:val="hybridMultilevel"/>
    <w:tmpl w:val="E38C1F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2E0A62"/>
    <w:multiLevelType w:val="hybridMultilevel"/>
    <w:tmpl w:val="E7BE01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4D"/>
    <w:rsid w:val="000005DC"/>
    <w:rsid w:val="000009D8"/>
    <w:rsid w:val="00001504"/>
    <w:rsid w:val="00001CEF"/>
    <w:rsid w:val="00001D9F"/>
    <w:rsid w:val="00002908"/>
    <w:rsid w:val="00002E3E"/>
    <w:rsid w:val="00002E76"/>
    <w:rsid w:val="00002EAA"/>
    <w:rsid w:val="00002F0E"/>
    <w:rsid w:val="00003A18"/>
    <w:rsid w:val="00003C8B"/>
    <w:rsid w:val="00005314"/>
    <w:rsid w:val="0000610C"/>
    <w:rsid w:val="00006437"/>
    <w:rsid w:val="000078D5"/>
    <w:rsid w:val="00007CC5"/>
    <w:rsid w:val="00007E2D"/>
    <w:rsid w:val="00010AEF"/>
    <w:rsid w:val="00010BCC"/>
    <w:rsid w:val="00012955"/>
    <w:rsid w:val="00012B91"/>
    <w:rsid w:val="00013EC3"/>
    <w:rsid w:val="000140C3"/>
    <w:rsid w:val="000150A5"/>
    <w:rsid w:val="00015809"/>
    <w:rsid w:val="00016445"/>
    <w:rsid w:val="00016851"/>
    <w:rsid w:val="00016C36"/>
    <w:rsid w:val="000171B3"/>
    <w:rsid w:val="000171CE"/>
    <w:rsid w:val="000177CD"/>
    <w:rsid w:val="000179EC"/>
    <w:rsid w:val="00017FA5"/>
    <w:rsid w:val="000200E1"/>
    <w:rsid w:val="00020588"/>
    <w:rsid w:val="00020B41"/>
    <w:rsid w:val="00021283"/>
    <w:rsid w:val="0002190C"/>
    <w:rsid w:val="00022183"/>
    <w:rsid w:val="000223AC"/>
    <w:rsid w:val="000223CF"/>
    <w:rsid w:val="0002246B"/>
    <w:rsid w:val="00022977"/>
    <w:rsid w:val="00022EBF"/>
    <w:rsid w:val="00023F18"/>
    <w:rsid w:val="00024712"/>
    <w:rsid w:val="0002696E"/>
    <w:rsid w:val="00026DC0"/>
    <w:rsid w:val="000273DB"/>
    <w:rsid w:val="00027540"/>
    <w:rsid w:val="0003040E"/>
    <w:rsid w:val="00030B5F"/>
    <w:rsid w:val="00030DDE"/>
    <w:rsid w:val="00031A14"/>
    <w:rsid w:val="00031E5F"/>
    <w:rsid w:val="00031ED0"/>
    <w:rsid w:val="000328C9"/>
    <w:rsid w:val="0003425F"/>
    <w:rsid w:val="00034493"/>
    <w:rsid w:val="00035405"/>
    <w:rsid w:val="000370F6"/>
    <w:rsid w:val="000379DC"/>
    <w:rsid w:val="0004029D"/>
    <w:rsid w:val="000417F7"/>
    <w:rsid w:val="00043148"/>
    <w:rsid w:val="00043A85"/>
    <w:rsid w:val="00043C7D"/>
    <w:rsid w:val="0004522A"/>
    <w:rsid w:val="0004544E"/>
    <w:rsid w:val="000466D8"/>
    <w:rsid w:val="0004717B"/>
    <w:rsid w:val="00047260"/>
    <w:rsid w:val="00047EE0"/>
    <w:rsid w:val="00047FD1"/>
    <w:rsid w:val="00051306"/>
    <w:rsid w:val="00051A26"/>
    <w:rsid w:val="00052357"/>
    <w:rsid w:val="0005270A"/>
    <w:rsid w:val="000529FD"/>
    <w:rsid w:val="000534AE"/>
    <w:rsid w:val="000548AC"/>
    <w:rsid w:val="00054EA2"/>
    <w:rsid w:val="000559EC"/>
    <w:rsid w:val="00055D5E"/>
    <w:rsid w:val="00055E53"/>
    <w:rsid w:val="00055FB6"/>
    <w:rsid w:val="0005649A"/>
    <w:rsid w:val="0005657F"/>
    <w:rsid w:val="000568EE"/>
    <w:rsid w:val="00056CBF"/>
    <w:rsid w:val="00057675"/>
    <w:rsid w:val="00057843"/>
    <w:rsid w:val="00057983"/>
    <w:rsid w:val="00057A37"/>
    <w:rsid w:val="00057CF0"/>
    <w:rsid w:val="00060A3C"/>
    <w:rsid w:val="000620F2"/>
    <w:rsid w:val="00062310"/>
    <w:rsid w:val="00062E06"/>
    <w:rsid w:val="000637B1"/>
    <w:rsid w:val="000648AF"/>
    <w:rsid w:val="00064937"/>
    <w:rsid w:val="000650A3"/>
    <w:rsid w:val="000654A3"/>
    <w:rsid w:val="00066671"/>
    <w:rsid w:val="00066C3D"/>
    <w:rsid w:val="00066FEB"/>
    <w:rsid w:val="0007007A"/>
    <w:rsid w:val="00070944"/>
    <w:rsid w:val="000713E0"/>
    <w:rsid w:val="000716C6"/>
    <w:rsid w:val="00071F3F"/>
    <w:rsid w:val="00072E7C"/>
    <w:rsid w:val="00072FF7"/>
    <w:rsid w:val="000731D1"/>
    <w:rsid w:val="00073B14"/>
    <w:rsid w:val="00073DC9"/>
    <w:rsid w:val="0007462C"/>
    <w:rsid w:val="0007561A"/>
    <w:rsid w:val="00075811"/>
    <w:rsid w:val="00075B48"/>
    <w:rsid w:val="0007670E"/>
    <w:rsid w:val="000771C3"/>
    <w:rsid w:val="00080943"/>
    <w:rsid w:val="00081141"/>
    <w:rsid w:val="00081B10"/>
    <w:rsid w:val="00081DF7"/>
    <w:rsid w:val="00081F03"/>
    <w:rsid w:val="00082DDC"/>
    <w:rsid w:val="00083198"/>
    <w:rsid w:val="00083222"/>
    <w:rsid w:val="00083DA7"/>
    <w:rsid w:val="00083F44"/>
    <w:rsid w:val="0008470A"/>
    <w:rsid w:val="000856B2"/>
    <w:rsid w:val="0008634F"/>
    <w:rsid w:val="00086BD4"/>
    <w:rsid w:val="0008726D"/>
    <w:rsid w:val="00087618"/>
    <w:rsid w:val="00090BE2"/>
    <w:rsid w:val="00091C99"/>
    <w:rsid w:val="00092A9D"/>
    <w:rsid w:val="00093477"/>
    <w:rsid w:val="00093FC2"/>
    <w:rsid w:val="000943CF"/>
    <w:rsid w:val="00094EF2"/>
    <w:rsid w:val="00095141"/>
    <w:rsid w:val="00095DA9"/>
    <w:rsid w:val="00095FCA"/>
    <w:rsid w:val="00096403"/>
    <w:rsid w:val="00097568"/>
    <w:rsid w:val="000A03D1"/>
    <w:rsid w:val="000A09CD"/>
    <w:rsid w:val="000A1C07"/>
    <w:rsid w:val="000A1C83"/>
    <w:rsid w:val="000A24C2"/>
    <w:rsid w:val="000A37BD"/>
    <w:rsid w:val="000A5441"/>
    <w:rsid w:val="000A5D42"/>
    <w:rsid w:val="000A5DC3"/>
    <w:rsid w:val="000A7474"/>
    <w:rsid w:val="000A7D7F"/>
    <w:rsid w:val="000B0330"/>
    <w:rsid w:val="000B0E87"/>
    <w:rsid w:val="000B1503"/>
    <w:rsid w:val="000B23AC"/>
    <w:rsid w:val="000B2A0D"/>
    <w:rsid w:val="000B2A60"/>
    <w:rsid w:val="000B2EA4"/>
    <w:rsid w:val="000B6B1F"/>
    <w:rsid w:val="000B6E50"/>
    <w:rsid w:val="000B77BB"/>
    <w:rsid w:val="000B77EA"/>
    <w:rsid w:val="000B7C16"/>
    <w:rsid w:val="000B7F91"/>
    <w:rsid w:val="000C153C"/>
    <w:rsid w:val="000C1558"/>
    <w:rsid w:val="000C1EDD"/>
    <w:rsid w:val="000C22C6"/>
    <w:rsid w:val="000C271B"/>
    <w:rsid w:val="000C44FE"/>
    <w:rsid w:val="000C7557"/>
    <w:rsid w:val="000D1769"/>
    <w:rsid w:val="000D1841"/>
    <w:rsid w:val="000D1D78"/>
    <w:rsid w:val="000D230B"/>
    <w:rsid w:val="000D2B84"/>
    <w:rsid w:val="000D2C51"/>
    <w:rsid w:val="000D3F79"/>
    <w:rsid w:val="000D4762"/>
    <w:rsid w:val="000D56B8"/>
    <w:rsid w:val="000D5B60"/>
    <w:rsid w:val="000D64BB"/>
    <w:rsid w:val="000D6AC6"/>
    <w:rsid w:val="000D73D0"/>
    <w:rsid w:val="000D7D59"/>
    <w:rsid w:val="000E1792"/>
    <w:rsid w:val="000E2B65"/>
    <w:rsid w:val="000E2D59"/>
    <w:rsid w:val="000E3205"/>
    <w:rsid w:val="000E3B02"/>
    <w:rsid w:val="000E4C32"/>
    <w:rsid w:val="000E72BC"/>
    <w:rsid w:val="000F0E42"/>
    <w:rsid w:val="000F136B"/>
    <w:rsid w:val="000F1645"/>
    <w:rsid w:val="000F1FFA"/>
    <w:rsid w:val="000F2369"/>
    <w:rsid w:val="000F23C9"/>
    <w:rsid w:val="000F2E5C"/>
    <w:rsid w:val="000F381E"/>
    <w:rsid w:val="000F41B1"/>
    <w:rsid w:val="000F4E69"/>
    <w:rsid w:val="000F56B7"/>
    <w:rsid w:val="000F5922"/>
    <w:rsid w:val="000F63C3"/>
    <w:rsid w:val="000F655E"/>
    <w:rsid w:val="000F6B97"/>
    <w:rsid w:val="000F6C3D"/>
    <w:rsid w:val="000F7D28"/>
    <w:rsid w:val="000F7EE8"/>
    <w:rsid w:val="00100714"/>
    <w:rsid w:val="001007AC"/>
    <w:rsid w:val="00100954"/>
    <w:rsid w:val="00100F54"/>
    <w:rsid w:val="00101E1F"/>
    <w:rsid w:val="0010205D"/>
    <w:rsid w:val="0010348F"/>
    <w:rsid w:val="00103E7D"/>
    <w:rsid w:val="00104007"/>
    <w:rsid w:val="001040FE"/>
    <w:rsid w:val="00104759"/>
    <w:rsid w:val="001047A9"/>
    <w:rsid w:val="00104A0E"/>
    <w:rsid w:val="00104BBA"/>
    <w:rsid w:val="0010550E"/>
    <w:rsid w:val="001059AD"/>
    <w:rsid w:val="00105C83"/>
    <w:rsid w:val="0010669B"/>
    <w:rsid w:val="001079DA"/>
    <w:rsid w:val="00111831"/>
    <w:rsid w:val="00113053"/>
    <w:rsid w:val="00113554"/>
    <w:rsid w:val="00113C94"/>
    <w:rsid w:val="00113F56"/>
    <w:rsid w:val="00114498"/>
    <w:rsid w:val="00114B20"/>
    <w:rsid w:val="001204BB"/>
    <w:rsid w:val="001218DD"/>
    <w:rsid w:val="00123005"/>
    <w:rsid w:val="0012329E"/>
    <w:rsid w:val="00123C15"/>
    <w:rsid w:val="0012440D"/>
    <w:rsid w:val="00124E32"/>
    <w:rsid w:val="00126676"/>
    <w:rsid w:val="0012777B"/>
    <w:rsid w:val="001305E0"/>
    <w:rsid w:val="0013076F"/>
    <w:rsid w:val="001307CA"/>
    <w:rsid w:val="00130C34"/>
    <w:rsid w:val="00131099"/>
    <w:rsid w:val="0013167A"/>
    <w:rsid w:val="001320B9"/>
    <w:rsid w:val="00133DCB"/>
    <w:rsid w:val="00133E24"/>
    <w:rsid w:val="001341D8"/>
    <w:rsid w:val="001345C1"/>
    <w:rsid w:val="001348C4"/>
    <w:rsid w:val="00134B94"/>
    <w:rsid w:val="00135949"/>
    <w:rsid w:val="0013659A"/>
    <w:rsid w:val="00136710"/>
    <w:rsid w:val="00137608"/>
    <w:rsid w:val="00137854"/>
    <w:rsid w:val="00137E4B"/>
    <w:rsid w:val="0014018F"/>
    <w:rsid w:val="001408D2"/>
    <w:rsid w:val="00142789"/>
    <w:rsid w:val="00143377"/>
    <w:rsid w:val="001433CB"/>
    <w:rsid w:val="001435C6"/>
    <w:rsid w:val="00143BB8"/>
    <w:rsid w:val="00144CF6"/>
    <w:rsid w:val="001457D9"/>
    <w:rsid w:val="00145AFE"/>
    <w:rsid w:val="00145D5E"/>
    <w:rsid w:val="00146588"/>
    <w:rsid w:val="00147917"/>
    <w:rsid w:val="00147D74"/>
    <w:rsid w:val="00147FE2"/>
    <w:rsid w:val="001503C2"/>
    <w:rsid w:val="00150678"/>
    <w:rsid w:val="001509C3"/>
    <w:rsid w:val="00151911"/>
    <w:rsid w:val="00151D45"/>
    <w:rsid w:val="00151EC4"/>
    <w:rsid w:val="00152168"/>
    <w:rsid w:val="001521A0"/>
    <w:rsid w:val="00152E78"/>
    <w:rsid w:val="00153115"/>
    <w:rsid w:val="00153964"/>
    <w:rsid w:val="00154691"/>
    <w:rsid w:val="00156012"/>
    <w:rsid w:val="00156186"/>
    <w:rsid w:val="001620F7"/>
    <w:rsid w:val="001629EB"/>
    <w:rsid w:val="00162F69"/>
    <w:rsid w:val="001630EB"/>
    <w:rsid w:val="00163182"/>
    <w:rsid w:val="00164139"/>
    <w:rsid w:val="0016624A"/>
    <w:rsid w:val="00166B94"/>
    <w:rsid w:val="00166D9E"/>
    <w:rsid w:val="001670B6"/>
    <w:rsid w:val="0016713F"/>
    <w:rsid w:val="00170961"/>
    <w:rsid w:val="00171CA7"/>
    <w:rsid w:val="0017461E"/>
    <w:rsid w:val="00174C24"/>
    <w:rsid w:val="0017590C"/>
    <w:rsid w:val="00175A46"/>
    <w:rsid w:val="001767BB"/>
    <w:rsid w:val="00176B56"/>
    <w:rsid w:val="00180482"/>
    <w:rsid w:val="00180E36"/>
    <w:rsid w:val="001812FC"/>
    <w:rsid w:val="001815BB"/>
    <w:rsid w:val="00181BDC"/>
    <w:rsid w:val="00181E68"/>
    <w:rsid w:val="001822AB"/>
    <w:rsid w:val="0018261A"/>
    <w:rsid w:val="00183566"/>
    <w:rsid w:val="00183F81"/>
    <w:rsid w:val="00185422"/>
    <w:rsid w:val="001856C6"/>
    <w:rsid w:val="00185E17"/>
    <w:rsid w:val="00185FAE"/>
    <w:rsid w:val="00186CF1"/>
    <w:rsid w:val="00187B8A"/>
    <w:rsid w:val="00187C43"/>
    <w:rsid w:val="00190025"/>
    <w:rsid w:val="00191018"/>
    <w:rsid w:val="00191361"/>
    <w:rsid w:val="00191564"/>
    <w:rsid w:val="0019180C"/>
    <w:rsid w:val="00191AFB"/>
    <w:rsid w:val="00191B4D"/>
    <w:rsid w:val="0019215F"/>
    <w:rsid w:val="001935A0"/>
    <w:rsid w:val="00194B6D"/>
    <w:rsid w:val="00194FA7"/>
    <w:rsid w:val="00196162"/>
    <w:rsid w:val="00196558"/>
    <w:rsid w:val="00196614"/>
    <w:rsid w:val="00197941"/>
    <w:rsid w:val="00197B87"/>
    <w:rsid w:val="001A0964"/>
    <w:rsid w:val="001A25A5"/>
    <w:rsid w:val="001A2AC2"/>
    <w:rsid w:val="001A3813"/>
    <w:rsid w:val="001A38DF"/>
    <w:rsid w:val="001A3959"/>
    <w:rsid w:val="001A3BD0"/>
    <w:rsid w:val="001A3EC6"/>
    <w:rsid w:val="001A542A"/>
    <w:rsid w:val="001A6277"/>
    <w:rsid w:val="001A62B9"/>
    <w:rsid w:val="001A642A"/>
    <w:rsid w:val="001A674A"/>
    <w:rsid w:val="001A702A"/>
    <w:rsid w:val="001A7D9C"/>
    <w:rsid w:val="001B0820"/>
    <w:rsid w:val="001B1550"/>
    <w:rsid w:val="001B183D"/>
    <w:rsid w:val="001B29FE"/>
    <w:rsid w:val="001B3683"/>
    <w:rsid w:val="001B3E88"/>
    <w:rsid w:val="001B403F"/>
    <w:rsid w:val="001B5B18"/>
    <w:rsid w:val="001B718E"/>
    <w:rsid w:val="001B7500"/>
    <w:rsid w:val="001C07D8"/>
    <w:rsid w:val="001C16B5"/>
    <w:rsid w:val="001C2DF9"/>
    <w:rsid w:val="001C3419"/>
    <w:rsid w:val="001C3871"/>
    <w:rsid w:val="001C4387"/>
    <w:rsid w:val="001C4BF5"/>
    <w:rsid w:val="001C563B"/>
    <w:rsid w:val="001C5BFE"/>
    <w:rsid w:val="001C646B"/>
    <w:rsid w:val="001C70FD"/>
    <w:rsid w:val="001D0755"/>
    <w:rsid w:val="001D1B73"/>
    <w:rsid w:val="001D1D83"/>
    <w:rsid w:val="001D2A82"/>
    <w:rsid w:val="001D3373"/>
    <w:rsid w:val="001D3BEA"/>
    <w:rsid w:val="001D487C"/>
    <w:rsid w:val="001D551E"/>
    <w:rsid w:val="001D59FE"/>
    <w:rsid w:val="001D6AC1"/>
    <w:rsid w:val="001D6D39"/>
    <w:rsid w:val="001D7689"/>
    <w:rsid w:val="001D7BC3"/>
    <w:rsid w:val="001E06CF"/>
    <w:rsid w:val="001E0DFD"/>
    <w:rsid w:val="001E1467"/>
    <w:rsid w:val="001E15A7"/>
    <w:rsid w:val="001E16B1"/>
    <w:rsid w:val="001E235C"/>
    <w:rsid w:val="001E27E8"/>
    <w:rsid w:val="001E2D5A"/>
    <w:rsid w:val="001E2E2C"/>
    <w:rsid w:val="001E2E7F"/>
    <w:rsid w:val="001E456C"/>
    <w:rsid w:val="001E5436"/>
    <w:rsid w:val="001E5A4A"/>
    <w:rsid w:val="001E5CB5"/>
    <w:rsid w:val="001E6000"/>
    <w:rsid w:val="001E66B3"/>
    <w:rsid w:val="001E6B2B"/>
    <w:rsid w:val="001F06CD"/>
    <w:rsid w:val="001F0F19"/>
    <w:rsid w:val="001F2345"/>
    <w:rsid w:val="001F2B90"/>
    <w:rsid w:val="001F31DC"/>
    <w:rsid w:val="001F374C"/>
    <w:rsid w:val="001F4A0A"/>
    <w:rsid w:val="001F4CD4"/>
    <w:rsid w:val="001F69E0"/>
    <w:rsid w:val="001F7738"/>
    <w:rsid w:val="00204E2D"/>
    <w:rsid w:val="00205992"/>
    <w:rsid w:val="0020632D"/>
    <w:rsid w:val="00206575"/>
    <w:rsid w:val="00206E9A"/>
    <w:rsid w:val="00207983"/>
    <w:rsid w:val="00210F6C"/>
    <w:rsid w:val="002115AE"/>
    <w:rsid w:val="002118B6"/>
    <w:rsid w:val="002120A0"/>
    <w:rsid w:val="00212CD8"/>
    <w:rsid w:val="00213097"/>
    <w:rsid w:val="002149D9"/>
    <w:rsid w:val="00215778"/>
    <w:rsid w:val="00216C7A"/>
    <w:rsid w:val="00216D0E"/>
    <w:rsid w:val="00217534"/>
    <w:rsid w:val="00217612"/>
    <w:rsid w:val="00217C7C"/>
    <w:rsid w:val="00220033"/>
    <w:rsid w:val="002205C9"/>
    <w:rsid w:val="00222222"/>
    <w:rsid w:val="00223CBF"/>
    <w:rsid w:val="00223FDE"/>
    <w:rsid w:val="002242D0"/>
    <w:rsid w:val="00224B04"/>
    <w:rsid w:val="0022503B"/>
    <w:rsid w:val="0022562D"/>
    <w:rsid w:val="0022655A"/>
    <w:rsid w:val="0022697D"/>
    <w:rsid w:val="002269AD"/>
    <w:rsid w:val="00226CB8"/>
    <w:rsid w:val="002273E1"/>
    <w:rsid w:val="002306E8"/>
    <w:rsid w:val="002315C5"/>
    <w:rsid w:val="00232450"/>
    <w:rsid w:val="00232826"/>
    <w:rsid w:val="0023282A"/>
    <w:rsid w:val="002329BC"/>
    <w:rsid w:val="00232FA3"/>
    <w:rsid w:val="0023363F"/>
    <w:rsid w:val="00233A92"/>
    <w:rsid w:val="0023472D"/>
    <w:rsid w:val="002349C2"/>
    <w:rsid w:val="0023571B"/>
    <w:rsid w:val="00236A29"/>
    <w:rsid w:val="00236DB5"/>
    <w:rsid w:val="002372A1"/>
    <w:rsid w:val="00240436"/>
    <w:rsid w:val="002409AC"/>
    <w:rsid w:val="00240B0E"/>
    <w:rsid w:val="0024102E"/>
    <w:rsid w:val="00241578"/>
    <w:rsid w:val="00241672"/>
    <w:rsid w:val="002419BE"/>
    <w:rsid w:val="00241BC8"/>
    <w:rsid w:val="00243835"/>
    <w:rsid w:val="002442BE"/>
    <w:rsid w:val="00244487"/>
    <w:rsid w:val="00244D59"/>
    <w:rsid w:val="002452AE"/>
    <w:rsid w:val="00246085"/>
    <w:rsid w:val="002509F9"/>
    <w:rsid w:val="0025131F"/>
    <w:rsid w:val="00251E02"/>
    <w:rsid w:val="00252C2D"/>
    <w:rsid w:val="00252E88"/>
    <w:rsid w:val="0025387F"/>
    <w:rsid w:val="00253F3D"/>
    <w:rsid w:val="002559B4"/>
    <w:rsid w:val="00255F11"/>
    <w:rsid w:val="002563BC"/>
    <w:rsid w:val="00256D8D"/>
    <w:rsid w:val="0025799B"/>
    <w:rsid w:val="00260775"/>
    <w:rsid w:val="00260A99"/>
    <w:rsid w:val="00261451"/>
    <w:rsid w:val="00262053"/>
    <w:rsid w:val="0026314F"/>
    <w:rsid w:val="0026434E"/>
    <w:rsid w:val="00264C7C"/>
    <w:rsid w:val="002666F4"/>
    <w:rsid w:val="002705E8"/>
    <w:rsid w:val="002724DC"/>
    <w:rsid w:val="00272A45"/>
    <w:rsid w:val="00272F32"/>
    <w:rsid w:val="0027352D"/>
    <w:rsid w:val="00274710"/>
    <w:rsid w:val="00274ED1"/>
    <w:rsid w:val="00275D83"/>
    <w:rsid w:val="00275DFA"/>
    <w:rsid w:val="00276946"/>
    <w:rsid w:val="0027695E"/>
    <w:rsid w:val="00277E90"/>
    <w:rsid w:val="00280213"/>
    <w:rsid w:val="00280571"/>
    <w:rsid w:val="002813A7"/>
    <w:rsid w:val="002815AC"/>
    <w:rsid w:val="0028323F"/>
    <w:rsid w:val="00283577"/>
    <w:rsid w:val="002837E8"/>
    <w:rsid w:val="00284702"/>
    <w:rsid w:val="00285170"/>
    <w:rsid w:val="002852F5"/>
    <w:rsid w:val="00287A1A"/>
    <w:rsid w:val="00287EB2"/>
    <w:rsid w:val="002902B5"/>
    <w:rsid w:val="0029048A"/>
    <w:rsid w:val="0029074E"/>
    <w:rsid w:val="00290EB0"/>
    <w:rsid w:val="00290FDF"/>
    <w:rsid w:val="002912EB"/>
    <w:rsid w:val="00292F53"/>
    <w:rsid w:val="002933A0"/>
    <w:rsid w:val="0029457A"/>
    <w:rsid w:val="00295E29"/>
    <w:rsid w:val="00296100"/>
    <w:rsid w:val="002965D6"/>
    <w:rsid w:val="00297057"/>
    <w:rsid w:val="00297824"/>
    <w:rsid w:val="002A2099"/>
    <w:rsid w:val="002A3261"/>
    <w:rsid w:val="002A3D04"/>
    <w:rsid w:val="002A4C5F"/>
    <w:rsid w:val="002A4DEE"/>
    <w:rsid w:val="002A4E8D"/>
    <w:rsid w:val="002A50E2"/>
    <w:rsid w:val="002A5371"/>
    <w:rsid w:val="002A55EA"/>
    <w:rsid w:val="002A582B"/>
    <w:rsid w:val="002A59D9"/>
    <w:rsid w:val="002A5FA2"/>
    <w:rsid w:val="002A6486"/>
    <w:rsid w:val="002A687F"/>
    <w:rsid w:val="002A6ED6"/>
    <w:rsid w:val="002A6F3F"/>
    <w:rsid w:val="002A7332"/>
    <w:rsid w:val="002B0276"/>
    <w:rsid w:val="002B159A"/>
    <w:rsid w:val="002B170F"/>
    <w:rsid w:val="002B1BF9"/>
    <w:rsid w:val="002B2BF2"/>
    <w:rsid w:val="002B3135"/>
    <w:rsid w:val="002B33DE"/>
    <w:rsid w:val="002B36CD"/>
    <w:rsid w:val="002B4159"/>
    <w:rsid w:val="002B4392"/>
    <w:rsid w:val="002B49E9"/>
    <w:rsid w:val="002B4AAD"/>
    <w:rsid w:val="002B5018"/>
    <w:rsid w:val="002B7A9C"/>
    <w:rsid w:val="002C25F3"/>
    <w:rsid w:val="002C487A"/>
    <w:rsid w:val="002C5983"/>
    <w:rsid w:val="002C5AF4"/>
    <w:rsid w:val="002D281C"/>
    <w:rsid w:val="002D2881"/>
    <w:rsid w:val="002D4A30"/>
    <w:rsid w:val="002D4C97"/>
    <w:rsid w:val="002D52C0"/>
    <w:rsid w:val="002D559D"/>
    <w:rsid w:val="002D5A0D"/>
    <w:rsid w:val="002D5AFA"/>
    <w:rsid w:val="002D6143"/>
    <w:rsid w:val="002D63E0"/>
    <w:rsid w:val="002D6AFB"/>
    <w:rsid w:val="002D6D5F"/>
    <w:rsid w:val="002D70B8"/>
    <w:rsid w:val="002D7694"/>
    <w:rsid w:val="002D76E0"/>
    <w:rsid w:val="002E0DAB"/>
    <w:rsid w:val="002E17F8"/>
    <w:rsid w:val="002E182B"/>
    <w:rsid w:val="002E1A37"/>
    <w:rsid w:val="002E1E49"/>
    <w:rsid w:val="002E234E"/>
    <w:rsid w:val="002E2579"/>
    <w:rsid w:val="002E288A"/>
    <w:rsid w:val="002E3B3A"/>
    <w:rsid w:val="002E3CBF"/>
    <w:rsid w:val="002E450B"/>
    <w:rsid w:val="002E6F00"/>
    <w:rsid w:val="002E77F3"/>
    <w:rsid w:val="002F0DFB"/>
    <w:rsid w:val="002F10E7"/>
    <w:rsid w:val="002F1137"/>
    <w:rsid w:val="002F117B"/>
    <w:rsid w:val="002F1666"/>
    <w:rsid w:val="002F214E"/>
    <w:rsid w:val="002F265A"/>
    <w:rsid w:val="002F47DF"/>
    <w:rsid w:val="002F4D19"/>
    <w:rsid w:val="002F4DEF"/>
    <w:rsid w:val="002F4FEC"/>
    <w:rsid w:val="002F5E78"/>
    <w:rsid w:val="002F70DB"/>
    <w:rsid w:val="002F743B"/>
    <w:rsid w:val="002F757F"/>
    <w:rsid w:val="002F76F9"/>
    <w:rsid w:val="002F78F1"/>
    <w:rsid w:val="00300572"/>
    <w:rsid w:val="00300FDE"/>
    <w:rsid w:val="0030124C"/>
    <w:rsid w:val="003013C8"/>
    <w:rsid w:val="003020A3"/>
    <w:rsid w:val="003022B9"/>
    <w:rsid w:val="00302E52"/>
    <w:rsid w:val="00303AB8"/>
    <w:rsid w:val="00303BD2"/>
    <w:rsid w:val="00303C74"/>
    <w:rsid w:val="003044C2"/>
    <w:rsid w:val="00304BC8"/>
    <w:rsid w:val="00304F90"/>
    <w:rsid w:val="003053CC"/>
    <w:rsid w:val="003055A2"/>
    <w:rsid w:val="00305A28"/>
    <w:rsid w:val="00306624"/>
    <w:rsid w:val="00306D88"/>
    <w:rsid w:val="0030740E"/>
    <w:rsid w:val="00307FED"/>
    <w:rsid w:val="00313AF8"/>
    <w:rsid w:val="00314CCF"/>
    <w:rsid w:val="00314DA3"/>
    <w:rsid w:val="00315070"/>
    <w:rsid w:val="0031542F"/>
    <w:rsid w:val="003168CE"/>
    <w:rsid w:val="00317410"/>
    <w:rsid w:val="00317538"/>
    <w:rsid w:val="00320449"/>
    <w:rsid w:val="003205A9"/>
    <w:rsid w:val="003219FD"/>
    <w:rsid w:val="00322EA7"/>
    <w:rsid w:val="0032306E"/>
    <w:rsid w:val="00323B62"/>
    <w:rsid w:val="00323CCC"/>
    <w:rsid w:val="00324354"/>
    <w:rsid w:val="003244A6"/>
    <w:rsid w:val="00324BD4"/>
    <w:rsid w:val="00325485"/>
    <w:rsid w:val="00325776"/>
    <w:rsid w:val="00325971"/>
    <w:rsid w:val="003264A1"/>
    <w:rsid w:val="00326A22"/>
    <w:rsid w:val="00327AF6"/>
    <w:rsid w:val="00327C0A"/>
    <w:rsid w:val="00327D55"/>
    <w:rsid w:val="00327D6B"/>
    <w:rsid w:val="00330AF5"/>
    <w:rsid w:val="00330B57"/>
    <w:rsid w:val="00330DDC"/>
    <w:rsid w:val="003315FA"/>
    <w:rsid w:val="003319BF"/>
    <w:rsid w:val="00332B22"/>
    <w:rsid w:val="003334F4"/>
    <w:rsid w:val="00334609"/>
    <w:rsid w:val="003348B3"/>
    <w:rsid w:val="00335645"/>
    <w:rsid w:val="00336225"/>
    <w:rsid w:val="003366CD"/>
    <w:rsid w:val="0033698E"/>
    <w:rsid w:val="0033740A"/>
    <w:rsid w:val="00337D17"/>
    <w:rsid w:val="00337E71"/>
    <w:rsid w:val="00337F4A"/>
    <w:rsid w:val="00340D96"/>
    <w:rsid w:val="00341741"/>
    <w:rsid w:val="00343BBE"/>
    <w:rsid w:val="00343D23"/>
    <w:rsid w:val="003442B9"/>
    <w:rsid w:val="00344C02"/>
    <w:rsid w:val="00345326"/>
    <w:rsid w:val="00345D05"/>
    <w:rsid w:val="0034652C"/>
    <w:rsid w:val="00346A37"/>
    <w:rsid w:val="00346A49"/>
    <w:rsid w:val="00350EFA"/>
    <w:rsid w:val="003515F5"/>
    <w:rsid w:val="003522D4"/>
    <w:rsid w:val="00352733"/>
    <w:rsid w:val="00352A02"/>
    <w:rsid w:val="00352E63"/>
    <w:rsid w:val="00352FC5"/>
    <w:rsid w:val="00353D22"/>
    <w:rsid w:val="00354245"/>
    <w:rsid w:val="0035471B"/>
    <w:rsid w:val="0035569C"/>
    <w:rsid w:val="00355D9B"/>
    <w:rsid w:val="003565B1"/>
    <w:rsid w:val="003565EE"/>
    <w:rsid w:val="00356984"/>
    <w:rsid w:val="00356D01"/>
    <w:rsid w:val="0035727A"/>
    <w:rsid w:val="00357398"/>
    <w:rsid w:val="003573F0"/>
    <w:rsid w:val="00360AA4"/>
    <w:rsid w:val="00361522"/>
    <w:rsid w:val="00361FEB"/>
    <w:rsid w:val="003624F9"/>
    <w:rsid w:val="00362D3B"/>
    <w:rsid w:val="0036340C"/>
    <w:rsid w:val="003637A1"/>
    <w:rsid w:val="0036380C"/>
    <w:rsid w:val="00363CCA"/>
    <w:rsid w:val="0036431B"/>
    <w:rsid w:val="003644FC"/>
    <w:rsid w:val="00365312"/>
    <w:rsid w:val="003658CE"/>
    <w:rsid w:val="00366193"/>
    <w:rsid w:val="003715A0"/>
    <w:rsid w:val="0037191E"/>
    <w:rsid w:val="0037366F"/>
    <w:rsid w:val="0037421B"/>
    <w:rsid w:val="00375555"/>
    <w:rsid w:val="00375FF6"/>
    <w:rsid w:val="0037610F"/>
    <w:rsid w:val="00376334"/>
    <w:rsid w:val="0037699E"/>
    <w:rsid w:val="00376AB7"/>
    <w:rsid w:val="00376B13"/>
    <w:rsid w:val="0037764A"/>
    <w:rsid w:val="00380457"/>
    <w:rsid w:val="0038066D"/>
    <w:rsid w:val="00381030"/>
    <w:rsid w:val="00381A86"/>
    <w:rsid w:val="003827FB"/>
    <w:rsid w:val="00383720"/>
    <w:rsid w:val="003838C1"/>
    <w:rsid w:val="00383D9D"/>
    <w:rsid w:val="00384388"/>
    <w:rsid w:val="00384F8E"/>
    <w:rsid w:val="003852CD"/>
    <w:rsid w:val="00385A4A"/>
    <w:rsid w:val="00385ED3"/>
    <w:rsid w:val="003864BA"/>
    <w:rsid w:val="00386683"/>
    <w:rsid w:val="00387426"/>
    <w:rsid w:val="00387D68"/>
    <w:rsid w:val="00390E96"/>
    <w:rsid w:val="00391930"/>
    <w:rsid w:val="00391B51"/>
    <w:rsid w:val="003925EF"/>
    <w:rsid w:val="0039384F"/>
    <w:rsid w:val="00393DDC"/>
    <w:rsid w:val="003944F4"/>
    <w:rsid w:val="003948A2"/>
    <w:rsid w:val="00394F1A"/>
    <w:rsid w:val="0039540D"/>
    <w:rsid w:val="003955CC"/>
    <w:rsid w:val="00395971"/>
    <w:rsid w:val="00397A51"/>
    <w:rsid w:val="003A0175"/>
    <w:rsid w:val="003A0F9B"/>
    <w:rsid w:val="003A2071"/>
    <w:rsid w:val="003A4307"/>
    <w:rsid w:val="003A5BA1"/>
    <w:rsid w:val="003A6A3C"/>
    <w:rsid w:val="003A6C83"/>
    <w:rsid w:val="003A6DA5"/>
    <w:rsid w:val="003A7833"/>
    <w:rsid w:val="003B06AF"/>
    <w:rsid w:val="003B0916"/>
    <w:rsid w:val="003B0C11"/>
    <w:rsid w:val="003B0DB0"/>
    <w:rsid w:val="003B102E"/>
    <w:rsid w:val="003B22C9"/>
    <w:rsid w:val="003B2C91"/>
    <w:rsid w:val="003B386F"/>
    <w:rsid w:val="003B3BA8"/>
    <w:rsid w:val="003B42F8"/>
    <w:rsid w:val="003B434F"/>
    <w:rsid w:val="003B46B9"/>
    <w:rsid w:val="003B4B8E"/>
    <w:rsid w:val="003B4BF3"/>
    <w:rsid w:val="003B4DD7"/>
    <w:rsid w:val="003B512D"/>
    <w:rsid w:val="003B5BD7"/>
    <w:rsid w:val="003B60B6"/>
    <w:rsid w:val="003B7557"/>
    <w:rsid w:val="003B761A"/>
    <w:rsid w:val="003B767D"/>
    <w:rsid w:val="003B7ED5"/>
    <w:rsid w:val="003C123D"/>
    <w:rsid w:val="003C28C9"/>
    <w:rsid w:val="003C2A02"/>
    <w:rsid w:val="003C2FB1"/>
    <w:rsid w:val="003C300D"/>
    <w:rsid w:val="003C3A9A"/>
    <w:rsid w:val="003C44B3"/>
    <w:rsid w:val="003C5449"/>
    <w:rsid w:val="003C545F"/>
    <w:rsid w:val="003C657D"/>
    <w:rsid w:val="003C6EB4"/>
    <w:rsid w:val="003C7356"/>
    <w:rsid w:val="003C74F7"/>
    <w:rsid w:val="003D10F8"/>
    <w:rsid w:val="003D1749"/>
    <w:rsid w:val="003D1F04"/>
    <w:rsid w:val="003D1FAF"/>
    <w:rsid w:val="003D2181"/>
    <w:rsid w:val="003D3898"/>
    <w:rsid w:val="003D530D"/>
    <w:rsid w:val="003D5B18"/>
    <w:rsid w:val="003D5C6D"/>
    <w:rsid w:val="003D6109"/>
    <w:rsid w:val="003D65DB"/>
    <w:rsid w:val="003D6D85"/>
    <w:rsid w:val="003D7012"/>
    <w:rsid w:val="003E08D7"/>
    <w:rsid w:val="003E091C"/>
    <w:rsid w:val="003E172D"/>
    <w:rsid w:val="003E1DDD"/>
    <w:rsid w:val="003E1F85"/>
    <w:rsid w:val="003E228A"/>
    <w:rsid w:val="003E318E"/>
    <w:rsid w:val="003E452D"/>
    <w:rsid w:val="003E62A0"/>
    <w:rsid w:val="003E7BE4"/>
    <w:rsid w:val="003F0150"/>
    <w:rsid w:val="003F17D0"/>
    <w:rsid w:val="003F24A4"/>
    <w:rsid w:val="003F2B5E"/>
    <w:rsid w:val="003F3A78"/>
    <w:rsid w:val="003F48A0"/>
    <w:rsid w:val="003F4964"/>
    <w:rsid w:val="003F4EAB"/>
    <w:rsid w:val="003F5E91"/>
    <w:rsid w:val="003F5EB8"/>
    <w:rsid w:val="003F66ED"/>
    <w:rsid w:val="003F7AAD"/>
    <w:rsid w:val="003F7EE4"/>
    <w:rsid w:val="00400B49"/>
    <w:rsid w:val="004010CD"/>
    <w:rsid w:val="00401D6B"/>
    <w:rsid w:val="004027B6"/>
    <w:rsid w:val="004029BD"/>
    <w:rsid w:val="00402D73"/>
    <w:rsid w:val="004040B5"/>
    <w:rsid w:val="00404ACE"/>
    <w:rsid w:val="00404CF8"/>
    <w:rsid w:val="00404EDE"/>
    <w:rsid w:val="004053FC"/>
    <w:rsid w:val="004055A4"/>
    <w:rsid w:val="0040563C"/>
    <w:rsid w:val="00406927"/>
    <w:rsid w:val="00406DC9"/>
    <w:rsid w:val="00410301"/>
    <w:rsid w:val="00410438"/>
    <w:rsid w:val="00410F0D"/>
    <w:rsid w:val="004111B2"/>
    <w:rsid w:val="0041135C"/>
    <w:rsid w:val="00411BE2"/>
    <w:rsid w:val="00412031"/>
    <w:rsid w:val="0041302D"/>
    <w:rsid w:val="00413344"/>
    <w:rsid w:val="00413E8E"/>
    <w:rsid w:val="00413FFA"/>
    <w:rsid w:val="00414460"/>
    <w:rsid w:val="0041559A"/>
    <w:rsid w:val="00416469"/>
    <w:rsid w:val="004167BC"/>
    <w:rsid w:val="004173E1"/>
    <w:rsid w:val="00417C1C"/>
    <w:rsid w:val="004203C6"/>
    <w:rsid w:val="00420697"/>
    <w:rsid w:val="004207EF"/>
    <w:rsid w:val="00420BEA"/>
    <w:rsid w:val="00420C20"/>
    <w:rsid w:val="00420CC8"/>
    <w:rsid w:val="004214E3"/>
    <w:rsid w:val="00422172"/>
    <w:rsid w:val="004225BB"/>
    <w:rsid w:val="004228AD"/>
    <w:rsid w:val="004239A7"/>
    <w:rsid w:val="00423B2B"/>
    <w:rsid w:val="00423ED3"/>
    <w:rsid w:val="00424E39"/>
    <w:rsid w:val="00425C3A"/>
    <w:rsid w:val="00425F9F"/>
    <w:rsid w:val="00426A8E"/>
    <w:rsid w:val="00426C7C"/>
    <w:rsid w:val="00427B58"/>
    <w:rsid w:val="00432089"/>
    <w:rsid w:val="0043285A"/>
    <w:rsid w:val="0043421F"/>
    <w:rsid w:val="0043447B"/>
    <w:rsid w:val="00434F61"/>
    <w:rsid w:val="00435198"/>
    <w:rsid w:val="00435282"/>
    <w:rsid w:val="00435375"/>
    <w:rsid w:val="004374D6"/>
    <w:rsid w:val="004377D9"/>
    <w:rsid w:val="00437BB8"/>
    <w:rsid w:val="0044003C"/>
    <w:rsid w:val="00441414"/>
    <w:rsid w:val="004421F3"/>
    <w:rsid w:val="00442661"/>
    <w:rsid w:val="004430FB"/>
    <w:rsid w:val="00443363"/>
    <w:rsid w:val="00443644"/>
    <w:rsid w:val="004445B2"/>
    <w:rsid w:val="0044462E"/>
    <w:rsid w:val="00445BBA"/>
    <w:rsid w:val="004501DC"/>
    <w:rsid w:val="00451DF0"/>
    <w:rsid w:val="00452084"/>
    <w:rsid w:val="004534C0"/>
    <w:rsid w:val="004549CB"/>
    <w:rsid w:val="00454F29"/>
    <w:rsid w:val="00455B93"/>
    <w:rsid w:val="00455F70"/>
    <w:rsid w:val="004561B7"/>
    <w:rsid w:val="004565AC"/>
    <w:rsid w:val="00456FB9"/>
    <w:rsid w:val="00457239"/>
    <w:rsid w:val="00457AEC"/>
    <w:rsid w:val="00460478"/>
    <w:rsid w:val="00460DB4"/>
    <w:rsid w:val="004612FF"/>
    <w:rsid w:val="004625C9"/>
    <w:rsid w:val="004627B8"/>
    <w:rsid w:val="00462B38"/>
    <w:rsid w:val="0046399E"/>
    <w:rsid w:val="00463AB6"/>
    <w:rsid w:val="004640C3"/>
    <w:rsid w:val="004642D0"/>
    <w:rsid w:val="00464523"/>
    <w:rsid w:val="00464B0A"/>
    <w:rsid w:val="004653C6"/>
    <w:rsid w:val="0046598E"/>
    <w:rsid w:val="00465DF4"/>
    <w:rsid w:val="00467C46"/>
    <w:rsid w:val="004703BD"/>
    <w:rsid w:val="00470817"/>
    <w:rsid w:val="00470EA2"/>
    <w:rsid w:val="00470ED4"/>
    <w:rsid w:val="0047278C"/>
    <w:rsid w:val="00474F53"/>
    <w:rsid w:val="004750C9"/>
    <w:rsid w:val="004751C0"/>
    <w:rsid w:val="00475227"/>
    <w:rsid w:val="00475ED4"/>
    <w:rsid w:val="00475FAA"/>
    <w:rsid w:val="0047644D"/>
    <w:rsid w:val="00476735"/>
    <w:rsid w:val="00476F10"/>
    <w:rsid w:val="004776AE"/>
    <w:rsid w:val="00477D40"/>
    <w:rsid w:val="00477F07"/>
    <w:rsid w:val="004805BB"/>
    <w:rsid w:val="00480CC3"/>
    <w:rsid w:val="00481C9F"/>
    <w:rsid w:val="00482E09"/>
    <w:rsid w:val="00484316"/>
    <w:rsid w:val="00484574"/>
    <w:rsid w:val="004855A5"/>
    <w:rsid w:val="0048584E"/>
    <w:rsid w:val="00485E87"/>
    <w:rsid w:val="00486F84"/>
    <w:rsid w:val="0048700C"/>
    <w:rsid w:val="004874E1"/>
    <w:rsid w:val="00487CA2"/>
    <w:rsid w:val="00487DFA"/>
    <w:rsid w:val="00487E15"/>
    <w:rsid w:val="00490325"/>
    <w:rsid w:val="00490381"/>
    <w:rsid w:val="004908D9"/>
    <w:rsid w:val="00492AE1"/>
    <w:rsid w:val="00493007"/>
    <w:rsid w:val="004931F7"/>
    <w:rsid w:val="00494318"/>
    <w:rsid w:val="00494885"/>
    <w:rsid w:val="004950E0"/>
    <w:rsid w:val="00496ADF"/>
    <w:rsid w:val="00496B0B"/>
    <w:rsid w:val="00497078"/>
    <w:rsid w:val="0049718B"/>
    <w:rsid w:val="004973CE"/>
    <w:rsid w:val="004979DB"/>
    <w:rsid w:val="00497C09"/>
    <w:rsid w:val="004A0133"/>
    <w:rsid w:val="004A1527"/>
    <w:rsid w:val="004A23C7"/>
    <w:rsid w:val="004A3EE6"/>
    <w:rsid w:val="004A46F7"/>
    <w:rsid w:val="004A54BA"/>
    <w:rsid w:val="004A574D"/>
    <w:rsid w:val="004A5C54"/>
    <w:rsid w:val="004A62EA"/>
    <w:rsid w:val="004A6E52"/>
    <w:rsid w:val="004A73EA"/>
    <w:rsid w:val="004A7DB9"/>
    <w:rsid w:val="004B035F"/>
    <w:rsid w:val="004B219E"/>
    <w:rsid w:val="004B2D07"/>
    <w:rsid w:val="004B2FB3"/>
    <w:rsid w:val="004B30DC"/>
    <w:rsid w:val="004B34C0"/>
    <w:rsid w:val="004B3D68"/>
    <w:rsid w:val="004B40F7"/>
    <w:rsid w:val="004B46CE"/>
    <w:rsid w:val="004B4E74"/>
    <w:rsid w:val="004B64C5"/>
    <w:rsid w:val="004C0DD6"/>
    <w:rsid w:val="004C12A9"/>
    <w:rsid w:val="004C1508"/>
    <w:rsid w:val="004C2036"/>
    <w:rsid w:val="004C2287"/>
    <w:rsid w:val="004C2A3A"/>
    <w:rsid w:val="004C2BCB"/>
    <w:rsid w:val="004C305E"/>
    <w:rsid w:val="004C3A9A"/>
    <w:rsid w:val="004C3CCC"/>
    <w:rsid w:val="004C4178"/>
    <w:rsid w:val="004C41A8"/>
    <w:rsid w:val="004C50A7"/>
    <w:rsid w:val="004C50CE"/>
    <w:rsid w:val="004C50EA"/>
    <w:rsid w:val="004C60BA"/>
    <w:rsid w:val="004C60DC"/>
    <w:rsid w:val="004C6651"/>
    <w:rsid w:val="004C7401"/>
    <w:rsid w:val="004C74EF"/>
    <w:rsid w:val="004C7DC4"/>
    <w:rsid w:val="004D030D"/>
    <w:rsid w:val="004D26DF"/>
    <w:rsid w:val="004D2D7B"/>
    <w:rsid w:val="004D3037"/>
    <w:rsid w:val="004D3220"/>
    <w:rsid w:val="004D3455"/>
    <w:rsid w:val="004D34F3"/>
    <w:rsid w:val="004D381A"/>
    <w:rsid w:val="004D3DAE"/>
    <w:rsid w:val="004D4E9E"/>
    <w:rsid w:val="004D4FAC"/>
    <w:rsid w:val="004D5148"/>
    <w:rsid w:val="004D5A05"/>
    <w:rsid w:val="004D602F"/>
    <w:rsid w:val="004D64D7"/>
    <w:rsid w:val="004D6BCF"/>
    <w:rsid w:val="004D6BE7"/>
    <w:rsid w:val="004D71C4"/>
    <w:rsid w:val="004D7373"/>
    <w:rsid w:val="004D7D3F"/>
    <w:rsid w:val="004D7F8F"/>
    <w:rsid w:val="004E0606"/>
    <w:rsid w:val="004E1A67"/>
    <w:rsid w:val="004E1AC9"/>
    <w:rsid w:val="004E364B"/>
    <w:rsid w:val="004E39E1"/>
    <w:rsid w:val="004E46D4"/>
    <w:rsid w:val="004E6DA9"/>
    <w:rsid w:val="004E7D1A"/>
    <w:rsid w:val="004F0320"/>
    <w:rsid w:val="004F05B1"/>
    <w:rsid w:val="004F173B"/>
    <w:rsid w:val="004F20E1"/>
    <w:rsid w:val="004F2759"/>
    <w:rsid w:val="004F29CC"/>
    <w:rsid w:val="004F2E8F"/>
    <w:rsid w:val="004F3704"/>
    <w:rsid w:val="004F5F19"/>
    <w:rsid w:val="004F61AA"/>
    <w:rsid w:val="004F62AF"/>
    <w:rsid w:val="004F7098"/>
    <w:rsid w:val="004F7D64"/>
    <w:rsid w:val="00500FEB"/>
    <w:rsid w:val="0050143A"/>
    <w:rsid w:val="005015C7"/>
    <w:rsid w:val="0050196C"/>
    <w:rsid w:val="005019AF"/>
    <w:rsid w:val="005025CD"/>
    <w:rsid w:val="00502A03"/>
    <w:rsid w:val="00503664"/>
    <w:rsid w:val="00503976"/>
    <w:rsid w:val="005049A0"/>
    <w:rsid w:val="00504B2C"/>
    <w:rsid w:val="0050520B"/>
    <w:rsid w:val="005052B2"/>
    <w:rsid w:val="00505F2C"/>
    <w:rsid w:val="00506EB0"/>
    <w:rsid w:val="005070CE"/>
    <w:rsid w:val="0050757C"/>
    <w:rsid w:val="00510A31"/>
    <w:rsid w:val="00511884"/>
    <w:rsid w:val="005118BC"/>
    <w:rsid w:val="0051236D"/>
    <w:rsid w:val="005126FA"/>
    <w:rsid w:val="005127EB"/>
    <w:rsid w:val="00512854"/>
    <w:rsid w:val="00512FC7"/>
    <w:rsid w:val="00513B57"/>
    <w:rsid w:val="0051437E"/>
    <w:rsid w:val="00516047"/>
    <w:rsid w:val="005165ED"/>
    <w:rsid w:val="00521A13"/>
    <w:rsid w:val="00521CAE"/>
    <w:rsid w:val="00522819"/>
    <w:rsid w:val="00523087"/>
    <w:rsid w:val="00523A22"/>
    <w:rsid w:val="0052414B"/>
    <w:rsid w:val="005249AD"/>
    <w:rsid w:val="00524F56"/>
    <w:rsid w:val="0052545F"/>
    <w:rsid w:val="0052679C"/>
    <w:rsid w:val="00526F9F"/>
    <w:rsid w:val="00530D8C"/>
    <w:rsid w:val="00531D87"/>
    <w:rsid w:val="00532931"/>
    <w:rsid w:val="0053536E"/>
    <w:rsid w:val="005356F3"/>
    <w:rsid w:val="00535B99"/>
    <w:rsid w:val="00535D27"/>
    <w:rsid w:val="00535FB8"/>
    <w:rsid w:val="005378EA"/>
    <w:rsid w:val="00540352"/>
    <w:rsid w:val="005405BE"/>
    <w:rsid w:val="00540811"/>
    <w:rsid w:val="00541FCE"/>
    <w:rsid w:val="005430E7"/>
    <w:rsid w:val="00544216"/>
    <w:rsid w:val="00544C9B"/>
    <w:rsid w:val="0054575E"/>
    <w:rsid w:val="00546091"/>
    <w:rsid w:val="00546182"/>
    <w:rsid w:val="0054649D"/>
    <w:rsid w:val="00547577"/>
    <w:rsid w:val="00550AE4"/>
    <w:rsid w:val="00550EED"/>
    <w:rsid w:val="00551044"/>
    <w:rsid w:val="005512A0"/>
    <w:rsid w:val="00551627"/>
    <w:rsid w:val="00551B78"/>
    <w:rsid w:val="00552E7A"/>
    <w:rsid w:val="005531F6"/>
    <w:rsid w:val="00553D7E"/>
    <w:rsid w:val="00553DB5"/>
    <w:rsid w:val="005543C3"/>
    <w:rsid w:val="005555AC"/>
    <w:rsid w:val="00556568"/>
    <w:rsid w:val="00557FAC"/>
    <w:rsid w:val="00560EF8"/>
    <w:rsid w:val="00561E94"/>
    <w:rsid w:val="00562045"/>
    <w:rsid w:val="0056226F"/>
    <w:rsid w:val="00562614"/>
    <w:rsid w:val="0056309C"/>
    <w:rsid w:val="00563171"/>
    <w:rsid w:val="00563CEE"/>
    <w:rsid w:val="00565896"/>
    <w:rsid w:val="005659F4"/>
    <w:rsid w:val="00565B01"/>
    <w:rsid w:val="005661A6"/>
    <w:rsid w:val="00566597"/>
    <w:rsid w:val="005670E5"/>
    <w:rsid w:val="0056782F"/>
    <w:rsid w:val="00570E0C"/>
    <w:rsid w:val="00571051"/>
    <w:rsid w:val="00571125"/>
    <w:rsid w:val="00571B31"/>
    <w:rsid w:val="00571ED4"/>
    <w:rsid w:val="005721B6"/>
    <w:rsid w:val="00572631"/>
    <w:rsid w:val="0057286A"/>
    <w:rsid w:val="00573443"/>
    <w:rsid w:val="00573900"/>
    <w:rsid w:val="00573A18"/>
    <w:rsid w:val="00573AF5"/>
    <w:rsid w:val="00573CE1"/>
    <w:rsid w:val="005759D5"/>
    <w:rsid w:val="00575FE4"/>
    <w:rsid w:val="005803F6"/>
    <w:rsid w:val="00580652"/>
    <w:rsid w:val="00580EFD"/>
    <w:rsid w:val="00581AE4"/>
    <w:rsid w:val="00582AEB"/>
    <w:rsid w:val="00582B47"/>
    <w:rsid w:val="005843E5"/>
    <w:rsid w:val="00584F34"/>
    <w:rsid w:val="005850C4"/>
    <w:rsid w:val="00585AF3"/>
    <w:rsid w:val="00585EDD"/>
    <w:rsid w:val="00585F5E"/>
    <w:rsid w:val="00585FEC"/>
    <w:rsid w:val="005861EF"/>
    <w:rsid w:val="005862D2"/>
    <w:rsid w:val="0058631B"/>
    <w:rsid w:val="00586D6A"/>
    <w:rsid w:val="00586EDB"/>
    <w:rsid w:val="005871AA"/>
    <w:rsid w:val="00587214"/>
    <w:rsid w:val="00587855"/>
    <w:rsid w:val="005879F9"/>
    <w:rsid w:val="00591FDA"/>
    <w:rsid w:val="005927E5"/>
    <w:rsid w:val="00593A73"/>
    <w:rsid w:val="00593D47"/>
    <w:rsid w:val="0059481E"/>
    <w:rsid w:val="0059496D"/>
    <w:rsid w:val="0059509E"/>
    <w:rsid w:val="00595785"/>
    <w:rsid w:val="00595C29"/>
    <w:rsid w:val="00595CBC"/>
    <w:rsid w:val="00596FA8"/>
    <w:rsid w:val="00597447"/>
    <w:rsid w:val="005A0944"/>
    <w:rsid w:val="005A0C5E"/>
    <w:rsid w:val="005A1684"/>
    <w:rsid w:val="005A2114"/>
    <w:rsid w:val="005A3752"/>
    <w:rsid w:val="005A3E3B"/>
    <w:rsid w:val="005A491E"/>
    <w:rsid w:val="005A4C86"/>
    <w:rsid w:val="005A6603"/>
    <w:rsid w:val="005A680E"/>
    <w:rsid w:val="005A69DC"/>
    <w:rsid w:val="005A7071"/>
    <w:rsid w:val="005A74A5"/>
    <w:rsid w:val="005B05C3"/>
    <w:rsid w:val="005B0CCF"/>
    <w:rsid w:val="005B0E13"/>
    <w:rsid w:val="005B1421"/>
    <w:rsid w:val="005B1EBE"/>
    <w:rsid w:val="005B2C4A"/>
    <w:rsid w:val="005B4EDF"/>
    <w:rsid w:val="005B529E"/>
    <w:rsid w:val="005B6533"/>
    <w:rsid w:val="005B67AE"/>
    <w:rsid w:val="005B6BDE"/>
    <w:rsid w:val="005B7662"/>
    <w:rsid w:val="005C0442"/>
    <w:rsid w:val="005C08B9"/>
    <w:rsid w:val="005C092C"/>
    <w:rsid w:val="005C1554"/>
    <w:rsid w:val="005C171E"/>
    <w:rsid w:val="005C1FAD"/>
    <w:rsid w:val="005C3F52"/>
    <w:rsid w:val="005C5269"/>
    <w:rsid w:val="005C5D3F"/>
    <w:rsid w:val="005C623E"/>
    <w:rsid w:val="005C6739"/>
    <w:rsid w:val="005C7586"/>
    <w:rsid w:val="005D01D3"/>
    <w:rsid w:val="005D08B3"/>
    <w:rsid w:val="005D12FA"/>
    <w:rsid w:val="005D291A"/>
    <w:rsid w:val="005D2CAB"/>
    <w:rsid w:val="005D2F9E"/>
    <w:rsid w:val="005D3313"/>
    <w:rsid w:val="005D38E6"/>
    <w:rsid w:val="005D419D"/>
    <w:rsid w:val="005D493F"/>
    <w:rsid w:val="005D59BB"/>
    <w:rsid w:val="005D6044"/>
    <w:rsid w:val="005D6265"/>
    <w:rsid w:val="005D6330"/>
    <w:rsid w:val="005D6D2D"/>
    <w:rsid w:val="005D7170"/>
    <w:rsid w:val="005D78FF"/>
    <w:rsid w:val="005E0124"/>
    <w:rsid w:val="005E053F"/>
    <w:rsid w:val="005E1B70"/>
    <w:rsid w:val="005E2749"/>
    <w:rsid w:val="005E2DB3"/>
    <w:rsid w:val="005E30DA"/>
    <w:rsid w:val="005E3A63"/>
    <w:rsid w:val="005E3CCE"/>
    <w:rsid w:val="005E4391"/>
    <w:rsid w:val="005E4864"/>
    <w:rsid w:val="005E4FE6"/>
    <w:rsid w:val="005E6366"/>
    <w:rsid w:val="005E6613"/>
    <w:rsid w:val="005E6A32"/>
    <w:rsid w:val="005E6C0B"/>
    <w:rsid w:val="005E7348"/>
    <w:rsid w:val="005E7832"/>
    <w:rsid w:val="005F0188"/>
    <w:rsid w:val="005F11A3"/>
    <w:rsid w:val="005F2C1D"/>
    <w:rsid w:val="005F400B"/>
    <w:rsid w:val="005F4AC1"/>
    <w:rsid w:val="005F4D26"/>
    <w:rsid w:val="005F5D57"/>
    <w:rsid w:val="005F6212"/>
    <w:rsid w:val="005F707B"/>
    <w:rsid w:val="005F7259"/>
    <w:rsid w:val="005F7707"/>
    <w:rsid w:val="005F7A93"/>
    <w:rsid w:val="00600B66"/>
    <w:rsid w:val="00600CCD"/>
    <w:rsid w:val="00601327"/>
    <w:rsid w:val="00601753"/>
    <w:rsid w:val="006020ED"/>
    <w:rsid w:val="00602DF1"/>
    <w:rsid w:val="0060442D"/>
    <w:rsid w:val="006047F2"/>
    <w:rsid w:val="00604986"/>
    <w:rsid w:val="00604A4F"/>
    <w:rsid w:val="00604DAE"/>
    <w:rsid w:val="006054FB"/>
    <w:rsid w:val="006056BE"/>
    <w:rsid w:val="00605898"/>
    <w:rsid w:val="00605E61"/>
    <w:rsid w:val="00606973"/>
    <w:rsid w:val="00606D1D"/>
    <w:rsid w:val="006074AF"/>
    <w:rsid w:val="006115E6"/>
    <w:rsid w:val="0061160A"/>
    <w:rsid w:val="00611E90"/>
    <w:rsid w:val="0061266D"/>
    <w:rsid w:val="00612C8A"/>
    <w:rsid w:val="00612F59"/>
    <w:rsid w:val="00612F65"/>
    <w:rsid w:val="0061393A"/>
    <w:rsid w:val="00613DFA"/>
    <w:rsid w:val="00615855"/>
    <w:rsid w:val="00615B1C"/>
    <w:rsid w:val="006165DD"/>
    <w:rsid w:val="0061703C"/>
    <w:rsid w:val="00617AF9"/>
    <w:rsid w:val="00620EF4"/>
    <w:rsid w:val="0062113D"/>
    <w:rsid w:val="00621372"/>
    <w:rsid w:val="006218AA"/>
    <w:rsid w:val="0062200B"/>
    <w:rsid w:val="00622A81"/>
    <w:rsid w:val="00622F59"/>
    <w:rsid w:val="006238A2"/>
    <w:rsid w:val="00625210"/>
    <w:rsid w:val="00625A0B"/>
    <w:rsid w:val="00625E38"/>
    <w:rsid w:val="00626CDE"/>
    <w:rsid w:val="00627001"/>
    <w:rsid w:val="00627D19"/>
    <w:rsid w:val="00630D47"/>
    <w:rsid w:val="00631563"/>
    <w:rsid w:val="00631903"/>
    <w:rsid w:val="00631EE7"/>
    <w:rsid w:val="00632363"/>
    <w:rsid w:val="00632682"/>
    <w:rsid w:val="00633FE4"/>
    <w:rsid w:val="006344FF"/>
    <w:rsid w:val="00634684"/>
    <w:rsid w:val="006347C6"/>
    <w:rsid w:val="006349C9"/>
    <w:rsid w:val="00634B52"/>
    <w:rsid w:val="006350E1"/>
    <w:rsid w:val="006355A5"/>
    <w:rsid w:val="00636A47"/>
    <w:rsid w:val="00637E95"/>
    <w:rsid w:val="00637EFB"/>
    <w:rsid w:val="0064216D"/>
    <w:rsid w:val="0064233C"/>
    <w:rsid w:val="00642A96"/>
    <w:rsid w:val="00643482"/>
    <w:rsid w:val="00643D07"/>
    <w:rsid w:val="00643FD1"/>
    <w:rsid w:val="00644B51"/>
    <w:rsid w:val="006453AA"/>
    <w:rsid w:val="006477D2"/>
    <w:rsid w:val="006478FC"/>
    <w:rsid w:val="00652253"/>
    <w:rsid w:val="00652364"/>
    <w:rsid w:val="00652B1A"/>
    <w:rsid w:val="00653022"/>
    <w:rsid w:val="006532E3"/>
    <w:rsid w:val="00654D58"/>
    <w:rsid w:val="00655479"/>
    <w:rsid w:val="00655810"/>
    <w:rsid w:val="00655A89"/>
    <w:rsid w:val="00655BE4"/>
    <w:rsid w:val="00656B65"/>
    <w:rsid w:val="006576D7"/>
    <w:rsid w:val="006602C7"/>
    <w:rsid w:val="00660401"/>
    <w:rsid w:val="00661625"/>
    <w:rsid w:val="0066164A"/>
    <w:rsid w:val="006631A9"/>
    <w:rsid w:val="00663257"/>
    <w:rsid w:val="006648B6"/>
    <w:rsid w:val="00664F08"/>
    <w:rsid w:val="00665201"/>
    <w:rsid w:val="00665C55"/>
    <w:rsid w:val="00667A0A"/>
    <w:rsid w:val="00667E4C"/>
    <w:rsid w:val="006708C0"/>
    <w:rsid w:val="00671221"/>
    <w:rsid w:val="00672099"/>
    <w:rsid w:val="0067483E"/>
    <w:rsid w:val="006748E3"/>
    <w:rsid w:val="00674F78"/>
    <w:rsid w:val="00675D4F"/>
    <w:rsid w:val="00676036"/>
    <w:rsid w:val="0067619D"/>
    <w:rsid w:val="006768D8"/>
    <w:rsid w:val="006778FC"/>
    <w:rsid w:val="00681040"/>
    <w:rsid w:val="00683B82"/>
    <w:rsid w:val="006842FB"/>
    <w:rsid w:val="00685F86"/>
    <w:rsid w:val="006864FE"/>
    <w:rsid w:val="00687318"/>
    <w:rsid w:val="006876EB"/>
    <w:rsid w:val="00687E75"/>
    <w:rsid w:val="00690ACD"/>
    <w:rsid w:val="006917E1"/>
    <w:rsid w:val="00691C7B"/>
    <w:rsid w:val="00691E9D"/>
    <w:rsid w:val="00694111"/>
    <w:rsid w:val="00694845"/>
    <w:rsid w:val="00695BD5"/>
    <w:rsid w:val="0069637C"/>
    <w:rsid w:val="00696849"/>
    <w:rsid w:val="00696EC7"/>
    <w:rsid w:val="0069725F"/>
    <w:rsid w:val="006A1820"/>
    <w:rsid w:val="006A22FC"/>
    <w:rsid w:val="006A2714"/>
    <w:rsid w:val="006A294B"/>
    <w:rsid w:val="006A381D"/>
    <w:rsid w:val="006A3B33"/>
    <w:rsid w:val="006A40EB"/>
    <w:rsid w:val="006A564A"/>
    <w:rsid w:val="006A5AB0"/>
    <w:rsid w:val="006A68BB"/>
    <w:rsid w:val="006B0B33"/>
    <w:rsid w:val="006B0D3D"/>
    <w:rsid w:val="006B12A9"/>
    <w:rsid w:val="006B2769"/>
    <w:rsid w:val="006B448E"/>
    <w:rsid w:val="006B6C0F"/>
    <w:rsid w:val="006B6EF7"/>
    <w:rsid w:val="006B72FE"/>
    <w:rsid w:val="006C0A61"/>
    <w:rsid w:val="006C16FF"/>
    <w:rsid w:val="006C207C"/>
    <w:rsid w:val="006C21F7"/>
    <w:rsid w:val="006C22E4"/>
    <w:rsid w:val="006C3FBD"/>
    <w:rsid w:val="006C458D"/>
    <w:rsid w:val="006C48D5"/>
    <w:rsid w:val="006C5A99"/>
    <w:rsid w:val="006C61CF"/>
    <w:rsid w:val="006C759A"/>
    <w:rsid w:val="006C79E9"/>
    <w:rsid w:val="006D0AAF"/>
    <w:rsid w:val="006D0D40"/>
    <w:rsid w:val="006D121C"/>
    <w:rsid w:val="006D127C"/>
    <w:rsid w:val="006D28FA"/>
    <w:rsid w:val="006D2FAE"/>
    <w:rsid w:val="006D43C8"/>
    <w:rsid w:val="006D4E98"/>
    <w:rsid w:val="006D59A8"/>
    <w:rsid w:val="006D5C17"/>
    <w:rsid w:val="006D696D"/>
    <w:rsid w:val="006E02A4"/>
    <w:rsid w:val="006E1042"/>
    <w:rsid w:val="006E2575"/>
    <w:rsid w:val="006E2727"/>
    <w:rsid w:val="006E3E6F"/>
    <w:rsid w:val="006E4166"/>
    <w:rsid w:val="006E459F"/>
    <w:rsid w:val="006E488E"/>
    <w:rsid w:val="006E4C8E"/>
    <w:rsid w:val="006E5D20"/>
    <w:rsid w:val="006E6E87"/>
    <w:rsid w:val="006E6EE0"/>
    <w:rsid w:val="006F0C1E"/>
    <w:rsid w:val="006F20F9"/>
    <w:rsid w:val="006F24CB"/>
    <w:rsid w:val="006F2A40"/>
    <w:rsid w:val="006F32FE"/>
    <w:rsid w:val="006F34AA"/>
    <w:rsid w:val="006F34F5"/>
    <w:rsid w:val="006F422F"/>
    <w:rsid w:val="006F4998"/>
    <w:rsid w:val="006F4A1D"/>
    <w:rsid w:val="006F62DB"/>
    <w:rsid w:val="006F6445"/>
    <w:rsid w:val="007000E1"/>
    <w:rsid w:val="007006C3"/>
    <w:rsid w:val="007013BF"/>
    <w:rsid w:val="00702C85"/>
    <w:rsid w:val="0070345C"/>
    <w:rsid w:val="0070361A"/>
    <w:rsid w:val="00703A43"/>
    <w:rsid w:val="00703E54"/>
    <w:rsid w:val="00704462"/>
    <w:rsid w:val="00704845"/>
    <w:rsid w:val="007062F0"/>
    <w:rsid w:val="00706AE0"/>
    <w:rsid w:val="00707157"/>
    <w:rsid w:val="007104D6"/>
    <w:rsid w:val="00710565"/>
    <w:rsid w:val="007106A3"/>
    <w:rsid w:val="00710B57"/>
    <w:rsid w:val="00710D8D"/>
    <w:rsid w:val="007115C9"/>
    <w:rsid w:val="0071191E"/>
    <w:rsid w:val="00711A0F"/>
    <w:rsid w:val="00711A1B"/>
    <w:rsid w:val="00711EF3"/>
    <w:rsid w:val="00712DE3"/>
    <w:rsid w:val="00714222"/>
    <w:rsid w:val="00714DD1"/>
    <w:rsid w:val="007160AB"/>
    <w:rsid w:val="00716306"/>
    <w:rsid w:val="00716462"/>
    <w:rsid w:val="00716D6F"/>
    <w:rsid w:val="00716E9B"/>
    <w:rsid w:val="00717187"/>
    <w:rsid w:val="00717245"/>
    <w:rsid w:val="007202C9"/>
    <w:rsid w:val="00720787"/>
    <w:rsid w:val="00720A09"/>
    <w:rsid w:val="00721BA1"/>
    <w:rsid w:val="00721F90"/>
    <w:rsid w:val="00722404"/>
    <w:rsid w:val="0072253E"/>
    <w:rsid w:val="00723286"/>
    <w:rsid w:val="00723655"/>
    <w:rsid w:val="00723A22"/>
    <w:rsid w:val="00723F9D"/>
    <w:rsid w:val="00726C81"/>
    <w:rsid w:val="007274EA"/>
    <w:rsid w:val="0072783E"/>
    <w:rsid w:val="007305F0"/>
    <w:rsid w:val="00730A5A"/>
    <w:rsid w:val="00730C8A"/>
    <w:rsid w:val="0073137D"/>
    <w:rsid w:val="0073143C"/>
    <w:rsid w:val="0073232B"/>
    <w:rsid w:val="00732E2F"/>
    <w:rsid w:val="00733410"/>
    <w:rsid w:val="00733D24"/>
    <w:rsid w:val="00734A61"/>
    <w:rsid w:val="00734FA2"/>
    <w:rsid w:val="0073519F"/>
    <w:rsid w:val="0073695C"/>
    <w:rsid w:val="007376ED"/>
    <w:rsid w:val="00737FDA"/>
    <w:rsid w:val="007406A1"/>
    <w:rsid w:val="007429A2"/>
    <w:rsid w:val="00742B69"/>
    <w:rsid w:val="00742EE2"/>
    <w:rsid w:val="0074337C"/>
    <w:rsid w:val="00743648"/>
    <w:rsid w:val="00743DAB"/>
    <w:rsid w:val="00743FBB"/>
    <w:rsid w:val="0074492B"/>
    <w:rsid w:val="007456CB"/>
    <w:rsid w:val="00746937"/>
    <w:rsid w:val="007476C5"/>
    <w:rsid w:val="0075145C"/>
    <w:rsid w:val="007517B1"/>
    <w:rsid w:val="007517C6"/>
    <w:rsid w:val="00751DF2"/>
    <w:rsid w:val="0075277A"/>
    <w:rsid w:val="00753608"/>
    <w:rsid w:val="00753D53"/>
    <w:rsid w:val="0075480B"/>
    <w:rsid w:val="00755114"/>
    <w:rsid w:val="007551E8"/>
    <w:rsid w:val="007557D7"/>
    <w:rsid w:val="00756BF5"/>
    <w:rsid w:val="00757AB3"/>
    <w:rsid w:val="00757E7A"/>
    <w:rsid w:val="0076048C"/>
    <w:rsid w:val="00760663"/>
    <w:rsid w:val="007606A9"/>
    <w:rsid w:val="007607AB"/>
    <w:rsid w:val="00761604"/>
    <w:rsid w:val="007620F2"/>
    <w:rsid w:val="007626CA"/>
    <w:rsid w:val="0076281B"/>
    <w:rsid w:val="0076336E"/>
    <w:rsid w:val="007635DA"/>
    <w:rsid w:val="007635F5"/>
    <w:rsid w:val="0076380E"/>
    <w:rsid w:val="00765D46"/>
    <w:rsid w:val="00766A21"/>
    <w:rsid w:val="0076715F"/>
    <w:rsid w:val="00767EE8"/>
    <w:rsid w:val="007707AD"/>
    <w:rsid w:val="00771BCB"/>
    <w:rsid w:val="007726D0"/>
    <w:rsid w:val="00772DD3"/>
    <w:rsid w:val="00772ECB"/>
    <w:rsid w:val="00772F06"/>
    <w:rsid w:val="00773CD5"/>
    <w:rsid w:val="0077536F"/>
    <w:rsid w:val="007753BC"/>
    <w:rsid w:val="007762D0"/>
    <w:rsid w:val="00776D3B"/>
    <w:rsid w:val="00777568"/>
    <w:rsid w:val="00777E08"/>
    <w:rsid w:val="007804CC"/>
    <w:rsid w:val="00780B5E"/>
    <w:rsid w:val="00780B6B"/>
    <w:rsid w:val="00780CCA"/>
    <w:rsid w:val="007822E2"/>
    <w:rsid w:val="007836E4"/>
    <w:rsid w:val="007852E6"/>
    <w:rsid w:val="00785B66"/>
    <w:rsid w:val="00787430"/>
    <w:rsid w:val="00787494"/>
    <w:rsid w:val="007908E2"/>
    <w:rsid w:val="00791096"/>
    <w:rsid w:val="00792513"/>
    <w:rsid w:val="00793293"/>
    <w:rsid w:val="007934E9"/>
    <w:rsid w:val="00794410"/>
    <w:rsid w:val="00794AEC"/>
    <w:rsid w:val="0079515D"/>
    <w:rsid w:val="00796A3E"/>
    <w:rsid w:val="00796E28"/>
    <w:rsid w:val="00797683"/>
    <w:rsid w:val="0079793A"/>
    <w:rsid w:val="007A0E55"/>
    <w:rsid w:val="007A17B0"/>
    <w:rsid w:val="007A1D9A"/>
    <w:rsid w:val="007A1DA8"/>
    <w:rsid w:val="007A1E0F"/>
    <w:rsid w:val="007A2B7E"/>
    <w:rsid w:val="007A2F59"/>
    <w:rsid w:val="007A3025"/>
    <w:rsid w:val="007A5918"/>
    <w:rsid w:val="007A5CE7"/>
    <w:rsid w:val="007A70DF"/>
    <w:rsid w:val="007A7B6F"/>
    <w:rsid w:val="007A7C9C"/>
    <w:rsid w:val="007B0C03"/>
    <w:rsid w:val="007B1502"/>
    <w:rsid w:val="007B16AC"/>
    <w:rsid w:val="007B2ACE"/>
    <w:rsid w:val="007B2B63"/>
    <w:rsid w:val="007B2BC2"/>
    <w:rsid w:val="007B2D95"/>
    <w:rsid w:val="007B3BB0"/>
    <w:rsid w:val="007B4206"/>
    <w:rsid w:val="007B460A"/>
    <w:rsid w:val="007B6FBA"/>
    <w:rsid w:val="007B76C3"/>
    <w:rsid w:val="007B7FE3"/>
    <w:rsid w:val="007C0241"/>
    <w:rsid w:val="007C1924"/>
    <w:rsid w:val="007C2BCE"/>
    <w:rsid w:val="007C3065"/>
    <w:rsid w:val="007C42C3"/>
    <w:rsid w:val="007C48EB"/>
    <w:rsid w:val="007C627B"/>
    <w:rsid w:val="007C62A1"/>
    <w:rsid w:val="007C6A4D"/>
    <w:rsid w:val="007C731E"/>
    <w:rsid w:val="007C7ED0"/>
    <w:rsid w:val="007D0C94"/>
    <w:rsid w:val="007D1158"/>
    <w:rsid w:val="007D1284"/>
    <w:rsid w:val="007D1838"/>
    <w:rsid w:val="007D21EE"/>
    <w:rsid w:val="007D2880"/>
    <w:rsid w:val="007D2E67"/>
    <w:rsid w:val="007D3730"/>
    <w:rsid w:val="007D4B2A"/>
    <w:rsid w:val="007D4BE9"/>
    <w:rsid w:val="007D4C7F"/>
    <w:rsid w:val="007D6881"/>
    <w:rsid w:val="007D6A5B"/>
    <w:rsid w:val="007D7805"/>
    <w:rsid w:val="007D7BBD"/>
    <w:rsid w:val="007D7FFD"/>
    <w:rsid w:val="007E05D8"/>
    <w:rsid w:val="007E0965"/>
    <w:rsid w:val="007E177C"/>
    <w:rsid w:val="007E1F0A"/>
    <w:rsid w:val="007E2288"/>
    <w:rsid w:val="007E2BA6"/>
    <w:rsid w:val="007E2C64"/>
    <w:rsid w:val="007E2EE5"/>
    <w:rsid w:val="007E38FC"/>
    <w:rsid w:val="007E3B6F"/>
    <w:rsid w:val="007E5D7A"/>
    <w:rsid w:val="007E5F6D"/>
    <w:rsid w:val="007E6477"/>
    <w:rsid w:val="007E6483"/>
    <w:rsid w:val="007E7156"/>
    <w:rsid w:val="007E7B7B"/>
    <w:rsid w:val="007E7EA8"/>
    <w:rsid w:val="007F1598"/>
    <w:rsid w:val="007F1C37"/>
    <w:rsid w:val="007F276F"/>
    <w:rsid w:val="007F32E5"/>
    <w:rsid w:val="007F345B"/>
    <w:rsid w:val="007F35B2"/>
    <w:rsid w:val="007F3875"/>
    <w:rsid w:val="007F38FE"/>
    <w:rsid w:val="007F3F63"/>
    <w:rsid w:val="007F5C08"/>
    <w:rsid w:val="007F60CE"/>
    <w:rsid w:val="007F6282"/>
    <w:rsid w:val="007F7956"/>
    <w:rsid w:val="008006DB"/>
    <w:rsid w:val="00801080"/>
    <w:rsid w:val="00801134"/>
    <w:rsid w:val="00802724"/>
    <w:rsid w:val="0080404F"/>
    <w:rsid w:val="0080428A"/>
    <w:rsid w:val="00805C49"/>
    <w:rsid w:val="00805F05"/>
    <w:rsid w:val="0080635D"/>
    <w:rsid w:val="008064EA"/>
    <w:rsid w:val="00806876"/>
    <w:rsid w:val="008069D5"/>
    <w:rsid w:val="00806A53"/>
    <w:rsid w:val="0080704D"/>
    <w:rsid w:val="008077CC"/>
    <w:rsid w:val="00807B71"/>
    <w:rsid w:val="00807E75"/>
    <w:rsid w:val="008109FF"/>
    <w:rsid w:val="00811307"/>
    <w:rsid w:val="00811C30"/>
    <w:rsid w:val="00811F1C"/>
    <w:rsid w:val="00812008"/>
    <w:rsid w:val="00812DAD"/>
    <w:rsid w:val="00813429"/>
    <w:rsid w:val="00813DA2"/>
    <w:rsid w:val="00813FAA"/>
    <w:rsid w:val="008141B0"/>
    <w:rsid w:val="0081421A"/>
    <w:rsid w:val="00815132"/>
    <w:rsid w:val="00815E3F"/>
    <w:rsid w:val="00815F40"/>
    <w:rsid w:val="00816B69"/>
    <w:rsid w:val="00817B29"/>
    <w:rsid w:val="00821104"/>
    <w:rsid w:val="008214C5"/>
    <w:rsid w:val="00822659"/>
    <w:rsid w:val="00823542"/>
    <w:rsid w:val="00823636"/>
    <w:rsid w:val="008238B9"/>
    <w:rsid w:val="00823F81"/>
    <w:rsid w:val="00824061"/>
    <w:rsid w:val="008240A8"/>
    <w:rsid w:val="00824131"/>
    <w:rsid w:val="00824253"/>
    <w:rsid w:val="00824AC7"/>
    <w:rsid w:val="00824D1D"/>
    <w:rsid w:val="00825CAF"/>
    <w:rsid w:val="00825F7D"/>
    <w:rsid w:val="00826824"/>
    <w:rsid w:val="0082682D"/>
    <w:rsid w:val="0083016D"/>
    <w:rsid w:val="0083233C"/>
    <w:rsid w:val="0083247F"/>
    <w:rsid w:val="00833C4A"/>
    <w:rsid w:val="00834083"/>
    <w:rsid w:val="00834413"/>
    <w:rsid w:val="00834A20"/>
    <w:rsid w:val="00834C43"/>
    <w:rsid w:val="00835264"/>
    <w:rsid w:val="00835930"/>
    <w:rsid w:val="00837424"/>
    <w:rsid w:val="008376AC"/>
    <w:rsid w:val="0084002B"/>
    <w:rsid w:val="0084018C"/>
    <w:rsid w:val="00840E9B"/>
    <w:rsid w:val="0084133F"/>
    <w:rsid w:val="00841C8F"/>
    <w:rsid w:val="0084200E"/>
    <w:rsid w:val="008422DD"/>
    <w:rsid w:val="00842C0E"/>
    <w:rsid w:val="00843D5B"/>
    <w:rsid w:val="00844492"/>
    <w:rsid w:val="00844C40"/>
    <w:rsid w:val="00844F9A"/>
    <w:rsid w:val="008452E2"/>
    <w:rsid w:val="008456A2"/>
    <w:rsid w:val="008458BF"/>
    <w:rsid w:val="00845DEF"/>
    <w:rsid w:val="00846C06"/>
    <w:rsid w:val="0084753A"/>
    <w:rsid w:val="00847FDE"/>
    <w:rsid w:val="008505F6"/>
    <w:rsid w:val="00851073"/>
    <w:rsid w:val="008515EF"/>
    <w:rsid w:val="008516F4"/>
    <w:rsid w:val="00852700"/>
    <w:rsid w:val="00852832"/>
    <w:rsid w:val="00852CA1"/>
    <w:rsid w:val="00853797"/>
    <w:rsid w:val="00853A01"/>
    <w:rsid w:val="0085447A"/>
    <w:rsid w:val="00854A33"/>
    <w:rsid w:val="00854B36"/>
    <w:rsid w:val="00854BA2"/>
    <w:rsid w:val="00855916"/>
    <w:rsid w:val="00855ECD"/>
    <w:rsid w:val="00856676"/>
    <w:rsid w:val="008613A9"/>
    <w:rsid w:val="00862990"/>
    <w:rsid w:val="00862D8E"/>
    <w:rsid w:val="00863411"/>
    <w:rsid w:val="00863DF6"/>
    <w:rsid w:val="00864570"/>
    <w:rsid w:val="00864ED9"/>
    <w:rsid w:val="00867799"/>
    <w:rsid w:val="008716C4"/>
    <w:rsid w:val="00871B35"/>
    <w:rsid w:val="00872114"/>
    <w:rsid w:val="00873715"/>
    <w:rsid w:val="00873E22"/>
    <w:rsid w:val="00873FC1"/>
    <w:rsid w:val="00873FF0"/>
    <w:rsid w:val="00874788"/>
    <w:rsid w:val="00875265"/>
    <w:rsid w:val="00877452"/>
    <w:rsid w:val="008774F3"/>
    <w:rsid w:val="00880FFA"/>
    <w:rsid w:val="008822E7"/>
    <w:rsid w:val="0088261F"/>
    <w:rsid w:val="0088282B"/>
    <w:rsid w:val="00882A5C"/>
    <w:rsid w:val="00882B54"/>
    <w:rsid w:val="00883151"/>
    <w:rsid w:val="0088398F"/>
    <w:rsid w:val="0088451E"/>
    <w:rsid w:val="00885C9E"/>
    <w:rsid w:val="00885E3A"/>
    <w:rsid w:val="00886171"/>
    <w:rsid w:val="00886215"/>
    <w:rsid w:val="0088654D"/>
    <w:rsid w:val="00886B2E"/>
    <w:rsid w:val="00887E06"/>
    <w:rsid w:val="0089039D"/>
    <w:rsid w:val="00890657"/>
    <w:rsid w:val="00890C9D"/>
    <w:rsid w:val="00891316"/>
    <w:rsid w:val="00891E62"/>
    <w:rsid w:val="00892FE5"/>
    <w:rsid w:val="00893D88"/>
    <w:rsid w:val="00893E02"/>
    <w:rsid w:val="008957D2"/>
    <w:rsid w:val="008958EF"/>
    <w:rsid w:val="00895E24"/>
    <w:rsid w:val="008974DB"/>
    <w:rsid w:val="00897558"/>
    <w:rsid w:val="008A0E45"/>
    <w:rsid w:val="008A2AB7"/>
    <w:rsid w:val="008A2BF7"/>
    <w:rsid w:val="008A2F6A"/>
    <w:rsid w:val="008A3B0B"/>
    <w:rsid w:val="008A49DD"/>
    <w:rsid w:val="008A4B7A"/>
    <w:rsid w:val="008A4E35"/>
    <w:rsid w:val="008A55F7"/>
    <w:rsid w:val="008A5BA9"/>
    <w:rsid w:val="008A5D4B"/>
    <w:rsid w:val="008A6587"/>
    <w:rsid w:val="008A7176"/>
    <w:rsid w:val="008A7D9C"/>
    <w:rsid w:val="008A7EAD"/>
    <w:rsid w:val="008A7FB8"/>
    <w:rsid w:val="008B0811"/>
    <w:rsid w:val="008B13C3"/>
    <w:rsid w:val="008B16E5"/>
    <w:rsid w:val="008B1878"/>
    <w:rsid w:val="008B305E"/>
    <w:rsid w:val="008B3962"/>
    <w:rsid w:val="008B4508"/>
    <w:rsid w:val="008B5356"/>
    <w:rsid w:val="008B5E90"/>
    <w:rsid w:val="008B63BB"/>
    <w:rsid w:val="008B692E"/>
    <w:rsid w:val="008B7303"/>
    <w:rsid w:val="008B791C"/>
    <w:rsid w:val="008C0576"/>
    <w:rsid w:val="008C0CF6"/>
    <w:rsid w:val="008C204C"/>
    <w:rsid w:val="008C2C2B"/>
    <w:rsid w:val="008C4165"/>
    <w:rsid w:val="008C54E1"/>
    <w:rsid w:val="008C5C22"/>
    <w:rsid w:val="008C6522"/>
    <w:rsid w:val="008C7B6D"/>
    <w:rsid w:val="008D07E8"/>
    <w:rsid w:val="008D0904"/>
    <w:rsid w:val="008D12D6"/>
    <w:rsid w:val="008D2367"/>
    <w:rsid w:val="008D2AAD"/>
    <w:rsid w:val="008D437F"/>
    <w:rsid w:val="008D43FC"/>
    <w:rsid w:val="008D4DF1"/>
    <w:rsid w:val="008D6E67"/>
    <w:rsid w:val="008E086F"/>
    <w:rsid w:val="008E1CFF"/>
    <w:rsid w:val="008E24BB"/>
    <w:rsid w:val="008E252F"/>
    <w:rsid w:val="008E26E5"/>
    <w:rsid w:val="008E2D75"/>
    <w:rsid w:val="008E3095"/>
    <w:rsid w:val="008E37BD"/>
    <w:rsid w:val="008E5187"/>
    <w:rsid w:val="008E5A95"/>
    <w:rsid w:val="008E5D9E"/>
    <w:rsid w:val="008E6971"/>
    <w:rsid w:val="008E7282"/>
    <w:rsid w:val="008E7910"/>
    <w:rsid w:val="008F0A5C"/>
    <w:rsid w:val="008F0FDA"/>
    <w:rsid w:val="008F1612"/>
    <w:rsid w:val="008F1BD5"/>
    <w:rsid w:val="008F2959"/>
    <w:rsid w:val="008F3F84"/>
    <w:rsid w:val="008F4115"/>
    <w:rsid w:val="008F42FB"/>
    <w:rsid w:val="008F4E0D"/>
    <w:rsid w:val="008F50B0"/>
    <w:rsid w:val="008F62A3"/>
    <w:rsid w:val="008F654F"/>
    <w:rsid w:val="008F675F"/>
    <w:rsid w:val="008F6DBD"/>
    <w:rsid w:val="00900D84"/>
    <w:rsid w:val="00901363"/>
    <w:rsid w:val="00901A6B"/>
    <w:rsid w:val="00901D22"/>
    <w:rsid w:val="00902148"/>
    <w:rsid w:val="00902553"/>
    <w:rsid w:val="00903164"/>
    <w:rsid w:val="0090359D"/>
    <w:rsid w:val="0090383F"/>
    <w:rsid w:val="009049BC"/>
    <w:rsid w:val="0090501A"/>
    <w:rsid w:val="0090558C"/>
    <w:rsid w:val="009068D0"/>
    <w:rsid w:val="00906C3E"/>
    <w:rsid w:val="00907E53"/>
    <w:rsid w:val="00910926"/>
    <w:rsid w:val="00911346"/>
    <w:rsid w:val="009117CC"/>
    <w:rsid w:val="00911CAF"/>
    <w:rsid w:val="00911D2E"/>
    <w:rsid w:val="00912140"/>
    <w:rsid w:val="0091396B"/>
    <w:rsid w:val="00913B7F"/>
    <w:rsid w:val="00913C78"/>
    <w:rsid w:val="00914402"/>
    <w:rsid w:val="00914A26"/>
    <w:rsid w:val="00914D9D"/>
    <w:rsid w:val="009154AC"/>
    <w:rsid w:val="009162FB"/>
    <w:rsid w:val="0091637D"/>
    <w:rsid w:val="00916FD5"/>
    <w:rsid w:val="009173C6"/>
    <w:rsid w:val="00921D60"/>
    <w:rsid w:val="009225B1"/>
    <w:rsid w:val="0092274E"/>
    <w:rsid w:val="0092337D"/>
    <w:rsid w:val="0092347C"/>
    <w:rsid w:val="00923A0D"/>
    <w:rsid w:val="00924369"/>
    <w:rsid w:val="00924455"/>
    <w:rsid w:val="009249AB"/>
    <w:rsid w:val="00924C50"/>
    <w:rsid w:val="0092554E"/>
    <w:rsid w:val="00925C73"/>
    <w:rsid w:val="00925D82"/>
    <w:rsid w:val="0093137F"/>
    <w:rsid w:val="009315A0"/>
    <w:rsid w:val="00931E7B"/>
    <w:rsid w:val="009321B9"/>
    <w:rsid w:val="00932325"/>
    <w:rsid w:val="00932B6D"/>
    <w:rsid w:val="0093426F"/>
    <w:rsid w:val="00935CD1"/>
    <w:rsid w:val="00936453"/>
    <w:rsid w:val="009369B6"/>
    <w:rsid w:val="0093710F"/>
    <w:rsid w:val="00940114"/>
    <w:rsid w:val="00940309"/>
    <w:rsid w:val="00940CFC"/>
    <w:rsid w:val="00941121"/>
    <w:rsid w:val="00942106"/>
    <w:rsid w:val="00943479"/>
    <w:rsid w:val="00943551"/>
    <w:rsid w:val="009435DE"/>
    <w:rsid w:val="00943B2E"/>
    <w:rsid w:val="00943DE0"/>
    <w:rsid w:val="009440B2"/>
    <w:rsid w:val="00944EF6"/>
    <w:rsid w:val="00945A20"/>
    <w:rsid w:val="00945E9B"/>
    <w:rsid w:val="00946221"/>
    <w:rsid w:val="00947579"/>
    <w:rsid w:val="009475F0"/>
    <w:rsid w:val="0095196F"/>
    <w:rsid w:val="00951C83"/>
    <w:rsid w:val="00953034"/>
    <w:rsid w:val="0095349D"/>
    <w:rsid w:val="00954287"/>
    <w:rsid w:val="00954956"/>
    <w:rsid w:val="00955993"/>
    <w:rsid w:val="00955E2A"/>
    <w:rsid w:val="0095608C"/>
    <w:rsid w:val="00956331"/>
    <w:rsid w:val="00956E92"/>
    <w:rsid w:val="00957B5F"/>
    <w:rsid w:val="0096117F"/>
    <w:rsid w:val="00962793"/>
    <w:rsid w:val="009642AA"/>
    <w:rsid w:val="0096541A"/>
    <w:rsid w:val="00967957"/>
    <w:rsid w:val="009704D7"/>
    <w:rsid w:val="00970B5D"/>
    <w:rsid w:val="00972E1E"/>
    <w:rsid w:val="0097373C"/>
    <w:rsid w:val="00974BE4"/>
    <w:rsid w:val="00974C0B"/>
    <w:rsid w:val="00974EC8"/>
    <w:rsid w:val="0097518B"/>
    <w:rsid w:val="00975612"/>
    <w:rsid w:val="00975F96"/>
    <w:rsid w:val="009760BB"/>
    <w:rsid w:val="009769A6"/>
    <w:rsid w:val="0098015B"/>
    <w:rsid w:val="0098076B"/>
    <w:rsid w:val="009807C1"/>
    <w:rsid w:val="00980FC9"/>
    <w:rsid w:val="00984DF6"/>
    <w:rsid w:val="00985182"/>
    <w:rsid w:val="0098527F"/>
    <w:rsid w:val="009856B6"/>
    <w:rsid w:val="009858B9"/>
    <w:rsid w:val="00985EA4"/>
    <w:rsid w:val="00987AF9"/>
    <w:rsid w:val="00990E18"/>
    <w:rsid w:val="00991393"/>
    <w:rsid w:val="00991CD3"/>
    <w:rsid w:val="00993455"/>
    <w:rsid w:val="009942DB"/>
    <w:rsid w:val="009952B5"/>
    <w:rsid w:val="0099548B"/>
    <w:rsid w:val="009956AF"/>
    <w:rsid w:val="00995CB2"/>
    <w:rsid w:val="00995DBB"/>
    <w:rsid w:val="009970D3"/>
    <w:rsid w:val="009A1612"/>
    <w:rsid w:val="009A2A05"/>
    <w:rsid w:val="009A33DB"/>
    <w:rsid w:val="009A41BE"/>
    <w:rsid w:val="009A4D40"/>
    <w:rsid w:val="009A61D1"/>
    <w:rsid w:val="009A64A5"/>
    <w:rsid w:val="009A6824"/>
    <w:rsid w:val="009A68EF"/>
    <w:rsid w:val="009A6AFC"/>
    <w:rsid w:val="009A6CC4"/>
    <w:rsid w:val="009A7852"/>
    <w:rsid w:val="009A7C9F"/>
    <w:rsid w:val="009B0507"/>
    <w:rsid w:val="009B1C61"/>
    <w:rsid w:val="009B1C75"/>
    <w:rsid w:val="009B22A4"/>
    <w:rsid w:val="009B25C8"/>
    <w:rsid w:val="009B314F"/>
    <w:rsid w:val="009B452D"/>
    <w:rsid w:val="009B6082"/>
    <w:rsid w:val="009B6731"/>
    <w:rsid w:val="009B7B66"/>
    <w:rsid w:val="009C0AB9"/>
    <w:rsid w:val="009C113E"/>
    <w:rsid w:val="009C12B3"/>
    <w:rsid w:val="009C3213"/>
    <w:rsid w:val="009C344E"/>
    <w:rsid w:val="009C3A7D"/>
    <w:rsid w:val="009C47F0"/>
    <w:rsid w:val="009C4F75"/>
    <w:rsid w:val="009C5664"/>
    <w:rsid w:val="009C6BF7"/>
    <w:rsid w:val="009C71A7"/>
    <w:rsid w:val="009D067F"/>
    <w:rsid w:val="009D167D"/>
    <w:rsid w:val="009D1BD2"/>
    <w:rsid w:val="009D34A4"/>
    <w:rsid w:val="009D3C6E"/>
    <w:rsid w:val="009D4A19"/>
    <w:rsid w:val="009D4B7A"/>
    <w:rsid w:val="009D4C6D"/>
    <w:rsid w:val="009D538C"/>
    <w:rsid w:val="009D5834"/>
    <w:rsid w:val="009D6AEE"/>
    <w:rsid w:val="009E0E19"/>
    <w:rsid w:val="009E16EA"/>
    <w:rsid w:val="009E1E52"/>
    <w:rsid w:val="009E1F22"/>
    <w:rsid w:val="009E288E"/>
    <w:rsid w:val="009E35CB"/>
    <w:rsid w:val="009E51E1"/>
    <w:rsid w:val="009E5780"/>
    <w:rsid w:val="009E5B4E"/>
    <w:rsid w:val="009E6748"/>
    <w:rsid w:val="009E7573"/>
    <w:rsid w:val="009E7657"/>
    <w:rsid w:val="009E7D1B"/>
    <w:rsid w:val="009F0587"/>
    <w:rsid w:val="009F09B7"/>
    <w:rsid w:val="009F0CF5"/>
    <w:rsid w:val="009F0DC8"/>
    <w:rsid w:val="009F0E8E"/>
    <w:rsid w:val="009F22D0"/>
    <w:rsid w:val="009F2B01"/>
    <w:rsid w:val="009F360B"/>
    <w:rsid w:val="009F40A4"/>
    <w:rsid w:val="009F4108"/>
    <w:rsid w:val="009F5BC5"/>
    <w:rsid w:val="009F5DAC"/>
    <w:rsid w:val="009F5F16"/>
    <w:rsid w:val="009F667D"/>
    <w:rsid w:val="009F6F0E"/>
    <w:rsid w:val="009F7BF1"/>
    <w:rsid w:val="009F7C36"/>
    <w:rsid w:val="00A00674"/>
    <w:rsid w:val="00A00C54"/>
    <w:rsid w:val="00A02788"/>
    <w:rsid w:val="00A02B9F"/>
    <w:rsid w:val="00A04258"/>
    <w:rsid w:val="00A05149"/>
    <w:rsid w:val="00A05DA4"/>
    <w:rsid w:val="00A05F39"/>
    <w:rsid w:val="00A061E7"/>
    <w:rsid w:val="00A07778"/>
    <w:rsid w:val="00A10324"/>
    <w:rsid w:val="00A1162F"/>
    <w:rsid w:val="00A125C6"/>
    <w:rsid w:val="00A12E11"/>
    <w:rsid w:val="00A132DF"/>
    <w:rsid w:val="00A133D0"/>
    <w:rsid w:val="00A14132"/>
    <w:rsid w:val="00A1436A"/>
    <w:rsid w:val="00A148E1"/>
    <w:rsid w:val="00A149F4"/>
    <w:rsid w:val="00A16704"/>
    <w:rsid w:val="00A176D4"/>
    <w:rsid w:val="00A17A73"/>
    <w:rsid w:val="00A200E1"/>
    <w:rsid w:val="00A208E0"/>
    <w:rsid w:val="00A20C16"/>
    <w:rsid w:val="00A21B24"/>
    <w:rsid w:val="00A22720"/>
    <w:rsid w:val="00A22980"/>
    <w:rsid w:val="00A2329E"/>
    <w:rsid w:val="00A24080"/>
    <w:rsid w:val="00A2408F"/>
    <w:rsid w:val="00A24168"/>
    <w:rsid w:val="00A245F6"/>
    <w:rsid w:val="00A2480C"/>
    <w:rsid w:val="00A25914"/>
    <w:rsid w:val="00A262A8"/>
    <w:rsid w:val="00A26E17"/>
    <w:rsid w:val="00A27B40"/>
    <w:rsid w:val="00A30550"/>
    <w:rsid w:val="00A30D45"/>
    <w:rsid w:val="00A31274"/>
    <w:rsid w:val="00A314DF"/>
    <w:rsid w:val="00A31A0E"/>
    <w:rsid w:val="00A3202F"/>
    <w:rsid w:val="00A32609"/>
    <w:rsid w:val="00A32A97"/>
    <w:rsid w:val="00A32CC0"/>
    <w:rsid w:val="00A33B90"/>
    <w:rsid w:val="00A33EF5"/>
    <w:rsid w:val="00A35C8F"/>
    <w:rsid w:val="00A37423"/>
    <w:rsid w:val="00A3760E"/>
    <w:rsid w:val="00A37787"/>
    <w:rsid w:val="00A37A23"/>
    <w:rsid w:val="00A37A8B"/>
    <w:rsid w:val="00A406C1"/>
    <w:rsid w:val="00A40DB7"/>
    <w:rsid w:val="00A4164F"/>
    <w:rsid w:val="00A41AFB"/>
    <w:rsid w:val="00A4237C"/>
    <w:rsid w:val="00A42648"/>
    <w:rsid w:val="00A42764"/>
    <w:rsid w:val="00A42FDA"/>
    <w:rsid w:val="00A43286"/>
    <w:rsid w:val="00A43546"/>
    <w:rsid w:val="00A438D1"/>
    <w:rsid w:val="00A43D16"/>
    <w:rsid w:val="00A44F25"/>
    <w:rsid w:val="00A450AD"/>
    <w:rsid w:val="00A4525F"/>
    <w:rsid w:val="00A45510"/>
    <w:rsid w:val="00A4555F"/>
    <w:rsid w:val="00A45A8E"/>
    <w:rsid w:val="00A46007"/>
    <w:rsid w:val="00A463BE"/>
    <w:rsid w:val="00A46BA1"/>
    <w:rsid w:val="00A5005A"/>
    <w:rsid w:val="00A50577"/>
    <w:rsid w:val="00A5468C"/>
    <w:rsid w:val="00A54E38"/>
    <w:rsid w:val="00A54F2C"/>
    <w:rsid w:val="00A553C0"/>
    <w:rsid w:val="00A55D17"/>
    <w:rsid w:val="00A56AAB"/>
    <w:rsid w:val="00A574E0"/>
    <w:rsid w:val="00A578D4"/>
    <w:rsid w:val="00A57EE9"/>
    <w:rsid w:val="00A60230"/>
    <w:rsid w:val="00A60C84"/>
    <w:rsid w:val="00A610E4"/>
    <w:rsid w:val="00A62731"/>
    <w:rsid w:val="00A63180"/>
    <w:rsid w:val="00A63BAD"/>
    <w:rsid w:val="00A63D58"/>
    <w:rsid w:val="00A63F5C"/>
    <w:rsid w:val="00A64770"/>
    <w:rsid w:val="00A64E2D"/>
    <w:rsid w:val="00A65179"/>
    <w:rsid w:val="00A651A2"/>
    <w:rsid w:val="00A652DA"/>
    <w:rsid w:val="00A6550A"/>
    <w:rsid w:val="00A655B1"/>
    <w:rsid w:val="00A6607A"/>
    <w:rsid w:val="00A66518"/>
    <w:rsid w:val="00A67218"/>
    <w:rsid w:val="00A6798E"/>
    <w:rsid w:val="00A67B4E"/>
    <w:rsid w:val="00A71B18"/>
    <w:rsid w:val="00A71E26"/>
    <w:rsid w:val="00A73800"/>
    <w:rsid w:val="00A73BBD"/>
    <w:rsid w:val="00A73F10"/>
    <w:rsid w:val="00A73F90"/>
    <w:rsid w:val="00A76519"/>
    <w:rsid w:val="00A7678D"/>
    <w:rsid w:val="00A773F1"/>
    <w:rsid w:val="00A776BE"/>
    <w:rsid w:val="00A77F3C"/>
    <w:rsid w:val="00A80931"/>
    <w:rsid w:val="00A8160A"/>
    <w:rsid w:val="00A8226A"/>
    <w:rsid w:val="00A82379"/>
    <w:rsid w:val="00A82603"/>
    <w:rsid w:val="00A82638"/>
    <w:rsid w:val="00A833AA"/>
    <w:rsid w:val="00A835FA"/>
    <w:rsid w:val="00A83CBB"/>
    <w:rsid w:val="00A85D36"/>
    <w:rsid w:val="00A86612"/>
    <w:rsid w:val="00A8692E"/>
    <w:rsid w:val="00A872E7"/>
    <w:rsid w:val="00A90231"/>
    <w:rsid w:val="00A94367"/>
    <w:rsid w:val="00A94901"/>
    <w:rsid w:val="00A9533C"/>
    <w:rsid w:val="00A953E6"/>
    <w:rsid w:val="00A96213"/>
    <w:rsid w:val="00A9688B"/>
    <w:rsid w:val="00A96D0B"/>
    <w:rsid w:val="00A96DC3"/>
    <w:rsid w:val="00A96DF7"/>
    <w:rsid w:val="00A97066"/>
    <w:rsid w:val="00AA07F1"/>
    <w:rsid w:val="00AA0C59"/>
    <w:rsid w:val="00AA1769"/>
    <w:rsid w:val="00AA1782"/>
    <w:rsid w:val="00AA2732"/>
    <w:rsid w:val="00AA2759"/>
    <w:rsid w:val="00AA2946"/>
    <w:rsid w:val="00AA2BFF"/>
    <w:rsid w:val="00AA2F2F"/>
    <w:rsid w:val="00AA2FD8"/>
    <w:rsid w:val="00AA3B9C"/>
    <w:rsid w:val="00AA5DF1"/>
    <w:rsid w:val="00AA6EC2"/>
    <w:rsid w:val="00AA714B"/>
    <w:rsid w:val="00AA739E"/>
    <w:rsid w:val="00AA7482"/>
    <w:rsid w:val="00AA757B"/>
    <w:rsid w:val="00AB0CE2"/>
    <w:rsid w:val="00AB3446"/>
    <w:rsid w:val="00AB35BB"/>
    <w:rsid w:val="00AB3ABC"/>
    <w:rsid w:val="00AB3B81"/>
    <w:rsid w:val="00AB415E"/>
    <w:rsid w:val="00AB4371"/>
    <w:rsid w:val="00AB4B85"/>
    <w:rsid w:val="00AB4D1C"/>
    <w:rsid w:val="00AB6636"/>
    <w:rsid w:val="00AB6F51"/>
    <w:rsid w:val="00AB76CE"/>
    <w:rsid w:val="00AB7A6D"/>
    <w:rsid w:val="00AB7C9B"/>
    <w:rsid w:val="00AC04EB"/>
    <w:rsid w:val="00AC100A"/>
    <w:rsid w:val="00AC186F"/>
    <w:rsid w:val="00AC1D69"/>
    <w:rsid w:val="00AC1FCE"/>
    <w:rsid w:val="00AC273C"/>
    <w:rsid w:val="00AC2A51"/>
    <w:rsid w:val="00AC3792"/>
    <w:rsid w:val="00AC3FC8"/>
    <w:rsid w:val="00AC4710"/>
    <w:rsid w:val="00AC546F"/>
    <w:rsid w:val="00AC55D6"/>
    <w:rsid w:val="00AC5E21"/>
    <w:rsid w:val="00AC691D"/>
    <w:rsid w:val="00AC69F1"/>
    <w:rsid w:val="00AC7B0D"/>
    <w:rsid w:val="00AC7C25"/>
    <w:rsid w:val="00AD0513"/>
    <w:rsid w:val="00AD069A"/>
    <w:rsid w:val="00AD1A9F"/>
    <w:rsid w:val="00AD1DC7"/>
    <w:rsid w:val="00AD21A5"/>
    <w:rsid w:val="00AD3147"/>
    <w:rsid w:val="00AD4596"/>
    <w:rsid w:val="00AD4714"/>
    <w:rsid w:val="00AD4E60"/>
    <w:rsid w:val="00AD4E81"/>
    <w:rsid w:val="00AD510C"/>
    <w:rsid w:val="00AD51A4"/>
    <w:rsid w:val="00AD57F0"/>
    <w:rsid w:val="00AD5D07"/>
    <w:rsid w:val="00AD70F8"/>
    <w:rsid w:val="00AD7137"/>
    <w:rsid w:val="00AE0068"/>
    <w:rsid w:val="00AE0F66"/>
    <w:rsid w:val="00AE174F"/>
    <w:rsid w:val="00AE2B36"/>
    <w:rsid w:val="00AE35A2"/>
    <w:rsid w:val="00AE3EA3"/>
    <w:rsid w:val="00AE6C19"/>
    <w:rsid w:val="00AE78D8"/>
    <w:rsid w:val="00AE7D6B"/>
    <w:rsid w:val="00AF0865"/>
    <w:rsid w:val="00AF1029"/>
    <w:rsid w:val="00AF55A7"/>
    <w:rsid w:val="00AF55DD"/>
    <w:rsid w:val="00AF56B2"/>
    <w:rsid w:val="00AF5735"/>
    <w:rsid w:val="00AF58A6"/>
    <w:rsid w:val="00AF71E2"/>
    <w:rsid w:val="00AF7887"/>
    <w:rsid w:val="00AF7CDD"/>
    <w:rsid w:val="00B00612"/>
    <w:rsid w:val="00B00DF2"/>
    <w:rsid w:val="00B01357"/>
    <w:rsid w:val="00B01615"/>
    <w:rsid w:val="00B0194F"/>
    <w:rsid w:val="00B01F54"/>
    <w:rsid w:val="00B021EA"/>
    <w:rsid w:val="00B02EE3"/>
    <w:rsid w:val="00B03553"/>
    <w:rsid w:val="00B03D5F"/>
    <w:rsid w:val="00B04792"/>
    <w:rsid w:val="00B04E45"/>
    <w:rsid w:val="00B050EF"/>
    <w:rsid w:val="00B05439"/>
    <w:rsid w:val="00B05E6D"/>
    <w:rsid w:val="00B06085"/>
    <w:rsid w:val="00B07715"/>
    <w:rsid w:val="00B10B61"/>
    <w:rsid w:val="00B10E28"/>
    <w:rsid w:val="00B11015"/>
    <w:rsid w:val="00B11737"/>
    <w:rsid w:val="00B14080"/>
    <w:rsid w:val="00B15015"/>
    <w:rsid w:val="00B15B68"/>
    <w:rsid w:val="00B15C15"/>
    <w:rsid w:val="00B17140"/>
    <w:rsid w:val="00B1715C"/>
    <w:rsid w:val="00B20D0D"/>
    <w:rsid w:val="00B21099"/>
    <w:rsid w:val="00B210CE"/>
    <w:rsid w:val="00B215D4"/>
    <w:rsid w:val="00B23F66"/>
    <w:rsid w:val="00B241CC"/>
    <w:rsid w:val="00B24821"/>
    <w:rsid w:val="00B24906"/>
    <w:rsid w:val="00B25324"/>
    <w:rsid w:val="00B25576"/>
    <w:rsid w:val="00B25ED5"/>
    <w:rsid w:val="00B266AC"/>
    <w:rsid w:val="00B2672C"/>
    <w:rsid w:val="00B26BFD"/>
    <w:rsid w:val="00B276DB"/>
    <w:rsid w:val="00B27A9C"/>
    <w:rsid w:val="00B27DE2"/>
    <w:rsid w:val="00B30F11"/>
    <w:rsid w:val="00B311E7"/>
    <w:rsid w:val="00B31D9B"/>
    <w:rsid w:val="00B324FB"/>
    <w:rsid w:val="00B32BE4"/>
    <w:rsid w:val="00B32ED3"/>
    <w:rsid w:val="00B33192"/>
    <w:rsid w:val="00B33FBD"/>
    <w:rsid w:val="00B34EB5"/>
    <w:rsid w:val="00B34F92"/>
    <w:rsid w:val="00B35EBC"/>
    <w:rsid w:val="00B36206"/>
    <w:rsid w:val="00B3670B"/>
    <w:rsid w:val="00B3789D"/>
    <w:rsid w:val="00B401DA"/>
    <w:rsid w:val="00B41CDA"/>
    <w:rsid w:val="00B41F3E"/>
    <w:rsid w:val="00B441BB"/>
    <w:rsid w:val="00B443D8"/>
    <w:rsid w:val="00B4477E"/>
    <w:rsid w:val="00B44FD2"/>
    <w:rsid w:val="00B453DB"/>
    <w:rsid w:val="00B45494"/>
    <w:rsid w:val="00B460F9"/>
    <w:rsid w:val="00B4696D"/>
    <w:rsid w:val="00B47F85"/>
    <w:rsid w:val="00B47F95"/>
    <w:rsid w:val="00B50481"/>
    <w:rsid w:val="00B5100D"/>
    <w:rsid w:val="00B52D21"/>
    <w:rsid w:val="00B5483A"/>
    <w:rsid w:val="00B552B6"/>
    <w:rsid w:val="00B558BE"/>
    <w:rsid w:val="00B55C32"/>
    <w:rsid w:val="00B56D01"/>
    <w:rsid w:val="00B571B7"/>
    <w:rsid w:val="00B57331"/>
    <w:rsid w:val="00B5790F"/>
    <w:rsid w:val="00B607AD"/>
    <w:rsid w:val="00B6206C"/>
    <w:rsid w:val="00B6250F"/>
    <w:rsid w:val="00B635C6"/>
    <w:rsid w:val="00B639F9"/>
    <w:rsid w:val="00B63A84"/>
    <w:rsid w:val="00B63FB2"/>
    <w:rsid w:val="00B65D9C"/>
    <w:rsid w:val="00B661A5"/>
    <w:rsid w:val="00B66222"/>
    <w:rsid w:val="00B6650A"/>
    <w:rsid w:val="00B66B6B"/>
    <w:rsid w:val="00B67321"/>
    <w:rsid w:val="00B67F4F"/>
    <w:rsid w:val="00B701A5"/>
    <w:rsid w:val="00B7049A"/>
    <w:rsid w:val="00B70744"/>
    <w:rsid w:val="00B70D74"/>
    <w:rsid w:val="00B71507"/>
    <w:rsid w:val="00B71DD4"/>
    <w:rsid w:val="00B73658"/>
    <w:rsid w:val="00B73CBB"/>
    <w:rsid w:val="00B74102"/>
    <w:rsid w:val="00B74FD7"/>
    <w:rsid w:val="00B75E8B"/>
    <w:rsid w:val="00B76857"/>
    <w:rsid w:val="00B777F2"/>
    <w:rsid w:val="00B77E0F"/>
    <w:rsid w:val="00B77F95"/>
    <w:rsid w:val="00B812D1"/>
    <w:rsid w:val="00B822D5"/>
    <w:rsid w:val="00B82B20"/>
    <w:rsid w:val="00B82FEA"/>
    <w:rsid w:val="00B83160"/>
    <w:rsid w:val="00B83963"/>
    <w:rsid w:val="00B8711E"/>
    <w:rsid w:val="00B9032D"/>
    <w:rsid w:val="00B903E0"/>
    <w:rsid w:val="00B904EF"/>
    <w:rsid w:val="00B9098A"/>
    <w:rsid w:val="00B9180D"/>
    <w:rsid w:val="00B9217E"/>
    <w:rsid w:val="00B92745"/>
    <w:rsid w:val="00B92D75"/>
    <w:rsid w:val="00B93DEF"/>
    <w:rsid w:val="00B95366"/>
    <w:rsid w:val="00B95670"/>
    <w:rsid w:val="00B9578B"/>
    <w:rsid w:val="00B95C53"/>
    <w:rsid w:val="00B95C5D"/>
    <w:rsid w:val="00B9686C"/>
    <w:rsid w:val="00B96D7E"/>
    <w:rsid w:val="00B97121"/>
    <w:rsid w:val="00B97D60"/>
    <w:rsid w:val="00BA08BE"/>
    <w:rsid w:val="00BA095D"/>
    <w:rsid w:val="00BA0D04"/>
    <w:rsid w:val="00BA17A3"/>
    <w:rsid w:val="00BA2642"/>
    <w:rsid w:val="00BA26DE"/>
    <w:rsid w:val="00BA2ED2"/>
    <w:rsid w:val="00BA3DDE"/>
    <w:rsid w:val="00BA44A2"/>
    <w:rsid w:val="00BA44E0"/>
    <w:rsid w:val="00BA5083"/>
    <w:rsid w:val="00BA558F"/>
    <w:rsid w:val="00BA600C"/>
    <w:rsid w:val="00BA798E"/>
    <w:rsid w:val="00BA7A01"/>
    <w:rsid w:val="00BA7AE5"/>
    <w:rsid w:val="00BB0200"/>
    <w:rsid w:val="00BB0440"/>
    <w:rsid w:val="00BB0578"/>
    <w:rsid w:val="00BB090B"/>
    <w:rsid w:val="00BB0AD6"/>
    <w:rsid w:val="00BB1A7D"/>
    <w:rsid w:val="00BB2E70"/>
    <w:rsid w:val="00BB355E"/>
    <w:rsid w:val="00BB4CDF"/>
    <w:rsid w:val="00BB50B0"/>
    <w:rsid w:val="00BB57B7"/>
    <w:rsid w:val="00BB6B84"/>
    <w:rsid w:val="00BB7277"/>
    <w:rsid w:val="00BC045A"/>
    <w:rsid w:val="00BC0D09"/>
    <w:rsid w:val="00BC1400"/>
    <w:rsid w:val="00BC29E2"/>
    <w:rsid w:val="00BC46EA"/>
    <w:rsid w:val="00BC49CA"/>
    <w:rsid w:val="00BC4E19"/>
    <w:rsid w:val="00BC61B6"/>
    <w:rsid w:val="00BC6293"/>
    <w:rsid w:val="00BC670C"/>
    <w:rsid w:val="00BC7AAD"/>
    <w:rsid w:val="00BD06DE"/>
    <w:rsid w:val="00BD1234"/>
    <w:rsid w:val="00BD12F3"/>
    <w:rsid w:val="00BD172C"/>
    <w:rsid w:val="00BD21B5"/>
    <w:rsid w:val="00BD2441"/>
    <w:rsid w:val="00BD2C5E"/>
    <w:rsid w:val="00BD3A22"/>
    <w:rsid w:val="00BD49A5"/>
    <w:rsid w:val="00BD49BD"/>
    <w:rsid w:val="00BD5032"/>
    <w:rsid w:val="00BD5865"/>
    <w:rsid w:val="00BD5F41"/>
    <w:rsid w:val="00BD618E"/>
    <w:rsid w:val="00BD64B7"/>
    <w:rsid w:val="00BD689A"/>
    <w:rsid w:val="00BE0147"/>
    <w:rsid w:val="00BE0F2D"/>
    <w:rsid w:val="00BE1AA2"/>
    <w:rsid w:val="00BE1EF1"/>
    <w:rsid w:val="00BE266D"/>
    <w:rsid w:val="00BE2807"/>
    <w:rsid w:val="00BE2B21"/>
    <w:rsid w:val="00BE3545"/>
    <w:rsid w:val="00BE4215"/>
    <w:rsid w:val="00BE4CBF"/>
    <w:rsid w:val="00BE59CF"/>
    <w:rsid w:val="00BF0218"/>
    <w:rsid w:val="00BF1B6B"/>
    <w:rsid w:val="00BF1EEA"/>
    <w:rsid w:val="00BF22E3"/>
    <w:rsid w:val="00BF2DE2"/>
    <w:rsid w:val="00BF2FF1"/>
    <w:rsid w:val="00BF319E"/>
    <w:rsid w:val="00BF3AAC"/>
    <w:rsid w:val="00BF4446"/>
    <w:rsid w:val="00BF4BDB"/>
    <w:rsid w:val="00BF55EA"/>
    <w:rsid w:val="00BF62D2"/>
    <w:rsid w:val="00BF656A"/>
    <w:rsid w:val="00BF7AD5"/>
    <w:rsid w:val="00C004A0"/>
    <w:rsid w:val="00C01B35"/>
    <w:rsid w:val="00C024D8"/>
    <w:rsid w:val="00C02A23"/>
    <w:rsid w:val="00C02AE0"/>
    <w:rsid w:val="00C036C3"/>
    <w:rsid w:val="00C036E5"/>
    <w:rsid w:val="00C03FE3"/>
    <w:rsid w:val="00C048C9"/>
    <w:rsid w:val="00C04A0B"/>
    <w:rsid w:val="00C05AB7"/>
    <w:rsid w:val="00C06C3B"/>
    <w:rsid w:val="00C06ED3"/>
    <w:rsid w:val="00C075E0"/>
    <w:rsid w:val="00C1065A"/>
    <w:rsid w:val="00C10E3A"/>
    <w:rsid w:val="00C12018"/>
    <w:rsid w:val="00C138AB"/>
    <w:rsid w:val="00C13B7B"/>
    <w:rsid w:val="00C14E33"/>
    <w:rsid w:val="00C15F9E"/>
    <w:rsid w:val="00C15FCE"/>
    <w:rsid w:val="00C20D5E"/>
    <w:rsid w:val="00C21766"/>
    <w:rsid w:val="00C22254"/>
    <w:rsid w:val="00C23924"/>
    <w:rsid w:val="00C2408D"/>
    <w:rsid w:val="00C24286"/>
    <w:rsid w:val="00C2461F"/>
    <w:rsid w:val="00C249E7"/>
    <w:rsid w:val="00C249FA"/>
    <w:rsid w:val="00C24DA8"/>
    <w:rsid w:val="00C251DE"/>
    <w:rsid w:val="00C276DD"/>
    <w:rsid w:val="00C27F9F"/>
    <w:rsid w:val="00C30DB5"/>
    <w:rsid w:val="00C31037"/>
    <w:rsid w:val="00C31765"/>
    <w:rsid w:val="00C33F46"/>
    <w:rsid w:val="00C343C5"/>
    <w:rsid w:val="00C34525"/>
    <w:rsid w:val="00C3488A"/>
    <w:rsid w:val="00C34AB8"/>
    <w:rsid w:val="00C34C83"/>
    <w:rsid w:val="00C34CA7"/>
    <w:rsid w:val="00C34E68"/>
    <w:rsid w:val="00C34EA8"/>
    <w:rsid w:val="00C3563E"/>
    <w:rsid w:val="00C35DF1"/>
    <w:rsid w:val="00C36A7B"/>
    <w:rsid w:val="00C36AE2"/>
    <w:rsid w:val="00C40014"/>
    <w:rsid w:val="00C4076F"/>
    <w:rsid w:val="00C4077E"/>
    <w:rsid w:val="00C41167"/>
    <w:rsid w:val="00C41C75"/>
    <w:rsid w:val="00C43393"/>
    <w:rsid w:val="00C44EE1"/>
    <w:rsid w:val="00C44FA0"/>
    <w:rsid w:val="00C45232"/>
    <w:rsid w:val="00C45DE2"/>
    <w:rsid w:val="00C45E24"/>
    <w:rsid w:val="00C4623F"/>
    <w:rsid w:val="00C46537"/>
    <w:rsid w:val="00C468F6"/>
    <w:rsid w:val="00C46F2A"/>
    <w:rsid w:val="00C47C7A"/>
    <w:rsid w:val="00C47F17"/>
    <w:rsid w:val="00C502C7"/>
    <w:rsid w:val="00C50340"/>
    <w:rsid w:val="00C5094C"/>
    <w:rsid w:val="00C520DC"/>
    <w:rsid w:val="00C5221A"/>
    <w:rsid w:val="00C52B51"/>
    <w:rsid w:val="00C552C3"/>
    <w:rsid w:val="00C55BF6"/>
    <w:rsid w:val="00C55E0F"/>
    <w:rsid w:val="00C569D2"/>
    <w:rsid w:val="00C56E82"/>
    <w:rsid w:val="00C570CD"/>
    <w:rsid w:val="00C57B75"/>
    <w:rsid w:val="00C61AA4"/>
    <w:rsid w:val="00C61B08"/>
    <w:rsid w:val="00C6226B"/>
    <w:rsid w:val="00C63D79"/>
    <w:rsid w:val="00C64990"/>
    <w:rsid w:val="00C64F82"/>
    <w:rsid w:val="00C6764B"/>
    <w:rsid w:val="00C67E52"/>
    <w:rsid w:val="00C70259"/>
    <w:rsid w:val="00C71643"/>
    <w:rsid w:val="00C718A8"/>
    <w:rsid w:val="00C72198"/>
    <w:rsid w:val="00C72291"/>
    <w:rsid w:val="00C7252C"/>
    <w:rsid w:val="00C733CB"/>
    <w:rsid w:val="00C73B8B"/>
    <w:rsid w:val="00C74D3B"/>
    <w:rsid w:val="00C754D8"/>
    <w:rsid w:val="00C75C27"/>
    <w:rsid w:val="00C76D3A"/>
    <w:rsid w:val="00C77CE3"/>
    <w:rsid w:val="00C81268"/>
    <w:rsid w:val="00C81942"/>
    <w:rsid w:val="00C82B51"/>
    <w:rsid w:val="00C83843"/>
    <w:rsid w:val="00C83CAC"/>
    <w:rsid w:val="00C84861"/>
    <w:rsid w:val="00C853A4"/>
    <w:rsid w:val="00C85560"/>
    <w:rsid w:val="00C86179"/>
    <w:rsid w:val="00C872E6"/>
    <w:rsid w:val="00C8751F"/>
    <w:rsid w:val="00C87814"/>
    <w:rsid w:val="00C87B32"/>
    <w:rsid w:val="00C90BDE"/>
    <w:rsid w:val="00C90C8D"/>
    <w:rsid w:val="00C90DDC"/>
    <w:rsid w:val="00C9114B"/>
    <w:rsid w:val="00C91496"/>
    <w:rsid w:val="00C9165C"/>
    <w:rsid w:val="00C91BCF"/>
    <w:rsid w:val="00C91D28"/>
    <w:rsid w:val="00C91F26"/>
    <w:rsid w:val="00C926F4"/>
    <w:rsid w:val="00C92B2C"/>
    <w:rsid w:val="00C932D1"/>
    <w:rsid w:val="00C93369"/>
    <w:rsid w:val="00C93E25"/>
    <w:rsid w:val="00C94612"/>
    <w:rsid w:val="00C9476F"/>
    <w:rsid w:val="00C94A3A"/>
    <w:rsid w:val="00C95A2F"/>
    <w:rsid w:val="00C95E10"/>
    <w:rsid w:val="00C9645B"/>
    <w:rsid w:val="00C97145"/>
    <w:rsid w:val="00C97510"/>
    <w:rsid w:val="00C977DF"/>
    <w:rsid w:val="00CA00B2"/>
    <w:rsid w:val="00CA02FD"/>
    <w:rsid w:val="00CA248C"/>
    <w:rsid w:val="00CA3BC7"/>
    <w:rsid w:val="00CA461A"/>
    <w:rsid w:val="00CA4B43"/>
    <w:rsid w:val="00CA71BA"/>
    <w:rsid w:val="00CB170A"/>
    <w:rsid w:val="00CB237B"/>
    <w:rsid w:val="00CB308D"/>
    <w:rsid w:val="00CB3113"/>
    <w:rsid w:val="00CB4288"/>
    <w:rsid w:val="00CB5127"/>
    <w:rsid w:val="00CB54EC"/>
    <w:rsid w:val="00CB5911"/>
    <w:rsid w:val="00CB5F5C"/>
    <w:rsid w:val="00CB71D2"/>
    <w:rsid w:val="00CB7EB6"/>
    <w:rsid w:val="00CC1520"/>
    <w:rsid w:val="00CC153B"/>
    <w:rsid w:val="00CC1B6C"/>
    <w:rsid w:val="00CC25F5"/>
    <w:rsid w:val="00CC2AD2"/>
    <w:rsid w:val="00CC2D50"/>
    <w:rsid w:val="00CC3BE0"/>
    <w:rsid w:val="00CC4F6E"/>
    <w:rsid w:val="00CC6930"/>
    <w:rsid w:val="00CC7082"/>
    <w:rsid w:val="00CC75DA"/>
    <w:rsid w:val="00CC76C8"/>
    <w:rsid w:val="00CC7BD9"/>
    <w:rsid w:val="00CC7E10"/>
    <w:rsid w:val="00CD019A"/>
    <w:rsid w:val="00CD0D02"/>
    <w:rsid w:val="00CD1202"/>
    <w:rsid w:val="00CD173C"/>
    <w:rsid w:val="00CD2388"/>
    <w:rsid w:val="00CD256F"/>
    <w:rsid w:val="00CD2F58"/>
    <w:rsid w:val="00CD317F"/>
    <w:rsid w:val="00CD4441"/>
    <w:rsid w:val="00CD4D51"/>
    <w:rsid w:val="00CD4F92"/>
    <w:rsid w:val="00CD5104"/>
    <w:rsid w:val="00CD6030"/>
    <w:rsid w:val="00CD71A7"/>
    <w:rsid w:val="00CE0186"/>
    <w:rsid w:val="00CE02BB"/>
    <w:rsid w:val="00CE05FB"/>
    <w:rsid w:val="00CE09E6"/>
    <w:rsid w:val="00CE10AB"/>
    <w:rsid w:val="00CE10B2"/>
    <w:rsid w:val="00CE1598"/>
    <w:rsid w:val="00CE1C69"/>
    <w:rsid w:val="00CE2A76"/>
    <w:rsid w:val="00CE2DBC"/>
    <w:rsid w:val="00CE4B8A"/>
    <w:rsid w:val="00CE4CCD"/>
    <w:rsid w:val="00CE54B4"/>
    <w:rsid w:val="00CE5B44"/>
    <w:rsid w:val="00CE6335"/>
    <w:rsid w:val="00CE6AAE"/>
    <w:rsid w:val="00CE6C02"/>
    <w:rsid w:val="00CE71FC"/>
    <w:rsid w:val="00CE7638"/>
    <w:rsid w:val="00CF1F59"/>
    <w:rsid w:val="00CF2D13"/>
    <w:rsid w:val="00CF3074"/>
    <w:rsid w:val="00CF35E2"/>
    <w:rsid w:val="00CF3FB0"/>
    <w:rsid w:val="00CF40E7"/>
    <w:rsid w:val="00CF475E"/>
    <w:rsid w:val="00CF4849"/>
    <w:rsid w:val="00CF57BD"/>
    <w:rsid w:val="00CF6C2D"/>
    <w:rsid w:val="00CF7673"/>
    <w:rsid w:val="00CF77FD"/>
    <w:rsid w:val="00CF7FEB"/>
    <w:rsid w:val="00D0010D"/>
    <w:rsid w:val="00D0122D"/>
    <w:rsid w:val="00D021F1"/>
    <w:rsid w:val="00D028AA"/>
    <w:rsid w:val="00D02BD5"/>
    <w:rsid w:val="00D02C20"/>
    <w:rsid w:val="00D02DA0"/>
    <w:rsid w:val="00D038AD"/>
    <w:rsid w:val="00D06D81"/>
    <w:rsid w:val="00D06FCC"/>
    <w:rsid w:val="00D07536"/>
    <w:rsid w:val="00D07609"/>
    <w:rsid w:val="00D07A13"/>
    <w:rsid w:val="00D10635"/>
    <w:rsid w:val="00D109CA"/>
    <w:rsid w:val="00D10DBB"/>
    <w:rsid w:val="00D12808"/>
    <w:rsid w:val="00D14283"/>
    <w:rsid w:val="00D14388"/>
    <w:rsid w:val="00D14A88"/>
    <w:rsid w:val="00D14FA1"/>
    <w:rsid w:val="00D152EE"/>
    <w:rsid w:val="00D17AA3"/>
    <w:rsid w:val="00D2064A"/>
    <w:rsid w:val="00D218D6"/>
    <w:rsid w:val="00D224D0"/>
    <w:rsid w:val="00D22EEA"/>
    <w:rsid w:val="00D230BD"/>
    <w:rsid w:val="00D239E9"/>
    <w:rsid w:val="00D23C21"/>
    <w:rsid w:val="00D23D9B"/>
    <w:rsid w:val="00D24622"/>
    <w:rsid w:val="00D24C61"/>
    <w:rsid w:val="00D24EEE"/>
    <w:rsid w:val="00D25E02"/>
    <w:rsid w:val="00D25FEF"/>
    <w:rsid w:val="00D3040F"/>
    <w:rsid w:val="00D31C5A"/>
    <w:rsid w:val="00D32FD3"/>
    <w:rsid w:val="00D33012"/>
    <w:rsid w:val="00D332DE"/>
    <w:rsid w:val="00D34657"/>
    <w:rsid w:val="00D349B7"/>
    <w:rsid w:val="00D34A2E"/>
    <w:rsid w:val="00D34A3F"/>
    <w:rsid w:val="00D35089"/>
    <w:rsid w:val="00D35772"/>
    <w:rsid w:val="00D373DD"/>
    <w:rsid w:val="00D40BC4"/>
    <w:rsid w:val="00D40DE5"/>
    <w:rsid w:val="00D41B85"/>
    <w:rsid w:val="00D42C3C"/>
    <w:rsid w:val="00D43D12"/>
    <w:rsid w:val="00D442D0"/>
    <w:rsid w:val="00D44392"/>
    <w:rsid w:val="00D4485D"/>
    <w:rsid w:val="00D45454"/>
    <w:rsid w:val="00D462EE"/>
    <w:rsid w:val="00D47D62"/>
    <w:rsid w:val="00D50997"/>
    <w:rsid w:val="00D50BC0"/>
    <w:rsid w:val="00D5109E"/>
    <w:rsid w:val="00D51212"/>
    <w:rsid w:val="00D51B40"/>
    <w:rsid w:val="00D529F7"/>
    <w:rsid w:val="00D52E58"/>
    <w:rsid w:val="00D53A14"/>
    <w:rsid w:val="00D54F3F"/>
    <w:rsid w:val="00D55922"/>
    <w:rsid w:val="00D55B56"/>
    <w:rsid w:val="00D56884"/>
    <w:rsid w:val="00D56B24"/>
    <w:rsid w:val="00D573B7"/>
    <w:rsid w:val="00D6016A"/>
    <w:rsid w:val="00D60482"/>
    <w:rsid w:val="00D62DC7"/>
    <w:rsid w:val="00D64160"/>
    <w:rsid w:val="00D648BD"/>
    <w:rsid w:val="00D648FE"/>
    <w:rsid w:val="00D6690F"/>
    <w:rsid w:val="00D67259"/>
    <w:rsid w:val="00D677F5"/>
    <w:rsid w:val="00D67E77"/>
    <w:rsid w:val="00D70181"/>
    <w:rsid w:val="00D708C0"/>
    <w:rsid w:val="00D709FB"/>
    <w:rsid w:val="00D713DC"/>
    <w:rsid w:val="00D71616"/>
    <w:rsid w:val="00D724A6"/>
    <w:rsid w:val="00D72D37"/>
    <w:rsid w:val="00D736FB"/>
    <w:rsid w:val="00D73AD1"/>
    <w:rsid w:val="00D7556D"/>
    <w:rsid w:val="00D75B91"/>
    <w:rsid w:val="00D76397"/>
    <w:rsid w:val="00D76553"/>
    <w:rsid w:val="00D76A8D"/>
    <w:rsid w:val="00D76D04"/>
    <w:rsid w:val="00D77456"/>
    <w:rsid w:val="00D80343"/>
    <w:rsid w:val="00D8059F"/>
    <w:rsid w:val="00D814F0"/>
    <w:rsid w:val="00D815B5"/>
    <w:rsid w:val="00D81BA5"/>
    <w:rsid w:val="00D81C78"/>
    <w:rsid w:val="00D821D1"/>
    <w:rsid w:val="00D822D9"/>
    <w:rsid w:val="00D83497"/>
    <w:rsid w:val="00D847B7"/>
    <w:rsid w:val="00D851D0"/>
    <w:rsid w:val="00D85ED1"/>
    <w:rsid w:val="00D8626A"/>
    <w:rsid w:val="00D868C9"/>
    <w:rsid w:val="00D86A75"/>
    <w:rsid w:val="00D86C9A"/>
    <w:rsid w:val="00D87549"/>
    <w:rsid w:val="00D8774A"/>
    <w:rsid w:val="00D904E4"/>
    <w:rsid w:val="00D90AB3"/>
    <w:rsid w:val="00D90D82"/>
    <w:rsid w:val="00D90E1D"/>
    <w:rsid w:val="00D914A0"/>
    <w:rsid w:val="00D914F7"/>
    <w:rsid w:val="00D92E1E"/>
    <w:rsid w:val="00D932BA"/>
    <w:rsid w:val="00D93C4C"/>
    <w:rsid w:val="00D93C9B"/>
    <w:rsid w:val="00D94B97"/>
    <w:rsid w:val="00D94DFE"/>
    <w:rsid w:val="00D96620"/>
    <w:rsid w:val="00D97BA4"/>
    <w:rsid w:val="00D97DF9"/>
    <w:rsid w:val="00DA08AA"/>
    <w:rsid w:val="00DA1BAE"/>
    <w:rsid w:val="00DA2017"/>
    <w:rsid w:val="00DA331F"/>
    <w:rsid w:val="00DA5193"/>
    <w:rsid w:val="00DA65C2"/>
    <w:rsid w:val="00DA73BE"/>
    <w:rsid w:val="00DA788A"/>
    <w:rsid w:val="00DB0000"/>
    <w:rsid w:val="00DB01EF"/>
    <w:rsid w:val="00DB2142"/>
    <w:rsid w:val="00DB2301"/>
    <w:rsid w:val="00DB248A"/>
    <w:rsid w:val="00DB29EE"/>
    <w:rsid w:val="00DB2EDA"/>
    <w:rsid w:val="00DB2FFA"/>
    <w:rsid w:val="00DB33CE"/>
    <w:rsid w:val="00DB3BAD"/>
    <w:rsid w:val="00DB441C"/>
    <w:rsid w:val="00DB77F3"/>
    <w:rsid w:val="00DB7C52"/>
    <w:rsid w:val="00DC0CA0"/>
    <w:rsid w:val="00DC14AD"/>
    <w:rsid w:val="00DC3221"/>
    <w:rsid w:val="00DC334C"/>
    <w:rsid w:val="00DC40F5"/>
    <w:rsid w:val="00DC424F"/>
    <w:rsid w:val="00DC4DE7"/>
    <w:rsid w:val="00DC56DC"/>
    <w:rsid w:val="00DC669F"/>
    <w:rsid w:val="00DC745F"/>
    <w:rsid w:val="00DC7CA1"/>
    <w:rsid w:val="00DD03C7"/>
    <w:rsid w:val="00DD0466"/>
    <w:rsid w:val="00DD0598"/>
    <w:rsid w:val="00DD06F4"/>
    <w:rsid w:val="00DD24D5"/>
    <w:rsid w:val="00DD2682"/>
    <w:rsid w:val="00DD2CB9"/>
    <w:rsid w:val="00DD368D"/>
    <w:rsid w:val="00DD3B60"/>
    <w:rsid w:val="00DD3D71"/>
    <w:rsid w:val="00DD43F4"/>
    <w:rsid w:val="00DD473C"/>
    <w:rsid w:val="00DD4CA1"/>
    <w:rsid w:val="00DD5296"/>
    <w:rsid w:val="00DD547F"/>
    <w:rsid w:val="00DD59EA"/>
    <w:rsid w:val="00DD6C38"/>
    <w:rsid w:val="00DE16F3"/>
    <w:rsid w:val="00DE1B83"/>
    <w:rsid w:val="00DE32E2"/>
    <w:rsid w:val="00DE42BF"/>
    <w:rsid w:val="00DE4DEC"/>
    <w:rsid w:val="00DE6438"/>
    <w:rsid w:val="00DE68C2"/>
    <w:rsid w:val="00DE68D0"/>
    <w:rsid w:val="00DE7F13"/>
    <w:rsid w:val="00DF0857"/>
    <w:rsid w:val="00DF1142"/>
    <w:rsid w:val="00DF221A"/>
    <w:rsid w:val="00DF26AE"/>
    <w:rsid w:val="00DF26C3"/>
    <w:rsid w:val="00DF2E9B"/>
    <w:rsid w:val="00DF3202"/>
    <w:rsid w:val="00DF33AF"/>
    <w:rsid w:val="00DF3D34"/>
    <w:rsid w:val="00DF4924"/>
    <w:rsid w:val="00DF619E"/>
    <w:rsid w:val="00DF65F5"/>
    <w:rsid w:val="00DF73F5"/>
    <w:rsid w:val="00DF792A"/>
    <w:rsid w:val="00DF7EF2"/>
    <w:rsid w:val="00DF7F73"/>
    <w:rsid w:val="00E0214D"/>
    <w:rsid w:val="00E02217"/>
    <w:rsid w:val="00E025AE"/>
    <w:rsid w:val="00E025C7"/>
    <w:rsid w:val="00E02ACD"/>
    <w:rsid w:val="00E02E4B"/>
    <w:rsid w:val="00E04098"/>
    <w:rsid w:val="00E0452B"/>
    <w:rsid w:val="00E04696"/>
    <w:rsid w:val="00E05052"/>
    <w:rsid w:val="00E0665C"/>
    <w:rsid w:val="00E06BD9"/>
    <w:rsid w:val="00E101A8"/>
    <w:rsid w:val="00E108A8"/>
    <w:rsid w:val="00E1162E"/>
    <w:rsid w:val="00E11C42"/>
    <w:rsid w:val="00E11E90"/>
    <w:rsid w:val="00E12171"/>
    <w:rsid w:val="00E12F28"/>
    <w:rsid w:val="00E142ED"/>
    <w:rsid w:val="00E15139"/>
    <w:rsid w:val="00E15254"/>
    <w:rsid w:val="00E153B6"/>
    <w:rsid w:val="00E17238"/>
    <w:rsid w:val="00E20281"/>
    <w:rsid w:val="00E2044B"/>
    <w:rsid w:val="00E20F30"/>
    <w:rsid w:val="00E22879"/>
    <w:rsid w:val="00E23B0B"/>
    <w:rsid w:val="00E23DCC"/>
    <w:rsid w:val="00E243CC"/>
    <w:rsid w:val="00E244E2"/>
    <w:rsid w:val="00E256CA"/>
    <w:rsid w:val="00E25DE3"/>
    <w:rsid w:val="00E25F3D"/>
    <w:rsid w:val="00E2614C"/>
    <w:rsid w:val="00E27E91"/>
    <w:rsid w:val="00E30A6E"/>
    <w:rsid w:val="00E31526"/>
    <w:rsid w:val="00E31D44"/>
    <w:rsid w:val="00E32251"/>
    <w:rsid w:val="00E33365"/>
    <w:rsid w:val="00E33896"/>
    <w:rsid w:val="00E33E7F"/>
    <w:rsid w:val="00E34061"/>
    <w:rsid w:val="00E34A31"/>
    <w:rsid w:val="00E34B7A"/>
    <w:rsid w:val="00E355C8"/>
    <w:rsid w:val="00E35646"/>
    <w:rsid w:val="00E362B9"/>
    <w:rsid w:val="00E36C9C"/>
    <w:rsid w:val="00E36F43"/>
    <w:rsid w:val="00E37206"/>
    <w:rsid w:val="00E3740D"/>
    <w:rsid w:val="00E37CF0"/>
    <w:rsid w:val="00E37F8D"/>
    <w:rsid w:val="00E405FE"/>
    <w:rsid w:val="00E414C1"/>
    <w:rsid w:val="00E4191E"/>
    <w:rsid w:val="00E41EBD"/>
    <w:rsid w:val="00E4211E"/>
    <w:rsid w:val="00E4222C"/>
    <w:rsid w:val="00E423B3"/>
    <w:rsid w:val="00E423EB"/>
    <w:rsid w:val="00E428BC"/>
    <w:rsid w:val="00E4315A"/>
    <w:rsid w:val="00E4322D"/>
    <w:rsid w:val="00E43331"/>
    <w:rsid w:val="00E4401C"/>
    <w:rsid w:val="00E44149"/>
    <w:rsid w:val="00E449EC"/>
    <w:rsid w:val="00E45DC4"/>
    <w:rsid w:val="00E45EDE"/>
    <w:rsid w:val="00E466FD"/>
    <w:rsid w:val="00E46A29"/>
    <w:rsid w:val="00E46AAD"/>
    <w:rsid w:val="00E46C79"/>
    <w:rsid w:val="00E474D3"/>
    <w:rsid w:val="00E51040"/>
    <w:rsid w:val="00E519F2"/>
    <w:rsid w:val="00E51A21"/>
    <w:rsid w:val="00E51FB7"/>
    <w:rsid w:val="00E51FEC"/>
    <w:rsid w:val="00E537EB"/>
    <w:rsid w:val="00E53A59"/>
    <w:rsid w:val="00E53E33"/>
    <w:rsid w:val="00E544FB"/>
    <w:rsid w:val="00E56786"/>
    <w:rsid w:val="00E56A01"/>
    <w:rsid w:val="00E57477"/>
    <w:rsid w:val="00E6017D"/>
    <w:rsid w:val="00E607A2"/>
    <w:rsid w:val="00E60B1F"/>
    <w:rsid w:val="00E61480"/>
    <w:rsid w:val="00E6154F"/>
    <w:rsid w:val="00E61960"/>
    <w:rsid w:val="00E61AF4"/>
    <w:rsid w:val="00E61D83"/>
    <w:rsid w:val="00E61F2B"/>
    <w:rsid w:val="00E62497"/>
    <w:rsid w:val="00E62938"/>
    <w:rsid w:val="00E62C02"/>
    <w:rsid w:val="00E63554"/>
    <w:rsid w:val="00E63ED0"/>
    <w:rsid w:val="00E646EE"/>
    <w:rsid w:val="00E6605C"/>
    <w:rsid w:val="00E66B8A"/>
    <w:rsid w:val="00E66E01"/>
    <w:rsid w:val="00E66F49"/>
    <w:rsid w:val="00E6747E"/>
    <w:rsid w:val="00E7095D"/>
    <w:rsid w:val="00E709EA"/>
    <w:rsid w:val="00E70F18"/>
    <w:rsid w:val="00E713BB"/>
    <w:rsid w:val="00E7165C"/>
    <w:rsid w:val="00E72B7D"/>
    <w:rsid w:val="00E73CFE"/>
    <w:rsid w:val="00E74431"/>
    <w:rsid w:val="00E74C75"/>
    <w:rsid w:val="00E751C2"/>
    <w:rsid w:val="00E752C6"/>
    <w:rsid w:val="00E7540C"/>
    <w:rsid w:val="00E757DD"/>
    <w:rsid w:val="00E7586F"/>
    <w:rsid w:val="00E7633F"/>
    <w:rsid w:val="00E76422"/>
    <w:rsid w:val="00E766DD"/>
    <w:rsid w:val="00E774C5"/>
    <w:rsid w:val="00E81093"/>
    <w:rsid w:val="00E8179D"/>
    <w:rsid w:val="00E81B54"/>
    <w:rsid w:val="00E82566"/>
    <w:rsid w:val="00E83150"/>
    <w:rsid w:val="00E83D64"/>
    <w:rsid w:val="00E84D5D"/>
    <w:rsid w:val="00E85CB8"/>
    <w:rsid w:val="00E861DE"/>
    <w:rsid w:val="00E866A2"/>
    <w:rsid w:val="00E86D17"/>
    <w:rsid w:val="00E87BB1"/>
    <w:rsid w:val="00E90213"/>
    <w:rsid w:val="00E90376"/>
    <w:rsid w:val="00E916CD"/>
    <w:rsid w:val="00E92498"/>
    <w:rsid w:val="00E924D6"/>
    <w:rsid w:val="00E92D33"/>
    <w:rsid w:val="00E9318D"/>
    <w:rsid w:val="00E9357F"/>
    <w:rsid w:val="00E93B96"/>
    <w:rsid w:val="00E94224"/>
    <w:rsid w:val="00E94F86"/>
    <w:rsid w:val="00E9517D"/>
    <w:rsid w:val="00E95A0D"/>
    <w:rsid w:val="00E964C7"/>
    <w:rsid w:val="00E96C93"/>
    <w:rsid w:val="00E97258"/>
    <w:rsid w:val="00E976D0"/>
    <w:rsid w:val="00EA0F3F"/>
    <w:rsid w:val="00EA118B"/>
    <w:rsid w:val="00EA1636"/>
    <w:rsid w:val="00EA1EDA"/>
    <w:rsid w:val="00EA2A16"/>
    <w:rsid w:val="00EA2BA5"/>
    <w:rsid w:val="00EA2F90"/>
    <w:rsid w:val="00EA3564"/>
    <w:rsid w:val="00EA43D0"/>
    <w:rsid w:val="00EA48E0"/>
    <w:rsid w:val="00EA4E3A"/>
    <w:rsid w:val="00EA569B"/>
    <w:rsid w:val="00EA5993"/>
    <w:rsid w:val="00EA6343"/>
    <w:rsid w:val="00EA6CB9"/>
    <w:rsid w:val="00EA705E"/>
    <w:rsid w:val="00EA78A2"/>
    <w:rsid w:val="00EA7AE8"/>
    <w:rsid w:val="00EB04A6"/>
    <w:rsid w:val="00EB06BB"/>
    <w:rsid w:val="00EB2BEE"/>
    <w:rsid w:val="00EB3915"/>
    <w:rsid w:val="00EB75D3"/>
    <w:rsid w:val="00EB7C0F"/>
    <w:rsid w:val="00EC0138"/>
    <w:rsid w:val="00EC0983"/>
    <w:rsid w:val="00EC0A19"/>
    <w:rsid w:val="00EC0EEC"/>
    <w:rsid w:val="00EC1D9E"/>
    <w:rsid w:val="00EC24A2"/>
    <w:rsid w:val="00EC2B05"/>
    <w:rsid w:val="00EC3C73"/>
    <w:rsid w:val="00EC4034"/>
    <w:rsid w:val="00EC49A3"/>
    <w:rsid w:val="00EC60D9"/>
    <w:rsid w:val="00EC6CAA"/>
    <w:rsid w:val="00EC7463"/>
    <w:rsid w:val="00EC792D"/>
    <w:rsid w:val="00EC7EE7"/>
    <w:rsid w:val="00ED06A4"/>
    <w:rsid w:val="00ED0E1A"/>
    <w:rsid w:val="00ED11F1"/>
    <w:rsid w:val="00ED16CF"/>
    <w:rsid w:val="00ED1C2D"/>
    <w:rsid w:val="00ED248D"/>
    <w:rsid w:val="00ED2FFC"/>
    <w:rsid w:val="00ED3AC6"/>
    <w:rsid w:val="00ED3D3F"/>
    <w:rsid w:val="00ED47E6"/>
    <w:rsid w:val="00ED695D"/>
    <w:rsid w:val="00ED6961"/>
    <w:rsid w:val="00ED6D28"/>
    <w:rsid w:val="00ED6D36"/>
    <w:rsid w:val="00ED7975"/>
    <w:rsid w:val="00ED7ACE"/>
    <w:rsid w:val="00EE24E5"/>
    <w:rsid w:val="00EE2B8E"/>
    <w:rsid w:val="00EE2C05"/>
    <w:rsid w:val="00EE3A14"/>
    <w:rsid w:val="00EE3BD8"/>
    <w:rsid w:val="00EE3F08"/>
    <w:rsid w:val="00EE4D1B"/>
    <w:rsid w:val="00EE4E87"/>
    <w:rsid w:val="00EE577D"/>
    <w:rsid w:val="00EE6F28"/>
    <w:rsid w:val="00EE7BA3"/>
    <w:rsid w:val="00EF1802"/>
    <w:rsid w:val="00EF24A6"/>
    <w:rsid w:val="00EF29A0"/>
    <w:rsid w:val="00EF3666"/>
    <w:rsid w:val="00EF3D27"/>
    <w:rsid w:val="00EF50D7"/>
    <w:rsid w:val="00EF6C85"/>
    <w:rsid w:val="00EF6DF5"/>
    <w:rsid w:val="00F019EB"/>
    <w:rsid w:val="00F023BF"/>
    <w:rsid w:val="00F02483"/>
    <w:rsid w:val="00F026DD"/>
    <w:rsid w:val="00F02F06"/>
    <w:rsid w:val="00F03C0B"/>
    <w:rsid w:val="00F041DE"/>
    <w:rsid w:val="00F0472D"/>
    <w:rsid w:val="00F04C84"/>
    <w:rsid w:val="00F05883"/>
    <w:rsid w:val="00F072AF"/>
    <w:rsid w:val="00F072B6"/>
    <w:rsid w:val="00F0750A"/>
    <w:rsid w:val="00F0762F"/>
    <w:rsid w:val="00F07791"/>
    <w:rsid w:val="00F07B4D"/>
    <w:rsid w:val="00F07D8A"/>
    <w:rsid w:val="00F10001"/>
    <w:rsid w:val="00F10847"/>
    <w:rsid w:val="00F10F5D"/>
    <w:rsid w:val="00F1238A"/>
    <w:rsid w:val="00F126E8"/>
    <w:rsid w:val="00F12842"/>
    <w:rsid w:val="00F13093"/>
    <w:rsid w:val="00F1321F"/>
    <w:rsid w:val="00F15ECF"/>
    <w:rsid w:val="00F16223"/>
    <w:rsid w:val="00F165F2"/>
    <w:rsid w:val="00F16A08"/>
    <w:rsid w:val="00F16C8A"/>
    <w:rsid w:val="00F17C2A"/>
    <w:rsid w:val="00F2045B"/>
    <w:rsid w:val="00F20599"/>
    <w:rsid w:val="00F2260D"/>
    <w:rsid w:val="00F22B10"/>
    <w:rsid w:val="00F23A93"/>
    <w:rsid w:val="00F23CEA"/>
    <w:rsid w:val="00F259FF"/>
    <w:rsid w:val="00F25F97"/>
    <w:rsid w:val="00F26E18"/>
    <w:rsid w:val="00F2705D"/>
    <w:rsid w:val="00F273A2"/>
    <w:rsid w:val="00F3021C"/>
    <w:rsid w:val="00F302CB"/>
    <w:rsid w:val="00F30DDA"/>
    <w:rsid w:val="00F313F9"/>
    <w:rsid w:val="00F330E3"/>
    <w:rsid w:val="00F33C62"/>
    <w:rsid w:val="00F3480D"/>
    <w:rsid w:val="00F348D4"/>
    <w:rsid w:val="00F34B0D"/>
    <w:rsid w:val="00F35AA9"/>
    <w:rsid w:val="00F35F8E"/>
    <w:rsid w:val="00F3681C"/>
    <w:rsid w:val="00F36A54"/>
    <w:rsid w:val="00F373A1"/>
    <w:rsid w:val="00F37431"/>
    <w:rsid w:val="00F37E81"/>
    <w:rsid w:val="00F41B0E"/>
    <w:rsid w:val="00F41B15"/>
    <w:rsid w:val="00F4221F"/>
    <w:rsid w:val="00F42384"/>
    <w:rsid w:val="00F4306A"/>
    <w:rsid w:val="00F432D2"/>
    <w:rsid w:val="00F434A1"/>
    <w:rsid w:val="00F43895"/>
    <w:rsid w:val="00F438A6"/>
    <w:rsid w:val="00F43CED"/>
    <w:rsid w:val="00F43F00"/>
    <w:rsid w:val="00F454DE"/>
    <w:rsid w:val="00F45F23"/>
    <w:rsid w:val="00F461BB"/>
    <w:rsid w:val="00F469C4"/>
    <w:rsid w:val="00F46E73"/>
    <w:rsid w:val="00F470B3"/>
    <w:rsid w:val="00F4738E"/>
    <w:rsid w:val="00F47E50"/>
    <w:rsid w:val="00F50624"/>
    <w:rsid w:val="00F5179B"/>
    <w:rsid w:val="00F52062"/>
    <w:rsid w:val="00F53EE8"/>
    <w:rsid w:val="00F544A5"/>
    <w:rsid w:val="00F54FFA"/>
    <w:rsid w:val="00F566D6"/>
    <w:rsid w:val="00F57BEC"/>
    <w:rsid w:val="00F60151"/>
    <w:rsid w:val="00F61E51"/>
    <w:rsid w:val="00F635A5"/>
    <w:rsid w:val="00F6381A"/>
    <w:rsid w:val="00F64432"/>
    <w:rsid w:val="00F65545"/>
    <w:rsid w:val="00F66FD8"/>
    <w:rsid w:val="00F671B9"/>
    <w:rsid w:val="00F6787E"/>
    <w:rsid w:val="00F67DCD"/>
    <w:rsid w:val="00F70C39"/>
    <w:rsid w:val="00F70C6F"/>
    <w:rsid w:val="00F70D2E"/>
    <w:rsid w:val="00F716DA"/>
    <w:rsid w:val="00F71726"/>
    <w:rsid w:val="00F71DDE"/>
    <w:rsid w:val="00F72378"/>
    <w:rsid w:val="00F7270C"/>
    <w:rsid w:val="00F73279"/>
    <w:rsid w:val="00F750DA"/>
    <w:rsid w:val="00F754D3"/>
    <w:rsid w:val="00F76100"/>
    <w:rsid w:val="00F768CD"/>
    <w:rsid w:val="00F769EE"/>
    <w:rsid w:val="00F8092D"/>
    <w:rsid w:val="00F818FD"/>
    <w:rsid w:val="00F833AF"/>
    <w:rsid w:val="00F8379A"/>
    <w:rsid w:val="00F839F8"/>
    <w:rsid w:val="00F8431D"/>
    <w:rsid w:val="00F84B69"/>
    <w:rsid w:val="00F8519A"/>
    <w:rsid w:val="00F854B1"/>
    <w:rsid w:val="00F8554D"/>
    <w:rsid w:val="00F8568B"/>
    <w:rsid w:val="00F8583F"/>
    <w:rsid w:val="00F86095"/>
    <w:rsid w:val="00F8697E"/>
    <w:rsid w:val="00F870C4"/>
    <w:rsid w:val="00F873F0"/>
    <w:rsid w:val="00F876F6"/>
    <w:rsid w:val="00F907F5"/>
    <w:rsid w:val="00F90BF9"/>
    <w:rsid w:val="00F90D95"/>
    <w:rsid w:val="00F92BE6"/>
    <w:rsid w:val="00F94702"/>
    <w:rsid w:val="00F956D4"/>
    <w:rsid w:val="00F95A9B"/>
    <w:rsid w:val="00F962F4"/>
    <w:rsid w:val="00F96C08"/>
    <w:rsid w:val="00F96D3D"/>
    <w:rsid w:val="00F96F71"/>
    <w:rsid w:val="00FA02FF"/>
    <w:rsid w:val="00FA19FE"/>
    <w:rsid w:val="00FA2CA8"/>
    <w:rsid w:val="00FA33BD"/>
    <w:rsid w:val="00FA3BC4"/>
    <w:rsid w:val="00FA3D96"/>
    <w:rsid w:val="00FA45AE"/>
    <w:rsid w:val="00FA5125"/>
    <w:rsid w:val="00FA55AE"/>
    <w:rsid w:val="00FA5694"/>
    <w:rsid w:val="00FA588E"/>
    <w:rsid w:val="00FA609E"/>
    <w:rsid w:val="00FA7342"/>
    <w:rsid w:val="00FB13C1"/>
    <w:rsid w:val="00FB1F92"/>
    <w:rsid w:val="00FB2C18"/>
    <w:rsid w:val="00FB3E94"/>
    <w:rsid w:val="00FB52B9"/>
    <w:rsid w:val="00FB5DBA"/>
    <w:rsid w:val="00FB7F03"/>
    <w:rsid w:val="00FC0F65"/>
    <w:rsid w:val="00FC14DC"/>
    <w:rsid w:val="00FC20EC"/>
    <w:rsid w:val="00FC236B"/>
    <w:rsid w:val="00FC37FB"/>
    <w:rsid w:val="00FC3AF4"/>
    <w:rsid w:val="00FC4217"/>
    <w:rsid w:val="00FC4D96"/>
    <w:rsid w:val="00FC5223"/>
    <w:rsid w:val="00FC5317"/>
    <w:rsid w:val="00FC5603"/>
    <w:rsid w:val="00FC5D48"/>
    <w:rsid w:val="00FC7002"/>
    <w:rsid w:val="00FC713E"/>
    <w:rsid w:val="00FC77DA"/>
    <w:rsid w:val="00FC7925"/>
    <w:rsid w:val="00FD18A7"/>
    <w:rsid w:val="00FD2C21"/>
    <w:rsid w:val="00FD2FAB"/>
    <w:rsid w:val="00FD4603"/>
    <w:rsid w:val="00FD5498"/>
    <w:rsid w:val="00FD5F25"/>
    <w:rsid w:val="00FD6645"/>
    <w:rsid w:val="00FD778E"/>
    <w:rsid w:val="00FE06CD"/>
    <w:rsid w:val="00FE10CC"/>
    <w:rsid w:val="00FE21F9"/>
    <w:rsid w:val="00FE25D1"/>
    <w:rsid w:val="00FE2BE5"/>
    <w:rsid w:val="00FE2DA2"/>
    <w:rsid w:val="00FE3503"/>
    <w:rsid w:val="00FE3A84"/>
    <w:rsid w:val="00FE3B63"/>
    <w:rsid w:val="00FE3BCA"/>
    <w:rsid w:val="00FE4674"/>
    <w:rsid w:val="00FE4936"/>
    <w:rsid w:val="00FE4DCA"/>
    <w:rsid w:val="00FE508C"/>
    <w:rsid w:val="00FE56FA"/>
    <w:rsid w:val="00FE5A14"/>
    <w:rsid w:val="00FE5DA6"/>
    <w:rsid w:val="00FE6830"/>
    <w:rsid w:val="00FE6E72"/>
    <w:rsid w:val="00FE78EE"/>
    <w:rsid w:val="00FF02D1"/>
    <w:rsid w:val="00FF0B43"/>
    <w:rsid w:val="00FF1316"/>
    <w:rsid w:val="00FF1617"/>
    <w:rsid w:val="00FF1FCC"/>
    <w:rsid w:val="00FF3016"/>
    <w:rsid w:val="00FF344F"/>
    <w:rsid w:val="00FF4316"/>
    <w:rsid w:val="00FF499D"/>
    <w:rsid w:val="00FF53EC"/>
    <w:rsid w:val="00FF681D"/>
    <w:rsid w:val="00FF6B22"/>
    <w:rsid w:val="00FF6BCA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E2D03-7A9D-4799-866E-043AA378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B4EDF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4EDF"/>
    <w:rPr>
      <w:rFonts w:ascii="Calibri" w:hAnsi="Calibri"/>
      <w:color w:val="00457D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0D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0DF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0DFB"/>
    <w:rPr>
      <w:vertAlign w:val="superscrip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020E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5196F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86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2137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540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94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90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2775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24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757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ute.gov.it/imgs/C_17_pubblicazioni_2986_allegato.pdf" TargetMode="External"/><Relationship Id="rId13" Type="http://schemas.openxmlformats.org/officeDocument/2006/relationships/hyperlink" Target="https://www.who.int/csr/don/21-december-2020-sars-cov2-variant-united-kingdom/e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investigation-of-novel-sars-cov-2-variant-variant-of-concern-20201201" TargetMode="External"/><Relationship Id="rId17" Type="http://schemas.openxmlformats.org/officeDocument/2006/relationships/image" Target="media/image2.png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ufficio.stampa@gimbe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dc.europa.eu/sites/default/files/documents/SARS-CoV-2-variant-multiple-spike-protein-mutations-United-Kingdo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ronavirus.gimbe.org" TargetMode="External"/><Relationship Id="rId10" Type="http://schemas.openxmlformats.org/officeDocument/2006/relationships/hyperlink" Target="https://khub.net/documents/135939561/338928724/SARS-CoV-2+variant+under+investigation%2C+meeting+minutes.pdf/962e866b-161f-2fd5-1030-32b6ab467896?t=1608470511452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ecdc.europa.eu/sites/default/files/documents/SARS-CoV-2-variant-multiple-spike-protein-mutations-United-Kingdom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BE08-E6B3-46B2-BCCC-0C8368CE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Cartabellotta</dc:creator>
  <cp:lastModifiedBy>Roberto Luceri</cp:lastModifiedBy>
  <cp:revision>16</cp:revision>
  <cp:lastPrinted>2020-12-02T12:15:00Z</cp:lastPrinted>
  <dcterms:created xsi:type="dcterms:W3CDTF">2020-12-23T07:19:00Z</dcterms:created>
  <dcterms:modified xsi:type="dcterms:W3CDTF">2020-12-23T08:39:00Z</dcterms:modified>
</cp:coreProperties>
</file>